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0E9445">
      <w:pPr>
        <w:pStyle w:val="60"/>
        <w:keepNext w:val="0"/>
        <w:keepLines w:val="0"/>
        <w:pageBreakBefore w:val="0"/>
        <w:widowControl/>
        <w:kinsoku/>
        <w:wordWrap w:val="0"/>
        <w:overflowPunct/>
        <w:topLinePunct w:val="0"/>
        <w:autoSpaceDE/>
        <w:autoSpaceDN/>
        <w:bidi w:val="0"/>
        <w:adjustRightInd/>
        <w:snapToGrid/>
        <w:spacing w:after="0" w:line="360" w:lineRule="auto"/>
        <w:ind w:left="0" w:leftChars="0" w:right="400" w:rightChars="182" w:firstLine="0" w:firstLineChars="0"/>
        <w:jc w:val="center"/>
        <w:textAlignment w:val="auto"/>
        <w:rPr>
          <w:rFonts w:hint="default" w:cs="仿宋" w:asciiTheme="majorAscii" w:hAnsiTheme="majorAscii"/>
          <w:b/>
          <w:bCs/>
          <w:color w:val="auto"/>
          <w:w w:val="100"/>
          <w:sz w:val="36"/>
          <w:szCs w:val="36"/>
          <w:highlight w:val="none"/>
          <w:lang w:val="en-US" w:eastAsia="zh-CN"/>
        </w:rPr>
      </w:pPr>
      <w:bookmarkStart w:id="0" w:name="_Toc227991412"/>
      <w:bookmarkStart w:id="1" w:name="_Toc292200550"/>
      <w:r>
        <w:rPr>
          <w:rFonts w:hint="eastAsia" w:cs="仿宋" w:asciiTheme="majorAscii" w:hAnsiTheme="majorAscii"/>
          <w:b/>
          <w:bCs/>
          <w:color w:val="auto"/>
          <w:w w:val="100"/>
          <w:sz w:val="36"/>
          <w:szCs w:val="36"/>
          <w:highlight w:val="none"/>
          <w:lang w:val="en-US" w:eastAsia="zh-CN"/>
        </w:rPr>
        <w:t>开远市中和营镇红薯分拣愈合中心配套附属设施及屋顶光伏自纳降本（余电上网）建设项目</w:t>
      </w:r>
    </w:p>
    <w:p w14:paraId="042185F3">
      <w:pPr>
        <w:pStyle w:val="60"/>
        <w:keepNext w:val="0"/>
        <w:keepLines w:val="0"/>
        <w:pageBreakBefore w:val="0"/>
        <w:widowControl/>
        <w:kinsoku/>
        <w:wordWrap w:val="0"/>
        <w:overflowPunct/>
        <w:topLinePunct w:val="0"/>
        <w:autoSpaceDE/>
        <w:autoSpaceDN/>
        <w:bidi w:val="0"/>
        <w:adjustRightInd/>
        <w:snapToGrid/>
        <w:spacing w:after="0" w:line="360" w:lineRule="auto"/>
        <w:ind w:left="0" w:leftChars="0" w:right="400" w:rightChars="182" w:firstLine="0" w:firstLineChars="0"/>
        <w:jc w:val="center"/>
        <w:textAlignment w:val="auto"/>
        <w:rPr>
          <w:rFonts w:hint="default" w:eastAsia="宋体" w:cs="仿宋" w:asciiTheme="majorAscii" w:hAnsiTheme="majorAscii"/>
          <w:color w:val="auto"/>
          <w:w w:val="100"/>
          <w:sz w:val="36"/>
          <w:szCs w:val="36"/>
          <w:highlight w:val="none"/>
        </w:rPr>
      </w:pPr>
    </w:p>
    <w:p w14:paraId="4B63ADE5">
      <w:pPr>
        <w:pStyle w:val="61"/>
        <w:pageBreakBefore w:val="0"/>
        <w:kinsoku/>
        <w:wordWrap w:val="0"/>
        <w:overflowPunct/>
        <w:bidi w:val="0"/>
        <w:spacing w:after="0"/>
        <w:ind w:left="0" w:leftChars="0" w:right="-37" w:rightChars="-17" w:firstLine="0" w:firstLineChars="0"/>
        <w:textAlignment w:val="auto"/>
        <w:rPr>
          <w:rFonts w:hint="eastAsia" w:ascii="宋体" w:hAnsi="宋体" w:eastAsia="宋体" w:cs="宋体"/>
          <w:color w:val="auto"/>
          <w:highlight w:val="none"/>
        </w:rPr>
      </w:pPr>
    </w:p>
    <w:p w14:paraId="2B5AA17C">
      <w:pPr>
        <w:pStyle w:val="61"/>
        <w:pageBreakBefore w:val="0"/>
        <w:kinsoku/>
        <w:wordWrap w:val="0"/>
        <w:overflowPunct/>
        <w:bidi w:val="0"/>
        <w:spacing w:after="0"/>
        <w:ind w:firstLine="48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p>
    <w:p w14:paraId="5C90D2E1">
      <w:pPr>
        <w:pStyle w:val="61"/>
        <w:pageBreakBefore w:val="0"/>
        <w:tabs>
          <w:tab w:val="left" w:pos="8666"/>
        </w:tabs>
        <w:kinsoku/>
        <w:wordWrap w:val="0"/>
        <w:overflowPunct/>
        <w:bidi w:val="0"/>
        <w:spacing w:after="0"/>
        <w:ind w:firstLine="480"/>
        <w:textAlignment w:val="auto"/>
        <w:rPr>
          <w:rFonts w:hint="eastAsia" w:ascii="宋体" w:hAnsi="宋体" w:eastAsia="宋体" w:cs="宋体"/>
          <w:color w:val="auto"/>
          <w:highlight w:val="none"/>
          <w:lang w:eastAsia="zh-CN"/>
        </w:rPr>
      </w:pPr>
    </w:p>
    <w:p w14:paraId="560C111E">
      <w:pPr>
        <w:pStyle w:val="61"/>
        <w:pageBreakBefore w:val="0"/>
        <w:tabs>
          <w:tab w:val="left" w:pos="8666"/>
        </w:tabs>
        <w:kinsoku/>
        <w:wordWrap w:val="0"/>
        <w:overflowPunct/>
        <w:bidi w:val="0"/>
        <w:spacing w:after="0"/>
        <w:ind w:firstLine="480"/>
        <w:textAlignment w:val="auto"/>
        <w:rPr>
          <w:rFonts w:hint="eastAsia" w:ascii="宋体" w:hAnsi="宋体" w:eastAsia="宋体" w:cs="宋体"/>
          <w:color w:val="auto"/>
          <w:highlight w:val="none"/>
          <w:lang w:eastAsia="zh-CN"/>
        </w:rPr>
      </w:pPr>
    </w:p>
    <w:p w14:paraId="7E6DD1A6">
      <w:pPr>
        <w:pStyle w:val="61"/>
        <w:pageBreakBefore w:val="0"/>
        <w:tabs>
          <w:tab w:val="left" w:pos="8666"/>
        </w:tabs>
        <w:kinsoku/>
        <w:wordWrap w:val="0"/>
        <w:overflowPunct/>
        <w:bidi w:val="0"/>
        <w:spacing w:after="0"/>
        <w:ind w:firstLine="48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ab/>
      </w:r>
    </w:p>
    <w:p w14:paraId="452EF88B">
      <w:pPr>
        <w:rPr>
          <w:rFonts w:hint="eastAsia"/>
          <w:color w:val="auto"/>
        </w:rPr>
      </w:pPr>
    </w:p>
    <w:p w14:paraId="0B9B6710">
      <w:pPr>
        <w:pStyle w:val="35"/>
        <w:rPr>
          <w:rFonts w:hint="eastAsia"/>
          <w:color w:val="auto"/>
        </w:rPr>
      </w:pPr>
    </w:p>
    <w:p w14:paraId="174F6CA2">
      <w:pPr>
        <w:pStyle w:val="14"/>
        <w:pageBreakBefore w:val="0"/>
        <w:kinsoku/>
        <w:wordWrap w:val="0"/>
        <w:overflowPunct/>
        <w:bidi w:val="0"/>
        <w:spacing w:after="0"/>
        <w:textAlignment w:val="auto"/>
        <w:rPr>
          <w:rFonts w:hint="eastAsia" w:ascii="宋体" w:hAnsi="宋体" w:eastAsia="宋体" w:cs="宋体"/>
          <w:color w:val="auto"/>
          <w:highlight w:val="none"/>
        </w:rPr>
      </w:pPr>
    </w:p>
    <w:p w14:paraId="58CF633B">
      <w:pPr>
        <w:rPr>
          <w:rFonts w:hint="eastAsia"/>
          <w:color w:val="auto"/>
        </w:rPr>
      </w:pPr>
    </w:p>
    <w:p w14:paraId="52D4A59D">
      <w:pPr>
        <w:pStyle w:val="14"/>
        <w:pageBreakBefore w:val="0"/>
        <w:kinsoku/>
        <w:wordWrap w:val="0"/>
        <w:overflowPunct/>
        <w:bidi w:val="0"/>
        <w:spacing w:after="0"/>
        <w:textAlignment w:val="auto"/>
        <w:rPr>
          <w:rFonts w:hint="eastAsia" w:ascii="宋体" w:hAnsi="宋体" w:eastAsia="宋体" w:cs="宋体"/>
          <w:color w:val="auto"/>
          <w:highlight w:val="none"/>
        </w:rPr>
      </w:pPr>
    </w:p>
    <w:p w14:paraId="28A5AF50">
      <w:pPr>
        <w:pageBreakBefore w:val="0"/>
        <w:kinsoku/>
        <w:wordWrap w:val="0"/>
        <w:overflowPunct/>
        <w:bidi w:val="0"/>
        <w:spacing w:after="0"/>
        <w:jc w:val="center"/>
        <w:textAlignment w:val="auto"/>
        <w:rPr>
          <w:rFonts w:hint="eastAsia" w:ascii="宋体" w:hAnsi="宋体" w:eastAsia="宋体" w:cs="宋体"/>
          <w:b/>
          <w:bCs/>
          <w:color w:val="auto"/>
          <w:sz w:val="72"/>
          <w:szCs w:val="96"/>
          <w:highlight w:val="none"/>
        </w:rPr>
      </w:pPr>
      <w:r>
        <w:rPr>
          <w:rFonts w:hint="eastAsia" w:ascii="宋体" w:hAnsi="宋体" w:eastAsia="宋体" w:cs="宋体"/>
          <w:b/>
          <w:bCs/>
          <w:color w:val="auto"/>
          <w:sz w:val="72"/>
          <w:szCs w:val="96"/>
          <w:highlight w:val="none"/>
        </w:rPr>
        <w:t>竞争性磋商文件</w:t>
      </w:r>
    </w:p>
    <w:p w14:paraId="73D1CF4E">
      <w:pPr>
        <w:pageBreakBefore w:val="0"/>
        <w:kinsoku/>
        <w:wordWrap w:val="0"/>
        <w:overflowPunct/>
        <w:bidi w:val="0"/>
        <w:spacing w:after="0"/>
        <w:jc w:val="center"/>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8"/>
          <w:szCs w:val="28"/>
          <w:highlight w:val="none"/>
        </w:rPr>
        <w:t>项目编号：</w:t>
      </w:r>
      <w:r>
        <w:rPr>
          <w:rFonts w:hint="eastAsia" w:ascii="宋体" w:hAnsi="宋体" w:eastAsia="宋体" w:cs="宋体"/>
          <w:b/>
          <w:color w:val="auto"/>
          <w:sz w:val="28"/>
          <w:szCs w:val="28"/>
          <w:highlight w:val="none"/>
          <w:lang w:eastAsia="zh-CN"/>
        </w:rPr>
        <w:t>HHSYZBZX-CG20250313</w:t>
      </w:r>
    </w:p>
    <w:p w14:paraId="64E34230">
      <w:pPr>
        <w:pageBreakBefore w:val="0"/>
        <w:kinsoku/>
        <w:wordWrap w:val="0"/>
        <w:overflowPunct/>
        <w:bidi w:val="0"/>
        <w:spacing w:after="0"/>
        <w:textAlignment w:val="auto"/>
        <w:rPr>
          <w:rFonts w:hint="eastAsia" w:ascii="宋体" w:hAnsi="宋体" w:eastAsia="宋体" w:cs="宋体"/>
          <w:b/>
          <w:color w:val="auto"/>
          <w:sz w:val="36"/>
          <w:szCs w:val="32"/>
          <w:highlight w:val="none"/>
        </w:rPr>
      </w:pPr>
    </w:p>
    <w:p w14:paraId="1EED81B2">
      <w:pPr>
        <w:pageBreakBefore w:val="0"/>
        <w:kinsoku/>
        <w:wordWrap w:val="0"/>
        <w:overflowPunct/>
        <w:bidi w:val="0"/>
        <w:spacing w:after="0"/>
        <w:textAlignment w:val="auto"/>
        <w:rPr>
          <w:rFonts w:hint="eastAsia" w:ascii="宋体" w:hAnsi="宋体" w:eastAsia="宋体" w:cs="宋体"/>
          <w:b/>
          <w:color w:val="auto"/>
          <w:sz w:val="36"/>
          <w:szCs w:val="32"/>
          <w:highlight w:val="none"/>
        </w:rPr>
      </w:pPr>
    </w:p>
    <w:p w14:paraId="7E406496">
      <w:pPr>
        <w:pageBreakBefore w:val="0"/>
        <w:kinsoku/>
        <w:wordWrap w:val="0"/>
        <w:overflowPunct/>
        <w:bidi w:val="0"/>
        <w:spacing w:after="0"/>
        <w:textAlignment w:val="auto"/>
        <w:rPr>
          <w:rFonts w:hint="eastAsia" w:ascii="宋体" w:hAnsi="宋体" w:eastAsia="宋体" w:cs="宋体"/>
          <w:b/>
          <w:color w:val="auto"/>
          <w:sz w:val="36"/>
          <w:szCs w:val="32"/>
          <w:highlight w:val="none"/>
        </w:rPr>
      </w:pPr>
    </w:p>
    <w:p w14:paraId="5E1BABB1">
      <w:pPr>
        <w:pageBreakBefore w:val="0"/>
        <w:tabs>
          <w:tab w:val="left" w:pos="8591"/>
        </w:tabs>
        <w:kinsoku/>
        <w:wordWrap w:val="0"/>
        <w:overflowPunct/>
        <w:bidi w:val="0"/>
        <w:spacing w:after="0"/>
        <w:textAlignment w:val="auto"/>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ab/>
      </w:r>
    </w:p>
    <w:p w14:paraId="02807137">
      <w:pPr>
        <w:pStyle w:val="35"/>
        <w:pageBreakBefore w:val="0"/>
        <w:kinsoku/>
        <w:wordWrap w:val="0"/>
        <w:overflowPunct/>
        <w:bidi w:val="0"/>
        <w:spacing w:after="0"/>
        <w:ind w:left="0" w:leftChars="0" w:firstLine="0" w:firstLineChars="0"/>
        <w:textAlignment w:val="auto"/>
        <w:rPr>
          <w:rFonts w:hint="eastAsia" w:ascii="宋体" w:hAnsi="宋体" w:eastAsia="宋体" w:cs="宋体"/>
          <w:b/>
          <w:color w:val="auto"/>
          <w:sz w:val="36"/>
          <w:szCs w:val="32"/>
          <w:highlight w:val="none"/>
        </w:rPr>
      </w:pPr>
    </w:p>
    <w:p w14:paraId="7BA46DC5">
      <w:pPr>
        <w:pStyle w:val="35"/>
        <w:pageBreakBefore w:val="0"/>
        <w:kinsoku/>
        <w:wordWrap w:val="0"/>
        <w:overflowPunct/>
        <w:bidi w:val="0"/>
        <w:spacing w:after="0"/>
        <w:ind w:left="0" w:leftChars="0" w:firstLine="0" w:firstLineChars="0"/>
        <w:textAlignment w:val="auto"/>
        <w:rPr>
          <w:rFonts w:hint="eastAsia" w:ascii="宋体" w:hAnsi="宋体" w:eastAsia="宋体" w:cs="宋体"/>
          <w:b/>
          <w:color w:val="auto"/>
          <w:sz w:val="36"/>
          <w:szCs w:val="32"/>
          <w:highlight w:val="none"/>
        </w:rPr>
      </w:pPr>
    </w:p>
    <w:p w14:paraId="61C3CC15">
      <w:pPr>
        <w:pStyle w:val="14"/>
        <w:pageBreakBefore w:val="0"/>
        <w:kinsoku/>
        <w:wordWrap w:val="0"/>
        <w:overflowPunct/>
        <w:bidi w:val="0"/>
        <w:spacing w:after="0"/>
        <w:textAlignment w:val="auto"/>
        <w:rPr>
          <w:rFonts w:hint="eastAsia" w:ascii="宋体" w:hAnsi="宋体" w:eastAsia="宋体" w:cs="宋体"/>
          <w:b/>
          <w:color w:val="auto"/>
          <w:sz w:val="36"/>
          <w:szCs w:val="32"/>
          <w:highlight w:val="none"/>
        </w:rPr>
      </w:pPr>
    </w:p>
    <w:p w14:paraId="7C95FDEF">
      <w:pPr>
        <w:pageBreakBefore w:val="0"/>
        <w:kinsoku/>
        <w:wordWrap w:val="0"/>
        <w:overflowPunct/>
        <w:bidi w:val="0"/>
        <w:spacing w:after="0" w:line="360" w:lineRule="auto"/>
        <w:ind w:firstLine="1124" w:firstLineChars="400"/>
        <w:textAlignment w:val="auto"/>
        <w:rPr>
          <w:rFonts w:hint="eastAsia" w:ascii="宋体" w:hAnsi="宋体" w:eastAsia="宋体" w:cs="宋体"/>
          <w:b/>
          <w:bCs/>
          <w:color w:val="auto"/>
          <w:spacing w:val="-20"/>
          <w:sz w:val="28"/>
          <w:szCs w:val="28"/>
          <w:highlight w:val="none"/>
          <w:u w:val="single"/>
        </w:rPr>
      </w:pPr>
      <w:r>
        <w:rPr>
          <w:rFonts w:hint="eastAsia" w:ascii="宋体" w:hAnsi="宋体" w:eastAsia="宋体" w:cs="宋体"/>
          <w:b/>
          <w:bCs/>
          <w:color w:val="auto"/>
          <w:sz w:val="28"/>
          <w:szCs w:val="28"/>
          <w:highlight w:val="none"/>
        </w:rPr>
        <w:t>采    购  人：</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lang w:eastAsia="zh-CN"/>
        </w:rPr>
        <w:t>开远市中和营镇人民政府</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rPr>
        <w:t>（</w:t>
      </w:r>
      <w:r>
        <w:rPr>
          <w:rFonts w:hint="eastAsia" w:ascii="宋体" w:hAnsi="宋体" w:eastAsia="宋体" w:cs="宋体"/>
          <w:b/>
          <w:bCs/>
          <w:color w:val="auto"/>
          <w:spacing w:val="-20"/>
          <w:sz w:val="28"/>
          <w:szCs w:val="28"/>
          <w:highlight w:val="none"/>
          <w:u w:val="single"/>
        </w:rPr>
        <w:t>盖章）</w:t>
      </w:r>
    </w:p>
    <w:p w14:paraId="02517375">
      <w:pPr>
        <w:pageBreakBefore w:val="0"/>
        <w:kinsoku/>
        <w:wordWrap w:val="0"/>
        <w:overflowPunct/>
        <w:bidi w:val="0"/>
        <w:spacing w:after="0" w:line="360" w:lineRule="auto"/>
        <w:ind w:firstLine="1205" w:firstLineChars="500"/>
        <w:textAlignment w:val="auto"/>
        <w:rPr>
          <w:rFonts w:hint="eastAsia" w:ascii="宋体" w:hAnsi="宋体" w:eastAsia="宋体" w:cs="宋体"/>
          <w:b/>
          <w:bCs/>
          <w:color w:val="auto"/>
          <w:spacing w:val="-20"/>
          <w:sz w:val="28"/>
          <w:szCs w:val="28"/>
          <w:highlight w:val="none"/>
          <w:u w:val="single"/>
        </w:rPr>
      </w:pPr>
    </w:p>
    <w:p w14:paraId="5B887F61">
      <w:pPr>
        <w:pageBreakBefore w:val="0"/>
        <w:kinsoku/>
        <w:wordWrap w:val="0"/>
        <w:overflowPunct/>
        <w:bidi w:val="0"/>
        <w:spacing w:after="0" w:line="480" w:lineRule="auto"/>
        <w:ind w:firstLine="1124" w:firstLineChars="400"/>
        <w:textAlignment w:val="auto"/>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采购代理机构：</w:t>
      </w:r>
      <w:r>
        <w:rPr>
          <w:rFonts w:hint="eastAsia" w:ascii="宋体" w:hAnsi="宋体" w:eastAsia="宋体" w:cs="宋体"/>
          <w:b/>
          <w:bCs/>
          <w:color w:val="auto"/>
          <w:sz w:val="28"/>
          <w:szCs w:val="28"/>
          <w:highlight w:val="none"/>
          <w:u w:val="single"/>
        </w:rPr>
        <w:t xml:space="preserve"> 红河州盛雅招标咨询有限公司（盖章） </w:t>
      </w:r>
    </w:p>
    <w:p w14:paraId="445A15CF">
      <w:pPr>
        <w:pageBreakBefore w:val="0"/>
        <w:tabs>
          <w:tab w:val="left" w:pos="1215"/>
          <w:tab w:val="center" w:pos="5093"/>
        </w:tabs>
        <w:kinsoku/>
        <w:wordWrap w:val="0"/>
        <w:overflowPunct/>
        <w:bidi w:val="0"/>
        <w:spacing w:after="0" w:line="360" w:lineRule="auto"/>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tab/>
      </w:r>
    </w:p>
    <w:p w14:paraId="453AF046">
      <w:pPr>
        <w:pageBreakBefore w:val="0"/>
        <w:tabs>
          <w:tab w:val="left" w:pos="1215"/>
          <w:tab w:val="center" w:pos="5093"/>
        </w:tabs>
        <w:kinsoku/>
        <w:wordWrap w:val="0"/>
        <w:overflowPunct/>
        <w:bidi w:val="0"/>
        <w:spacing w:after="0" w:line="360" w:lineRule="auto"/>
        <w:jc w:val="center"/>
        <w:textAlignment w:val="auto"/>
        <w:rPr>
          <w:rFonts w:hint="default" w:ascii="宋体" w:hAnsi="宋体" w:eastAsia="宋体" w:cs="宋体"/>
          <w:b/>
          <w:bCs/>
          <w:color w:val="auto"/>
          <w:sz w:val="28"/>
          <w:szCs w:val="28"/>
          <w:highlight w:val="none"/>
          <w:u w:val="none"/>
          <w:lang w:val="en-US"/>
        </w:rPr>
      </w:pPr>
      <w:r>
        <w:rPr>
          <w:rFonts w:hint="eastAsia" w:ascii="宋体" w:hAnsi="宋体" w:eastAsia="宋体" w:cs="宋体"/>
          <w:b/>
          <w:bCs/>
          <w:color w:val="auto"/>
          <w:sz w:val="28"/>
          <w:szCs w:val="28"/>
          <w:highlight w:val="none"/>
        </w:rPr>
        <w:t>日期：</w:t>
      </w:r>
      <w:r>
        <w:rPr>
          <w:rFonts w:hint="eastAsia" w:ascii="宋体" w:hAnsi="宋体" w:eastAsia="宋体" w:cs="宋体"/>
          <w:b/>
          <w:bCs/>
          <w:color w:val="auto"/>
          <w:sz w:val="28"/>
          <w:szCs w:val="28"/>
          <w:highlight w:val="none"/>
          <w:u w:val="single"/>
          <w:lang w:val="en-US" w:eastAsia="zh-CN"/>
        </w:rPr>
        <w:t>2025</w:t>
      </w:r>
      <w:r>
        <w:rPr>
          <w:rFonts w:hint="eastAsia" w:ascii="宋体" w:hAnsi="宋体" w:eastAsia="宋体" w:cs="宋体"/>
          <w:b/>
          <w:bCs/>
          <w:color w:val="auto"/>
          <w:sz w:val="28"/>
          <w:szCs w:val="28"/>
          <w:highlight w:val="none"/>
        </w:rPr>
        <w:t>年</w:t>
      </w:r>
      <w:r>
        <w:rPr>
          <w:rFonts w:hint="eastAsia" w:ascii="宋体" w:hAnsi="宋体" w:eastAsia="宋体" w:cs="宋体"/>
          <w:b/>
          <w:bCs/>
          <w:color w:val="auto"/>
          <w:sz w:val="28"/>
          <w:szCs w:val="28"/>
          <w:highlight w:val="none"/>
          <w:u w:val="single"/>
          <w:lang w:val="en-US" w:eastAsia="zh-CN"/>
        </w:rPr>
        <w:t>03</w:t>
      </w:r>
      <w:r>
        <w:rPr>
          <w:rFonts w:hint="eastAsia" w:ascii="宋体" w:hAnsi="宋体" w:eastAsia="宋体" w:cs="宋体"/>
          <w:b/>
          <w:bCs/>
          <w:color w:val="auto"/>
          <w:sz w:val="28"/>
          <w:szCs w:val="28"/>
          <w:highlight w:val="none"/>
          <w:u w:val="none"/>
          <w:lang w:val="en-US" w:eastAsia="zh-CN"/>
        </w:rPr>
        <w:t>月</w:t>
      </w:r>
    </w:p>
    <w:tbl>
      <w:tblPr>
        <w:tblStyle w:val="62"/>
        <w:tblW w:w="972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40"/>
        <w:gridCol w:w="2158"/>
        <w:gridCol w:w="1917"/>
        <w:gridCol w:w="4009"/>
      </w:tblGrid>
      <w:tr w14:paraId="482B9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9" w:hRule="atLeast"/>
          <w:jc w:val="center"/>
        </w:trPr>
        <w:tc>
          <w:tcPr>
            <w:tcW w:w="9724" w:type="dxa"/>
            <w:gridSpan w:val="4"/>
            <w:tcBorders>
              <w:bottom w:val="dotted" w:color="auto" w:sz="4" w:space="0"/>
            </w:tcBorders>
            <w:noWrap w:val="0"/>
            <w:vAlign w:val="top"/>
          </w:tcPr>
          <w:p w14:paraId="1A7970F5">
            <w:pPr>
              <w:pageBreakBefore w:val="0"/>
              <w:kinsoku/>
              <w:wordWrap w:val="0"/>
              <w:overflowPunct/>
              <w:bidi w:val="0"/>
              <w:spacing w:after="0" w:line="360" w:lineRule="auto"/>
              <w:textAlignment w:val="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 </w:t>
            </w:r>
          </w:p>
          <w:p w14:paraId="746ABCFA">
            <w:pPr>
              <w:pageBreakBefore w:val="0"/>
              <w:tabs>
                <w:tab w:val="left" w:pos="7350"/>
              </w:tabs>
              <w:kinsoku/>
              <w:wordWrap w:val="0"/>
              <w:overflowPunct/>
              <w:bidi w:val="0"/>
              <w:spacing w:after="0" w:line="360" w:lineRule="auto"/>
              <w:jc w:val="center"/>
              <w:textAlignment w:val="auto"/>
              <w:rPr>
                <w:rFonts w:hint="eastAsia" w:ascii="宋体" w:hAnsi="宋体" w:eastAsia="宋体" w:cs="宋体"/>
                <w:b/>
                <w:color w:val="auto"/>
                <w:sz w:val="28"/>
                <w:highlight w:val="none"/>
              </w:rPr>
            </w:pPr>
            <w:r>
              <w:rPr>
                <w:rFonts w:hint="eastAsia" w:ascii="宋体" w:hAnsi="宋体" w:eastAsia="宋体" w:cs="宋体"/>
                <w:bCs/>
                <w:color w:val="auto"/>
                <w:sz w:val="48"/>
                <w:szCs w:val="48"/>
                <w:highlight w:val="none"/>
                <w:u w:val="none"/>
                <w:lang w:val="en-US" w:eastAsia="zh-CN"/>
              </w:rPr>
              <w:t>红河州盛雅招标咨询有限公司</w:t>
            </w:r>
          </w:p>
          <w:p w14:paraId="4DC55AF2">
            <w:pPr>
              <w:pageBreakBefore w:val="0"/>
              <w:kinsoku/>
              <w:wordWrap w:val="0"/>
              <w:overflowPunct/>
              <w:bidi w:val="0"/>
              <w:spacing w:after="0" w:line="360" w:lineRule="auto"/>
              <w:textAlignment w:val="auto"/>
              <w:rPr>
                <w:rFonts w:hint="eastAsia" w:ascii="宋体" w:hAnsi="宋体" w:eastAsia="宋体" w:cs="宋体"/>
                <w:b/>
                <w:color w:val="auto"/>
                <w:sz w:val="28"/>
                <w:highlight w:val="none"/>
              </w:rPr>
            </w:pPr>
          </w:p>
          <w:p w14:paraId="033AACC0">
            <w:pPr>
              <w:pageBreakBefore w:val="0"/>
              <w:kinsoku/>
              <w:wordWrap w:val="0"/>
              <w:overflowPunct/>
              <w:bidi w:val="0"/>
              <w:spacing w:after="0" w:line="360" w:lineRule="auto"/>
              <w:jc w:val="center"/>
              <w:textAlignment w:val="auto"/>
              <w:rPr>
                <w:rFonts w:hint="eastAsia" w:ascii="宋体" w:hAnsi="宋体" w:eastAsia="宋体" w:cs="宋体"/>
                <w:bCs/>
                <w:color w:val="auto"/>
                <w:sz w:val="72"/>
                <w:szCs w:val="72"/>
                <w:highlight w:val="none"/>
                <w:u w:val="none"/>
                <w:lang w:val="en-US" w:eastAsia="zh-CN"/>
              </w:rPr>
            </w:pPr>
          </w:p>
          <w:p w14:paraId="171F2E0F">
            <w:pPr>
              <w:pageBreakBefore w:val="0"/>
              <w:kinsoku/>
              <w:wordWrap w:val="0"/>
              <w:overflowPunct/>
              <w:bidi w:val="0"/>
              <w:spacing w:after="0" w:line="360" w:lineRule="auto"/>
              <w:jc w:val="center"/>
              <w:textAlignment w:val="auto"/>
              <w:rPr>
                <w:rFonts w:hint="eastAsia" w:ascii="宋体" w:hAnsi="宋体" w:eastAsia="宋体" w:cs="宋体"/>
                <w:b/>
                <w:color w:val="auto"/>
                <w:sz w:val="28"/>
                <w:highlight w:val="none"/>
                <w:lang w:val="en-US" w:eastAsia="zh-CN"/>
              </w:rPr>
            </w:pPr>
            <w:r>
              <w:rPr>
                <w:rFonts w:hint="eastAsia" w:ascii="宋体" w:hAnsi="宋体" w:eastAsia="宋体" w:cs="宋体"/>
                <w:b/>
                <w:bCs w:val="0"/>
                <w:color w:val="auto"/>
                <w:sz w:val="84"/>
                <w:szCs w:val="84"/>
                <w:highlight w:val="none"/>
                <w:u w:val="none"/>
                <w:lang w:val="en-US" w:eastAsia="zh-CN"/>
              </w:rPr>
              <w:t>采购文件审核记录表</w:t>
            </w:r>
          </w:p>
        </w:tc>
      </w:tr>
      <w:tr w14:paraId="73DEA6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640" w:type="dxa"/>
            <w:tcBorders>
              <w:top w:val="dotted" w:color="auto" w:sz="4" w:space="0"/>
              <w:bottom w:val="dotted" w:color="auto" w:sz="4" w:space="0"/>
              <w:right w:val="dotted" w:color="000000" w:sz="4" w:space="0"/>
            </w:tcBorders>
            <w:noWrap w:val="0"/>
            <w:vAlign w:val="center"/>
          </w:tcPr>
          <w:p w14:paraId="417F1690">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项目名称</w:t>
            </w:r>
          </w:p>
        </w:tc>
        <w:tc>
          <w:tcPr>
            <w:tcW w:w="8084" w:type="dxa"/>
            <w:gridSpan w:val="3"/>
            <w:tcBorders>
              <w:top w:val="dotted" w:color="auto" w:sz="4" w:space="0"/>
              <w:left w:val="dotted" w:color="000000" w:sz="4" w:space="0"/>
              <w:bottom w:val="dotted" w:color="auto" w:sz="4" w:space="0"/>
            </w:tcBorders>
            <w:noWrap w:val="0"/>
            <w:vAlign w:val="center"/>
          </w:tcPr>
          <w:p w14:paraId="487E50F9">
            <w:pPr>
              <w:pageBreakBefore w:val="0"/>
              <w:widowControl/>
              <w:kinsoku/>
              <w:wordWrap w:val="0"/>
              <w:overflowPunct/>
              <w:bidi w:val="0"/>
              <w:adjustRightInd w:val="0"/>
              <w:snapToGrid w:val="0"/>
              <w:spacing w:after="0" w:line="380" w:lineRule="exact"/>
              <w:jc w:val="left"/>
              <w:textAlignment w:val="auto"/>
              <w:outlineLvl w:val="9"/>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开远市中和营镇红薯分拣愈合中心配套附属设施及屋顶光伏自纳降本（余电上网）建设项目</w:t>
            </w:r>
          </w:p>
        </w:tc>
      </w:tr>
      <w:tr w14:paraId="5DC51E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2" w:hRule="atLeast"/>
          <w:jc w:val="center"/>
        </w:trPr>
        <w:tc>
          <w:tcPr>
            <w:tcW w:w="1640" w:type="dxa"/>
            <w:tcBorders>
              <w:top w:val="dotted" w:color="auto" w:sz="4" w:space="0"/>
              <w:bottom w:val="dotted" w:color="auto" w:sz="4" w:space="0"/>
              <w:right w:val="dotted" w:color="000000" w:sz="4" w:space="0"/>
            </w:tcBorders>
            <w:noWrap w:val="0"/>
            <w:vAlign w:val="center"/>
          </w:tcPr>
          <w:p w14:paraId="62B25E6F">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项目编号</w:t>
            </w:r>
          </w:p>
        </w:tc>
        <w:tc>
          <w:tcPr>
            <w:tcW w:w="8084" w:type="dxa"/>
            <w:gridSpan w:val="3"/>
            <w:tcBorders>
              <w:top w:val="dotted" w:color="auto" w:sz="4" w:space="0"/>
              <w:left w:val="dotted" w:color="000000" w:sz="4" w:space="0"/>
              <w:bottom w:val="dotted" w:color="auto" w:sz="4" w:space="0"/>
            </w:tcBorders>
            <w:noWrap w:val="0"/>
            <w:vAlign w:val="center"/>
          </w:tcPr>
          <w:p w14:paraId="05E4D88D">
            <w:pPr>
              <w:pageBreakBefore w:val="0"/>
              <w:widowControl/>
              <w:kinsoku/>
              <w:wordWrap w:val="0"/>
              <w:overflowPunct/>
              <w:bidi w:val="0"/>
              <w:adjustRightInd w:val="0"/>
              <w:snapToGrid w:val="0"/>
              <w:spacing w:after="0" w:line="380" w:lineRule="exact"/>
              <w:jc w:val="left"/>
              <w:textAlignment w:val="auto"/>
              <w:outlineLvl w:val="9"/>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HHSYZBZX-CG20250313</w:t>
            </w:r>
          </w:p>
        </w:tc>
      </w:tr>
      <w:tr w14:paraId="4B9D0C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8" w:hRule="atLeast"/>
          <w:jc w:val="center"/>
        </w:trPr>
        <w:tc>
          <w:tcPr>
            <w:tcW w:w="1640" w:type="dxa"/>
            <w:tcBorders>
              <w:top w:val="dotted" w:color="auto" w:sz="4" w:space="0"/>
              <w:bottom w:val="dotted" w:color="auto" w:sz="4" w:space="0"/>
              <w:right w:val="dotted" w:color="000000" w:sz="4" w:space="0"/>
            </w:tcBorders>
            <w:noWrap w:val="0"/>
            <w:vAlign w:val="center"/>
          </w:tcPr>
          <w:p w14:paraId="38D2F854">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采 购 人</w:t>
            </w:r>
          </w:p>
        </w:tc>
        <w:tc>
          <w:tcPr>
            <w:tcW w:w="8084" w:type="dxa"/>
            <w:gridSpan w:val="3"/>
            <w:tcBorders>
              <w:top w:val="dotted" w:color="auto" w:sz="4" w:space="0"/>
              <w:left w:val="dotted" w:color="000000" w:sz="4" w:space="0"/>
              <w:bottom w:val="dotted" w:color="auto" w:sz="4" w:space="0"/>
            </w:tcBorders>
            <w:noWrap w:val="0"/>
            <w:vAlign w:val="center"/>
          </w:tcPr>
          <w:p w14:paraId="03DAEFAD">
            <w:pPr>
              <w:pageBreakBefore w:val="0"/>
              <w:widowControl/>
              <w:kinsoku/>
              <w:wordWrap w:val="0"/>
              <w:overflowPunct/>
              <w:bidi w:val="0"/>
              <w:adjustRightInd w:val="0"/>
              <w:snapToGrid w:val="0"/>
              <w:spacing w:after="0" w:line="380" w:lineRule="exact"/>
              <w:jc w:val="left"/>
              <w:textAlignment w:val="auto"/>
              <w:outlineLvl w:val="9"/>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开远市中和营镇人民政府</w:t>
            </w:r>
          </w:p>
        </w:tc>
      </w:tr>
      <w:tr w14:paraId="76DDE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5" w:hRule="atLeast"/>
          <w:jc w:val="center"/>
        </w:trPr>
        <w:tc>
          <w:tcPr>
            <w:tcW w:w="1640" w:type="dxa"/>
            <w:tcBorders>
              <w:top w:val="dotted" w:color="auto" w:sz="4" w:space="0"/>
              <w:bottom w:val="dotted" w:color="auto" w:sz="4" w:space="0"/>
              <w:right w:val="dotted" w:color="000000" w:sz="4" w:space="0"/>
            </w:tcBorders>
            <w:noWrap w:val="0"/>
            <w:vAlign w:val="center"/>
          </w:tcPr>
          <w:p w14:paraId="68734057">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技术负责人</w:t>
            </w:r>
          </w:p>
        </w:tc>
        <w:tc>
          <w:tcPr>
            <w:tcW w:w="2158" w:type="dxa"/>
            <w:tcBorders>
              <w:top w:val="dotted" w:color="auto" w:sz="4" w:space="0"/>
              <w:left w:val="dotted" w:color="000000" w:sz="4" w:space="0"/>
              <w:bottom w:val="dotted" w:color="auto" w:sz="4" w:space="0"/>
              <w:right w:val="dotted" w:color="000000" w:sz="4" w:space="0"/>
            </w:tcBorders>
            <w:noWrap w:val="0"/>
            <w:vAlign w:val="center"/>
          </w:tcPr>
          <w:p w14:paraId="2492CD5A">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4"/>
                <w:szCs w:val="24"/>
                <w:highlight w:val="none"/>
                <w:lang w:val="en-US" w:eastAsia="zh-CN"/>
              </w:rPr>
              <w:t>袁夕雅</w:t>
            </w:r>
          </w:p>
        </w:tc>
        <w:tc>
          <w:tcPr>
            <w:tcW w:w="1917" w:type="dxa"/>
            <w:tcBorders>
              <w:top w:val="dotted" w:color="auto" w:sz="4" w:space="0"/>
              <w:left w:val="dotted" w:color="000000" w:sz="4" w:space="0"/>
              <w:bottom w:val="dotted" w:color="auto" w:sz="4" w:space="0"/>
              <w:right w:val="dotted" w:color="000000" w:sz="4" w:space="0"/>
            </w:tcBorders>
            <w:noWrap w:val="0"/>
            <w:vAlign w:val="center"/>
          </w:tcPr>
          <w:p w14:paraId="7C254FE2">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联系方式</w:t>
            </w:r>
          </w:p>
        </w:tc>
        <w:tc>
          <w:tcPr>
            <w:tcW w:w="4009" w:type="dxa"/>
            <w:tcBorders>
              <w:top w:val="dotted" w:color="auto" w:sz="4" w:space="0"/>
              <w:left w:val="dotted" w:color="000000" w:sz="4" w:space="0"/>
              <w:bottom w:val="dotted" w:color="auto" w:sz="4" w:space="0"/>
            </w:tcBorders>
            <w:noWrap w:val="0"/>
            <w:vAlign w:val="center"/>
          </w:tcPr>
          <w:p w14:paraId="4DFF154F">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4"/>
                <w:szCs w:val="24"/>
                <w:highlight w:val="none"/>
                <w:lang w:val="en-US" w:eastAsia="zh-CN"/>
              </w:rPr>
              <w:t>18687355115</w:t>
            </w:r>
          </w:p>
        </w:tc>
      </w:tr>
      <w:tr w14:paraId="74B96E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0" w:hRule="atLeast"/>
          <w:jc w:val="center"/>
        </w:trPr>
        <w:tc>
          <w:tcPr>
            <w:tcW w:w="1640" w:type="dxa"/>
            <w:tcBorders>
              <w:top w:val="dotted" w:color="auto" w:sz="4" w:space="0"/>
              <w:bottom w:val="dotted" w:color="auto" w:sz="4" w:space="0"/>
              <w:right w:val="dotted" w:color="auto" w:sz="4" w:space="0"/>
            </w:tcBorders>
            <w:noWrap w:val="0"/>
            <w:vAlign w:val="center"/>
          </w:tcPr>
          <w:p w14:paraId="7BBB484D">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编制人</w:t>
            </w:r>
          </w:p>
        </w:tc>
        <w:tc>
          <w:tcPr>
            <w:tcW w:w="8084" w:type="dxa"/>
            <w:gridSpan w:val="3"/>
            <w:tcBorders>
              <w:top w:val="dotted" w:color="auto" w:sz="4" w:space="0"/>
              <w:left w:val="dotted" w:color="auto" w:sz="4" w:space="0"/>
              <w:bottom w:val="dotted" w:color="auto" w:sz="4" w:space="0"/>
            </w:tcBorders>
            <w:noWrap w:val="0"/>
            <w:vAlign w:val="center"/>
          </w:tcPr>
          <w:p w14:paraId="7AEE7667">
            <w:pPr>
              <w:pageBreakBefore w:val="0"/>
              <w:widowControl/>
              <w:kinsoku/>
              <w:wordWrap w:val="0"/>
              <w:overflowPunct/>
              <w:bidi w:val="0"/>
              <w:adjustRightInd w:val="0"/>
              <w:snapToGrid w:val="0"/>
              <w:spacing w:after="0" w:line="380" w:lineRule="exact"/>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编制人自查：</w:t>
            </w:r>
          </w:p>
          <w:p w14:paraId="27315863">
            <w:pPr>
              <w:pageBreakBefore w:val="0"/>
              <w:widowControl/>
              <w:kinsoku/>
              <w:wordWrap w:val="0"/>
              <w:overflowPunct/>
              <w:bidi w:val="0"/>
              <w:adjustRightInd w:val="0"/>
              <w:snapToGrid w:val="0"/>
              <w:spacing w:after="0" w:line="380" w:lineRule="exact"/>
              <w:jc w:val="both"/>
              <w:textAlignment w:val="auto"/>
              <w:outlineLvl w:val="9"/>
              <w:rPr>
                <w:rFonts w:hint="eastAsia" w:ascii="宋体" w:hAnsi="宋体" w:eastAsia="宋体" w:cs="宋体"/>
                <w:b w:val="0"/>
                <w:bCs/>
                <w:color w:val="auto"/>
                <w:kern w:val="0"/>
                <w:sz w:val="21"/>
                <w:szCs w:val="21"/>
                <w:highlight w:val="none"/>
                <w:lang w:val="en-US" w:eastAsia="zh-CN"/>
              </w:rPr>
            </w:pPr>
          </w:p>
          <w:p w14:paraId="302FDF76">
            <w:pPr>
              <w:pageBreakBefore w:val="0"/>
              <w:widowControl/>
              <w:kinsoku/>
              <w:wordWrap w:val="0"/>
              <w:overflowPunct/>
              <w:bidi w:val="0"/>
              <w:adjustRightInd w:val="0"/>
              <w:snapToGrid w:val="0"/>
              <w:spacing w:after="0" w:line="380" w:lineRule="exact"/>
              <w:ind w:firstLine="3570" w:firstLineChars="1700"/>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编制人签字：</w:t>
            </w:r>
          </w:p>
          <w:p w14:paraId="1F6717EF">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1"/>
                <w:szCs w:val="21"/>
                <w:highlight w:val="none"/>
                <w:lang w:val="en-US" w:eastAsia="zh-CN"/>
              </w:rPr>
              <w:t xml:space="preserve">                                                日期：   年   月   日</w:t>
            </w:r>
          </w:p>
        </w:tc>
      </w:tr>
      <w:tr w14:paraId="0CBB36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3" w:hRule="atLeast"/>
          <w:jc w:val="center"/>
        </w:trPr>
        <w:tc>
          <w:tcPr>
            <w:tcW w:w="1640" w:type="dxa"/>
            <w:tcBorders>
              <w:top w:val="dotted" w:color="auto" w:sz="4" w:space="0"/>
              <w:bottom w:val="dotted" w:color="auto" w:sz="4" w:space="0"/>
              <w:right w:val="dotted" w:color="auto" w:sz="4" w:space="0"/>
            </w:tcBorders>
            <w:noWrap w:val="0"/>
            <w:vAlign w:val="center"/>
          </w:tcPr>
          <w:p w14:paraId="11CEBD90">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审核人</w:t>
            </w:r>
          </w:p>
        </w:tc>
        <w:tc>
          <w:tcPr>
            <w:tcW w:w="8084" w:type="dxa"/>
            <w:gridSpan w:val="3"/>
            <w:tcBorders>
              <w:top w:val="dotted" w:color="auto" w:sz="4" w:space="0"/>
              <w:left w:val="dotted" w:color="auto" w:sz="4" w:space="0"/>
              <w:bottom w:val="dotted" w:color="auto" w:sz="4" w:space="0"/>
            </w:tcBorders>
            <w:noWrap w:val="0"/>
            <w:vAlign w:val="center"/>
          </w:tcPr>
          <w:p w14:paraId="35066CDB">
            <w:pPr>
              <w:pageBreakBefore w:val="0"/>
              <w:widowControl/>
              <w:kinsoku/>
              <w:wordWrap w:val="0"/>
              <w:overflowPunct/>
              <w:bidi w:val="0"/>
              <w:adjustRightInd w:val="0"/>
              <w:snapToGrid w:val="0"/>
              <w:spacing w:after="0" w:line="380" w:lineRule="exact"/>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审核人意见：</w:t>
            </w:r>
          </w:p>
          <w:p w14:paraId="557E2FA4">
            <w:pPr>
              <w:pageBreakBefore w:val="0"/>
              <w:widowControl/>
              <w:kinsoku/>
              <w:wordWrap w:val="0"/>
              <w:overflowPunct/>
              <w:bidi w:val="0"/>
              <w:adjustRightInd w:val="0"/>
              <w:snapToGrid w:val="0"/>
              <w:spacing w:after="0" w:line="380" w:lineRule="exact"/>
              <w:ind w:firstLine="3570" w:firstLineChars="1700"/>
              <w:jc w:val="both"/>
              <w:textAlignment w:val="auto"/>
              <w:outlineLvl w:val="9"/>
              <w:rPr>
                <w:rFonts w:hint="eastAsia" w:ascii="宋体" w:hAnsi="宋体" w:eastAsia="宋体" w:cs="宋体"/>
                <w:b w:val="0"/>
                <w:bCs/>
                <w:color w:val="auto"/>
                <w:kern w:val="0"/>
                <w:sz w:val="21"/>
                <w:szCs w:val="21"/>
                <w:highlight w:val="none"/>
                <w:lang w:val="en-US" w:eastAsia="zh-CN"/>
              </w:rPr>
            </w:pPr>
          </w:p>
          <w:p w14:paraId="66A2902D">
            <w:pPr>
              <w:pageBreakBefore w:val="0"/>
              <w:widowControl/>
              <w:kinsoku/>
              <w:wordWrap w:val="0"/>
              <w:overflowPunct/>
              <w:bidi w:val="0"/>
              <w:adjustRightInd w:val="0"/>
              <w:snapToGrid w:val="0"/>
              <w:spacing w:after="0" w:line="380" w:lineRule="exact"/>
              <w:ind w:firstLine="3570" w:firstLineChars="1700"/>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审核人签字：</w:t>
            </w:r>
          </w:p>
          <w:p w14:paraId="7679E63D">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1"/>
                <w:szCs w:val="21"/>
                <w:highlight w:val="none"/>
                <w:lang w:val="en-US" w:eastAsia="zh-CN"/>
              </w:rPr>
              <w:t xml:space="preserve">                                                日期：   年   月   日</w:t>
            </w:r>
          </w:p>
        </w:tc>
      </w:tr>
      <w:tr w14:paraId="019429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5" w:hRule="atLeast"/>
          <w:jc w:val="center"/>
        </w:trPr>
        <w:tc>
          <w:tcPr>
            <w:tcW w:w="1640" w:type="dxa"/>
            <w:tcBorders>
              <w:top w:val="dotted" w:color="auto" w:sz="4" w:space="0"/>
              <w:bottom w:val="dotted" w:color="auto" w:sz="4" w:space="0"/>
              <w:right w:val="dotted" w:color="auto" w:sz="4" w:space="0"/>
            </w:tcBorders>
            <w:noWrap w:val="0"/>
            <w:vAlign w:val="center"/>
          </w:tcPr>
          <w:p w14:paraId="50EB215A">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招标部</w:t>
            </w:r>
          </w:p>
        </w:tc>
        <w:tc>
          <w:tcPr>
            <w:tcW w:w="8084" w:type="dxa"/>
            <w:gridSpan w:val="3"/>
            <w:tcBorders>
              <w:top w:val="dotted" w:color="auto" w:sz="4" w:space="0"/>
              <w:left w:val="dotted" w:color="auto" w:sz="4" w:space="0"/>
              <w:bottom w:val="dotted" w:color="auto" w:sz="4" w:space="0"/>
            </w:tcBorders>
            <w:noWrap w:val="0"/>
            <w:vAlign w:val="top"/>
          </w:tcPr>
          <w:p w14:paraId="765A9333">
            <w:pPr>
              <w:pageBreakBefore w:val="0"/>
              <w:widowControl/>
              <w:kinsoku/>
              <w:wordWrap w:val="0"/>
              <w:overflowPunct/>
              <w:bidi w:val="0"/>
              <w:adjustRightInd w:val="0"/>
              <w:snapToGrid w:val="0"/>
              <w:spacing w:after="0" w:line="380" w:lineRule="exact"/>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部门负责人意见：</w:t>
            </w:r>
          </w:p>
          <w:p w14:paraId="7C087BE0">
            <w:pPr>
              <w:pageBreakBefore w:val="0"/>
              <w:widowControl/>
              <w:kinsoku/>
              <w:wordWrap w:val="0"/>
              <w:overflowPunct/>
              <w:bidi w:val="0"/>
              <w:adjustRightInd w:val="0"/>
              <w:snapToGrid w:val="0"/>
              <w:spacing w:after="0" w:line="380" w:lineRule="exact"/>
              <w:ind w:firstLine="420" w:firstLineChars="200"/>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同意递交采购人确认。</w:t>
            </w:r>
          </w:p>
          <w:p w14:paraId="6DC1D3BC">
            <w:pPr>
              <w:pageBreakBefore w:val="0"/>
              <w:widowControl/>
              <w:kinsoku/>
              <w:wordWrap w:val="0"/>
              <w:overflowPunct/>
              <w:bidi w:val="0"/>
              <w:adjustRightInd w:val="0"/>
              <w:snapToGrid w:val="0"/>
              <w:spacing w:after="0" w:line="380" w:lineRule="exact"/>
              <w:ind w:firstLine="3570" w:firstLineChars="1700"/>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部门负责人签字：</w:t>
            </w:r>
          </w:p>
          <w:p w14:paraId="6BAAEBD3">
            <w:pPr>
              <w:pageBreakBefore w:val="0"/>
              <w:widowControl/>
              <w:kinsoku/>
              <w:wordWrap w:val="0"/>
              <w:overflowPunct/>
              <w:bidi w:val="0"/>
              <w:adjustRightInd w:val="0"/>
              <w:snapToGrid w:val="0"/>
              <w:spacing w:after="0" w:line="380" w:lineRule="exact"/>
              <w:ind w:firstLine="5040" w:firstLineChars="2400"/>
              <w:jc w:val="both"/>
              <w:textAlignment w:val="auto"/>
              <w:outlineLvl w:val="9"/>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1"/>
                <w:szCs w:val="21"/>
                <w:highlight w:val="none"/>
                <w:lang w:val="en-US" w:eastAsia="zh-CN"/>
              </w:rPr>
              <w:t>日期：   年   月   日</w:t>
            </w:r>
          </w:p>
        </w:tc>
      </w:tr>
      <w:tr w14:paraId="51ABF0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2" w:hRule="atLeast"/>
          <w:jc w:val="center"/>
        </w:trPr>
        <w:tc>
          <w:tcPr>
            <w:tcW w:w="1640" w:type="dxa"/>
            <w:tcBorders>
              <w:top w:val="dotted" w:color="auto" w:sz="4" w:space="0"/>
              <w:right w:val="dotted" w:color="auto" w:sz="4" w:space="0"/>
            </w:tcBorders>
            <w:noWrap w:val="0"/>
            <w:vAlign w:val="center"/>
          </w:tcPr>
          <w:p w14:paraId="6A9F0D14">
            <w:pPr>
              <w:pageBreakBefore w:val="0"/>
              <w:widowControl/>
              <w:kinsoku/>
              <w:wordWrap w:val="0"/>
              <w:overflowPunct/>
              <w:bidi w:val="0"/>
              <w:adjustRightInd w:val="0"/>
              <w:snapToGrid w:val="0"/>
              <w:spacing w:after="0" w:line="380" w:lineRule="exact"/>
              <w:jc w:val="center"/>
              <w:textAlignment w:val="auto"/>
              <w:outlineLvl w:val="9"/>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t>版次</w:t>
            </w:r>
          </w:p>
        </w:tc>
        <w:tc>
          <w:tcPr>
            <w:tcW w:w="8084" w:type="dxa"/>
            <w:gridSpan w:val="3"/>
            <w:tcBorders>
              <w:top w:val="dotted" w:color="auto" w:sz="4" w:space="0"/>
              <w:left w:val="dotted" w:color="auto" w:sz="4" w:space="0"/>
            </w:tcBorders>
            <w:noWrap w:val="0"/>
            <w:vAlign w:val="center"/>
          </w:tcPr>
          <w:p w14:paraId="03670C35">
            <w:pPr>
              <w:pageBreakBefore w:val="0"/>
              <w:widowControl/>
              <w:kinsoku/>
              <w:wordWrap w:val="0"/>
              <w:overflowPunct/>
              <w:bidi w:val="0"/>
              <w:adjustRightInd w:val="0"/>
              <w:snapToGrid w:val="0"/>
              <w:spacing w:after="0" w:line="380" w:lineRule="exact"/>
              <w:jc w:val="both"/>
              <w:textAlignment w:val="auto"/>
              <w:outlineLvl w:val="9"/>
              <w:rPr>
                <w:rFonts w:hint="eastAsia" w:ascii="宋体" w:hAnsi="宋体" w:eastAsia="宋体" w:cs="宋体"/>
                <w:b w:val="0"/>
                <w:bCs/>
                <w:color w:val="auto"/>
                <w:kern w:val="0"/>
                <w:sz w:val="21"/>
                <w:szCs w:val="21"/>
                <w:highlight w:val="none"/>
                <w:lang w:val="en-US" w:eastAsia="zh-CN"/>
              </w:rPr>
            </w:pPr>
            <w:r>
              <w:rPr>
                <w:rFonts w:hint="eastAsia" w:ascii="宋体" w:hAnsi="宋体" w:eastAsia="宋体" w:cs="宋体"/>
                <w:b w:val="0"/>
                <w:bCs/>
                <w:color w:val="auto"/>
                <w:kern w:val="0"/>
                <w:sz w:val="21"/>
                <w:szCs w:val="21"/>
                <w:highlight w:val="none"/>
                <w:lang w:val="en-US" w:eastAsia="zh-CN"/>
              </w:rPr>
              <w:t>2025.03审核稿第1版</w:t>
            </w:r>
          </w:p>
        </w:tc>
      </w:tr>
    </w:tbl>
    <w:p w14:paraId="7C23D64D">
      <w:pPr>
        <w:pStyle w:val="60"/>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lang w:eastAsia="zh-CN"/>
        </w:rPr>
      </w:pPr>
    </w:p>
    <w:p w14:paraId="4BFDC6D4">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14:paraId="21BFD5F9">
      <w:pPr>
        <w:pStyle w:val="14"/>
        <w:pageBreakBefore w:val="0"/>
        <w:kinsoku/>
        <w:wordWrap w:val="0"/>
        <w:overflowPunct/>
        <w:bidi w:val="0"/>
        <w:spacing w:after="0"/>
        <w:textAlignment w:val="auto"/>
        <w:rPr>
          <w:rFonts w:hint="eastAsia" w:ascii="宋体" w:hAnsi="宋体" w:eastAsia="宋体" w:cs="宋体"/>
          <w:color w:val="auto"/>
          <w:highlight w:val="none"/>
        </w:rPr>
      </w:pPr>
    </w:p>
    <w:p w14:paraId="00309D5E">
      <w:pPr>
        <w:pStyle w:val="40"/>
        <w:keepNext w:val="0"/>
        <w:keepLines w:val="0"/>
        <w:pageBreakBefore w:val="0"/>
        <w:widowControl w:val="0"/>
        <w:tabs>
          <w:tab w:val="right" w:leader="dot" w:pos="10186"/>
          <w:tab w:val="clear" w:pos="9540"/>
        </w:tabs>
        <w:kinsoku/>
        <w:wordWrap w:val="0"/>
        <w:overflowPunct/>
        <w:topLinePunct w:val="0"/>
        <w:autoSpaceDE/>
        <w:autoSpaceDN/>
        <w:bidi w:val="0"/>
        <w:adjustRightInd/>
        <w:snapToGrid/>
        <w:spacing w:before="0" w:after="0" w:line="480" w:lineRule="auto"/>
        <w:textAlignment w:val="auto"/>
        <w:rPr>
          <w:rFonts w:hint="eastAsia" w:ascii="宋体" w:hAnsi="宋体" w:eastAsia="宋体" w:cs="宋体"/>
          <w:color w:val="auto"/>
          <w:sz w:val="24"/>
          <w:szCs w:val="24"/>
          <w:highlight w:val="none"/>
        </w:rPr>
      </w:pPr>
      <w:r>
        <w:rPr>
          <w:rStyle w:val="71"/>
          <w:rFonts w:hint="eastAsia" w:ascii="宋体" w:hAnsi="宋体" w:eastAsia="宋体" w:cs="宋体"/>
          <w:color w:val="auto"/>
          <w:sz w:val="24"/>
          <w:szCs w:val="24"/>
          <w:highlight w:val="none"/>
        </w:rPr>
        <w:fldChar w:fldCharType="begin"/>
      </w:r>
      <w:r>
        <w:rPr>
          <w:rStyle w:val="71"/>
          <w:rFonts w:hint="eastAsia" w:ascii="宋体" w:hAnsi="宋体" w:eastAsia="宋体" w:cs="宋体"/>
          <w:color w:val="auto"/>
          <w:sz w:val="24"/>
          <w:szCs w:val="24"/>
          <w:highlight w:val="none"/>
        </w:rPr>
        <w:instrText xml:space="preserve"> TOC \o "1-3" \h \z \u </w:instrText>
      </w:r>
      <w:r>
        <w:rPr>
          <w:rStyle w:val="71"/>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_Toc15430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kern w:val="2"/>
          <w:sz w:val="24"/>
          <w:szCs w:val="24"/>
          <w:highlight w:val="none"/>
        </w:rPr>
        <w:t>第一章 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_Toc15430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9964B1C">
      <w:pPr>
        <w:pStyle w:val="40"/>
        <w:keepNext w:val="0"/>
        <w:keepLines w:val="0"/>
        <w:pageBreakBefore w:val="0"/>
        <w:widowControl w:val="0"/>
        <w:tabs>
          <w:tab w:val="right" w:leader="dot" w:pos="10186"/>
          <w:tab w:val="clear" w:pos="9540"/>
        </w:tabs>
        <w:kinsoku/>
        <w:wordWrap w:val="0"/>
        <w:overflowPunct/>
        <w:topLinePunct w:val="0"/>
        <w:autoSpaceDE/>
        <w:autoSpaceDN/>
        <w:bidi w:val="0"/>
        <w:adjustRightInd/>
        <w:snapToGrid/>
        <w:spacing w:before="0" w:after="0"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_Toc19732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第二章 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_Toc19732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DDCD72C">
      <w:pPr>
        <w:pStyle w:val="40"/>
        <w:keepNext w:val="0"/>
        <w:keepLines w:val="0"/>
        <w:pageBreakBefore w:val="0"/>
        <w:widowControl w:val="0"/>
        <w:tabs>
          <w:tab w:val="right" w:leader="dot" w:pos="10186"/>
          <w:tab w:val="clear" w:pos="9540"/>
        </w:tabs>
        <w:kinsoku/>
        <w:wordWrap w:val="0"/>
        <w:overflowPunct/>
        <w:topLinePunct w:val="0"/>
        <w:autoSpaceDE/>
        <w:autoSpaceDN/>
        <w:bidi w:val="0"/>
        <w:adjustRightInd/>
        <w:snapToGrid/>
        <w:spacing w:before="0" w:after="0"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_Toc19518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第三章 评审办法（综合评分法）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_Toc19518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33B11EB">
      <w:pPr>
        <w:pStyle w:val="40"/>
        <w:keepNext w:val="0"/>
        <w:keepLines w:val="0"/>
        <w:pageBreakBefore w:val="0"/>
        <w:widowControl w:val="0"/>
        <w:tabs>
          <w:tab w:val="right" w:leader="dot" w:pos="10186"/>
          <w:tab w:val="clear" w:pos="9540"/>
        </w:tabs>
        <w:kinsoku/>
        <w:wordWrap w:val="0"/>
        <w:overflowPunct/>
        <w:topLinePunct w:val="0"/>
        <w:autoSpaceDE/>
        <w:autoSpaceDN/>
        <w:bidi w:val="0"/>
        <w:adjustRightInd/>
        <w:snapToGrid/>
        <w:spacing w:before="0" w:after="0"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_Toc15281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第四章 合同条款及格式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_Toc15281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74F176A">
      <w:pPr>
        <w:pStyle w:val="40"/>
        <w:keepNext w:val="0"/>
        <w:keepLines w:val="0"/>
        <w:pageBreakBefore w:val="0"/>
        <w:widowControl w:val="0"/>
        <w:tabs>
          <w:tab w:val="right" w:leader="dot" w:pos="10186"/>
          <w:tab w:val="clear" w:pos="9540"/>
        </w:tabs>
        <w:kinsoku/>
        <w:wordWrap w:val="0"/>
        <w:overflowPunct/>
        <w:topLinePunct w:val="0"/>
        <w:autoSpaceDE/>
        <w:autoSpaceDN/>
        <w:bidi w:val="0"/>
        <w:adjustRightInd/>
        <w:snapToGrid/>
        <w:spacing w:before="0" w:after="0"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_Toc24945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第五章 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_Toc24945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83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416802B">
      <w:pPr>
        <w:pStyle w:val="40"/>
        <w:keepNext w:val="0"/>
        <w:keepLines w:val="0"/>
        <w:pageBreakBefore w:val="0"/>
        <w:widowControl w:val="0"/>
        <w:tabs>
          <w:tab w:val="right" w:leader="dot" w:pos="10186"/>
          <w:tab w:val="clear" w:pos="9540"/>
        </w:tabs>
        <w:kinsoku/>
        <w:wordWrap w:val="0"/>
        <w:overflowPunct/>
        <w:topLinePunct w:val="0"/>
        <w:autoSpaceDE/>
        <w:autoSpaceDN/>
        <w:bidi w:val="0"/>
        <w:adjustRightInd/>
        <w:snapToGrid/>
        <w:spacing w:before="0" w:after="0"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_Toc8979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第六章 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_Toc8979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84</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C5B0E05">
      <w:pPr>
        <w:pStyle w:val="40"/>
        <w:keepNext w:val="0"/>
        <w:keepLines w:val="0"/>
        <w:pageBreakBefore w:val="0"/>
        <w:widowControl w:val="0"/>
        <w:tabs>
          <w:tab w:val="right" w:leader="dot" w:pos="10186"/>
          <w:tab w:val="clear" w:pos="9540"/>
        </w:tabs>
        <w:kinsoku/>
        <w:wordWrap w:val="0"/>
        <w:overflowPunct/>
        <w:topLinePunct w:val="0"/>
        <w:autoSpaceDE/>
        <w:autoSpaceDN/>
        <w:bidi w:val="0"/>
        <w:adjustRightInd/>
        <w:snapToGrid/>
        <w:spacing w:before="0" w:after="0" w:line="480" w:lineRule="auto"/>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_Toc27259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val="0"/>
          <w:color w:val="auto"/>
          <w:sz w:val="24"/>
          <w:szCs w:val="24"/>
          <w:highlight w:val="none"/>
        </w:rPr>
        <w:t>附件1</w:t>
      </w:r>
      <w:r>
        <w:rPr>
          <w:rFonts w:hint="eastAsia" w:ascii="宋体" w:hAnsi="宋体" w:eastAsia="宋体" w:cs="宋体"/>
          <w:bCs w:val="0"/>
          <w:color w:val="auto"/>
          <w:sz w:val="24"/>
          <w:szCs w:val="24"/>
          <w:highlight w:val="none"/>
          <w:lang w:eastAsia="zh-CN"/>
        </w:rPr>
        <w:t>：中小企业划型标准规定</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_Toc27259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110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FE63911">
      <w:pPr>
        <w:pStyle w:val="49"/>
        <w:pageBreakBefore w:val="0"/>
        <w:tabs>
          <w:tab w:val="right" w:leader="dot" w:pos="10176"/>
        </w:tabs>
        <w:kinsoku/>
        <w:wordWrap w:val="0"/>
        <w:overflowPunct/>
        <w:bidi w:val="0"/>
        <w:spacing w:after="0" w:line="264" w:lineRule="auto"/>
        <w:ind w:left="0"/>
        <w:textAlignment w:val="auto"/>
        <w:rPr>
          <w:rStyle w:val="71"/>
          <w:rFonts w:hint="eastAsia" w:ascii="宋体" w:hAnsi="宋体" w:eastAsia="宋体" w:cs="宋体"/>
          <w:color w:val="auto"/>
          <w:highlight w:val="none"/>
        </w:rPr>
      </w:pPr>
      <w:r>
        <w:rPr>
          <w:rFonts w:hint="eastAsia" w:ascii="宋体" w:hAnsi="宋体" w:eastAsia="宋体" w:cs="宋体"/>
          <w:color w:val="auto"/>
          <w:szCs w:val="24"/>
          <w:highlight w:val="none"/>
        </w:rPr>
        <w:fldChar w:fldCharType="end"/>
      </w:r>
    </w:p>
    <w:p w14:paraId="0D786C59">
      <w:pPr>
        <w:pageBreakBefore w:val="0"/>
        <w:kinsoku/>
        <w:wordWrap w:val="0"/>
        <w:overflowPunct/>
        <w:bidi w:val="0"/>
        <w:spacing w:after="0"/>
        <w:textAlignment w:val="auto"/>
        <w:rPr>
          <w:rFonts w:hint="eastAsia" w:ascii="宋体" w:hAnsi="宋体" w:eastAsia="宋体" w:cs="宋体"/>
          <w:color w:val="auto"/>
          <w:highlight w:val="none"/>
        </w:rPr>
      </w:pPr>
    </w:p>
    <w:p w14:paraId="4362B856">
      <w:pPr>
        <w:pageBreakBefore w:val="0"/>
        <w:kinsoku/>
        <w:wordWrap w:val="0"/>
        <w:overflowPunct/>
        <w:bidi w:val="0"/>
        <w:spacing w:after="0"/>
        <w:textAlignment w:val="auto"/>
        <w:rPr>
          <w:rFonts w:hint="eastAsia" w:ascii="宋体" w:hAnsi="宋体" w:eastAsia="宋体" w:cs="宋体"/>
          <w:color w:val="auto"/>
          <w:highlight w:val="none"/>
        </w:rPr>
      </w:pPr>
    </w:p>
    <w:p w14:paraId="17CFA27A">
      <w:pPr>
        <w:pageBreakBefore w:val="0"/>
        <w:tabs>
          <w:tab w:val="left" w:pos="4226"/>
        </w:tabs>
        <w:kinsoku/>
        <w:wordWrap w:val="0"/>
        <w:overflowPunct/>
        <w:bidi w:val="0"/>
        <w:spacing w:after="0"/>
        <w:textAlignment w:val="auto"/>
        <w:rPr>
          <w:rFonts w:hint="eastAsia" w:ascii="宋体" w:hAnsi="宋体" w:eastAsia="宋体" w:cs="宋体"/>
          <w:color w:val="auto"/>
          <w:highlight w:val="none"/>
        </w:rPr>
        <w:sectPr>
          <w:headerReference r:id="rId5" w:type="first"/>
          <w:footerReference r:id="rId7" w:type="first"/>
          <w:headerReference r:id="rId4" w:type="default"/>
          <w:footerReference r:id="rId6" w:type="default"/>
          <w:pgSz w:w="11910" w:h="16840"/>
          <w:pgMar w:top="1440" w:right="1134" w:bottom="1440" w:left="1134" w:header="624" w:footer="227" w:gutter="0"/>
          <w:pgNumType w:fmt="decimal" w:chapStyle="3"/>
          <w:cols w:space="0" w:num="1"/>
          <w:rtlGutter w:val="0"/>
          <w:docGrid w:linePitch="299" w:charSpace="0"/>
        </w:sectPr>
      </w:pPr>
      <w:r>
        <w:rPr>
          <w:rFonts w:hint="eastAsia" w:ascii="宋体" w:hAnsi="宋体" w:eastAsia="宋体" w:cs="宋体"/>
          <w:color w:val="auto"/>
          <w:highlight w:val="none"/>
        </w:rPr>
        <w:tab/>
      </w:r>
    </w:p>
    <w:p w14:paraId="6611FCF7">
      <w:pPr>
        <w:keepNext w:val="0"/>
        <w:keepLines w:val="0"/>
        <w:pageBreakBefore w:val="0"/>
        <w:widowControl w:val="0"/>
        <w:tabs>
          <w:tab w:val="left" w:pos="8115"/>
        </w:tabs>
        <w:kinsoku/>
        <w:wordWrap w:val="0"/>
        <w:overflowPunct/>
        <w:topLinePunct w:val="0"/>
        <w:autoSpaceDE/>
        <w:autoSpaceDN/>
        <w:bidi w:val="0"/>
        <w:adjustRightInd/>
        <w:snapToGrid/>
        <w:spacing w:after="0" w:line="480" w:lineRule="auto"/>
        <w:ind w:right="178" w:rightChars="81"/>
        <w:jc w:val="center"/>
        <w:textAlignment w:val="auto"/>
        <w:outlineLvl w:val="0"/>
        <w:rPr>
          <w:rFonts w:hint="eastAsia" w:ascii="宋体" w:hAnsi="宋体" w:eastAsia="宋体" w:cs="宋体"/>
          <w:b/>
          <w:color w:val="auto"/>
          <w:sz w:val="36"/>
          <w:szCs w:val="36"/>
          <w:highlight w:val="none"/>
          <w:lang w:val="en-US" w:eastAsia="zh-CN"/>
        </w:rPr>
      </w:pPr>
      <w:bookmarkStart w:id="2" w:name="_Toc26720"/>
      <w:bookmarkStart w:id="3" w:name="_Toc15430"/>
      <w:r>
        <w:rPr>
          <w:rFonts w:hint="eastAsia" w:ascii="宋体" w:hAnsi="宋体" w:eastAsia="宋体" w:cs="宋体"/>
          <w:b/>
          <w:color w:val="auto"/>
          <w:sz w:val="36"/>
          <w:szCs w:val="36"/>
          <w:highlight w:val="none"/>
          <w:lang w:val="en-US" w:eastAsia="zh-CN"/>
        </w:rPr>
        <w:t>使用说明</w:t>
      </w:r>
      <w:bookmarkEnd w:id="2"/>
    </w:p>
    <w:p w14:paraId="1BE583A0">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为提高我公司采购文件编制质量和采购工作效率，根据政府采购有关法律法规及政策要求，依据《云南省政府采购项目竞争性磋商文件示范文本（试行）（V.0版）》，红河州盛雅招标咨询有限公司招标采购部于2024年10月编制了《2024年度竞争性磋商文件标准范本》（以下简称：《盛雅磋商范本》（2024版））。</w:t>
      </w:r>
    </w:p>
    <w:p w14:paraId="18760801">
      <w:pPr>
        <w:keepNext w:val="0"/>
        <w:keepLines w:val="0"/>
        <w:pageBreakBefore w:val="0"/>
        <w:widowControl w:val="0"/>
        <w:kinsoku/>
        <w:wordWrap w:val="0"/>
        <w:overflowPunct/>
        <w:topLinePunct w:val="0"/>
        <w:autoSpaceDE/>
        <w:autoSpaceDN/>
        <w:bidi w:val="0"/>
        <w:adjustRightInd/>
        <w:snapToGrid/>
        <w:spacing w:after="0" w:line="480" w:lineRule="auto"/>
        <w:ind w:right="178" w:rightChars="81"/>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一、适用范围</w:t>
      </w:r>
    </w:p>
    <w:p w14:paraId="0ABBD83D">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《盛雅磋商范本》（2024版）适用于采用竞争性磋商方式采购的政府采购项目。符合下列情形的项目，可以采用竞争性磋商方式开展采购：</w:t>
      </w:r>
    </w:p>
    <w:p w14:paraId="006D6B59">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（1）政府购买服务项目；</w:t>
      </w:r>
    </w:p>
    <w:p w14:paraId="19454003">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（2）技术复杂或者性质特殊，不能确定详细规格或者具体要求的；</w:t>
      </w:r>
    </w:p>
    <w:p w14:paraId="5F1268D1">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（3）因艺术品采购、专利、专有技术或者服务的时间、数量事先不能确定等原因不能事先计算出价格总额的；</w:t>
      </w:r>
    </w:p>
    <w:p w14:paraId="29532578">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（4）市场竞争不充分的科研项目，以及需要扶持的科技成果转化项目；</w:t>
      </w:r>
    </w:p>
    <w:p w14:paraId="0150B448">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u w:val="none"/>
          <w:lang w:val="en-US" w:eastAsia="zh-CN"/>
        </w:rPr>
        <w:t>（5）按照招标投标法及其实施条例必须进行招标的工程建设项目以外的工程建设项目。</w:t>
      </w:r>
    </w:p>
    <w:p w14:paraId="52C197BB">
      <w:pPr>
        <w:keepNext w:val="0"/>
        <w:keepLines w:val="0"/>
        <w:pageBreakBefore w:val="0"/>
        <w:widowControl w:val="0"/>
        <w:kinsoku/>
        <w:wordWrap w:val="0"/>
        <w:overflowPunct/>
        <w:topLinePunct w:val="0"/>
        <w:autoSpaceDE/>
        <w:autoSpaceDN/>
        <w:bidi w:val="0"/>
        <w:adjustRightInd/>
        <w:snapToGrid/>
        <w:spacing w:after="0" w:line="480" w:lineRule="auto"/>
        <w:ind w:right="178" w:rightChars="81"/>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二、填写规则</w:t>
      </w:r>
    </w:p>
    <w:p w14:paraId="4B2ADA1E">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盛雅磋商范本》（2024版）条款中以空格和下划横线“_”形式标记的部分，为需要填写的内容。公司业务主办应根据采购项目具体特点和实际需要进行具体化填写，确实没有需要填写的，在空格或下划横线“_”中用“</w:t>
      </w:r>
      <w:r>
        <w:rPr>
          <w:rFonts w:hint="eastAsia" w:ascii="宋体" w:hAnsi="宋体" w:eastAsia="宋体" w:cs="宋体"/>
          <w:color w:val="auto"/>
          <w:kern w:val="0"/>
          <w:sz w:val="24"/>
          <w:szCs w:val="24"/>
          <w:highlight w:val="none"/>
          <w:u w:val="single"/>
          <w:lang w:val="en-US" w:eastAsia="zh-CN"/>
        </w:rPr>
        <w:t>/</w:t>
      </w:r>
      <w:r>
        <w:rPr>
          <w:rFonts w:hint="eastAsia" w:ascii="宋体" w:hAnsi="宋体" w:eastAsia="宋体" w:cs="宋体"/>
          <w:color w:val="auto"/>
          <w:kern w:val="0"/>
          <w:sz w:val="24"/>
          <w:szCs w:val="24"/>
          <w:highlight w:val="none"/>
          <w:u w:val="none"/>
          <w:lang w:val="en-US" w:eastAsia="zh-CN"/>
        </w:rPr>
        <w:t>”标记。</w:t>
      </w:r>
    </w:p>
    <w:p w14:paraId="7A84A93D">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条款中以“□”形式标记的内容，为业务主办需要确定的选项。编制竞争性磋商文件时，适用于本项目的选项标记为“■”，不适用于本项目的选项标记为“□”。</w:t>
      </w:r>
    </w:p>
    <w:p w14:paraId="060C0835">
      <w:pPr>
        <w:keepNext w:val="0"/>
        <w:keepLines w:val="0"/>
        <w:pageBreakBefore w:val="0"/>
        <w:widowControl w:val="0"/>
        <w:kinsoku/>
        <w:wordWrap w:val="0"/>
        <w:overflowPunct/>
        <w:topLinePunct w:val="0"/>
        <w:autoSpaceDE/>
        <w:autoSpaceDN/>
        <w:bidi w:val="0"/>
        <w:adjustRightInd/>
        <w:snapToGrid/>
        <w:spacing w:after="0" w:line="480" w:lineRule="auto"/>
        <w:ind w:right="178" w:rightChars="81"/>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三、提示条款</w:t>
      </w:r>
    </w:p>
    <w:p w14:paraId="31A4861F">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《盛雅磋商范本》（2024版）中标记的红色斜体内容，属于提示编制竞争性磋商文件的注意事项，在竞争性磋商文件发出前，应和采购人确认后应予以删除标记的红色斜体。</w:t>
      </w:r>
    </w:p>
    <w:p w14:paraId="33165E62">
      <w:pPr>
        <w:keepNext w:val="0"/>
        <w:keepLines w:val="0"/>
        <w:pageBreakBefore w:val="0"/>
        <w:widowControl w:val="0"/>
        <w:kinsoku/>
        <w:wordWrap w:val="0"/>
        <w:overflowPunct/>
        <w:topLinePunct w:val="0"/>
        <w:autoSpaceDE/>
        <w:autoSpaceDN/>
        <w:bidi w:val="0"/>
        <w:adjustRightInd/>
        <w:snapToGrid/>
        <w:spacing w:after="0" w:line="480" w:lineRule="auto"/>
        <w:ind w:right="178" w:rightChars="81"/>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四、资料表的运用</w:t>
      </w:r>
    </w:p>
    <w:p w14:paraId="128D16E4">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为了便于供应商高效阅览、避免遗漏重点内容，《盛雅磋商范本》（2024版）对第二章“供应商须知”设置了资料表形式。“供应商须知资料表”用于进一步明确“供应商须知”正文中的未尽事宜，公司业务主办在编制竞争性磋商文件时，应根据采购项目实际需要，对于需要修改和补充的内容在资料表中选择和补充列明。“供应商须知资料表”与“供应商须知”正文内容不一致的，以</w:t>
      </w:r>
      <w:r>
        <w:rPr>
          <w:rFonts w:hint="eastAsia" w:ascii="宋体" w:hAnsi="宋体" w:eastAsia="宋体" w:cs="宋体"/>
          <w:b/>
          <w:bCs/>
          <w:color w:val="auto"/>
          <w:kern w:val="0"/>
          <w:sz w:val="24"/>
          <w:szCs w:val="24"/>
          <w:highlight w:val="none"/>
          <w:u w:val="none"/>
          <w:lang w:val="en-US" w:eastAsia="zh-CN"/>
        </w:rPr>
        <w:t>“供应商须知”正文</w:t>
      </w:r>
      <w:r>
        <w:rPr>
          <w:rFonts w:hint="eastAsia" w:ascii="宋体" w:hAnsi="宋体" w:eastAsia="宋体" w:cs="宋体"/>
          <w:color w:val="auto"/>
          <w:kern w:val="0"/>
          <w:sz w:val="24"/>
          <w:szCs w:val="24"/>
          <w:highlight w:val="none"/>
          <w:u w:val="none"/>
          <w:lang w:val="en-US" w:eastAsia="zh-CN"/>
        </w:rPr>
        <w:t>为准。</w:t>
      </w:r>
    </w:p>
    <w:p w14:paraId="644CDFB7">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为避免竞争性磋商文件编制过程中出现的相同内容在文件中前后不一致等错误，竞争性磋商文件尽量做到相同内容只出现一次，其他章节涉及有关内容的，以标明条款号引用的方式体现。</w:t>
      </w:r>
    </w:p>
    <w:p w14:paraId="65CF5061">
      <w:pPr>
        <w:keepNext w:val="0"/>
        <w:keepLines w:val="0"/>
        <w:pageBreakBefore w:val="0"/>
        <w:widowControl w:val="0"/>
        <w:kinsoku/>
        <w:wordWrap w:val="0"/>
        <w:overflowPunct/>
        <w:topLinePunct w:val="0"/>
        <w:autoSpaceDE/>
        <w:autoSpaceDN/>
        <w:bidi w:val="0"/>
        <w:adjustRightInd/>
        <w:snapToGrid/>
        <w:spacing w:after="0" w:line="480" w:lineRule="auto"/>
        <w:ind w:right="178" w:rightChars="81"/>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五、采购需求与合同草案条款</w:t>
      </w:r>
    </w:p>
    <w:p w14:paraId="2CCB5473">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盛雅磋商范本》（2024版）在第四章“采购需求”部分列出了需求大纲供公司业务人员参考。公司业务主办应当依据《中华人民共和国民法典》等有关法律法规和政策要求，结合采购项目合同类型和特点，规范拟定和签署项目采购合同。在拟定合同草案条款时，应优先选择国家或行业制定推荐的有关标准或示范合同文本。</w:t>
      </w:r>
    </w:p>
    <w:p w14:paraId="26DB7AEE">
      <w:pPr>
        <w:keepNext w:val="0"/>
        <w:keepLines w:val="0"/>
        <w:pageBreakBefore w:val="0"/>
        <w:widowControl w:val="0"/>
        <w:kinsoku/>
        <w:wordWrap w:val="0"/>
        <w:overflowPunct/>
        <w:topLinePunct w:val="0"/>
        <w:autoSpaceDE/>
        <w:autoSpaceDN/>
        <w:bidi w:val="0"/>
        <w:adjustRightInd/>
        <w:snapToGrid/>
        <w:spacing w:after="0" w:line="360" w:lineRule="auto"/>
        <w:ind w:right="178" w:rightChars="81"/>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六、响应文件格式的统一与简化</w:t>
      </w:r>
    </w:p>
    <w:p w14:paraId="37102BF7">
      <w:pPr>
        <w:keepNext w:val="0"/>
        <w:keepLines w:val="0"/>
        <w:pageBreakBefore w:val="0"/>
        <w:widowControl w:val="0"/>
        <w:kinsoku/>
        <w:wordWrap w:val="0"/>
        <w:overflowPunct/>
        <w:topLinePunct w:val="0"/>
        <w:autoSpaceDE/>
        <w:autoSpaceDN/>
        <w:bidi w:val="0"/>
        <w:adjustRightInd/>
        <w:snapToGrid/>
        <w:spacing w:after="0" w:line="36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为便于供应商制作响应文件，便于磋商小组评审时统一标准，《盛雅磋商范本》（2024版）对适宜的内容提供了统一的响应文件参考格式，尽可能对格式中需要填列的内容进行了简化，尽可能减少了格式中需要签字、盖章的要求。</w:t>
      </w:r>
    </w:p>
    <w:p w14:paraId="7B2A2ADA">
      <w:pPr>
        <w:keepNext w:val="0"/>
        <w:keepLines w:val="0"/>
        <w:pageBreakBefore w:val="0"/>
        <w:widowControl w:val="0"/>
        <w:kinsoku/>
        <w:wordWrap w:val="0"/>
        <w:overflowPunct/>
        <w:topLinePunct w:val="0"/>
        <w:autoSpaceDE/>
        <w:autoSpaceDN/>
        <w:bidi w:val="0"/>
        <w:adjustRightInd/>
        <w:snapToGrid/>
        <w:spacing w:after="0" w:line="480" w:lineRule="auto"/>
        <w:ind w:right="178" w:rightChars="81"/>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七、实施及修改</w:t>
      </w:r>
    </w:p>
    <w:p w14:paraId="7ADE3961">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请公司招标部各位业务主办认真学习《盛雅磋商范本》（2024版），并规范使用。使用中，可根据法律法规、政府采购政策文件等更新情况或项目具体特点，对《盛雅磋商范本》（2024版）适当进行更新或调整。并将更新或调整内容及时反馈至公司法规部。以便于公司能及时总结经验，以进一步修订完善《盛雅磋商范本》（2024版），推进其规范运用。</w:t>
      </w:r>
    </w:p>
    <w:p w14:paraId="0610B474">
      <w:pPr>
        <w:keepNext w:val="0"/>
        <w:keepLines w:val="0"/>
        <w:pageBreakBefore w:val="0"/>
        <w:widowControl w:val="0"/>
        <w:kinsoku/>
        <w:wordWrap w:val="0"/>
        <w:overflowPunct/>
        <w:topLinePunct w:val="0"/>
        <w:autoSpaceDE/>
        <w:autoSpaceDN/>
        <w:bidi w:val="0"/>
        <w:adjustRightInd/>
        <w:snapToGrid/>
        <w:spacing w:after="0" w:line="480" w:lineRule="auto"/>
        <w:ind w:right="178" w:rightChars="81"/>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八、解释权</w:t>
      </w:r>
    </w:p>
    <w:p w14:paraId="7B12CB93">
      <w:pPr>
        <w:keepNext w:val="0"/>
        <w:keepLines w:val="0"/>
        <w:pageBreakBefore w:val="0"/>
        <w:widowControl w:val="0"/>
        <w:kinsoku/>
        <w:wordWrap w:val="0"/>
        <w:overflowPunct/>
        <w:topLinePunct w:val="0"/>
        <w:autoSpaceDE/>
        <w:autoSpaceDN/>
        <w:bidi w:val="0"/>
        <w:adjustRightInd/>
        <w:snapToGrid/>
        <w:spacing w:after="0" w:line="480" w:lineRule="auto"/>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《盛雅磋商范本》（2024版）的所有解释权归红河州盛雅招标咨询有限公司所有，非公司人员使用造成的所有后果，红河州盛雅招标咨询有限公司概不负责。</w:t>
      </w:r>
    </w:p>
    <w:p w14:paraId="5B4895F1">
      <w:pPr>
        <w:pStyle w:val="59"/>
        <w:pageBreakBefore w:val="0"/>
        <w:kinsoku/>
        <w:wordWrap w:val="0"/>
        <w:overflowPunct/>
        <w:bidi w:val="0"/>
        <w:spacing w:after="0"/>
        <w:ind w:firstLine="5520" w:firstLineChars="2300"/>
        <w:textAlignment w:val="auto"/>
        <w:rPr>
          <w:rFonts w:hint="eastAsia" w:ascii="宋体" w:hAnsi="宋体" w:eastAsia="宋体" w:cs="宋体"/>
          <w:color w:val="auto"/>
          <w:kern w:val="0"/>
          <w:sz w:val="24"/>
          <w:szCs w:val="24"/>
          <w:highlight w:val="none"/>
          <w:u w:val="none"/>
          <w:lang w:val="en-US" w:eastAsia="zh-CN"/>
        </w:rPr>
      </w:pPr>
    </w:p>
    <w:p w14:paraId="4AAE6BF1">
      <w:pPr>
        <w:pStyle w:val="59"/>
        <w:pageBreakBefore w:val="0"/>
        <w:kinsoku/>
        <w:wordWrap w:val="0"/>
        <w:overflowPunct/>
        <w:bidi w:val="0"/>
        <w:spacing w:after="0"/>
        <w:ind w:firstLine="5520" w:firstLineChars="2300"/>
        <w:textAlignment w:val="auto"/>
        <w:rPr>
          <w:rFonts w:hint="eastAsia" w:ascii="宋体" w:hAnsi="宋体" w:eastAsia="宋体" w:cs="宋体"/>
          <w:color w:val="auto"/>
          <w:kern w:val="0"/>
          <w:sz w:val="24"/>
          <w:szCs w:val="24"/>
          <w:highlight w:val="none"/>
          <w:u w:val="none"/>
          <w:lang w:val="en-US" w:eastAsia="zh-CN"/>
        </w:rPr>
      </w:pPr>
    </w:p>
    <w:p w14:paraId="095B1B76">
      <w:pPr>
        <w:pStyle w:val="59"/>
        <w:pageBreakBefore w:val="0"/>
        <w:kinsoku/>
        <w:wordWrap w:val="0"/>
        <w:overflowPunct/>
        <w:bidi w:val="0"/>
        <w:spacing w:after="0"/>
        <w:ind w:firstLine="5520" w:firstLineChars="2300"/>
        <w:textAlignment w:val="auto"/>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红河州盛雅招标咨询有限公司</w:t>
      </w:r>
    </w:p>
    <w:p w14:paraId="4E6149CD">
      <w:pPr>
        <w:pStyle w:val="59"/>
        <w:pageBreakBefore w:val="0"/>
        <w:kinsoku/>
        <w:wordWrap w:val="0"/>
        <w:overflowPunct/>
        <w:bidi w:val="0"/>
        <w:spacing w:after="0"/>
        <w:ind w:firstLine="6240" w:firstLineChars="26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kern w:val="0"/>
          <w:sz w:val="24"/>
          <w:szCs w:val="24"/>
          <w:highlight w:val="none"/>
          <w:u w:val="none"/>
          <w:lang w:val="en-US" w:eastAsia="zh-CN"/>
        </w:rPr>
        <w:t>2024年5月</w:t>
      </w:r>
    </w:p>
    <w:p w14:paraId="0EC7299F">
      <w:pPr>
        <w:keepNext w:val="0"/>
        <w:keepLines w:val="0"/>
        <w:pageBreakBefore w:val="0"/>
        <w:widowControl/>
        <w:kinsoku/>
        <w:wordWrap w:val="0"/>
        <w:overflowPunct/>
        <w:topLinePunct w:val="0"/>
        <w:autoSpaceDE/>
        <w:autoSpaceDN/>
        <w:bidi w:val="0"/>
        <w:adjustRightInd w:val="0"/>
        <w:snapToGrid w:val="0"/>
        <w:spacing w:after="0" w:line="360" w:lineRule="auto"/>
        <w:ind w:firstLine="361" w:firstLineChars="100"/>
        <w:textAlignment w:val="auto"/>
        <w:outlineLvl w:val="9"/>
        <w:rPr>
          <w:rFonts w:hint="eastAsia" w:ascii="宋体" w:hAnsi="宋体" w:eastAsia="宋体" w:cs="宋体"/>
          <w:b/>
          <w:color w:val="auto"/>
          <w:sz w:val="36"/>
          <w:szCs w:val="36"/>
          <w:highlight w:val="none"/>
          <w:lang w:val="en-US" w:eastAsia="zh-CN"/>
        </w:rPr>
      </w:pPr>
    </w:p>
    <w:p w14:paraId="61823051">
      <w:pPr>
        <w:keepNext w:val="0"/>
        <w:keepLines w:val="0"/>
        <w:pageBreakBefore w:val="0"/>
        <w:widowControl/>
        <w:kinsoku/>
        <w:wordWrap w:val="0"/>
        <w:overflowPunct/>
        <w:topLinePunct w:val="0"/>
        <w:autoSpaceDE/>
        <w:autoSpaceDN/>
        <w:bidi w:val="0"/>
        <w:adjustRightInd w:val="0"/>
        <w:snapToGrid w:val="0"/>
        <w:spacing w:after="0" w:line="360" w:lineRule="auto"/>
        <w:ind w:firstLine="361" w:firstLineChars="100"/>
        <w:textAlignment w:val="auto"/>
        <w:outlineLvl w:val="9"/>
        <w:rPr>
          <w:rFonts w:hint="eastAsia" w:ascii="宋体" w:hAnsi="宋体" w:eastAsia="宋体" w:cs="宋体"/>
          <w:b/>
          <w:color w:val="auto"/>
          <w:sz w:val="36"/>
          <w:szCs w:val="36"/>
          <w:highlight w:val="none"/>
          <w:lang w:val="en-US" w:eastAsia="zh-CN"/>
        </w:rPr>
      </w:pPr>
    </w:p>
    <w:p w14:paraId="3BACF89F">
      <w:pPr>
        <w:pageBreakBefore w:val="0"/>
        <w:kinsoku/>
        <w:wordWrap w:val="0"/>
        <w:overflowPunct/>
        <w:bidi w:val="0"/>
        <w:spacing w:after="0"/>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br w:type="page"/>
      </w:r>
    </w:p>
    <w:p w14:paraId="230FD586">
      <w:pPr>
        <w:keepNext w:val="0"/>
        <w:keepLines w:val="0"/>
        <w:pageBreakBefore w:val="0"/>
        <w:widowControl w:val="0"/>
        <w:tabs>
          <w:tab w:val="left" w:pos="8115"/>
        </w:tabs>
        <w:kinsoku/>
        <w:wordWrap w:val="0"/>
        <w:overflowPunct/>
        <w:topLinePunct w:val="0"/>
        <w:autoSpaceDE/>
        <w:autoSpaceDN/>
        <w:bidi w:val="0"/>
        <w:adjustRightInd/>
        <w:snapToGrid/>
        <w:spacing w:after="0" w:line="360" w:lineRule="auto"/>
        <w:ind w:right="178" w:rightChars="81"/>
        <w:jc w:val="both"/>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附件：云南省政府采购项目电子标注意事项</w:t>
      </w:r>
    </w:p>
    <w:p w14:paraId="5D4D9CE1">
      <w:pPr>
        <w:keepNext w:val="0"/>
        <w:keepLines w:val="0"/>
        <w:pageBreakBefore w:val="0"/>
        <w:widowControl w:val="0"/>
        <w:tabs>
          <w:tab w:val="left" w:pos="8115"/>
        </w:tabs>
        <w:kinsoku/>
        <w:wordWrap w:val="0"/>
        <w:overflowPunct/>
        <w:topLinePunct w:val="0"/>
        <w:autoSpaceDE/>
        <w:autoSpaceDN/>
        <w:bidi w:val="0"/>
        <w:adjustRightInd/>
        <w:snapToGrid/>
        <w:spacing w:after="0" w:line="480" w:lineRule="auto"/>
        <w:ind w:right="178" w:rightChars="81"/>
        <w:jc w:val="center"/>
        <w:textAlignment w:val="auto"/>
        <w:outlineLvl w:val="0"/>
        <w:rPr>
          <w:rFonts w:hint="eastAsia" w:ascii="宋体" w:hAnsi="宋体" w:eastAsia="宋体" w:cs="宋体"/>
          <w:b/>
          <w:color w:val="auto"/>
          <w:sz w:val="36"/>
          <w:szCs w:val="36"/>
          <w:highlight w:val="none"/>
          <w:lang w:val="en-US" w:eastAsia="zh-CN"/>
        </w:rPr>
      </w:pPr>
      <w:bookmarkStart w:id="4" w:name="_Toc7030"/>
      <w:r>
        <w:rPr>
          <w:rFonts w:hint="eastAsia" w:ascii="宋体" w:hAnsi="宋体" w:eastAsia="宋体" w:cs="宋体"/>
          <w:b/>
          <w:color w:val="auto"/>
          <w:sz w:val="36"/>
          <w:szCs w:val="36"/>
          <w:highlight w:val="none"/>
          <w:lang w:val="en-US" w:eastAsia="zh-CN"/>
        </w:rPr>
        <w:t>云南省政府采购项目电子标注意事项</w:t>
      </w:r>
      <w:bookmarkEnd w:id="4"/>
    </w:p>
    <w:p w14:paraId="20892EA8">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一、云南省政府采购项目凡是进入</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交易的，须采用全流程电子化采购方式，采购文件仅通过</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线上获取，不发放纸质采购文件。</w:t>
      </w:r>
    </w:p>
    <w:p w14:paraId="55B1FEE7">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二、请供应商认真学习</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发布的相关操作手册。</w:t>
      </w:r>
    </w:p>
    <w:p w14:paraId="46B089D9">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三、云南省政府采购项目电子采购文件</w:t>
      </w:r>
    </w:p>
    <w:p w14:paraId="7EE91D56">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1、获取网址：</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w:t>
      </w:r>
    </w:p>
    <w:p w14:paraId="392E93B9">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2、获取方式：供应商登录</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凭企业数字证书（CA）进行项目报名及免费下载采购文件。供应商通过</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获取采购文件，</w:t>
      </w:r>
      <w:r>
        <w:rPr>
          <w:rFonts w:hint="eastAsia" w:ascii="宋体" w:hAnsi="宋体" w:eastAsia="宋体" w:cs="宋体"/>
          <w:b/>
          <w:bCs/>
          <w:color w:val="auto"/>
          <w:kern w:val="0"/>
          <w:sz w:val="24"/>
          <w:szCs w:val="24"/>
          <w:highlight w:val="none"/>
          <w:u w:val="none"/>
          <w:lang w:val="en-US" w:eastAsia="zh-CN"/>
        </w:rPr>
        <w:t>视为已合法获取项目采购文件，具备项目的响应资格。</w:t>
      </w:r>
    </w:p>
    <w:p w14:paraId="319CB3F8">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3、操作路径：登录</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—项目采购—获取采购文件—找到本项目—点击“申请获取招标（采购）文件”。</w:t>
      </w:r>
    </w:p>
    <w:p w14:paraId="586A0DB9">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 xml:space="preserve">4、供应商如计划参与多个采购包的响应，在获取采购文件详情页面，意向标段（包）栏目依次选择对应采购包，提交申请即可。未在规定期限内按上述操作获取文件的采购包，供应商无法提交相应包的电子响应文件。 </w:t>
      </w:r>
    </w:p>
    <w:p w14:paraId="5648A79A">
      <w:pPr>
        <w:keepNext w:val="0"/>
        <w:keepLines w:val="0"/>
        <w:pageBreakBefore w:val="0"/>
        <w:widowControl w:val="0"/>
        <w:tabs>
          <w:tab w:val="left" w:pos="1100"/>
        </w:tabs>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none"/>
          <w:lang w:val="en-US" w:eastAsia="zh-CN"/>
        </w:rPr>
        <w:t>政府采购云平台</w:t>
      </w:r>
      <w:r>
        <w:rPr>
          <w:rFonts w:hint="eastAsia" w:ascii="宋体" w:hAnsi="宋体" w:eastAsia="宋体" w:cs="宋体"/>
          <w:color w:val="auto"/>
          <w:kern w:val="0"/>
          <w:sz w:val="24"/>
          <w:szCs w:val="24"/>
          <w:highlight w:val="none"/>
          <w:u w:val="none"/>
          <w:lang w:val="en-US" w:eastAsia="zh-CN"/>
        </w:rPr>
        <w:t>”客户服务热线：95763。</w:t>
      </w:r>
    </w:p>
    <w:p w14:paraId="01EA5F39">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温馨提示：供应商如已在云南CA办理过企业数字证书（CA）的，直接绑定即可，无需重复办理；2022年01月01日前在</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云南省公共资源交易平台</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办理的云南CA证书需到原办理点进行升级后方可使用。</w:t>
      </w:r>
    </w:p>
    <w:p w14:paraId="6B2CB6E3">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四、CA数字证书</w:t>
      </w:r>
    </w:p>
    <w:p w14:paraId="4AC0AD49">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1、服务热线</w:t>
      </w:r>
    </w:p>
    <w:p w14:paraId="56F7D8B6">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云南省政府采购电子交易平台“网站：政府采购云平台，网址：https://www.zcygov.cn/”支持多家CA服务商，若供应商未办理数字证书（CA）的，可自行选择下列CA数字证书服务商办理，服务热线（排名不分先后顺序）如下：</w:t>
      </w:r>
    </w:p>
    <w:p w14:paraId="700FC829">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 xml:space="preserve">汇信CA：0571-88350735； </w:t>
      </w:r>
    </w:p>
    <w:p w14:paraId="04DD0867">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 xml:space="preserve">福建CA：0591-87760022；        </w:t>
      </w:r>
    </w:p>
    <w:p w14:paraId="7F0C121F">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云南CA：4006727666；</w:t>
      </w:r>
    </w:p>
    <w:p w14:paraId="7F844E9F">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 xml:space="preserve">云南壹证通：4000040628；            </w:t>
      </w:r>
    </w:p>
    <w:p w14:paraId="56B93204">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2" w:firstLineChars="200"/>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云南壹证通CA申领链接</w:t>
      </w:r>
      <w:r>
        <w:rPr>
          <w:rFonts w:hint="eastAsia" w:ascii="宋体" w:hAnsi="宋体" w:eastAsia="宋体" w:cs="宋体"/>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none"/>
          <w:lang w:val="en-US" w:eastAsia="zh-CN"/>
        </w:rPr>
        <w:fldChar w:fldCharType="begin"/>
      </w:r>
      <w:r>
        <w:rPr>
          <w:rFonts w:hint="eastAsia" w:ascii="宋体" w:hAnsi="宋体" w:eastAsia="宋体" w:cs="宋体"/>
          <w:b/>
          <w:bCs/>
          <w:color w:val="auto"/>
          <w:kern w:val="0"/>
          <w:sz w:val="24"/>
          <w:szCs w:val="24"/>
          <w:highlight w:val="none"/>
          <w:u w:val="none"/>
          <w:lang w:val="en-US" w:eastAsia="zh-CN"/>
        </w:rPr>
        <w:instrText xml:space="preserve"> HYPERLINK "http://yzt.ynsmartcert.cn/cms/ca0077.html" </w:instrText>
      </w:r>
      <w:r>
        <w:rPr>
          <w:rFonts w:hint="eastAsia" w:ascii="宋体" w:hAnsi="宋体" w:eastAsia="宋体" w:cs="宋体"/>
          <w:b/>
          <w:bCs/>
          <w:color w:val="auto"/>
          <w:kern w:val="0"/>
          <w:sz w:val="24"/>
          <w:szCs w:val="24"/>
          <w:highlight w:val="none"/>
          <w:u w:val="none"/>
          <w:lang w:val="en-US" w:eastAsia="zh-CN"/>
        </w:rPr>
        <w:fldChar w:fldCharType="separate"/>
      </w:r>
      <w:r>
        <w:rPr>
          <w:rFonts w:hint="eastAsia" w:ascii="宋体" w:hAnsi="宋体" w:eastAsia="宋体" w:cs="宋体"/>
          <w:b/>
          <w:bCs/>
          <w:color w:val="auto"/>
          <w:kern w:val="0"/>
          <w:sz w:val="24"/>
          <w:szCs w:val="24"/>
          <w:highlight w:val="none"/>
          <w:u w:val="none"/>
          <w:lang w:val="en-US" w:eastAsia="zh-CN"/>
        </w:rPr>
        <w:t>http://yzt.ynsmartcert.cn/cms/ca0077.html</w:t>
      </w:r>
      <w:r>
        <w:rPr>
          <w:rFonts w:hint="eastAsia" w:ascii="宋体" w:hAnsi="宋体" w:eastAsia="宋体" w:cs="宋体"/>
          <w:b/>
          <w:bCs/>
          <w:color w:val="auto"/>
          <w:kern w:val="0"/>
          <w:sz w:val="24"/>
          <w:szCs w:val="24"/>
          <w:highlight w:val="none"/>
          <w:u w:val="none"/>
          <w:lang w:val="en-US" w:eastAsia="zh-CN"/>
        </w:rPr>
        <w:fldChar w:fldCharType="end"/>
      </w:r>
      <w:r>
        <w:rPr>
          <w:rFonts w:hint="eastAsia" w:ascii="宋体" w:hAnsi="宋体" w:eastAsia="宋体" w:cs="宋体"/>
          <w:b/>
          <w:bCs/>
          <w:color w:val="auto"/>
          <w:kern w:val="0"/>
          <w:sz w:val="24"/>
          <w:szCs w:val="24"/>
          <w:highlight w:val="none"/>
          <w:u w:val="none"/>
          <w:lang w:val="en-US" w:eastAsia="zh-CN"/>
        </w:rPr>
        <w:t>。</w:t>
      </w:r>
    </w:p>
    <w:p w14:paraId="064B724D">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2" w:firstLineChars="200"/>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云南壹证通CA支持线上、线下两种办理方式，并提供7*24小时客户服务支持，客服热线：0871-67276028；紧急CA办理电话：19988166369。</w:t>
      </w:r>
    </w:p>
    <w:p w14:paraId="52614B4A">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 xml:space="preserve">2、办理流程 </w:t>
      </w:r>
    </w:p>
    <w:p w14:paraId="6FF77836">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供应商登录</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val="0"/>
          <w:bCs w:val="0"/>
          <w:color w:val="auto"/>
          <w:kern w:val="0"/>
          <w:sz w:val="24"/>
          <w:szCs w:val="24"/>
          <w:highlight w:val="none"/>
          <w:u w:val="none"/>
          <w:lang w:val="en-US" w:eastAsia="zh-CN"/>
        </w:rPr>
        <w:t xml:space="preserve">查阅操作指南—入驻与配置—CA管理。使用操作指南，按照程序要求办理。 </w:t>
      </w:r>
    </w:p>
    <w:p w14:paraId="4D287662">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 xml:space="preserve">2.1注册 </w:t>
      </w:r>
    </w:p>
    <w:p w14:paraId="3D2D46C1">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供应商登录</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val="0"/>
          <w:bCs w:val="0"/>
          <w:color w:val="auto"/>
          <w:kern w:val="0"/>
          <w:sz w:val="24"/>
          <w:szCs w:val="24"/>
          <w:highlight w:val="none"/>
          <w:u w:val="none"/>
          <w:lang w:val="en-US" w:eastAsia="zh-CN"/>
        </w:rPr>
        <w:t>操作指南—入驻与配置—云南省供应商注册入驻与配置。注册入库操作流程指引进行自助注册绑定。</w:t>
      </w:r>
    </w:p>
    <w:p w14:paraId="1D1CDADB">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2.2驱动、客户端下载</w:t>
      </w:r>
    </w:p>
    <w:p w14:paraId="1247CCBC">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供应商登录</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—我的工作台-CA管理—给当前账号绑定CA—选择对应CA—下载驱动—客户端&amp;驱动下载。下载相关驱动及客户端。</w:t>
      </w:r>
    </w:p>
    <w:p w14:paraId="4CC66F80">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相关驱动及客户端网址：</w:t>
      </w:r>
    </w:p>
    <w:p w14:paraId="4CB09A82">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https://customer.zcygov.cn/CA-driver-download?utm=web-ca-front.3ddc8fbb.0.0.6389de80d15111ee8160d911f316cf0d</w:t>
      </w:r>
    </w:p>
    <w:p w14:paraId="5E36D45F">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2" w:firstLineChars="200"/>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 xml:space="preserve">五、编制电子响应文件 </w:t>
      </w:r>
    </w:p>
    <w:p w14:paraId="7CAC7B9B">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1、响应文件应当对采购文件有关响应有效期、采购需求等实质性内容作出响应。响应文件在满足采购文件实质性要求的基础上，可以提出比采购文件要求更有利于采购人的承诺。</w:t>
      </w:r>
    </w:p>
    <w:p w14:paraId="7863DA22">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2、供应商应按照所响应项目采购文件和“政府采购云平台”的要求编制、加密响应文件。如有必要，可以增加附页，作为响应文件的组成部分。并在响应文件提交截止时间前上传至“政府采购云平台”，响应文件提交截止时间前未完成响应文件上传的，视为</w:t>
      </w:r>
      <w:r>
        <w:rPr>
          <w:rFonts w:hint="eastAsia" w:ascii="宋体" w:hAnsi="宋体" w:eastAsia="宋体" w:cs="宋体"/>
          <w:b/>
          <w:bCs/>
          <w:color w:val="auto"/>
          <w:kern w:val="0"/>
          <w:sz w:val="24"/>
          <w:szCs w:val="24"/>
          <w:highlight w:val="none"/>
          <w:u w:val="none"/>
          <w:lang w:val="en-US" w:eastAsia="zh-CN"/>
        </w:rPr>
        <w:t>撤回响应文件</w:t>
      </w:r>
      <w:r>
        <w:rPr>
          <w:rFonts w:hint="eastAsia" w:ascii="宋体" w:hAnsi="宋体" w:eastAsia="宋体" w:cs="宋体"/>
          <w:color w:val="auto"/>
          <w:kern w:val="0"/>
          <w:sz w:val="24"/>
          <w:szCs w:val="24"/>
          <w:highlight w:val="none"/>
          <w:u w:val="none"/>
          <w:lang w:val="en-US" w:eastAsia="zh-CN"/>
        </w:rPr>
        <w:t>。</w:t>
      </w:r>
    </w:p>
    <w:p w14:paraId="1EF308E2">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2" w:firstLineChars="200"/>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六、电子响应文件的提交</w:t>
      </w:r>
    </w:p>
    <w:p w14:paraId="61798412">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0" w:firstLineChars="200"/>
        <w:jc w:val="left"/>
        <w:textAlignment w:val="auto"/>
        <w:outlineLvl w:val="9"/>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u w:val="none"/>
          <w:lang w:val="en-US" w:eastAsia="zh-CN"/>
        </w:rPr>
        <w:t>供应商应于</w:t>
      </w:r>
      <w:r>
        <w:rPr>
          <w:rFonts w:hint="eastAsia" w:ascii="宋体" w:hAnsi="宋体" w:eastAsia="宋体" w:cs="宋体"/>
          <w:b/>
          <w:bCs/>
          <w:color w:val="auto"/>
          <w:kern w:val="0"/>
          <w:sz w:val="24"/>
          <w:szCs w:val="24"/>
          <w:highlight w:val="none"/>
          <w:u w:val="none"/>
          <w:lang w:val="en-US" w:eastAsia="zh-CN"/>
        </w:rPr>
        <w:t>响应截止时间前</w:t>
      </w:r>
      <w:r>
        <w:rPr>
          <w:rFonts w:hint="eastAsia" w:ascii="宋体" w:hAnsi="宋体" w:eastAsia="宋体" w:cs="宋体"/>
          <w:color w:val="auto"/>
          <w:kern w:val="0"/>
          <w:sz w:val="24"/>
          <w:szCs w:val="24"/>
          <w:highlight w:val="none"/>
          <w:u w:val="none"/>
          <w:lang w:val="en-US" w:eastAsia="zh-CN"/>
        </w:rPr>
        <w:t>在</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b/>
          <w:bCs/>
          <w:color w:val="auto"/>
          <w:kern w:val="0"/>
          <w:sz w:val="24"/>
          <w:szCs w:val="24"/>
          <w:highlight w:val="none"/>
          <w:u w:val="single"/>
          <w:lang w:val="en-US" w:eastAsia="zh-CN"/>
        </w:rPr>
        <w:t>网站：政府采购云平台，网址：https://www.zcygov.cn/</w:t>
      </w:r>
      <w:r>
        <w:rPr>
          <w:rFonts w:hint="eastAsia" w:ascii="宋体" w:hAnsi="宋体" w:eastAsia="宋体" w:cs="宋体"/>
          <w:b/>
          <w:bCs/>
          <w:color w:val="auto"/>
          <w:kern w:val="0"/>
          <w:sz w:val="24"/>
          <w:szCs w:val="24"/>
          <w:highlight w:val="none"/>
          <w:u w:val="none"/>
          <w:lang w:val="en-US" w:eastAsia="zh-CN"/>
        </w:rPr>
        <w:t>”</w:t>
      </w:r>
      <w:r>
        <w:rPr>
          <w:rFonts w:hint="eastAsia" w:ascii="宋体" w:hAnsi="宋体" w:eastAsia="宋体" w:cs="宋体"/>
          <w:color w:val="auto"/>
          <w:kern w:val="0"/>
          <w:sz w:val="24"/>
          <w:szCs w:val="24"/>
          <w:highlight w:val="none"/>
          <w:u w:val="none"/>
          <w:lang w:val="en-US" w:eastAsia="zh-CN"/>
        </w:rPr>
        <w:t>提交电子响应文件，上传电子响应文件过程中请保持与互联网的连接畅通。且供应商在“政府采购云平台”提交电子响应文件时，须填写参加远程采购活动经办人联系方式。</w:t>
      </w:r>
    </w:p>
    <w:p w14:paraId="47862D24">
      <w:pPr>
        <w:keepNext w:val="0"/>
        <w:keepLines w:val="0"/>
        <w:pageBreakBefore w:val="0"/>
        <w:widowControl w:val="0"/>
        <w:kinsoku/>
        <w:wordWrap w:val="0"/>
        <w:overflowPunct/>
        <w:topLinePunct w:val="0"/>
        <w:autoSpaceDE/>
        <w:autoSpaceDN/>
        <w:bidi w:val="0"/>
        <w:adjustRightInd/>
        <w:snapToGrid/>
        <w:spacing w:after="0" w:line="420" w:lineRule="exact"/>
        <w:ind w:right="178" w:rightChars="81" w:firstLine="482" w:firstLineChars="200"/>
        <w:jc w:val="left"/>
        <w:textAlignment w:val="auto"/>
        <w:outlineLvl w:val="9"/>
        <w:rPr>
          <w:rFonts w:hint="eastAsia"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 xml:space="preserve">七、电子开标 </w:t>
      </w:r>
    </w:p>
    <w:p w14:paraId="3EE8238E">
      <w:pPr>
        <w:keepNext w:val="0"/>
        <w:keepLines w:val="0"/>
        <w:pageBreakBefore w:val="0"/>
        <w:kinsoku/>
        <w:wordWrap w:val="0"/>
        <w:overflowPunct/>
        <w:topLinePunct w:val="0"/>
        <w:autoSpaceDE/>
        <w:autoSpaceDN/>
        <w:bidi w:val="0"/>
        <w:spacing w:after="0" w:line="420" w:lineRule="exact"/>
        <w:ind w:firstLine="480" w:firstLineChars="200"/>
        <w:textAlignment w:val="auto"/>
        <w:rPr>
          <w:rFonts w:hint="eastAsia" w:ascii="宋体" w:hAnsi="宋体" w:eastAsia="宋体" w:cs="宋体"/>
          <w:b w:val="0"/>
          <w:bCs w:val="0"/>
          <w:color w:val="auto"/>
          <w:kern w:val="0"/>
          <w:sz w:val="24"/>
          <w:szCs w:val="24"/>
          <w:highlight w:val="none"/>
          <w:u w:val="none"/>
          <w:lang w:val="en-US" w:eastAsia="zh-CN"/>
        </w:rPr>
      </w:pPr>
      <w:r>
        <w:rPr>
          <w:rFonts w:hint="eastAsia" w:ascii="宋体" w:hAnsi="宋体" w:eastAsia="宋体" w:cs="宋体"/>
          <w:b w:val="0"/>
          <w:bCs w:val="0"/>
          <w:color w:val="auto"/>
          <w:kern w:val="0"/>
          <w:sz w:val="24"/>
          <w:szCs w:val="24"/>
          <w:highlight w:val="none"/>
          <w:u w:val="none"/>
          <w:lang w:val="en-US" w:eastAsia="zh-CN"/>
        </w:rPr>
        <w:t>供应商使用账号密码或CA数字证书登录“</w:t>
      </w:r>
      <w:r>
        <w:rPr>
          <w:rFonts w:hint="eastAsia" w:ascii="宋体" w:hAnsi="宋体" w:eastAsia="宋体" w:cs="宋体"/>
          <w:b w:val="0"/>
          <w:bCs w:val="0"/>
          <w:color w:val="auto"/>
          <w:kern w:val="0"/>
          <w:sz w:val="24"/>
          <w:szCs w:val="24"/>
          <w:highlight w:val="none"/>
          <w:u w:val="single"/>
          <w:lang w:val="en-US" w:eastAsia="zh-CN"/>
        </w:rPr>
        <w:t>网站：政府采购云平台，网址：https://www.zcygov.cn/”进行电子开标。</w:t>
      </w:r>
    </w:p>
    <w:p w14:paraId="4E413BE0">
      <w:pPr>
        <w:pStyle w:val="2"/>
        <w:pageBreakBefore w:val="0"/>
        <w:kinsoku/>
        <w:wordWrap w:val="0"/>
        <w:overflowPunct/>
        <w:bidi w:val="0"/>
        <w:spacing w:after="0"/>
        <w:jc w:val="both"/>
        <w:textAlignment w:val="auto"/>
        <w:rPr>
          <w:rFonts w:hint="eastAsia" w:ascii="宋体" w:hAnsi="宋体" w:eastAsia="宋体" w:cs="宋体"/>
          <w:color w:val="auto"/>
          <w:kern w:val="2"/>
          <w:sz w:val="36"/>
          <w:szCs w:val="36"/>
          <w:highlight w:val="none"/>
        </w:rPr>
        <w:sectPr>
          <w:headerReference r:id="rId8" w:type="first"/>
          <w:footerReference r:id="rId10" w:type="first"/>
          <w:footerReference r:id="rId9" w:type="default"/>
          <w:pgSz w:w="11906" w:h="16838"/>
          <w:pgMar w:top="1423" w:right="856" w:bottom="1140" w:left="1434" w:header="1077" w:footer="567" w:gutter="0"/>
          <w:pgNumType w:fmt="decimal" w:start="1"/>
          <w:cols w:space="720" w:num="1"/>
          <w:titlePg/>
          <w:docGrid w:linePitch="299" w:charSpace="0"/>
        </w:sectPr>
      </w:pPr>
    </w:p>
    <w:p w14:paraId="7390E1B2">
      <w:pPr>
        <w:pStyle w:val="2"/>
        <w:pageBreakBefore w:val="0"/>
        <w:kinsoku/>
        <w:wordWrap w:val="0"/>
        <w:overflowPunct/>
        <w:bidi w:val="0"/>
        <w:spacing w:after="0"/>
        <w:jc w:val="center"/>
        <w:textAlignment w:val="auto"/>
        <w:rPr>
          <w:rFonts w:hint="eastAsia" w:ascii="宋体" w:hAnsi="宋体" w:eastAsia="宋体" w:cs="宋体"/>
          <w:b w:val="0"/>
          <w:bCs w:val="0"/>
          <w:color w:val="auto"/>
          <w:kern w:val="2"/>
          <w:sz w:val="36"/>
          <w:szCs w:val="36"/>
          <w:highlight w:val="none"/>
        </w:rPr>
      </w:pPr>
      <w:r>
        <w:rPr>
          <w:rFonts w:hint="eastAsia" w:ascii="宋体" w:hAnsi="宋体" w:eastAsia="宋体" w:cs="宋体"/>
          <w:color w:val="auto"/>
          <w:kern w:val="2"/>
          <w:sz w:val="36"/>
          <w:szCs w:val="36"/>
          <w:highlight w:val="none"/>
        </w:rPr>
        <w:t>第一章 竞争性磋商</w:t>
      </w:r>
      <w:bookmarkEnd w:id="0"/>
      <w:bookmarkEnd w:id="1"/>
      <w:bookmarkStart w:id="5" w:name="_Toc487037683"/>
      <w:bookmarkStart w:id="6" w:name="_Toc519007706"/>
      <w:bookmarkStart w:id="7" w:name="_Toc292200559"/>
      <w:bookmarkStart w:id="8" w:name="_Toc227991413"/>
      <w:r>
        <w:rPr>
          <w:rFonts w:hint="eastAsia" w:ascii="宋体" w:hAnsi="宋体" w:eastAsia="宋体" w:cs="宋体"/>
          <w:color w:val="auto"/>
          <w:kern w:val="2"/>
          <w:sz w:val="36"/>
          <w:szCs w:val="36"/>
          <w:highlight w:val="none"/>
        </w:rPr>
        <w:t>公告</w:t>
      </w:r>
      <w:bookmarkEnd w:id="3"/>
    </w:p>
    <w:bookmarkEnd w:id="5"/>
    <w:bookmarkEnd w:id="6"/>
    <w:p w14:paraId="4C9C5423">
      <w:pPr>
        <w:pageBreakBefore w:val="0"/>
        <w:tabs>
          <w:tab w:val="left" w:pos="1980"/>
          <w:tab w:val="center" w:pos="5093"/>
          <w:tab w:val="left" w:pos="9315"/>
        </w:tabs>
        <w:kinsoku/>
        <w:wordWrap w:val="0"/>
        <w:overflowPunct/>
        <w:bidi w:val="0"/>
        <w:spacing w:after="0" w:line="460" w:lineRule="exact"/>
        <w:ind w:firstLine="321" w:firstLineChars="100"/>
        <w:jc w:val="center"/>
        <w:textAlignment w:val="auto"/>
        <w:rPr>
          <w:rFonts w:hint="eastAsia" w:ascii="宋体" w:hAnsi="宋体" w:eastAsia="宋体" w:cs="宋体"/>
          <w:b/>
          <w:bCs/>
          <w:color w:val="auto"/>
          <w:sz w:val="32"/>
          <w:szCs w:val="32"/>
          <w:highlight w:val="none"/>
          <w:lang w:eastAsia="zh-CN"/>
        </w:rPr>
      </w:pPr>
      <w:bookmarkStart w:id="9" w:name="_Toc525049630"/>
      <w:bookmarkStart w:id="10" w:name="_Toc525207115"/>
      <w:bookmarkStart w:id="11" w:name="_Toc525741688"/>
      <w:bookmarkStart w:id="12" w:name="_Toc519587933"/>
      <w:bookmarkStart w:id="13" w:name="_Toc487037688"/>
      <w:r>
        <w:rPr>
          <w:rFonts w:hint="eastAsia" w:ascii="宋体" w:hAnsi="宋体" w:eastAsia="宋体" w:cs="宋体"/>
          <w:b/>
          <w:bCs/>
          <w:color w:val="auto"/>
          <w:sz w:val="32"/>
          <w:szCs w:val="32"/>
          <w:highlight w:val="none"/>
          <w:lang w:eastAsia="zh-CN"/>
        </w:rPr>
        <w:t>开远市中和营镇红薯分拣愈合中心配套附属设施及屋顶光伏自纳降本（余电上网）建设项目</w:t>
      </w:r>
      <w:r>
        <w:rPr>
          <w:rFonts w:hint="eastAsia" w:ascii="宋体" w:hAnsi="宋体" w:eastAsia="宋体" w:cs="宋体"/>
          <w:b/>
          <w:bCs/>
          <w:color w:val="auto"/>
          <w:kern w:val="2"/>
          <w:sz w:val="32"/>
          <w:szCs w:val="32"/>
          <w:highlight w:val="none"/>
        </w:rPr>
        <w:t>竞争性磋商公告</w:t>
      </w:r>
    </w:p>
    <w:tbl>
      <w:tblPr>
        <w:tblStyle w:val="63"/>
        <w:tblpPr w:leftFromText="180" w:rightFromText="180" w:vertAnchor="text" w:horzAnchor="page" w:tblpX="1606" w:tblpY="171"/>
        <w:tblOverlap w:val="never"/>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0"/>
      </w:tblGrid>
      <w:tr w14:paraId="5371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9720" w:type="dxa"/>
          </w:tcPr>
          <w:p w14:paraId="4AC36706">
            <w:pPr>
              <w:keepNext w:val="0"/>
              <w:keepLines w:val="0"/>
              <w:pageBreakBefore w:val="0"/>
              <w:widowControl/>
              <w:kinsoku/>
              <w:wordWrap w:val="0"/>
              <w:overflowPunct/>
              <w:topLinePunct w:val="0"/>
              <w:autoSpaceDE/>
              <w:autoSpaceDN/>
              <w:bidi w:val="0"/>
              <w:adjustRightInd w:val="0"/>
              <w:snapToGrid w:val="0"/>
              <w:spacing w:after="0"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2B5AF364">
            <w:pPr>
              <w:keepNext w:val="0"/>
              <w:keepLines w:val="0"/>
              <w:pageBreakBefore w:val="0"/>
              <w:widowControl/>
              <w:kinsoku/>
              <w:wordWrap w:val="0"/>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b/>
                <w:bCs/>
                <w:color w:val="auto"/>
                <w:kern w:val="2"/>
                <w:sz w:val="24"/>
                <w:szCs w:val="24"/>
                <w:highlight w:val="none"/>
              </w:rPr>
            </w:pPr>
            <w:r>
              <w:rPr>
                <w:rFonts w:hint="eastAsia" w:ascii="宋体" w:hAnsi="宋体" w:eastAsia="宋体" w:cs="宋体"/>
                <w:color w:val="auto"/>
                <w:sz w:val="24"/>
                <w:szCs w:val="24"/>
                <w:highlight w:val="none"/>
                <w:lang w:eastAsia="zh-CN"/>
              </w:rPr>
              <w:t>“开远市中和营镇红薯分拣愈合中心配套附属设施及屋顶光伏自纳降本（余电上网）建设项目”采购项目的潜在供应商应在“网站：政府采购云平台，网址：https://www.zcygov.cn/”获取采购文件，并于</w:t>
            </w:r>
            <w:r>
              <w:rPr>
                <w:rFonts w:hint="eastAsia" w:ascii="宋体" w:hAnsi="宋体" w:eastAsia="宋体" w:cs="宋体"/>
                <w:color w:val="auto"/>
                <w:sz w:val="24"/>
                <w:szCs w:val="24"/>
                <w:highlight w:val="none"/>
                <w:lang w:val="en-US" w:eastAsia="zh-CN"/>
              </w:rPr>
              <w:t>2025年03月23日09时00分</w:t>
            </w:r>
            <w:r>
              <w:rPr>
                <w:rFonts w:hint="eastAsia" w:ascii="宋体" w:hAnsi="宋体" w:eastAsia="宋体" w:cs="宋体"/>
                <w:color w:val="auto"/>
                <w:sz w:val="24"/>
                <w:szCs w:val="24"/>
                <w:highlight w:val="none"/>
                <w:lang w:eastAsia="zh-CN"/>
              </w:rPr>
              <w:t>（北京时间）前递交响应文件。</w:t>
            </w:r>
          </w:p>
        </w:tc>
      </w:tr>
    </w:tbl>
    <w:p w14:paraId="2C87F84C">
      <w:pPr>
        <w:keepNext w:val="0"/>
        <w:keepLines w:val="0"/>
        <w:pageBreakBefore w:val="0"/>
        <w:widowControl w:val="0"/>
        <w:kinsoku/>
        <w:wordWrap w:val="0"/>
        <w:overflowPunct/>
        <w:topLinePunct w:val="0"/>
        <w:autoSpaceDE/>
        <w:autoSpaceDN/>
        <w:bidi w:val="0"/>
        <w:adjustRightInd/>
        <w:snapToGrid/>
        <w:spacing w:after="0" w:line="360" w:lineRule="auto"/>
        <w:jc w:val="both"/>
        <w:textAlignment w:val="auto"/>
        <w:rPr>
          <w:rFonts w:hint="eastAsia" w:ascii="宋体" w:hAnsi="宋体" w:eastAsia="宋体" w:cs="宋体"/>
          <w:b/>
          <w:bCs/>
          <w:color w:val="auto"/>
          <w:kern w:val="2"/>
          <w:sz w:val="24"/>
          <w:szCs w:val="24"/>
          <w:highlight w:val="none"/>
        </w:rPr>
      </w:pPr>
      <w:bookmarkStart w:id="14" w:name="_Toc517963425"/>
      <w:bookmarkStart w:id="15" w:name="_Toc531610837"/>
      <w:bookmarkStart w:id="16" w:name="_Toc525207109"/>
      <w:bookmarkStart w:id="17" w:name="_Toc381002982"/>
      <w:bookmarkStart w:id="18" w:name="_Toc35393629"/>
      <w:bookmarkStart w:id="19" w:name="_Toc536534035"/>
      <w:bookmarkStart w:id="20" w:name="_Toc35393798"/>
      <w:bookmarkStart w:id="21" w:name="_Toc466305599"/>
      <w:bookmarkStart w:id="22" w:name="_Toc536534305"/>
      <w:bookmarkStart w:id="23" w:name="_Toc525741682"/>
      <w:bookmarkStart w:id="24" w:name="_Toc28359012"/>
      <w:bookmarkStart w:id="25" w:name="_Toc28359089"/>
      <w:r>
        <w:rPr>
          <w:rFonts w:hint="eastAsia" w:ascii="宋体" w:hAnsi="宋体" w:eastAsia="宋体" w:cs="宋体"/>
          <w:b/>
          <w:bCs/>
          <w:color w:val="auto"/>
          <w:kern w:val="2"/>
          <w:sz w:val="24"/>
          <w:szCs w:val="24"/>
          <w:highlight w:val="none"/>
        </w:rPr>
        <w:t>一、项目基本情况</w:t>
      </w:r>
      <w:bookmarkEnd w:id="14"/>
      <w:bookmarkEnd w:id="15"/>
      <w:bookmarkEnd w:id="16"/>
      <w:bookmarkEnd w:id="17"/>
      <w:bookmarkEnd w:id="18"/>
      <w:bookmarkEnd w:id="19"/>
      <w:bookmarkEnd w:id="20"/>
      <w:bookmarkEnd w:id="21"/>
      <w:bookmarkEnd w:id="22"/>
      <w:bookmarkEnd w:id="23"/>
      <w:bookmarkEnd w:id="24"/>
      <w:bookmarkEnd w:id="25"/>
    </w:p>
    <w:p w14:paraId="0606F26C">
      <w:pPr>
        <w:keepNext w:val="0"/>
        <w:keepLines w:val="0"/>
        <w:pageBreakBefore w:val="0"/>
        <w:widowControl/>
        <w:kinsoku/>
        <w:wordWrap w:val="0"/>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1.项目编号：HHSYZBZX-CG20250313；</w:t>
      </w:r>
    </w:p>
    <w:p w14:paraId="6E722EDA">
      <w:pPr>
        <w:keepNext w:val="0"/>
        <w:keepLines w:val="0"/>
        <w:pageBreakBefore w:val="0"/>
        <w:widowControl/>
        <w:kinsoku/>
        <w:wordWrap w:val="0"/>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2.项目名称：开远市中和营镇红薯分拣愈合中心配套附属设施及屋顶光伏自纳降本（余电上网）建设项目；</w:t>
      </w:r>
    </w:p>
    <w:p w14:paraId="6B6FA4CC">
      <w:pPr>
        <w:keepNext w:val="0"/>
        <w:keepLines w:val="0"/>
        <w:pageBreakBefore w:val="0"/>
        <w:widowControl/>
        <w:kinsoku/>
        <w:wordWrap w:val="0"/>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3.采购方式：□竞争性谈判 ■竞争性磋商 □询价；</w:t>
      </w:r>
    </w:p>
    <w:p w14:paraId="2A0B4415">
      <w:pPr>
        <w:keepNext w:val="0"/>
        <w:keepLines w:val="0"/>
        <w:pageBreakBefore w:val="0"/>
        <w:widowControl/>
        <w:kinsoku/>
        <w:wordWrap w:val="0"/>
        <w:overflowPunct/>
        <w:topLinePunct w:val="0"/>
        <w:autoSpaceDE/>
        <w:autoSpaceDN/>
        <w:bidi w:val="0"/>
        <w:adjustRightInd w:val="0"/>
        <w:snapToGrid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4.预算金额：2634315.24</w:t>
      </w:r>
      <w:r>
        <w:rPr>
          <w:rFonts w:hint="eastAsia" w:ascii="宋体" w:hAnsi="宋体" w:eastAsia="宋体" w:cs="宋体"/>
          <w:color w:val="auto"/>
          <w:sz w:val="24"/>
          <w:szCs w:val="24"/>
          <w:highlight w:val="none"/>
          <w:lang w:val="en-US" w:eastAsia="zh-CN"/>
        </w:rPr>
        <w:t>元；</w:t>
      </w:r>
    </w:p>
    <w:p w14:paraId="47631131">
      <w:pPr>
        <w:keepNext w:val="0"/>
        <w:keepLines w:val="0"/>
        <w:pageBreakBefore w:val="0"/>
        <w:widowControl/>
        <w:kinsoku/>
        <w:wordWrap w:val="0"/>
        <w:overflowPunct/>
        <w:topLinePunct w:val="0"/>
        <w:autoSpaceDE/>
        <w:autoSpaceDN/>
        <w:bidi w:val="0"/>
        <w:adjustRightInd w:val="0"/>
        <w:snapToGrid w:val="0"/>
        <w:spacing w:after="0"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最高限价：2634315.24元；</w:t>
      </w:r>
    </w:p>
    <w:p w14:paraId="3A832AC7">
      <w:pPr>
        <w:keepNext w:val="0"/>
        <w:keepLines w:val="0"/>
        <w:pageBreakBefore w:val="0"/>
        <w:kinsoku/>
        <w:wordWrap w:val="0"/>
        <w:overflowPunct/>
        <w:topLinePunct w:val="0"/>
        <w:autoSpaceDE/>
        <w:autoSpaceDN/>
        <w:bidi w:val="0"/>
        <w:spacing w:after="0" w:line="360" w:lineRule="auto"/>
        <w:ind w:right="-64" w:rightChars="-29"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5.项目概况：</w:t>
      </w:r>
      <w:r>
        <w:rPr>
          <w:rFonts w:hint="eastAsia" w:asciiTheme="minorEastAsia" w:hAnsiTheme="minorEastAsia" w:eastAsiaTheme="minorEastAsia" w:cstheme="minorEastAsia"/>
          <w:color w:val="auto"/>
          <w:sz w:val="24"/>
          <w:szCs w:val="24"/>
          <w:highlight w:val="none"/>
          <w:lang w:val="en-US" w:eastAsia="zh-CN"/>
        </w:rPr>
        <w:t>本项目为开远市中和营镇红薯分拣愈合中心配套附属设施及屋顶光伏自纳降本（余电上网）建设项目，工程内容包括：公厕一土建及装饰工程、钢结构工程、水电安装、室外附属工程、屋顶光伏自纳降本（余电上网）等（具体内容以工程量清单为准）</w:t>
      </w:r>
      <w:r>
        <w:rPr>
          <w:rFonts w:hint="eastAsia" w:ascii="宋体" w:hAnsi="宋体" w:eastAsia="宋体" w:cs="宋体"/>
          <w:color w:val="auto"/>
          <w:sz w:val="24"/>
          <w:szCs w:val="24"/>
          <w:highlight w:val="none"/>
          <w:lang w:val="en-US" w:eastAsia="zh-CN"/>
        </w:rPr>
        <w:t>；</w:t>
      </w:r>
    </w:p>
    <w:p w14:paraId="724DC0EE">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6.合同履行期限：</w:t>
      </w:r>
      <w:r>
        <w:rPr>
          <w:rFonts w:hint="eastAsia" w:ascii="宋体" w:hAnsi="宋体" w:eastAsia="宋体" w:cs="宋体"/>
          <w:color w:val="auto"/>
          <w:sz w:val="24"/>
          <w:szCs w:val="24"/>
          <w:highlight w:val="none"/>
          <w:lang w:val="en-US" w:eastAsia="zh-CN"/>
        </w:rPr>
        <w:t>90日历天</w:t>
      </w:r>
      <w:r>
        <w:rPr>
          <w:rFonts w:hint="eastAsia" w:ascii="宋体" w:hAnsi="宋体" w:eastAsia="宋体" w:cs="宋体"/>
          <w:color w:val="auto"/>
          <w:sz w:val="24"/>
          <w:szCs w:val="24"/>
          <w:highlight w:val="none"/>
          <w:lang w:eastAsia="zh-CN"/>
        </w:rPr>
        <w:t>；</w:t>
      </w:r>
    </w:p>
    <w:p w14:paraId="55BE2DD0">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7.本项目（□是 ■否）接受联合体投标。</w:t>
      </w:r>
      <w:bookmarkStart w:id="26" w:name="_Toc35393799"/>
      <w:bookmarkStart w:id="27" w:name="_Toc28359013"/>
      <w:bookmarkStart w:id="28" w:name="_Toc28359090"/>
      <w:bookmarkStart w:id="29" w:name="_Toc35393630"/>
    </w:p>
    <w:p w14:paraId="5B3FF5AC">
      <w:pPr>
        <w:keepNext w:val="0"/>
        <w:keepLines w:val="0"/>
        <w:pageBreakBefore w:val="0"/>
        <w:kinsoku/>
        <w:wordWrap w:val="0"/>
        <w:overflowPunct/>
        <w:topLinePunct w:val="0"/>
        <w:autoSpaceDE/>
        <w:autoSpaceDN/>
        <w:bidi w:val="0"/>
        <w:spacing w:after="0" w:line="360" w:lineRule="auto"/>
        <w:ind w:left="-849" w:leftChars="-386" w:firstLine="723" w:firstLineChars="300"/>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二、申请人的资格要求：</w:t>
      </w:r>
      <w:bookmarkEnd w:id="26"/>
      <w:bookmarkEnd w:id="27"/>
      <w:bookmarkEnd w:id="28"/>
      <w:bookmarkEnd w:id="29"/>
    </w:p>
    <w:p w14:paraId="1F116C73">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1.满足《中华人民共和国政府采购法》第二十二条规定；</w:t>
      </w:r>
    </w:p>
    <w:p w14:paraId="42681013">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2.落实政府采购政策需满足的资格要求：</w:t>
      </w:r>
      <w:bookmarkStart w:id="30" w:name="_Toc35393631"/>
      <w:bookmarkStart w:id="31" w:name="_Toc35393800"/>
      <w:r>
        <w:rPr>
          <w:rFonts w:hint="eastAsia" w:ascii="宋体" w:hAnsi="宋体" w:eastAsia="宋体" w:cs="宋体"/>
          <w:b/>
          <w:bCs/>
          <w:color w:val="auto"/>
          <w:sz w:val="24"/>
          <w:szCs w:val="24"/>
          <w:highlight w:val="none"/>
          <w:lang w:eastAsia="zh-CN"/>
        </w:rPr>
        <w:t>本项目专门面向中小企业采购</w:t>
      </w:r>
      <w:r>
        <w:rPr>
          <w:rFonts w:hint="eastAsia" w:ascii="宋体" w:hAnsi="宋体" w:eastAsia="宋体" w:cs="宋体"/>
          <w:color w:val="auto"/>
          <w:sz w:val="24"/>
          <w:szCs w:val="24"/>
          <w:highlight w:val="none"/>
          <w:lang w:eastAsia="zh-CN"/>
        </w:rPr>
        <w:t>；</w:t>
      </w:r>
    </w:p>
    <w:p w14:paraId="624B6B99">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3.本项目的特定资格要求：</w:t>
      </w:r>
    </w:p>
    <w:p w14:paraId="002FC776">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1 \* GB2 \* MERGEFORMAT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⑴</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供应商须具备有效的建设行政主管部门颁发的</w:t>
      </w:r>
      <w:r>
        <w:rPr>
          <w:rFonts w:hint="eastAsia" w:ascii="宋体" w:hAnsi="宋体" w:eastAsia="宋体" w:cs="宋体"/>
          <w:color w:val="auto"/>
          <w:sz w:val="24"/>
          <w:szCs w:val="24"/>
          <w:highlight w:val="none"/>
          <w:lang w:val="en-US" w:eastAsia="zh-CN"/>
        </w:rPr>
        <w:t>建筑</w:t>
      </w:r>
      <w:r>
        <w:rPr>
          <w:rFonts w:hint="eastAsia" w:ascii="宋体" w:hAnsi="宋体" w:eastAsia="宋体" w:cs="宋体"/>
          <w:color w:val="auto"/>
          <w:sz w:val="24"/>
          <w:szCs w:val="24"/>
          <w:highlight w:val="none"/>
          <w:lang w:eastAsia="zh-CN"/>
        </w:rPr>
        <w:t>工程施工总承包叁级及以上资质并具有安全生产许可证（注：政府及国有投资项目严格按照承包范围对应的资质等级要求）；</w:t>
      </w:r>
    </w:p>
    <w:p w14:paraId="3E3B02D5">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 2 \* GB2 \* MERGEFORMAT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⑵</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拟派往本项目的项目负责人须具备有效的二级及以上注册建造师证书（</w:t>
      </w:r>
      <w:r>
        <w:rPr>
          <w:rFonts w:hint="eastAsia" w:ascii="宋体" w:hAnsi="宋体" w:eastAsia="宋体" w:cs="宋体"/>
          <w:color w:val="auto"/>
          <w:sz w:val="24"/>
          <w:szCs w:val="24"/>
          <w:highlight w:val="none"/>
          <w:lang w:val="en-US" w:eastAsia="zh-CN"/>
        </w:rPr>
        <w:t>建筑</w:t>
      </w:r>
      <w:r>
        <w:rPr>
          <w:rFonts w:hint="eastAsia" w:ascii="宋体" w:hAnsi="宋体" w:eastAsia="宋体" w:cs="宋体"/>
          <w:color w:val="auto"/>
          <w:sz w:val="24"/>
          <w:szCs w:val="24"/>
          <w:highlight w:val="none"/>
          <w:lang w:eastAsia="zh-CN"/>
        </w:rPr>
        <w:t>工程专业）及安全考核合格B证，且注册在申请人单位。</w:t>
      </w:r>
    </w:p>
    <w:p w14:paraId="3CAC0A45">
      <w:pPr>
        <w:keepNext w:val="0"/>
        <w:keepLines w:val="0"/>
        <w:pageBreakBefore w:val="0"/>
        <w:widowControl w:val="0"/>
        <w:kinsoku/>
        <w:wordWrap w:val="0"/>
        <w:overflowPunct/>
        <w:topLinePunct w:val="0"/>
        <w:autoSpaceDE/>
        <w:autoSpaceDN/>
        <w:bidi w:val="0"/>
        <w:adjustRightInd/>
        <w:snapToGrid/>
        <w:spacing w:after="0" w:line="360" w:lineRule="auto"/>
        <w:jc w:val="both"/>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三、获取采购文件</w:t>
      </w:r>
      <w:bookmarkEnd w:id="30"/>
      <w:bookmarkEnd w:id="31"/>
    </w:p>
    <w:p w14:paraId="3762B758">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32" w:name="_Toc35393801"/>
      <w:bookmarkStart w:id="33" w:name="_Toc28359092"/>
      <w:bookmarkStart w:id="34" w:name="_Toc28359015"/>
      <w:bookmarkStart w:id="35" w:name="_Toc35393632"/>
      <w:r>
        <w:rPr>
          <w:rFonts w:hint="eastAsia" w:ascii="宋体" w:hAnsi="宋体" w:eastAsia="宋体" w:cs="宋体"/>
          <w:color w:val="auto"/>
          <w:sz w:val="24"/>
          <w:szCs w:val="24"/>
          <w:highlight w:val="none"/>
          <w:lang w:val="en-US" w:eastAsia="zh-CN"/>
        </w:rPr>
        <w:t>1.时间：2025年03</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日至</w:t>
      </w:r>
      <w:r>
        <w:rPr>
          <w:rFonts w:hint="eastAsia" w:ascii="宋体" w:hAnsi="宋体" w:eastAsia="宋体" w:cs="宋体"/>
          <w:color w:val="auto"/>
          <w:sz w:val="24"/>
          <w:szCs w:val="24"/>
          <w:highlight w:val="none"/>
          <w:lang w:val="en-US" w:eastAsia="zh-CN"/>
        </w:rPr>
        <w:t>2025</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03</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日，每天上午0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:00至12:00，下午12:00至23:59（</w:t>
      </w:r>
      <w:r>
        <w:rPr>
          <w:rFonts w:hint="eastAsia" w:ascii="宋体" w:hAnsi="宋体" w:eastAsia="宋体" w:cs="宋体"/>
          <w:color w:val="auto"/>
          <w:sz w:val="24"/>
          <w:szCs w:val="24"/>
          <w:highlight w:val="none"/>
          <w:lang w:val="en-US" w:eastAsia="zh-CN"/>
        </w:rPr>
        <w:t>磋商文件的发售期限自开始之日起不得少于5个工作日</w:t>
      </w:r>
      <w:r>
        <w:rPr>
          <w:rFonts w:hint="eastAsia" w:ascii="宋体" w:hAnsi="宋体" w:eastAsia="宋体" w:cs="宋体"/>
          <w:color w:val="auto"/>
          <w:sz w:val="24"/>
          <w:szCs w:val="24"/>
          <w:highlight w:val="none"/>
          <w:lang w:eastAsia="zh-CN"/>
        </w:rPr>
        <w:t>）。</w:t>
      </w:r>
    </w:p>
    <w:p w14:paraId="0496559D">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2.地点：</w:t>
      </w:r>
      <w:r>
        <w:rPr>
          <w:rFonts w:hint="eastAsia" w:ascii="宋体" w:hAnsi="宋体" w:eastAsia="宋体" w:cs="宋体"/>
          <w:color w:val="auto"/>
          <w:kern w:val="2"/>
          <w:sz w:val="24"/>
          <w:szCs w:val="24"/>
          <w:lang w:val="en-US" w:eastAsia="zh-CN"/>
        </w:rPr>
        <w:t>政府采购云平台（网址：https://www.zcygov.cn/）</w:t>
      </w:r>
      <w:r>
        <w:rPr>
          <w:rFonts w:hint="eastAsia" w:ascii="宋体" w:hAnsi="宋体" w:eastAsia="宋体" w:cs="宋体"/>
          <w:color w:val="auto"/>
          <w:sz w:val="24"/>
          <w:szCs w:val="24"/>
          <w:highlight w:val="none"/>
          <w:lang w:val="en-US" w:eastAsia="zh-CN"/>
        </w:rPr>
        <w:t>。</w:t>
      </w:r>
    </w:p>
    <w:p w14:paraId="0B92BEAC">
      <w:pPr>
        <w:keepNext w:val="0"/>
        <w:keepLines w:val="0"/>
        <w:pageBreakBefore w:val="0"/>
        <w:widowControl w:val="0"/>
        <w:kinsoku/>
        <w:wordWrap w:val="0"/>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凡有意参加磋商者，可在获取采购文件时间内登录“网站：政府采购云平台，网址：https://www.zcygov.cn/”凭企业数字证书（CA）进行项目报名并免费下载电子采购文件。按上述要求获取采购文件的供应商视为已合法获取本项目采购文件，具备本项目的磋商资格。供应商未办理数字证书（CA）的，可根据“附件：云南省政府采购项目电子标注意事项”办理相关事宜。</w:t>
      </w:r>
    </w:p>
    <w:p w14:paraId="305D8749">
      <w:pPr>
        <w:keepNext w:val="0"/>
        <w:keepLines w:val="0"/>
        <w:pageBreakBefore w:val="0"/>
        <w:widowControl w:val="0"/>
        <w:kinsoku/>
        <w:wordWrap w:val="0"/>
        <w:overflowPunct/>
        <w:topLinePunct w:val="0"/>
        <w:autoSpaceDE/>
        <w:autoSpaceDN/>
        <w:bidi w:val="0"/>
        <w:adjustRightInd/>
        <w:snapToGrid/>
        <w:spacing w:after="0" w:line="360" w:lineRule="auto"/>
        <w:jc w:val="both"/>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四、响应文件提交</w:t>
      </w:r>
      <w:bookmarkEnd w:id="32"/>
      <w:bookmarkEnd w:id="33"/>
      <w:bookmarkEnd w:id="34"/>
      <w:bookmarkEnd w:id="35"/>
    </w:p>
    <w:p w14:paraId="273E79F7">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lang w:val="en-US" w:eastAsia="zh-CN"/>
        </w:rPr>
        <w:t>2025年03月23日09时00分</w:t>
      </w:r>
      <w:r>
        <w:rPr>
          <w:rFonts w:hint="eastAsia" w:ascii="宋体" w:hAnsi="宋体" w:eastAsia="宋体" w:cs="宋体"/>
          <w:color w:val="auto"/>
          <w:sz w:val="24"/>
          <w:szCs w:val="24"/>
          <w:highlight w:val="none"/>
        </w:rPr>
        <w:t>（北京时间）（</w:t>
      </w:r>
      <w:r>
        <w:rPr>
          <w:rFonts w:hint="eastAsia" w:ascii="宋体" w:hAnsi="宋体" w:eastAsia="宋体" w:cs="宋体"/>
          <w:b/>
          <w:bCs/>
          <w:color w:val="auto"/>
          <w:sz w:val="24"/>
          <w:szCs w:val="24"/>
          <w:highlight w:val="none"/>
        </w:rPr>
        <w:t>从</w:t>
      </w:r>
      <w:r>
        <w:rPr>
          <w:rFonts w:hint="eastAsia" w:ascii="宋体" w:hAnsi="宋体" w:eastAsia="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文件开始发出之日起至供应商提交首次响应文件截止之日止不得少于10日</w:t>
      </w:r>
      <w:r>
        <w:rPr>
          <w:rFonts w:hint="eastAsia" w:ascii="宋体" w:hAnsi="宋体" w:eastAsia="宋体" w:cs="宋体"/>
          <w:color w:val="auto"/>
          <w:sz w:val="24"/>
          <w:szCs w:val="24"/>
          <w:highlight w:val="none"/>
        </w:rPr>
        <w:t>）；</w:t>
      </w:r>
    </w:p>
    <w:p w14:paraId="40979B7F">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rPr>
        <w:t>2.</w:t>
      </w:r>
      <w:r>
        <w:rPr>
          <w:rFonts w:hint="eastAsia" w:ascii="宋体" w:hAnsi="宋体" w:eastAsia="宋体" w:cs="宋体"/>
          <w:color w:val="auto"/>
          <w:sz w:val="24"/>
          <w:szCs w:val="24"/>
          <w:highlight w:val="none"/>
          <w:rtl w:val="0"/>
        </w:rPr>
        <w:t>地点：</w:t>
      </w:r>
      <w:r>
        <w:rPr>
          <w:rFonts w:hint="eastAsia" w:ascii="宋体" w:hAnsi="宋体" w:eastAsia="宋体" w:cs="宋体"/>
          <w:color w:val="auto"/>
          <w:sz w:val="24"/>
          <w:szCs w:val="24"/>
          <w:highlight w:val="none"/>
          <w:lang w:val="en-US" w:eastAsia="zh-CN"/>
        </w:rPr>
        <w:t>政府采购云平台（网址：https://www.zcygov.cn/）。</w:t>
      </w:r>
    </w:p>
    <w:p w14:paraId="47477674">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注：</w:t>
      </w:r>
    </w:p>
    <w:p w14:paraId="34FE9AD1">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tl w:val="0"/>
        </w:rPr>
      </w:pPr>
      <w:r>
        <w:rPr>
          <w:rFonts w:hint="eastAsia" w:ascii="宋体" w:hAnsi="宋体" w:eastAsia="宋体" w:cs="宋体"/>
          <w:color w:val="auto"/>
          <w:sz w:val="24"/>
          <w:szCs w:val="24"/>
          <w:highlight w:val="none"/>
          <w:rtl w:val="0"/>
          <w:lang w:val="en-US" w:eastAsia="zh-CN"/>
        </w:rPr>
        <w:t>1.供应商</w:t>
      </w:r>
      <w:r>
        <w:rPr>
          <w:rFonts w:hint="eastAsia" w:ascii="宋体" w:hAnsi="宋体" w:eastAsia="宋体" w:cs="宋体"/>
          <w:color w:val="auto"/>
          <w:sz w:val="24"/>
          <w:szCs w:val="24"/>
          <w:highlight w:val="none"/>
          <w:rtl w:val="0"/>
        </w:rPr>
        <w:t>应按照本项目</w:t>
      </w:r>
      <w:r>
        <w:rPr>
          <w:rFonts w:hint="eastAsia" w:ascii="宋体" w:hAnsi="宋体" w:eastAsia="宋体" w:cs="宋体"/>
          <w:color w:val="auto"/>
          <w:sz w:val="24"/>
          <w:szCs w:val="24"/>
          <w:highlight w:val="none"/>
          <w:rtl w:val="0"/>
          <w:lang w:val="en-US" w:eastAsia="zh-CN"/>
        </w:rPr>
        <w:t>采购</w:t>
      </w:r>
      <w:r>
        <w:rPr>
          <w:rFonts w:hint="eastAsia" w:ascii="宋体" w:hAnsi="宋体" w:eastAsia="宋体" w:cs="宋体"/>
          <w:color w:val="auto"/>
          <w:sz w:val="24"/>
          <w:szCs w:val="24"/>
          <w:highlight w:val="none"/>
          <w:rtl w:val="0"/>
        </w:rPr>
        <w:t>文件和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rtl w:val="0"/>
        </w:rPr>
        <w:t>的要求编制、加密</w:t>
      </w:r>
      <w:r>
        <w:rPr>
          <w:rFonts w:hint="eastAsia" w:ascii="宋体" w:hAnsi="宋体" w:eastAsia="宋体" w:cs="宋体"/>
          <w:color w:val="auto"/>
          <w:sz w:val="24"/>
          <w:szCs w:val="24"/>
          <w:highlight w:val="none"/>
          <w:rtl w:val="0"/>
          <w:lang w:val="en-US" w:eastAsia="zh-CN"/>
        </w:rPr>
        <w:t>响应文件，并</w:t>
      </w:r>
      <w:r>
        <w:rPr>
          <w:rFonts w:hint="eastAsia" w:ascii="宋体" w:hAnsi="宋体" w:eastAsia="宋体" w:cs="宋体"/>
          <w:color w:val="auto"/>
          <w:sz w:val="24"/>
          <w:szCs w:val="24"/>
          <w:highlight w:val="none"/>
          <w:rtl w:val="0"/>
        </w:rPr>
        <w:t>在响应文件提交截止时间前上传至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rtl w:val="0"/>
        </w:rPr>
        <w:t>，响应文件提交截止时间前未完成响应文件上传的，视为撤回响应文件。</w:t>
      </w:r>
    </w:p>
    <w:p w14:paraId="4AADDC53">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tl w:val="0"/>
          <w:lang w:val="en-US" w:eastAsia="zh-CN"/>
        </w:rPr>
      </w:pPr>
      <w:r>
        <w:rPr>
          <w:rFonts w:hint="eastAsia" w:ascii="宋体" w:hAnsi="宋体" w:eastAsia="宋体" w:cs="宋体"/>
          <w:color w:val="auto"/>
          <w:sz w:val="24"/>
          <w:szCs w:val="24"/>
          <w:highlight w:val="none"/>
          <w:rtl w:val="0"/>
          <w:lang w:val="en-US" w:eastAsia="zh-CN"/>
        </w:rPr>
        <w:t>2.供应商</w:t>
      </w:r>
      <w:r>
        <w:rPr>
          <w:rFonts w:hint="eastAsia" w:ascii="宋体" w:hAnsi="宋体" w:eastAsia="宋体" w:cs="宋体"/>
          <w:color w:val="auto"/>
          <w:sz w:val="24"/>
          <w:szCs w:val="24"/>
          <w:highlight w:val="none"/>
          <w:rtl w:val="0"/>
        </w:rPr>
        <w:t>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政府采购云平台”</w:t>
      </w:r>
      <w:r>
        <w:rPr>
          <w:rFonts w:hint="eastAsia" w:ascii="宋体" w:hAnsi="宋体" w:eastAsia="宋体" w:cs="宋体"/>
          <w:color w:val="auto"/>
          <w:sz w:val="24"/>
          <w:szCs w:val="24"/>
          <w:highlight w:val="none"/>
          <w:rtl w:val="0"/>
        </w:rPr>
        <w:t>提交电子版响应文件时，请填写参加远程采购活动经办人联系方式。</w:t>
      </w:r>
      <w:r>
        <w:rPr>
          <w:rFonts w:hint="eastAsia" w:ascii="宋体" w:hAnsi="宋体" w:eastAsia="宋体" w:cs="宋体"/>
          <w:color w:val="auto"/>
          <w:sz w:val="24"/>
          <w:szCs w:val="24"/>
          <w:highlight w:val="none"/>
          <w:rtl w:val="0"/>
          <w:lang w:val="en-US" w:eastAsia="zh-CN"/>
        </w:rPr>
        <w:t>并于开标当日在系统上等待代理机构通知最后报价。</w:t>
      </w:r>
    </w:p>
    <w:p w14:paraId="37EC0600">
      <w:pPr>
        <w:keepNext w:val="0"/>
        <w:keepLines w:val="0"/>
        <w:pageBreakBefore w:val="0"/>
        <w:widowControl w:val="0"/>
        <w:kinsoku/>
        <w:wordWrap w:val="0"/>
        <w:overflowPunct/>
        <w:topLinePunct w:val="0"/>
        <w:autoSpaceDE/>
        <w:autoSpaceDN/>
        <w:bidi w:val="0"/>
        <w:adjustRightInd/>
        <w:snapToGrid/>
        <w:spacing w:after="0" w:line="360" w:lineRule="auto"/>
        <w:jc w:val="both"/>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五、开启</w:t>
      </w:r>
    </w:p>
    <w:p w14:paraId="223738C6">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lang w:val="en-US" w:eastAsia="zh-CN"/>
        </w:rPr>
        <w:t>2025年03月23日09时00分</w:t>
      </w:r>
      <w:r>
        <w:rPr>
          <w:rFonts w:hint="eastAsia" w:ascii="宋体" w:hAnsi="宋体" w:eastAsia="宋体" w:cs="宋体"/>
          <w:color w:val="auto"/>
          <w:sz w:val="24"/>
          <w:szCs w:val="24"/>
          <w:highlight w:val="none"/>
        </w:rPr>
        <w:t>（北京时间）；</w:t>
      </w:r>
    </w:p>
    <w:p w14:paraId="637EAAE2">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2.地点：红河州盛雅招标咨询有限公司二楼会议室（开远市东新路275号）。</w:t>
      </w:r>
    </w:p>
    <w:p w14:paraId="281FDA76">
      <w:pPr>
        <w:keepNext w:val="0"/>
        <w:keepLines w:val="0"/>
        <w:pageBreakBefore w:val="0"/>
        <w:widowControl w:val="0"/>
        <w:kinsoku/>
        <w:wordWrap w:val="0"/>
        <w:overflowPunct/>
        <w:topLinePunct w:val="0"/>
        <w:autoSpaceDE/>
        <w:autoSpaceDN/>
        <w:bidi w:val="0"/>
        <w:adjustRightInd/>
        <w:snapToGrid/>
        <w:spacing w:after="0" w:line="360" w:lineRule="auto"/>
        <w:jc w:val="both"/>
        <w:textAlignment w:val="auto"/>
        <w:rPr>
          <w:rFonts w:hint="eastAsia" w:ascii="宋体" w:hAnsi="宋体" w:eastAsia="宋体" w:cs="宋体"/>
          <w:b/>
          <w:bCs/>
          <w:color w:val="auto"/>
          <w:kern w:val="2"/>
          <w:sz w:val="24"/>
          <w:szCs w:val="24"/>
          <w:highlight w:val="none"/>
        </w:rPr>
      </w:pPr>
      <w:bookmarkStart w:id="36" w:name="_Toc28359017"/>
      <w:bookmarkStart w:id="37" w:name="_Toc28359094"/>
      <w:bookmarkStart w:id="38" w:name="_Toc35393634"/>
      <w:bookmarkStart w:id="39" w:name="_Toc35393803"/>
      <w:r>
        <w:rPr>
          <w:rFonts w:hint="eastAsia" w:ascii="宋体" w:hAnsi="宋体" w:eastAsia="宋体" w:cs="宋体"/>
          <w:b/>
          <w:bCs/>
          <w:color w:val="auto"/>
          <w:kern w:val="2"/>
          <w:sz w:val="24"/>
          <w:szCs w:val="24"/>
          <w:highlight w:val="none"/>
        </w:rPr>
        <w:t>六、公告期限</w:t>
      </w:r>
      <w:bookmarkEnd w:id="36"/>
      <w:bookmarkEnd w:id="37"/>
      <w:bookmarkEnd w:id="38"/>
      <w:bookmarkEnd w:id="39"/>
    </w:p>
    <w:p w14:paraId="51539CE9">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bookmarkStart w:id="40" w:name="_Toc35393635"/>
      <w:bookmarkStart w:id="41" w:name="_Toc35393804"/>
    </w:p>
    <w:p w14:paraId="696A6642">
      <w:pPr>
        <w:keepNext w:val="0"/>
        <w:keepLines w:val="0"/>
        <w:pageBreakBefore w:val="0"/>
        <w:widowControl w:val="0"/>
        <w:kinsoku/>
        <w:wordWrap w:val="0"/>
        <w:overflowPunct/>
        <w:topLinePunct w:val="0"/>
        <w:autoSpaceDE/>
        <w:autoSpaceDN/>
        <w:bidi w:val="0"/>
        <w:adjustRightInd/>
        <w:snapToGrid/>
        <w:spacing w:after="0" w:line="360" w:lineRule="auto"/>
        <w:jc w:val="both"/>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七、其他补充事宜</w:t>
      </w:r>
      <w:bookmarkEnd w:id="40"/>
      <w:bookmarkEnd w:id="41"/>
    </w:p>
    <w:p w14:paraId="266F40DC">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1.发布公告的媒介</w:t>
      </w:r>
    </w:p>
    <w:p w14:paraId="7B7CBFFB">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次采购公告同时在“云南省政府采购网”“政府采购云平台”上发布，供应商应在递交投标文件前随时查看，以获取最新信息。因供应商未及时查看网站信息导致的一切不利后果由供应商自负。对其他网站或媒体转载的公告内容采购人和采购代理机构不承担任何责任。</w:t>
      </w:r>
    </w:p>
    <w:p w14:paraId="23C086E2">
      <w:pPr>
        <w:pStyle w:val="14"/>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2.供应商应满足《中华人民共和国政府采购法》第二十二条规定，并按《中华人民共和国政府采购法实施条例》第十七条提供相应证明材料，需提供的证明材料要求以采购文件第二章为准。</w:t>
      </w:r>
    </w:p>
    <w:p w14:paraId="54E782A6">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列入失信被执行人、重大税收违法失信主体、政府采购严重违法失信行为记录（被禁止在一定期限内参加政府采购活动但期限届满的除外）名单及其他不符合《中华人民共和国政府采购法》第二十二条规定条件的供应商，拒绝参与本次政府采购活动；</w:t>
      </w:r>
    </w:p>
    <w:p w14:paraId="35272326">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4.单位负责人为同一人或者存在直接控股、管理关系的不同供应商，不得参加同一合同项下的政府采购活动。</w:t>
      </w:r>
    </w:p>
    <w:p w14:paraId="3BDF3F50">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5.为支持和促进中小企业发展，进一步发挥政府采购政策功能，鼓励供应商使用</w:t>
      </w:r>
      <w:r>
        <w:rPr>
          <w:rFonts w:hint="eastAsia" w:ascii="宋体" w:hAnsi="宋体" w:eastAsia="宋体" w:cs="宋体"/>
          <w:b/>
          <w:bCs/>
          <w:color w:val="auto"/>
          <w:sz w:val="24"/>
          <w:szCs w:val="24"/>
          <w:highlight w:val="none"/>
          <w:lang w:val="en-US" w:eastAsia="zh-CN"/>
        </w:rPr>
        <w:t>保险/保函替代投标、履约保证金</w:t>
      </w:r>
      <w:r>
        <w:rPr>
          <w:rFonts w:hint="eastAsia" w:ascii="宋体" w:hAnsi="宋体" w:eastAsia="宋体" w:cs="宋体"/>
          <w:color w:val="auto"/>
          <w:sz w:val="24"/>
          <w:szCs w:val="24"/>
          <w:highlight w:val="none"/>
          <w:lang w:val="en-US" w:eastAsia="zh-CN"/>
        </w:rPr>
        <w:t>，支持供应商基于成交项目进行</w:t>
      </w:r>
      <w:r>
        <w:rPr>
          <w:rFonts w:hint="eastAsia" w:ascii="宋体" w:hAnsi="宋体" w:eastAsia="宋体" w:cs="宋体"/>
          <w:b/>
          <w:bCs/>
          <w:color w:val="auto"/>
          <w:sz w:val="24"/>
          <w:szCs w:val="24"/>
          <w:highlight w:val="none"/>
          <w:lang w:val="en-US" w:eastAsia="zh-CN"/>
        </w:rPr>
        <w:t>应收账款融资</w:t>
      </w:r>
      <w:r>
        <w:rPr>
          <w:rFonts w:hint="eastAsia" w:ascii="宋体" w:hAnsi="宋体" w:eastAsia="宋体" w:cs="宋体"/>
          <w:color w:val="auto"/>
          <w:sz w:val="24"/>
          <w:szCs w:val="24"/>
          <w:highlight w:val="none"/>
          <w:lang w:val="en-US" w:eastAsia="zh-CN"/>
        </w:rPr>
        <w:t>。供应商可登录【红河州政府采购金融服务平台】进行了解。</w:t>
      </w:r>
    </w:p>
    <w:p w14:paraId="0084A2D9">
      <w:pPr>
        <w:keepNext w:val="0"/>
        <w:keepLines w:val="0"/>
        <w:pageBreakBefore w:val="0"/>
        <w:kinsoku/>
        <w:wordWrap w:val="0"/>
        <w:overflowPunct/>
        <w:topLinePunct w:val="0"/>
        <w:autoSpaceDE/>
        <w:autoSpaceDN/>
        <w:bidi w:val="0"/>
        <w:spacing w:after="0"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直达链接：</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"https://jinrong.zcygov.cn/luban/finance/honghe" </w:instrText>
      </w:r>
      <w:r>
        <w:rPr>
          <w:rFonts w:hint="eastAsia" w:ascii="宋体" w:hAnsi="宋体" w:eastAsia="宋体" w:cs="宋体"/>
          <w:color w:val="auto"/>
          <w:sz w:val="24"/>
          <w:szCs w:val="24"/>
          <w:highlight w:val="none"/>
          <w:lang w:val="en-US" w:eastAsia="zh-CN"/>
        </w:rPr>
        <w:fldChar w:fldCharType="separate"/>
      </w:r>
      <w:r>
        <w:rPr>
          <w:rStyle w:val="71"/>
          <w:rFonts w:hint="eastAsia" w:ascii="宋体" w:hAnsi="宋体" w:eastAsia="宋体" w:cs="宋体"/>
          <w:color w:val="auto"/>
          <w:sz w:val="24"/>
          <w:szCs w:val="24"/>
          <w:highlight w:val="none"/>
          <w:lang w:val="en-US" w:eastAsia="zh-CN"/>
        </w:rPr>
        <w:t>https://jinrong.zcygov.cn/luban/finance/honghe</w:t>
      </w:r>
      <w:r>
        <w:rPr>
          <w:rFonts w:hint="eastAsia" w:ascii="宋体" w:hAnsi="宋体" w:eastAsia="宋体" w:cs="宋体"/>
          <w:color w:val="auto"/>
          <w:sz w:val="24"/>
          <w:szCs w:val="24"/>
          <w:highlight w:val="none"/>
          <w:lang w:val="en-US" w:eastAsia="zh-CN"/>
        </w:rPr>
        <w:fldChar w:fldCharType="end"/>
      </w:r>
    </w:p>
    <w:p w14:paraId="39FCC444">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lang w:val="en-US" w:eastAsia="zh-CN"/>
        </w:rPr>
      </w:pPr>
      <w:r>
        <w:rPr>
          <w:rFonts w:hint="eastAsia" w:ascii="宋体" w:hAnsi="宋体" w:eastAsia="宋体" w:cs="宋体"/>
          <w:color w:val="auto"/>
          <w:sz w:val="24"/>
          <w:szCs w:val="24"/>
          <w:highlight w:val="none"/>
          <w:lang w:val="en-US" w:eastAsia="zh-CN"/>
        </w:rPr>
        <w:t>6.为建设全国统一大市场，维护市场公平竞争，营造良好的政府采购营商环境，防止串通磋商的情形发生，防范可能产生不可预知的法律风险。不同供应商通过同一台设备上传磋商响应文件将视为“不同供应商的响应文件由同一单位或者个人编制”的情形；</w:t>
      </w:r>
      <w:bookmarkStart w:id="42" w:name="_Hlk140607619"/>
      <w:r>
        <w:rPr>
          <w:rFonts w:hint="eastAsia" w:ascii="宋体" w:hAnsi="宋体" w:eastAsia="宋体" w:cs="宋体"/>
          <w:color w:val="auto"/>
          <w:sz w:val="24"/>
          <w:szCs w:val="24"/>
          <w:highlight w:val="none"/>
          <w:lang w:val="en-US" w:eastAsia="zh-CN"/>
        </w:rPr>
        <w:t>开标评审流程不同供应商通过同一台设备</w:t>
      </w:r>
      <w:bookmarkEnd w:id="42"/>
      <w:r>
        <w:rPr>
          <w:rFonts w:hint="eastAsia" w:ascii="宋体" w:hAnsi="宋体" w:eastAsia="宋体" w:cs="宋体"/>
          <w:color w:val="auto"/>
          <w:sz w:val="24"/>
          <w:szCs w:val="24"/>
          <w:highlight w:val="none"/>
          <w:lang w:val="en-US" w:eastAsia="zh-CN"/>
        </w:rPr>
        <w:t>解密磋商文件、进行磋商最终报价等操作，将视为“不同供应商委托同一单位或者个人办理磋商事宜”的情形。其他串通磋商情形，评审小组将依据电子交易平台智能巡检异常信息据实判定。</w:t>
      </w:r>
    </w:p>
    <w:p w14:paraId="235429CB">
      <w:pPr>
        <w:keepNext w:val="0"/>
        <w:keepLines w:val="0"/>
        <w:pageBreakBefore w:val="0"/>
        <w:widowControl w:val="0"/>
        <w:kinsoku/>
        <w:wordWrap w:val="0"/>
        <w:overflowPunct/>
        <w:topLinePunct w:val="0"/>
        <w:autoSpaceDE/>
        <w:autoSpaceDN/>
        <w:bidi w:val="0"/>
        <w:adjustRightInd/>
        <w:snapToGrid/>
        <w:spacing w:after="0"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4"/>
          <w:highlight w:val="none"/>
        </w:rPr>
        <w:t>八、凡对本次采购提出询问，请按以下方式联系</w:t>
      </w:r>
    </w:p>
    <w:bookmarkEnd w:id="9"/>
    <w:bookmarkEnd w:id="10"/>
    <w:bookmarkEnd w:id="11"/>
    <w:p w14:paraId="64BE3DBE">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43" w:name="_Toc19732"/>
      <w:bookmarkStart w:id="44" w:name="_Toc517963430"/>
      <w:r>
        <w:rPr>
          <w:rFonts w:hint="eastAsia" w:ascii="宋体" w:hAnsi="宋体" w:eastAsia="宋体" w:cs="宋体"/>
          <w:color w:val="auto"/>
          <w:sz w:val="24"/>
          <w:szCs w:val="24"/>
          <w:highlight w:val="none"/>
          <w:lang w:val="en-US" w:eastAsia="zh-CN"/>
        </w:rPr>
        <w:t>8.1采购人信息</w:t>
      </w:r>
    </w:p>
    <w:p w14:paraId="37916A01">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称：开远市中和营镇人民政府</w:t>
      </w:r>
    </w:p>
    <w:p w14:paraId="77FD9FE3">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址：开远市中和营镇</w:t>
      </w:r>
    </w:p>
    <w:p w14:paraId="7B5B1FA8">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联系方式：王冀0873-7431329</w:t>
      </w:r>
    </w:p>
    <w:p w14:paraId="622FC823">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8.2采购代理机构信息</w:t>
      </w:r>
    </w:p>
    <w:p w14:paraId="6A741064">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称：红河州盛雅招标咨询有限公司</w:t>
      </w:r>
    </w:p>
    <w:p w14:paraId="1544641E">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址：开远市东新路275号</w:t>
      </w:r>
    </w:p>
    <w:p w14:paraId="72C6F1AE">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联系方式：李秀梅、方金花15087320550、18987388940</w:t>
      </w:r>
    </w:p>
    <w:p w14:paraId="3EC0D5D1">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8.3项目联系方式</w:t>
      </w:r>
    </w:p>
    <w:p w14:paraId="58B88195">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项目联系人：王冀</w:t>
      </w:r>
    </w:p>
    <w:p w14:paraId="208B1304">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      话：0873-7431329</w:t>
      </w:r>
    </w:p>
    <w:p w14:paraId="49464153">
      <w:pPr>
        <w:keepNext w:val="0"/>
        <w:keepLines w:val="0"/>
        <w:pageBreakBefore w:val="0"/>
        <w:kinsoku/>
        <w:wordWrap w:val="0"/>
        <w:overflowPunct/>
        <w:topLinePunct w:val="0"/>
        <w:autoSpaceDE/>
        <w:autoSpaceDN/>
        <w:bidi w:val="0"/>
        <w:spacing w:after="0" w:line="360" w:lineRule="auto"/>
        <w:ind w:firstLine="480" w:firstLineChars="200"/>
        <w:textAlignment w:val="auto"/>
        <w:rPr>
          <w:rFonts w:hint="eastAsia" w:ascii="宋体" w:hAnsi="宋体" w:eastAsia="宋体" w:cs="宋体"/>
          <w:color w:val="auto"/>
          <w:sz w:val="24"/>
          <w:szCs w:val="24"/>
          <w:highlight w:val="none"/>
          <w:lang w:val="en-US" w:eastAsia="zh-CN"/>
        </w:rPr>
        <w:sectPr>
          <w:footerReference r:id="rId12" w:type="first"/>
          <w:footerReference r:id="rId11" w:type="default"/>
          <w:pgSz w:w="11906" w:h="16838"/>
          <w:pgMar w:top="1134" w:right="1020" w:bottom="1140" w:left="1020" w:header="1077" w:footer="567" w:gutter="0"/>
          <w:pgNumType w:fmt="decimal" w:start="1"/>
          <w:cols w:space="0" w:num="1"/>
          <w:titlePg/>
          <w:rtlGutter w:val="0"/>
          <w:docGrid w:linePitch="299" w:charSpace="0"/>
        </w:sectPr>
      </w:pPr>
    </w:p>
    <w:p w14:paraId="55B4A441">
      <w:pPr>
        <w:pStyle w:val="2"/>
        <w:pageBreakBefore w:val="0"/>
        <w:kinsoku/>
        <w:wordWrap w:val="0"/>
        <w:overflowPunct/>
        <w:bidi w:val="0"/>
        <w:spacing w:after="0"/>
        <w:jc w:val="center"/>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第二章 供应商须知</w:t>
      </w:r>
      <w:bookmarkEnd w:id="43"/>
    </w:p>
    <w:p w14:paraId="7964BE7F">
      <w:pPr>
        <w:pageBreakBefore w:val="0"/>
        <w:tabs>
          <w:tab w:val="left" w:pos="1980"/>
          <w:tab w:val="center" w:pos="5093"/>
          <w:tab w:val="left" w:pos="9315"/>
        </w:tabs>
        <w:kinsoku/>
        <w:wordWrap w:val="0"/>
        <w:overflowPunct/>
        <w:bidi w:val="0"/>
        <w:spacing w:after="0" w:line="360" w:lineRule="auto"/>
        <w:ind w:firstLine="321" w:firstLineChars="100"/>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供应商须知前</w:t>
      </w:r>
      <w:bookmarkEnd w:id="44"/>
      <w:r>
        <w:rPr>
          <w:rFonts w:hint="eastAsia" w:ascii="宋体" w:hAnsi="宋体" w:eastAsia="宋体" w:cs="宋体"/>
          <w:b/>
          <w:bCs/>
          <w:color w:val="auto"/>
          <w:sz w:val="32"/>
          <w:szCs w:val="32"/>
          <w:highlight w:val="none"/>
        </w:rPr>
        <w:t>附表</w:t>
      </w:r>
    </w:p>
    <w:tbl>
      <w:tblPr>
        <w:tblStyle w:val="110"/>
        <w:tblW w:w="9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6"/>
        <w:gridCol w:w="2005"/>
        <w:gridCol w:w="6936"/>
      </w:tblGrid>
      <w:tr w14:paraId="2A877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blHeader/>
          <w:jc w:val="center"/>
        </w:trPr>
        <w:tc>
          <w:tcPr>
            <w:tcW w:w="756" w:type="dxa"/>
            <w:vAlign w:val="center"/>
          </w:tcPr>
          <w:p w14:paraId="547FDA90">
            <w:pPr>
              <w:pageBreakBefore w:val="0"/>
              <w:kinsoku/>
              <w:wordWrap w:val="0"/>
              <w:overflowPunct/>
              <w:bidi w:val="0"/>
              <w:spacing w:after="0" w:line="38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2005" w:type="dxa"/>
            <w:vAlign w:val="center"/>
          </w:tcPr>
          <w:p w14:paraId="71FE72FF">
            <w:pPr>
              <w:pageBreakBefore w:val="0"/>
              <w:kinsoku/>
              <w:wordWrap w:val="0"/>
              <w:overflowPunct/>
              <w:bidi w:val="0"/>
              <w:spacing w:after="0" w:line="38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 款 名 称</w:t>
            </w:r>
          </w:p>
        </w:tc>
        <w:tc>
          <w:tcPr>
            <w:tcW w:w="6936" w:type="dxa"/>
          </w:tcPr>
          <w:p w14:paraId="23709F06">
            <w:pPr>
              <w:pageBreakBefore w:val="0"/>
              <w:kinsoku/>
              <w:wordWrap w:val="0"/>
              <w:overflowPunct/>
              <w:bidi w:val="0"/>
              <w:spacing w:after="0" w:line="38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 列 内 容</w:t>
            </w:r>
          </w:p>
        </w:tc>
      </w:tr>
      <w:tr w14:paraId="3E212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3" w:hRule="atLeast"/>
          <w:jc w:val="center"/>
        </w:trPr>
        <w:tc>
          <w:tcPr>
            <w:tcW w:w="756" w:type="dxa"/>
            <w:vAlign w:val="center"/>
          </w:tcPr>
          <w:p w14:paraId="7EB4AD87">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1.1.2</w:t>
            </w:r>
          </w:p>
        </w:tc>
        <w:tc>
          <w:tcPr>
            <w:tcW w:w="2005" w:type="dxa"/>
            <w:vAlign w:val="center"/>
          </w:tcPr>
          <w:p w14:paraId="5DDC87D4">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6936" w:type="dxa"/>
            <w:vAlign w:val="center"/>
          </w:tcPr>
          <w:p w14:paraId="789FC1AE">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名  称：开远市中和营镇人民政府</w:t>
            </w:r>
          </w:p>
          <w:p w14:paraId="67952BEB">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地  址：开远市中和营镇</w:t>
            </w:r>
          </w:p>
          <w:p w14:paraId="629B7D59">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联系人：王冀</w:t>
            </w:r>
          </w:p>
          <w:p w14:paraId="04909600">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电  话：0873-7431329</w:t>
            </w:r>
          </w:p>
        </w:tc>
      </w:tr>
      <w:tr w14:paraId="13029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4" w:hRule="atLeast"/>
          <w:jc w:val="center"/>
        </w:trPr>
        <w:tc>
          <w:tcPr>
            <w:tcW w:w="756" w:type="dxa"/>
            <w:vAlign w:val="center"/>
          </w:tcPr>
          <w:p w14:paraId="2991E722">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1.1.3</w:t>
            </w:r>
          </w:p>
        </w:tc>
        <w:tc>
          <w:tcPr>
            <w:tcW w:w="2005" w:type="dxa"/>
            <w:vAlign w:val="center"/>
          </w:tcPr>
          <w:p w14:paraId="3E04720C">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6936" w:type="dxa"/>
          </w:tcPr>
          <w:p w14:paraId="43420FCB">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  称 ：红河州盛雅招标咨询有限公司</w:t>
            </w:r>
          </w:p>
          <w:p w14:paraId="69DB6A4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：开远市东新路275号</w:t>
            </w:r>
          </w:p>
          <w:p w14:paraId="692DAA2A">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 ：</w:t>
            </w:r>
            <w:r>
              <w:rPr>
                <w:rFonts w:hint="eastAsia" w:ascii="宋体" w:hAnsi="宋体" w:eastAsia="宋体" w:cs="宋体"/>
                <w:color w:val="auto"/>
                <w:sz w:val="21"/>
                <w:szCs w:val="21"/>
                <w:highlight w:val="none"/>
                <w:lang w:val="en-US" w:eastAsia="zh-CN"/>
              </w:rPr>
              <w:t>李秀梅、方金花</w:t>
            </w:r>
          </w:p>
          <w:p w14:paraId="39FA2034">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w:t>
            </w:r>
            <w:r>
              <w:rPr>
                <w:rFonts w:hint="eastAsia" w:ascii="宋体" w:hAnsi="宋体" w:eastAsia="宋体" w:cs="宋体"/>
                <w:color w:val="auto"/>
                <w:sz w:val="21"/>
                <w:szCs w:val="21"/>
                <w:highlight w:val="none"/>
                <w:lang w:val="en-US" w:eastAsia="zh-CN"/>
              </w:rPr>
              <w:t>15087320550、18987388940</w:t>
            </w:r>
          </w:p>
        </w:tc>
      </w:tr>
      <w:tr w14:paraId="3AF66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756" w:type="dxa"/>
            <w:vAlign w:val="center"/>
          </w:tcPr>
          <w:p w14:paraId="4C3C30F0">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1.1.4</w:t>
            </w:r>
          </w:p>
        </w:tc>
        <w:tc>
          <w:tcPr>
            <w:tcW w:w="2005" w:type="dxa"/>
            <w:vAlign w:val="center"/>
          </w:tcPr>
          <w:p w14:paraId="49BA04B3">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936" w:type="dxa"/>
            <w:vAlign w:val="center"/>
          </w:tcPr>
          <w:p w14:paraId="6C757E91">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开远市中和营镇红薯分拣愈合中心配套附属设施及屋顶光伏自纳降本（余电上网）建设项目</w:t>
            </w:r>
          </w:p>
        </w:tc>
      </w:tr>
      <w:tr w14:paraId="19134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756" w:type="dxa"/>
            <w:vAlign w:val="center"/>
          </w:tcPr>
          <w:p w14:paraId="00F31ACF">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1.1.5</w:t>
            </w:r>
          </w:p>
        </w:tc>
        <w:tc>
          <w:tcPr>
            <w:tcW w:w="2005" w:type="dxa"/>
            <w:vAlign w:val="center"/>
          </w:tcPr>
          <w:p w14:paraId="5AF2ED97">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项目地点</w:t>
            </w:r>
          </w:p>
        </w:tc>
        <w:tc>
          <w:tcPr>
            <w:tcW w:w="6936" w:type="dxa"/>
            <w:vAlign w:val="center"/>
          </w:tcPr>
          <w:p w14:paraId="7C5B9753">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开远市中和营镇</w:t>
            </w:r>
          </w:p>
        </w:tc>
      </w:tr>
      <w:tr w14:paraId="7F41E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756" w:type="dxa"/>
            <w:vAlign w:val="center"/>
          </w:tcPr>
          <w:p w14:paraId="1F4B887E">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w:t>
            </w:r>
          </w:p>
        </w:tc>
        <w:tc>
          <w:tcPr>
            <w:tcW w:w="2005" w:type="dxa"/>
            <w:vAlign w:val="center"/>
          </w:tcPr>
          <w:p w14:paraId="536B8F3A">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6936" w:type="dxa"/>
            <w:vAlign w:val="center"/>
          </w:tcPr>
          <w:p w14:paraId="550DF3BE">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财政性资金</w:t>
            </w:r>
          </w:p>
        </w:tc>
      </w:tr>
      <w:tr w14:paraId="3802D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jc w:val="center"/>
        </w:trPr>
        <w:tc>
          <w:tcPr>
            <w:tcW w:w="756" w:type="dxa"/>
            <w:vAlign w:val="center"/>
          </w:tcPr>
          <w:p w14:paraId="1E3CD664">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w:t>
            </w:r>
          </w:p>
        </w:tc>
        <w:tc>
          <w:tcPr>
            <w:tcW w:w="2005" w:type="dxa"/>
            <w:vAlign w:val="center"/>
          </w:tcPr>
          <w:p w14:paraId="5B6D0B54">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936" w:type="dxa"/>
            <w:vAlign w:val="center"/>
          </w:tcPr>
          <w:p w14:paraId="64A3489A">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5B25A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jc w:val="center"/>
        </w:trPr>
        <w:tc>
          <w:tcPr>
            <w:tcW w:w="756" w:type="dxa"/>
            <w:vAlign w:val="center"/>
          </w:tcPr>
          <w:p w14:paraId="20A745F8">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1.2.3</w:t>
            </w:r>
          </w:p>
        </w:tc>
        <w:tc>
          <w:tcPr>
            <w:tcW w:w="2005" w:type="dxa"/>
            <w:vAlign w:val="center"/>
          </w:tcPr>
          <w:p w14:paraId="67B4867A">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tc>
        <w:tc>
          <w:tcPr>
            <w:tcW w:w="6936" w:type="dxa"/>
            <w:vAlign w:val="center"/>
          </w:tcPr>
          <w:p w14:paraId="4D154384">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rPr>
              <w:t>以采购人及成交人签订施工合同为准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highlight w:val="none"/>
                <w:lang w:val="en-US" w:eastAsia="zh-CN"/>
              </w:rPr>
              <w:t xml:space="preserve"> </w:t>
            </w:r>
          </w:p>
        </w:tc>
      </w:tr>
      <w:tr w14:paraId="14282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756" w:type="dxa"/>
            <w:vAlign w:val="center"/>
          </w:tcPr>
          <w:p w14:paraId="0C226425">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w:t>
            </w:r>
          </w:p>
        </w:tc>
        <w:tc>
          <w:tcPr>
            <w:tcW w:w="2005" w:type="dxa"/>
            <w:vAlign w:val="center"/>
          </w:tcPr>
          <w:p w14:paraId="3B43DD5F">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合同履行期限     </w:t>
            </w:r>
          </w:p>
        </w:tc>
        <w:tc>
          <w:tcPr>
            <w:tcW w:w="6936" w:type="dxa"/>
            <w:vAlign w:val="center"/>
          </w:tcPr>
          <w:p w14:paraId="13349D3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90日历天</w:t>
            </w:r>
          </w:p>
        </w:tc>
      </w:tr>
      <w:tr w14:paraId="79AED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6" w:type="dxa"/>
            <w:vAlign w:val="center"/>
          </w:tcPr>
          <w:p w14:paraId="14329C59">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1.3.2</w:t>
            </w:r>
          </w:p>
        </w:tc>
        <w:tc>
          <w:tcPr>
            <w:tcW w:w="2005" w:type="dxa"/>
            <w:vAlign w:val="center"/>
          </w:tcPr>
          <w:p w14:paraId="5DCCEA75">
            <w:pPr>
              <w:pageBreakBefore w:val="0"/>
              <w:numPr>
                <w:ilvl w:val="0"/>
                <w:numId w:val="0"/>
              </w:numPr>
              <w:kinsoku/>
              <w:wordWrap w:val="0"/>
              <w:overflowPunct/>
              <w:bidi w:val="0"/>
              <w:spacing w:after="0" w:line="36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磋商内容</w:t>
            </w:r>
          </w:p>
          <w:p w14:paraId="618F2BC1">
            <w:pPr>
              <w:pageBreakBefore w:val="0"/>
              <w:numPr>
                <w:ilvl w:val="0"/>
                <w:numId w:val="0"/>
              </w:numPr>
              <w:kinsoku/>
              <w:wordWrap w:val="0"/>
              <w:overflowPunct/>
              <w:bidi w:val="0"/>
              <w:spacing w:after="0" w:line="360" w:lineRule="exact"/>
              <w:ind w:firstLine="210" w:firstLineChars="1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（采购需求）</w:t>
            </w:r>
          </w:p>
        </w:tc>
        <w:tc>
          <w:tcPr>
            <w:tcW w:w="6936" w:type="dxa"/>
            <w:vAlign w:val="center"/>
          </w:tcPr>
          <w:p w14:paraId="2057D8BE">
            <w:pPr>
              <w:pageBreakBefore w:val="0"/>
              <w:numPr>
                <w:ilvl w:val="0"/>
                <w:numId w:val="0"/>
              </w:numPr>
              <w:kinsoku/>
              <w:wordWrap w:val="0"/>
              <w:overflowPunct/>
              <w:bidi w:val="0"/>
              <w:spacing w:after="0"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为开远市中和营镇红薯分拣愈合中心配套附属设施及屋顶光伏自纳降本（余电上网）建设项目，工程内容包括：公厕一土建及装饰工程、钢结构工程、水电安装、室外附属工程、屋顶光伏自纳降本（余电上网）等（具体内容以工程量清单为准）。</w:t>
            </w:r>
          </w:p>
        </w:tc>
      </w:tr>
      <w:tr w14:paraId="11972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756" w:type="dxa"/>
            <w:vAlign w:val="center"/>
          </w:tcPr>
          <w:p w14:paraId="22F29A46">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1.3.3</w:t>
            </w:r>
          </w:p>
        </w:tc>
        <w:tc>
          <w:tcPr>
            <w:tcW w:w="2005" w:type="dxa"/>
            <w:vAlign w:val="center"/>
          </w:tcPr>
          <w:p w14:paraId="3462FD33">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质量要求</w:t>
            </w:r>
          </w:p>
        </w:tc>
        <w:tc>
          <w:tcPr>
            <w:tcW w:w="6936" w:type="dxa"/>
            <w:vAlign w:val="center"/>
          </w:tcPr>
          <w:p w14:paraId="7A6CF80E">
            <w:pPr>
              <w:pageBreakBefore w:val="0"/>
              <w:numPr>
                <w:ilvl w:val="0"/>
                <w:numId w:val="0"/>
              </w:numPr>
              <w:kinsoku/>
              <w:wordWrap w:val="0"/>
              <w:overflowPunct/>
              <w:bidi w:val="0"/>
              <w:spacing w:after="0"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符合国家相关标准、规范要求，工程质量达到一次性验收合格。</w:t>
            </w:r>
          </w:p>
        </w:tc>
      </w:tr>
      <w:tr w14:paraId="57449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jc w:val="center"/>
        </w:trPr>
        <w:tc>
          <w:tcPr>
            <w:tcW w:w="756" w:type="dxa"/>
            <w:vAlign w:val="center"/>
          </w:tcPr>
          <w:p w14:paraId="3AC99404">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1.4.1</w:t>
            </w:r>
          </w:p>
        </w:tc>
        <w:tc>
          <w:tcPr>
            <w:tcW w:w="2005" w:type="dxa"/>
            <w:vAlign w:val="center"/>
          </w:tcPr>
          <w:p w14:paraId="03BBFF88">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供应商的资格要求</w:t>
            </w:r>
          </w:p>
        </w:tc>
        <w:tc>
          <w:tcPr>
            <w:tcW w:w="6936" w:type="dxa"/>
          </w:tcPr>
          <w:p w14:paraId="13CCAC2F">
            <w:pPr>
              <w:pageBreakBefore w:val="0"/>
              <w:kinsoku/>
              <w:wordWrap w:val="0"/>
              <w:overflowPunct/>
              <w:bidi w:val="0"/>
              <w:spacing w:after="0" w:line="3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1.资格条件</w:t>
            </w:r>
          </w:p>
          <w:p w14:paraId="11B44C23">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⑴满足《中华人民共和国政府采购法》第二十二条规定；</w:t>
            </w:r>
          </w:p>
          <w:p w14:paraId="7737DBEB">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⑵落实政府采购政策需满足的资格要求：本项目专门面向中小企业采购，采购标的对应的中小企业划分标准所属行业为</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建筑业</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，供应商属于规定中小微企业、监狱企业、残疾人福利性单位的具体资格要求以</w:t>
            </w:r>
            <w:r>
              <w:rPr>
                <w:rFonts w:hint="eastAsia" w:ascii="宋体" w:hAnsi="宋体" w:eastAsia="宋体" w:cs="宋体"/>
                <w:color w:val="auto"/>
                <w:sz w:val="21"/>
                <w:szCs w:val="21"/>
                <w:highlight w:val="none"/>
                <w:lang w:val="en-US" w:eastAsia="zh-CN"/>
              </w:rPr>
              <w:t>本</w:t>
            </w:r>
            <w:r>
              <w:rPr>
                <w:rFonts w:hint="eastAsia" w:ascii="宋体" w:hAnsi="宋体" w:eastAsia="宋体" w:cs="宋体"/>
                <w:color w:val="auto"/>
                <w:sz w:val="21"/>
                <w:szCs w:val="21"/>
                <w:highlight w:val="none"/>
              </w:rPr>
              <w:t>章“供应商须知前附表”</w:t>
            </w:r>
            <w:r>
              <w:rPr>
                <w:rFonts w:hint="eastAsia" w:ascii="宋体" w:hAnsi="宋体" w:eastAsia="宋体" w:cs="宋体"/>
                <w:color w:val="auto"/>
                <w:sz w:val="21"/>
                <w:szCs w:val="21"/>
                <w:highlight w:val="none"/>
                <w:lang w:val="en-US" w:eastAsia="zh-CN"/>
              </w:rPr>
              <w:t>第10.5款</w:t>
            </w:r>
            <w:r>
              <w:rPr>
                <w:rFonts w:hint="eastAsia" w:ascii="宋体" w:hAnsi="宋体" w:eastAsia="宋体" w:cs="宋体"/>
                <w:color w:val="auto"/>
                <w:sz w:val="21"/>
                <w:szCs w:val="21"/>
                <w:highlight w:val="none"/>
              </w:rPr>
              <w:t>为准，其他未尽事宜，按现行相关法律法规执行；</w:t>
            </w:r>
          </w:p>
          <w:p w14:paraId="54CCF57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⑶本项目的特定资格要求：</w:t>
            </w:r>
          </w:p>
          <w:p w14:paraId="361AE3B5">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eastAsia="zh-CN"/>
              </w:rPr>
              <w:t>供应商须具备有效的建设行政主管部门颁发的</w:t>
            </w:r>
            <w:r>
              <w:rPr>
                <w:rFonts w:hint="eastAsia" w:ascii="宋体" w:hAnsi="宋体" w:eastAsia="宋体" w:cs="宋体"/>
                <w:color w:val="auto"/>
                <w:sz w:val="21"/>
                <w:szCs w:val="21"/>
                <w:highlight w:val="none"/>
                <w:lang w:val="en-US" w:eastAsia="zh-CN"/>
              </w:rPr>
              <w:t>建筑</w:t>
            </w:r>
            <w:r>
              <w:rPr>
                <w:rFonts w:hint="eastAsia" w:ascii="宋体" w:hAnsi="宋体" w:eastAsia="宋体" w:cs="宋体"/>
                <w:color w:val="auto"/>
                <w:sz w:val="21"/>
                <w:szCs w:val="21"/>
                <w:highlight w:val="none"/>
                <w:lang w:eastAsia="zh-CN"/>
              </w:rPr>
              <w:t>工程施工总承包叁级及以上资质并具有安全生产许可证</w:t>
            </w:r>
            <w:r>
              <w:rPr>
                <w:rFonts w:hint="eastAsia" w:ascii="宋体" w:hAnsi="宋体" w:eastAsia="宋体" w:cs="宋体"/>
                <w:color w:val="auto"/>
                <w:sz w:val="21"/>
                <w:szCs w:val="21"/>
                <w:highlight w:val="none"/>
              </w:rPr>
              <w:t>（注：政府及国有投资项目严格按照承包范围对应的资质等级要求）</w:t>
            </w:r>
            <w:r>
              <w:rPr>
                <w:rFonts w:hint="eastAsia" w:ascii="宋体" w:hAnsi="宋体" w:eastAsia="宋体" w:cs="宋体"/>
                <w:color w:val="auto"/>
                <w:sz w:val="21"/>
                <w:szCs w:val="21"/>
                <w:highlight w:val="none"/>
                <w:lang w:eastAsia="zh-CN"/>
              </w:rPr>
              <w:t>；</w:t>
            </w:r>
          </w:p>
          <w:p w14:paraId="4C4137D8">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eastAsia="zh-CN"/>
              </w:rPr>
              <w:t>拟派往本项目的项目负责人须具备有效的二级及以上注册建造师证书（</w:t>
            </w:r>
            <w:r>
              <w:rPr>
                <w:rFonts w:hint="eastAsia" w:ascii="宋体" w:hAnsi="宋体" w:eastAsia="宋体" w:cs="宋体"/>
                <w:color w:val="auto"/>
                <w:sz w:val="21"/>
                <w:szCs w:val="21"/>
                <w:highlight w:val="none"/>
                <w:lang w:val="en-US" w:eastAsia="zh-CN"/>
              </w:rPr>
              <w:t>建筑</w:t>
            </w:r>
            <w:r>
              <w:rPr>
                <w:rFonts w:hint="eastAsia" w:ascii="宋体" w:hAnsi="宋体" w:eastAsia="宋体" w:cs="宋体"/>
                <w:color w:val="auto"/>
                <w:sz w:val="21"/>
                <w:szCs w:val="21"/>
                <w:highlight w:val="none"/>
                <w:lang w:eastAsia="zh-CN"/>
              </w:rPr>
              <w:t>工程专业）及安全考核合格B证，且注册在申请人单位。</w:t>
            </w:r>
          </w:p>
          <w:p w14:paraId="173F93AB">
            <w:pPr>
              <w:pageBreakBefore w:val="0"/>
              <w:kinsoku/>
              <w:wordWrap w:val="0"/>
              <w:overflowPunct/>
              <w:bidi w:val="0"/>
              <w:spacing w:after="0" w:line="3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2.其他补充事宜</w:t>
            </w:r>
          </w:p>
          <w:p w14:paraId="27DEB3B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发布公告的媒介</w:t>
            </w:r>
          </w:p>
          <w:p w14:paraId="2FB12221">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本次竞争性磋商公告</w:t>
            </w:r>
            <w:r>
              <w:rPr>
                <w:rFonts w:hint="eastAsia" w:ascii="宋体" w:hAnsi="宋体" w:eastAsia="宋体" w:cs="宋体"/>
                <w:color w:val="auto"/>
                <w:sz w:val="21"/>
                <w:szCs w:val="21"/>
                <w:highlight w:val="none"/>
                <w:lang w:val="en-US" w:eastAsia="zh-CN"/>
              </w:rPr>
              <w:t>同时</w:t>
            </w:r>
            <w:r>
              <w:rPr>
                <w:rFonts w:hint="eastAsia" w:ascii="宋体" w:hAnsi="宋体" w:eastAsia="宋体" w:cs="宋体"/>
                <w:color w:val="auto"/>
                <w:sz w:val="21"/>
                <w:szCs w:val="21"/>
                <w:highlight w:val="none"/>
              </w:rPr>
              <w:t>在“云南省政府采购网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政府采购云平台</w:t>
            </w:r>
            <w:r>
              <w:rPr>
                <w:rFonts w:hint="eastAsia" w:ascii="宋体" w:hAnsi="宋体" w:eastAsia="宋体" w:cs="宋体"/>
                <w:color w:val="auto"/>
                <w:sz w:val="21"/>
                <w:szCs w:val="21"/>
                <w:highlight w:val="none"/>
              </w:rPr>
              <w:t>”上发布，供应商应在递交投标文件前随时查看，以获取最新信息。因供应商未及时查看网站信息导致的一切不利后果由供应商自负。对其他网站或媒体转载的公告内容采购人和采购代理机构不承担任何责任。</w:t>
            </w:r>
          </w:p>
          <w:p w14:paraId="0F7FFF85">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⑵</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供应商满足《中华人民共和国政府采购法》第二十二条规定，并按</w:t>
            </w:r>
            <w:r>
              <w:rPr>
                <w:rFonts w:hint="eastAsia" w:ascii="宋体" w:hAnsi="宋体" w:eastAsia="宋体" w:cs="宋体"/>
                <w:color w:val="auto"/>
                <w:sz w:val="21"/>
                <w:szCs w:val="21"/>
                <w:highlight w:val="none"/>
                <w:lang w:val="en-US" w:eastAsia="zh-CN"/>
              </w:rPr>
              <w:t>照</w:t>
            </w:r>
            <w:r>
              <w:rPr>
                <w:rFonts w:hint="eastAsia" w:ascii="宋体" w:hAnsi="宋体" w:eastAsia="宋体" w:cs="宋体"/>
                <w:color w:val="auto"/>
                <w:sz w:val="21"/>
                <w:szCs w:val="21"/>
                <w:highlight w:val="none"/>
              </w:rPr>
              <w:t>《中华人民共和国政府采购法实施条例》第十七条</w:t>
            </w:r>
            <w:r>
              <w:rPr>
                <w:rFonts w:hint="eastAsia" w:ascii="宋体" w:hAnsi="宋体" w:eastAsia="宋体" w:cs="宋体"/>
                <w:color w:val="auto"/>
                <w:sz w:val="21"/>
                <w:szCs w:val="21"/>
                <w:highlight w:val="none"/>
                <w:lang w:val="en-US" w:eastAsia="zh-CN"/>
              </w:rPr>
              <w:t>要求</w:t>
            </w:r>
            <w:r>
              <w:rPr>
                <w:rFonts w:hint="eastAsia" w:ascii="宋体" w:hAnsi="宋体" w:eastAsia="宋体" w:cs="宋体"/>
                <w:color w:val="auto"/>
                <w:sz w:val="21"/>
                <w:szCs w:val="21"/>
                <w:highlight w:val="none"/>
              </w:rPr>
              <w:t>提供下列材料：</w:t>
            </w:r>
          </w:p>
          <w:p w14:paraId="422A1685">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有效的企业法人营业执照或其他组织证明文件；</w:t>
            </w:r>
          </w:p>
          <w:p w14:paraId="5F5D199D">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2024</w:t>
            </w:r>
            <w:r>
              <w:rPr>
                <w:rFonts w:hint="eastAsia" w:ascii="宋体" w:hAnsi="宋体" w:eastAsia="宋体" w:cs="宋体"/>
                <w:color w:val="auto"/>
                <w:sz w:val="21"/>
                <w:szCs w:val="21"/>
                <w:highlight w:val="none"/>
              </w:rPr>
              <w:t>年01月至今任意3个月的依法缴纳税收和社会保障资金的证明材料（依法免税和不需要缴纳社会保障资金的磋商申请人，应提供相应证明材料；成立不足3个月的，须提供书面说明）</w:t>
            </w:r>
            <w:r>
              <w:rPr>
                <w:rFonts w:hint="eastAsia" w:ascii="宋体" w:hAnsi="宋体" w:eastAsia="宋体" w:cs="宋体"/>
                <w:color w:val="auto"/>
                <w:sz w:val="21"/>
                <w:szCs w:val="21"/>
                <w:highlight w:val="none"/>
                <w:lang w:eastAsia="zh-CN"/>
              </w:rPr>
              <w:t>。</w:t>
            </w:r>
          </w:p>
          <w:p w14:paraId="325C0C07">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2022</w:t>
            </w:r>
            <w:r>
              <w:rPr>
                <w:rFonts w:hint="eastAsia" w:ascii="宋体" w:hAnsi="宋体" w:eastAsia="宋体" w:cs="宋体"/>
                <w:color w:val="auto"/>
                <w:sz w:val="21"/>
                <w:szCs w:val="21"/>
                <w:highlight w:val="none"/>
              </w:rPr>
              <w:t>至</w:t>
            </w:r>
            <w:r>
              <w:rPr>
                <w:rFonts w:hint="eastAsia" w:ascii="宋体" w:hAnsi="宋体" w:eastAsia="宋体" w:cs="宋体"/>
                <w:color w:val="auto"/>
                <w:sz w:val="21"/>
                <w:szCs w:val="21"/>
                <w:highlight w:val="none"/>
                <w:lang w:val="en-US" w:eastAsia="zh-CN"/>
              </w:rPr>
              <w:t>2024</w:t>
            </w:r>
            <w:r>
              <w:rPr>
                <w:rFonts w:hint="eastAsia" w:ascii="宋体" w:hAnsi="宋体" w:eastAsia="宋体" w:cs="宋体"/>
                <w:color w:val="auto"/>
                <w:sz w:val="21"/>
                <w:szCs w:val="21"/>
                <w:highlight w:val="none"/>
              </w:rPr>
              <w:t>度任意一个年度经社会审计机构出具的审计报告及会计报表（含资产负债表、现金流量表、利润表）；未经审计的，可提供202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至202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年度任意一个年度公司内部自行编制的财务报表</w:t>
            </w:r>
            <w:r>
              <w:rPr>
                <w:rFonts w:hint="eastAsia" w:ascii="宋体" w:hAnsi="宋体" w:eastAsia="宋体" w:cs="宋体"/>
                <w:color w:val="auto"/>
                <w:sz w:val="21"/>
                <w:szCs w:val="21"/>
                <w:highlight w:val="none"/>
                <w:lang w:val="en-US" w:eastAsia="zh-CN"/>
              </w:rPr>
              <w:t>或银行开具的资信证明文件</w:t>
            </w:r>
            <w:r>
              <w:rPr>
                <w:rFonts w:hint="eastAsia" w:ascii="宋体" w:hAnsi="宋体" w:eastAsia="宋体" w:cs="宋体"/>
                <w:color w:val="auto"/>
                <w:sz w:val="21"/>
                <w:szCs w:val="21"/>
                <w:highlight w:val="none"/>
              </w:rPr>
              <w:t>（新注册不满一年的企业可提供成立至今的会计报表或银行开具的资信证明文件或书面说明，此项要求可不列入废标条款）；</w:t>
            </w:r>
          </w:p>
          <w:p w14:paraId="6F31FBE7">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提供具有履行合同所必需的设备和专业技术能力相应的证明材料（</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书面声明或承诺书）；</w:t>
            </w:r>
          </w:p>
          <w:p w14:paraId="22B899FE">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提供参加政府采购活动前3年内在经营活动中没有重大违法记录的书面声明；</w:t>
            </w:r>
          </w:p>
          <w:p w14:paraId="23BC79BD">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⑥具备法律、行政法规规定的其他条件的证明材料。</w:t>
            </w:r>
          </w:p>
          <w:p w14:paraId="153F1533">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⑶</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对列入失信被执行人、重大税收违法失信主体、政府采购严重违法失信行为记录（被禁止在一定期限内参加政府采购活动但期限届满的除外）名单及其他不符合《中华人民共和国政府采购法》第二十二条规定条件的供应商，拒绝参与本次政府采购活动；</w:t>
            </w:r>
          </w:p>
          <w:p w14:paraId="6B0107D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⑷</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单位负责人为同一人或者存在直接控股、管理关系的不同供应商，不得参加同一合同项下的政府采购活动。</w:t>
            </w:r>
          </w:p>
          <w:p w14:paraId="0222841E">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⑸</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除单一来源采购项目外，为采购项目提供整体设计、规范编制或者项目管理、监理、检测等服务的供应商，不得再参加该采购项目的其他采购活动。</w:t>
            </w:r>
          </w:p>
          <w:p w14:paraId="6401A2AF">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6 \* GB2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highlight w:val="none"/>
              </w:rPr>
              <w:t>⑹</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采购人或采购代理机构将在投标文件递交的截止时间后通过“信用中国”网站（网址：www.creditchina.gov.cn）、中国政府采购网（网址：www.ccgp.gov.cn）等渠道查询投标人相关主体信用记录。查询结果以采购人或采购代理机构在响应文件递交的截止时间后当天，通过“信用中国”网站信用信息查询栏中查询下载的信用报告或“信用服务”查询栏中查询的信息记录及“中国政府采购网”政府采购严重违法失信行为记录名单内无不良信息记录结果为准。</w:t>
            </w:r>
          </w:p>
          <w:p w14:paraId="6A1B1EFA">
            <w:pPr>
              <w:pageBreakBefore w:val="0"/>
              <w:kinsoku/>
              <w:wordWrap w:val="0"/>
              <w:overflowPunct/>
              <w:bidi w:val="0"/>
              <w:spacing w:after="0" w:line="41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p>
          <w:p w14:paraId="41E90E29">
            <w:pPr>
              <w:pageBreakBefore w:val="0"/>
              <w:kinsoku/>
              <w:wordWrap w:val="0"/>
              <w:overflowPunct/>
              <w:bidi w:val="0"/>
              <w:spacing w:after="0" w:line="41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⑴“较大数额罚款”认定为200万元以上的罚款，法律、行政法规以及国务院有关部门明确规定相关领域“较大数额罚款”标准高于200万元的，从其规定。</w:t>
            </w:r>
          </w:p>
          <w:p w14:paraId="6C9E343B">
            <w:pPr>
              <w:pageBreakBefore w:val="0"/>
              <w:kinsoku/>
              <w:wordWrap w:val="0"/>
              <w:overflowPunct/>
              <w:bidi w:val="0"/>
              <w:spacing w:after="0" w:line="41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⑵只有完全满足以上条件的供应商，才可参与磋商。供应商为满足以上条件虚报材料的，一经查实，该响应文件将作废标处理。      </w:t>
            </w:r>
          </w:p>
        </w:tc>
      </w:tr>
      <w:tr w14:paraId="269D9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756" w:type="dxa"/>
            <w:vAlign w:val="center"/>
          </w:tcPr>
          <w:p w14:paraId="74D242D2">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1.4.2</w:t>
            </w:r>
          </w:p>
        </w:tc>
        <w:tc>
          <w:tcPr>
            <w:tcW w:w="2005" w:type="dxa"/>
            <w:vAlign w:val="center"/>
          </w:tcPr>
          <w:p w14:paraId="335AA7DB">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w:t>
            </w:r>
          </w:p>
          <w:p w14:paraId="566D12E4">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联合体磋商</w:t>
            </w:r>
          </w:p>
        </w:tc>
        <w:tc>
          <w:tcPr>
            <w:tcW w:w="6936" w:type="dxa"/>
            <w:vAlign w:val="center"/>
          </w:tcPr>
          <w:p w14:paraId="122DBD47">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不接受</w:t>
            </w:r>
          </w:p>
          <w:p w14:paraId="62172C00">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接受   </w:t>
            </w:r>
          </w:p>
          <w:p w14:paraId="0B89F718">
            <w:pPr>
              <w:pStyle w:val="55"/>
              <w:pageBreakBefore w:val="0"/>
              <w:kinsoku/>
              <w:wordWrap w:val="0"/>
              <w:overflowPunct/>
              <w:bidi w:val="0"/>
              <w:spacing w:before="0" w:beforeAutospacing="0" w:after="0" w:afterAutospacing="0" w:line="4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以联合体形式进行政府采购的，参加联合体的供应商均应当具备《中华人民共和国政府采购法实施条例》第二十二条规定的条件，并应当向采购人提交联合协议，载明联合体各方承担的工作和义务。联合体各方应当共同与采购人签订采购合同，就采购合同约定的事项对采购人承担连带责任。以联合体形式参加政府采购活动的，联合体各方不得再单独参加或者与其他供应商另外组成联合体参加同一合同项下的政府采购活动。 </w:t>
            </w:r>
          </w:p>
        </w:tc>
      </w:tr>
      <w:tr w14:paraId="78746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756" w:type="dxa"/>
            <w:vAlign w:val="center"/>
          </w:tcPr>
          <w:p w14:paraId="62D552AF">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1.4.5</w:t>
            </w:r>
          </w:p>
        </w:tc>
        <w:tc>
          <w:tcPr>
            <w:tcW w:w="2005" w:type="dxa"/>
            <w:vAlign w:val="center"/>
          </w:tcPr>
          <w:p w14:paraId="2448F8A6">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是否接受分公司磋商</w:t>
            </w:r>
          </w:p>
        </w:tc>
        <w:tc>
          <w:tcPr>
            <w:tcW w:w="6936" w:type="dxa"/>
            <w:vAlign w:val="center"/>
          </w:tcPr>
          <w:p w14:paraId="5531285D">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不接受</w:t>
            </w:r>
          </w:p>
          <w:p w14:paraId="787A343D">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接受，采购人接受分公司参与磋商的其他要求：</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u w:val="none"/>
                <w:lang w:val="en-US" w:eastAsia="zh-CN" w:bidi="ar-SA"/>
              </w:rPr>
              <w:t>。</w:t>
            </w:r>
          </w:p>
          <w:p w14:paraId="0FD4391E">
            <w:pPr>
              <w:pStyle w:val="55"/>
              <w:pageBreakBefore w:val="0"/>
              <w:kinsoku/>
              <w:wordWrap w:val="0"/>
              <w:overflowPunct/>
              <w:bidi w:val="0"/>
              <w:spacing w:before="0" w:beforeAutospacing="0" w:after="0" w:afterAutospacing="0" w:line="440" w:lineRule="exac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注：根据《中华人民共和国政府采购法》第二十二条规定，政府采购的供应商应当具备独立承担民事责任的能力，若采购人接受分公司磋商，供应商在参与磋商时，应按下列条款提交对应证明资料：</w:t>
            </w:r>
          </w:p>
          <w:p w14:paraId="0F473499">
            <w:pPr>
              <w:pStyle w:val="55"/>
              <w:pageBreakBefore w:val="0"/>
              <w:kinsoku/>
              <w:wordWrap w:val="0"/>
              <w:overflowPunct/>
              <w:bidi w:val="0"/>
              <w:spacing w:before="0" w:beforeAutospacing="0" w:after="0" w:afterAutospacing="0" w:line="440" w:lineRule="exact"/>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1.分公司不具备独立承担民事责任的能力，其民事责任由其总公司承担的，提供总公司针对本项目授权分公司参与磋商的唯一授权书；</w:t>
            </w:r>
          </w:p>
          <w:p w14:paraId="0C6ACB62">
            <w:pPr>
              <w:pStyle w:val="55"/>
              <w:pageBreakBefore w:val="0"/>
              <w:kinsoku/>
              <w:wordWrap w:val="0"/>
              <w:overflowPunct/>
              <w:bidi w:val="0"/>
              <w:spacing w:before="0" w:beforeAutospacing="0" w:after="0" w:afterAutospacing="0" w:line="44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2.对于银行、保险、电信、邮政、铁路等行业，采用公司文件或公司制度的形式授权其分公司独立开展业务的情况，其民事责任由总公司承担的，出具总公司的有关文件或制度等能够证明总公司授权其独立开展业务的证明文件（须加盖总公司单位公章）；</w:t>
            </w:r>
            <w:r>
              <w:rPr>
                <w:rFonts w:hint="eastAsia" w:ascii="宋体" w:hAnsi="宋体" w:eastAsia="宋体" w:cs="宋体"/>
                <w:color w:val="auto"/>
                <w:sz w:val="21"/>
                <w:szCs w:val="21"/>
                <w:highlight w:val="none"/>
                <w:lang w:val="en-US" w:eastAsia="zh-CN"/>
              </w:rPr>
              <w:t>且其</w:t>
            </w:r>
            <w:r>
              <w:rPr>
                <w:rFonts w:hint="eastAsia" w:ascii="宋体" w:hAnsi="宋体" w:eastAsia="宋体" w:cs="宋体"/>
                <w:color w:val="auto"/>
                <w:sz w:val="21"/>
                <w:szCs w:val="21"/>
                <w:highlight w:val="none"/>
              </w:rPr>
              <w:t>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响应文件）</w:t>
            </w:r>
            <w:r>
              <w:rPr>
                <w:rFonts w:hint="eastAsia" w:ascii="宋体" w:hAnsi="宋体" w:eastAsia="宋体" w:cs="宋体"/>
                <w:color w:val="auto"/>
                <w:sz w:val="21"/>
                <w:szCs w:val="21"/>
                <w:highlight w:val="none"/>
              </w:rPr>
              <w:t>中法定代表人身份证明书及授权书可以为分支机构负责人身份证明书及授权书。</w:t>
            </w:r>
          </w:p>
        </w:tc>
      </w:tr>
      <w:tr w14:paraId="2CD69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756" w:type="dxa"/>
            <w:tcBorders>
              <w:top w:val="single" w:color="auto" w:sz="4" w:space="0"/>
            </w:tcBorders>
            <w:vAlign w:val="center"/>
          </w:tcPr>
          <w:p w14:paraId="0E480079">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1.9.1</w:t>
            </w:r>
          </w:p>
        </w:tc>
        <w:tc>
          <w:tcPr>
            <w:tcW w:w="2005" w:type="dxa"/>
            <w:tcBorders>
              <w:top w:val="single" w:color="auto" w:sz="4" w:space="0"/>
            </w:tcBorders>
            <w:vAlign w:val="center"/>
          </w:tcPr>
          <w:p w14:paraId="0CB033F4">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6936" w:type="dxa"/>
            <w:tcBorders>
              <w:top w:val="single" w:color="auto" w:sz="4" w:space="0"/>
            </w:tcBorders>
          </w:tcPr>
          <w:p w14:paraId="312C77DC">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不统一组织，自行踏勘</w:t>
            </w:r>
          </w:p>
          <w:p w14:paraId="20A7CC08">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组织，组织集体踏勘</w:t>
            </w:r>
          </w:p>
        </w:tc>
      </w:tr>
      <w:tr w14:paraId="443C1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756" w:type="dxa"/>
            <w:vAlign w:val="center"/>
          </w:tcPr>
          <w:p w14:paraId="67BBC83A">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1.10.1</w:t>
            </w:r>
          </w:p>
        </w:tc>
        <w:tc>
          <w:tcPr>
            <w:tcW w:w="2005" w:type="dxa"/>
            <w:vAlign w:val="center"/>
          </w:tcPr>
          <w:p w14:paraId="69E564D2">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磋商预备会</w:t>
            </w:r>
          </w:p>
        </w:tc>
        <w:tc>
          <w:tcPr>
            <w:tcW w:w="6936" w:type="dxa"/>
          </w:tcPr>
          <w:p w14:paraId="3C3C6219">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不召开</w:t>
            </w:r>
          </w:p>
          <w:p w14:paraId="2A377DAD">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召开</w:t>
            </w:r>
          </w:p>
          <w:p w14:paraId="4FBE0E74">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召开时间：</w:t>
            </w:r>
            <w:r>
              <w:rPr>
                <w:rFonts w:hint="eastAsia" w:ascii="宋体" w:hAnsi="宋体" w:eastAsia="宋体" w:cs="宋体"/>
                <w:color w:val="auto"/>
                <w:sz w:val="21"/>
                <w:szCs w:val="21"/>
                <w:highlight w:val="none"/>
                <w:u w:val="single"/>
                <w:lang w:val="en-US" w:eastAsia="zh-CN"/>
              </w:rPr>
              <w:t xml:space="preserve">                     </w:t>
            </w:r>
          </w:p>
          <w:p w14:paraId="5EDFE77B">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召开地点：</w:t>
            </w:r>
            <w:r>
              <w:rPr>
                <w:rFonts w:hint="eastAsia" w:ascii="宋体" w:hAnsi="宋体" w:eastAsia="宋体" w:cs="宋体"/>
                <w:color w:val="auto"/>
                <w:sz w:val="21"/>
                <w:szCs w:val="21"/>
                <w:highlight w:val="none"/>
                <w:u w:val="single"/>
                <w:lang w:val="en-US" w:eastAsia="zh-CN"/>
              </w:rPr>
              <w:t xml:space="preserve">                     </w:t>
            </w:r>
          </w:p>
        </w:tc>
      </w:tr>
      <w:tr w14:paraId="30EEA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6BAF53B4">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1.11</w:t>
            </w:r>
          </w:p>
        </w:tc>
        <w:tc>
          <w:tcPr>
            <w:tcW w:w="2005" w:type="dxa"/>
            <w:vAlign w:val="center"/>
          </w:tcPr>
          <w:p w14:paraId="038B2A94">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936" w:type="dxa"/>
            <w:vAlign w:val="center"/>
          </w:tcPr>
          <w:p w14:paraId="167B7A2A">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14:paraId="6DE94482">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w:t>
            </w:r>
            <w:r>
              <w:rPr>
                <w:rFonts w:hint="eastAsia" w:ascii="宋体" w:hAnsi="宋体" w:eastAsia="宋体" w:cs="宋体"/>
                <w:color w:val="auto"/>
                <w:sz w:val="21"/>
                <w:szCs w:val="21"/>
                <w:highlight w:val="none"/>
                <w:lang w:eastAsia="zh-CN"/>
              </w:rPr>
              <w:t>：</w:t>
            </w:r>
          </w:p>
          <w:p w14:paraId="0D525C21">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分包内容：分包的内容和要求符合国家相关规定。</w:t>
            </w:r>
          </w:p>
          <w:p w14:paraId="523C737F">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分包人资质：符合国家有关资质管理规定。</w:t>
            </w:r>
          </w:p>
          <w:p w14:paraId="45133B4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按照招标投标法及其实施条例必须进行招标的工程建设项目以外的工程建设项目。成交人按照合同约定或者经采购人同意，可以将成交项目的部分非主体、非关键性工作分包给他人完成。接受分包的人应当具备相应的资格条件，并不得再次分包。成交人应当就分包项目向采购人负责，接受分包的人就分包项目承担连带责任。</w:t>
            </w:r>
          </w:p>
        </w:tc>
      </w:tr>
      <w:tr w14:paraId="7426B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6446B2F9">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1.12</w:t>
            </w:r>
          </w:p>
        </w:tc>
        <w:tc>
          <w:tcPr>
            <w:tcW w:w="2005" w:type="dxa"/>
            <w:vAlign w:val="center"/>
          </w:tcPr>
          <w:p w14:paraId="46E3D87C">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偏差</w:t>
            </w:r>
          </w:p>
        </w:tc>
        <w:tc>
          <w:tcPr>
            <w:tcW w:w="6936" w:type="dxa"/>
            <w:vAlign w:val="center"/>
          </w:tcPr>
          <w:p w14:paraId="59F60048">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不允许</w:t>
            </w:r>
          </w:p>
          <w:p w14:paraId="335A9170">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允许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允许优于</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文件要求的正偏离。</w:t>
            </w:r>
          </w:p>
        </w:tc>
      </w:tr>
      <w:tr w14:paraId="2E8AE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jc w:val="center"/>
        </w:trPr>
        <w:tc>
          <w:tcPr>
            <w:tcW w:w="756" w:type="dxa"/>
            <w:vAlign w:val="center"/>
          </w:tcPr>
          <w:p w14:paraId="3294534F">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1.10.1</w:t>
            </w:r>
          </w:p>
        </w:tc>
        <w:tc>
          <w:tcPr>
            <w:tcW w:w="2005" w:type="dxa"/>
            <w:vAlign w:val="center"/>
          </w:tcPr>
          <w:p w14:paraId="132B9140">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供应商提出问题的</w:t>
            </w:r>
          </w:p>
          <w:p w14:paraId="29635A9B">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截止时间和</w:t>
            </w:r>
            <w:r>
              <w:rPr>
                <w:rFonts w:hint="eastAsia" w:ascii="宋体" w:hAnsi="宋体" w:eastAsia="宋体" w:cs="宋体"/>
                <w:color w:val="auto"/>
                <w:sz w:val="21"/>
                <w:szCs w:val="21"/>
                <w:highlight w:val="none"/>
                <w:lang w:val="en-US" w:eastAsia="zh-CN"/>
              </w:rPr>
              <w:t>方式</w:t>
            </w:r>
          </w:p>
        </w:tc>
        <w:tc>
          <w:tcPr>
            <w:tcW w:w="6936" w:type="dxa"/>
            <w:vAlign w:val="center"/>
          </w:tcPr>
          <w:p w14:paraId="758728C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rPr>
              <w:t>磋商截止时间至少5日前</w:t>
            </w:r>
          </w:p>
          <w:p w14:paraId="60493274">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rPr>
              <w:t>：使用CA数字证书登录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政府采购云平台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网址：</w:t>
            </w:r>
            <w:r>
              <w:rPr>
                <w:rFonts w:hint="eastAsia" w:ascii="宋体" w:hAnsi="宋体" w:eastAsia="宋体" w:cs="宋体"/>
                <w:color w:val="auto"/>
                <w:sz w:val="21"/>
                <w:szCs w:val="21"/>
                <w:highlight w:val="none"/>
              </w:rPr>
              <w:t>https://www.zcygov.cn/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val="en-US" w:eastAsia="zh-CN"/>
              </w:rPr>
              <w:t>质疑</w:t>
            </w:r>
            <w:r>
              <w:rPr>
                <w:rFonts w:hint="eastAsia" w:ascii="宋体" w:hAnsi="宋体" w:eastAsia="宋体" w:cs="宋体"/>
                <w:color w:val="auto"/>
                <w:sz w:val="21"/>
                <w:szCs w:val="21"/>
                <w:highlight w:val="none"/>
              </w:rPr>
              <w:t>”菜单提出。</w:t>
            </w:r>
          </w:p>
        </w:tc>
      </w:tr>
      <w:tr w14:paraId="56D0F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7" w:hRule="atLeast"/>
          <w:jc w:val="center"/>
        </w:trPr>
        <w:tc>
          <w:tcPr>
            <w:tcW w:w="756" w:type="dxa"/>
            <w:vAlign w:val="center"/>
          </w:tcPr>
          <w:p w14:paraId="4DEC448D">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1.10.2</w:t>
            </w:r>
          </w:p>
        </w:tc>
        <w:tc>
          <w:tcPr>
            <w:tcW w:w="2005" w:type="dxa"/>
            <w:vAlign w:val="center"/>
          </w:tcPr>
          <w:p w14:paraId="5DA177C8">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采购人澄清的</w:t>
            </w:r>
          </w:p>
          <w:p w14:paraId="32290E92">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时间和</w:t>
            </w:r>
            <w:r>
              <w:rPr>
                <w:rFonts w:hint="eastAsia" w:ascii="宋体" w:hAnsi="宋体" w:eastAsia="宋体" w:cs="宋体"/>
                <w:color w:val="auto"/>
                <w:sz w:val="21"/>
                <w:szCs w:val="21"/>
                <w:highlight w:val="none"/>
                <w:lang w:val="en-US" w:eastAsia="zh-CN"/>
              </w:rPr>
              <w:t>方式</w:t>
            </w:r>
          </w:p>
        </w:tc>
        <w:tc>
          <w:tcPr>
            <w:tcW w:w="6936" w:type="dxa"/>
            <w:vAlign w:val="center"/>
          </w:tcPr>
          <w:p w14:paraId="0A65D997">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rPr>
              <w:t>磋商截止时间至少5日前</w:t>
            </w:r>
          </w:p>
          <w:p w14:paraId="77D183A0">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人通过“政府采购云平台”（网址：https://www.zcygov.cn/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发出</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文件澄清。所有获取了</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文件的潜在</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登录“政府采购云平台”（网址：https://www.zcygov.cn/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凭企业身份认证数字证书（CA）查看澄清内容。</w:t>
            </w:r>
          </w:p>
        </w:tc>
      </w:tr>
      <w:tr w14:paraId="364BB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756" w:type="dxa"/>
            <w:vAlign w:val="center"/>
          </w:tcPr>
          <w:p w14:paraId="65482A90">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2.1</w:t>
            </w:r>
          </w:p>
        </w:tc>
        <w:tc>
          <w:tcPr>
            <w:tcW w:w="2005" w:type="dxa"/>
            <w:vAlign w:val="center"/>
          </w:tcPr>
          <w:p w14:paraId="43AA610F">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构成采购文件的</w:t>
            </w:r>
          </w:p>
          <w:p w14:paraId="507D3D65">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其他材料</w:t>
            </w:r>
          </w:p>
        </w:tc>
        <w:tc>
          <w:tcPr>
            <w:tcW w:w="6936" w:type="dxa"/>
            <w:vAlign w:val="center"/>
          </w:tcPr>
          <w:p w14:paraId="56448289">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如补充通知、澄清文件、答疑文件等资料（若有）</w:t>
            </w:r>
          </w:p>
        </w:tc>
      </w:tr>
      <w:tr w14:paraId="6D865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59037A67">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w:t>
            </w:r>
          </w:p>
        </w:tc>
        <w:tc>
          <w:tcPr>
            <w:tcW w:w="2005" w:type="dxa"/>
            <w:vAlign w:val="center"/>
          </w:tcPr>
          <w:p w14:paraId="424D5284">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供应商要求澄清</w:t>
            </w:r>
          </w:p>
          <w:p w14:paraId="1857C60F">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采购文件的截止时间</w:t>
            </w:r>
          </w:p>
        </w:tc>
        <w:tc>
          <w:tcPr>
            <w:tcW w:w="6936" w:type="dxa"/>
            <w:vAlign w:val="center"/>
          </w:tcPr>
          <w:p w14:paraId="7BFA74AB">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磋商截止时间至少5日前</w:t>
            </w:r>
          </w:p>
        </w:tc>
      </w:tr>
      <w:tr w14:paraId="79737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jc w:val="center"/>
        </w:trPr>
        <w:tc>
          <w:tcPr>
            <w:tcW w:w="756" w:type="dxa"/>
            <w:vAlign w:val="center"/>
          </w:tcPr>
          <w:p w14:paraId="336DB358">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2.2.1</w:t>
            </w:r>
          </w:p>
        </w:tc>
        <w:tc>
          <w:tcPr>
            <w:tcW w:w="2005" w:type="dxa"/>
            <w:vAlign w:val="center"/>
          </w:tcPr>
          <w:p w14:paraId="21F44202">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磋商截止时间</w:t>
            </w:r>
          </w:p>
        </w:tc>
        <w:tc>
          <w:tcPr>
            <w:tcW w:w="6936" w:type="dxa"/>
            <w:vAlign w:val="center"/>
          </w:tcPr>
          <w:p w14:paraId="2E4079C8">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2025年03月23日09时00分</w:t>
            </w:r>
          </w:p>
        </w:tc>
      </w:tr>
      <w:tr w14:paraId="7DBBC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1" w:hRule="atLeast"/>
          <w:jc w:val="center"/>
        </w:trPr>
        <w:tc>
          <w:tcPr>
            <w:tcW w:w="756" w:type="dxa"/>
            <w:vAlign w:val="center"/>
          </w:tcPr>
          <w:p w14:paraId="6C596FF8">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w:t>
            </w:r>
          </w:p>
        </w:tc>
        <w:tc>
          <w:tcPr>
            <w:tcW w:w="2005" w:type="dxa"/>
            <w:vAlign w:val="center"/>
          </w:tcPr>
          <w:p w14:paraId="2E2F30A0">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供应商确认收到采购文件澄清的时间</w:t>
            </w:r>
            <w:r>
              <w:rPr>
                <w:rFonts w:hint="eastAsia" w:ascii="宋体" w:hAnsi="宋体" w:eastAsia="宋体" w:cs="宋体"/>
                <w:color w:val="auto"/>
                <w:sz w:val="21"/>
                <w:szCs w:val="21"/>
                <w:highlight w:val="none"/>
                <w:lang w:val="en-US" w:eastAsia="zh-CN"/>
              </w:rPr>
              <w:t>和方式</w:t>
            </w:r>
          </w:p>
        </w:tc>
        <w:tc>
          <w:tcPr>
            <w:tcW w:w="6936" w:type="dxa"/>
            <w:vAlign w:val="center"/>
          </w:tcPr>
          <w:p w14:paraId="104B4AD0">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rPr>
              <w:t>发出后 1 个工作日内</w:t>
            </w:r>
          </w:p>
          <w:p w14:paraId="56B1E92B">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自行登录“政府采购云平台”（网址：https://www.zcygov.cn/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获取澄清，无须回复确认已收到该澄清。</w:t>
            </w:r>
          </w:p>
        </w:tc>
      </w:tr>
      <w:tr w14:paraId="48CE0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8" w:hRule="atLeast"/>
          <w:jc w:val="center"/>
        </w:trPr>
        <w:tc>
          <w:tcPr>
            <w:tcW w:w="756" w:type="dxa"/>
            <w:vAlign w:val="center"/>
          </w:tcPr>
          <w:p w14:paraId="5A33768C">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2.2.3</w:t>
            </w:r>
          </w:p>
        </w:tc>
        <w:tc>
          <w:tcPr>
            <w:tcW w:w="2005" w:type="dxa"/>
            <w:vAlign w:val="center"/>
          </w:tcPr>
          <w:p w14:paraId="7A91F48F">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供应商确认收到采购文件修改的时间</w:t>
            </w:r>
            <w:r>
              <w:rPr>
                <w:rFonts w:hint="eastAsia" w:ascii="宋体" w:hAnsi="宋体" w:eastAsia="宋体" w:cs="宋体"/>
                <w:color w:val="auto"/>
                <w:sz w:val="21"/>
                <w:szCs w:val="21"/>
                <w:highlight w:val="none"/>
                <w:lang w:val="en-US" w:eastAsia="zh-CN"/>
              </w:rPr>
              <w:t>和方式</w:t>
            </w:r>
          </w:p>
        </w:tc>
        <w:tc>
          <w:tcPr>
            <w:tcW w:w="6936" w:type="dxa"/>
            <w:vAlign w:val="center"/>
          </w:tcPr>
          <w:p w14:paraId="0BBDCD84">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rPr>
              <w:t>发出后 1 个工作日内</w:t>
            </w:r>
          </w:p>
          <w:p w14:paraId="7E816A09">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自行登录“政府采购云平台”（网址：https://www.zcygov.cn/</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获取</w:t>
            </w:r>
            <w:r>
              <w:rPr>
                <w:rFonts w:hint="eastAsia" w:ascii="宋体" w:hAnsi="宋体" w:eastAsia="宋体" w:cs="宋体"/>
                <w:color w:val="auto"/>
                <w:sz w:val="21"/>
                <w:szCs w:val="21"/>
                <w:highlight w:val="none"/>
                <w:lang w:val="en-US" w:eastAsia="zh-CN"/>
              </w:rPr>
              <w:t>修改</w:t>
            </w:r>
            <w:r>
              <w:rPr>
                <w:rFonts w:hint="eastAsia" w:ascii="宋体" w:hAnsi="宋体" w:eastAsia="宋体" w:cs="宋体"/>
                <w:color w:val="auto"/>
                <w:sz w:val="21"/>
                <w:szCs w:val="21"/>
                <w:highlight w:val="none"/>
              </w:rPr>
              <w:t>，无须回复确认已收到该</w:t>
            </w:r>
            <w:r>
              <w:rPr>
                <w:rFonts w:hint="eastAsia" w:ascii="宋体" w:hAnsi="宋体" w:eastAsia="宋体" w:cs="宋体"/>
                <w:color w:val="auto"/>
                <w:sz w:val="21"/>
                <w:szCs w:val="21"/>
                <w:highlight w:val="none"/>
                <w:lang w:val="en-US" w:eastAsia="zh-CN"/>
              </w:rPr>
              <w:t>修改</w:t>
            </w:r>
            <w:r>
              <w:rPr>
                <w:rFonts w:hint="eastAsia" w:ascii="宋体" w:hAnsi="宋体" w:eastAsia="宋体" w:cs="宋体"/>
                <w:color w:val="auto"/>
                <w:sz w:val="21"/>
                <w:szCs w:val="21"/>
                <w:highlight w:val="none"/>
              </w:rPr>
              <w:t>。</w:t>
            </w:r>
          </w:p>
        </w:tc>
      </w:tr>
      <w:tr w14:paraId="43CB2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jc w:val="center"/>
        </w:trPr>
        <w:tc>
          <w:tcPr>
            <w:tcW w:w="756" w:type="dxa"/>
            <w:vAlign w:val="center"/>
          </w:tcPr>
          <w:p w14:paraId="34A8D97E">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w:t>
            </w:r>
          </w:p>
        </w:tc>
        <w:tc>
          <w:tcPr>
            <w:tcW w:w="2005" w:type="dxa"/>
            <w:vAlign w:val="center"/>
          </w:tcPr>
          <w:p w14:paraId="4B2D3A8F">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构成响应文件的</w:t>
            </w:r>
          </w:p>
          <w:p w14:paraId="7A3FEEE0">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其他材料</w:t>
            </w:r>
          </w:p>
        </w:tc>
        <w:tc>
          <w:tcPr>
            <w:tcW w:w="6936" w:type="dxa"/>
            <w:vAlign w:val="center"/>
          </w:tcPr>
          <w:p w14:paraId="5A519922">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按采购文件格式中的要求提供</w:t>
            </w:r>
          </w:p>
        </w:tc>
      </w:tr>
      <w:tr w14:paraId="58797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756" w:type="dxa"/>
            <w:vAlign w:val="center"/>
          </w:tcPr>
          <w:p w14:paraId="61AA9D74">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3.2.3</w:t>
            </w:r>
          </w:p>
        </w:tc>
        <w:tc>
          <w:tcPr>
            <w:tcW w:w="2005" w:type="dxa"/>
            <w:vAlign w:val="center"/>
          </w:tcPr>
          <w:p w14:paraId="739B1147">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采购控制价</w:t>
            </w:r>
          </w:p>
        </w:tc>
        <w:tc>
          <w:tcPr>
            <w:tcW w:w="6936" w:type="dxa"/>
            <w:vAlign w:val="center"/>
          </w:tcPr>
          <w:p w14:paraId="15EA0700">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预算金额：2634315.24</w:t>
            </w:r>
            <w:r>
              <w:rPr>
                <w:rFonts w:hint="eastAsia" w:ascii="宋体" w:hAnsi="宋体" w:eastAsia="宋体" w:cs="宋体"/>
                <w:color w:val="auto"/>
                <w:sz w:val="21"/>
                <w:szCs w:val="21"/>
                <w:highlight w:val="none"/>
                <w:lang w:val="en-US" w:eastAsia="zh-CN"/>
              </w:rPr>
              <w:t>元；</w:t>
            </w:r>
          </w:p>
          <w:p w14:paraId="19931428">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最高限价：2634315.24元</w:t>
            </w:r>
          </w:p>
        </w:tc>
      </w:tr>
      <w:tr w14:paraId="6CEA5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5" w:hRule="atLeast"/>
          <w:jc w:val="center"/>
        </w:trPr>
        <w:tc>
          <w:tcPr>
            <w:tcW w:w="756" w:type="dxa"/>
            <w:vAlign w:val="center"/>
          </w:tcPr>
          <w:p w14:paraId="3FA942B6">
            <w:pPr>
              <w:pageBreakBefore w:val="0"/>
              <w:kinsoku/>
              <w:wordWrap w:val="0"/>
              <w:overflowPunct/>
              <w:bidi w:val="0"/>
              <w:spacing w:after="0" w:line="380" w:lineRule="exact"/>
              <w:jc w:val="both"/>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3.3.1</w:t>
            </w:r>
          </w:p>
        </w:tc>
        <w:tc>
          <w:tcPr>
            <w:tcW w:w="2005" w:type="dxa"/>
            <w:vAlign w:val="center"/>
          </w:tcPr>
          <w:p w14:paraId="101D5335">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磋商有效期</w:t>
            </w:r>
          </w:p>
        </w:tc>
        <w:tc>
          <w:tcPr>
            <w:tcW w:w="6936" w:type="dxa"/>
            <w:vAlign w:val="center"/>
          </w:tcPr>
          <w:p w14:paraId="34A39593">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磋商截止之日起90日历天</w:t>
            </w:r>
          </w:p>
        </w:tc>
      </w:tr>
      <w:tr w14:paraId="6692B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35" w:hRule="atLeast"/>
          <w:jc w:val="center"/>
        </w:trPr>
        <w:tc>
          <w:tcPr>
            <w:tcW w:w="756" w:type="dxa"/>
            <w:vAlign w:val="center"/>
          </w:tcPr>
          <w:p w14:paraId="526859F9">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3.4</w:t>
            </w:r>
          </w:p>
        </w:tc>
        <w:tc>
          <w:tcPr>
            <w:tcW w:w="2005" w:type="dxa"/>
            <w:vAlign w:val="center"/>
          </w:tcPr>
          <w:p w14:paraId="6478210A">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6936" w:type="dxa"/>
            <w:vAlign w:val="center"/>
          </w:tcPr>
          <w:p w14:paraId="3871C710">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磋商保证金递交形式：支票、汇票、本票、银行转账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保险/</w:t>
            </w:r>
            <w:r>
              <w:rPr>
                <w:rFonts w:hint="eastAsia" w:ascii="宋体" w:hAnsi="宋体" w:eastAsia="宋体" w:cs="宋体"/>
                <w:color w:val="auto"/>
                <w:sz w:val="21"/>
                <w:szCs w:val="21"/>
                <w:highlight w:val="none"/>
              </w:rPr>
              <w:t>保函等非现金形式交纳；</w:t>
            </w:r>
          </w:p>
          <w:p w14:paraId="6852E54F">
            <w:pPr>
              <w:pageBreakBefore w:val="0"/>
              <w:kinsoku/>
              <w:wordWrap w:val="0"/>
              <w:overflowPunct/>
              <w:bidi w:val="0"/>
              <w:spacing w:after="0" w:line="36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★为支持和促进中小企业发展，进一步发挥政府采购政策功能，鼓励供应商使用保险/保函替代投标保证金，供应商可登录【红河州政府采购金融服务平台】进行了解。</w:t>
            </w:r>
          </w:p>
          <w:p w14:paraId="593761D5">
            <w:pPr>
              <w:pageBreakBefore w:val="0"/>
              <w:kinsoku/>
              <w:wordWrap w:val="0"/>
              <w:overflowPunct/>
              <w:bidi w:val="0"/>
              <w:spacing w:after="0" w:line="360" w:lineRule="auto"/>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直达链接：</w:t>
            </w:r>
            <w:r>
              <w:rPr>
                <w:rFonts w:hint="eastAsia" w:ascii="宋体" w:hAnsi="宋体" w:eastAsia="宋体" w:cs="宋体"/>
                <w:b/>
                <w:bCs/>
                <w:color w:val="auto"/>
                <w:sz w:val="21"/>
                <w:szCs w:val="21"/>
                <w:highlight w:val="none"/>
                <w:u w:val="none"/>
                <w:lang w:val="en-US" w:eastAsia="zh-CN"/>
              </w:rPr>
              <w:t>https://jinrong.zcygov.cn/luban/finance/honghe。</w:t>
            </w:r>
          </w:p>
          <w:p w14:paraId="53CCFB7B">
            <w:pPr>
              <w:pageBreakBefore w:val="0"/>
              <w:kinsoku/>
              <w:wordWrap w:val="0"/>
              <w:overflowPunct/>
              <w:bidi w:val="0"/>
              <w:spacing w:after="0" w:line="360" w:lineRule="auto"/>
              <w:textAlignment w:val="auto"/>
              <w:rPr>
                <w:rFonts w:hint="eastAsia" w:ascii="宋体" w:hAnsi="宋体" w:eastAsia="宋体" w:cs="宋体"/>
                <w:color w:val="auto"/>
              </w:rPr>
            </w:pPr>
            <w:r>
              <w:rPr>
                <w:rFonts w:hint="eastAsia" w:ascii="宋体" w:hAnsi="宋体" w:eastAsia="宋体" w:cs="宋体"/>
                <w:b/>
                <w:bCs/>
                <w:color w:val="auto"/>
                <w:sz w:val="21"/>
                <w:szCs w:val="21"/>
                <w:highlight w:val="none"/>
                <w:lang w:val="en-US" w:eastAsia="zh-CN"/>
              </w:rPr>
              <w:t>★根据《中华人民共和国政府采购法实施条例》本项目可以收取保证金5.2万元，为降低企业交易成本，根据《云南省发展和改革委员会等部门关于鼓励减免政府投资项目投标保证金的通知》（云发改交易管理〔2023〕397号），本项目收取投标保证金1万元。</w:t>
            </w:r>
          </w:p>
          <w:p w14:paraId="67C14CC6">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磋商保证金以银行转账方式递交的必须从磋商申请人银行基本账户转出，并注明磋商项目名称。</w:t>
            </w:r>
          </w:p>
          <w:p w14:paraId="290C4A60">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磋商保证金的金额：人民币</w:t>
            </w:r>
            <w:r>
              <w:rPr>
                <w:rFonts w:hint="eastAsia" w:ascii="宋体" w:hAnsi="宋体" w:eastAsia="宋体" w:cs="宋体"/>
                <w:color w:val="auto"/>
                <w:sz w:val="21"/>
                <w:szCs w:val="21"/>
                <w:highlight w:val="none"/>
                <w:lang w:val="en-US" w:eastAsia="zh-CN"/>
              </w:rPr>
              <w:t>壹万元整（</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lang w:val="en-US" w:eastAsia="zh-CN"/>
              </w:rPr>
              <w:t>10000</w:t>
            </w:r>
            <w:r>
              <w:rPr>
                <w:rFonts w:hint="eastAsia" w:ascii="宋体" w:hAnsi="宋体" w:eastAsia="宋体" w:cs="宋体"/>
                <w:color w:val="auto"/>
                <w:sz w:val="21"/>
                <w:szCs w:val="21"/>
                <w:highlight w:val="none"/>
              </w:rPr>
              <w:t>.00元）</w:t>
            </w:r>
          </w:p>
          <w:p w14:paraId="4C056A95">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磋商保证金的收款单位信息：</w:t>
            </w:r>
          </w:p>
          <w:p w14:paraId="36DB9435">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账户名称：红河州盛雅招标咨询有限公司</w:t>
            </w:r>
          </w:p>
          <w:p w14:paraId="6CEFC6FC">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开户银行：中国建设银行股份有限公司开远支行</w:t>
            </w:r>
          </w:p>
          <w:p w14:paraId="69EE956F">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    号：53050166623600000500</w:t>
            </w:r>
          </w:p>
          <w:p w14:paraId="1D05C619">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磋商保证金交纳的截止时间：磋商截止时间前递交（以到账时间为准）</w:t>
            </w:r>
          </w:p>
          <w:p w14:paraId="19A344FE">
            <w:pPr>
              <w:pageBreakBefore w:val="0"/>
              <w:kinsoku/>
              <w:wordWrap w:val="0"/>
              <w:overflowPunct/>
              <w:bidi w:val="0"/>
              <w:spacing w:after="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注：磋商时间截止前缴纳并到账，未按时到账的视为无效（银行转账方式递交的，注明磋商申请人名称及项目名称）；</w:t>
            </w:r>
          </w:p>
          <w:p w14:paraId="6BAAFE6E">
            <w:pPr>
              <w:pageBreakBefore w:val="0"/>
              <w:kinsoku/>
              <w:wordWrap w:val="0"/>
              <w:overflowPunct/>
              <w:bidi w:val="0"/>
              <w:spacing w:after="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有下列情形之一的，保证金不予退还：</w:t>
            </w:r>
          </w:p>
          <w:p w14:paraId="261F7D2F">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1 \* GB2</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在提交竞争性磋商响应文件截止时间后到竞争性磋商响应文件规定的磋商有效期终止之前，磋商单位撤回竞争性磋商响应文件的；</w:t>
            </w:r>
          </w:p>
          <w:p w14:paraId="02AB11C1">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2 \* GB2</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⑵</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成交通知书发出后，成交人无故放弃成交项目的或无正当理由不与采购人签订合同的，或者拒不缴纳所要求的履约保证金的。</w:t>
            </w:r>
          </w:p>
          <w:p w14:paraId="28867306">
            <w:pPr>
              <w:pageBreakBefore w:val="0"/>
              <w:kinsoku/>
              <w:wordWrap w:val="0"/>
              <w:overflowPunct/>
              <w:bidi w:val="0"/>
              <w:spacing w:after="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磋商保证金退还时间：</w:t>
            </w:r>
          </w:p>
          <w:p w14:paraId="1D328F48">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1 \* GB2</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未成交的磋商保证金，在成交通知发出5个工作日内退还至磋商申请人的基本账户中。</w:t>
            </w:r>
          </w:p>
          <w:p w14:paraId="69199E36">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2 \* GB2</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⑵</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成交人的磋商保证金，在成交人签订合同后5个工作日内退还。</w:t>
            </w:r>
            <w:r>
              <w:rPr>
                <w:rFonts w:hint="eastAsia" w:ascii="宋体" w:hAnsi="宋体" w:eastAsia="宋体" w:cs="宋体"/>
                <w:color w:val="auto"/>
                <w:sz w:val="21"/>
                <w:szCs w:val="21"/>
                <w:highlight w:val="none"/>
                <w:lang w:val="en-US" w:eastAsia="zh-CN"/>
              </w:rPr>
              <w:t xml:space="preserve">     </w:t>
            </w:r>
          </w:p>
        </w:tc>
      </w:tr>
      <w:tr w14:paraId="1E605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756" w:type="dxa"/>
            <w:tcBorders>
              <w:bottom w:val="single" w:color="auto" w:sz="4" w:space="0"/>
            </w:tcBorders>
            <w:vAlign w:val="center"/>
          </w:tcPr>
          <w:p w14:paraId="6E94F87C">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3.5.1</w:t>
            </w:r>
          </w:p>
        </w:tc>
        <w:tc>
          <w:tcPr>
            <w:tcW w:w="2005" w:type="dxa"/>
            <w:tcBorders>
              <w:bottom w:val="single" w:color="auto" w:sz="4" w:space="0"/>
            </w:tcBorders>
            <w:vAlign w:val="center"/>
          </w:tcPr>
          <w:p w14:paraId="6550CC6C">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w:t>
            </w:r>
          </w:p>
          <w:p w14:paraId="1DC70D43">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年份要求</w:t>
            </w:r>
          </w:p>
        </w:tc>
        <w:tc>
          <w:tcPr>
            <w:tcW w:w="6936" w:type="dxa"/>
            <w:tcBorders>
              <w:bottom w:val="single" w:color="auto" w:sz="4" w:space="0"/>
            </w:tcBorders>
            <w:vAlign w:val="center"/>
          </w:tcPr>
          <w:p w14:paraId="1E7156FD">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至202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年度任意一个年度</w:t>
            </w:r>
          </w:p>
        </w:tc>
      </w:tr>
      <w:tr w14:paraId="466DB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7053C178">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3.6</w:t>
            </w:r>
          </w:p>
        </w:tc>
        <w:tc>
          <w:tcPr>
            <w:tcW w:w="2005" w:type="dxa"/>
            <w:vAlign w:val="center"/>
          </w:tcPr>
          <w:p w14:paraId="31C1B710">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w:t>
            </w:r>
          </w:p>
          <w:p w14:paraId="4F178CE7">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备选磋商方案</w:t>
            </w:r>
          </w:p>
        </w:tc>
        <w:tc>
          <w:tcPr>
            <w:tcW w:w="6936" w:type="dxa"/>
            <w:vAlign w:val="center"/>
          </w:tcPr>
          <w:p w14:paraId="1BEA2C5A">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    □允许</w:t>
            </w:r>
          </w:p>
        </w:tc>
      </w:tr>
      <w:tr w14:paraId="586BC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756" w:type="dxa"/>
            <w:vAlign w:val="center"/>
          </w:tcPr>
          <w:p w14:paraId="7C6ED64C">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3.7.3</w:t>
            </w:r>
          </w:p>
        </w:tc>
        <w:tc>
          <w:tcPr>
            <w:tcW w:w="2005" w:type="dxa"/>
            <w:vAlign w:val="center"/>
          </w:tcPr>
          <w:p w14:paraId="746C734D">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6936" w:type="dxa"/>
            <w:vAlign w:val="center"/>
          </w:tcPr>
          <w:p w14:paraId="1026B971">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按第六章“竞争性磋商响应文件格式”要求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采用单位数字证书电子签章，在需要电子签章的地方进行电子签章，无需逐页电子签章。</w:t>
            </w:r>
          </w:p>
        </w:tc>
      </w:tr>
      <w:tr w14:paraId="3E68B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4" w:hRule="atLeast"/>
          <w:jc w:val="center"/>
        </w:trPr>
        <w:tc>
          <w:tcPr>
            <w:tcW w:w="756" w:type="dxa"/>
            <w:vAlign w:val="center"/>
          </w:tcPr>
          <w:p w14:paraId="6F6CF6B9">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3.7.4</w:t>
            </w:r>
          </w:p>
        </w:tc>
        <w:tc>
          <w:tcPr>
            <w:tcW w:w="2005" w:type="dxa"/>
            <w:vAlign w:val="center"/>
          </w:tcPr>
          <w:p w14:paraId="1F5E9D51">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竞争性磋商响应文件</w:t>
            </w:r>
            <w:r>
              <w:rPr>
                <w:rFonts w:hint="eastAsia" w:ascii="宋体" w:hAnsi="宋体" w:eastAsia="宋体" w:cs="宋体"/>
                <w:color w:val="auto"/>
                <w:sz w:val="21"/>
                <w:szCs w:val="21"/>
                <w:highlight w:val="none"/>
                <w:lang w:val="en-US" w:eastAsia="zh-CN"/>
              </w:rPr>
              <w:t>递交及</w:t>
            </w:r>
            <w:r>
              <w:rPr>
                <w:rFonts w:hint="eastAsia" w:ascii="宋体" w:hAnsi="宋体" w:eastAsia="宋体" w:cs="宋体"/>
                <w:color w:val="auto"/>
                <w:sz w:val="21"/>
                <w:szCs w:val="21"/>
                <w:highlight w:val="none"/>
              </w:rPr>
              <w:t>份数</w:t>
            </w:r>
          </w:p>
        </w:tc>
        <w:tc>
          <w:tcPr>
            <w:tcW w:w="6936" w:type="dxa"/>
            <w:vAlign w:val="center"/>
          </w:tcPr>
          <w:p w14:paraId="186E3325">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tl w:val="0"/>
                <w:lang w:val="en-US" w:eastAsia="zh-CN"/>
              </w:rPr>
              <w:t>供应商应当在响应文件提交截止时间前将加密的响应文件上传至“政府采购云平台”。</w:t>
            </w:r>
          </w:p>
          <w:p w14:paraId="37D0B134">
            <w:pPr>
              <w:pageBreakBefore w:val="0"/>
              <w:kinsoku/>
              <w:wordWrap w:val="0"/>
              <w:overflowPunct/>
              <w:bidi w:val="0"/>
              <w:spacing w:after="0"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rPr>
              <w:t>人在领取</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rPr>
              <w:t>通知书时补交纸质版全套</w:t>
            </w:r>
            <w:r>
              <w:rPr>
                <w:rFonts w:hint="eastAsia" w:ascii="宋体" w:hAnsi="宋体" w:eastAsia="宋体" w:cs="宋体"/>
                <w:b/>
                <w:bCs/>
                <w:color w:val="auto"/>
                <w:sz w:val="21"/>
                <w:szCs w:val="21"/>
                <w:highlight w:val="none"/>
                <w:lang w:val="en-US" w:eastAsia="zh-CN"/>
              </w:rPr>
              <w:t>响应</w:t>
            </w:r>
            <w:r>
              <w:rPr>
                <w:rFonts w:hint="eastAsia" w:ascii="宋体" w:hAnsi="宋体" w:eastAsia="宋体" w:cs="宋体"/>
                <w:b/>
                <w:bCs/>
                <w:color w:val="auto"/>
                <w:sz w:val="21"/>
                <w:szCs w:val="21"/>
                <w:highlight w:val="none"/>
              </w:rPr>
              <w:t>文件正本</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份，副本</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份</w:t>
            </w:r>
            <w:r>
              <w:rPr>
                <w:rFonts w:hint="eastAsia" w:ascii="宋体" w:hAnsi="宋体" w:eastAsia="宋体" w:cs="宋体"/>
                <w:b/>
                <w:bCs/>
                <w:color w:val="auto"/>
                <w:sz w:val="21"/>
                <w:szCs w:val="21"/>
                <w:highlight w:val="none"/>
                <w:lang w:val="en-US" w:eastAsia="zh-CN"/>
              </w:rPr>
              <w:t>。</w:t>
            </w:r>
          </w:p>
        </w:tc>
      </w:tr>
      <w:tr w14:paraId="1AFF6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5FC0BB8A">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3.7.5</w:t>
            </w:r>
          </w:p>
        </w:tc>
        <w:tc>
          <w:tcPr>
            <w:tcW w:w="2005" w:type="dxa"/>
            <w:vAlign w:val="center"/>
          </w:tcPr>
          <w:p w14:paraId="3F0FA15D">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成交供应商补交响应文件</w:t>
            </w:r>
            <w:r>
              <w:rPr>
                <w:rFonts w:hint="eastAsia" w:ascii="宋体" w:hAnsi="宋体" w:eastAsia="宋体" w:cs="宋体"/>
                <w:color w:val="auto"/>
                <w:sz w:val="21"/>
                <w:szCs w:val="21"/>
                <w:highlight w:val="none"/>
              </w:rPr>
              <w:t>装订要求</w:t>
            </w:r>
          </w:p>
        </w:tc>
        <w:tc>
          <w:tcPr>
            <w:tcW w:w="6936" w:type="dxa"/>
            <w:vAlign w:val="center"/>
          </w:tcPr>
          <w:p w14:paraId="1869BDB1">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响应文件应装订成册，不得采用活页装订。</w:t>
            </w:r>
          </w:p>
        </w:tc>
      </w:tr>
      <w:tr w14:paraId="38009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jc w:val="center"/>
        </w:trPr>
        <w:tc>
          <w:tcPr>
            <w:tcW w:w="756" w:type="dxa"/>
            <w:vAlign w:val="center"/>
          </w:tcPr>
          <w:p w14:paraId="7AAD1A09">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4.1.2</w:t>
            </w:r>
          </w:p>
        </w:tc>
        <w:tc>
          <w:tcPr>
            <w:tcW w:w="2005" w:type="dxa"/>
            <w:vAlign w:val="center"/>
          </w:tcPr>
          <w:p w14:paraId="4A6A0365">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封套上写明</w:t>
            </w:r>
          </w:p>
        </w:tc>
        <w:tc>
          <w:tcPr>
            <w:tcW w:w="6936" w:type="dxa"/>
          </w:tcPr>
          <w:p w14:paraId="1B849F43">
            <w:pPr>
              <w:pageBreakBefore w:val="0"/>
              <w:kinsoku/>
              <w:wordWrap w:val="0"/>
              <w:overflowPunct/>
              <w:bidi w:val="0"/>
              <w:spacing w:after="0" w:line="380" w:lineRule="exact"/>
              <w:ind w:firstLine="210" w:firstLineChars="1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w:t>
            </w:r>
          </w:p>
        </w:tc>
      </w:tr>
      <w:tr w14:paraId="0A9FD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6" w:hRule="atLeast"/>
          <w:jc w:val="center"/>
        </w:trPr>
        <w:tc>
          <w:tcPr>
            <w:tcW w:w="756" w:type="dxa"/>
            <w:vAlign w:val="center"/>
          </w:tcPr>
          <w:p w14:paraId="54C9141C">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4.2.1</w:t>
            </w:r>
          </w:p>
        </w:tc>
        <w:tc>
          <w:tcPr>
            <w:tcW w:w="2005" w:type="dxa"/>
            <w:vAlign w:val="center"/>
          </w:tcPr>
          <w:p w14:paraId="47117129">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递交竞争性磋商</w:t>
            </w:r>
          </w:p>
          <w:p w14:paraId="171E2203">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响应文件时间、地点</w:t>
            </w:r>
          </w:p>
        </w:tc>
        <w:tc>
          <w:tcPr>
            <w:tcW w:w="6936" w:type="dxa"/>
          </w:tcPr>
          <w:p w14:paraId="43B2C440">
            <w:pPr>
              <w:pageBreakBefore w:val="0"/>
              <w:kinsoku/>
              <w:wordWrap w:val="0"/>
              <w:overflowPunct/>
              <w:bidi w:val="0"/>
              <w:spacing w:after="0" w:line="380" w:lineRule="exact"/>
              <w:textAlignment w:val="auto"/>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时间</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2025年03月23日09时00分</w:t>
            </w:r>
            <w:r>
              <w:rPr>
                <w:rFonts w:hint="eastAsia" w:ascii="宋体" w:hAnsi="宋体" w:eastAsia="宋体" w:cs="宋体"/>
                <w:bCs/>
                <w:color w:val="auto"/>
                <w:sz w:val="21"/>
                <w:szCs w:val="21"/>
                <w:highlight w:val="none"/>
              </w:rPr>
              <w:t>以前</w:t>
            </w:r>
          </w:p>
          <w:p w14:paraId="35466009">
            <w:pPr>
              <w:pageBreakBefore w:val="0"/>
              <w:kinsoku/>
              <w:wordWrap w:val="0"/>
              <w:overflowPunct/>
              <w:bidi w:val="0"/>
              <w:spacing w:after="0" w:line="410" w:lineRule="exac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地点：</w:t>
            </w:r>
            <w:r>
              <w:rPr>
                <w:rFonts w:hint="eastAsia" w:ascii="宋体" w:hAnsi="宋体" w:eastAsia="宋体" w:cs="宋体"/>
                <w:bCs/>
                <w:color w:val="auto"/>
                <w:sz w:val="21"/>
                <w:szCs w:val="21"/>
                <w:highlight w:val="none"/>
                <w:lang w:val="en-US" w:eastAsia="zh-CN"/>
              </w:rPr>
              <w:t>通过“政府采购云平台”（网址：</w:t>
            </w:r>
            <w:r>
              <w:rPr>
                <w:rFonts w:hint="eastAsia" w:ascii="宋体" w:hAnsi="宋体" w:eastAsia="宋体" w:cs="宋体"/>
                <w:bCs/>
                <w:color w:val="auto"/>
                <w:sz w:val="21"/>
                <w:szCs w:val="21"/>
                <w:highlight w:val="none"/>
                <w:u w:val="none"/>
                <w:lang w:val="en-US" w:eastAsia="zh-CN"/>
              </w:rPr>
              <w:t>https://www.zcygov.cn/）</w:t>
            </w:r>
            <w:r>
              <w:rPr>
                <w:rFonts w:hint="eastAsia" w:ascii="宋体" w:hAnsi="宋体" w:eastAsia="宋体" w:cs="宋体"/>
                <w:bCs/>
                <w:color w:val="auto"/>
                <w:sz w:val="21"/>
                <w:szCs w:val="21"/>
                <w:highlight w:val="none"/>
                <w:lang w:val="en-US" w:eastAsia="zh-CN"/>
              </w:rPr>
              <w:t xml:space="preserve"> 进行网上递交。          </w:t>
            </w:r>
          </w:p>
          <w:p w14:paraId="71CCABB5">
            <w:pPr>
              <w:pageBreakBefore w:val="0"/>
              <w:kinsoku/>
              <w:wordWrap w:val="0"/>
              <w:overflowPunct/>
              <w:bidi w:val="0"/>
              <w:spacing w:after="0" w:line="410" w:lineRule="exac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p>
          <w:p w14:paraId="63F88722">
            <w:pPr>
              <w:pageBreakBefore w:val="0"/>
              <w:kinsoku/>
              <w:wordWrap w:val="0"/>
              <w:overflowPunct/>
              <w:bidi w:val="0"/>
              <w:spacing w:after="0" w:line="410" w:lineRule="exact"/>
              <w:textAlignment w:val="auto"/>
              <w:rPr>
                <w:rFonts w:hint="eastAsia" w:ascii="宋体" w:hAnsi="宋体" w:eastAsia="宋体" w:cs="宋体"/>
                <w:bCs/>
                <w:color w:val="auto"/>
                <w:sz w:val="21"/>
                <w:szCs w:val="21"/>
                <w:highlight w:val="none"/>
                <w:u w:val="single"/>
                <w:lang w:val="en-US"/>
              </w:rPr>
            </w:pPr>
            <w:r>
              <w:rPr>
                <w:rFonts w:hint="eastAsia" w:ascii="宋体" w:hAnsi="宋体" w:eastAsia="宋体" w:cs="宋体"/>
                <w:bCs/>
                <w:color w:val="auto"/>
                <w:sz w:val="21"/>
                <w:szCs w:val="21"/>
                <w:highlight w:val="none"/>
                <w:rtl w:val="0"/>
                <w:lang w:val="en-US" w:eastAsia="zh-CN"/>
              </w:rPr>
              <w:t>1.供应商应按照本项目采购文件和</w:t>
            </w:r>
            <w:r>
              <w:rPr>
                <w:rFonts w:hint="eastAsia" w:ascii="宋体" w:hAnsi="宋体" w:eastAsia="宋体" w:cs="宋体"/>
                <w:bCs/>
                <w:color w:val="auto"/>
                <w:sz w:val="21"/>
                <w:szCs w:val="21"/>
                <w:highlight w:val="none"/>
                <w:lang w:val="en-US" w:eastAsia="zh-CN"/>
              </w:rPr>
              <w:t>“政府采购云平台”</w:t>
            </w:r>
            <w:r>
              <w:rPr>
                <w:rFonts w:hint="eastAsia" w:ascii="宋体" w:hAnsi="宋体" w:eastAsia="宋体" w:cs="宋体"/>
                <w:bCs/>
                <w:color w:val="auto"/>
                <w:sz w:val="21"/>
                <w:szCs w:val="21"/>
                <w:highlight w:val="none"/>
                <w:rtl w:val="0"/>
                <w:lang w:val="en-US" w:eastAsia="zh-CN"/>
              </w:rPr>
              <w:t>的要求编制、加密响应文件，并在响应文件提交截止时间前上传至</w:t>
            </w:r>
            <w:r>
              <w:rPr>
                <w:rFonts w:hint="eastAsia" w:ascii="宋体" w:hAnsi="宋体" w:eastAsia="宋体" w:cs="宋体"/>
                <w:bCs/>
                <w:color w:val="auto"/>
                <w:sz w:val="21"/>
                <w:szCs w:val="21"/>
                <w:highlight w:val="none"/>
                <w:lang w:val="en-US" w:eastAsia="zh-CN"/>
              </w:rPr>
              <w:t>“政府采购云平台”</w:t>
            </w:r>
            <w:r>
              <w:rPr>
                <w:rFonts w:hint="eastAsia" w:ascii="宋体" w:hAnsi="宋体" w:eastAsia="宋体" w:cs="宋体"/>
                <w:bCs/>
                <w:color w:val="auto"/>
                <w:sz w:val="21"/>
                <w:szCs w:val="21"/>
                <w:highlight w:val="none"/>
                <w:rtl w:val="0"/>
                <w:lang w:val="en-US" w:eastAsia="zh-CN"/>
              </w:rPr>
              <w:t>，响应文件提交截止时间前未完成响应文件上传的，视为撤回响应文件。    2.供应商在</w:t>
            </w:r>
            <w:r>
              <w:rPr>
                <w:rFonts w:hint="eastAsia" w:ascii="宋体" w:hAnsi="宋体" w:eastAsia="宋体" w:cs="宋体"/>
                <w:bCs/>
                <w:color w:val="auto"/>
                <w:sz w:val="21"/>
                <w:szCs w:val="21"/>
                <w:highlight w:val="none"/>
                <w:lang w:val="en-US" w:eastAsia="zh-CN"/>
              </w:rPr>
              <w:t>“政府采购云平台”</w:t>
            </w:r>
            <w:r>
              <w:rPr>
                <w:rFonts w:hint="eastAsia" w:ascii="宋体" w:hAnsi="宋体" w:eastAsia="宋体" w:cs="宋体"/>
                <w:bCs/>
                <w:color w:val="auto"/>
                <w:sz w:val="21"/>
                <w:szCs w:val="21"/>
                <w:highlight w:val="none"/>
                <w:rtl w:val="0"/>
                <w:lang w:val="en-US" w:eastAsia="zh-CN"/>
              </w:rPr>
              <w:t>提交电子版响应文件时，请填写参加远程采购活动经办人联系方式。并于开标当日在系统上等待代理机构通知最后报价。</w:t>
            </w:r>
          </w:p>
        </w:tc>
      </w:tr>
      <w:tr w14:paraId="5D7F6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4391A625">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4.2.2</w:t>
            </w:r>
          </w:p>
        </w:tc>
        <w:tc>
          <w:tcPr>
            <w:tcW w:w="2005" w:type="dxa"/>
            <w:vAlign w:val="center"/>
          </w:tcPr>
          <w:p w14:paraId="38714A65">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是否退还竞争性</w:t>
            </w:r>
          </w:p>
          <w:p w14:paraId="2EAD7D77">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磋商响应文件</w:t>
            </w:r>
          </w:p>
        </w:tc>
        <w:tc>
          <w:tcPr>
            <w:tcW w:w="6936" w:type="dxa"/>
            <w:vAlign w:val="center"/>
          </w:tcPr>
          <w:p w14:paraId="51E2CF53">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tab/>
            </w:r>
          </w:p>
          <w:p w14:paraId="11875B1E">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r>
      <w:tr w14:paraId="2F4900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756" w:type="dxa"/>
            <w:vAlign w:val="center"/>
          </w:tcPr>
          <w:p w14:paraId="5AFD1147">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4.2.3</w:t>
            </w:r>
          </w:p>
        </w:tc>
        <w:tc>
          <w:tcPr>
            <w:tcW w:w="2005" w:type="dxa"/>
            <w:vAlign w:val="center"/>
          </w:tcPr>
          <w:p w14:paraId="5BD07F3E">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磋商时间和地点</w:t>
            </w:r>
          </w:p>
        </w:tc>
        <w:tc>
          <w:tcPr>
            <w:tcW w:w="6936" w:type="dxa"/>
            <w:vAlign w:val="center"/>
          </w:tcPr>
          <w:p w14:paraId="44A011D2">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val="en-US" w:eastAsia="zh-CN"/>
              </w:rPr>
              <w:t>2025年03月23日09时00分</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北京时间）</w:t>
            </w:r>
          </w:p>
          <w:p w14:paraId="20034189">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地点：</w:t>
            </w:r>
            <w:r>
              <w:rPr>
                <w:rFonts w:hint="eastAsia" w:ascii="宋体" w:hAnsi="宋体" w:eastAsia="宋体" w:cs="宋体"/>
                <w:bCs/>
                <w:color w:val="auto"/>
                <w:sz w:val="21"/>
                <w:szCs w:val="21"/>
                <w:highlight w:val="none"/>
              </w:rPr>
              <w:t>红河州盛雅招标咨询有限公司二楼会议室（开远市东新路275号）</w:t>
            </w:r>
          </w:p>
        </w:tc>
      </w:tr>
      <w:tr w14:paraId="47F04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20573463">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5.2</w:t>
            </w:r>
          </w:p>
        </w:tc>
        <w:tc>
          <w:tcPr>
            <w:tcW w:w="2005" w:type="dxa"/>
            <w:vAlign w:val="center"/>
          </w:tcPr>
          <w:p w14:paraId="008E4773">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磋商程序</w:t>
            </w:r>
          </w:p>
        </w:tc>
        <w:tc>
          <w:tcPr>
            <w:tcW w:w="6936" w:type="dxa"/>
            <w:vAlign w:val="center"/>
          </w:tcPr>
          <w:p w14:paraId="04D80C8C">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按照平台自动提取所有供应商的顺序当众开标</w:t>
            </w:r>
          </w:p>
        </w:tc>
      </w:tr>
      <w:tr w14:paraId="4F4C3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2" w:hRule="atLeast"/>
          <w:jc w:val="center"/>
        </w:trPr>
        <w:tc>
          <w:tcPr>
            <w:tcW w:w="756" w:type="dxa"/>
            <w:vAlign w:val="center"/>
          </w:tcPr>
          <w:p w14:paraId="5A988C17">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6.1</w:t>
            </w:r>
          </w:p>
        </w:tc>
        <w:tc>
          <w:tcPr>
            <w:tcW w:w="2005" w:type="dxa"/>
            <w:vAlign w:val="center"/>
          </w:tcPr>
          <w:p w14:paraId="3468A712">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磋商小组的组建</w:t>
            </w:r>
          </w:p>
        </w:tc>
        <w:tc>
          <w:tcPr>
            <w:tcW w:w="6936" w:type="dxa"/>
            <w:vAlign w:val="center"/>
          </w:tcPr>
          <w:p w14:paraId="603269EA">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磋商小组人数：</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人</w:t>
            </w:r>
            <w:r>
              <w:rPr>
                <w:rFonts w:hint="eastAsia" w:ascii="宋体" w:hAnsi="宋体" w:eastAsia="宋体" w:cs="宋体"/>
                <w:color w:val="auto"/>
                <w:sz w:val="21"/>
                <w:szCs w:val="21"/>
                <w:highlight w:val="none"/>
              </w:rPr>
              <w:t>及以上单数</w:t>
            </w:r>
          </w:p>
          <w:p w14:paraId="7EBF6566">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磋商小组构成：由采购人代表和评审专家共</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人及以上单数组成，其中评审专家人数不得少于磋商小组成员总数的2/3。</w:t>
            </w:r>
          </w:p>
          <w:p w14:paraId="028611AB">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注：采购人委派代表参加评审委员会的，须向采购代理机构出具授权函。采购人代表不得担任组长。</w:t>
            </w:r>
          </w:p>
          <w:p w14:paraId="3ED6AEC7">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评标专家确定方式：采购人推荐、云南省政府采购专家库随机抽取。</w:t>
            </w:r>
          </w:p>
          <w:p w14:paraId="7766D5EC">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注：市场竞争不充分的科研项目，以及需要扶持的科技成果转化项目以及情况特殊、通过随机方式难以确定合适的评审专家的项目，经主管预算单位同意，可以自行选定评审专家。</w:t>
            </w:r>
          </w:p>
        </w:tc>
      </w:tr>
      <w:tr w14:paraId="1E9E4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56" w:type="dxa"/>
            <w:vAlign w:val="center"/>
          </w:tcPr>
          <w:p w14:paraId="62C0D614">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6.3</w:t>
            </w:r>
          </w:p>
        </w:tc>
        <w:tc>
          <w:tcPr>
            <w:tcW w:w="2005" w:type="dxa"/>
            <w:vAlign w:val="center"/>
          </w:tcPr>
          <w:p w14:paraId="11816481">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评标办法</w:t>
            </w:r>
          </w:p>
        </w:tc>
        <w:tc>
          <w:tcPr>
            <w:tcW w:w="6936" w:type="dxa"/>
            <w:vAlign w:val="center"/>
          </w:tcPr>
          <w:p w14:paraId="74E455E1">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w:t>
            </w:r>
          </w:p>
        </w:tc>
      </w:tr>
      <w:tr w14:paraId="26582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60B96384">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7.1.2</w:t>
            </w:r>
          </w:p>
        </w:tc>
        <w:tc>
          <w:tcPr>
            <w:tcW w:w="2005" w:type="dxa"/>
            <w:vAlign w:val="center"/>
          </w:tcPr>
          <w:p w14:paraId="0398E524">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是否授权磋商小组</w:t>
            </w:r>
          </w:p>
          <w:p w14:paraId="1447DCC8">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确定成交单位</w:t>
            </w:r>
          </w:p>
        </w:tc>
        <w:tc>
          <w:tcPr>
            <w:tcW w:w="6936" w:type="dxa"/>
            <w:vAlign w:val="center"/>
          </w:tcPr>
          <w:p w14:paraId="2DBD8E19">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是</w:t>
            </w:r>
          </w:p>
          <w:p w14:paraId="55E9A11A">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否，由磋商小组根据采购文件评审办法的相关规定推荐成交单位，采购人根据相关规定确定成交。</w:t>
            </w:r>
          </w:p>
        </w:tc>
      </w:tr>
      <w:tr w14:paraId="1C50C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 w:hRule="atLeast"/>
          <w:jc w:val="center"/>
        </w:trPr>
        <w:tc>
          <w:tcPr>
            <w:tcW w:w="756" w:type="dxa"/>
            <w:vAlign w:val="center"/>
          </w:tcPr>
          <w:p w14:paraId="1EC1B146">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7.3</w:t>
            </w:r>
          </w:p>
        </w:tc>
        <w:tc>
          <w:tcPr>
            <w:tcW w:w="2005" w:type="dxa"/>
            <w:vAlign w:val="center"/>
          </w:tcPr>
          <w:p w14:paraId="665C0FC4">
            <w:pPr>
              <w:pageBreakBefore w:val="0"/>
              <w:kinsoku/>
              <w:wordWrap w:val="0"/>
              <w:overflowPunct/>
              <w:bidi w:val="0"/>
              <w:spacing w:after="0" w:line="36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936" w:type="dxa"/>
            <w:vAlign w:val="center"/>
          </w:tcPr>
          <w:p w14:paraId="0593C2D8">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■不提交 </w:t>
            </w:r>
          </w:p>
          <w:p w14:paraId="4193B6D6">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提交</w:t>
            </w:r>
          </w:p>
          <w:p w14:paraId="33EF104C">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履约保证金的形式：支票、汇票、本票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保险/</w:t>
            </w:r>
            <w:r>
              <w:rPr>
                <w:rFonts w:hint="eastAsia" w:ascii="宋体" w:hAnsi="宋体" w:eastAsia="宋体" w:cs="宋体"/>
                <w:color w:val="auto"/>
                <w:sz w:val="21"/>
                <w:szCs w:val="21"/>
                <w:highlight w:val="none"/>
              </w:rPr>
              <w:t>保函等非现金形式</w:t>
            </w:r>
            <w:r>
              <w:rPr>
                <w:rFonts w:hint="eastAsia" w:ascii="宋体" w:hAnsi="宋体" w:eastAsia="宋体" w:cs="宋体"/>
                <w:color w:val="auto"/>
                <w:sz w:val="21"/>
                <w:szCs w:val="21"/>
                <w:highlight w:val="none"/>
                <w:lang w:eastAsia="zh-CN"/>
              </w:rPr>
              <w:t>；</w:t>
            </w:r>
          </w:p>
          <w:p w14:paraId="43E6766B">
            <w:pPr>
              <w:pageBreakBefore w:val="0"/>
              <w:kinsoku/>
              <w:wordWrap w:val="0"/>
              <w:overflowPunct/>
              <w:bidi w:val="0"/>
              <w:spacing w:after="0" w:line="41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履约保证金的金额：</w:t>
            </w:r>
            <w:r>
              <w:rPr>
                <w:rFonts w:hint="eastAsia" w:ascii="宋体" w:hAnsi="宋体" w:eastAsia="宋体" w:cs="宋体"/>
                <w:b w:val="0"/>
                <w:bCs w:val="0"/>
                <w:color w:val="auto"/>
                <w:sz w:val="21"/>
                <w:szCs w:val="21"/>
                <w:highlight w:val="none"/>
                <w:u w:val="single"/>
                <w:lang w:val="en-US" w:eastAsia="zh-CN"/>
              </w:rPr>
              <w:t xml:space="preserve">  /   </w:t>
            </w:r>
            <w:r>
              <w:rPr>
                <w:rFonts w:hint="eastAsia" w:ascii="宋体" w:hAnsi="宋体" w:eastAsia="宋体" w:cs="宋体"/>
                <w:b w:val="0"/>
                <w:bCs w:val="0"/>
                <w:color w:val="auto"/>
                <w:sz w:val="21"/>
                <w:szCs w:val="21"/>
                <w:highlight w:val="none"/>
              </w:rPr>
              <w:t>；</w:t>
            </w:r>
          </w:p>
          <w:p w14:paraId="19110123">
            <w:pPr>
              <w:pageBreakBefore w:val="0"/>
              <w:kinsoku/>
              <w:wordWrap w:val="0"/>
              <w:overflowPunct/>
              <w:bidi w:val="0"/>
              <w:spacing w:after="0" w:line="41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注：履约保证金的数额不得超过政府采购合同金额的10%。</w:t>
            </w:r>
            <w:r>
              <w:rPr>
                <w:rFonts w:hint="eastAsia" w:ascii="宋体" w:hAnsi="宋体" w:eastAsia="宋体" w:cs="宋体"/>
                <w:b w:val="0"/>
                <w:bCs w:val="0"/>
                <w:color w:val="auto"/>
                <w:sz w:val="21"/>
                <w:szCs w:val="21"/>
                <w:highlight w:val="none"/>
                <w:lang w:val="en-US" w:eastAsia="zh-CN"/>
              </w:rPr>
              <w:t xml:space="preserve">             为支持和促进中小企业发展，</w:t>
            </w:r>
            <w:r>
              <w:rPr>
                <w:rFonts w:hint="eastAsia" w:ascii="宋体" w:hAnsi="宋体" w:eastAsia="宋体" w:cs="宋体"/>
                <w:color w:val="auto"/>
                <w:sz w:val="21"/>
                <w:szCs w:val="21"/>
                <w:highlight w:val="none"/>
                <w:lang w:val="en-US" w:eastAsia="zh-CN"/>
              </w:rPr>
              <w:t>进一步发挥政府采购政策功能，鼓励供应商使用</w:t>
            </w:r>
            <w:r>
              <w:rPr>
                <w:rFonts w:hint="eastAsia" w:ascii="宋体" w:hAnsi="宋体" w:eastAsia="宋体" w:cs="宋体"/>
                <w:b/>
                <w:bCs/>
                <w:color w:val="auto"/>
                <w:sz w:val="21"/>
                <w:szCs w:val="21"/>
                <w:highlight w:val="none"/>
                <w:lang w:val="en-US" w:eastAsia="zh-CN"/>
              </w:rPr>
              <w:t>保险/保函替代履约保证金</w:t>
            </w:r>
            <w:r>
              <w:rPr>
                <w:rFonts w:hint="eastAsia" w:ascii="宋体" w:hAnsi="宋体" w:eastAsia="宋体" w:cs="宋体"/>
                <w:color w:val="auto"/>
                <w:sz w:val="21"/>
                <w:szCs w:val="21"/>
                <w:highlight w:val="none"/>
                <w:lang w:val="en-US" w:eastAsia="zh-CN"/>
              </w:rPr>
              <w:t>，供应商可登录【红河州政府采购金融服务平台】进行了解。</w:t>
            </w:r>
          </w:p>
          <w:p w14:paraId="40D2757D">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直达链接：</w:t>
            </w:r>
            <w:r>
              <w:rPr>
                <w:rFonts w:hint="eastAsia" w:ascii="宋体" w:hAnsi="宋体" w:eastAsia="宋体" w:cs="宋体"/>
                <w:b w:val="0"/>
                <w:bCs w:val="0"/>
                <w:color w:val="auto"/>
                <w:sz w:val="21"/>
                <w:szCs w:val="21"/>
                <w:highlight w:val="none"/>
                <w:lang w:val="en-US" w:eastAsia="zh-CN"/>
              </w:rPr>
              <w:t>https://jinrong.zcygov.cn/luban/finance/honghe</w:t>
            </w:r>
          </w:p>
        </w:tc>
      </w:tr>
      <w:tr w14:paraId="142A5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756" w:type="dxa"/>
            <w:vAlign w:val="center"/>
          </w:tcPr>
          <w:p w14:paraId="58A3B1DB">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w:t>
            </w:r>
          </w:p>
        </w:tc>
        <w:tc>
          <w:tcPr>
            <w:tcW w:w="8941" w:type="dxa"/>
            <w:gridSpan w:val="2"/>
            <w:vAlign w:val="center"/>
          </w:tcPr>
          <w:p w14:paraId="32F7F969">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r>
      <w:tr w14:paraId="3A4D9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6" w:type="dxa"/>
            <w:vAlign w:val="center"/>
          </w:tcPr>
          <w:p w14:paraId="17458206">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10.1</w:t>
            </w:r>
          </w:p>
        </w:tc>
        <w:tc>
          <w:tcPr>
            <w:tcW w:w="2005" w:type="dxa"/>
            <w:vAlign w:val="center"/>
          </w:tcPr>
          <w:p w14:paraId="4649D235">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报价说明</w:t>
            </w:r>
          </w:p>
        </w:tc>
        <w:tc>
          <w:tcPr>
            <w:tcW w:w="6936" w:type="dxa"/>
            <w:vAlign w:val="center"/>
          </w:tcPr>
          <w:p w14:paraId="6E3D2656">
            <w:pPr>
              <w:pageBreakBefore w:val="0"/>
              <w:kinsoku/>
              <w:wordWrap w:val="0"/>
              <w:overflowPunct/>
              <w:bidi w:val="0"/>
              <w:spacing w:after="0" w:line="380" w:lineRule="exact"/>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1.报价</w:t>
            </w:r>
            <w:r>
              <w:rPr>
                <w:rFonts w:hint="eastAsia" w:ascii="宋体" w:hAnsi="宋体" w:eastAsia="宋体" w:cs="宋体"/>
                <w:b/>
                <w:bCs/>
                <w:color w:val="auto"/>
                <w:sz w:val="21"/>
                <w:szCs w:val="21"/>
                <w:lang w:val="en-US" w:eastAsia="zh-CN"/>
              </w:rPr>
              <w:t>方式</w:t>
            </w:r>
            <w:r>
              <w:rPr>
                <w:rFonts w:hint="eastAsia" w:ascii="宋体" w:hAnsi="宋体" w:eastAsia="宋体" w:cs="宋体"/>
                <w:b/>
                <w:bCs/>
                <w:color w:val="auto"/>
                <w:sz w:val="21"/>
                <w:szCs w:val="21"/>
              </w:rPr>
              <w:t>说明</w:t>
            </w:r>
          </w:p>
          <w:p w14:paraId="26E276A2">
            <w:pPr>
              <w:pageBreakBefore w:val="0"/>
              <w:kinsoku/>
              <w:wordWrap w:val="0"/>
              <w:overflowPunct/>
              <w:bidi w:val="0"/>
              <w:spacing w:after="0" w:line="380" w:lineRule="exact"/>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本项目采用2轮报价。</w:t>
            </w:r>
          </w:p>
          <w:p w14:paraId="18AC194A">
            <w:pPr>
              <w:pageBreakBefore w:val="0"/>
              <w:kinsoku/>
              <w:wordWrap w:val="0"/>
              <w:overflowPunct/>
              <w:bidi w:val="0"/>
              <w:spacing w:after="0" w:line="38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第 1 轮：磋商申请人制作响应文件的同时在文件中第一次报价</w:t>
            </w:r>
            <w:r>
              <w:rPr>
                <w:rFonts w:hint="eastAsia" w:ascii="宋体" w:hAnsi="宋体" w:eastAsia="宋体" w:cs="宋体"/>
                <w:b/>
                <w:bCs/>
                <w:color w:val="auto"/>
                <w:sz w:val="21"/>
                <w:szCs w:val="21"/>
              </w:rPr>
              <w:t>（第一轮报价不公布）</w:t>
            </w:r>
            <w:r>
              <w:rPr>
                <w:rFonts w:hint="eastAsia" w:ascii="宋体" w:hAnsi="宋体" w:eastAsia="宋体" w:cs="宋体"/>
                <w:color w:val="auto"/>
                <w:sz w:val="21"/>
                <w:szCs w:val="21"/>
              </w:rPr>
              <w:t>。</w:t>
            </w:r>
          </w:p>
          <w:p w14:paraId="379732D9">
            <w:pPr>
              <w:pageBreakBefore w:val="0"/>
              <w:kinsoku/>
              <w:wordWrap w:val="0"/>
              <w:overflowPunct/>
              <w:bidi w:val="0"/>
              <w:spacing w:after="0" w:line="38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 2 轮（即最后报价）：在磋商结束后，磋商小组要求所有实质性响应的磋商申请人在规定时间内提交最后报价（最后报价在第一次报价的基础上报下浮比例</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最后报价为评审依据）。</w:t>
            </w:r>
          </w:p>
          <w:p w14:paraId="36B35004">
            <w:pPr>
              <w:pageBreakBefore w:val="0"/>
              <w:kinsoku/>
              <w:wordWrap w:val="0"/>
              <w:overflowPunct/>
              <w:bidi w:val="0"/>
              <w:spacing w:after="0" w:line="380" w:lineRule="exact"/>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注：磋商报价高于预算金额时，为废标。最终报价不得高于第一次报价，否则视为无效报价；采购人不承诺最低价成交。 </w:t>
            </w:r>
          </w:p>
          <w:p w14:paraId="0807329D">
            <w:pPr>
              <w:pageBreakBefore w:val="0"/>
              <w:kinsoku/>
              <w:wordWrap w:val="0"/>
              <w:overflowPunct/>
              <w:bidi w:val="0"/>
              <w:spacing w:after="0" w:line="380" w:lineRule="exact"/>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2.结算依据</w:t>
            </w:r>
          </w:p>
          <w:p w14:paraId="237F9FC7">
            <w:pPr>
              <w:pageBreakBefore w:val="0"/>
              <w:kinsoku/>
              <w:wordWrap w:val="0"/>
              <w:overflowPunct/>
              <w:bidi w:val="0"/>
              <w:spacing w:after="0" w:line="380" w:lineRule="exact"/>
              <w:textAlignment w:val="auto"/>
              <w:rPr>
                <w:rFonts w:hint="eastAsia" w:ascii="宋体" w:hAnsi="宋体" w:eastAsia="宋体" w:cs="宋体"/>
                <w:color w:val="auto"/>
                <w:highlight w:val="none"/>
              </w:rPr>
            </w:pPr>
            <w:r>
              <w:rPr>
                <w:rFonts w:hint="eastAsia" w:ascii="宋体" w:hAnsi="宋体" w:eastAsia="宋体" w:cs="宋体"/>
                <w:color w:val="auto"/>
                <w:sz w:val="21"/>
                <w:szCs w:val="21"/>
              </w:rPr>
              <w:t>工程完工后，</w:t>
            </w:r>
            <w:r>
              <w:rPr>
                <w:rFonts w:hint="eastAsia" w:ascii="宋体" w:hAnsi="宋体" w:eastAsia="宋体" w:cs="宋体"/>
                <w:b/>
                <w:color w:val="auto"/>
                <w:sz w:val="21"/>
                <w:szCs w:val="21"/>
              </w:rPr>
              <w:t>最终结算价=(按照审定后的竣工结算价-规费-</w:t>
            </w:r>
            <w:r>
              <w:rPr>
                <w:rFonts w:hint="eastAsia" w:ascii="宋体" w:hAnsi="宋体" w:eastAsia="宋体" w:cs="宋体"/>
                <w:b/>
                <w:color w:val="auto"/>
                <w:sz w:val="21"/>
                <w:szCs w:val="21"/>
                <w:lang w:val="en-US" w:eastAsia="zh-CN"/>
              </w:rPr>
              <w:t>安全文明措施费-</w:t>
            </w:r>
            <w:r>
              <w:rPr>
                <w:rFonts w:hint="eastAsia" w:ascii="宋体" w:hAnsi="宋体" w:eastAsia="宋体" w:cs="宋体"/>
                <w:b/>
                <w:color w:val="auto"/>
                <w:sz w:val="21"/>
                <w:szCs w:val="21"/>
              </w:rPr>
              <w:t>税金)×优惠后的费率+规费+</w:t>
            </w:r>
            <w:r>
              <w:rPr>
                <w:rFonts w:hint="eastAsia" w:ascii="宋体" w:hAnsi="宋体" w:eastAsia="宋体" w:cs="宋体"/>
                <w:b/>
                <w:color w:val="auto"/>
                <w:sz w:val="21"/>
                <w:szCs w:val="21"/>
                <w:lang w:val="en-US" w:eastAsia="zh-CN"/>
              </w:rPr>
              <w:t>安全文明措施费+</w:t>
            </w:r>
            <w:r>
              <w:rPr>
                <w:rFonts w:hint="eastAsia" w:ascii="宋体" w:hAnsi="宋体" w:eastAsia="宋体" w:cs="宋体"/>
                <w:b/>
                <w:color w:val="auto"/>
                <w:sz w:val="21"/>
                <w:szCs w:val="21"/>
              </w:rPr>
              <w:t>税金。</w:t>
            </w:r>
          </w:p>
        </w:tc>
      </w:tr>
      <w:tr w14:paraId="6576C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6" w:hRule="atLeast"/>
          <w:jc w:val="center"/>
        </w:trPr>
        <w:tc>
          <w:tcPr>
            <w:tcW w:w="756" w:type="dxa"/>
            <w:tcBorders>
              <w:bottom w:val="single" w:color="auto" w:sz="4" w:space="0"/>
              <w:right w:val="single" w:color="auto" w:sz="4" w:space="0"/>
            </w:tcBorders>
            <w:vAlign w:val="center"/>
          </w:tcPr>
          <w:p w14:paraId="26600F0C">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10.2</w:t>
            </w:r>
          </w:p>
        </w:tc>
        <w:tc>
          <w:tcPr>
            <w:tcW w:w="2005" w:type="dxa"/>
            <w:tcBorders>
              <w:left w:val="single" w:color="auto" w:sz="4" w:space="0"/>
              <w:bottom w:val="single" w:color="auto" w:sz="4" w:space="0"/>
              <w:right w:val="single" w:color="auto" w:sz="4" w:space="0"/>
            </w:tcBorders>
            <w:vAlign w:val="center"/>
          </w:tcPr>
          <w:p w14:paraId="11FD124E">
            <w:pPr>
              <w:pageBreakBefore w:val="0"/>
              <w:kinsoku/>
              <w:wordWrap w:val="0"/>
              <w:overflowPunct/>
              <w:bidi w:val="0"/>
              <w:spacing w:after="0" w:line="36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同义词理解</w:t>
            </w:r>
          </w:p>
        </w:tc>
        <w:tc>
          <w:tcPr>
            <w:tcW w:w="6936" w:type="dxa"/>
            <w:tcBorders>
              <w:left w:val="single" w:color="auto" w:sz="4" w:space="0"/>
              <w:bottom w:val="single" w:color="auto" w:sz="4" w:space="0"/>
            </w:tcBorders>
            <w:vAlign w:val="center"/>
          </w:tcPr>
          <w:p w14:paraId="7D974AE9">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竞争性磋商文件中“采购人”同“发包人、招标人”；“招标代理机构”同“采购代理机构”；“成交供应商”同“中标人、中标单位”</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“供应商”同“投标单位</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磋商申请人”。</w:t>
            </w:r>
          </w:p>
        </w:tc>
      </w:tr>
      <w:tr w14:paraId="4B8623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756" w:type="dxa"/>
            <w:tcBorders>
              <w:top w:val="single" w:color="auto" w:sz="4" w:space="0"/>
              <w:bottom w:val="single" w:color="auto" w:sz="4" w:space="0"/>
              <w:right w:val="single" w:color="auto" w:sz="4" w:space="0"/>
            </w:tcBorders>
            <w:vAlign w:val="center"/>
          </w:tcPr>
          <w:p w14:paraId="3A92DF0D">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10.3</w:t>
            </w:r>
          </w:p>
        </w:tc>
        <w:tc>
          <w:tcPr>
            <w:tcW w:w="2005" w:type="dxa"/>
            <w:tcBorders>
              <w:top w:val="single" w:color="auto" w:sz="4" w:space="0"/>
              <w:left w:val="single" w:color="auto" w:sz="4" w:space="0"/>
              <w:bottom w:val="single" w:color="auto" w:sz="4" w:space="0"/>
              <w:right w:val="single" w:color="auto" w:sz="4" w:space="0"/>
            </w:tcBorders>
            <w:vAlign w:val="center"/>
          </w:tcPr>
          <w:p w14:paraId="07F1DC81">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知识产权</w:t>
            </w:r>
          </w:p>
        </w:tc>
        <w:tc>
          <w:tcPr>
            <w:tcW w:w="6936" w:type="dxa"/>
            <w:tcBorders>
              <w:top w:val="single" w:color="auto" w:sz="4" w:space="0"/>
              <w:left w:val="single" w:color="auto" w:sz="4" w:space="0"/>
              <w:bottom w:val="single" w:color="auto" w:sz="4" w:space="0"/>
            </w:tcBorders>
            <w:vAlign w:val="center"/>
          </w:tcPr>
          <w:p w14:paraId="50BDE283">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磋商申请单位必须遵守《中华人民共和国保守国家秘密法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保守国家秘密法实施条例》规定做好保密工作，构成本磋商文件各个组成部分的文件，未经采购人书面同意，供应商不得擅自复印和用于非本磋商项目所需的其他目的。采购人全部或者部分使用未成交人磋商响应文件中的技术成果或技术方案时，需征得其书面同意，并不得擅自复印或提供给第三人。</w:t>
            </w:r>
          </w:p>
          <w:p w14:paraId="480FEABC">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p w14:paraId="7D889392">
            <w:pPr>
              <w:pageBreakBefore w:val="0"/>
              <w:kinsoku/>
              <w:wordWrap w:val="0"/>
              <w:overflowPunct/>
              <w:bidi w:val="0"/>
              <w:spacing w:after="0" w:line="38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1.采购人享有本项目实施过程中产生的知识成果及知识产权。</w:t>
            </w:r>
          </w:p>
          <w:p w14:paraId="0A17593C">
            <w:pPr>
              <w:pageBreakBefore w:val="0"/>
              <w:kinsoku/>
              <w:wordWrap w:val="0"/>
              <w:overflowPunct/>
              <w:bidi w:val="0"/>
              <w:spacing w:after="0" w:line="38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2.如采用供应商所不拥有的知识产权，在采购报价中必须包括合法获取该知识产权的相关费用。如因知识产权而引起法律和经济纠纷，由供应商自行承担全部责任及由此产生的费用。</w:t>
            </w:r>
          </w:p>
          <w:p w14:paraId="5D97947B">
            <w:pPr>
              <w:pageBreakBefore w:val="0"/>
              <w:kinsoku/>
              <w:wordWrap w:val="0"/>
              <w:overflowPunct/>
              <w:bidi w:val="0"/>
              <w:spacing w:after="0" w:line="380" w:lineRule="exact"/>
              <w:textAlignment w:val="auto"/>
              <w:rPr>
                <w:rFonts w:hint="eastAsia" w:ascii="宋体" w:hAnsi="宋体" w:eastAsia="宋体" w:cs="宋体"/>
                <w:color w:val="auto"/>
                <w:highlight w:val="none"/>
              </w:rPr>
            </w:pPr>
            <w:r>
              <w:rPr>
                <w:rFonts w:hint="eastAsia" w:ascii="宋体" w:hAnsi="宋体" w:eastAsia="宋体" w:cs="宋体"/>
                <w:b/>
                <w:bCs/>
                <w:color w:val="auto"/>
                <w:sz w:val="21"/>
                <w:szCs w:val="21"/>
                <w:highlight w:val="none"/>
              </w:rPr>
              <w:t>3.本项目响应采购（成交）产品如果存在资质、专利、授权、经营、经济等各类纠纷、仲裁或诉讼问题的，采购人、评标委员会和采购代理机构均不承担任何责任。评标委员会决定投标的响应性仅根据响应文件本身的内容，而不寻求外部的证据。</w:t>
            </w:r>
          </w:p>
        </w:tc>
      </w:tr>
      <w:tr w14:paraId="7163A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56" w:type="dxa"/>
            <w:tcBorders>
              <w:top w:val="single" w:color="auto" w:sz="4" w:space="0"/>
              <w:bottom w:val="single" w:color="auto" w:sz="4" w:space="0"/>
              <w:right w:val="single" w:color="auto" w:sz="4" w:space="0"/>
            </w:tcBorders>
            <w:vAlign w:val="center"/>
          </w:tcPr>
          <w:p w14:paraId="2A838E29">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10.4</w:t>
            </w:r>
          </w:p>
        </w:tc>
        <w:tc>
          <w:tcPr>
            <w:tcW w:w="2005" w:type="dxa"/>
            <w:tcBorders>
              <w:top w:val="single" w:color="auto" w:sz="4" w:space="0"/>
              <w:left w:val="single" w:color="auto" w:sz="4" w:space="0"/>
              <w:bottom w:val="single" w:color="auto" w:sz="4" w:space="0"/>
              <w:right w:val="single" w:color="auto" w:sz="4" w:space="0"/>
            </w:tcBorders>
            <w:vAlign w:val="center"/>
          </w:tcPr>
          <w:p w14:paraId="1DCDCBCE">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解释权</w:t>
            </w:r>
          </w:p>
        </w:tc>
        <w:tc>
          <w:tcPr>
            <w:tcW w:w="6936" w:type="dxa"/>
            <w:tcBorders>
              <w:top w:val="single" w:color="auto" w:sz="4" w:space="0"/>
              <w:left w:val="single" w:color="auto" w:sz="4" w:space="0"/>
              <w:bottom w:val="single" w:color="auto" w:sz="4" w:space="0"/>
            </w:tcBorders>
            <w:vAlign w:val="center"/>
          </w:tcPr>
          <w:p w14:paraId="7D75C352">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磋商阶段的规定，按磋商公告（磋商邀请书）、供应商须知、评标办法、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30B9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56" w:type="dxa"/>
            <w:tcBorders>
              <w:top w:val="single" w:color="auto" w:sz="4" w:space="0"/>
              <w:bottom w:val="single" w:color="auto" w:sz="4" w:space="0"/>
              <w:right w:val="single" w:color="auto" w:sz="4" w:space="0"/>
            </w:tcBorders>
            <w:vAlign w:val="center"/>
          </w:tcPr>
          <w:p w14:paraId="25A7FFEF">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10.5</w:t>
            </w:r>
          </w:p>
        </w:tc>
        <w:tc>
          <w:tcPr>
            <w:tcW w:w="2005" w:type="dxa"/>
            <w:tcBorders>
              <w:top w:val="single" w:color="auto" w:sz="4" w:space="0"/>
              <w:left w:val="single" w:color="auto" w:sz="4" w:space="0"/>
              <w:bottom w:val="single" w:color="auto" w:sz="4" w:space="0"/>
              <w:right w:val="single" w:color="auto" w:sz="4" w:space="0"/>
            </w:tcBorders>
            <w:vAlign w:val="center"/>
          </w:tcPr>
          <w:p w14:paraId="1D558FBB">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政府采购政策功能    （若有时提供）</w:t>
            </w:r>
          </w:p>
        </w:tc>
        <w:tc>
          <w:tcPr>
            <w:tcW w:w="6936" w:type="dxa"/>
            <w:tcBorders>
              <w:top w:val="single" w:color="auto" w:sz="4" w:space="0"/>
              <w:left w:val="single" w:color="auto" w:sz="4" w:space="0"/>
              <w:bottom w:val="single" w:color="auto" w:sz="4" w:space="0"/>
            </w:tcBorders>
            <w:vAlign w:val="center"/>
          </w:tcPr>
          <w:p w14:paraId="48756349">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本项目</w:t>
            </w:r>
            <w:r>
              <w:rPr>
                <w:rFonts w:hint="eastAsia" w:ascii="宋体" w:hAnsi="宋体" w:eastAsia="宋体" w:cs="宋体"/>
                <w:b/>
                <w:bCs/>
                <w:color w:val="auto"/>
                <w:sz w:val="21"/>
                <w:szCs w:val="21"/>
                <w:highlight w:val="none"/>
              </w:rPr>
              <w:t>属于专门面向中小企业采购的项目</w:t>
            </w:r>
            <w:r>
              <w:rPr>
                <w:rFonts w:hint="eastAsia" w:ascii="宋体" w:hAnsi="宋体" w:eastAsia="宋体" w:cs="宋体"/>
                <w:color w:val="auto"/>
                <w:sz w:val="21"/>
                <w:szCs w:val="21"/>
                <w:highlight w:val="none"/>
              </w:rPr>
              <w:t>，采购标的对应的中小企业划分标准所属行业为“</w:t>
            </w:r>
            <w:r>
              <w:rPr>
                <w:rFonts w:hint="eastAsia" w:ascii="宋体" w:hAnsi="宋体" w:eastAsia="宋体" w:cs="宋体"/>
                <w:b/>
                <w:bCs/>
                <w:color w:val="auto"/>
                <w:sz w:val="21"/>
                <w:szCs w:val="21"/>
                <w:highlight w:val="none"/>
                <w:lang w:val="en-US" w:eastAsia="zh-CN"/>
              </w:rPr>
              <w:t>建筑</w:t>
            </w:r>
            <w:r>
              <w:rPr>
                <w:rFonts w:hint="eastAsia" w:ascii="宋体" w:hAnsi="宋体" w:eastAsia="宋体" w:cs="宋体"/>
                <w:b/>
                <w:bCs/>
                <w:color w:val="auto"/>
                <w:sz w:val="21"/>
                <w:szCs w:val="21"/>
                <w:highlight w:val="none"/>
              </w:rPr>
              <w:t>业</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en-US" w:eastAsia="zh-CN"/>
              </w:rPr>
              <w:t>属于规定</w:t>
            </w:r>
            <w:r>
              <w:rPr>
                <w:rFonts w:hint="eastAsia" w:ascii="宋体" w:hAnsi="宋体" w:eastAsia="宋体" w:cs="宋体"/>
                <w:color w:val="auto"/>
                <w:sz w:val="21"/>
                <w:szCs w:val="21"/>
                <w:highlight w:val="none"/>
              </w:rPr>
              <w:t>中小微企业、监狱企业、残疾人福利性单位的具体资格要求按</w:t>
            </w:r>
            <w:r>
              <w:rPr>
                <w:rFonts w:hint="eastAsia" w:ascii="宋体" w:hAnsi="宋体" w:eastAsia="宋体" w:cs="宋体"/>
                <w:color w:val="auto"/>
                <w:sz w:val="21"/>
                <w:szCs w:val="21"/>
                <w:highlight w:val="none"/>
                <w:lang w:val="en-US" w:eastAsia="zh-CN"/>
              </w:rPr>
              <w:t>下</w:t>
            </w:r>
            <w:r>
              <w:rPr>
                <w:rFonts w:hint="eastAsia" w:ascii="宋体" w:hAnsi="宋体" w:eastAsia="宋体" w:cs="宋体"/>
                <w:color w:val="auto"/>
                <w:sz w:val="21"/>
                <w:szCs w:val="21"/>
                <w:highlight w:val="none"/>
              </w:rPr>
              <w:t>列</w:t>
            </w:r>
            <w:r>
              <w:rPr>
                <w:rFonts w:hint="eastAsia" w:ascii="宋体" w:hAnsi="宋体" w:eastAsia="宋体" w:cs="宋体"/>
                <w:color w:val="auto"/>
                <w:sz w:val="21"/>
                <w:szCs w:val="21"/>
                <w:highlight w:val="none"/>
                <w:lang w:val="en-US" w:eastAsia="zh-CN"/>
              </w:rPr>
              <w:t>条款</w:t>
            </w:r>
            <w:r>
              <w:rPr>
                <w:rFonts w:hint="eastAsia" w:ascii="宋体" w:hAnsi="宋体" w:eastAsia="宋体" w:cs="宋体"/>
                <w:color w:val="auto"/>
                <w:sz w:val="21"/>
                <w:szCs w:val="21"/>
                <w:highlight w:val="none"/>
              </w:rPr>
              <w:t>认定</w:t>
            </w:r>
            <w:r>
              <w:rPr>
                <w:rFonts w:hint="eastAsia" w:ascii="宋体" w:hAnsi="宋体" w:eastAsia="宋体" w:cs="宋体"/>
                <w:color w:val="auto"/>
                <w:sz w:val="21"/>
                <w:szCs w:val="21"/>
                <w:highlight w:val="none"/>
                <w:lang w:eastAsia="zh-CN"/>
              </w:rPr>
              <w:t>：</w:t>
            </w:r>
          </w:p>
          <w:p w14:paraId="3AFACC10">
            <w:pPr>
              <w:pageBreakBefore w:val="0"/>
              <w:kinsoku/>
              <w:wordWrap w:val="0"/>
              <w:overflowPunct/>
              <w:bidi w:val="0"/>
              <w:spacing w:after="0" w:line="38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★供应商</w:t>
            </w:r>
            <w:r>
              <w:rPr>
                <w:rFonts w:hint="eastAsia" w:ascii="宋体" w:hAnsi="宋体" w:eastAsia="宋体" w:cs="宋体"/>
                <w:b/>
                <w:bCs/>
                <w:color w:val="auto"/>
                <w:sz w:val="21"/>
                <w:szCs w:val="21"/>
                <w:highlight w:val="none"/>
                <w:lang w:val="en-US" w:eastAsia="zh-CN"/>
              </w:rPr>
              <w:t>须</w:t>
            </w:r>
            <w:r>
              <w:rPr>
                <w:rFonts w:hint="eastAsia" w:ascii="宋体" w:hAnsi="宋体" w:eastAsia="宋体" w:cs="宋体"/>
                <w:b/>
                <w:bCs/>
                <w:color w:val="auto"/>
                <w:sz w:val="21"/>
                <w:szCs w:val="21"/>
                <w:highlight w:val="none"/>
              </w:rPr>
              <w:t>提供中小企业声明函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监狱企业、残疾人福利性单位视同小型、微型企业。</w:t>
            </w:r>
          </w:p>
          <w:p w14:paraId="27D9814E">
            <w:pPr>
              <w:pageBreakBefore w:val="0"/>
              <w:kinsoku/>
              <w:wordWrap w:val="0"/>
              <w:overflowPunct/>
              <w:bidi w:val="0"/>
              <w:spacing w:after="0" w:line="38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 1 \* GB4 \* MERGEFORMAT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㈠</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t>如属于专门面向中小企业采购的项目，供应商应为中小微企业的具体资格要求：</w:t>
            </w:r>
          </w:p>
          <w:p w14:paraId="7D00F964">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在政府采购活动中，供应商提供的货物、工程或者服务符合下列情形的，享受本办法规定的中小企业扶持政策：</w:t>
            </w:r>
          </w:p>
          <w:p w14:paraId="7969338B">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（一）在货物采购项目中，货物由中小企业制造，即货物由中小企业生产且使用该中小企业商号或者注册商标；</w:t>
            </w:r>
          </w:p>
          <w:p w14:paraId="3E18F504">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（二）在工程采购项目中，工程由中小企业承建，即工程施工单位为中小企业；</w:t>
            </w:r>
          </w:p>
          <w:p w14:paraId="5FA24063">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（三）在服务采购项目中，服务由中小企业承接，即提供服务的人员为中小企业依照《中华人民共和国民法典》订立劳动合同的从业人员。</w:t>
            </w:r>
          </w:p>
          <w:p w14:paraId="36E6D733">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68D7592">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在货物采购项目中，供应商提供的货物既有中小企业制造货物，也有大型企业制造货物的，不享受本办法规定的中小企业扶持政策。</w:t>
            </w:r>
          </w:p>
          <w:p w14:paraId="0D02D33F">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以联合体形式参加政府采购活动，联合体各方均为中小企业的，联合体视同中小企业。其中，联合体各方均为小微企业的，联合体视同小微企业。</w:t>
            </w:r>
          </w:p>
          <w:p w14:paraId="76211937">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本规定所称中小企业划分标准，是指国务院有关部门根据企业从业人员、营业收入、资产总额等指标制定的中小企业划型标准，详见《关于印发中小企业划型标准规定的通知》（工信部联企业〔2011〕300号）。</w:t>
            </w:r>
          </w:p>
          <w:p w14:paraId="7685A195">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⑶小型、微型企业提供中型企业制造的货物的，视同为中型企业。中小企业提供本企业制造的货物参与投标时，须提供本企业的《中小企业声明函》；中小企业提供其他中小企业制造的货物参与投标时，还须同时提供货物制造企业的《中小企业声明函》。</w:t>
            </w:r>
          </w:p>
          <w:p w14:paraId="39097F89">
            <w:pPr>
              <w:pageBreakBefore w:val="0"/>
              <w:kinsoku/>
              <w:wordWrap w:val="0"/>
              <w:overflowPunct/>
              <w:bidi w:val="0"/>
              <w:spacing w:after="0" w:line="38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 2 \* GB4 \* MERGEFORMAT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㈡</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t>如属于专门面向中小企业采购的项目，供应商应为监狱企业的具体资格要求：</w:t>
            </w:r>
          </w:p>
          <w:p w14:paraId="05406274">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3B907BB">
            <w:pPr>
              <w:pageBreakBefore w:val="0"/>
              <w:kinsoku/>
              <w:wordWrap w:val="0"/>
              <w:overflowPunct/>
              <w:bidi w:val="0"/>
              <w:spacing w:after="0" w:line="38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 3 \* GB4 \* MERGEFORMAT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㈢</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t>如属于专门面向中小企业采购的项目，供应商应为残疾人福利性单位的具体资格要求：</w:t>
            </w:r>
          </w:p>
          <w:p w14:paraId="1A8DEB33">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残疾人福利性单位优先采购政策根据《关于促进残疾人就业政府采购政策的通知》（财库</w:t>
            </w:r>
            <w:r>
              <w:rPr>
                <w:rFonts w:hint="eastAsia" w:ascii="宋体" w:hAnsi="宋体" w:eastAsia="宋体" w:cs="宋体"/>
                <w:color w:val="auto"/>
                <w:sz w:val="21"/>
                <w:szCs w:val="21"/>
                <w:highlight w:val="none"/>
                <w:lang w:eastAsia="zh-CN"/>
              </w:rPr>
              <w:t>〔2017〕141号</w:t>
            </w:r>
            <w:r>
              <w:rPr>
                <w:rFonts w:hint="eastAsia" w:ascii="宋体" w:hAnsi="宋体" w:eastAsia="宋体" w:cs="宋体"/>
                <w:color w:val="auto"/>
                <w:sz w:val="21"/>
                <w:szCs w:val="21"/>
                <w:highlight w:val="none"/>
              </w:rPr>
              <w:t>）的规定，残疾人福利性单位优先采购政策，残疾人福利性单位参与本项目投标时，提供《残疾人福利性单位声明函》并对声明的真实性负责，视同小型、微型企业享受价格扣除等优惠政策。</w:t>
            </w:r>
          </w:p>
          <w:p w14:paraId="0F9F58B9">
            <w:pPr>
              <w:pageBreakBefore w:val="0"/>
              <w:kinsoku/>
              <w:wordWrap w:val="0"/>
              <w:overflowPunct/>
              <w:bidi w:val="0"/>
              <w:spacing w:after="0" w:line="38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 4 \* GB4 \* MERGEFORMAT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㈣</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t>节能产品、环境标志产品政府采购执行机制</w:t>
            </w:r>
          </w:p>
          <w:p w14:paraId="7AF23CE3">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进口产品</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rPr>
              <w:t>不适用</w:t>
            </w:r>
            <w:r>
              <w:rPr>
                <w:rFonts w:hint="eastAsia" w:ascii="宋体" w:hAnsi="宋体" w:eastAsia="宋体" w:cs="宋体"/>
                <w:color w:val="auto"/>
                <w:sz w:val="21"/>
                <w:szCs w:val="21"/>
                <w:highlight w:val="none"/>
              </w:rPr>
              <w:t>。</w:t>
            </w:r>
          </w:p>
          <w:p w14:paraId="2E56FA3A">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节能产品</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val="en-US" w:eastAsia="zh-CN"/>
              </w:rPr>
              <w:t>不适用</w:t>
            </w:r>
            <w:r>
              <w:rPr>
                <w:rFonts w:hint="eastAsia" w:ascii="宋体" w:hAnsi="宋体" w:eastAsia="宋体" w:cs="宋体"/>
                <w:color w:val="auto"/>
                <w:sz w:val="21"/>
                <w:szCs w:val="21"/>
                <w:highlight w:val="none"/>
              </w:rPr>
              <w:t>。</w:t>
            </w:r>
          </w:p>
          <w:p w14:paraId="6449BB90">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环境标志产品</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val="en-US" w:eastAsia="zh-CN"/>
              </w:rPr>
              <w:t>不适用</w:t>
            </w:r>
            <w:r>
              <w:rPr>
                <w:rFonts w:hint="eastAsia" w:ascii="宋体" w:hAnsi="宋体" w:eastAsia="宋体" w:cs="宋体"/>
                <w:color w:val="auto"/>
                <w:sz w:val="21"/>
                <w:szCs w:val="21"/>
                <w:highlight w:val="none"/>
              </w:rPr>
              <w:t>。</w:t>
            </w:r>
          </w:p>
          <w:p w14:paraId="753D4A1C">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根据《财政部 发展改革委 生态环境部 市场监管总局关于调整优化节能产品、环境标志产品政府采购执行机制的通知》财库〔2019〕9号文件要求：依据品目清单和认证证书实施政府优先采购和强制采购，依据国家确定的认证机构出具的处于有效期之内的节能产品、环境标志产品认证证书，对获得证书的产品实施政府优先采购或强制采购。</w:t>
            </w:r>
          </w:p>
          <w:p w14:paraId="5354D1B7">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节能产品指中华人民共和国财政部、</w:t>
            </w:r>
            <w:r>
              <w:rPr>
                <w:rFonts w:hint="eastAsia" w:ascii="宋体" w:hAnsi="宋体" w:eastAsia="宋体" w:cs="宋体"/>
                <w:color w:val="auto"/>
                <w:sz w:val="21"/>
                <w:szCs w:val="21"/>
                <w:highlight w:val="none"/>
                <w:lang w:eastAsia="zh-CN"/>
              </w:rPr>
              <w:t>国家发展改革委</w:t>
            </w:r>
            <w:r>
              <w:rPr>
                <w:rFonts w:hint="eastAsia" w:ascii="宋体" w:hAnsi="宋体" w:eastAsia="宋体" w:cs="宋体"/>
                <w:color w:val="auto"/>
                <w:sz w:val="21"/>
                <w:szCs w:val="21"/>
                <w:highlight w:val="none"/>
              </w:rPr>
              <w:t>公布的《节能产品政府采购品目清单》中的货物。环境标志产品指中华人民共和国财政部、生态环境部公布的《环境标志产品政府采购品目清单》中的货物。</w:t>
            </w:r>
          </w:p>
          <w:p w14:paraId="3068A99D">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若采购货物中政府强制采购的节能产品，只接受强制节能产品投标，投标人须提供国家确定的认证机构出具的、处于有效期之内的节能产品认证证书。否则将被视为非实质性响应招标文件。投标人所投产品须提供国家确定的认证机构出具的、处于有效期之内的节能产品、环境标志产品认证证书，否则不予认可。</w:t>
            </w:r>
          </w:p>
          <w:p w14:paraId="3E844035">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投标人所报产品列入财政部、生态环境部的环境标志产品政府采购品目清单和节能产品政府采购品目清单的：</w:t>
            </w:r>
          </w:p>
        </w:tc>
      </w:tr>
      <w:tr w14:paraId="56362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756" w:type="dxa"/>
            <w:tcBorders>
              <w:top w:val="single" w:color="auto" w:sz="4" w:space="0"/>
              <w:bottom w:val="single" w:color="auto" w:sz="4" w:space="0"/>
              <w:right w:val="single" w:color="auto" w:sz="4" w:space="0"/>
            </w:tcBorders>
            <w:vAlign w:val="center"/>
          </w:tcPr>
          <w:p w14:paraId="386BDD5C">
            <w:pPr>
              <w:pageBreakBefore w:val="0"/>
              <w:kinsoku/>
              <w:wordWrap w:val="0"/>
              <w:overflowPunct/>
              <w:bidi w:val="0"/>
              <w:spacing w:after="0" w:line="380" w:lineRule="exact"/>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10.6</w:t>
            </w:r>
          </w:p>
        </w:tc>
        <w:tc>
          <w:tcPr>
            <w:tcW w:w="2005" w:type="dxa"/>
            <w:tcBorders>
              <w:top w:val="single" w:color="auto" w:sz="4" w:space="0"/>
              <w:left w:val="single" w:color="auto" w:sz="4" w:space="0"/>
              <w:bottom w:val="single" w:color="auto" w:sz="4" w:space="0"/>
              <w:right w:val="single" w:color="auto" w:sz="4" w:space="0"/>
            </w:tcBorders>
            <w:vAlign w:val="center"/>
          </w:tcPr>
          <w:p w14:paraId="4D9B75DF">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串</w:t>
            </w:r>
            <w:r>
              <w:rPr>
                <w:rFonts w:hint="eastAsia" w:ascii="宋体" w:hAnsi="宋体" w:eastAsia="宋体" w:cs="宋体"/>
                <w:color w:val="auto"/>
                <w:sz w:val="21"/>
                <w:szCs w:val="21"/>
                <w:highlight w:val="none"/>
                <w:lang w:val="en-US" w:eastAsia="zh-CN"/>
              </w:rPr>
              <w:t>通磋商</w:t>
            </w:r>
            <w:r>
              <w:rPr>
                <w:rFonts w:hint="eastAsia" w:ascii="宋体" w:hAnsi="宋体" w:eastAsia="宋体" w:cs="宋体"/>
                <w:color w:val="auto"/>
                <w:sz w:val="21"/>
                <w:szCs w:val="21"/>
                <w:highlight w:val="none"/>
              </w:rPr>
              <w:t>行为</w:t>
            </w:r>
          </w:p>
          <w:p w14:paraId="65AC376C">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处理办法</w:t>
            </w:r>
          </w:p>
        </w:tc>
        <w:tc>
          <w:tcPr>
            <w:tcW w:w="6936" w:type="dxa"/>
            <w:tcBorders>
              <w:top w:val="single" w:color="auto" w:sz="4" w:space="0"/>
              <w:left w:val="single" w:color="auto" w:sz="4" w:space="0"/>
              <w:bottom w:val="single" w:color="auto" w:sz="4" w:space="0"/>
            </w:tcBorders>
            <w:vAlign w:val="center"/>
          </w:tcPr>
          <w:p w14:paraId="426D6887">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不同供应商通过同一台设备上传磋商响应文件将视为“不同供应商的响应文件由同一单位或者个人编制”的情形；开标评审流程不同供应商通过同一台设备解密磋商文件、进行磋商最终报价等操作，将视为 “不同供应商委托同一单位或者个人办理磋商事宜”的情形，疑似串通磋商。磋商评审小组在评审流程符合性审查、报价符合性审查阶段，通过“在线询标”功能，向疑似串通磋商的供应商发送磋商问题函，要求供应商对其与其他供应商通过同一台设备上传磋商响应文件；通过同一台设备解密磋商文件、进行磋商最终报价等操作异常情况进行澄清，超时未澄清的供应商视为放弃澄清，评审小组将根据供应商回复澄清情况，确定供应商是否通过符合性审查或报价符合性审查。其他串通磋商情形，评审小组将依据电子交易平台智能巡检异常信息据实判定，并参照上述处理方法开展评审。</w:t>
            </w:r>
          </w:p>
        </w:tc>
      </w:tr>
      <w:tr w14:paraId="1426B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756" w:type="dxa"/>
            <w:tcBorders>
              <w:top w:val="single" w:color="auto" w:sz="4" w:space="0"/>
              <w:bottom w:val="single" w:color="auto" w:sz="4" w:space="0"/>
              <w:right w:val="single" w:color="auto" w:sz="4" w:space="0"/>
            </w:tcBorders>
            <w:vAlign w:val="center"/>
          </w:tcPr>
          <w:p w14:paraId="38D78AC4">
            <w:pPr>
              <w:pageBreakBefore w:val="0"/>
              <w:kinsoku/>
              <w:wordWrap w:val="0"/>
              <w:overflowPunct/>
              <w:bidi w:val="0"/>
              <w:spacing w:after="0" w:line="3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7</w:t>
            </w:r>
          </w:p>
        </w:tc>
        <w:tc>
          <w:tcPr>
            <w:tcW w:w="2005" w:type="dxa"/>
            <w:tcBorders>
              <w:top w:val="single" w:color="auto" w:sz="4" w:space="0"/>
              <w:left w:val="single" w:color="auto" w:sz="4" w:space="0"/>
              <w:bottom w:val="single" w:color="auto" w:sz="4" w:space="0"/>
              <w:right w:val="single" w:color="auto" w:sz="4" w:space="0"/>
            </w:tcBorders>
            <w:vAlign w:val="center"/>
          </w:tcPr>
          <w:p w14:paraId="13F24301">
            <w:pPr>
              <w:pageBreakBefore w:val="0"/>
              <w:kinsoku/>
              <w:wordWrap w:val="0"/>
              <w:overflowPunct/>
              <w:bidi w:val="0"/>
              <w:spacing w:after="0" w:line="36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采购文件中术语解释</w:t>
            </w:r>
          </w:p>
        </w:tc>
        <w:tc>
          <w:tcPr>
            <w:tcW w:w="6936" w:type="dxa"/>
            <w:tcBorders>
              <w:top w:val="single" w:color="auto" w:sz="4" w:space="0"/>
              <w:left w:val="single" w:color="auto" w:sz="4" w:space="0"/>
              <w:bottom w:val="single" w:color="auto" w:sz="4" w:space="0"/>
            </w:tcBorders>
            <w:vAlign w:val="center"/>
          </w:tcPr>
          <w:p w14:paraId="0785B740">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1.“政府采购”系指各级国家机关、事业单位和团体组织，使用财政性资金采购依法制定的集中采购目录以内的或者采购限额标准以上的货物、工程和服务的行为。</w:t>
            </w:r>
          </w:p>
          <w:p w14:paraId="0F755B9A">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2.“采购”系指以合同方式有偿取得货物、工程和服务的行为，包括购买、租赁、委托、雇用等。</w:t>
            </w:r>
          </w:p>
          <w:p w14:paraId="3646C68E">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3.“货物”系指各种形态和种类的物品，包括原材料、燃料、设备、产品等。</w:t>
            </w:r>
          </w:p>
          <w:p w14:paraId="1AC424AA">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4.“工程”系指建设工程，包括建筑物和构筑物的新建、改建、扩建、装修、拆除、修缮等。</w:t>
            </w:r>
          </w:p>
          <w:p w14:paraId="4D648253">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5.“服务”系指除货物和工程以外的其他政府采购对象。</w:t>
            </w:r>
          </w:p>
          <w:p w14:paraId="7465CC46">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6.“采购人”系指依法进行政府采购的国家机关、事业单位、团体组织。</w:t>
            </w:r>
          </w:p>
          <w:p w14:paraId="010F143A">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7.“政府采购代理机构（以下简称代理机构）”系指集中采购机构以外、受采购人委托从事政府采购代理业务的社会中介机构。</w:t>
            </w:r>
          </w:p>
          <w:p w14:paraId="33D49B4A">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8.“供应商”系指向采购人提供货物、工程或者服务的法人、其他组织或者自然人。</w:t>
            </w:r>
          </w:p>
          <w:p w14:paraId="091C5F97">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法人”系指具有民事权利能力和民事行为能力，依法独立享有民事权利和承担民事义务的组织。法人分为营利法人、非营利法人、特别法人。营利法人主要包括：有限责任公司、股份有限公司和其他企业法人等；非营利法人主要包括：事业单位、社会团体、基金会、社会服务机构等；特别法人主要包括：机关法人、农村集体经济组织法人、城镇农村的合作经济组织法人、基础群众性自治组织法人。</w:t>
            </w:r>
          </w:p>
          <w:p w14:paraId="50502904">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10、“自然人”系指</w:t>
            </w:r>
            <w:r>
              <w:rPr>
                <w:rFonts w:hint="eastAsia" w:ascii="宋体" w:hAnsi="宋体" w:eastAsia="宋体" w:cs="宋体"/>
                <w:bCs/>
                <w:color w:val="auto"/>
                <w:sz w:val="21"/>
                <w:szCs w:val="21"/>
                <w:highlight w:val="none"/>
                <w:lang w:eastAsia="zh-CN"/>
              </w:rPr>
              <w:t>生物医药</w:t>
            </w:r>
            <w:r>
              <w:rPr>
                <w:rFonts w:hint="eastAsia" w:ascii="宋体" w:hAnsi="宋体" w:eastAsia="宋体" w:cs="宋体"/>
                <w:bCs/>
                <w:color w:val="auto"/>
                <w:sz w:val="21"/>
                <w:szCs w:val="21"/>
                <w:highlight w:val="none"/>
              </w:rPr>
              <w:t>意义上的人，是基于出生而取得民事主体资格的人。</w:t>
            </w:r>
          </w:p>
          <w:p w14:paraId="731CCE3F">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11.“其他组织（非法人组织）”系指不具有法人资格，但是能够依法以自己的名义从事民事活动的组织。主要包括个人独资企业、合伙企业、不具有法人资格的专业服务机构等。</w:t>
            </w:r>
          </w:p>
          <w:p w14:paraId="1F13B055">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12.“单位公章”系指国家机关、团体、企事业单位用自己法定主体行为名称制作的签名印章，称之为“公章” 。</w:t>
            </w:r>
          </w:p>
          <w:p w14:paraId="36997B81">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13.“正本”系指具有法定效应的，格式规范并具备各种正式签署和印章的正式文本。</w:t>
            </w:r>
          </w:p>
          <w:p w14:paraId="4B53DE99">
            <w:pPr>
              <w:pageBreakBefore w:val="0"/>
              <w:kinsoku/>
              <w:wordWrap w:val="0"/>
              <w:overflowPunct/>
              <w:bidi w:val="0"/>
              <w:spacing w:after="0" w:line="36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14.“副本”对应正本，是正式文本的复制文本或抄本。</w:t>
            </w:r>
          </w:p>
        </w:tc>
      </w:tr>
      <w:tr w14:paraId="5863D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756" w:type="dxa"/>
            <w:tcBorders>
              <w:top w:val="single" w:color="auto" w:sz="4" w:space="0"/>
              <w:bottom w:val="single" w:color="auto" w:sz="4" w:space="0"/>
              <w:right w:val="single" w:color="auto" w:sz="4" w:space="0"/>
            </w:tcBorders>
            <w:vAlign w:val="center"/>
          </w:tcPr>
          <w:p w14:paraId="0290A216">
            <w:pPr>
              <w:pageBreakBefore w:val="0"/>
              <w:kinsoku/>
              <w:wordWrap w:val="0"/>
              <w:overflowPunct/>
              <w:bidi w:val="0"/>
              <w:spacing w:after="0" w:line="3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8</w:t>
            </w:r>
          </w:p>
        </w:tc>
        <w:tc>
          <w:tcPr>
            <w:tcW w:w="2005" w:type="dxa"/>
            <w:tcBorders>
              <w:top w:val="single" w:color="auto" w:sz="4" w:space="0"/>
              <w:left w:val="single" w:color="auto" w:sz="4" w:space="0"/>
              <w:bottom w:val="single" w:color="auto" w:sz="4" w:space="0"/>
              <w:right w:val="single" w:color="auto" w:sz="4" w:space="0"/>
            </w:tcBorders>
            <w:vAlign w:val="center"/>
          </w:tcPr>
          <w:p w14:paraId="64F56B69">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其他未尽事宜</w:t>
            </w:r>
          </w:p>
        </w:tc>
        <w:tc>
          <w:tcPr>
            <w:tcW w:w="6936" w:type="dxa"/>
            <w:tcBorders>
              <w:top w:val="single" w:color="auto" w:sz="4" w:space="0"/>
              <w:left w:val="single" w:color="auto" w:sz="4" w:space="0"/>
              <w:bottom w:val="single" w:color="auto" w:sz="4" w:space="0"/>
            </w:tcBorders>
            <w:vAlign w:val="center"/>
          </w:tcPr>
          <w:p w14:paraId="3CA99465">
            <w:pPr>
              <w:pageBreakBefore w:val="0"/>
              <w:kinsoku/>
              <w:wordWrap w:val="0"/>
              <w:overflowPunct/>
              <w:bidi w:val="0"/>
              <w:spacing w:after="0" w:line="380" w:lineRule="exact"/>
              <w:textAlignment w:val="auto"/>
              <w:rPr>
                <w:rFonts w:hint="eastAsia" w:ascii="宋体" w:hAnsi="宋体" w:eastAsia="宋体" w:cs="宋体"/>
                <w:bCs/>
                <w:color w:val="auto"/>
                <w:sz w:val="21"/>
                <w:szCs w:val="21"/>
                <w:highlight w:val="none"/>
              </w:rPr>
            </w:pPr>
            <w:bookmarkStart w:id="45" w:name="_Toc526759805"/>
            <w:bookmarkStart w:id="46" w:name="_Toc524621588"/>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1 \* GB2</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sz w:val="21"/>
                <w:szCs w:val="21"/>
                <w:highlight w:val="none"/>
              </w:rPr>
              <w:t>⑴</w:t>
            </w:r>
            <w:r>
              <w:rPr>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财政部《关于推进完善服务项目政府采购问题的通知财库》</w:t>
            </w:r>
            <w:r>
              <w:rPr>
                <w:rFonts w:hint="eastAsia" w:ascii="宋体" w:hAnsi="宋体" w:eastAsia="宋体" w:cs="宋体"/>
                <w:bCs/>
                <w:color w:val="auto"/>
                <w:sz w:val="21"/>
                <w:szCs w:val="21"/>
                <w:highlight w:val="none"/>
                <w:lang w:eastAsia="zh-CN"/>
              </w:rPr>
              <w:t>〔2014〕37号</w:t>
            </w:r>
            <w:r>
              <w:rPr>
                <w:rFonts w:hint="eastAsia" w:ascii="宋体" w:hAnsi="宋体" w:eastAsia="宋体" w:cs="宋体"/>
                <w:bCs/>
                <w:color w:val="auto"/>
                <w:sz w:val="21"/>
                <w:szCs w:val="21"/>
                <w:highlight w:val="none"/>
              </w:rPr>
              <w:t>文规定，采购需求具有相对固定性、延续性且价格变化幅度小的服务项目，在年度预算能保障的前提下，采购人可以签订不超过三年履行期限的政府采购合同。</w:t>
            </w:r>
          </w:p>
          <w:p w14:paraId="0E1DF750">
            <w:pPr>
              <w:pageBreakBefore w:val="0"/>
              <w:kinsoku/>
              <w:wordWrap w:val="0"/>
              <w:overflowPunct/>
              <w:bidi w:val="0"/>
              <w:spacing w:after="0" w:line="38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 2 \* GB2 \* MERGEFORMAT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sz w:val="21"/>
                <w:szCs w:val="21"/>
                <w:highlight w:val="none"/>
              </w:rPr>
              <w:t>⑵</w:t>
            </w:r>
            <w:r>
              <w:rPr>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云南省财政厅《云南省财政厅关于合同履行期限不超过三年政府采购服务项目相关事宜的补充通知》云财采〔2016〕22号文规定，第一年已经按照两年或三年预算实施政府采购活动，合同也按照两年或三年总金额签订的政府采购项目，采购单位不需再进行第二年、第三年政府采购实施计划备案和合同备案；第一年按照一年预算实施政府采购活动，合同按照第一年金额签订的政府采购项目，价格未发生变化或价格发生变化且变化幅度在10％以内的，采购单位不需重复开展政府采购活动，但第二年、第三年需按年进行政府采购实施计划备案和合同备案，政府采购的组织形式和采购方式，与第一年实施的保持一致。</w:t>
            </w:r>
          </w:p>
          <w:p w14:paraId="4E1F8217">
            <w:pPr>
              <w:pageBreakBefore w:val="0"/>
              <w:kinsoku/>
              <w:wordWrap w:val="0"/>
              <w:overflowPunct/>
              <w:bidi w:val="0"/>
              <w:spacing w:after="0" w:line="380" w:lineRule="exac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fldChar w:fldCharType="begin"/>
            </w:r>
            <w:r>
              <w:rPr>
                <w:rFonts w:hint="eastAsia" w:ascii="宋体" w:hAnsi="宋体" w:eastAsia="宋体" w:cs="宋体"/>
                <w:bCs/>
                <w:color w:val="auto"/>
                <w:sz w:val="21"/>
                <w:szCs w:val="21"/>
                <w:highlight w:val="none"/>
              </w:rPr>
              <w:instrText xml:space="preserve"> = 3 \* GB2 \* MERGEFORMAT </w:instrText>
            </w:r>
            <w:r>
              <w:rPr>
                <w:rFonts w:hint="eastAsia" w:ascii="宋体" w:hAnsi="宋体" w:eastAsia="宋体" w:cs="宋体"/>
                <w:bCs/>
                <w:color w:val="auto"/>
                <w:sz w:val="21"/>
                <w:szCs w:val="21"/>
                <w:highlight w:val="none"/>
              </w:rPr>
              <w:fldChar w:fldCharType="separate"/>
            </w:r>
            <w:r>
              <w:rPr>
                <w:rFonts w:hint="eastAsia" w:ascii="宋体" w:hAnsi="宋体" w:eastAsia="宋体" w:cs="宋体"/>
                <w:bCs/>
                <w:color w:val="auto"/>
                <w:sz w:val="21"/>
                <w:szCs w:val="21"/>
                <w:highlight w:val="none"/>
              </w:rPr>
              <w:t>⑶</w:t>
            </w:r>
            <w:r>
              <w:rPr>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中华人民共和国政府采购法》（中华人民共和国主席令第六十八号）第四十九条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1BB0D1CD">
            <w:pPr>
              <w:pageBreakBefore w:val="0"/>
              <w:kinsoku/>
              <w:wordWrap w:val="0"/>
              <w:overflowPunct/>
              <w:bidi w:val="0"/>
              <w:spacing w:after="0" w:line="41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eastAsia="zh-CN"/>
              </w:rPr>
              <w:fldChar w:fldCharType="begin"/>
            </w:r>
            <w:r>
              <w:rPr>
                <w:rFonts w:hint="eastAsia" w:ascii="宋体" w:hAnsi="宋体" w:eastAsia="宋体" w:cs="宋体"/>
                <w:bCs/>
                <w:color w:val="auto"/>
                <w:sz w:val="21"/>
                <w:szCs w:val="21"/>
                <w:highlight w:val="none"/>
                <w:lang w:eastAsia="zh-CN"/>
              </w:rPr>
              <w:instrText xml:space="preserve"> = 4 \* GB2 \* MERGEFORMAT </w:instrText>
            </w:r>
            <w:r>
              <w:rPr>
                <w:rFonts w:hint="eastAsia" w:ascii="宋体" w:hAnsi="宋体" w:eastAsia="宋体" w:cs="宋体"/>
                <w:bCs/>
                <w:color w:val="auto"/>
                <w:sz w:val="21"/>
                <w:szCs w:val="21"/>
                <w:highlight w:val="none"/>
                <w:lang w:eastAsia="zh-CN"/>
              </w:rPr>
              <w:fldChar w:fldCharType="separate"/>
            </w:r>
            <w:r>
              <w:rPr>
                <w:rFonts w:hint="eastAsia" w:ascii="宋体" w:hAnsi="宋体" w:eastAsia="宋体" w:cs="宋体"/>
                <w:color w:val="auto"/>
                <w:highlight w:val="none"/>
              </w:rPr>
              <w:t>⑷</w:t>
            </w:r>
            <w:r>
              <w:rPr>
                <w:rFonts w:hint="eastAsia" w:ascii="宋体" w:hAnsi="宋体" w:eastAsia="宋体" w:cs="宋体"/>
                <w:bCs/>
                <w:color w:val="auto"/>
                <w:sz w:val="21"/>
                <w:szCs w:val="21"/>
                <w:highlight w:val="none"/>
                <w:lang w:eastAsia="zh-CN"/>
              </w:rPr>
              <w:fldChar w:fldCharType="end"/>
            </w:r>
            <w:r>
              <w:rPr>
                <w:rFonts w:hint="eastAsia" w:ascii="宋体" w:hAnsi="宋体" w:eastAsia="宋体" w:cs="宋体"/>
                <w:color w:val="auto"/>
                <w:sz w:val="21"/>
                <w:szCs w:val="21"/>
                <w:highlight w:val="none"/>
                <w:lang w:val="en-US" w:eastAsia="zh-CN"/>
              </w:rPr>
              <w:t>为支持和促进中小企业发展，进一步发挥政府采购政策功能，鼓励供应商使用</w:t>
            </w:r>
            <w:r>
              <w:rPr>
                <w:rFonts w:hint="eastAsia" w:ascii="宋体" w:hAnsi="宋体" w:eastAsia="宋体" w:cs="宋体"/>
                <w:b/>
                <w:bCs/>
                <w:color w:val="auto"/>
                <w:sz w:val="21"/>
                <w:szCs w:val="21"/>
                <w:highlight w:val="none"/>
                <w:lang w:val="en-US" w:eastAsia="zh-CN"/>
              </w:rPr>
              <w:t>保险/保函替代投标、履约保证金</w:t>
            </w:r>
            <w:r>
              <w:rPr>
                <w:rFonts w:hint="eastAsia" w:ascii="宋体" w:hAnsi="宋体" w:eastAsia="宋体" w:cs="宋体"/>
                <w:color w:val="auto"/>
                <w:sz w:val="21"/>
                <w:szCs w:val="21"/>
                <w:highlight w:val="none"/>
                <w:lang w:val="en-US" w:eastAsia="zh-CN"/>
              </w:rPr>
              <w:t>，支持供应商基于中标项目进行</w:t>
            </w:r>
            <w:r>
              <w:rPr>
                <w:rFonts w:hint="eastAsia" w:ascii="宋体" w:hAnsi="宋体" w:eastAsia="宋体" w:cs="宋体"/>
                <w:b/>
                <w:bCs/>
                <w:color w:val="auto"/>
                <w:sz w:val="21"/>
                <w:szCs w:val="21"/>
                <w:highlight w:val="none"/>
                <w:lang w:val="en-US" w:eastAsia="zh-CN"/>
              </w:rPr>
              <w:t>应收账款融资</w:t>
            </w:r>
            <w:r>
              <w:rPr>
                <w:rFonts w:hint="eastAsia" w:ascii="宋体" w:hAnsi="宋体" w:eastAsia="宋体" w:cs="宋体"/>
                <w:color w:val="auto"/>
                <w:sz w:val="21"/>
                <w:szCs w:val="21"/>
                <w:highlight w:val="none"/>
                <w:lang w:val="en-US" w:eastAsia="zh-CN"/>
              </w:rPr>
              <w:t>。供应商可登录【红河州政府采购金融服务平台】进行了解。</w:t>
            </w:r>
          </w:p>
          <w:p w14:paraId="26FCCAD9">
            <w:pPr>
              <w:pageBreakBefore w:val="0"/>
              <w:kinsoku/>
              <w:wordWrap w:val="0"/>
              <w:overflowPunct/>
              <w:bidi w:val="0"/>
              <w:spacing w:after="0" w:line="410" w:lineRule="exact"/>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直达链接：</w:t>
            </w:r>
            <w:r>
              <w:rPr>
                <w:rFonts w:hint="eastAsia" w:ascii="宋体" w:hAnsi="宋体" w:eastAsia="宋体" w:cs="宋体"/>
                <w:b w:val="0"/>
                <w:bCs w:val="0"/>
                <w:color w:val="auto"/>
                <w:sz w:val="21"/>
                <w:szCs w:val="21"/>
                <w:highlight w:val="none"/>
                <w:lang w:val="en-US" w:eastAsia="zh-CN"/>
              </w:rPr>
              <w:t>https://jinrong.zcygov.cn/luban/finance/honghe</w:t>
            </w:r>
          </w:p>
          <w:p w14:paraId="47EBDE5A">
            <w:pPr>
              <w:pageBreakBefore w:val="0"/>
              <w:kinsoku/>
              <w:wordWrap w:val="0"/>
              <w:overflowPunct/>
              <w:bidi w:val="0"/>
              <w:spacing w:after="0" w:line="380" w:lineRule="exac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w:t>
            </w:r>
            <w:r>
              <w:rPr>
                <w:rFonts w:hint="eastAsia" w:ascii="宋体" w:hAnsi="宋体" w:eastAsia="宋体" w:cs="宋体"/>
                <w:bCs/>
                <w:color w:val="auto"/>
                <w:sz w:val="21"/>
                <w:szCs w:val="21"/>
                <w:highlight w:val="none"/>
                <w:lang w:val="en-US" w:eastAsia="zh-CN"/>
              </w:rPr>
              <w:t>供应商</w:t>
            </w:r>
            <w:r>
              <w:rPr>
                <w:rFonts w:hint="eastAsia" w:ascii="宋体" w:hAnsi="宋体" w:eastAsia="宋体" w:cs="宋体"/>
                <w:bCs/>
                <w:color w:val="auto"/>
                <w:sz w:val="21"/>
                <w:szCs w:val="21"/>
                <w:highlight w:val="none"/>
              </w:rPr>
              <w:t>应当按照</w:t>
            </w:r>
            <w:r>
              <w:rPr>
                <w:rFonts w:hint="eastAsia" w:ascii="宋体" w:hAnsi="宋体" w:eastAsia="宋体" w:cs="宋体"/>
                <w:bCs/>
                <w:color w:val="auto"/>
                <w:sz w:val="21"/>
                <w:szCs w:val="21"/>
                <w:highlight w:val="none"/>
                <w:lang w:val="en-US" w:eastAsia="zh-CN"/>
              </w:rPr>
              <w:t>采购</w:t>
            </w:r>
            <w:r>
              <w:rPr>
                <w:rFonts w:hint="eastAsia" w:ascii="宋体" w:hAnsi="宋体" w:eastAsia="宋体" w:cs="宋体"/>
                <w:bCs/>
                <w:color w:val="auto"/>
                <w:sz w:val="21"/>
                <w:szCs w:val="21"/>
                <w:highlight w:val="none"/>
              </w:rPr>
              <w:t>文件的要求编制响应文件，并对其提交的响应文件的真实性、合法性承担法律责任。本采购文件未尽事宜，按现行相关法律法规执行。</w:t>
            </w:r>
            <w:bookmarkEnd w:id="45"/>
            <w:bookmarkEnd w:id="46"/>
          </w:p>
        </w:tc>
      </w:tr>
    </w:tbl>
    <w:p w14:paraId="3660B62C">
      <w:pPr>
        <w:pageBreakBefore w:val="0"/>
        <w:kinsoku/>
        <w:wordWrap w:val="0"/>
        <w:overflowPunct/>
        <w:bidi w:val="0"/>
        <w:spacing w:after="0" w:line="520" w:lineRule="exact"/>
        <w:jc w:val="center"/>
        <w:textAlignment w:val="auto"/>
        <w:rPr>
          <w:rFonts w:hint="eastAsia" w:ascii="宋体" w:hAnsi="宋体" w:eastAsia="宋体" w:cs="宋体"/>
          <w:b/>
          <w:bCs/>
          <w:color w:val="auto"/>
          <w:sz w:val="32"/>
          <w:szCs w:val="32"/>
          <w:highlight w:val="none"/>
        </w:rPr>
      </w:pPr>
      <w:bookmarkStart w:id="47" w:name="_Toc517963432"/>
    </w:p>
    <w:p w14:paraId="0C87344E">
      <w:pPr>
        <w:pageBreakBefore w:val="0"/>
        <w:kinsoku/>
        <w:wordWrap w:val="0"/>
        <w:overflowPunct/>
        <w:bidi w:val="0"/>
        <w:spacing w:after="0" w:line="520" w:lineRule="exact"/>
        <w:jc w:val="center"/>
        <w:textAlignment w:val="auto"/>
        <w:rPr>
          <w:rFonts w:hint="eastAsia" w:ascii="宋体" w:hAnsi="宋体" w:eastAsia="宋体" w:cs="宋体"/>
          <w:b/>
          <w:bCs/>
          <w:color w:val="auto"/>
          <w:sz w:val="32"/>
          <w:szCs w:val="32"/>
          <w:highlight w:val="none"/>
        </w:rPr>
      </w:pPr>
    </w:p>
    <w:p w14:paraId="5A74CDA3">
      <w:pPr>
        <w:pageBreakBefore w:val="0"/>
        <w:kinsoku/>
        <w:wordWrap w:val="0"/>
        <w:overflowPunct/>
        <w:bidi w:val="0"/>
        <w:spacing w:after="0" w:line="520" w:lineRule="exact"/>
        <w:jc w:val="center"/>
        <w:textAlignment w:val="auto"/>
        <w:rPr>
          <w:rFonts w:hint="eastAsia" w:ascii="宋体" w:hAnsi="宋体" w:eastAsia="宋体" w:cs="宋体"/>
          <w:b/>
          <w:bCs/>
          <w:color w:val="auto"/>
          <w:sz w:val="32"/>
          <w:szCs w:val="32"/>
          <w:highlight w:val="none"/>
        </w:rPr>
      </w:pPr>
    </w:p>
    <w:p w14:paraId="6A5EEF97">
      <w:pPr>
        <w:pageBreakBefore w:val="0"/>
        <w:kinsoku/>
        <w:wordWrap w:val="0"/>
        <w:overflowPunct/>
        <w:bidi w:val="0"/>
        <w:spacing w:after="0" w:line="520" w:lineRule="exact"/>
        <w:jc w:val="center"/>
        <w:textAlignment w:val="auto"/>
        <w:rPr>
          <w:rFonts w:hint="eastAsia" w:ascii="宋体" w:hAnsi="宋体" w:eastAsia="宋体" w:cs="宋体"/>
          <w:b/>
          <w:bCs/>
          <w:color w:val="auto"/>
          <w:sz w:val="32"/>
          <w:szCs w:val="32"/>
          <w:highlight w:val="none"/>
        </w:rPr>
      </w:pPr>
    </w:p>
    <w:p w14:paraId="0086262A">
      <w:pPr>
        <w:pageBreakBefore w:val="0"/>
        <w:kinsoku/>
        <w:wordWrap w:val="0"/>
        <w:overflowPunct/>
        <w:bidi w:val="0"/>
        <w:spacing w:after="0" w:line="520" w:lineRule="exact"/>
        <w:jc w:val="center"/>
        <w:textAlignment w:val="auto"/>
        <w:rPr>
          <w:rFonts w:hint="eastAsia" w:ascii="宋体" w:hAnsi="宋体" w:eastAsia="宋体" w:cs="宋体"/>
          <w:b/>
          <w:bCs/>
          <w:color w:val="auto"/>
          <w:sz w:val="32"/>
          <w:szCs w:val="32"/>
          <w:highlight w:val="none"/>
        </w:rPr>
      </w:pPr>
    </w:p>
    <w:p w14:paraId="407D7DFF">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3D00D012">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48C48DE3">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30091BBE">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037289C8">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67B2B821">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329ECC70">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4AB56843">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6E46F5E4">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404E7C78">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6D8223A5">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0A935F01">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highlight w:val="none"/>
        </w:rPr>
      </w:pPr>
    </w:p>
    <w:p w14:paraId="000E4DA7">
      <w:pPr>
        <w:pageBreakBefore w:val="0"/>
        <w:kinsoku/>
        <w:wordWrap w:val="0"/>
        <w:overflowPunct/>
        <w:bidi w:val="0"/>
        <w:spacing w:after="0"/>
        <w:jc w:val="center"/>
        <w:textAlignment w:val="auto"/>
        <w:rPr>
          <w:rFonts w:hint="eastAsia" w:ascii="宋体" w:hAnsi="宋体" w:eastAsia="宋体" w:cs="宋体"/>
          <w:b/>
          <w:bCs/>
          <w:color w:val="auto"/>
          <w:sz w:val="32"/>
          <w:szCs w:val="32"/>
          <w:highlight w:val="none"/>
        </w:rPr>
      </w:pPr>
    </w:p>
    <w:p w14:paraId="1E320E54">
      <w:pPr>
        <w:pageBreakBefore w:val="0"/>
        <w:kinsoku/>
        <w:wordWrap w:val="0"/>
        <w:overflowPunct/>
        <w:bidi w:val="0"/>
        <w:spacing w:after="0"/>
        <w:jc w:val="center"/>
        <w:textAlignment w:val="auto"/>
        <w:rPr>
          <w:rFonts w:hint="eastAsia" w:ascii="宋体" w:hAnsi="宋体" w:eastAsia="宋体" w:cs="宋体"/>
          <w:b/>
          <w:bCs/>
          <w:color w:val="auto"/>
          <w:sz w:val="32"/>
          <w:szCs w:val="32"/>
          <w:highlight w:val="none"/>
        </w:rPr>
      </w:pPr>
    </w:p>
    <w:p w14:paraId="1BC88064">
      <w:pPr>
        <w:pageBreakBefore w:val="0"/>
        <w:kinsoku/>
        <w:wordWrap w:val="0"/>
        <w:overflowPunct/>
        <w:bidi w:val="0"/>
        <w:spacing w:after="0"/>
        <w:jc w:val="center"/>
        <w:textAlignment w:val="auto"/>
        <w:rPr>
          <w:rFonts w:hint="eastAsia" w:ascii="宋体" w:hAnsi="宋体" w:eastAsia="宋体" w:cs="宋体"/>
          <w:b/>
          <w:bCs/>
          <w:color w:val="auto"/>
          <w:sz w:val="32"/>
          <w:szCs w:val="32"/>
          <w:highlight w:val="none"/>
        </w:rPr>
      </w:pPr>
    </w:p>
    <w:p w14:paraId="73672873">
      <w:pPr>
        <w:pageBreakBefore w:val="0"/>
        <w:kinsoku/>
        <w:wordWrap w:val="0"/>
        <w:overflowPunct/>
        <w:bidi w:val="0"/>
        <w:spacing w:after="0"/>
        <w:jc w:val="both"/>
        <w:textAlignment w:val="auto"/>
        <w:rPr>
          <w:rFonts w:hint="eastAsia" w:ascii="宋体" w:hAnsi="宋体" w:eastAsia="宋体" w:cs="宋体"/>
          <w:b/>
          <w:bCs/>
          <w:color w:val="auto"/>
          <w:sz w:val="32"/>
          <w:szCs w:val="32"/>
          <w:highlight w:val="none"/>
        </w:rPr>
      </w:pPr>
    </w:p>
    <w:p w14:paraId="31EF3343">
      <w:pPr>
        <w:pStyle w:val="35"/>
        <w:rPr>
          <w:rFonts w:hint="eastAsia"/>
          <w:color w:val="auto"/>
        </w:rPr>
      </w:pPr>
    </w:p>
    <w:p w14:paraId="6602406E">
      <w:pPr>
        <w:pageBreakBefore w:val="0"/>
        <w:kinsoku/>
        <w:wordWrap w:val="0"/>
        <w:overflowPunct/>
        <w:bidi w:val="0"/>
        <w:spacing w:after="0"/>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供应商须知正文</w:t>
      </w:r>
    </w:p>
    <w:p w14:paraId="0795EA6E">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1.总则</w:t>
      </w:r>
      <w:bookmarkEnd w:id="47"/>
    </w:p>
    <w:p w14:paraId="10D85B76">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48" w:name="_bookmark14"/>
      <w:bookmarkEnd w:id="48"/>
      <w:r>
        <w:rPr>
          <w:rFonts w:hint="eastAsia" w:ascii="宋体" w:hAnsi="宋体" w:eastAsia="宋体" w:cs="宋体"/>
          <w:b/>
          <w:bCs/>
          <w:color w:val="auto"/>
          <w:sz w:val="24"/>
          <w:szCs w:val="24"/>
          <w:highlight w:val="none"/>
        </w:rPr>
        <w:t>1.1项目概况</w:t>
      </w:r>
    </w:p>
    <w:p w14:paraId="6ACED66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财库〔2014〕214号）文等法律法规的规定，符合下列情形的项目，可以采用竞争性磋商方式开展采购。（一）政府购买服务项目；（二）技术复杂或者性质特殊，不能确定详细规格或者具体要求的；（三）因艺术品采购、专利、专有技术或者服务的时间、数量事先不能确定等原因不能事先计算出价格总额的；（四）市场竞争不充分的科研项目，以及需要扶持的科技成果转化项目；（五）按照招标投标法及其实施条例必须进行招标的工程建设项目以外的工程建设项目。本项目</w:t>
      </w:r>
      <w:r>
        <w:rPr>
          <w:rFonts w:hint="eastAsia" w:ascii="宋体" w:hAnsi="宋体" w:eastAsia="宋体" w:cs="宋体"/>
          <w:color w:val="auto"/>
          <w:sz w:val="24"/>
          <w:szCs w:val="24"/>
          <w:highlight w:val="none"/>
          <w:lang w:eastAsia="zh-CN"/>
        </w:rPr>
        <w:t>已具备</w:t>
      </w:r>
      <w:r>
        <w:rPr>
          <w:rFonts w:hint="eastAsia" w:ascii="宋体" w:hAnsi="宋体" w:eastAsia="宋体" w:cs="宋体"/>
          <w:color w:val="auto"/>
          <w:sz w:val="24"/>
          <w:szCs w:val="24"/>
          <w:highlight w:val="none"/>
        </w:rPr>
        <w:t>磋商条件，现对本项目进行磋商采购。</w:t>
      </w:r>
    </w:p>
    <w:p w14:paraId="3813FE5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1.1.2采购人：详见“供应商须知前附表”；</w:t>
      </w:r>
    </w:p>
    <w:p w14:paraId="59BBBA3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1.1.3采购代理机构：详见“供应商须知前附表”；</w:t>
      </w:r>
    </w:p>
    <w:p w14:paraId="68C7F97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1.1.4项目名称：详见“供应商须知前附表”；</w:t>
      </w:r>
    </w:p>
    <w:p w14:paraId="1FB216A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1.1.5在政府采购活动中，采购人员及相关人员与供应商有下列利害关系之一的，应当回避：</w:t>
      </w:r>
    </w:p>
    <w:p w14:paraId="6D88989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（一）参加采购活动前3年内与供应商存在劳动关系；</w:t>
      </w:r>
    </w:p>
    <w:p w14:paraId="0932CCC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（二）参加采购活动前3年内担任供应商的董事、监事；</w:t>
      </w:r>
    </w:p>
    <w:p w14:paraId="6AE9D8C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（三）参加采购活动前3年内是供应商的控股股东或者实际控制人；</w:t>
      </w:r>
    </w:p>
    <w:p w14:paraId="5203527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（四）与供应商的法定代表人或者负责人有夫妻、直系血亲、三代以内旁系血亲或者近姻亲关系；</w:t>
      </w:r>
    </w:p>
    <w:p w14:paraId="3934725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（五）与供应商有其他可能影响政府采购活动公平、公正进行的关系。</w:t>
      </w:r>
    </w:p>
    <w:p w14:paraId="4EC92D8B">
      <w:pPr>
        <w:pageBreakBefore w:val="0"/>
        <w:kinsoku/>
        <w:wordWrap w:val="0"/>
        <w:overflowPunct/>
        <w:bidi w:val="0"/>
        <w:spacing w:after="0" w:line="52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4B88CE6A">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49" w:name="_bookmark15"/>
      <w:bookmarkEnd w:id="49"/>
      <w:r>
        <w:rPr>
          <w:rFonts w:hint="eastAsia" w:ascii="宋体" w:hAnsi="宋体" w:eastAsia="宋体" w:cs="宋体"/>
          <w:b/>
          <w:bCs/>
          <w:color w:val="auto"/>
          <w:sz w:val="24"/>
          <w:szCs w:val="24"/>
          <w:highlight w:val="none"/>
        </w:rPr>
        <w:t>1.2资金来源和落实情况</w:t>
      </w:r>
    </w:p>
    <w:p w14:paraId="45D7386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1.2.1资金来源：详见“供应商须知前附表”；</w:t>
      </w:r>
    </w:p>
    <w:p w14:paraId="26A60B9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1.2.2资金落实情况：详见“供应商须知前附表”；</w:t>
      </w:r>
    </w:p>
    <w:p w14:paraId="1120813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1.2.3付款方式：详见“供应商须知前附表”。</w:t>
      </w:r>
    </w:p>
    <w:p w14:paraId="243FD93E">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50" w:name="_bookmark16"/>
      <w:bookmarkEnd w:id="50"/>
      <w:r>
        <w:rPr>
          <w:rFonts w:hint="eastAsia" w:ascii="宋体" w:hAnsi="宋体" w:eastAsia="宋体" w:cs="宋体"/>
          <w:b/>
          <w:bCs/>
          <w:color w:val="auto"/>
          <w:sz w:val="24"/>
          <w:szCs w:val="24"/>
          <w:highlight w:val="none"/>
        </w:rPr>
        <w:t>1.3合同履行期限、磋商内容</w:t>
      </w:r>
    </w:p>
    <w:p w14:paraId="7F61AE6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1.3.1合同履行期限：详见“供应商须知前附表”；</w:t>
      </w:r>
    </w:p>
    <w:p w14:paraId="4160D89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1.3.2磋商内容：详见“供应商须知前附表”；</w:t>
      </w:r>
    </w:p>
    <w:p w14:paraId="58691AE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w:t>
      </w:r>
      <w:r>
        <w:rPr>
          <w:rFonts w:hint="eastAsia" w:ascii="宋体" w:hAnsi="宋体" w:eastAsia="宋体" w:cs="宋体"/>
          <w:color w:val="auto"/>
          <w:sz w:val="24"/>
          <w:szCs w:val="24"/>
          <w:highlight w:val="none"/>
          <w:lang w:val="en-US" w:eastAsia="zh-CN"/>
        </w:rPr>
        <w:t>质量</w:t>
      </w:r>
      <w:r>
        <w:rPr>
          <w:rFonts w:hint="eastAsia" w:ascii="宋体" w:hAnsi="宋体" w:eastAsia="宋体" w:cs="宋体"/>
          <w:color w:val="auto"/>
          <w:sz w:val="24"/>
          <w:szCs w:val="24"/>
          <w:highlight w:val="none"/>
        </w:rPr>
        <w:t>要求：详见“供应商须知前附表”；</w:t>
      </w:r>
    </w:p>
    <w:p w14:paraId="57EFD8D6">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51" w:name="_bookmark17"/>
      <w:bookmarkEnd w:id="51"/>
      <w:r>
        <w:rPr>
          <w:rFonts w:hint="eastAsia" w:ascii="宋体" w:hAnsi="宋体" w:eastAsia="宋体" w:cs="宋体"/>
          <w:b/>
          <w:bCs/>
          <w:color w:val="auto"/>
          <w:sz w:val="24"/>
          <w:szCs w:val="24"/>
          <w:highlight w:val="none"/>
        </w:rPr>
        <w:t>1.4供应商资格要求（适用于未进行资格预审的）</w:t>
      </w:r>
    </w:p>
    <w:p w14:paraId="64A7F1A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1.4.1供应商资格要求；</w:t>
      </w:r>
    </w:p>
    <w:p w14:paraId="31A7A95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52" w:name="_bookmark18"/>
      <w:bookmarkEnd w:id="52"/>
      <w:bookmarkStart w:id="53" w:name="_Toc529362113"/>
      <w:bookmarkStart w:id="54" w:name="_Toc529362396"/>
      <w:r>
        <w:rPr>
          <w:rFonts w:hint="eastAsia" w:ascii="宋体" w:hAnsi="宋体" w:eastAsia="宋体" w:cs="宋体"/>
          <w:color w:val="auto"/>
          <w:sz w:val="24"/>
          <w:szCs w:val="24"/>
          <w:highlight w:val="none"/>
        </w:rPr>
        <w:t>⑴满足《中华人民共和国政府采购法》第二十二条规定；</w:t>
      </w:r>
    </w:p>
    <w:p w14:paraId="412DFD4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⑵落实政府采购政策需满足的资格要求：</w:t>
      </w:r>
      <w:r>
        <w:rPr>
          <w:rFonts w:hint="eastAsia" w:ascii="宋体" w:hAnsi="宋体" w:eastAsia="宋体" w:cs="宋体"/>
          <w:color w:val="auto"/>
          <w:sz w:val="24"/>
          <w:szCs w:val="24"/>
          <w:highlight w:val="none"/>
          <w:lang w:val="en-US" w:eastAsia="zh-CN"/>
        </w:rPr>
        <w:t>详见“供应商须知前附表”；</w:t>
      </w:r>
    </w:p>
    <w:p w14:paraId="795C61D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⑶本项目的特定资格要求：详见“供应商须知前附表”；</w:t>
      </w:r>
    </w:p>
    <w:p w14:paraId="35CC5D5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1.4.2本项目“供应商须知前附表”规定接受联合体磋商的，联合体供应商除应符合本章第1.4.1款和“供应商须知前附表”的要求外，还应遵守以下规定：</w:t>
      </w:r>
    </w:p>
    <w:p w14:paraId="3438542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⑴联合体各方资质应符合法律法规的规定，必须签订联合体协议书，明确约定各方拟承担的工作和责任，并将联合体协议书随磋商响应文件一并提交采购人；</w:t>
      </w:r>
    </w:p>
    <w:p w14:paraId="51CC2C5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⑵供应商的磋商响应文件及成交后签署的合同协议书对联合体各方均具有法律约束力；</w:t>
      </w:r>
    </w:p>
    <w:p w14:paraId="685120C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⑶联合体成交后，联合体各方应当共同与采购人签订合同，为履行合同向采购人承担连带责任；</w:t>
      </w:r>
    </w:p>
    <w:p w14:paraId="098DDE11">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⑷联合体中有同类资质的供应商按照联合体分工承担相同工作的，应当按照资质等级较低的供应商确定资质等级；</w:t>
      </w:r>
    </w:p>
    <w:p w14:paraId="435EAD5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⑸联合体磋商的，应当以</w:t>
      </w:r>
      <w:r>
        <w:rPr>
          <w:rFonts w:hint="eastAsia" w:ascii="宋体" w:hAnsi="宋体" w:eastAsia="宋体" w:cs="宋体"/>
          <w:color w:val="auto"/>
          <w:sz w:val="24"/>
          <w:szCs w:val="24"/>
          <w:highlight w:val="none"/>
          <w:lang w:eastAsia="zh-CN"/>
        </w:rPr>
        <w:t>联合体</w:t>
      </w:r>
      <w:r>
        <w:rPr>
          <w:rFonts w:hint="eastAsia" w:ascii="宋体" w:hAnsi="宋体" w:eastAsia="宋体" w:cs="宋体"/>
          <w:color w:val="auto"/>
          <w:sz w:val="24"/>
          <w:szCs w:val="24"/>
          <w:highlight w:val="none"/>
        </w:rPr>
        <w:t>牵头人名义提交的磋商保证金，且对联合体各成员具有约束力；</w:t>
      </w:r>
    </w:p>
    <w:p w14:paraId="431D51E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⑹以联合体形式参加政府采购活动的，联合体各方不得再单独参加或者与其他供应商另外组成联合体参加同一合同项下的政府采购活动；</w:t>
      </w:r>
    </w:p>
    <w:p w14:paraId="591EFD6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⑺如果达不到本须知对联合体的要求，其提交的磋商响应文件将被拒绝。</w:t>
      </w:r>
    </w:p>
    <w:p w14:paraId="323F2FA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⑻经资格审查出现以下情况之一的，磋商响应文件将不得进行下一步详细评审。</w:t>
      </w:r>
    </w:p>
    <w:p w14:paraId="5AF8F0E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①联合体的资格条件未达到合格标准的；</w:t>
      </w:r>
    </w:p>
    <w:p w14:paraId="18457BF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②联合体成员有未通过资格审查的。</w:t>
      </w:r>
    </w:p>
    <w:p w14:paraId="29C90B0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1.4.3供应商不得存在下列情形之一：</w:t>
      </w:r>
    </w:p>
    <w:p w14:paraId="290E007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⑴为本次采购项目提供整体设计、规范编制或者项目管理、监理、检测等服务的供应商；</w:t>
      </w:r>
    </w:p>
    <w:p w14:paraId="53A866A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⑵为采购人不具有独立法人资格的附属机构（单位）；</w:t>
      </w:r>
    </w:p>
    <w:p w14:paraId="371E748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⑶为本采购项目的代建人；</w:t>
      </w:r>
    </w:p>
    <w:p w14:paraId="7FF9DBE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⑷为本项目提供采购代理服务的；</w:t>
      </w:r>
    </w:p>
    <w:p w14:paraId="6B81C20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⑸与本项目的监理人或代建人或采购代理机构同为一个法定代表人的；</w:t>
      </w:r>
    </w:p>
    <w:p w14:paraId="0F17BF6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⑹与本项目的监理人或代建人或采购代理机构相互控股或参股的；</w:t>
      </w:r>
    </w:p>
    <w:p w14:paraId="40D0FF5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⑺与本项目的监理人或代建人或采购代理机构相互任职或工作的；</w:t>
      </w:r>
    </w:p>
    <w:p w14:paraId="3F60E6C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⑻财产被接管或冻结的；</w:t>
      </w:r>
    </w:p>
    <w:p w14:paraId="4178FE2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⑼在参加本项目政府采购活动前3年内因违法经营受到刑事处罚或者责令停产停业、吊销许可证或者执照、较大数额罚款等行政处罚的。</w:t>
      </w:r>
    </w:p>
    <w:p w14:paraId="49A56F0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1.4.4单位负责人为同一人或者存在直接控股、管理关系的不同供应商，不得参加同一合同项下的政府采购活动。</w:t>
      </w:r>
    </w:p>
    <w:p w14:paraId="4572993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1.4.5本项目“供应商须知前附表”规定接受分公司磋商的，分公司供应商除应符合本章第1.4.1款和“供应商须知前附表”的要求外，还应遵守以下规定：</w:t>
      </w:r>
    </w:p>
    <w:p w14:paraId="0A5388E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根据《中华人民共和国政府采购法》第二十二条规定，政府采购的供应商应当具备</w:t>
      </w:r>
      <w:r>
        <w:rPr>
          <w:rFonts w:hint="eastAsia" w:ascii="宋体" w:hAnsi="宋体" w:eastAsia="宋体" w:cs="宋体"/>
          <w:color w:val="auto"/>
          <w:sz w:val="24"/>
          <w:szCs w:val="24"/>
          <w:highlight w:val="none"/>
          <w:lang w:eastAsia="zh-CN"/>
        </w:rPr>
        <w:t>独立承担</w:t>
      </w:r>
      <w:r>
        <w:rPr>
          <w:rFonts w:hint="eastAsia" w:ascii="宋体" w:hAnsi="宋体" w:eastAsia="宋体" w:cs="宋体"/>
          <w:color w:val="auto"/>
          <w:sz w:val="24"/>
          <w:szCs w:val="24"/>
          <w:highlight w:val="none"/>
        </w:rPr>
        <w:t>民事责任的能力，若采购人接受分公司磋商，供应商在参与磋商时，应按下列条款提交对应证明资料：</w:t>
      </w:r>
    </w:p>
    <w:p w14:paraId="33F1E5D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⑴分公司不具备独立承担民事责任的能力，其民事责任由其总公司承担的，提供总公司针对本项目授权分公司参与磋商的唯一授权书；</w:t>
      </w:r>
    </w:p>
    <w:p w14:paraId="4078F0D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对于银行、保险、电信、邮政、铁路等行业，采用公司文件或公司制度的形式授权其分公司独立开展业务的情况，其民事责任由总公司承担的，出具总公司的有关文件或制度等能够证明总公司授权其独立开展业务的证明文件（须加盖总公司单位公章）；且其投标文件（响应文件）中法定代表人身份证明书及授权书可以为分支机构负责人身份证明书及授权书。</w:t>
      </w:r>
    </w:p>
    <w:p w14:paraId="2A504E1F">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1.5费用承担</w:t>
      </w:r>
      <w:bookmarkEnd w:id="53"/>
      <w:bookmarkEnd w:id="54"/>
    </w:p>
    <w:p w14:paraId="1EAF210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1.5.1供应商准备和参加磋商活动发生的费用自理；</w:t>
      </w:r>
    </w:p>
    <w:p w14:paraId="406B2E1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w:t>
      </w:r>
      <w:r>
        <w:rPr>
          <w:rFonts w:hint="eastAsia" w:ascii="宋体" w:hAnsi="宋体" w:eastAsia="宋体" w:cs="宋体"/>
          <w:color w:val="auto"/>
          <w:sz w:val="24"/>
          <w:szCs w:val="24"/>
          <w:highlight w:val="none"/>
          <w:lang w:val="en-US" w:eastAsia="zh-CN"/>
        </w:rPr>
        <w:t>本项目成交服务费</w:t>
      </w:r>
      <w:r>
        <w:rPr>
          <w:rFonts w:hint="eastAsia" w:ascii="宋体" w:hAnsi="宋体" w:eastAsia="宋体" w:cs="宋体"/>
          <w:color w:val="auto"/>
          <w:sz w:val="24"/>
          <w:szCs w:val="24"/>
          <w:highlight w:val="none"/>
        </w:rPr>
        <w:t>经采购人和采购代理机构双方自愿协商确定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为</w:t>
      </w: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val="en-US" w:eastAsia="zh-CN"/>
        </w:rPr>
        <w:t>叁万壹仟叁佰元整</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lang w:val="en-US" w:eastAsia="zh-CN"/>
        </w:rPr>
        <w:t>31300</w:t>
      </w:r>
      <w:r>
        <w:rPr>
          <w:rFonts w:hint="eastAsia" w:ascii="宋体" w:hAnsi="宋体" w:eastAsia="宋体" w:cs="宋体"/>
          <w:color w:val="auto"/>
          <w:sz w:val="24"/>
          <w:szCs w:val="24"/>
          <w:highlight w:val="none"/>
        </w:rPr>
        <w:t>.00元），由中标（成交）供应商在领取成交通知书时向采购代理机构一次性支付；</w:t>
      </w:r>
    </w:p>
    <w:p w14:paraId="7F63AC3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1.5.3其他费用按国家、省、市相关规定收取。</w:t>
      </w:r>
    </w:p>
    <w:p w14:paraId="14094B50">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1.6保密</w:t>
      </w:r>
    </w:p>
    <w:p w14:paraId="092DBF01">
      <w:pPr>
        <w:pageBreakBefore w:val="0"/>
        <w:kinsoku/>
        <w:wordWrap w:val="0"/>
        <w:overflowPunct/>
        <w:bidi w:val="0"/>
        <w:spacing w:after="0" w:line="3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参与采购活动的各方应对采购文件和</w:t>
      </w:r>
      <w:r>
        <w:rPr>
          <w:rFonts w:hint="eastAsia" w:ascii="宋体" w:hAnsi="宋体" w:eastAsia="宋体" w:cs="宋体"/>
          <w:color w:val="auto"/>
          <w:sz w:val="24"/>
          <w:highlight w:val="none"/>
        </w:rPr>
        <w:t>响应文件</w:t>
      </w:r>
      <w:r>
        <w:rPr>
          <w:rFonts w:hint="eastAsia" w:ascii="宋体" w:hAnsi="宋体" w:eastAsia="宋体" w:cs="宋体"/>
          <w:color w:val="auto"/>
          <w:sz w:val="24"/>
          <w:szCs w:val="24"/>
          <w:highlight w:val="none"/>
        </w:rPr>
        <w:t>中的商业和技术等秘密保密，违者应对由此造成的后果承担法律责任。</w:t>
      </w:r>
    </w:p>
    <w:p w14:paraId="19908F53">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55" w:name="_bookmark20"/>
      <w:bookmarkEnd w:id="55"/>
      <w:r>
        <w:rPr>
          <w:rFonts w:hint="eastAsia" w:ascii="宋体" w:hAnsi="宋体" w:eastAsia="宋体" w:cs="宋体"/>
          <w:b/>
          <w:bCs/>
          <w:color w:val="auto"/>
          <w:sz w:val="24"/>
          <w:szCs w:val="24"/>
          <w:highlight w:val="none"/>
        </w:rPr>
        <w:t>1.7语言文字</w:t>
      </w:r>
    </w:p>
    <w:p w14:paraId="16EF6E0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56" w:name="_bookmark21"/>
      <w:bookmarkEnd w:id="56"/>
      <w:r>
        <w:rPr>
          <w:rFonts w:hint="eastAsia" w:ascii="宋体" w:hAnsi="宋体" w:eastAsia="宋体" w:cs="宋体"/>
          <w:color w:val="auto"/>
          <w:sz w:val="24"/>
          <w:szCs w:val="24"/>
          <w:highlight w:val="none"/>
        </w:rPr>
        <w:t>磋商文件及磋商响应文件使用的语言文字为中文。专用术语使用外文的，应附有中文注释。</w:t>
      </w:r>
    </w:p>
    <w:p w14:paraId="3929C0EE">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1.8计量单位</w:t>
      </w:r>
    </w:p>
    <w:p w14:paraId="77318E0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28393552">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57" w:name="_bookmark22"/>
      <w:bookmarkEnd w:id="57"/>
      <w:r>
        <w:rPr>
          <w:rFonts w:hint="eastAsia" w:ascii="宋体" w:hAnsi="宋体" w:eastAsia="宋体" w:cs="宋体"/>
          <w:b/>
          <w:bCs/>
          <w:color w:val="auto"/>
          <w:sz w:val="24"/>
          <w:szCs w:val="24"/>
          <w:highlight w:val="none"/>
        </w:rPr>
        <w:t>1.9踏勘现场</w:t>
      </w:r>
    </w:p>
    <w:p w14:paraId="0A1CA17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1.9.1供应商须知规定组织现场踏勘的，采购人按供应商须知前附表规定的相关内容组织供应商踏勘项目现场。</w:t>
      </w:r>
    </w:p>
    <w:p w14:paraId="6BCEDCC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1.9.2供应商踏勘现场发生的费用自理。</w:t>
      </w:r>
    </w:p>
    <w:p w14:paraId="55CC9B6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1.9.3除采购人的原因外，供应商自行负责在踏勘现场中所发生的人员伤亡和财产损失。</w:t>
      </w:r>
    </w:p>
    <w:p w14:paraId="643E791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1.9.4采购人在踏勘现场中介绍的工程场地和相关的周边环境情况，供应商在编制磋商响应文件时参考，采购人不对供应商据此作出的判断和决策负责。</w:t>
      </w:r>
    </w:p>
    <w:p w14:paraId="093EA9C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采购人按规定时间组织现场踏勘的，无论供应商是否踏勘过现场，均被认为在递交磋商响应文件之前已经踏勘现场，且对本合同项目风险和义务已经十分了解，并在其磋商响应文件中已充分考虑了现场和周围环境条件。</w:t>
      </w:r>
    </w:p>
    <w:p w14:paraId="2FD71431">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58" w:name="_bookmark23"/>
      <w:bookmarkEnd w:id="58"/>
      <w:r>
        <w:rPr>
          <w:rFonts w:hint="eastAsia" w:ascii="宋体" w:hAnsi="宋体" w:eastAsia="宋体" w:cs="宋体"/>
          <w:b/>
          <w:bCs/>
          <w:color w:val="auto"/>
          <w:sz w:val="24"/>
          <w:szCs w:val="24"/>
          <w:highlight w:val="none"/>
        </w:rPr>
        <w:t>1.10磋商预备会</w:t>
      </w:r>
    </w:p>
    <w:p w14:paraId="00DC295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1.10.1供应商须知前附表规定召开磋商预备会的，采购人按供应商须知前附表规定的相关内容召开磋商预备会，澄清供应商提出的问题。</w:t>
      </w:r>
    </w:p>
    <w:p w14:paraId="7560609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1.10.2供应商须知前附表规定</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召开磋商预备会的，采购人在供应商须知前附表规定的时间内，通过“政府采购云平台”（网址：https://www.zcygov.cn/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发出采购文件澄清。所有获取了采购文件的潜在供应商登录“政府采购云平台”（网址：https://www.zcygov.cn/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凭企业身份认证数字证书（CA）查看澄清内容。澄清的内容作为磋商文件的组成部分。</w:t>
      </w:r>
    </w:p>
    <w:p w14:paraId="2F58D3E4">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1.11分包</w:t>
      </w:r>
    </w:p>
    <w:p w14:paraId="7C22181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供应商拟在成交后将成交项目的部分非主体、非关键性工作进行分包的，应符合供应商须知前附表的相关规定。</w:t>
      </w:r>
    </w:p>
    <w:p w14:paraId="6FBAC0DB">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1.12偏离</w:t>
      </w:r>
    </w:p>
    <w:p w14:paraId="1E98714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供应商须知前附表允许磋商响应文件偏离采购文件某些要求的，偏离应当符合采购文件规定的偏离范围和幅度。</w:t>
      </w:r>
    </w:p>
    <w:p w14:paraId="0260815C">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bookmarkStart w:id="59" w:name="_bookmark24"/>
      <w:bookmarkEnd w:id="59"/>
      <w:r>
        <w:rPr>
          <w:rFonts w:hint="eastAsia" w:ascii="宋体" w:hAnsi="宋体" w:eastAsia="宋体" w:cs="宋体"/>
          <w:b/>
          <w:bCs/>
          <w:color w:val="auto"/>
          <w:sz w:val="32"/>
          <w:szCs w:val="32"/>
          <w:highlight w:val="none"/>
        </w:rPr>
        <w:t>2.竞争性磋商文件</w:t>
      </w:r>
    </w:p>
    <w:p w14:paraId="6BDDF040">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60" w:name="_bookmark25"/>
      <w:bookmarkEnd w:id="60"/>
      <w:r>
        <w:rPr>
          <w:rFonts w:hint="eastAsia" w:ascii="宋体" w:hAnsi="宋体" w:eastAsia="宋体" w:cs="宋体"/>
          <w:b/>
          <w:bCs/>
          <w:color w:val="auto"/>
          <w:sz w:val="24"/>
          <w:szCs w:val="24"/>
          <w:highlight w:val="none"/>
        </w:rPr>
        <w:t>2.1竞争性磋商文件的组成</w:t>
      </w:r>
    </w:p>
    <w:p w14:paraId="7692694B">
      <w:pPr>
        <w:pageBreakBefore w:val="0"/>
        <w:kinsoku/>
        <w:wordWrap w:val="0"/>
        <w:overflowPunct/>
        <w:bidi w:val="0"/>
        <w:spacing w:after="0" w:line="520" w:lineRule="exact"/>
        <w:ind w:firstLine="120" w:firstLine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磋商公告；</w:t>
      </w:r>
    </w:p>
    <w:p w14:paraId="5D8CFB8E">
      <w:pPr>
        <w:pageBreakBefore w:val="0"/>
        <w:kinsoku/>
        <w:wordWrap w:val="0"/>
        <w:overflowPunct/>
        <w:bidi w:val="0"/>
        <w:spacing w:after="0" w:line="520" w:lineRule="exact"/>
        <w:ind w:firstLine="120" w:firstLine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2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供应商须知；</w:t>
      </w:r>
    </w:p>
    <w:p w14:paraId="588E45D4">
      <w:pPr>
        <w:pageBreakBefore w:val="0"/>
        <w:kinsoku/>
        <w:wordWrap w:val="0"/>
        <w:overflowPunct/>
        <w:bidi w:val="0"/>
        <w:spacing w:after="0" w:line="520" w:lineRule="exact"/>
        <w:ind w:firstLine="120" w:firstLine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3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评审办法；</w:t>
      </w:r>
    </w:p>
    <w:p w14:paraId="505C5839">
      <w:pPr>
        <w:pageBreakBefore w:val="0"/>
        <w:kinsoku/>
        <w:wordWrap w:val="0"/>
        <w:overflowPunct/>
        <w:bidi w:val="0"/>
        <w:spacing w:after="0" w:line="520" w:lineRule="exact"/>
        <w:ind w:firstLine="120" w:firstLine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4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合同条款及格式；</w:t>
      </w:r>
    </w:p>
    <w:p w14:paraId="788DFFAC">
      <w:pPr>
        <w:pageBreakBefore w:val="0"/>
        <w:kinsoku/>
        <w:wordWrap w:val="0"/>
        <w:overflowPunct/>
        <w:bidi w:val="0"/>
        <w:spacing w:after="0" w:line="520" w:lineRule="exact"/>
        <w:ind w:firstLine="120" w:firstLine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5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工程量清单，另附）</w:t>
      </w:r>
      <w:r>
        <w:rPr>
          <w:rFonts w:hint="eastAsia" w:ascii="宋体" w:hAnsi="宋体" w:eastAsia="宋体" w:cs="宋体"/>
          <w:color w:val="auto"/>
          <w:sz w:val="24"/>
          <w:szCs w:val="24"/>
          <w:highlight w:val="none"/>
        </w:rPr>
        <w:t>；</w:t>
      </w:r>
    </w:p>
    <w:p w14:paraId="287D8039">
      <w:pPr>
        <w:pageBreakBefore w:val="0"/>
        <w:kinsoku/>
        <w:wordWrap w:val="0"/>
        <w:overflowPunct/>
        <w:bidi w:val="0"/>
        <w:spacing w:after="0" w:line="520" w:lineRule="exact"/>
        <w:ind w:firstLine="120" w:firstLine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6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竞争性磋商响应文件格式；</w:t>
      </w:r>
    </w:p>
    <w:p w14:paraId="30D3BF9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根据本章“供应商须知前附表”第 1.10 款、“供应商须知前附表”第 2.2 款对竞争性磋商文件所</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的澄清、修改，构成采购文件的组成部分。</w:t>
      </w:r>
    </w:p>
    <w:p w14:paraId="07C3E1B2">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61" w:name="_bookmark26"/>
      <w:bookmarkEnd w:id="61"/>
      <w:r>
        <w:rPr>
          <w:rFonts w:hint="eastAsia" w:ascii="宋体" w:hAnsi="宋体" w:eastAsia="宋体" w:cs="宋体"/>
          <w:b/>
          <w:bCs/>
          <w:color w:val="auto"/>
          <w:sz w:val="24"/>
          <w:szCs w:val="24"/>
          <w:highlight w:val="none"/>
        </w:rPr>
        <w:t>2.2竞争性磋商文件的澄清</w:t>
      </w:r>
    </w:p>
    <w:p w14:paraId="07BEB90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2.2.1磋商截止时间：详见“供应商须知前附表”。</w:t>
      </w:r>
    </w:p>
    <w:p w14:paraId="45F543E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2.2.2供应商应仔细阅读和检查采购文件的全部内容。如发现缺页或附件不全，应及时向采购人提出，以便补齐。如有疑问，应在“供应商须知前附表”规定的时间前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使用CA数字证书登录“政府采购云平台”（网址：https://www.zcygov.cn/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询问</w:t>
      </w:r>
      <w:r>
        <w:rPr>
          <w:rFonts w:hint="eastAsia" w:ascii="宋体" w:hAnsi="宋体" w:eastAsia="宋体" w:cs="宋体"/>
          <w:color w:val="auto"/>
          <w:sz w:val="24"/>
          <w:szCs w:val="24"/>
          <w:highlight w:val="none"/>
        </w:rPr>
        <w:t>”菜单提出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要求采购人对采购文件予以澄清。</w:t>
      </w:r>
    </w:p>
    <w:p w14:paraId="2B57B95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2.2.3供应商自行登录“政府采购云平台”（网址：https://www.zcygov.cn/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获取澄清，无须回复确认已收到该澄清。</w:t>
      </w:r>
    </w:p>
    <w:p w14:paraId="4E1856BE">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62" w:name="_bookmark27"/>
      <w:bookmarkEnd w:id="62"/>
      <w:r>
        <w:rPr>
          <w:rFonts w:hint="eastAsia" w:ascii="宋体" w:hAnsi="宋体" w:eastAsia="宋体" w:cs="宋体"/>
          <w:b/>
          <w:bCs/>
          <w:color w:val="auto"/>
          <w:sz w:val="24"/>
          <w:szCs w:val="24"/>
          <w:highlight w:val="none"/>
        </w:rPr>
        <w:t>2.3竞争性磋商文件的修改</w:t>
      </w:r>
    </w:p>
    <w:p w14:paraId="15A5B51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提交首次响应文件截止之日前，采购人、采购代理机构可以对已发出的磋商文件进行必要的修改，修改的内容作为磋商文件的组成部分。采购人、采购代理机构通过“政府采购云平台”（网址：https://www.zcy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发出采购文件</w:t>
      </w:r>
      <w:r>
        <w:rPr>
          <w:rFonts w:hint="eastAsia" w:ascii="宋体" w:hAnsi="宋体" w:eastAsia="宋体" w:cs="宋体"/>
          <w:color w:val="auto"/>
          <w:sz w:val="24"/>
          <w:szCs w:val="24"/>
          <w:highlight w:val="none"/>
          <w:lang w:val="en-US" w:eastAsia="zh-CN"/>
        </w:rPr>
        <w:t>修改</w:t>
      </w:r>
      <w:r>
        <w:rPr>
          <w:rFonts w:hint="eastAsia" w:ascii="宋体" w:hAnsi="宋体" w:eastAsia="宋体" w:cs="宋体"/>
          <w:color w:val="auto"/>
          <w:sz w:val="24"/>
          <w:szCs w:val="24"/>
          <w:highlight w:val="none"/>
        </w:rPr>
        <w:t>。所有获取了采购文件的潜在供应商登录“政府采购云平台”（网址：https://www.zcygov.cn/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凭企业身份认证数字证书（CA）查看</w:t>
      </w:r>
      <w:r>
        <w:rPr>
          <w:rFonts w:hint="eastAsia" w:ascii="宋体" w:hAnsi="宋体" w:eastAsia="宋体" w:cs="宋体"/>
          <w:color w:val="auto"/>
          <w:sz w:val="24"/>
          <w:szCs w:val="24"/>
          <w:highlight w:val="none"/>
          <w:lang w:val="en-US" w:eastAsia="zh-CN"/>
        </w:rPr>
        <w:t>修改</w:t>
      </w:r>
      <w:r>
        <w:rPr>
          <w:rFonts w:hint="eastAsia" w:ascii="宋体" w:hAnsi="宋体" w:eastAsia="宋体" w:cs="宋体"/>
          <w:color w:val="auto"/>
          <w:sz w:val="24"/>
          <w:szCs w:val="24"/>
          <w:highlight w:val="none"/>
        </w:rPr>
        <w:t>内容。</w:t>
      </w:r>
    </w:p>
    <w:p w14:paraId="0C0EEA4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425981A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2.3.3采购代理机构发出的所有补充、修改和变更文件均作为磋商文件的组成部分，与磋商文件具有同等法律效力。当采购文件、采购文件澄清、采购文件修改文件内容前后相互矛盾时，以最后发出的为准。</w:t>
      </w:r>
    </w:p>
    <w:p w14:paraId="620B4C2F">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2.4竞争性磋商文件的解释</w:t>
      </w:r>
    </w:p>
    <w:p w14:paraId="486C053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w:t>
      </w:r>
      <w:r>
        <w:rPr>
          <w:rFonts w:hint="eastAsia" w:ascii="宋体" w:hAnsi="宋体" w:eastAsia="宋体" w:cs="宋体"/>
          <w:color w:val="auto"/>
          <w:sz w:val="24"/>
          <w:szCs w:val="24"/>
          <w:highlight w:val="none"/>
          <w:lang w:eastAsia="zh-CN"/>
        </w:rPr>
        <w:t>件的</w:t>
      </w:r>
      <w:r>
        <w:rPr>
          <w:rFonts w:hint="eastAsia" w:ascii="宋体" w:hAnsi="宋体" w:eastAsia="宋体" w:cs="宋体"/>
          <w:color w:val="auto"/>
          <w:sz w:val="24"/>
          <w:szCs w:val="24"/>
          <w:highlight w:val="none"/>
        </w:rPr>
        <w:t>最终解释权归采购人，所有解释均依据本采购文件及有关的</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；在评审时，若出现采购文件无明确说明和处理的情况时，由磋商小组讨论确定处理方案；磋商小组成员之间对处理方案有争议时，采取少数服从多数的投票方式确定。</w:t>
      </w:r>
    </w:p>
    <w:p w14:paraId="238930D2">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bookmarkStart w:id="63" w:name="_bookmark29"/>
      <w:bookmarkEnd w:id="63"/>
      <w:r>
        <w:rPr>
          <w:rFonts w:hint="eastAsia" w:ascii="宋体" w:hAnsi="宋体" w:eastAsia="宋体" w:cs="宋体"/>
          <w:b/>
          <w:bCs/>
          <w:color w:val="auto"/>
          <w:sz w:val="32"/>
          <w:szCs w:val="32"/>
          <w:highlight w:val="none"/>
        </w:rPr>
        <w:t>3.竞争性磋商响应文件</w:t>
      </w:r>
    </w:p>
    <w:p w14:paraId="6E372173">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64" w:name="_bookmark30"/>
      <w:bookmarkEnd w:id="64"/>
      <w:r>
        <w:rPr>
          <w:rFonts w:hint="eastAsia" w:ascii="宋体" w:hAnsi="宋体" w:eastAsia="宋体" w:cs="宋体"/>
          <w:b/>
          <w:bCs/>
          <w:color w:val="auto"/>
          <w:sz w:val="24"/>
          <w:szCs w:val="24"/>
          <w:highlight w:val="none"/>
        </w:rPr>
        <w:t>3.1竞争性磋商响应文件的组成</w:t>
      </w:r>
    </w:p>
    <w:p w14:paraId="1860440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3.1.1竞争性磋商响应文件应包括下列内容：</w:t>
      </w:r>
    </w:p>
    <w:p w14:paraId="6432580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65" w:name="_bookmark31"/>
      <w:bookmarkEnd w:id="65"/>
      <w:bookmarkStart w:id="66" w:name="_Toc3785"/>
      <w:bookmarkStart w:id="67" w:name="_Toc17251"/>
      <w:r>
        <w:rPr>
          <w:rFonts w:hint="eastAsia" w:ascii="宋体" w:hAnsi="宋体" w:eastAsia="宋体" w:cs="宋体"/>
          <w:color w:val="auto"/>
          <w:sz w:val="24"/>
          <w:szCs w:val="24"/>
          <w:highlight w:val="none"/>
        </w:rPr>
        <w:t>1、竞争性磋商响应文件封面</w:t>
      </w:r>
      <w:bookmarkEnd w:id="66"/>
      <w:bookmarkEnd w:id="67"/>
    </w:p>
    <w:p w14:paraId="52DE089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68" w:name="_Toc16739"/>
      <w:bookmarkStart w:id="69" w:name="_Toc14027"/>
      <w:r>
        <w:rPr>
          <w:rFonts w:hint="eastAsia" w:ascii="宋体" w:hAnsi="宋体" w:eastAsia="宋体" w:cs="宋体"/>
          <w:color w:val="auto"/>
          <w:sz w:val="24"/>
          <w:szCs w:val="24"/>
          <w:highlight w:val="none"/>
        </w:rPr>
        <w:t>2、</w:t>
      </w:r>
      <w:bookmarkEnd w:id="68"/>
      <w:bookmarkEnd w:id="69"/>
      <w:r>
        <w:rPr>
          <w:rFonts w:hint="eastAsia" w:ascii="宋体" w:hAnsi="宋体" w:eastAsia="宋体" w:cs="宋体"/>
          <w:color w:val="auto"/>
          <w:sz w:val="24"/>
          <w:szCs w:val="24"/>
          <w:highlight w:val="none"/>
        </w:rPr>
        <w:t>竞争性磋商响应文件目录</w:t>
      </w:r>
    </w:p>
    <w:p w14:paraId="064A38E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70" w:name="_Toc31000"/>
      <w:bookmarkStart w:id="71" w:name="_Toc16407"/>
      <w:r>
        <w:rPr>
          <w:rFonts w:hint="eastAsia" w:ascii="宋体" w:hAnsi="宋体" w:eastAsia="宋体" w:cs="宋体"/>
          <w:color w:val="auto"/>
          <w:sz w:val="24"/>
          <w:szCs w:val="24"/>
          <w:highlight w:val="none"/>
        </w:rPr>
        <w:t xml:space="preserve">3、第一部分 </w:t>
      </w:r>
      <w:bookmarkEnd w:id="70"/>
      <w:bookmarkEnd w:id="71"/>
      <w:r>
        <w:rPr>
          <w:rFonts w:hint="eastAsia" w:ascii="宋体" w:hAnsi="宋体" w:eastAsia="宋体" w:cs="宋体"/>
          <w:color w:val="auto"/>
          <w:sz w:val="24"/>
          <w:szCs w:val="24"/>
          <w:highlight w:val="none"/>
        </w:rPr>
        <w:t>资格审查部分</w:t>
      </w:r>
    </w:p>
    <w:p w14:paraId="5DFDF20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72" w:name="_Toc28901"/>
      <w:bookmarkStart w:id="73" w:name="_Toc405"/>
      <w:r>
        <w:rPr>
          <w:rFonts w:hint="eastAsia" w:ascii="宋体" w:hAnsi="宋体" w:eastAsia="宋体" w:cs="宋体"/>
          <w:color w:val="auto"/>
          <w:sz w:val="24"/>
          <w:szCs w:val="24"/>
          <w:highlight w:val="none"/>
        </w:rPr>
        <w:t xml:space="preserve">4、第二部分 </w:t>
      </w:r>
      <w:bookmarkEnd w:id="72"/>
      <w:bookmarkEnd w:id="73"/>
      <w:r>
        <w:rPr>
          <w:rFonts w:hint="eastAsia" w:ascii="宋体" w:hAnsi="宋体" w:eastAsia="宋体" w:cs="宋体"/>
          <w:color w:val="auto"/>
          <w:sz w:val="24"/>
          <w:szCs w:val="24"/>
          <w:highlight w:val="none"/>
        </w:rPr>
        <w:t>技术标部分</w:t>
      </w:r>
    </w:p>
    <w:p w14:paraId="63F092A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74" w:name="_Toc19238"/>
      <w:bookmarkStart w:id="75" w:name="_Toc18023"/>
      <w:r>
        <w:rPr>
          <w:rFonts w:hint="eastAsia" w:ascii="宋体" w:hAnsi="宋体" w:eastAsia="宋体" w:cs="宋体"/>
          <w:color w:val="auto"/>
          <w:sz w:val="24"/>
          <w:szCs w:val="24"/>
          <w:highlight w:val="none"/>
        </w:rPr>
        <w:t xml:space="preserve">5、第三部分 </w:t>
      </w:r>
      <w:bookmarkEnd w:id="74"/>
      <w:bookmarkEnd w:id="75"/>
      <w:r>
        <w:rPr>
          <w:rFonts w:hint="eastAsia" w:ascii="宋体" w:hAnsi="宋体" w:eastAsia="宋体" w:cs="宋体"/>
          <w:color w:val="auto"/>
          <w:sz w:val="24"/>
          <w:szCs w:val="24"/>
          <w:highlight w:val="none"/>
        </w:rPr>
        <w:t>商务标部分</w:t>
      </w:r>
    </w:p>
    <w:p w14:paraId="71951348">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3.2磋商报价</w:t>
      </w:r>
    </w:p>
    <w:p w14:paraId="41860A4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3.2.1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已提交响应文件的供应商，在提交最后报价之前，可以根据磋商情况退出磋商。</w:t>
      </w:r>
    </w:p>
    <w:p w14:paraId="6CC62A2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本项目采用2轮报价。</w:t>
      </w:r>
    </w:p>
    <w:p w14:paraId="6732F48E">
      <w:pPr>
        <w:pageBreakBefore w:val="0"/>
        <w:kinsoku/>
        <w:wordWrap w:val="0"/>
        <w:overflowPunct/>
        <w:bidi w:val="0"/>
        <w:spacing w:after="0" w:line="520" w:lineRule="exact"/>
        <w:ind w:left="480" w:leftChars="218"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 1 轮：磋商申请人制作响应文件的同时在文件中第一次报价（不公布报价）。</w:t>
      </w:r>
    </w:p>
    <w:p w14:paraId="03F08051">
      <w:pPr>
        <w:pageBreakBefore w:val="0"/>
        <w:kinsoku/>
        <w:wordWrap w:val="0"/>
        <w:overflowPunct/>
        <w:bidi w:val="0"/>
        <w:spacing w:after="0" w:line="520" w:lineRule="exact"/>
        <w:ind w:left="480" w:leftChars="218"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 2 轮（即最后报价）：最后报价指磋商申请人在第一次报价的基础上所报下浮</w:t>
      </w:r>
    </w:p>
    <w:p w14:paraId="2DF8E35B">
      <w:pPr>
        <w:pageBreakBefore w:val="0"/>
        <w:kinsoku/>
        <w:wordWrap w:val="0"/>
        <w:overflowPunct/>
        <w:bidi w:val="0"/>
        <w:spacing w:after="0" w:line="520" w:lineRule="exact"/>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例。最后报价为评审依据。</w:t>
      </w:r>
    </w:p>
    <w:p w14:paraId="6510DA8C">
      <w:pPr>
        <w:pageBreakBefore w:val="0"/>
        <w:kinsoku/>
        <w:wordWrap w:val="0"/>
        <w:overflowPunct/>
        <w:bidi w:val="0"/>
        <w:spacing w:after="0" w:line="52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注：磋商报价高于预算金额时，为废标。最终报价不得高于第一次报价，否则视为无效报价；采购人不承诺最低价成交。</w:t>
      </w:r>
    </w:p>
    <w:p w14:paraId="5A42ABB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3.2.2结算依据</w:t>
      </w:r>
      <w:bookmarkStart w:id="76" w:name="_bookmark32"/>
      <w:bookmarkEnd w:id="76"/>
    </w:p>
    <w:p w14:paraId="6645E469">
      <w:pPr>
        <w:pageBreakBefore w:val="0"/>
        <w:kinsoku/>
        <w:wordWrap w:val="0"/>
        <w:overflowPunct/>
        <w:bidi w:val="0"/>
        <w:spacing w:after="0" w:line="520" w:lineRule="exact"/>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工程完工后，</w:t>
      </w:r>
      <w:r>
        <w:rPr>
          <w:rFonts w:hint="eastAsia" w:ascii="宋体" w:hAnsi="宋体" w:eastAsia="宋体" w:cs="宋体"/>
          <w:b/>
          <w:bCs/>
          <w:color w:val="auto"/>
          <w:sz w:val="24"/>
          <w:szCs w:val="24"/>
        </w:rPr>
        <w:t>最终结算价=(按照审定后的竣工结算价-其他规费-</w:t>
      </w:r>
      <w:r>
        <w:rPr>
          <w:rFonts w:hint="eastAsia" w:ascii="宋体" w:hAnsi="宋体" w:eastAsia="宋体" w:cs="宋体"/>
          <w:b/>
          <w:bCs/>
          <w:color w:val="auto"/>
          <w:sz w:val="24"/>
          <w:szCs w:val="24"/>
          <w:lang w:val="en-US" w:eastAsia="zh-CN"/>
        </w:rPr>
        <w:t>安全文明措施费-</w:t>
      </w:r>
      <w:r>
        <w:rPr>
          <w:rFonts w:hint="eastAsia" w:ascii="宋体" w:hAnsi="宋体" w:eastAsia="宋体" w:cs="宋体"/>
          <w:b/>
          <w:bCs/>
          <w:color w:val="auto"/>
          <w:sz w:val="24"/>
          <w:szCs w:val="24"/>
        </w:rPr>
        <w:t>税金)×优惠后的费率+规费+</w:t>
      </w:r>
      <w:r>
        <w:rPr>
          <w:rFonts w:hint="eastAsia" w:ascii="宋体" w:hAnsi="宋体" w:eastAsia="宋体" w:cs="宋体"/>
          <w:b/>
          <w:bCs/>
          <w:color w:val="auto"/>
          <w:sz w:val="24"/>
          <w:szCs w:val="24"/>
          <w:lang w:val="en-US" w:eastAsia="zh-CN"/>
        </w:rPr>
        <w:t>安全文明措施费+</w:t>
      </w:r>
      <w:r>
        <w:rPr>
          <w:rFonts w:hint="eastAsia" w:ascii="宋体" w:hAnsi="宋体" w:eastAsia="宋体" w:cs="宋体"/>
          <w:b/>
          <w:bCs/>
          <w:color w:val="auto"/>
          <w:sz w:val="24"/>
          <w:szCs w:val="24"/>
        </w:rPr>
        <w:t>税金。</w:t>
      </w:r>
    </w:p>
    <w:p w14:paraId="4CDB319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3.2.3采购人设有采购控制价的，磋商报价不得高于采购控制价中公布的任何一项。采购控制价或其计算方法详见磋商申请人须知前附表。</w:t>
      </w:r>
    </w:p>
    <w:p w14:paraId="449EE359">
      <w:pPr>
        <w:pageBreakBefore w:val="0"/>
        <w:kinsoku/>
        <w:wordWrap w:val="0"/>
        <w:overflowPunct/>
        <w:bidi w:val="0"/>
        <w:spacing w:after="0"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3.3 磋商有效期</w:t>
      </w:r>
    </w:p>
    <w:p w14:paraId="1045077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3.3.1在“供应商须知前附表”规定的磋商有效期内，供应商不得要求撤销或修改其竞争性磋商响应文件。</w:t>
      </w:r>
    </w:p>
    <w:p w14:paraId="2E3B00C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出现特殊情况需要延长磋商有效期的，采购人以书面形式通知所有供应商延长磋商有效期。供应商同意延长的，应相应延长其磋商保证金的有效期，但不得要求或被允许修改或撤销其竞争性磋商响应文件；供应商拒绝延长的，其磋商失效，但供应商有权收回其磋商保证金。</w:t>
      </w:r>
    </w:p>
    <w:p w14:paraId="1D555BB3">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77" w:name="_bookmark33"/>
      <w:bookmarkEnd w:id="77"/>
      <w:r>
        <w:rPr>
          <w:rFonts w:hint="eastAsia" w:ascii="宋体" w:hAnsi="宋体" w:eastAsia="宋体" w:cs="宋体"/>
          <w:b/>
          <w:bCs/>
          <w:color w:val="auto"/>
          <w:sz w:val="24"/>
          <w:szCs w:val="24"/>
          <w:highlight w:val="none"/>
        </w:rPr>
        <w:t>3.4磋商保证金</w:t>
      </w:r>
    </w:p>
    <w:p w14:paraId="605B34F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rPr>
      </w:pPr>
      <w:r>
        <w:rPr>
          <w:rFonts w:hint="eastAsia" w:ascii="宋体" w:hAnsi="宋体" w:eastAsia="宋体" w:cs="宋体"/>
          <w:color w:val="auto"/>
          <w:sz w:val="24"/>
          <w:szCs w:val="24"/>
          <w:highlight w:val="none"/>
        </w:rPr>
        <w:t>3.4.1供应商在递交竞争性磋商响应文件的同时，应按“供应商须知前附表”规定的金</w:t>
      </w:r>
    </w:p>
    <w:p w14:paraId="14A3EC6D">
      <w:pPr>
        <w:pageBreakBefore w:val="0"/>
        <w:kinsoku/>
        <w:wordWrap w:val="0"/>
        <w:overflowPunct/>
        <w:bidi w:val="0"/>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额及方式递交磋商保证金，并作为其竞争性磋商响应文件的组成部分。供应商未按照磋商文件要求提交磋商保证金的，响应无效。其竞争性磋商响应文件作废标处理。</w:t>
      </w:r>
    </w:p>
    <w:p w14:paraId="3F776DA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磋商保证金须在磋商时间截止前缴纳并到账，未按时到账的视为响应无效。</w:t>
      </w:r>
    </w:p>
    <w:p w14:paraId="0B8299F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3.4.2磋商保证金递交形式：支票、汇票、本票、银行转账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保险/</w:t>
      </w:r>
      <w:r>
        <w:rPr>
          <w:rFonts w:hint="eastAsia" w:ascii="宋体" w:hAnsi="宋体" w:eastAsia="宋体" w:cs="宋体"/>
          <w:color w:val="auto"/>
          <w:sz w:val="24"/>
          <w:szCs w:val="24"/>
          <w:highlight w:val="none"/>
        </w:rPr>
        <w:t>保函等非现金形式交纳；如采用银行转账方式的，磋商保证金必须从供应商的基本账户转出，并注明磋商项目名称。</w:t>
      </w:r>
    </w:p>
    <w:p w14:paraId="529AFC41">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★3.4.3根据《中华人民共和国政府采购法实施条例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云南省发展和改革委员会等部门关于鼓励减免政府投资项目投标保证金的通知》（云发改交易管理〔2023〕397号）</w:t>
      </w:r>
      <w:r>
        <w:rPr>
          <w:rFonts w:hint="eastAsia" w:ascii="宋体" w:hAnsi="宋体" w:eastAsia="宋体" w:cs="宋体"/>
          <w:color w:val="auto"/>
          <w:sz w:val="24"/>
          <w:szCs w:val="24"/>
          <w:highlight w:val="none"/>
          <w:lang w:val="en-US" w:eastAsia="zh-CN"/>
        </w:rPr>
        <w:t>等法律法规，</w:t>
      </w:r>
      <w:r>
        <w:rPr>
          <w:rFonts w:hint="eastAsia" w:ascii="宋体" w:hAnsi="宋体" w:eastAsia="宋体" w:cs="宋体"/>
          <w:color w:val="auto"/>
          <w:sz w:val="24"/>
          <w:szCs w:val="24"/>
          <w:highlight w:val="none"/>
        </w:rPr>
        <w:t>磋商保证金数额应当不超过采购项目预算的</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%，磋商保证金有效期应当与磋商有效期一致。磋商保证金可以是支票、汇票、本票、保函、银行转账等，采用银行转账等方式的，磋商保证金必须从供应商的基本账户转出</w:t>
      </w:r>
      <w:r>
        <w:rPr>
          <w:rFonts w:hint="eastAsia" w:ascii="宋体" w:hAnsi="宋体" w:eastAsia="宋体" w:cs="宋体"/>
          <w:color w:val="auto"/>
          <w:sz w:val="24"/>
          <w:szCs w:val="24"/>
          <w:highlight w:val="none"/>
          <w:lang w:eastAsia="zh-CN"/>
        </w:rPr>
        <w:t>。</w:t>
      </w:r>
    </w:p>
    <w:p w14:paraId="53EAFA84">
      <w:pPr>
        <w:pageBreakBefore w:val="0"/>
        <w:kinsoku/>
        <w:wordWrap w:val="0"/>
        <w:overflowPunct/>
        <w:bidi w:val="0"/>
        <w:spacing w:after="0" w:line="52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★为支持和促进中小企业发展，进一步发挥政府采购政策功能，鼓励供应商使用保险/保函替代投标保证金，供应商可登录【红河州政府采购金融服务平台】进行了解。</w:t>
      </w:r>
    </w:p>
    <w:p w14:paraId="6ACC5738">
      <w:pPr>
        <w:pageBreakBefore w:val="0"/>
        <w:kinsoku/>
        <w:wordWrap w:val="0"/>
        <w:overflowPunct/>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直达链接：https://jinrong.zcygov.cn/luban/finance/honghe）</w:t>
      </w:r>
      <w:r>
        <w:rPr>
          <w:rFonts w:hint="eastAsia" w:ascii="宋体" w:hAnsi="宋体" w:eastAsia="宋体" w:cs="宋体"/>
          <w:b/>
          <w:bCs/>
          <w:color w:val="auto"/>
          <w:sz w:val="24"/>
          <w:szCs w:val="24"/>
          <w:highlight w:val="none"/>
        </w:rPr>
        <w:t>。</w:t>
      </w:r>
    </w:p>
    <w:p w14:paraId="4F8F89A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3.4.4供应商为联合体的，可以由联合体中的一方或者多方共同</w:t>
      </w:r>
      <w:r>
        <w:rPr>
          <w:rFonts w:hint="eastAsia" w:ascii="宋体" w:hAnsi="宋体" w:eastAsia="宋体" w:cs="宋体"/>
          <w:color w:val="auto"/>
          <w:sz w:val="24"/>
          <w:szCs w:val="24"/>
          <w:highlight w:val="none"/>
          <w:lang w:eastAsia="zh-CN"/>
        </w:rPr>
        <w:t>缴纳</w:t>
      </w:r>
      <w:r>
        <w:rPr>
          <w:rFonts w:hint="eastAsia" w:ascii="宋体" w:hAnsi="宋体" w:eastAsia="宋体" w:cs="宋体"/>
          <w:color w:val="auto"/>
          <w:sz w:val="24"/>
          <w:szCs w:val="24"/>
          <w:highlight w:val="none"/>
        </w:rPr>
        <w:t>磋商保证金，并应符合供应商前附表的规定。其缴纳的保证金对联合体各方均具有约束力。</w:t>
      </w:r>
    </w:p>
    <w:p w14:paraId="3A9203C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3.4.5磋商保证金退还时间（因供应商自身原因导致无法及时退还的除外）：</w:t>
      </w:r>
    </w:p>
    <w:p w14:paraId="7520832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未成交的磋商保证金，在成交通知发出5个工作日内退还至供应商的基本账户中；</w:t>
      </w:r>
    </w:p>
    <w:p w14:paraId="0845443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成交人的磋商保证金，在成交人签订合同后5个工作日内退还。</w:t>
      </w:r>
    </w:p>
    <w:p w14:paraId="546DFAF1">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3.4.6有下列情形之一的，磋商保证金将不予退还：</w:t>
      </w:r>
    </w:p>
    <w:p w14:paraId="3904162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78" w:name="_bookmark34"/>
      <w:bookmarkEnd w:id="78"/>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供应商在提交响应文件截止时间后撤回响应文件的；</w:t>
      </w:r>
    </w:p>
    <w:p w14:paraId="357793C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供应商在响应文件中提供虚假材料的；</w:t>
      </w:r>
    </w:p>
    <w:p w14:paraId="2230C91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除因不可抗力或磋商文件认可的情形以外，成交供应商不与采购人签订合同的；</w:t>
      </w:r>
    </w:p>
    <w:p w14:paraId="2D828DE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供应商与采购人、其他供应商或者采购代理机构恶意串通的；</w:t>
      </w:r>
    </w:p>
    <w:p w14:paraId="74B2422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磋商文件规定的其他情形：成交通知书发出后，成交人无故放弃成交项目的或无正当理由不与采购人签订合同的，或者拒不缴纳所要求的履约保证金的。</w:t>
      </w:r>
    </w:p>
    <w:p w14:paraId="2864AD8B">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3.5资格审查资料</w:t>
      </w:r>
    </w:p>
    <w:p w14:paraId="3403A7B1">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供应商在编制响应文件时，应按采购文件要求提供有效的资格审查资料，以证明其各项资格条件能满足采购文件的要求，具备承担本项目的资格条件、能力和信誉。</w:t>
      </w:r>
    </w:p>
    <w:p w14:paraId="5237F45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3.5.1供应商满足《中华人民共和国政府采购法》第二十二条规定，须提供的材料要求：详见“供应商须知前附表”1.4.1款；</w:t>
      </w:r>
    </w:p>
    <w:p w14:paraId="3203AF9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3.5.2本项目的特定资格要求：详见“供应商须知前附表”1.4.1款；</w:t>
      </w:r>
    </w:p>
    <w:p w14:paraId="0B911F0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3.5.3其他要求：详见“供应商须知前附表”1.4.1款；</w:t>
      </w:r>
    </w:p>
    <w:p w14:paraId="27BD3734">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3.6备选磋商方案</w:t>
      </w:r>
    </w:p>
    <w:p w14:paraId="7A9690C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供应商须知前附表”另有规定外，供应商不得递交备选磋商方案。允许供应商递交备选磋商方案的，只有成交单位所递交的备选磋商方案方可予以考虑。磋商小组认为成交单位的备选磋商方案优于其按照竞争性磋商文件要求编制的磋商方案的，采购人可以接受该备选磋商方案。</w:t>
      </w:r>
    </w:p>
    <w:p w14:paraId="2B5905AF">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79" w:name="_bookmark36"/>
      <w:bookmarkEnd w:id="79"/>
      <w:r>
        <w:rPr>
          <w:rFonts w:hint="eastAsia" w:ascii="宋体" w:hAnsi="宋体" w:eastAsia="宋体" w:cs="宋体"/>
          <w:b/>
          <w:bCs/>
          <w:color w:val="auto"/>
          <w:sz w:val="24"/>
          <w:szCs w:val="24"/>
          <w:highlight w:val="none"/>
        </w:rPr>
        <w:t>3.7竞争性磋商响应文件的编制</w:t>
      </w:r>
    </w:p>
    <w:p w14:paraId="4812355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80" w:name="_bookmark37"/>
      <w:bookmarkEnd w:id="80"/>
      <w:r>
        <w:rPr>
          <w:rFonts w:hint="eastAsia" w:ascii="宋体" w:hAnsi="宋体" w:eastAsia="宋体" w:cs="宋体"/>
          <w:color w:val="auto"/>
          <w:sz w:val="24"/>
          <w:szCs w:val="24"/>
          <w:highlight w:val="none"/>
          <w:lang w:val="en-US" w:eastAsia="zh-CN"/>
        </w:rPr>
        <w:t>3.7.1</w:t>
      </w:r>
      <w:r>
        <w:rPr>
          <w:rFonts w:hint="eastAsia" w:ascii="宋体" w:hAnsi="宋体" w:eastAsia="宋体" w:cs="宋体"/>
          <w:color w:val="auto"/>
          <w:sz w:val="24"/>
          <w:szCs w:val="24"/>
          <w:highlight w:val="none"/>
        </w:rPr>
        <w:t>响应文件全部采用电子文档，供应商应安装客户端软件—“政采云电子交易客户端”，并按照</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文件和政采云电子交易平台的要求编制，编制后应进行电子签章、签名及加密；</w:t>
      </w:r>
    </w:p>
    <w:p w14:paraId="5873798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3.7.2</w:t>
      </w:r>
      <w:r>
        <w:rPr>
          <w:rFonts w:hint="eastAsia" w:ascii="宋体" w:hAnsi="宋体" w:eastAsia="宋体" w:cs="宋体"/>
          <w:color w:val="auto"/>
          <w:sz w:val="24"/>
          <w:szCs w:val="24"/>
          <w:highlight w:val="none"/>
        </w:rPr>
        <w:t>如响应文件提交的电子标书不满足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文件要求或开标时无法读取导入或解密，其响应文件将不予受理； </w:t>
      </w:r>
    </w:p>
    <w:p w14:paraId="6C02420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3.7.3</w:t>
      </w:r>
      <w:r>
        <w:rPr>
          <w:rFonts w:hint="eastAsia" w:ascii="宋体" w:hAnsi="宋体" w:eastAsia="宋体" w:cs="宋体"/>
          <w:color w:val="auto"/>
          <w:sz w:val="24"/>
          <w:szCs w:val="24"/>
          <w:highlight w:val="none"/>
        </w:rPr>
        <w:t>响应文件中提供的资料（扫描件），内容必须清晰可辨，若内容模糊，无法辨识，均视为未提供。</w:t>
      </w:r>
    </w:p>
    <w:p w14:paraId="17F86CD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3.7.4供应商</w:t>
      </w:r>
      <w:r>
        <w:rPr>
          <w:rFonts w:hint="eastAsia" w:ascii="宋体" w:hAnsi="宋体" w:eastAsia="宋体" w:cs="宋体"/>
          <w:color w:val="auto"/>
          <w:sz w:val="24"/>
          <w:szCs w:val="24"/>
          <w:highlight w:val="none"/>
        </w:rPr>
        <w:t>进行电子交易应安装客户端软件—“政采云电子交易客户端”，并按照</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文件和电子交易平台的要求编制并加密响应文件。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 xml:space="preserve">未按规定加密的响应文件，电子交易平台将拒收并提示； </w:t>
      </w:r>
    </w:p>
    <w:p w14:paraId="13EE24D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3.7.5</w:t>
      </w:r>
      <w:r>
        <w:rPr>
          <w:rFonts w:hint="eastAsia" w:ascii="宋体" w:hAnsi="宋体" w:eastAsia="宋体" w:cs="宋体"/>
          <w:color w:val="auto"/>
          <w:sz w:val="24"/>
          <w:szCs w:val="24"/>
          <w:highlight w:val="none"/>
        </w:rPr>
        <w:t>使用“政采云电子交易客户端”需要提前申领CA数字证书，申领流程见“政府采购云平台”</w:t>
      </w:r>
      <w:r>
        <w:rPr>
          <w:rFonts w:hint="eastAsia" w:ascii="宋体" w:hAnsi="宋体" w:eastAsia="宋体" w:cs="宋体"/>
          <w:color w:val="auto"/>
          <w:sz w:val="24"/>
          <w:szCs w:val="24"/>
          <w:highlight w:val="none"/>
          <w:lang w:val="en-US" w:eastAsia="zh-CN"/>
        </w:rPr>
        <w:t>相应模块</w:t>
      </w:r>
      <w:r>
        <w:rPr>
          <w:rFonts w:hint="eastAsia" w:ascii="宋体" w:hAnsi="宋体" w:eastAsia="宋体" w:cs="宋体"/>
          <w:color w:val="auto"/>
          <w:sz w:val="24"/>
          <w:szCs w:val="24"/>
          <w:highlight w:val="none"/>
        </w:rPr>
        <w:t xml:space="preserve">； </w:t>
      </w:r>
    </w:p>
    <w:p w14:paraId="3EB1600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3.7.6</w:t>
      </w:r>
      <w:r>
        <w:rPr>
          <w:rFonts w:hint="eastAsia" w:ascii="宋体" w:hAnsi="宋体" w:eastAsia="宋体" w:cs="宋体"/>
          <w:color w:val="auto"/>
          <w:sz w:val="24"/>
          <w:szCs w:val="24"/>
          <w:highlight w:val="none"/>
        </w:rPr>
        <w:t>为确保网上操作合法、有效和安全，</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应当在响应文件提交截止时间前完成在“政府采购云平台”的身份认证，确保在电子交易过程中能够对相关数据电文进行加密和使用电子签名。</w:t>
      </w:r>
    </w:p>
    <w:p w14:paraId="16E563EA">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4.磋商申请</w:t>
      </w:r>
    </w:p>
    <w:p w14:paraId="23A62A61">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81" w:name="_bookmark38"/>
      <w:bookmarkEnd w:id="81"/>
      <w:r>
        <w:rPr>
          <w:rFonts w:hint="eastAsia" w:ascii="宋体" w:hAnsi="宋体" w:eastAsia="宋体" w:cs="宋体"/>
          <w:b/>
          <w:bCs/>
          <w:color w:val="auto"/>
          <w:sz w:val="24"/>
          <w:szCs w:val="24"/>
          <w:highlight w:val="none"/>
        </w:rPr>
        <w:t>4.</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响应文件的密封和标记</w:t>
      </w:r>
    </w:p>
    <w:p w14:paraId="72DC9DB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4.1.1响应文件应密封包装。</w:t>
      </w:r>
    </w:p>
    <w:p w14:paraId="1906B5B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4.1.2响应文件封套上应写明的其他内容见“供应商须知前附表”。</w:t>
      </w:r>
    </w:p>
    <w:p w14:paraId="7213E52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4.1.3未按本章第 4.1.1项或第 4.1.2项要求</w:t>
      </w:r>
      <w:r>
        <w:rPr>
          <w:rFonts w:hint="eastAsia" w:ascii="宋体" w:hAnsi="宋体" w:eastAsia="宋体" w:cs="宋体"/>
          <w:color w:val="auto"/>
          <w:sz w:val="24"/>
          <w:szCs w:val="24"/>
          <w:highlight w:val="none"/>
          <w:lang w:val="en-US" w:eastAsia="zh-CN"/>
        </w:rPr>
        <w:t>加</w:t>
      </w:r>
      <w:r>
        <w:rPr>
          <w:rFonts w:hint="eastAsia" w:ascii="宋体" w:hAnsi="宋体" w:eastAsia="宋体" w:cs="宋体"/>
          <w:color w:val="auto"/>
          <w:sz w:val="24"/>
          <w:szCs w:val="24"/>
          <w:highlight w:val="none"/>
        </w:rPr>
        <w:t>密响应文件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，采购人不予受理。</w:t>
      </w:r>
    </w:p>
    <w:p w14:paraId="143A789C">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82" w:name="_bookmark39"/>
      <w:bookmarkEnd w:id="82"/>
      <w:r>
        <w:rPr>
          <w:rFonts w:hint="eastAsia" w:ascii="宋体" w:hAnsi="宋体" w:eastAsia="宋体" w:cs="宋体"/>
          <w:b/>
          <w:bCs/>
          <w:color w:val="auto"/>
          <w:sz w:val="24"/>
          <w:szCs w:val="24"/>
          <w:highlight w:val="none"/>
        </w:rPr>
        <w:t>4.2供应商应竞争性磋商响应文件的递交</w:t>
      </w:r>
    </w:p>
    <w:p w14:paraId="27FD21C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4.2.1在“供应商须知前附表” 2.2.1项规定的磋商截止时间前递交竞争性磋商响应文件。</w:t>
      </w:r>
    </w:p>
    <w:p w14:paraId="4C69089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4.2.2供应商递交竞争性磋商响应文件的地点：详见“供应商须知前附表”。</w:t>
      </w:r>
    </w:p>
    <w:p w14:paraId="27786DF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4.2.3除“供应商须知前附表”另有规定外，供应商所递交的竞争性磋商响应文件不予</w:t>
      </w:r>
    </w:p>
    <w:p w14:paraId="33B2F6D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退还。</w:t>
      </w:r>
    </w:p>
    <w:p w14:paraId="68543D0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供应商应当在磋商文件要求的截止时间前，按照本项目采购文件和“政府采购云平台”的要求编制、加密响应文件，并在响应文件提交截止时间前上传至“政府采购云平台”，响应文件提交截止时间前未完成响应文件上传的，视为撤回响应文件。</w:t>
      </w:r>
    </w:p>
    <w:p w14:paraId="216A8E37">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83" w:name="_bookmark40"/>
      <w:bookmarkEnd w:id="83"/>
      <w:r>
        <w:rPr>
          <w:rFonts w:hint="eastAsia" w:ascii="宋体" w:hAnsi="宋体" w:eastAsia="宋体" w:cs="宋体"/>
          <w:b/>
          <w:bCs/>
          <w:color w:val="auto"/>
          <w:sz w:val="24"/>
          <w:szCs w:val="24"/>
          <w:highlight w:val="none"/>
        </w:rPr>
        <w:t>4.3竞争性磋商申请文件的修改与撤回</w:t>
      </w:r>
    </w:p>
    <w:p w14:paraId="04D1BE6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84" w:name="_bookmark42"/>
      <w:bookmarkEnd w:id="84"/>
      <w:r>
        <w:rPr>
          <w:rFonts w:hint="eastAsia" w:ascii="宋体" w:hAnsi="宋体" w:eastAsia="宋体" w:cs="宋体"/>
          <w:color w:val="auto"/>
          <w:sz w:val="24"/>
          <w:szCs w:val="24"/>
          <w:highlight w:val="none"/>
        </w:rPr>
        <w:t>4.3.1本章第4.2.1款规定的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截止时间前，</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可以修改或撤回已递交的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文件，无须书面形式通知</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w:t>
      </w:r>
    </w:p>
    <w:p w14:paraId="3A1A7C1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4.3.2修改的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文件应按照电子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文件编制规定进行编制、密封、标记和递交。</w:t>
      </w:r>
    </w:p>
    <w:p w14:paraId="486DFEBE">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5.磋商</w:t>
      </w:r>
    </w:p>
    <w:p w14:paraId="2869AB9E">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5.1磋商时间和地点</w:t>
      </w:r>
    </w:p>
    <w:p w14:paraId="215BDE2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采购人在“供应商须知前附表”2.2.1项规定的磋商截止时间（磋商时间）和“供应商须知前附表”规定的地点参加公开磋商。</w:t>
      </w:r>
    </w:p>
    <w:p w14:paraId="45132F89">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85" w:name="_bookmark43"/>
      <w:bookmarkEnd w:id="85"/>
      <w:r>
        <w:rPr>
          <w:rFonts w:hint="eastAsia" w:ascii="宋体" w:hAnsi="宋体" w:eastAsia="宋体" w:cs="宋体"/>
          <w:b/>
          <w:bCs/>
          <w:color w:val="auto"/>
          <w:sz w:val="24"/>
          <w:szCs w:val="24"/>
          <w:highlight w:val="none"/>
        </w:rPr>
        <w:t>5.2磋商程序</w:t>
      </w:r>
    </w:p>
    <w:p w14:paraId="706B39F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在本章第4.2.1项规定的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截止时间（开标时间）和</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须知前附表规定的地点公开开标，并邀请所有</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的法定代表人或其委托代理人准时参加网上开标。</w:t>
      </w:r>
    </w:p>
    <w:p w14:paraId="3E30529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程序</w:t>
      </w:r>
    </w:p>
    <w:p w14:paraId="0BC384D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主持人按下列程序进行开标：</w:t>
      </w:r>
    </w:p>
    <w:p w14:paraId="0825180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⑴宣布</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纪律。</w:t>
      </w:r>
    </w:p>
    <w:p w14:paraId="19FA7EB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⑵公布在投标截止时间前递交投标文件的情况。</w:t>
      </w:r>
    </w:p>
    <w:p w14:paraId="65B7D02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⑶宣布</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人、唱标人、记录人、监标人等有关人员姓名。</w:t>
      </w:r>
    </w:p>
    <w:p w14:paraId="5D52356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⑷按照</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须知前附表的规定确定并宣布</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文件开标顺序。</w:t>
      </w:r>
    </w:p>
    <w:p w14:paraId="70C98A8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⑸按照“政府采购云平台”自动提取所有</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的顺序当众开标，由</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对网上递交已加密的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文件，进行网上（远程）解密，解密完成后，公布</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名称、标段名称、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保证金的递交情况、</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及其他内容，并记录在案。因</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原因造成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文件未解密的，视为撤销其</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14:paraId="216819B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代表（如需）、</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代表、监标人、记录人等有关人员在开标记录上签字确认。</w:t>
      </w:r>
    </w:p>
    <w:p w14:paraId="0F7031B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⑺通过初步评审的供应商进入第二轮报价及承诺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磋商小组成员集中与单一供应商分别进行磋商；公布供应商名称、磋商保证金的递交情况、磋商第二轮报价、合同履行期限及其他内容，并记录在案；</w:t>
      </w:r>
    </w:p>
    <w:p w14:paraId="5C9828A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⑻</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结束。</w:t>
      </w:r>
    </w:p>
    <w:p w14:paraId="3D274CF7">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6.评审</w:t>
      </w:r>
    </w:p>
    <w:p w14:paraId="32BD526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86" w:name="_bookmark45"/>
      <w:bookmarkEnd w:id="86"/>
      <w:r>
        <w:rPr>
          <w:rFonts w:hint="eastAsia" w:ascii="宋体" w:hAnsi="宋体" w:eastAsia="宋体" w:cs="宋体"/>
          <w:color w:val="auto"/>
          <w:sz w:val="24"/>
          <w:szCs w:val="24"/>
          <w:highlight w:val="none"/>
        </w:rPr>
        <w:t>6.1磋商小组</w:t>
      </w:r>
    </w:p>
    <w:p w14:paraId="72E28D0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6.1.1评审由依法组建的磋商小组负责。磋商小组成员人数以及组成方式见“供应商须知前附表”。</w:t>
      </w:r>
    </w:p>
    <w:p w14:paraId="282B50F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6.1.2磋商小组成员与参加采购活动的供应商存在下列利害关系之一的，应当回避：</w:t>
      </w:r>
    </w:p>
    <w:p w14:paraId="03A8A63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参加采购活动前三年内，与供应商存在劳动关系，或者担任过供应商的董事、监事，或者是供应商的控股股东或实际控制人；</w:t>
      </w:r>
    </w:p>
    <w:p w14:paraId="0631D83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2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与供应商的法定代表人或者负责人有夫妻、直系血亲、三代以内旁系血亲或者近姻亲关系；</w:t>
      </w:r>
    </w:p>
    <w:p w14:paraId="5570180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3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与供应商有其他可能影响政府采购活动公平、公正进行的关系。</w:t>
      </w:r>
    </w:p>
    <w:p w14:paraId="16CC557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4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项目主管部门或者行政监督部门的人员。</w:t>
      </w:r>
    </w:p>
    <w:p w14:paraId="62FF68DD">
      <w:pPr>
        <w:pageBreakBefore w:val="0"/>
        <w:kinsoku/>
        <w:wordWrap w:val="0"/>
        <w:overflowPunct/>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除技术复杂、专业性强的采购项目，通过随机方式难以确定合适评审专家的，经主管预算单位同意，采购人可以自行选定相应专业领域的评审专家的情形外，评审专家对本单位的政府采购项目只能作为采购人代表参与评审活动。</w:t>
      </w:r>
    </w:p>
    <w:p w14:paraId="52A0B438">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87" w:name="_bookmark46"/>
      <w:bookmarkEnd w:id="87"/>
      <w:r>
        <w:rPr>
          <w:rFonts w:hint="eastAsia" w:ascii="宋体" w:hAnsi="宋体" w:eastAsia="宋体" w:cs="宋体"/>
          <w:b/>
          <w:bCs/>
          <w:color w:val="auto"/>
          <w:sz w:val="24"/>
          <w:szCs w:val="24"/>
          <w:highlight w:val="none"/>
        </w:rPr>
        <w:t>6.2磋商原则</w:t>
      </w:r>
    </w:p>
    <w:p w14:paraId="5208866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评审活动遵循客观、公正、审慎的原则。</w:t>
      </w:r>
      <w:bookmarkStart w:id="88" w:name="_bookmark47"/>
      <w:bookmarkEnd w:id="88"/>
    </w:p>
    <w:p w14:paraId="02FCAC3F">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6.3评审办法</w:t>
      </w:r>
    </w:p>
    <w:p w14:paraId="0069D43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磋商小组按照第三章“评审办法”规定的方法、评审因素、标准和程序对竞争性磋商响应文件进行评审。第三章“评审办法”没有规定的方法、评审因素和标准，不作为评审依据。</w:t>
      </w:r>
    </w:p>
    <w:p w14:paraId="535B1825">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7.合同授予</w:t>
      </w:r>
    </w:p>
    <w:p w14:paraId="3E59A5BF">
      <w:pPr>
        <w:pageBreakBefore w:val="0"/>
        <w:kinsoku/>
        <w:wordWrap w:val="0"/>
        <w:overflowPunct/>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9" w:name="_bookmark49"/>
      <w:bookmarkEnd w:id="89"/>
      <w:r>
        <w:rPr>
          <w:rFonts w:hint="eastAsia" w:ascii="宋体" w:hAnsi="宋体" w:eastAsia="宋体" w:cs="宋体"/>
          <w:b/>
          <w:bCs/>
          <w:color w:val="auto"/>
          <w:sz w:val="24"/>
          <w:szCs w:val="24"/>
          <w:highlight w:val="none"/>
        </w:rPr>
        <w:t>7.1定标方式</w:t>
      </w:r>
    </w:p>
    <w:p w14:paraId="145F944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7.1.1除“供应商须知前附表”规定磋商小组直接确定成交单位外，采购人根据磋商小组提出的书面评审报告和推荐的成交候选人自行确定成交单位，磋商小组推荐成交候选人的人数见“供应商须知前附表”。</w:t>
      </w:r>
    </w:p>
    <w:p w14:paraId="4235245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7.1.2成交候选人不能作为成交单位的情形：</w:t>
      </w:r>
    </w:p>
    <w:p w14:paraId="1F7ED35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成交候选人放弃成交的；</w:t>
      </w:r>
    </w:p>
    <w:p w14:paraId="0FF2D56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2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因不可抗力不能履行合同的；</w:t>
      </w:r>
    </w:p>
    <w:p w14:paraId="279B995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3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成交候选人公示期满后，未在采购人规定的时限内签订合同的；</w:t>
      </w:r>
    </w:p>
    <w:p w14:paraId="5E3CC3B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4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未按照竞争性磋商文件要求提交履约保证金的；</w:t>
      </w:r>
    </w:p>
    <w:p w14:paraId="4531CC8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5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被查实存在影响成交结果的违法行为等情形的；</w:t>
      </w:r>
    </w:p>
    <w:p w14:paraId="08C3B3E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6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其他不符合成交条件情形的。</w:t>
      </w:r>
    </w:p>
    <w:p w14:paraId="162B718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采购人可以按照磋商小组提出的成交候选人名单，自行确定其他成交候选人为成交单位。</w:t>
      </w:r>
    </w:p>
    <w:p w14:paraId="2AB104FF">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90" w:name="_bookmark50"/>
      <w:bookmarkEnd w:id="90"/>
      <w:r>
        <w:rPr>
          <w:rFonts w:hint="eastAsia" w:ascii="宋体" w:hAnsi="宋体" w:eastAsia="宋体" w:cs="宋体"/>
          <w:b/>
          <w:bCs/>
          <w:color w:val="auto"/>
          <w:sz w:val="24"/>
          <w:szCs w:val="24"/>
          <w:highlight w:val="none"/>
        </w:rPr>
        <w:t>7.2成交通知</w:t>
      </w:r>
    </w:p>
    <w:p w14:paraId="2C54B3B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在本章第3.3.1款规定的磋商有效期内，采购人以书面形式向成交</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发出成交通知书，同时将未成交结果通知未成交的供应商。</w:t>
      </w:r>
    </w:p>
    <w:p w14:paraId="628F673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★为支持和促进中小企业发展，进一步发挥政府采购政策功能，降低政府采购交易门槛，拓宽企业融资渠道，支持供应商基于</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项目进行政府</w:t>
      </w:r>
      <w:r>
        <w:rPr>
          <w:rFonts w:hint="eastAsia" w:ascii="宋体" w:hAnsi="宋体" w:eastAsia="宋体" w:cs="宋体"/>
          <w:color w:val="auto"/>
          <w:sz w:val="24"/>
          <w:szCs w:val="24"/>
          <w:highlight w:val="none"/>
          <w:lang w:val="en-US" w:eastAsia="zh-CN"/>
        </w:rPr>
        <w:t>采</w:t>
      </w:r>
      <w:r>
        <w:rPr>
          <w:rFonts w:hint="eastAsia" w:ascii="宋体" w:hAnsi="宋体" w:eastAsia="宋体" w:cs="宋体"/>
          <w:color w:val="auto"/>
          <w:sz w:val="24"/>
          <w:szCs w:val="24"/>
          <w:highlight w:val="none"/>
          <w:lang w:eastAsia="zh-CN"/>
        </w:rPr>
        <w:t>购合同融资，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lang w:val="en-US" w:eastAsia="zh-CN"/>
        </w:rPr>
        <w:t>可登</w:t>
      </w:r>
    </w:p>
    <w:p w14:paraId="7D8297B4">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录【红河州政府采购金融服务平台】进行了解。</w:t>
      </w:r>
    </w:p>
    <w:p w14:paraId="6E9CD3DE">
      <w:pPr>
        <w:pageBreakBefore w:val="0"/>
        <w:kinsoku/>
        <w:wordWrap w:val="0"/>
        <w:overflowPunct/>
        <w:bidi w:val="0"/>
        <w:spacing w:after="0" w:line="52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直达链接：</w:t>
      </w:r>
      <w:r>
        <w:rPr>
          <w:rFonts w:hint="eastAsia" w:ascii="宋体" w:hAnsi="宋体" w:eastAsia="宋体" w:cs="宋体"/>
          <w:b/>
          <w:bCs/>
          <w:color w:val="auto"/>
          <w:sz w:val="24"/>
          <w:szCs w:val="24"/>
          <w:highlight w:val="none"/>
          <w:lang w:val="en-US" w:eastAsia="zh-CN"/>
        </w:rPr>
        <w:t>https://jinrong.zcygov.cn/luban/finance/honghe</w:t>
      </w:r>
      <w:r>
        <w:rPr>
          <w:rFonts w:hint="eastAsia" w:ascii="宋体" w:hAnsi="宋体" w:eastAsia="宋体" w:cs="宋体"/>
          <w:b/>
          <w:bCs/>
          <w:color w:val="auto"/>
          <w:sz w:val="24"/>
          <w:szCs w:val="24"/>
          <w:highlight w:val="none"/>
          <w:lang w:eastAsia="zh-CN"/>
        </w:rPr>
        <w:t>）</w:t>
      </w:r>
    </w:p>
    <w:p w14:paraId="7694DE67">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7.3履约担保</w:t>
      </w:r>
    </w:p>
    <w:p w14:paraId="7A082AD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7.3.1在签订合同前，成交单位应按“供应商须知前附表”规定的金额、担保形式向采购人提交履约担保。</w:t>
      </w:r>
    </w:p>
    <w:p w14:paraId="59C882A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7.3.2采用“经评审的最低价投标法”招标的项目，成交单位必须向采购人提交低价担保。联合体中标的，其低价担保由牵头人递交，并应符合“供应商须知前附表”规定的金额、担保形式。</w:t>
      </w:r>
    </w:p>
    <w:p w14:paraId="38FFCBE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7.3.3成交单位不能按本章第7.3.1或7.3.2项要求提交担保的，视为放弃成交，其磋商保证金不予退还，给采购人造成的损失超过磋商保证金数额的，成交单位还应当对超过部分予以赔偿。</w:t>
      </w:r>
      <w:bookmarkStart w:id="91" w:name="_bookmark52"/>
      <w:bookmarkEnd w:id="91"/>
    </w:p>
    <w:p w14:paraId="0895C63B">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7.4签订合同</w:t>
      </w:r>
    </w:p>
    <w:p w14:paraId="4CDEF61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7.4.1采购人与成交供应商应当在成交通知书发出之日起30日内，按照磋商文件确定的合同文本以及采购标的、规格型号、采购金额、采购数量、技术和服务要求等事项签订政府采购合同。</w:t>
      </w:r>
    </w:p>
    <w:p w14:paraId="42C08A2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7CF2821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7.4.3成交供应商拒绝签订政府采购合同的，采购人可以按照《政府采购竞争性磋商采购方式管理暂行办法》（财库〔2014〕214号）第二十八条第二款规定的原则，从评审报告提出的成交候选供应商中，按照排序由高到低的原则确定其他供应商作为成交供应商，也可以书面授权磋商小组直接确定其他供应商作为成交供应商。并签订政府采购合同，也可以重新开展采购活动。</w:t>
      </w:r>
    </w:p>
    <w:p w14:paraId="28547F9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7.4.5拒绝签订政府采购合同的成交供应商不得参加对该项目重新开展的采购活动。成交供应商无正当理由拒签合同的，采购人取消其成交资格，其磋商保证金不予退还；给采购人造成的损失超过磋商保证金数额的，成交单位还应当对超过部分予以赔偿。</w:t>
      </w:r>
    </w:p>
    <w:p w14:paraId="5CF4F83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7.4.6发出成交通知书后，采购人无正当理由拒签合同的，采购人向成交单位退还磋商保证金；给成交单位造成损失的，还应当赔偿损失。</w:t>
      </w:r>
    </w:p>
    <w:p w14:paraId="165576A4">
      <w:pPr>
        <w:pageBreakBefore w:val="0"/>
        <w:kinsoku/>
        <w:wordWrap w:val="0"/>
        <w:overflowPunct/>
        <w:bidi w:val="0"/>
        <w:spacing w:after="0" w:line="52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★为支持和促进中小企业发展，进一步发挥政府采购政策功能，降低政府采购交易门槛，拓宽企业融资渠道，支持供应商基于</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lang w:eastAsia="zh-CN"/>
        </w:rPr>
        <w:t>项目进行政府</w:t>
      </w:r>
      <w:r>
        <w:rPr>
          <w:rFonts w:hint="eastAsia" w:ascii="宋体" w:hAnsi="宋体" w:eastAsia="宋体" w:cs="宋体"/>
          <w:b/>
          <w:bCs/>
          <w:color w:val="auto"/>
          <w:sz w:val="24"/>
          <w:szCs w:val="24"/>
          <w:highlight w:val="none"/>
          <w:lang w:val="en-US" w:eastAsia="zh-CN"/>
        </w:rPr>
        <w:t>采</w:t>
      </w:r>
      <w:r>
        <w:rPr>
          <w:rFonts w:hint="eastAsia" w:ascii="宋体" w:hAnsi="宋体" w:eastAsia="宋体" w:cs="宋体"/>
          <w:b/>
          <w:bCs/>
          <w:color w:val="auto"/>
          <w:sz w:val="24"/>
          <w:szCs w:val="24"/>
          <w:highlight w:val="none"/>
          <w:lang w:eastAsia="zh-CN"/>
        </w:rPr>
        <w:t>购合同融资，</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lang w:eastAsia="zh-CN"/>
        </w:rPr>
        <w:t>供应商可登录【红河州政府采购金融服务平台】进行了解。</w:t>
      </w:r>
    </w:p>
    <w:p w14:paraId="3F7DE3F5">
      <w:pPr>
        <w:pageBreakBefore w:val="0"/>
        <w:kinsoku/>
        <w:wordWrap w:val="0"/>
        <w:overflowPunct/>
        <w:bidi w:val="0"/>
        <w:spacing w:after="0" w:line="52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直达链接：</w:t>
      </w:r>
      <w:r>
        <w:rPr>
          <w:rFonts w:hint="eastAsia" w:ascii="宋体" w:hAnsi="宋体" w:eastAsia="宋体" w:cs="宋体"/>
          <w:b/>
          <w:bCs/>
          <w:color w:val="auto"/>
          <w:sz w:val="24"/>
          <w:szCs w:val="24"/>
          <w:highlight w:val="none"/>
          <w:lang w:val="en-US" w:eastAsia="zh-CN"/>
        </w:rPr>
        <w:t>https://jinrong.zcygov.cn/luban/finance/honghe</w:t>
      </w:r>
      <w:r>
        <w:rPr>
          <w:rFonts w:hint="eastAsia" w:ascii="宋体" w:hAnsi="宋体" w:eastAsia="宋体" w:cs="宋体"/>
          <w:b/>
          <w:bCs/>
          <w:color w:val="auto"/>
          <w:sz w:val="24"/>
          <w:szCs w:val="24"/>
          <w:highlight w:val="none"/>
          <w:lang w:eastAsia="zh-CN"/>
        </w:rPr>
        <w:t>）</w:t>
      </w:r>
    </w:p>
    <w:p w14:paraId="58F6FD69">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8.重新磋商和不再磋商</w:t>
      </w:r>
    </w:p>
    <w:p w14:paraId="2447440F">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92" w:name="_bookmark54"/>
      <w:bookmarkEnd w:id="92"/>
      <w:r>
        <w:rPr>
          <w:rFonts w:hint="eastAsia" w:ascii="宋体" w:hAnsi="宋体" w:eastAsia="宋体" w:cs="宋体"/>
          <w:b/>
          <w:bCs/>
          <w:color w:val="auto"/>
          <w:sz w:val="24"/>
          <w:szCs w:val="24"/>
          <w:highlight w:val="none"/>
        </w:rPr>
        <w:t>8.1重新磋商</w:t>
      </w:r>
    </w:p>
    <w:p w14:paraId="7093349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8.1.1出现下列情形之一的，采购人或者采购代理机构应当终止竞争性磋商采购活动，发布项目终止公告并说明原因，重新开展采购活动：</w:t>
      </w:r>
    </w:p>
    <w:p w14:paraId="10506F5B">
      <w:pPr>
        <w:pageBreakBefore w:val="0"/>
        <w:numPr>
          <w:ilvl w:val="0"/>
          <w:numId w:val="0"/>
        </w:numPr>
        <w:kinsoku/>
        <w:wordWrap w:val="0"/>
        <w:overflowPunct/>
        <w:bidi w:val="0"/>
        <w:spacing w:after="0" w:line="520" w:lineRule="exact"/>
        <w:ind w:left="426"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①因情况变化，不再符合规定的竞争性磋商采购方式适用情形的；</w:t>
      </w:r>
    </w:p>
    <w:p w14:paraId="2CCA974E">
      <w:pPr>
        <w:pageBreakBefore w:val="0"/>
        <w:numPr>
          <w:ilvl w:val="0"/>
          <w:numId w:val="0"/>
        </w:numPr>
        <w:kinsoku/>
        <w:wordWrap w:val="0"/>
        <w:overflowPunct/>
        <w:bidi w:val="0"/>
        <w:spacing w:after="0" w:line="520" w:lineRule="exact"/>
        <w:ind w:left="426"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②出现影响采购公正的违法、违规行为的；</w:t>
      </w:r>
    </w:p>
    <w:p w14:paraId="50659013">
      <w:pPr>
        <w:pageBreakBefore w:val="0"/>
        <w:numPr>
          <w:ilvl w:val="0"/>
          <w:numId w:val="0"/>
        </w:numPr>
        <w:kinsoku/>
        <w:wordWrap w:val="0"/>
        <w:overflowPunct/>
        <w:bidi w:val="0"/>
        <w:spacing w:after="0" w:line="520" w:lineRule="exact"/>
        <w:ind w:left="426"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③除《政府采购竞争性磋商采购方式管理暂行办法》（财库〔2014〕214号）第二十一条第三款规定的情形外，在采购过程中符合要求的供应商或者报价未超过采购预算的供应商不足3家的</w:t>
      </w:r>
      <w:r>
        <w:rPr>
          <w:rFonts w:hint="eastAsia" w:ascii="宋体" w:hAnsi="宋体" w:eastAsia="宋体" w:cs="宋体"/>
          <w:color w:val="auto"/>
          <w:sz w:val="24"/>
          <w:szCs w:val="24"/>
          <w:highlight w:val="none"/>
          <w:lang w:eastAsia="zh-CN"/>
        </w:rPr>
        <w:t>；</w:t>
      </w:r>
    </w:p>
    <w:p w14:paraId="4FE241B1">
      <w:pPr>
        <w:pageBreakBefore w:val="0"/>
        <w:numPr>
          <w:ilvl w:val="0"/>
          <w:numId w:val="0"/>
        </w:numPr>
        <w:kinsoku/>
        <w:wordWrap w:val="0"/>
        <w:overflowPunct/>
        <w:bidi w:val="0"/>
        <w:spacing w:after="0" w:line="520" w:lineRule="exact"/>
        <w:ind w:left="426"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④磋商截止时间止，供应商少于3个的；</w:t>
      </w:r>
    </w:p>
    <w:p w14:paraId="523D0ADC">
      <w:pPr>
        <w:pageBreakBefore w:val="0"/>
        <w:numPr>
          <w:ilvl w:val="0"/>
          <w:numId w:val="0"/>
        </w:numPr>
        <w:kinsoku/>
        <w:wordWrap w:val="0"/>
        <w:overflowPunct/>
        <w:bidi w:val="0"/>
        <w:spacing w:after="0" w:line="520" w:lineRule="exact"/>
        <w:ind w:left="400" w:leftChars="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⑤经磋商小组评审后否决所有磋商。</w:t>
      </w:r>
      <w:bookmarkStart w:id="93" w:name="_bookmark55"/>
      <w:bookmarkEnd w:id="93"/>
    </w:p>
    <w:p w14:paraId="2A02037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8.1.2采购活动中因重大变故，采购任务取消的，采购人或者采购代理机构应当终止采购活动，通知所有参加采购活动的供应商，并将项目实施情况和采购任务取消原因报送本级财政部门。</w:t>
      </w:r>
    </w:p>
    <w:p w14:paraId="63D7A5BB">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8.2不再磋商</w:t>
      </w:r>
    </w:p>
    <w:p w14:paraId="497E708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重新磋商后供应商仍少于3个或者所有磋商被否决的，属于必须审批或核准的工程建设项目，经原审批或核准部门批准后不再进行磋商。</w:t>
      </w:r>
    </w:p>
    <w:p w14:paraId="5747C360">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bookmarkStart w:id="94" w:name="_bookmark56"/>
      <w:bookmarkEnd w:id="94"/>
      <w:r>
        <w:rPr>
          <w:rFonts w:hint="eastAsia" w:ascii="宋体" w:hAnsi="宋体" w:eastAsia="宋体" w:cs="宋体"/>
          <w:b/>
          <w:bCs/>
          <w:color w:val="auto"/>
          <w:sz w:val="32"/>
          <w:szCs w:val="32"/>
          <w:highlight w:val="none"/>
        </w:rPr>
        <w:t>9.纪律和监督</w:t>
      </w:r>
    </w:p>
    <w:p w14:paraId="75E6F3EF">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95" w:name="_bookmark57"/>
      <w:bookmarkEnd w:id="95"/>
      <w:r>
        <w:rPr>
          <w:rFonts w:hint="eastAsia" w:ascii="宋体" w:hAnsi="宋体" w:eastAsia="宋体" w:cs="宋体"/>
          <w:b/>
          <w:bCs/>
          <w:color w:val="auto"/>
          <w:sz w:val="24"/>
          <w:szCs w:val="24"/>
          <w:highlight w:val="none"/>
        </w:rPr>
        <w:t>9.1对采购人的纪律要求</w:t>
      </w:r>
    </w:p>
    <w:p w14:paraId="78B2F26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采购人不得</w:t>
      </w:r>
      <w:r>
        <w:rPr>
          <w:rFonts w:hint="eastAsia" w:ascii="宋体" w:hAnsi="宋体" w:eastAsia="宋体" w:cs="宋体"/>
          <w:color w:val="auto"/>
          <w:sz w:val="24"/>
          <w:szCs w:val="24"/>
          <w:highlight w:val="none"/>
          <w:lang w:eastAsia="zh-CN"/>
        </w:rPr>
        <w:t>泄露</w:t>
      </w:r>
      <w:r>
        <w:rPr>
          <w:rFonts w:hint="eastAsia" w:ascii="宋体" w:hAnsi="宋体" w:eastAsia="宋体" w:cs="宋体"/>
          <w:color w:val="auto"/>
          <w:sz w:val="24"/>
          <w:szCs w:val="24"/>
          <w:highlight w:val="none"/>
        </w:rPr>
        <w:t>招标投标活动中应当保密的情况和资料，不得与供应商串通损害国家利益、社会公共利益或者他人合法权益。</w:t>
      </w:r>
    </w:p>
    <w:p w14:paraId="70CCAB0B">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96" w:name="_bookmark58"/>
      <w:bookmarkEnd w:id="96"/>
      <w:r>
        <w:rPr>
          <w:rFonts w:hint="eastAsia" w:ascii="宋体" w:hAnsi="宋体" w:eastAsia="宋体" w:cs="宋体"/>
          <w:b/>
          <w:bCs/>
          <w:color w:val="auto"/>
          <w:sz w:val="24"/>
          <w:szCs w:val="24"/>
          <w:highlight w:val="none"/>
        </w:rPr>
        <w:t>9.2对供应商的纪律要求</w:t>
      </w:r>
    </w:p>
    <w:p w14:paraId="2F7306CA">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供应商不得相互串通磋商或者与采购人串通投标，不得向采购人或者磋商小组成员行贿谋取成交，不得以他人名义磋商或者以其他方式弄虚作假骗取成交；供应商不得以任何方式干扰、影响评审工作。</w:t>
      </w:r>
    </w:p>
    <w:p w14:paraId="6D6756B6">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97" w:name="_bookmark59"/>
      <w:bookmarkEnd w:id="97"/>
      <w:r>
        <w:rPr>
          <w:rFonts w:hint="eastAsia" w:ascii="宋体" w:hAnsi="宋体" w:eastAsia="宋体" w:cs="宋体"/>
          <w:b/>
          <w:bCs/>
          <w:color w:val="auto"/>
          <w:sz w:val="24"/>
          <w:szCs w:val="24"/>
          <w:highlight w:val="none"/>
        </w:rPr>
        <w:t>9.3对磋商小组成员的纪律要求</w:t>
      </w:r>
    </w:p>
    <w:p w14:paraId="182A70F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9.3.1磋商小组应当遵守评审工作纪律，不得泄露评审情况和评审中获悉的商业秘密。</w:t>
      </w:r>
    </w:p>
    <w:p w14:paraId="32D4DB1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9.3.2磋商小组在评审过程中发现供应商有行贿、提供虚假材料或者串通等违法行为的，应当及时向财政部门报告。</w:t>
      </w:r>
    </w:p>
    <w:p w14:paraId="37556B0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9.3.3在评审活动中，磋商小组成员不得擅离职守，影响评审程序正常进行。</w:t>
      </w:r>
    </w:p>
    <w:p w14:paraId="66EB08D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9.3.4磋商文件中没有规定的评审标准不得作为评审依据。</w:t>
      </w:r>
    </w:p>
    <w:p w14:paraId="33137461">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9.3.5评审专家在评审过程中受到非法干涉的，应当及时向财政、监察等部门举报。</w:t>
      </w:r>
    </w:p>
    <w:p w14:paraId="25C31D6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9.3.6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02BA71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9.3.7磋商文件内容违反国家有关强制性规定的，磋商小组应当停止评审并向采购人或者采购代理机构说明情况。</w:t>
      </w:r>
    </w:p>
    <w:p w14:paraId="24F324F6">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9.4参与评审活动的工作人员的纪律要求</w:t>
      </w:r>
    </w:p>
    <w:p w14:paraId="54480CAC">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与评审活动有关的工作人员不得收受他人的财物或者其他好处，不得向他人</w:t>
      </w:r>
      <w:r>
        <w:rPr>
          <w:rFonts w:hint="eastAsia" w:ascii="宋体" w:hAnsi="宋体" w:eastAsia="宋体" w:cs="宋体"/>
          <w:color w:val="auto"/>
          <w:sz w:val="24"/>
          <w:szCs w:val="24"/>
          <w:highlight w:val="none"/>
          <w:lang w:eastAsia="zh-CN"/>
        </w:rPr>
        <w:t>透露</w:t>
      </w:r>
      <w:r>
        <w:rPr>
          <w:rFonts w:hint="eastAsia" w:ascii="宋体" w:hAnsi="宋体" w:eastAsia="宋体" w:cs="宋体"/>
          <w:color w:val="auto"/>
          <w:sz w:val="24"/>
          <w:szCs w:val="24"/>
          <w:highlight w:val="none"/>
        </w:rPr>
        <w:t>对竞争性磋商响应文件的评审和比较、成交单位的推荐情况以及评审有关的其他情况。在评审活动中，与评审活动有关的工作人员不得擅离职守，影响评审程序正常进行。</w:t>
      </w:r>
    </w:p>
    <w:p w14:paraId="4593A3D7">
      <w:pPr>
        <w:pageBreakBefore w:val="0"/>
        <w:kinsoku/>
        <w:wordWrap w:val="0"/>
        <w:overflowPunct/>
        <w:bidi w:val="0"/>
        <w:spacing w:after="0" w:line="520" w:lineRule="exact"/>
        <w:textAlignment w:val="auto"/>
        <w:rPr>
          <w:rFonts w:hint="eastAsia" w:ascii="宋体" w:hAnsi="宋体" w:eastAsia="宋体" w:cs="宋体"/>
          <w:b/>
          <w:bCs/>
          <w:color w:val="auto"/>
          <w:sz w:val="24"/>
          <w:szCs w:val="24"/>
          <w:highlight w:val="none"/>
        </w:rPr>
      </w:pPr>
      <w:bookmarkStart w:id="98" w:name="_bookmark61"/>
      <w:bookmarkEnd w:id="98"/>
      <w:r>
        <w:rPr>
          <w:rFonts w:hint="eastAsia" w:ascii="宋体" w:hAnsi="宋体" w:eastAsia="宋体" w:cs="宋体"/>
          <w:b/>
          <w:bCs/>
          <w:color w:val="auto"/>
          <w:sz w:val="24"/>
          <w:szCs w:val="24"/>
          <w:highlight w:val="none"/>
        </w:rPr>
        <w:t>9.5质疑和投诉</w:t>
      </w:r>
    </w:p>
    <w:p w14:paraId="2DC6ED5D">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bookmarkStart w:id="99" w:name="_bookmark62"/>
      <w:bookmarkEnd w:id="99"/>
      <w:r>
        <w:rPr>
          <w:rFonts w:hint="eastAsia" w:ascii="宋体" w:hAnsi="宋体" w:eastAsia="宋体" w:cs="宋体"/>
          <w:color w:val="auto"/>
          <w:sz w:val="24"/>
          <w:szCs w:val="24"/>
          <w:highlight w:val="none"/>
        </w:rPr>
        <w:t>9.5.1质疑提出与答复</w:t>
      </w:r>
    </w:p>
    <w:p w14:paraId="41D1FA9F">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供应商认为采购文件、采购过程、中标或者成交结果使自己的权益受到损害的，可以在知道或者应知其权益受到损害之日起7个工作日内，</w:t>
      </w:r>
      <w:r>
        <w:rPr>
          <w:rFonts w:hint="eastAsia" w:ascii="宋体" w:hAnsi="宋体" w:eastAsia="宋体" w:cs="宋体"/>
          <w:color w:val="auto"/>
          <w:sz w:val="24"/>
          <w:szCs w:val="24"/>
          <w:highlight w:val="none"/>
          <w:lang w:val="en-US" w:eastAsia="zh-CN"/>
        </w:rPr>
        <w:t>登录政府采购云平台（网址：https://www.zcygov.cn/）</w:t>
      </w:r>
      <w:r>
        <w:rPr>
          <w:rFonts w:hint="eastAsia" w:ascii="宋体" w:hAnsi="宋体" w:eastAsia="宋体" w:cs="宋体"/>
          <w:color w:val="auto"/>
          <w:sz w:val="24"/>
          <w:szCs w:val="24"/>
          <w:highlight w:val="none"/>
        </w:rPr>
        <w:t>向采购人、采购代理机构提出质疑。</w:t>
      </w:r>
    </w:p>
    <w:p w14:paraId="70A6815B">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提出质疑的供应商（以下简称质疑供应商）应当是参与所质疑项目采购活动的供应商。以联合体形式参加政府采购活动的，其投诉应当由组成联合体的所有供应商共同提出。</w:t>
      </w:r>
    </w:p>
    <w:p w14:paraId="0DFC1660">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2E0DC29F">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供应商提出质疑应当提交质疑函和必要的证明材料。质疑函应当包括下列内容：</w:t>
      </w:r>
    </w:p>
    <w:p w14:paraId="44B1F3C1">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①供应商的姓名或者名称、地址、邮编、联系人及联系电话；</w:t>
      </w:r>
    </w:p>
    <w:p w14:paraId="37F316D8">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②质疑项目的名称、编号；</w:t>
      </w:r>
    </w:p>
    <w:p w14:paraId="0AF9E914">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③具体、明确的质疑事项和与质疑事项相关的请求；</w:t>
      </w:r>
    </w:p>
    <w:p w14:paraId="10EF2A54">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④事实依据；</w:t>
      </w:r>
    </w:p>
    <w:p w14:paraId="3FB3BD08">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⑤必要的法律依据；</w:t>
      </w:r>
    </w:p>
    <w:p w14:paraId="3154B6D6">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⑥提出质疑的日期。</w:t>
      </w:r>
    </w:p>
    <w:p w14:paraId="71377041">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6E2504F2">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采购人、采购代理机构不得拒收质疑供应商在法定质疑期内发出的质疑函，应当在收到质疑函后7个工作日内作出答复，并以书面形式通知质疑供应商和其他有关供应商。</w:t>
      </w:r>
    </w:p>
    <w:p w14:paraId="3DB14669">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9.5.2投诉提出与投诉处理</w:t>
      </w:r>
    </w:p>
    <w:p w14:paraId="480AC5A0">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质疑供应商对采购人、采购代理机构的答复不满意，或者采购人、采购代理机构未在规定时间内作出答复的，可以在答复期满后15个工作日内向《政府采购质疑和投诉办法》（中华人民共和国财政部令第94号）规定的部门提起投诉。</w:t>
      </w:r>
    </w:p>
    <w:p w14:paraId="6762FF61">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6E7D4770">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①投诉人和被投诉人的姓名或者名称、通讯地址、邮编、联系人及联系电话；</w:t>
      </w:r>
    </w:p>
    <w:p w14:paraId="1C85B4AA">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②质疑和质疑答复情况说明及相关证明材料；</w:t>
      </w:r>
    </w:p>
    <w:p w14:paraId="07A5E17C">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③具体、明确的投诉事项和与投诉事项相关的投诉请求；</w:t>
      </w:r>
    </w:p>
    <w:p w14:paraId="3906911D">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④事实依据；</w:t>
      </w:r>
    </w:p>
    <w:p w14:paraId="28E125B9">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⑤法律依据；</w:t>
      </w:r>
    </w:p>
    <w:p w14:paraId="6A48C2F0">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⑥提起投诉的日期。</w:t>
      </w:r>
    </w:p>
    <w:p w14:paraId="690FEEBB">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投诉人为自然人的，应当由本人签字；投诉人为法人或者其他组织的，应当由法定代表人、主要负责人，或者其授权代表签字或者盖章，并加盖公章。</w:t>
      </w:r>
    </w:p>
    <w:p w14:paraId="296502DE">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投诉人提起投诉应当符合下列条件：</w:t>
      </w:r>
    </w:p>
    <w:p w14:paraId="4F48689E">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①提起投诉前已依法进行质疑；</w:t>
      </w:r>
    </w:p>
    <w:p w14:paraId="67862486">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②投诉书内容符合本办法的规定；</w:t>
      </w:r>
    </w:p>
    <w:p w14:paraId="69419213">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③在投诉有效期限内提起投诉；</w:t>
      </w:r>
    </w:p>
    <w:p w14:paraId="1B0C3097">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④同一投诉事项未经财政部门投诉处理；</w:t>
      </w:r>
    </w:p>
    <w:p w14:paraId="791CE01C">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⑤财政部规定的其他条件。</w:t>
      </w:r>
    </w:p>
    <w:p w14:paraId="479D17A6">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供应商投诉的事项不得超出已质疑事项的范围，但基于质疑答复内容提出的投诉事项除外。</w:t>
      </w:r>
    </w:p>
    <w:p w14:paraId="03149DAA">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投诉人有下列行为之一的，属于虚假、恶意投诉，由财政部门列入不良行为记录名单，禁止其1至3年内参加政府采购活动：</w:t>
      </w:r>
    </w:p>
    <w:p w14:paraId="216A4FE4">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①捏造事实；</w:t>
      </w:r>
    </w:p>
    <w:p w14:paraId="645AF3D7">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②提供虚假材料；</w:t>
      </w:r>
    </w:p>
    <w:p w14:paraId="6230380B">
      <w:pPr>
        <w:pageBreakBefore w:val="0"/>
        <w:numPr>
          <w:ilvl w:val="0"/>
          <w:numId w:val="0"/>
        </w:numPr>
        <w:kinsoku/>
        <w:wordWrap w:val="0"/>
        <w:overflowPunct/>
        <w:bidi w:val="0"/>
        <w:spacing w:after="0" w:line="540" w:lineRule="exact"/>
        <w:ind w:left="40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③以非法手段取得证明材料。证据来源的合法性存在明显疑问，投诉人无法证明其取得方式合法的，视为以非法手段取得证明材料。</w:t>
      </w:r>
    </w:p>
    <w:p w14:paraId="4D4440B4">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⑺财政部门收到投诉书后，按照《政府采购质疑和投诉办法》（中华人民共和国财政部令第94号）相关规定处理。</w:t>
      </w:r>
    </w:p>
    <w:p w14:paraId="4145077C">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9.5.3质疑函和投诉书应当使用中文。质疑函和投诉书的范本详见附件2、附件3。</w:t>
      </w:r>
    </w:p>
    <w:p w14:paraId="794F4709">
      <w:pPr>
        <w:pageBreakBefore w:val="0"/>
        <w:kinsoku/>
        <w:wordWrap w:val="0"/>
        <w:overflowPunct/>
        <w:bidi w:val="0"/>
        <w:spacing w:after="0" w:line="520" w:lineRule="exact"/>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10.需要补充的其他内容</w:t>
      </w:r>
    </w:p>
    <w:p w14:paraId="67689BF8">
      <w:pPr>
        <w:pageBreakBefore w:val="0"/>
        <w:kinsoku/>
        <w:wordWrap w:val="0"/>
        <w:overflowPunct/>
        <w:bidi w:val="0"/>
        <w:spacing w:after="0" w:line="5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需要补充的其他内容：详见“供应商须知前附表”。</w:t>
      </w:r>
    </w:p>
    <w:p w14:paraId="6ADB671C">
      <w:pPr>
        <w:pStyle w:val="14"/>
        <w:pageBreakBefore w:val="0"/>
        <w:kinsoku/>
        <w:wordWrap w:val="0"/>
        <w:overflowPunct/>
        <w:bidi w:val="0"/>
        <w:spacing w:after="0"/>
        <w:textAlignment w:val="auto"/>
        <w:rPr>
          <w:rFonts w:hint="eastAsia" w:ascii="宋体" w:hAnsi="宋体" w:eastAsia="宋体" w:cs="宋体"/>
          <w:b/>
          <w:bCs/>
          <w:color w:val="auto"/>
          <w:sz w:val="24"/>
          <w:szCs w:val="24"/>
          <w:highlight w:val="none"/>
        </w:rPr>
      </w:pPr>
    </w:p>
    <w:p w14:paraId="11EFB448">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585EC2CF">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51C9CC0E">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51645754">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49DF13A0">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47421D74">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012E11E6">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19C53296">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354EAB20">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40796665">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59789A94">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305DCE63">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r>
    </w:p>
    <w:p w14:paraId="6A40FC83">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附表一：问题澄清通知</w:t>
      </w:r>
    </w:p>
    <w:p w14:paraId="5D9A280F">
      <w:pPr>
        <w:pStyle w:val="60"/>
        <w:pageBreakBefore w:val="0"/>
        <w:kinsoku/>
        <w:wordWrap w:val="0"/>
        <w:overflowPunct/>
        <w:bidi w:val="0"/>
        <w:spacing w:after="0"/>
        <w:textAlignment w:val="auto"/>
        <w:rPr>
          <w:rFonts w:hint="eastAsia" w:ascii="宋体" w:hAnsi="宋体" w:eastAsia="宋体" w:cs="宋体"/>
          <w:color w:val="auto"/>
          <w:highlight w:val="none"/>
        </w:rPr>
      </w:pPr>
    </w:p>
    <w:p w14:paraId="000D28B3">
      <w:pPr>
        <w:pageBreakBefore w:val="0"/>
        <w:kinsoku/>
        <w:wordWrap w:val="0"/>
        <w:overflowPunct/>
        <w:bidi w:val="0"/>
        <w:spacing w:after="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问题澄清的通知</w:t>
      </w:r>
    </w:p>
    <w:p w14:paraId="39167C52">
      <w:pPr>
        <w:pageBreakBefore w:val="0"/>
        <w:kinsoku/>
        <w:wordWrap w:val="0"/>
        <w:overflowPunct/>
        <w:bidi w:val="0"/>
        <w:spacing w:after="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p w14:paraId="626E20AE">
      <w:pPr>
        <w:pageBreakBefore w:val="0"/>
        <w:kinsoku/>
        <w:wordWrap w:val="0"/>
        <w:overflowPunct/>
        <w:bidi w:val="0"/>
        <w:spacing w:after="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（供应商名称）</w:t>
      </w:r>
    </w:p>
    <w:p w14:paraId="475DD319">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4B06AD06">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磋商的磋商小组，对你方的竞争性磋商响应文件进行了仔细的审查，现需你方对下列问题以书面形式予以澄清：</w:t>
      </w:r>
    </w:p>
    <w:p w14:paraId="00D4DB78">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711B946F">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78D7525D">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CD3DB39">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p>
    <w:p w14:paraId="14E15F24">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时前递交至</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（详细地址） 或传真至（传真号码）。采用传真方式的，应在年月</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日时前将原件递交至</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（详细地址）。</w:t>
      </w:r>
    </w:p>
    <w:p w14:paraId="349A0A0E">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p>
    <w:p w14:paraId="590BCFCA">
      <w:pPr>
        <w:pageBreakBefore w:val="0"/>
        <w:kinsoku/>
        <w:wordWrap w:val="0"/>
        <w:overflowPunct/>
        <w:bidi w:val="0"/>
        <w:spacing w:after="0"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磋商小组主任：</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（签字）</w:t>
      </w:r>
    </w:p>
    <w:p w14:paraId="03AE03F2">
      <w:pPr>
        <w:pageBreakBefore w:val="0"/>
        <w:kinsoku/>
        <w:wordWrap w:val="0"/>
        <w:overflowPunct/>
        <w:bidi w:val="0"/>
        <w:spacing w:after="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5F1EEE5D">
      <w:pPr>
        <w:pageBreakBefore w:val="0"/>
        <w:kinsoku/>
        <w:wordWrap w:val="0"/>
        <w:overflowPunct/>
        <w:bidi w:val="0"/>
        <w:spacing w:after="0"/>
        <w:textAlignment w:val="auto"/>
        <w:rPr>
          <w:rFonts w:hint="eastAsia" w:ascii="宋体" w:hAnsi="宋体" w:eastAsia="宋体" w:cs="宋体"/>
          <w:b/>
          <w:bCs/>
          <w:color w:val="auto"/>
          <w:sz w:val="24"/>
          <w:szCs w:val="24"/>
          <w:highlight w:val="none"/>
        </w:rPr>
      </w:pPr>
    </w:p>
    <w:p w14:paraId="76954941">
      <w:pPr>
        <w:pageBreakBefore w:val="0"/>
        <w:kinsoku/>
        <w:wordWrap w:val="0"/>
        <w:overflowPunct/>
        <w:bidi w:val="0"/>
        <w:spacing w:after="0"/>
        <w:textAlignment w:val="auto"/>
        <w:rPr>
          <w:rFonts w:hint="eastAsia" w:ascii="宋体" w:hAnsi="宋体" w:eastAsia="宋体" w:cs="宋体"/>
          <w:color w:val="auto"/>
          <w:highlight w:val="none"/>
        </w:rPr>
      </w:pPr>
    </w:p>
    <w:p w14:paraId="0D1094D1">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p>
    <w:p w14:paraId="4B3896B7">
      <w:pPr>
        <w:pageBreakBefore w:val="0"/>
        <w:kinsoku/>
        <w:wordWrap w:val="0"/>
        <w:overflowPunct/>
        <w:bidi w:val="0"/>
        <w:spacing w:after="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附表二：问题的澄清</w:t>
      </w:r>
    </w:p>
    <w:p w14:paraId="688B3BE7">
      <w:pPr>
        <w:pStyle w:val="60"/>
        <w:pageBreakBefore w:val="0"/>
        <w:kinsoku/>
        <w:wordWrap w:val="0"/>
        <w:overflowPunct/>
        <w:bidi w:val="0"/>
        <w:spacing w:after="0"/>
        <w:textAlignment w:val="auto"/>
        <w:rPr>
          <w:rFonts w:hint="eastAsia" w:ascii="宋体" w:hAnsi="宋体" w:eastAsia="宋体" w:cs="宋体"/>
          <w:color w:val="auto"/>
          <w:highlight w:val="none"/>
        </w:rPr>
      </w:pPr>
    </w:p>
    <w:p w14:paraId="6AD27490">
      <w:pPr>
        <w:pageBreakBefore w:val="0"/>
        <w:kinsoku/>
        <w:wordWrap w:val="0"/>
        <w:overflowPunct/>
        <w:bidi w:val="0"/>
        <w:spacing w:after="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问题的澄清</w:t>
      </w:r>
    </w:p>
    <w:p w14:paraId="06B22C48">
      <w:pPr>
        <w:pageBreakBefore w:val="0"/>
        <w:kinsoku/>
        <w:wordWrap w:val="0"/>
        <w:overflowPunct/>
        <w:bidi w:val="0"/>
        <w:spacing w:after="0"/>
        <w:jc w:val="center"/>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lang w:val="en-US" w:eastAsia="zh-CN"/>
        </w:rPr>
        <w:t xml:space="preserve">          </w:t>
      </w:r>
    </w:p>
    <w:p w14:paraId="6EB3BDF2">
      <w:pPr>
        <w:pageBreakBefore w:val="0"/>
        <w:kinsoku/>
        <w:wordWrap w:val="0"/>
        <w:overflowPunct/>
        <w:bidi w:val="0"/>
        <w:spacing w:after="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磋商小组：</w:t>
      </w:r>
    </w:p>
    <w:p w14:paraId="7E995393">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75A8206F">
      <w:pPr>
        <w:pageBreakBefore w:val="0"/>
        <w:kinsoku/>
        <w:wordWrap w:val="0"/>
        <w:overflowPunct/>
        <w:bidi w:val="0"/>
        <w:spacing w:after="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）已收悉，现澄清如下：</w:t>
      </w:r>
    </w:p>
    <w:p w14:paraId="51DAAF0D">
      <w:pPr>
        <w:pageBreakBefore w:val="0"/>
        <w:kinsoku/>
        <w:wordWrap w:val="0"/>
        <w:overflowPunct/>
        <w:bidi w:val="0"/>
        <w:spacing w:after="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24B5DC4B">
      <w:pPr>
        <w:pageBreakBefore w:val="0"/>
        <w:kinsoku/>
        <w:wordWrap w:val="0"/>
        <w:overflowPunct/>
        <w:bidi w:val="0"/>
        <w:spacing w:after="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6F6D95B0">
      <w:pPr>
        <w:pageBreakBefore w:val="0"/>
        <w:kinsoku/>
        <w:wordWrap w:val="0"/>
        <w:overflowPunct/>
        <w:bidi w:val="0"/>
        <w:spacing w:after="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6A4497B">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4560A789">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3CDACA23">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278E28DE">
      <w:pPr>
        <w:pageBreakBefore w:val="0"/>
        <w:kinsoku/>
        <w:wordWrap w:val="0"/>
        <w:overflowPunct/>
        <w:bidi w:val="0"/>
        <w:spacing w:after="0"/>
        <w:ind w:right="960"/>
        <w:jc w:val="center"/>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供应商：</w:t>
      </w:r>
      <w:r>
        <w:rPr>
          <w:rFonts w:hint="eastAsia" w:ascii="宋体" w:hAnsi="宋体" w:eastAsia="宋体" w:cs="宋体"/>
          <w:color w:val="auto"/>
          <w:sz w:val="24"/>
          <w:szCs w:val="24"/>
          <w:highlight w:val="none"/>
          <w:u w:val="single"/>
        </w:rPr>
        <w:t xml:space="preserve">                     （盖单位章）</w:t>
      </w:r>
    </w:p>
    <w:p w14:paraId="1D103B50">
      <w:pPr>
        <w:pageBreakBefore w:val="0"/>
        <w:kinsoku/>
        <w:wordWrap w:val="0"/>
        <w:overflowPunct/>
        <w:bidi w:val="0"/>
        <w:spacing w:after="0"/>
        <w:jc w:val="right"/>
        <w:textAlignment w:val="auto"/>
        <w:rPr>
          <w:rFonts w:hint="eastAsia" w:ascii="宋体" w:hAnsi="宋体" w:eastAsia="宋体" w:cs="宋体"/>
          <w:color w:val="auto"/>
          <w:sz w:val="24"/>
          <w:szCs w:val="24"/>
          <w:highlight w:val="none"/>
        </w:rPr>
      </w:pPr>
    </w:p>
    <w:p w14:paraId="2EA2C1EB">
      <w:pPr>
        <w:pageBreakBefore w:val="0"/>
        <w:kinsoku/>
        <w:wordWrap w:val="0"/>
        <w:overflowPunct/>
        <w:bidi w:val="0"/>
        <w:spacing w:after="0"/>
        <w:ind w:right="960"/>
        <w:jc w:val="center"/>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法定代表人或其委托代理人：</w:t>
      </w:r>
      <w:r>
        <w:rPr>
          <w:rFonts w:hint="eastAsia" w:ascii="宋体" w:hAnsi="宋体" w:eastAsia="宋体" w:cs="宋体"/>
          <w:color w:val="auto"/>
          <w:sz w:val="24"/>
          <w:szCs w:val="24"/>
          <w:highlight w:val="none"/>
          <w:u w:val="single"/>
        </w:rPr>
        <w:t xml:space="preserve">        （签字或盖章）</w:t>
      </w:r>
    </w:p>
    <w:p w14:paraId="203A841D">
      <w:pPr>
        <w:pageBreakBefore w:val="0"/>
        <w:kinsoku/>
        <w:wordWrap w:val="0"/>
        <w:overflowPunct/>
        <w:bidi w:val="0"/>
        <w:spacing w:after="0"/>
        <w:jc w:val="right"/>
        <w:textAlignment w:val="auto"/>
        <w:rPr>
          <w:rFonts w:hint="eastAsia" w:ascii="宋体" w:hAnsi="宋体" w:eastAsia="宋体" w:cs="宋体"/>
          <w:color w:val="auto"/>
          <w:sz w:val="24"/>
          <w:szCs w:val="24"/>
          <w:highlight w:val="none"/>
        </w:rPr>
      </w:pPr>
    </w:p>
    <w:p w14:paraId="07B156A6">
      <w:pPr>
        <w:pageBreakBefore w:val="0"/>
        <w:kinsoku/>
        <w:wordWrap w:val="0"/>
        <w:overflowPunct/>
        <w:bidi w:val="0"/>
        <w:spacing w:after="0"/>
        <w:jc w:val="right"/>
        <w:textAlignment w:val="auto"/>
        <w:rPr>
          <w:rFonts w:hint="eastAsia" w:ascii="宋体" w:hAnsi="宋体" w:eastAsia="宋体" w:cs="宋体"/>
          <w:color w:val="auto"/>
          <w:sz w:val="24"/>
          <w:szCs w:val="24"/>
          <w:highlight w:val="none"/>
        </w:rPr>
        <w:sectPr>
          <w:footerReference r:id="rId14" w:type="first"/>
          <w:footerReference r:id="rId13" w:type="default"/>
          <w:pgSz w:w="11906" w:h="16838"/>
          <w:pgMar w:top="1423" w:right="856" w:bottom="1140" w:left="1434" w:header="850" w:footer="567" w:gutter="0"/>
          <w:pgNumType w:fmt="decimal"/>
          <w:cols w:space="720" w:num="1"/>
          <w:titlePg/>
          <w:docGrid w:linePitch="299" w:charSpace="0"/>
        </w:sect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3A2A283C">
      <w:pPr>
        <w:pStyle w:val="2"/>
        <w:pageBreakBefore w:val="0"/>
        <w:kinsoku/>
        <w:wordWrap w:val="0"/>
        <w:overflowPunct/>
        <w:bidi w:val="0"/>
        <w:spacing w:after="0" w:line="440" w:lineRule="exact"/>
        <w:jc w:val="center"/>
        <w:textAlignment w:val="auto"/>
        <w:rPr>
          <w:rFonts w:hint="eastAsia" w:ascii="宋体" w:hAnsi="宋体" w:eastAsia="宋体" w:cs="宋体"/>
          <w:color w:val="auto"/>
          <w:sz w:val="40"/>
          <w:highlight w:val="none"/>
        </w:rPr>
      </w:pPr>
      <w:bookmarkStart w:id="100" w:name="_Toc530733561"/>
      <w:bookmarkStart w:id="101" w:name="_Toc19518"/>
      <w:bookmarkStart w:id="102" w:name="_Toc468367787"/>
      <w:bookmarkStart w:id="103" w:name="_Toc468962371"/>
      <w:bookmarkStart w:id="104" w:name="_Toc468280346"/>
      <w:bookmarkStart w:id="105" w:name="_Toc472062102"/>
      <w:bookmarkStart w:id="106" w:name="_Toc466120028"/>
      <w:r>
        <w:rPr>
          <w:rFonts w:hint="eastAsia" w:ascii="宋体" w:hAnsi="宋体" w:eastAsia="宋体" w:cs="宋体"/>
          <w:color w:val="auto"/>
          <w:sz w:val="40"/>
          <w:highlight w:val="none"/>
        </w:rPr>
        <w:t>第三章 评审办法（综合评分法）</w:t>
      </w:r>
      <w:bookmarkEnd w:id="100"/>
      <w:bookmarkEnd w:id="101"/>
    </w:p>
    <w:p w14:paraId="3B10B4D2">
      <w:pPr>
        <w:pageBreakBefore w:val="0"/>
        <w:kinsoku/>
        <w:wordWrap w:val="0"/>
        <w:overflowPunct/>
        <w:bidi w:val="0"/>
        <w:spacing w:after="0"/>
        <w:jc w:val="center"/>
        <w:textAlignment w:val="auto"/>
        <w:rPr>
          <w:rFonts w:hint="eastAsia" w:ascii="宋体" w:hAnsi="宋体" w:eastAsia="宋体" w:cs="宋体"/>
          <w:b/>
          <w:color w:val="auto"/>
          <w:sz w:val="20"/>
          <w:szCs w:val="21"/>
          <w:highlight w:val="none"/>
        </w:rPr>
      </w:pPr>
      <w:bookmarkStart w:id="107" w:name="_bookmark66"/>
      <w:bookmarkEnd w:id="107"/>
      <w:bookmarkStart w:id="108" w:name="_Toc517963434"/>
      <w:bookmarkStart w:id="109" w:name="_Toc530733562"/>
      <w:r>
        <w:rPr>
          <w:rFonts w:hint="eastAsia" w:ascii="宋体" w:hAnsi="宋体" w:eastAsia="宋体" w:cs="宋体"/>
          <w:b/>
          <w:bCs/>
          <w:color w:val="auto"/>
          <w:sz w:val="32"/>
          <w:szCs w:val="32"/>
          <w:highlight w:val="none"/>
        </w:rPr>
        <w:t>评审办法前附表</w:t>
      </w:r>
      <w:bookmarkEnd w:id="108"/>
      <w:bookmarkEnd w:id="109"/>
    </w:p>
    <w:tbl>
      <w:tblPr>
        <w:tblStyle w:val="62"/>
        <w:tblW w:w="10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743"/>
        <w:gridCol w:w="4800"/>
        <w:gridCol w:w="4871"/>
      </w:tblGrid>
      <w:tr w14:paraId="5DF4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504" w:type="dxa"/>
            <w:vAlign w:val="center"/>
          </w:tcPr>
          <w:p w14:paraId="2D05DD46">
            <w:pPr>
              <w:pageBreakBefore w:val="0"/>
              <w:kinsoku/>
              <w:wordWrap w:val="0"/>
              <w:overflowPunct/>
              <w:bidi w:val="0"/>
              <w:spacing w:after="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标准</w:t>
            </w:r>
          </w:p>
        </w:tc>
        <w:tc>
          <w:tcPr>
            <w:tcW w:w="743" w:type="dxa"/>
            <w:vAlign w:val="center"/>
          </w:tcPr>
          <w:p w14:paraId="4A31F25C">
            <w:pPr>
              <w:pageBreakBefore w:val="0"/>
              <w:kinsoku/>
              <w:wordWrap w:val="0"/>
              <w:overflowPunct/>
              <w:bidi w:val="0"/>
              <w:spacing w:after="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4800" w:type="dxa"/>
            <w:vAlign w:val="center"/>
          </w:tcPr>
          <w:p w14:paraId="433E49D8">
            <w:pPr>
              <w:pageBreakBefore w:val="0"/>
              <w:kinsoku/>
              <w:wordWrap w:val="0"/>
              <w:overflowPunct/>
              <w:bidi w:val="0"/>
              <w:spacing w:after="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 审 标 准</w:t>
            </w:r>
          </w:p>
        </w:tc>
        <w:tc>
          <w:tcPr>
            <w:tcW w:w="4871" w:type="dxa"/>
            <w:vAlign w:val="center"/>
          </w:tcPr>
          <w:p w14:paraId="4A6DAEB0">
            <w:pPr>
              <w:pageBreakBefore w:val="0"/>
              <w:kinsoku/>
              <w:wordWrap w:val="0"/>
              <w:overflowPunct/>
              <w:bidi w:val="0"/>
              <w:spacing w:after="0" w:line="30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要求说明</w:t>
            </w:r>
          </w:p>
        </w:tc>
      </w:tr>
      <w:tr w14:paraId="6D5C3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exact"/>
          <w:jc w:val="center"/>
        </w:trPr>
        <w:tc>
          <w:tcPr>
            <w:tcW w:w="504" w:type="dxa"/>
            <w:vMerge w:val="restart"/>
            <w:vAlign w:val="center"/>
          </w:tcPr>
          <w:p w14:paraId="23A39C34">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资格审查要求</w:t>
            </w:r>
          </w:p>
        </w:tc>
        <w:tc>
          <w:tcPr>
            <w:tcW w:w="743" w:type="dxa"/>
            <w:vAlign w:val="center"/>
          </w:tcPr>
          <w:p w14:paraId="7424A4C0">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营业执照</w:t>
            </w:r>
          </w:p>
        </w:tc>
        <w:tc>
          <w:tcPr>
            <w:tcW w:w="4800" w:type="dxa"/>
            <w:vAlign w:val="center"/>
          </w:tcPr>
          <w:p w14:paraId="28B22602">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有效的企业法人营业执照或其他组织证明</w:t>
            </w:r>
            <w:r>
              <w:rPr>
                <w:rFonts w:hint="eastAsia" w:ascii="宋体" w:hAnsi="宋体" w:eastAsia="宋体" w:cs="宋体"/>
                <w:color w:val="auto"/>
                <w:sz w:val="18"/>
                <w:szCs w:val="18"/>
                <w:highlight w:val="none"/>
                <w:lang w:val="en-US" w:eastAsia="zh-CN"/>
              </w:rPr>
              <w:t>文</w:t>
            </w:r>
            <w:r>
              <w:rPr>
                <w:rFonts w:hint="eastAsia" w:ascii="宋体" w:hAnsi="宋体" w:eastAsia="宋体" w:cs="宋体"/>
                <w:color w:val="auto"/>
                <w:sz w:val="18"/>
                <w:szCs w:val="18"/>
                <w:highlight w:val="none"/>
              </w:rPr>
              <w:t>件</w:t>
            </w:r>
          </w:p>
        </w:tc>
        <w:tc>
          <w:tcPr>
            <w:tcW w:w="4871" w:type="dxa"/>
            <w:vAlign w:val="center"/>
          </w:tcPr>
          <w:p w14:paraId="41B60646">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证书在有效期内</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供应商名称与营业执照或其他组织证明文件等一致。</w:t>
            </w:r>
          </w:p>
        </w:tc>
      </w:tr>
      <w:tr w14:paraId="06934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exact"/>
          <w:jc w:val="center"/>
        </w:trPr>
        <w:tc>
          <w:tcPr>
            <w:tcW w:w="504" w:type="dxa"/>
            <w:vMerge w:val="continue"/>
            <w:vAlign w:val="center"/>
          </w:tcPr>
          <w:p w14:paraId="262EBADD">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743" w:type="dxa"/>
            <w:vAlign w:val="center"/>
          </w:tcPr>
          <w:p w14:paraId="32AA837A">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财务报告</w:t>
            </w:r>
          </w:p>
        </w:tc>
        <w:tc>
          <w:tcPr>
            <w:tcW w:w="4800" w:type="dxa"/>
            <w:vAlign w:val="center"/>
          </w:tcPr>
          <w:p w14:paraId="2148748D">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具有良好的商业信誉和健全的财务会计制度</w:t>
            </w:r>
          </w:p>
        </w:tc>
        <w:tc>
          <w:tcPr>
            <w:tcW w:w="4871" w:type="dxa"/>
            <w:vAlign w:val="center"/>
          </w:tcPr>
          <w:p w14:paraId="7E317A8B">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提供</w:t>
            </w:r>
            <w:r>
              <w:rPr>
                <w:rFonts w:hint="eastAsia" w:ascii="宋体" w:hAnsi="宋体" w:eastAsia="宋体" w:cs="宋体"/>
                <w:color w:val="auto"/>
                <w:sz w:val="18"/>
                <w:szCs w:val="18"/>
                <w:highlight w:val="none"/>
                <w:lang w:val="en-US" w:eastAsia="zh-CN"/>
              </w:rPr>
              <w:t>2022</w:t>
            </w:r>
            <w:r>
              <w:rPr>
                <w:rFonts w:hint="eastAsia" w:ascii="宋体" w:hAnsi="宋体" w:eastAsia="宋体" w:cs="宋体"/>
                <w:color w:val="auto"/>
                <w:sz w:val="18"/>
                <w:szCs w:val="18"/>
                <w:highlight w:val="none"/>
              </w:rPr>
              <w:t>至</w:t>
            </w:r>
            <w:r>
              <w:rPr>
                <w:rFonts w:hint="eastAsia" w:ascii="宋体" w:hAnsi="宋体" w:eastAsia="宋体" w:cs="宋体"/>
                <w:color w:val="auto"/>
                <w:sz w:val="18"/>
                <w:szCs w:val="18"/>
                <w:highlight w:val="none"/>
                <w:lang w:val="en-US" w:eastAsia="zh-CN"/>
              </w:rPr>
              <w:t>2024</w:t>
            </w:r>
            <w:r>
              <w:rPr>
                <w:rFonts w:hint="eastAsia" w:ascii="宋体" w:hAnsi="宋体" w:eastAsia="宋体" w:cs="宋体"/>
                <w:color w:val="auto"/>
                <w:sz w:val="18"/>
                <w:szCs w:val="18"/>
                <w:highlight w:val="none"/>
              </w:rPr>
              <w:t>年度任意一个年度经社会审计机构出具的审计报告及会计报表（含资产负债表、现金流量表、利润表）；未经审计的，可提供</w:t>
            </w:r>
            <w:r>
              <w:rPr>
                <w:rFonts w:hint="eastAsia" w:ascii="宋体" w:hAnsi="宋体" w:eastAsia="宋体" w:cs="宋体"/>
                <w:color w:val="auto"/>
                <w:sz w:val="18"/>
                <w:szCs w:val="18"/>
                <w:highlight w:val="none"/>
                <w:lang w:val="en-US" w:eastAsia="zh-CN"/>
              </w:rPr>
              <w:t>2022</w:t>
            </w:r>
            <w:r>
              <w:rPr>
                <w:rFonts w:hint="eastAsia" w:ascii="宋体" w:hAnsi="宋体" w:eastAsia="宋体" w:cs="宋体"/>
                <w:color w:val="auto"/>
                <w:sz w:val="18"/>
                <w:szCs w:val="18"/>
                <w:highlight w:val="none"/>
              </w:rPr>
              <w:t>至</w:t>
            </w:r>
            <w:r>
              <w:rPr>
                <w:rFonts w:hint="eastAsia" w:ascii="宋体" w:hAnsi="宋体" w:eastAsia="宋体" w:cs="宋体"/>
                <w:color w:val="auto"/>
                <w:sz w:val="18"/>
                <w:szCs w:val="18"/>
                <w:highlight w:val="none"/>
                <w:lang w:val="en-US" w:eastAsia="zh-CN"/>
              </w:rPr>
              <w:t>2024</w:t>
            </w:r>
            <w:r>
              <w:rPr>
                <w:rFonts w:hint="eastAsia" w:ascii="宋体" w:hAnsi="宋体" w:eastAsia="宋体" w:cs="宋体"/>
                <w:color w:val="auto"/>
                <w:sz w:val="18"/>
                <w:szCs w:val="18"/>
                <w:highlight w:val="none"/>
              </w:rPr>
              <w:t>年度任意一个年度公司内部自行编制的财务报表或银行开具的资信证明文件（新注册不满一年的企业可提供成立至今的会计报表或银行开具的资信证明文件或书面说明，此项要求可不列入废标条款）；</w:t>
            </w:r>
          </w:p>
        </w:tc>
      </w:tr>
      <w:tr w14:paraId="1B8B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exact"/>
          <w:jc w:val="center"/>
        </w:trPr>
        <w:tc>
          <w:tcPr>
            <w:tcW w:w="504" w:type="dxa"/>
            <w:vMerge w:val="continue"/>
            <w:vAlign w:val="center"/>
          </w:tcPr>
          <w:p w14:paraId="5C83A011">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743" w:type="dxa"/>
            <w:vAlign w:val="center"/>
          </w:tcPr>
          <w:p w14:paraId="5540667B">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基本资质</w:t>
            </w:r>
          </w:p>
        </w:tc>
        <w:tc>
          <w:tcPr>
            <w:tcW w:w="4800" w:type="dxa"/>
            <w:vAlign w:val="center"/>
          </w:tcPr>
          <w:p w14:paraId="58C5539A">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有依法缴纳税收和社会保障资金的良好记录</w:t>
            </w:r>
          </w:p>
        </w:tc>
        <w:tc>
          <w:tcPr>
            <w:tcW w:w="4871" w:type="dxa"/>
            <w:vAlign w:val="center"/>
          </w:tcPr>
          <w:p w14:paraId="4AA3F3AD">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提供202</w:t>
            </w:r>
            <w:r>
              <w:rPr>
                <w:rFonts w:hint="eastAsia" w:ascii="宋体" w:hAnsi="宋体" w:eastAsia="宋体" w:cs="宋体"/>
                <w:color w:val="auto"/>
                <w:sz w:val="18"/>
                <w:szCs w:val="18"/>
                <w:highlight w:val="none"/>
                <w:lang w:val="en-US" w:eastAsia="zh-CN"/>
              </w:rPr>
              <w:t>4</w:t>
            </w:r>
            <w:r>
              <w:rPr>
                <w:rFonts w:hint="eastAsia" w:ascii="宋体" w:hAnsi="宋体" w:eastAsia="宋体" w:cs="宋体"/>
                <w:color w:val="auto"/>
                <w:sz w:val="18"/>
                <w:szCs w:val="18"/>
                <w:highlight w:val="none"/>
              </w:rPr>
              <w:t>年01月至今任意3个月的依法缴纳税收和社会保障资金的证明材料（依法免税和不需要缴纳社会保障资金的磋商申请人，应提供相应证明材料；成立不足3个月的，须提供书面说明）</w:t>
            </w:r>
            <w:r>
              <w:rPr>
                <w:rFonts w:hint="eastAsia" w:ascii="宋体" w:hAnsi="宋体" w:eastAsia="宋体" w:cs="宋体"/>
                <w:color w:val="auto"/>
                <w:sz w:val="18"/>
                <w:szCs w:val="18"/>
                <w:highlight w:val="none"/>
                <w:lang w:eastAsia="zh-CN"/>
              </w:rPr>
              <w:t>；</w:t>
            </w:r>
          </w:p>
        </w:tc>
      </w:tr>
      <w:tr w14:paraId="7B35B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exact"/>
          <w:jc w:val="center"/>
        </w:trPr>
        <w:tc>
          <w:tcPr>
            <w:tcW w:w="504" w:type="dxa"/>
            <w:vMerge w:val="continue"/>
            <w:vAlign w:val="center"/>
          </w:tcPr>
          <w:p w14:paraId="4414DEE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743" w:type="dxa"/>
            <w:vAlign w:val="center"/>
          </w:tcPr>
          <w:p w14:paraId="21AD4A7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基本资质</w:t>
            </w:r>
          </w:p>
        </w:tc>
        <w:tc>
          <w:tcPr>
            <w:tcW w:w="4800" w:type="dxa"/>
            <w:vAlign w:val="center"/>
          </w:tcPr>
          <w:p w14:paraId="358D8410">
            <w:pPr>
              <w:pageBreakBefore w:val="0"/>
              <w:numPr>
                <w:ilvl w:val="0"/>
                <w:numId w:val="0"/>
              </w:numPr>
              <w:kinsoku/>
              <w:wordWrap w:val="0"/>
              <w:overflowPunct/>
              <w:bidi w:val="0"/>
              <w:spacing w:after="0" w:line="300" w:lineRule="exact"/>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具有独立承担民事责任的能力</w:t>
            </w:r>
            <w:r>
              <w:rPr>
                <w:rFonts w:hint="eastAsia" w:ascii="宋体" w:hAnsi="宋体" w:eastAsia="宋体" w:cs="宋体"/>
                <w:color w:val="auto"/>
                <w:sz w:val="18"/>
                <w:szCs w:val="18"/>
                <w:highlight w:val="none"/>
                <w:lang w:eastAsia="zh-CN"/>
              </w:rPr>
              <w:t>；</w:t>
            </w:r>
          </w:p>
          <w:p w14:paraId="084F074E">
            <w:pPr>
              <w:pageBreakBefore w:val="0"/>
              <w:numPr>
                <w:ilvl w:val="0"/>
                <w:numId w:val="0"/>
              </w:numPr>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2.具有履行合同所必需的设备和专业技术能力；</w:t>
            </w:r>
          </w:p>
          <w:p w14:paraId="6B56FA14">
            <w:pPr>
              <w:pageBreakBefore w:val="0"/>
              <w:numPr>
                <w:ilvl w:val="0"/>
                <w:numId w:val="0"/>
              </w:numPr>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3.参加政府采购活动前三年内，在经营活动中没有重大违法记录；</w:t>
            </w:r>
          </w:p>
        </w:tc>
        <w:tc>
          <w:tcPr>
            <w:tcW w:w="4871" w:type="dxa"/>
            <w:vAlign w:val="center"/>
          </w:tcPr>
          <w:p w14:paraId="28D14D69">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符合第二章“供应商须知前附表”第1.4.1项规定。</w:t>
            </w:r>
          </w:p>
        </w:tc>
      </w:tr>
      <w:tr w14:paraId="4D90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exact"/>
          <w:jc w:val="center"/>
        </w:trPr>
        <w:tc>
          <w:tcPr>
            <w:tcW w:w="504" w:type="dxa"/>
            <w:vMerge w:val="continue"/>
            <w:vAlign w:val="center"/>
          </w:tcPr>
          <w:p w14:paraId="7DF3E08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743" w:type="dxa"/>
            <w:vMerge w:val="restart"/>
            <w:vAlign w:val="center"/>
          </w:tcPr>
          <w:p w14:paraId="6EA264F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特定资质</w:t>
            </w:r>
          </w:p>
        </w:tc>
        <w:tc>
          <w:tcPr>
            <w:tcW w:w="4800" w:type="dxa"/>
            <w:vAlign w:val="center"/>
          </w:tcPr>
          <w:p w14:paraId="24F27C6A">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供应商须具备有效的建设行政主管部门颁发的建筑工程施工总承包叁级及以上资质并具有安全生产许可证（注：政府及国有投资项目严格按照承包范围对应的资质等级要求）。</w:t>
            </w:r>
          </w:p>
        </w:tc>
        <w:tc>
          <w:tcPr>
            <w:tcW w:w="4871" w:type="dxa"/>
            <w:vAlign w:val="center"/>
          </w:tcPr>
          <w:p w14:paraId="117D3C15">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提供有效的建设行政主管部门颁发的建筑工程施工总承包叁级及以上资质及有效安全生产许可证。</w:t>
            </w:r>
          </w:p>
        </w:tc>
      </w:tr>
      <w:tr w14:paraId="5959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exact"/>
          <w:jc w:val="center"/>
        </w:trPr>
        <w:tc>
          <w:tcPr>
            <w:tcW w:w="504" w:type="dxa"/>
            <w:vMerge w:val="continue"/>
            <w:vAlign w:val="center"/>
          </w:tcPr>
          <w:p w14:paraId="3F0D44B6">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743" w:type="dxa"/>
            <w:vMerge w:val="continue"/>
            <w:vAlign w:val="center"/>
          </w:tcPr>
          <w:p w14:paraId="2A5043B5">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4800" w:type="dxa"/>
            <w:vAlign w:val="center"/>
          </w:tcPr>
          <w:p w14:paraId="448C0AB7">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拟派往本项目的项目负责人须具备有效的二级及以上注册建造师证书（建筑工程专业）及安全考核合格B证，且注册在申请人单位。</w:t>
            </w:r>
          </w:p>
        </w:tc>
        <w:tc>
          <w:tcPr>
            <w:tcW w:w="4871" w:type="dxa"/>
            <w:vAlign w:val="center"/>
          </w:tcPr>
          <w:p w14:paraId="5356659D">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提供项目负责人有效的二级及以上注册建造师证书（建筑工程专业）及安全考核合格B证。</w:t>
            </w:r>
          </w:p>
        </w:tc>
      </w:tr>
      <w:tr w14:paraId="5926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jc w:val="center"/>
        </w:trPr>
        <w:tc>
          <w:tcPr>
            <w:tcW w:w="504" w:type="dxa"/>
            <w:vMerge w:val="continue"/>
            <w:vAlign w:val="center"/>
          </w:tcPr>
          <w:p w14:paraId="2220179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743" w:type="dxa"/>
            <w:vMerge w:val="restart"/>
            <w:vAlign w:val="center"/>
          </w:tcPr>
          <w:p w14:paraId="21646B03">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采购政策</w:t>
            </w:r>
          </w:p>
        </w:tc>
        <w:tc>
          <w:tcPr>
            <w:tcW w:w="4800" w:type="dxa"/>
            <w:vAlign w:val="center"/>
          </w:tcPr>
          <w:p w14:paraId="294AAF6D">
            <w:pPr>
              <w:keepNext w:val="0"/>
              <w:keepLines w:val="0"/>
              <w:pageBreakBefore w:val="0"/>
              <w:widowControl/>
              <w:kinsoku/>
              <w:wordWrap w:val="0"/>
              <w:overflowPunct/>
              <w:topLinePunct w:val="0"/>
              <w:autoSpaceDE/>
              <w:autoSpaceDN/>
              <w:bidi w:val="0"/>
              <w:adjustRightInd w:val="0"/>
              <w:snapToGrid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1.供应商为中小企业</w:t>
            </w:r>
          </w:p>
        </w:tc>
        <w:tc>
          <w:tcPr>
            <w:tcW w:w="4871" w:type="dxa"/>
            <w:vAlign w:val="center"/>
          </w:tcPr>
          <w:p w14:paraId="6C87753A">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按采购文件格式提供声明。</w:t>
            </w:r>
          </w:p>
        </w:tc>
      </w:tr>
      <w:tr w14:paraId="5E6B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exact"/>
          <w:jc w:val="center"/>
        </w:trPr>
        <w:tc>
          <w:tcPr>
            <w:tcW w:w="504" w:type="dxa"/>
            <w:vMerge w:val="continue"/>
            <w:vAlign w:val="center"/>
          </w:tcPr>
          <w:p w14:paraId="266B64D5">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743" w:type="dxa"/>
            <w:vMerge w:val="continue"/>
            <w:vAlign w:val="center"/>
          </w:tcPr>
          <w:p w14:paraId="5E5EF48D">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4800" w:type="dxa"/>
            <w:vAlign w:val="center"/>
          </w:tcPr>
          <w:p w14:paraId="3D550247">
            <w:pPr>
              <w:keepNext w:val="0"/>
              <w:keepLines w:val="0"/>
              <w:pageBreakBefore w:val="0"/>
              <w:widowControl/>
              <w:kinsoku/>
              <w:wordWrap w:val="0"/>
              <w:overflowPunct/>
              <w:topLinePunct w:val="0"/>
              <w:autoSpaceDE/>
              <w:autoSpaceDN/>
              <w:bidi w:val="0"/>
              <w:adjustRightInd w:val="0"/>
              <w:snapToGrid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2.供应商应为残疾人福利企业</w:t>
            </w:r>
          </w:p>
        </w:tc>
        <w:tc>
          <w:tcPr>
            <w:tcW w:w="4871" w:type="dxa"/>
            <w:vAlign w:val="center"/>
          </w:tcPr>
          <w:p w14:paraId="08A46C81">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按采购文件格式提供声明。</w:t>
            </w:r>
          </w:p>
        </w:tc>
      </w:tr>
      <w:tr w14:paraId="71799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exact"/>
          <w:jc w:val="center"/>
        </w:trPr>
        <w:tc>
          <w:tcPr>
            <w:tcW w:w="504" w:type="dxa"/>
            <w:vMerge w:val="continue"/>
            <w:vAlign w:val="center"/>
          </w:tcPr>
          <w:p w14:paraId="42E5DCD9">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743" w:type="dxa"/>
            <w:vMerge w:val="continue"/>
            <w:vAlign w:val="center"/>
          </w:tcPr>
          <w:p w14:paraId="7F14FF31">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4800" w:type="dxa"/>
            <w:vAlign w:val="center"/>
          </w:tcPr>
          <w:p w14:paraId="0B54B04D">
            <w:pPr>
              <w:keepNext w:val="0"/>
              <w:keepLines w:val="0"/>
              <w:pageBreakBefore w:val="0"/>
              <w:widowControl/>
              <w:kinsoku/>
              <w:wordWrap w:val="0"/>
              <w:overflowPunct/>
              <w:topLinePunct w:val="0"/>
              <w:autoSpaceDE/>
              <w:autoSpaceDN/>
              <w:bidi w:val="0"/>
              <w:adjustRightInd w:val="0"/>
              <w:snapToGrid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3.供应商应为监狱企业</w:t>
            </w:r>
          </w:p>
        </w:tc>
        <w:tc>
          <w:tcPr>
            <w:tcW w:w="4871" w:type="dxa"/>
            <w:vAlign w:val="center"/>
          </w:tcPr>
          <w:p w14:paraId="44FF62A9">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按采购文件格式提供声明。</w:t>
            </w:r>
          </w:p>
        </w:tc>
      </w:tr>
      <w:tr w14:paraId="0D06A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exact"/>
          <w:jc w:val="center"/>
        </w:trPr>
        <w:tc>
          <w:tcPr>
            <w:tcW w:w="504" w:type="dxa"/>
            <w:vMerge w:val="continue"/>
            <w:vAlign w:val="center"/>
          </w:tcPr>
          <w:p w14:paraId="424DA8F8">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743" w:type="dxa"/>
            <w:vMerge w:val="continue"/>
            <w:vAlign w:val="center"/>
          </w:tcPr>
          <w:p w14:paraId="0A0C929D">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4800" w:type="dxa"/>
            <w:vAlign w:val="center"/>
          </w:tcPr>
          <w:p w14:paraId="0626C752">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w:t>
            </w:r>
            <w:r>
              <w:rPr>
                <w:rFonts w:hint="eastAsia" w:ascii="宋体" w:hAnsi="宋体" w:eastAsia="宋体" w:cs="宋体"/>
                <w:color w:val="auto"/>
                <w:sz w:val="18"/>
                <w:szCs w:val="18"/>
                <w:highlight w:val="none"/>
              </w:rPr>
              <w:t>对列入失信被执行人、重大税收违法失信主体、政府采购严重违法失信行为记录（被禁止在一定期限内参加政府采购活动但期限届满的除外）名单及其他不符合《中华人民共和国政府采购法》第二十二条规定条件的供应商，拒绝参与本次政府采购活动。</w:t>
            </w:r>
          </w:p>
        </w:tc>
        <w:tc>
          <w:tcPr>
            <w:tcW w:w="4871" w:type="dxa"/>
            <w:vAlign w:val="center"/>
          </w:tcPr>
          <w:p w14:paraId="091DB3C3">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查询结果以采购人或采购代理机构在响应文件递交的截止时间后当天，通过“信用中国”网站信用信息查询栏中查询下载的信用报告或“信用服务”查询栏中查询的信息记录及“中国政府采购网”政府采购严重违法失信行为记录名单内无不良信息记录结果为准。</w:t>
            </w:r>
          </w:p>
        </w:tc>
      </w:tr>
      <w:tr w14:paraId="32978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0" w:hRule="exact"/>
          <w:jc w:val="center"/>
        </w:trPr>
        <w:tc>
          <w:tcPr>
            <w:tcW w:w="504" w:type="dxa"/>
            <w:vMerge w:val="continue"/>
            <w:vAlign w:val="center"/>
          </w:tcPr>
          <w:p w14:paraId="53CBDCF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743" w:type="dxa"/>
            <w:vMerge w:val="continue"/>
            <w:vAlign w:val="center"/>
          </w:tcPr>
          <w:p w14:paraId="22B2EE6A">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4800" w:type="dxa"/>
            <w:vAlign w:val="center"/>
          </w:tcPr>
          <w:p w14:paraId="3A2F82CE">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5.单位负责人为同一人或者存在直接控股、管理关系的不同供应商，不得参加同一合同项下的政府采购活动。</w:t>
            </w:r>
          </w:p>
        </w:tc>
        <w:tc>
          <w:tcPr>
            <w:tcW w:w="4871" w:type="dxa"/>
            <w:vAlign w:val="center"/>
          </w:tcPr>
          <w:p w14:paraId="494A3313">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供应商提供营业执照等相关证明；        </w:t>
            </w:r>
          </w:p>
          <w:p w14:paraId="4D74463D">
            <w:pPr>
              <w:pageBreakBefore w:val="0"/>
              <w:kinsoku/>
              <w:wordWrap w:val="0"/>
              <w:overflowPunct/>
              <w:bidi w:val="0"/>
              <w:spacing w:after="0" w:line="300" w:lineRule="exac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注：如果出现供应商之间疑似有控股关系的情况，由评标委员会审查、认定和处理。评标委员会可以要求相关供应商提供控股关系证明材料（也可授权代理机构查询相关材料），并对其提供的材料进行审核。评标委员会不得以供应商未提供相关声明为认定依据。评审委员会如需要供应商对投标或响应文件有关事项作出澄清的，应当给予供应商必要的反馈时间，但澄清事项不得超出投标或响应文件的范围，不得实质性改变投标或响应文件的内容，不得通过澄清等方式对供应商实行差别对待。</w:t>
            </w:r>
          </w:p>
        </w:tc>
      </w:tr>
    </w:tbl>
    <w:tbl>
      <w:tblPr>
        <w:tblStyle w:val="62"/>
        <w:tblpPr w:leftFromText="180" w:rightFromText="180" w:vertAnchor="text" w:horzAnchor="page" w:tblpX="705" w:tblpY="389"/>
        <w:tblOverlap w:val="never"/>
        <w:tblW w:w="10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1163"/>
        <w:gridCol w:w="2576"/>
        <w:gridCol w:w="6217"/>
      </w:tblGrid>
      <w:tr w14:paraId="04913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682" w:type="dxa"/>
            <w:vAlign w:val="center"/>
          </w:tcPr>
          <w:p w14:paraId="6BB2F5BB">
            <w:pPr>
              <w:pageBreakBefore w:val="0"/>
              <w:kinsoku/>
              <w:wordWrap w:val="0"/>
              <w:overflowPunct/>
              <w:bidi w:val="0"/>
              <w:spacing w:after="0" w:line="300" w:lineRule="exact"/>
              <w:jc w:val="center"/>
              <w:textAlignment w:val="auto"/>
              <w:rPr>
                <w:rFonts w:hint="eastAsia" w:ascii="宋体" w:hAnsi="宋体" w:eastAsia="宋体" w:cs="宋体"/>
                <w:b/>
                <w:bCs/>
                <w:color w:val="auto"/>
                <w:sz w:val="21"/>
                <w:szCs w:val="21"/>
                <w:highlight w:val="none"/>
              </w:rPr>
            </w:pPr>
            <w:bookmarkStart w:id="110" w:name="_Toc530733563"/>
            <w:r>
              <w:rPr>
                <w:rFonts w:hint="eastAsia" w:ascii="宋体" w:hAnsi="宋体" w:eastAsia="宋体" w:cs="宋体"/>
                <w:b/>
                <w:bCs/>
                <w:color w:val="auto"/>
                <w:sz w:val="21"/>
                <w:szCs w:val="21"/>
                <w:highlight w:val="none"/>
              </w:rPr>
              <w:t>标准</w:t>
            </w:r>
          </w:p>
        </w:tc>
        <w:tc>
          <w:tcPr>
            <w:tcW w:w="1163" w:type="dxa"/>
            <w:vAlign w:val="center"/>
          </w:tcPr>
          <w:p w14:paraId="1BE0A0D8">
            <w:pPr>
              <w:pageBreakBefore w:val="0"/>
              <w:kinsoku/>
              <w:wordWrap w:val="0"/>
              <w:overflowPunct/>
              <w:bidi w:val="0"/>
              <w:spacing w:after="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2576" w:type="dxa"/>
            <w:vAlign w:val="center"/>
          </w:tcPr>
          <w:p w14:paraId="0A2A945B">
            <w:pPr>
              <w:pageBreakBefore w:val="0"/>
              <w:kinsoku/>
              <w:wordWrap w:val="0"/>
              <w:overflowPunct/>
              <w:bidi w:val="0"/>
              <w:spacing w:after="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 审 标 准</w:t>
            </w:r>
          </w:p>
        </w:tc>
        <w:tc>
          <w:tcPr>
            <w:tcW w:w="6217" w:type="dxa"/>
            <w:vAlign w:val="center"/>
          </w:tcPr>
          <w:p w14:paraId="34A7CC80">
            <w:pPr>
              <w:pageBreakBefore w:val="0"/>
              <w:kinsoku/>
              <w:wordWrap w:val="0"/>
              <w:overflowPunct/>
              <w:bidi w:val="0"/>
              <w:spacing w:after="0" w:line="30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要求说明</w:t>
            </w:r>
          </w:p>
        </w:tc>
      </w:tr>
      <w:tr w14:paraId="1C14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exact"/>
        </w:trPr>
        <w:tc>
          <w:tcPr>
            <w:tcW w:w="682" w:type="dxa"/>
            <w:vMerge w:val="restart"/>
            <w:vAlign w:val="center"/>
          </w:tcPr>
          <w:p w14:paraId="61DF61C0">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报价要求</w:t>
            </w:r>
          </w:p>
        </w:tc>
        <w:tc>
          <w:tcPr>
            <w:tcW w:w="1163" w:type="dxa"/>
            <w:vMerge w:val="restart"/>
            <w:vAlign w:val="center"/>
          </w:tcPr>
          <w:p w14:paraId="5FA0904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报价</w:t>
            </w:r>
          </w:p>
        </w:tc>
        <w:tc>
          <w:tcPr>
            <w:tcW w:w="2576" w:type="dxa"/>
            <w:vAlign w:val="center"/>
          </w:tcPr>
          <w:p w14:paraId="580350DB">
            <w:pPr>
              <w:pageBreakBefore w:val="0"/>
              <w:numPr>
                <w:ilvl w:val="0"/>
                <w:numId w:val="0"/>
              </w:numPr>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highlight w:val="none"/>
              </w:rPr>
              <w:t>报价合理</w:t>
            </w:r>
          </w:p>
        </w:tc>
        <w:tc>
          <w:tcPr>
            <w:tcW w:w="6217" w:type="dxa"/>
            <w:vAlign w:val="center"/>
          </w:tcPr>
          <w:p w14:paraId="0B857653">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的报价明显低于其他磋商报价，使得其磋商报价可能低于其个别成本的，应当要求该供应商作出书面说明并提供相关证明材料。供应商不能合理说明或者不能提供相关证明材料，并由评标委员会认定该供应商以低于成本报价竞标的作否决投标处理。</w:t>
            </w:r>
          </w:p>
        </w:tc>
      </w:tr>
      <w:tr w14:paraId="59A9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exact"/>
        </w:trPr>
        <w:tc>
          <w:tcPr>
            <w:tcW w:w="682" w:type="dxa"/>
            <w:vMerge w:val="continue"/>
            <w:vAlign w:val="center"/>
          </w:tcPr>
          <w:p w14:paraId="73C84FB4">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1163" w:type="dxa"/>
            <w:vMerge w:val="continue"/>
            <w:vAlign w:val="center"/>
          </w:tcPr>
          <w:p w14:paraId="557CAE00">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13A7CADE">
            <w:pPr>
              <w:pageBreakBefore w:val="0"/>
              <w:numPr>
                <w:ilvl w:val="0"/>
                <w:numId w:val="0"/>
              </w:numPr>
              <w:kinsoku/>
              <w:wordWrap w:val="0"/>
              <w:overflowPunct/>
              <w:bidi w:val="0"/>
              <w:spacing w:after="0" w:line="300" w:lineRule="exact"/>
              <w:ind w:left="0" w:leftChars="0" w:firstLine="0" w:firstLineChars="0"/>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串通磋商行为处理办法</w:t>
            </w:r>
          </w:p>
        </w:tc>
        <w:tc>
          <w:tcPr>
            <w:tcW w:w="6217" w:type="dxa"/>
            <w:vAlign w:val="center"/>
          </w:tcPr>
          <w:p w14:paraId="0744620D">
            <w:pPr>
              <w:pStyle w:val="428"/>
              <w:pageBreakBefore w:val="0"/>
              <w:numPr>
                <w:ilvl w:val="0"/>
                <w:numId w:val="0"/>
              </w:numPr>
              <w:tabs>
                <w:tab w:val="left" w:pos="993"/>
              </w:tabs>
              <w:kinsoku/>
              <w:wordWrap w:val="0"/>
              <w:overflowPunct/>
              <w:bidi w:val="0"/>
              <w:spacing w:after="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开标评审流程不同供应商通过同一台设备解密磋商文件、进行磋商最终报价等操作，将视为 “不同供应商委托同一单位或者个人办理磋商事宜”的情形，疑似串通磋商。磋商评审小组在评审流程报价符合性审查阶段，通过“在线询标”功能，向疑似串通磋商的供应商发送磋商问题函，要求供应商对其与其他供应商通过同一台设备解密磋商文件、进行磋商最终报价等操作异常情况进行澄清，超时未澄清的供应商视为放弃澄清，评审小组将根据供应商回复澄清情况，确定供应商是否通过报价符合性审查。</w:t>
            </w:r>
          </w:p>
          <w:p w14:paraId="2A95CB2D">
            <w:pPr>
              <w:pStyle w:val="16"/>
              <w:pageBreakBefore w:val="0"/>
              <w:kinsoku/>
              <w:wordWrap w:val="0"/>
              <w:overflowPunct/>
              <w:bidi w:val="0"/>
              <w:spacing w:after="0"/>
              <w:ind w:left="0" w:leftChars="0" w:firstLine="0" w:firstLineChars="0"/>
              <w:textAlignment w:val="auto"/>
              <w:rPr>
                <w:rFonts w:hint="eastAsia" w:ascii="宋体" w:hAnsi="宋体" w:eastAsia="宋体" w:cs="宋体"/>
                <w:color w:val="auto"/>
                <w:sz w:val="21"/>
                <w:szCs w:val="21"/>
                <w:highlight w:val="none"/>
                <w:lang w:val="en-US" w:eastAsia="zh-CN"/>
              </w:rPr>
            </w:pPr>
          </w:p>
        </w:tc>
      </w:tr>
      <w:tr w14:paraId="44EA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682" w:type="dxa"/>
            <w:vMerge w:val="continue"/>
            <w:vAlign w:val="center"/>
          </w:tcPr>
          <w:p w14:paraId="0C506494">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1163" w:type="dxa"/>
            <w:vMerge w:val="continue"/>
            <w:vAlign w:val="center"/>
          </w:tcPr>
          <w:p w14:paraId="3F8B055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18305334">
            <w:pPr>
              <w:pageBreakBefore w:val="0"/>
              <w:numPr>
                <w:ilvl w:val="0"/>
                <w:numId w:val="0"/>
              </w:numPr>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最高限价</w:t>
            </w:r>
          </w:p>
        </w:tc>
        <w:tc>
          <w:tcPr>
            <w:tcW w:w="6217" w:type="dxa"/>
            <w:vAlign w:val="center"/>
          </w:tcPr>
          <w:p w14:paraId="1B20A077">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供应商报价不得高于最高限价。</w:t>
            </w:r>
          </w:p>
        </w:tc>
      </w:tr>
      <w:tr w14:paraId="623E8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exact"/>
        </w:trPr>
        <w:tc>
          <w:tcPr>
            <w:tcW w:w="682" w:type="dxa"/>
            <w:vMerge w:val="restart"/>
            <w:vAlign w:val="center"/>
          </w:tcPr>
          <w:p w14:paraId="0F181CE5">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商务要求</w:t>
            </w:r>
          </w:p>
        </w:tc>
        <w:tc>
          <w:tcPr>
            <w:tcW w:w="1163" w:type="dxa"/>
            <w:vMerge w:val="restart"/>
            <w:vAlign w:val="center"/>
          </w:tcPr>
          <w:p w14:paraId="642CD2BD">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商务</w:t>
            </w:r>
          </w:p>
        </w:tc>
        <w:tc>
          <w:tcPr>
            <w:tcW w:w="2576" w:type="dxa"/>
            <w:vAlign w:val="center"/>
          </w:tcPr>
          <w:p w14:paraId="7A308835">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磋商响应文件的递交</w:t>
            </w:r>
          </w:p>
        </w:tc>
        <w:tc>
          <w:tcPr>
            <w:tcW w:w="6217" w:type="dxa"/>
            <w:vAlign w:val="center"/>
          </w:tcPr>
          <w:p w14:paraId="594D315E">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符合第二章“供应商须知前附表”第4.2.1项规定</w:t>
            </w:r>
            <w:r>
              <w:rPr>
                <w:rFonts w:hint="eastAsia" w:ascii="宋体" w:hAnsi="宋体" w:eastAsia="宋体" w:cs="宋体"/>
                <w:color w:val="auto"/>
                <w:sz w:val="21"/>
                <w:szCs w:val="21"/>
                <w:highlight w:val="none"/>
                <w:lang w:eastAsia="zh-CN"/>
              </w:rPr>
              <w:t>。</w:t>
            </w:r>
          </w:p>
        </w:tc>
      </w:tr>
      <w:tr w14:paraId="62DF1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trPr>
        <w:tc>
          <w:tcPr>
            <w:tcW w:w="682" w:type="dxa"/>
            <w:vMerge w:val="continue"/>
            <w:vAlign w:val="center"/>
          </w:tcPr>
          <w:p w14:paraId="04792F6D">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3DD2374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14139FB8">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磋商会议</w:t>
            </w:r>
          </w:p>
        </w:tc>
        <w:tc>
          <w:tcPr>
            <w:tcW w:w="6217" w:type="dxa"/>
            <w:vAlign w:val="center"/>
          </w:tcPr>
          <w:p w14:paraId="09E46F4B">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供应商法定代表人或其授权委托代理人按时参加磋商会议</w:t>
            </w:r>
            <w:r>
              <w:rPr>
                <w:rFonts w:hint="eastAsia" w:ascii="宋体" w:hAnsi="宋体" w:eastAsia="宋体" w:cs="宋体"/>
                <w:color w:val="auto"/>
                <w:sz w:val="21"/>
                <w:szCs w:val="21"/>
                <w:highlight w:val="none"/>
                <w:lang w:eastAsia="zh-CN"/>
              </w:rPr>
              <w:t>。</w:t>
            </w:r>
          </w:p>
        </w:tc>
      </w:tr>
      <w:tr w14:paraId="3BC10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exact"/>
        </w:trPr>
        <w:tc>
          <w:tcPr>
            <w:tcW w:w="682" w:type="dxa"/>
            <w:vMerge w:val="continue"/>
            <w:vAlign w:val="center"/>
          </w:tcPr>
          <w:p w14:paraId="6C7DAFFC">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75E8CC29">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37636899">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磋商响应文件格式</w:t>
            </w:r>
          </w:p>
        </w:tc>
        <w:tc>
          <w:tcPr>
            <w:tcW w:w="6217" w:type="dxa"/>
            <w:vAlign w:val="center"/>
          </w:tcPr>
          <w:p w14:paraId="1BC93CC5">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符合第二章“供应商须知”第3.</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项规定</w:t>
            </w:r>
          </w:p>
        </w:tc>
      </w:tr>
      <w:tr w14:paraId="7084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exact"/>
        </w:trPr>
        <w:tc>
          <w:tcPr>
            <w:tcW w:w="682" w:type="dxa"/>
            <w:vMerge w:val="continue"/>
            <w:vAlign w:val="center"/>
          </w:tcPr>
          <w:p w14:paraId="2B6A5C11">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6F9EEDF5">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7BD3FAFD">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w:t>
            </w:r>
          </w:p>
        </w:tc>
        <w:tc>
          <w:tcPr>
            <w:tcW w:w="6217" w:type="dxa"/>
            <w:vAlign w:val="center"/>
          </w:tcPr>
          <w:p w14:paraId="5F0A651C">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符合第二章“供应商须知前附表”第3.7.3项规定</w:t>
            </w:r>
          </w:p>
        </w:tc>
      </w:tr>
      <w:tr w14:paraId="49AB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exact"/>
        </w:trPr>
        <w:tc>
          <w:tcPr>
            <w:tcW w:w="682" w:type="dxa"/>
            <w:vMerge w:val="continue"/>
            <w:vAlign w:val="center"/>
          </w:tcPr>
          <w:p w14:paraId="18E2265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5E7855FB">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5E1D3B1C">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质量</w:t>
            </w:r>
            <w:r>
              <w:rPr>
                <w:rFonts w:hint="eastAsia" w:ascii="宋体" w:hAnsi="宋体" w:eastAsia="宋体" w:cs="宋体"/>
                <w:color w:val="auto"/>
                <w:sz w:val="21"/>
                <w:szCs w:val="21"/>
                <w:highlight w:val="none"/>
              </w:rPr>
              <w:t>要求</w:t>
            </w:r>
          </w:p>
        </w:tc>
        <w:tc>
          <w:tcPr>
            <w:tcW w:w="6217" w:type="dxa"/>
            <w:vAlign w:val="center"/>
          </w:tcPr>
          <w:p w14:paraId="48EC2369">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符合第二章“供应商须知前附表”第1.3.3项规定</w:t>
            </w:r>
          </w:p>
        </w:tc>
      </w:tr>
      <w:tr w14:paraId="22E7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exact"/>
        </w:trPr>
        <w:tc>
          <w:tcPr>
            <w:tcW w:w="682" w:type="dxa"/>
            <w:vMerge w:val="continue"/>
            <w:vAlign w:val="center"/>
          </w:tcPr>
          <w:p w14:paraId="1542160B">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1DFC1B1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6A75BD26">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6217" w:type="dxa"/>
            <w:vAlign w:val="center"/>
          </w:tcPr>
          <w:p w14:paraId="262B4DC2">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符合第二章“供应商须知前附表”第3.4项规定</w:t>
            </w:r>
          </w:p>
        </w:tc>
      </w:tr>
      <w:tr w14:paraId="0AF5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exact"/>
        </w:trPr>
        <w:tc>
          <w:tcPr>
            <w:tcW w:w="682" w:type="dxa"/>
            <w:vMerge w:val="continue"/>
            <w:vAlign w:val="center"/>
          </w:tcPr>
          <w:p w14:paraId="687992C3">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4556A3E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780AB8E1">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w:t>
            </w:r>
          </w:p>
        </w:tc>
        <w:tc>
          <w:tcPr>
            <w:tcW w:w="6217" w:type="dxa"/>
            <w:vAlign w:val="center"/>
          </w:tcPr>
          <w:p w14:paraId="4F9993CC">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符合第二章“供应商须知前附表”第1.3.1项规定</w:t>
            </w:r>
            <w:r>
              <w:rPr>
                <w:rFonts w:hint="eastAsia" w:ascii="宋体" w:hAnsi="宋体" w:eastAsia="宋体" w:cs="宋体"/>
                <w:color w:val="auto"/>
                <w:sz w:val="21"/>
                <w:szCs w:val="21"/>
                <w:highlight w:val="none"/>
                <w:lang w:eastAsia="zh-CN"/>
              </w:rPr>
              <w:t>。</w:t>
            </w:r>
          </w:p>
        </w:tc>
      </w:tr>
      <w:tr w14:paraId="6B189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682" w:type="dxa"/>
            <w:vMerge w:val="continue"/>
            <w:vAlign w:val="center"/>
          </w:tcPr>
          <w:p w14:paraId="5358E72C">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302D8B6D">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7851AF0E">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磋商有效期</w:t>
            </w:r>
          </w:p>
        </w:tc>
        <w:tc>
          <w:tcPr>
            <w:tcW w:w="6217" w:type="dxa"/>
            <w:vAlign w:val="center"/>
          </w:tcPr>
          <w:p w14:paraId="329F1120">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符合第二章“供应商须知前附表”第3.3.1项规定</w:t>
            </w:r>
          </w:p>
        </w:tc>
      </w:tr>
      <w:tr w14:paraId="33B28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trPr>
        <w:tc>
          <w:tcPr>
            <w:tcW w:w="682" w:type="dxa"/>
            <w:vMerge w:val="continue"/>
            <w:vAlign w:val="center"/>
          </w:tcPr>
          <w:p w14:paraId="00D88EA5">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21BD8810">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2B0C5C9A">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评标澄清、说明或补正</w:t>
            </w:r>
          </w:p>
        </w:tc>
        <w:tc>
          <w:tcPr>
            <w:tcW w:w="6217" w:type="dxa"/>
            <w:vAlign w:val="center"/>
          </w:tcPr>
          <w:p w14:paraId="453B3C9E">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不按评标委员会要求进行澄清、说明或补正的作否决投标处理</w:t>
            </w:r>
            <w:r>
              <w:rPr>
                <w:rFonts w:hint="eastAsia" w:ascii="宋体" w:hAnsi="宋体" w:eastAsia="宋体" w:cs="宋体"/>
                <w:color w:val="auto"/>
                <w:sz w:val="21"/>
                <w:szCs w:val="21"/>
                <w:highlight w:val="none"/>
                <w:lang w:eastAsia="zh-CN"/>
              </w:rPr>
              <w:t>。</w:t>
            </w:r>
          </w:p>
        </w:tc>
      </w:tr>
      <w:tr w14:paraId="534B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682" w:type="dxa"/>
            <w:vMerge w:val="continue"/>
            <w:vAlign w:val="center"/>
          </w:tcPr>
          <w:p w14:paraId="3173144C">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2A139DF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633F0ECB">
            <w:pPr>
              <w:pageBreakBefore w:val="0"/>
              <w:kinsoku/>
              <w:wordWrap w:val="0"/>
              <w:overflowPunct/>
              <w:bidi w:val="0"/>
              <w:spacing w:after="0" w:line="300" w:lineRule="exact"/>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rPr>
              <w:t>其他明确的否决投标条款</w:t>
            </w:r>
          </w:p>
        </w:tc>
        <w:tc>
          <w:tcPr>
            <w:tcW w:w="6217" w:type="dxa"/>
            <w:vAlign w:val="center"/>
          </w:tcPr>
          <w:p w14:paraId="6B6680B0">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未能响应磋商文件否决磋商条款中提出的实质性要求和条件的作否决投标处理</w:t>
            </w:r>
            <w:r>
              <w:rPr>
                <w:rFonts w:hint="eastAsia" w:ascii="宋体" w:hAnsi="宋体" w:eastAsia="宋体" w:cs="宋体"/>
                <w:color w:val="auto"/>
                <w:sz w:val="21"/>
                <w:highlight w:val="none"/>
                <w:lang w:eastAsia="zh-CN"/>
              </w:rPr>
              <w:t>。</w:t>
            </w:r>
          </w:p>
        </w:tc>
      </w:tr>
      <w:tr w14:paraId="441FA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2" w:hRule="exact"/>
        </w:trPr>
        <w:tc>
          <w:tcPr>
            <w:tcW w:w="682" w:type="dxa"/>
            <w:vMerge w:val="continue"/>
            <w:vAlign w:val="center"/>
          </w:tcPr>
          <w:p w14:paraId="5DC234E9">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4219B7E6">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6C08793A">
            <w:pPr>
              <w:pageBreakBefore w:val="0"/>
              <w:kinsoku/>
              <w:wordWrap w:val="0"/>
              <w:overflowPunct/>
              <w:bidi w:val="0"/>
              <w:spacing w:after="0" w:line="300" w:lineRule="exact"/>
              <w:textAlignment w:val="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串通磋商行为处理办法</w:t>
            </w:r>
          </w:p>
        </w:tc>
        <w:tc>
          <w:tcPr>
            <w:tcW w:w="6217" w:type="dxa"/>
            <w:vAlign w:val="center"/>
          </w:tcPr>
          <w:p w14:paraId="77D998BB">
            <w:pPr>
              <w:pStyle w:val="428"/>
              <w:pageBreakBefore w:val="0"/>
              <w:numPr>
                <w:ilvl w:val="0"/>
                <w:numId w:val="0"/>
              </w:numPr>
              <w:tabs>
                <w:tab w:val="left" w:pos="993"/>
              </w:tabs>
              <w:kinsoku/>
              <w:wordWrap w:val="0"/>
              <w:overflowPunct/>
              <w:bidi w:val="0"/>
              <w:spacing w:after="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不同供应商通过同一台设备上传磋商响应文件将视为“不同供应商的响应文件由同一单位或者个人编制”的情形，疑似串通磋商。磋商评审小组在评审流程符合性审查阶段，通过“在线询标”功能，向疑似串通磋商的供应商发送磋商问题函，要求供应商对其与其他供应商通过同一台设备上传磋商响应文件异常情况进行澄清，超时未澄清的供应商视为放弃澄清，评审小组将根据供应商回复澄清情况，确定供应商是否通过符合性审查。</w:t>
            </w:r>
          </w:p>
        </w:tc>
      </w:tr>
      <w:tr w14:paraId="6C21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exact"/>
        </w:trPr>
        <w:tc>
          <w:tcPr>
            <w:tcW w:w="682" w:type="dxa"/>
            <w:vMerge w:val="restart"/>
            <w:vAlign w:val="center"/>
          </w:tcPr>
          <w:p w14:paraId="238425EB">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技术要求</w:t>
            </w:r>
          </w:p>
        </w:tc>
        <w:tc>
          <w:tcPr>
            <w:tcW w:w="1163" w:type="dxa"/>
            <w:vMerge w:val="restart"/>
            <w:vAlign w:val="center"/>
          </w:tcPr>
          <w:p w14:paraId="7ABE3BBF">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w:t>
            </w:r>
          </w:p>
        </w:tc>
        <w:tc>
          <w:tcPr>
            <w:tcW w:w="2576" w:type="dxa"/>
            <w:vAlign w:val="center"/>
          </w:tcPr>
          <w:p w14:paraId="4AC8A5DE">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磋商内容（采购需求）</w:t>
            </w:r>
          </w:p>
        </w:tc>
        <w:tc>
          <w:tcPr>
            <w:tcW w:w="6217" w:type="dxa"/>
            <w:vAlign w:val="center"/>
          </w:tcPr>
          <w:p w14:paraId="1A4A69EE">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符合第二章“供应商须知前附表”第1.3.2项规定及符合第五章“采购需求”技术标准和要求的规定。</w:t>
            </w:r>
          </w:p>
        </w:tc>
      </w:tr>
      <w:tr w14:paraId="634B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exact"/>
        </w:trPr>
        <w:tc>
          <w:tcPr>
            <w:tcW w:w="682" w:type="dxa"/>
            <w:vMerge w:val="continue"/>
            <w:vAlign w:val="center"/>
          </w:tcPr>
          <w:p w14:paraId="28BC8031">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rPr>
            </w:pPr>
          </w:p>
        </w:tc>
        <w:tc>
          <w:tcPr>
            <w:tcW w:w="1163" w:type="dxa"/>
            <w:vMerge w:val="continue"/>
            <w:vAlign w:val="center"/>
          </w:tcPr>
          <w:p w14:paraId="4B8C9681">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highlight w:val="none"/>
                <w:lang w:val="en-US" w:eastAsia="zh-CN"/>
              </w:rPr>
            </w:pPr>
          </w:p>
        </w:tc>
        <w:tc>
          <w:tcPr>
            <w:tcW w:w="2576" w:type="dxa"/>
            <w:vAlign w:val="center"/>
          </w:tcPr>
          <w:p w14:paraId="441111AD">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权利和义务</w:t>
            </w:r>
          </w:p>
        </w:tc>
        <w:tc>
          <w:tcPr>
            <w:tcW w:w="6217" w:type="dxa"/>
            <w:vAlign w:val="center"/>
          </w:tcPr>
          <w:p w14:paraId="727F1097">
            <w:pPr>
              <w:pageBreakBefore w:val="0"/>
              <w:kinsoku/>
              <w:wordWrap w:val="0"/>
              <w:overflowPunct/>
              <w:bidi w:val="0"/>
              <w:spacing w:after="0" w:line="3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符合第四章“合同条款及格式”规定</w:t>
            </w:r>
          </w:p>
        </w:tc>
      </w:tr>
    </w:tbl>
    <w:p w14:paraId="70EF253D">
      <w:pPr>
        <w:pageBreakBefore w:val="0"/>
        <w:kinsoku/>
        <w:wordWrap w:val="0"/>
        <w:overflowPunct/>
        <w:bidi w:val="0"/>
        <w:spacing w:after="0"/>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磋商评审办法</w:t>
      </w:r>
      <w:bookmarkEnd w:id="110"/>
    </w:p>
    <w:tbl>
      <w:tblPr>
        <w:tblStyle w:val="62"/>
        <w:tblpPr w:leftFromText="180" w:rightFromText="180" w:vertAnchor="text" w:horzAnchor="page" w:tblpX="604" w:tblpY="658"/>
        <w:tblOverlap w:val="never"/>
        <w:tblW w:w="108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61"/>
        <w:gridCol w:w="2236"/>
        <w:gridCol w:w="7533"/>
      </w:tblGrid>
      <w:tr w14:paraId="627C2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0869" w:type="dxa"/>
            <w:gridSpan w:val="4"/>
            <w:vAlign w:val="center"/>
          </w:tcPr>
          <w:p w14:paraId="5AC38D50">
            <w:pPr>
              <w:pageBreakBefore w:val="0"/>
              <w:kinsoku/>
              <w:wordWrap w:val="0"/>
              <w:overflowPunct/>
              <w:bidi w:val="0"/>
              <w:spacing w:after="0" w:line="300" w:lineRule="exact"/>
              <w:jc w:val="both"/>
              <w:textAlignment w:val="auto"/>
              <w:rPr>
                <w:rFonts w:hint="eastAsia" w:ascii="宋体" w:hAnsi="宋体" w:eastAsia="宋体" w:cs="宋体"/>
                <w:color w:val="auto"/>
                <w:sz w:val="21"/>
                <w:szCs w:val="21"/>
              </w:rPr>
            </w:pPr>
            <w:bookmarkStart w:id="111" w:name="_Toc525207134"/>
            <w:bookmarkStart w:id="112" w:name="_Toc530733564"/>
            <w:r>
              <w:rPr>
                <w:rFonts w:hint="eastAsia" w:ascii="宋体" w:hAnsi="宋体" w:eastAsia="宋体" w:cs="宋体"/>
                <w:b/>
                <w:bCs/>
                <w:color w:val="auto"/>
                <w:sz w:val="21"/>
                <w:szCs w:val="21"/>
              </w:rPr>
              <w:t>分值构成：总分（100分）=</w:t>
            </w:r>
            <w:r>
              <w:rPr>
                <w:rFonts w:hint="eastAsia" w:ascii="宋体" w:hAnsi="宋体" w:eastAsia="宋体" w:cs="宋体"/>
                <w:b/>
                <w:bCs/>
                <w:color w:val="auto"/>
                <w:sz w:val="21"/>
                <w:szCs w:val="21"/>
                <w:lang w:val="en-US" w:eastAsia="zh-CN"/>
              </w:rPr>
              <w:t>报价部分+</w:t>
            </w:r>
            <w:r>
              <w:rPr>
                <w:rFonts w:hint="eastAsia" w:ascii="宋体" w:hAnsi="宋体" w:eastAsia="宋体" w:cs="宋体"/>
                <w:b/>
                <w:bCs/>
                <w:color w:val="auto"/>
                <w:sz w:val="21"/>
                <w:szCs w:val="21"/>
              </w:rPr>
              <w:t>技术部分</w:t>
            </w:r>
          </w:p>
        </w:tc>
      </w:tr>
      <w:tr w14:paraId="290C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336" w:type="dxa"/>
            <w:gridSpan w:val="3"/>
            <w:vAlign w:val="center"/>
          </w:tcPr>
          <w:p w14:paraId="4EBFB97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报价</w:t>
            </w:r>
            <w:r>
              <w:rPr>
                <w:rFonts w:hint="eastAsia" w:ascii="宋体" w:hAnsi="宋体" w:eastAsia="宋体" w:cs="宋体"/>
                <w:color w:val="auto"/>
                <w:sz w:val="21"/>
                <w:szCs w:val="21"/>
              </w:rPr>
              <w:t>部分（</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0分）</w:t>
            </w:r>
          </w:p>
        </w:tc>
        <w:tc>
          <w:tcPr>
            <w:tcW w:w="7533" w:type="dxa"/>
            <w:vAlign w:val="center"/>
          </w:tcPr>
          <w:p w14:paraId="642C6B8F">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磋商报价分值占总分值的比重</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即权值</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0%</w:t>
            </w:r>
          </w:p>
        </w:tc>
      </w:tr>
      <w:tr w14:paraId="1186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336" w:type="dxa"/>
            <w:gridSpan w:val="3"/>
            <w:vAlign w:val="center"/>
          </w:tcPr>
          <w:p w14:paraId="509D4F67">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技术部分（</w:t>
            </w:r>
            <w:r>
              <w:rPr>
                <w:rFonts w:hint="eastAsia" w:ascii="宋体" w:hAnsi="宋体" w:eastAsia="宋体" w:cs="宋体"/>
                <w:color w:val="auto"/>
                <w:sz w:val="21"/>
                <w:szCs w:val="21"/>
                <w:lang w:val="en-US" w:eastAsia="zh-CN"/>
              </w:rPr>
              <w:t>90</w:t>
            </w:r>
            <w:r>
              <w:rPr>
                <w:rFonts w:hint="eastAsia" w:ascii="宋体" w:hAnsi="宋体" w:eastAsia="宋体" w:cs="宋体"/>
                <w:color w:val="auto"/>
                <w:sz w:val="21"/>
                <w:szCs w:val="21"/>
              </w:rPr>
              <w:t>分）</w:t>
            </w:r>
          </w:p>
        </w:tc>
        <w:tc>
          <w:tcPr>
            <w:tcW w:w="7533" w:type="dxa"/>
            <w:vAlign w:val="center"/>
          </w:tcPr>
          <w:p w14:paraId="65B50536">
            <w:pPr>
              <w:pageBreakBefore w:val="0"/>
              <w:kinsoku/>
              <w:wordWrap w:val="0"/>
              <w:overflowPunct/>
              <w:bidi w:val="0"/>
              <w:spacing w:after="0" w:line="32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技术部分分值占总分值的比重</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即权值</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90</w:t>
            </w:r>
            <w:r>
              <w:rPr>
                <w:rFonts w:hint="eastAsia" w:ascii="宋体" w:hAnsi="宋体" w:eastAsia="宋体" w:cs="宋体"/>
                <w:color w:val="auto"/>
                <w:sz w:val="21"/>
                <w:szCs w:val="21"/>
              </w:rPr>
              <w:t>%</w:t>
            </w:r>
          </w:p>
        </w:tc>
      </w:tr>
      <w:tr w14:paraId="47E6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0869" w:type="dxa"/>
            <w:gridSpan w:val="4"/>
            <w:vAlign w:val="center"/>
          </w:tcPr>
          <w:p w14:paraId="1E77E95E">
            <w:pPr>
              <w:pageBreakBefore w:val="0"/>
              <w:kinsoku/>
              <w:wordWrap w:val="0"/>
              <w:overflowPunct/>
              <w:bidi w:val="0"/>
              <w:spacing w:after="0" w:line="320" w:lineRule="exact"/>
              <w:jc w:val="center"/>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rPr>
              <w:t>详细评审办法</w:t>
            </w:r>
          </w:p>
        </w:tc>
      </w:tr>
      <w:tr w14:paraId="0BE2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39" w:type="dxa"/>
            <w:vAlign w:val="center"/>
          </w:tcPr>
          <w:p w14:paraId="7445BC40">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p>
        </w:tc>
        <w:tc>
          <w:tcPr>
            <w:tcW w:w="661" w:type="dxa"/>
            <w:vAlign w:val="center"/>
          </w:tcPr>
          <w:p w14:paraId="66D68CE4">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2236" w:type="dxa"/>
            <w:vAlign w:val="center"/>
          </w:tcPr>
          <w:p w14:paraId="6ABDAE20">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评审因素</w:t>
            </w:r>
          </w:p>
        </w:tc>
        <w:tc>
          <w:tcPr>
            <w:tcW w:w="7533" w:type="dxa"/>
            <w:vAlign w:val="center"/>
          </w:tcPr>
          <w:p w14:paraId="0CD1DF56">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评分细则</w:t>
            </w:r>
          </w:p>
        </w:tc>
      </w:tr>
      <w:tr w14:paraId="7D617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439" w:type="dxa"/>
            <w:vAlign w:val="center"/>
          </w:tcPr>
          <w:p w14:paraId="6B35A7D9">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报价</w:t>
            </w:r>
            <w:r>
              <w:rPr>
                <w:rFonts w:hint="eastAsia" w:ascii="宋体" w:hAnsi="宋体" w:eastAsia="宋体" w:cs="宋体"/>
                <w:color w:val="auto"/>
                <w:sz w:val="21"/>
                <w:szCs w:val="21"/>
              </w:rPr>
              <w:t>部分</w:t>
            </w:r>
          </w:p>
        </w:tc>
        <w:tc>
          <w:tcPr>
            <w:tcW w:w="661" w:type="dxa"/>
            <w:vAlign w:val="center"/>
          </w:tcPr>
          <w:p w14:paraId="7A0D6C9B">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236" w:type="dxa"/>
            <w:vAlign w:val="center"/>
          </w:tcPr>
          <w:p w14:paraId="47ACFA14">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磋商报价</w:t>
            </w:r>
          </w:p>
          <w:p w14:paraId="59E84004">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7533" w:type="dxa"/>
            <w:vAlign w:val="center"/>
          </w:tcPr>
          <w:p w14:paraId="6A4FDD2D">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通过初步评审的所有磋商申请人最终报价中最低报价为基准价，其价格分为满分。</w:t>
            </w:r>
          </w:p>
          <w:p w14:paraId="275240DC">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最终报价得分=(评标基准价／最后报价)×</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×100</w:t>
            </w:r>
          </w:p>
          <w:p w14:paraId="079E3132">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注：</w:t>
            </w:r>
          </w:p>
          <w:p w14:paraId="4B382BC0">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1 \* GB3</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①</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评审过程中，不得去掉报价中的最高报价和最低报价，计算到小数点后两位；</w:t>
            </w:r>
          </w:p>
          <w:p w14:paraId="5FD670FC">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②因落实政府采购政策进行价格调整的，以调整后的价格计算磋商基准价和磋商报价。</w:t>
            </w:r>
          </w:p>
        </w:tc>
      </w:tr>
      <w:tr w14:paraId="54FE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439" w:type="dxa"/>
            <w:vMerge w:val="restart"/>
            <w:vAlign w:val="center"/>
          </w:tcPr>
          <w:p w14:paraId="3F770497">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技术部分</w:t>
            </w:r>
          </w:p>
        </w:tc>
        <w:tc>
          <w:tcPr>
            <w:tcW w:w="661" w:type="dxa"/>
            <w:vAlign w:val="center"/>
          </w:tcPr>
          <w:p w14:paraId="0E179B8C">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1</w:t>
            </w:r>
          </w:p>
        </w:tc>
        <w:tc>
          <w:tcPr>
            <w:tcW w:w="2236" w:type="dxa"/>
            <w:vAlign w:val="center"/>
          </w:tcPr>
          <w:p w14:paraId="58C90FEA">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施工方案及技术措施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24</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p>
          <w:p w14:paraId="63075B52">
            <w:pPr>
              <w:pageBreakBefore w:val="0"/>
              <w:kinsoku/>
              <w:wordWrap w:val="0"/>
              <w:overflowPunct/>
              <w:bidi w:val="0"/>
              <w:spacing w:after="0" w:line="300" w:lineRule="exact"/>
              <w:jc w:val="center"/>
              <w:textAlignment w:val="auto"/>
              <w:rPr>
                <w:rFonts w:hint="eastAsia" w:ascii="宋体" w:hAnsi="宋体" w:eastAsia="宋体" w:cs="宋体"/>
                <w:color w:val="auto"/>
                <w:spacing w:val="2"/>
              </w:rPr>
            </w:pPr>
          </w:p>
        </w:tc>
        <w:tc>
          <w:tcPr>
            <w:tcW w:w="7533" w:type="dxa"/>
          </w:tcPr>
          <w:p w14:paraId="616827F3">
            <w:pPr>
              <w:pageBreakBefore w:val="0"/>
              <w:kinsoku/>
              <w:wordWrap w:val="0"/>
              <w:overflowPunct/>
              <w:bidi w:val="0"/>
              <w:spacing w:after="0" w:line="300" w:lineRule="exac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施工方案及技术措施</w:t>
            </w:r>
            <w:r>
              <w:rPr>
                <w:rFonts w:hint="eastAsia" w:ascii="宋体" w:hAnsi="宋体" w:eastAsia="宋体" w:cs="宋体"/>
                <w:b w:val="0"/>
                <w:bCs w:val="0"/>
                <w:color w:val="auto"/>
                <w:sz w:val="21"/>
                <w:szCs w:val="21"/>
                <w:lang w:val="en-US" w:eastAsia="zh-CN"/>
              </w:rPr>
              <w:t>评审由磋商小组依据以下</w:t>
            </w:r>
            <w:r>
              <w:rPr>
                <w:rFonts w:hint="eastAsia" w:ascii="宋体" w:hAnsi="宋体" w:eastAsia="宋体" w:cs="宋体"/>
                <w:color w:val="auto"/>
                <w:sz w:val="21"/>
                <w:szCs w:val="21"/>
                <w:lang w:val="en-US" w:eastAsia="zh-CN"/>
              </w:rPr>
              <w:t>三</w:t>
            </w:r>
            <w:r>
              <w:rPr>
                <w:rFonts w:hint="eastAsia" w:ascii="宋体" w:hAnsi="宋体" w:eastAsia="宋体" w:cs="宋体"/>
                <w:color w:val="auto"/>
                <w:sz w:val="21"/>
                <w:szCs w:val="21"/>
              </w:rPr>
              <w:t>项内容进行</w:t>
            </w:r>
            <w:r>
              <w:rPr>
                <w:rFonts w:hint="eastAsia" w:ascii="宋体" w:hAnsi="宋体" w:eastAsia="宋体" w:cs="宋体"/>
                <w:color w:val="auto"/>
                <w:sz w:val="21"/>
                <w:szCs w:val="21"/>
                <w:lang w:val="en-US" w:eastAsia="zh-CN"/>
              </w:rPr>
              <w:t>综合评审：</w:t>
            </w:r>
          </w:p>
          <w:p w14:paraId="474D5936">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项目总体概况</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部署及措施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四新技术；</w:t>
            </w:r>
          </w:p>
          <w:p w14:paraId="1F318108">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项目主要及关键方案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针</w:t>
            </w:r>
            <w:r>
              <w:rPr>
                <w:rFonts w:hint="eastAsia" w:ascii="宋体" w:hAnsi="宋体" w:eastAsia="宋体" w:cs="宋体"/>
                <w:color w:val="auto"/>
                <w:sz w:val="21"/>
                <w:szCs w:val="21"/>
              </w:rPr>
              <w:t>对重点、难点解决方案；</w:t>
            </w:r>
          </w:p>
          <w:p w14:paraId="252E70D0">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环保、安全、文明生产要求</w:t>
            </w:r>
            <w:r>
              <w:rPr>
                <w:rFonts w:hint="eastAsia" w:ascii="宋体" w:hAnsi="宋体" w:eastAsia="宋体" w:cs="宋体"/>
                <w:color w:val="auto"/>
                <w:sz w:val="21"/>
                <w:szCs w:val="21"/>
                <w:lang w:eastAsia="zh-CN"/>
              </w:rPr>
              <w:t>。</w:t>
            </w:r>
          </w:p>
          <w:p w14:paraId="559AE3FD">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满分标准</w:t>
            </w:r>
            <w:r>
              <w:rPr>
                <w:rFonts w:hint="eastAsia" w:ascii="宋体" w:hAnsi="宋体" w:eastAsia="宋体" w:cs="宋体"/>
                <w:color w:val="auto"/>
                <w:sz w:val="21"/>
                <w:szCs w:val="21"/>
                <w:lang w:val="en-US" w:eastAsia="zh-CN"/>
              </w:rPr>
              <w:t>：对项目总体概况表述清晰、完整；部署及措施先进、可靠，采用了四新技术；对项目主要及关键方案有深入的表述，对重点、难点分析透彻，解决方案切实可行；符合环保、安全、文明生产要求的，得满分24分。</w:t>
            </w:r>
          </w:p>
          <w:p w14:paraId="18CD25BC">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扣分标准1</w:t>
            </w:r>
            <w:r>
              <w:rPr>
                <w:rFonts w:hint="eastAsia" w:ascii="宋体" w:hAnsi="宋体" w:eastAsia="宋体" w:cs="宋体"/>
                <w:color w:val="auto"/>
                <w:sz w:val="21"/>
                <w:szCs w:val="21"/>
                <w:lang w:val="en-US" w:eastAsia="zh-CN"/>
              </w:rPr>
              <w:t>：施工方案及技术措施评审每缺少一项评审内容扣8分，总分24分；</w:t>
            </w:r>
          </w:p>
          <w:p w14:paraId="110F81DB">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扣分标准2</w:t>
            </w:r>
            <w:r>
              <w:rPr>
                <w:rFonts w:hint="eastAsia" w:ascii="宋体" w:hAnsi="宋体" w:eastAsia="宋体" w:cs="宋体"/>
                <w:color w:val="auto"/>
                <w:sz w:val="21"/>
                <w:szCs w:val="21"/>
                <w:lang w:val="en-US" w:eastAsia="zh-CN"/>
              </w:rPr>
              <w:t>：磋商小组对所有有效供应商的施工方案及技术措施进行评审，分别以每项内容的阐述清晰度、完整度、先进性、可靠性、透彻度、可行性及符合性进行评审。方案中存在上述一种缺陷的扣1分。每一项评审内容满分8分，总分24分。</w:t>
            </w:r>
          </w:p>
        </w:tc>
      </w:tr>
      <w:tr w14:paraId="4C09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39" w:type="dxa"/>
            <w:vMerge w:val="continue"/>
            <w:vAlign w:val="center"/>
          </w:tcPr>
          <w:p w14:paraId="14A053A8">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p>
        </w:tc>
        <w:tc>
          <w:tcPr>
            <w:tcW w:w="661" w:type="dxa"/>
            <w:vAlign w:val="center"/>
          </w:tcPr>
          <w:p w14:paraId="2DB1C5C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2</w:t>
            </w:r>
          </w:p>
        </w:tc>
        <w:tc>
          <w:tcPr>
            <w:tcW w:w="2236" w:type="dxa"/>
            <w:vAlign w:val="center"/>
          </w:tcPr>
          <w:p w14:paraId="3BCA984F">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质量管理体系与措施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w:t>
            </w:r>
            <w:r>
              <w:rPr>
                <w:rFonts w:hint="eastAsia" w:ascii="宋体" w:hAnsi="宋体" w:eastAsia="宋体" w:cs="宋体"/>
                <w:color w:val="auto"/>
                <w:sz w:val="21"/>
                <w:szCs w:val="21"/>
                <w:lang w:eastAsia="zh-CN"/>
              </w:rPr>
              <w:t>）</w:t>
            </w:r>
          </w:p>
        </w:tc>
        <w:tc>
          <w:tcPr>
            <w:tcW w:w="7533" w:type="dxa"/>
            <w:vAlign w:val="center"/>
          </w:tcPr>
          <w:p w14:paraId="394CE5F0">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质量管理体系与措施</w:t>
            </w:r>
            <w:r>
              <w:rPr>
                <w:rFonts w:hint="eastAsia" w:ascii="宋体" w:hAnsi="宋体" w:eastAsia="宋体" w:cs="宋体"/>
                <w:color w:val="auto"/>
                <w:sz w:val="21"/>
                <w:szCs w:val="21"/>
                <w:lang w:val="en-US" w:eastAsia="zh-CN"/>
              </w:rPr>
              <w:t>评审由磋商小组依据以下五项内容进行综合评审：</w:t>
            </w:r>
          </w:p>
          <w:p w14:paraId="674BCEE9">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质量</w:t>
            </w:r>
            <w:r>
              <w:rPr>
                <w:rFonts w:hint="eastAsia" w:ascii="宋体" w:hAnsi="宋体" w:eastAsia="宋体" w:cs="宋体"/>
                <w:color w:val="auto"/>
                <w:sz w:val="21"/>
                <w:szCs w:val="21"/>
                <w:lang w:val="en-US" w:eastAsia="zh-CN"/>
              </w:rPr>
              <w:t>及质量</w:t>
            </w:r>
            <w:r>
              <w:rPr>
                <w:rFonts w:hint="eastAsia" w:ascii="宋体" w:hAnsi="宋体" w:eastAsia="宋体" w:cs="宋体"/>
                <w:color w:val="auto"/>
                <w:sz w:val="21"/>
                <w:szCs w:val="21"/>
              </w:rPr>
              <w:t>目标；</w:t>
            </w:r>
          </w:p>
          <w:p w14:paraId="56524259">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质量管理机构</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职责分工；</w:t>
            </w:r>
          </w:p>
          <w:p w14:paraId="115D822B">
            <w:pPr>
              <w:pageBreakBefore w:val="0"/>
              <w:tabs>
                <w:tab w:val="left" w:pos="1988"/>
              </w:tabs>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管理制度；</w:t>
            </w:r>
            <w:r>
              <w:rPr>
                <w:rFonts w:hint="eastAsia" w:ascii="宋体" w:hAnsi="宋体" w:eastAsia="宋体" w:cs="宋体"/>
                <w:color w:val="auto"/>
                <w:sz w:val="21"/>
                <w:szCs w:val="21"/>
                <w:lang w:eastAsia="zh-CN"/>
              </w:rPr>
              <w:tab/>
            </w:r>
          </w:p>
          <w:p w14:paraId="04237B5B">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4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⑷</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实施与监控措施</w:t>
            </w:r>
            <w:r>
              <w:rPr>
                <w:rFonts w:hint="eastAsia" w:ascii="宋体" w:hAnsi="宋体" w:eastAsia="宋体" w:cs="宋体"/>
                <w:color w:val="auto"/>
                <w:sz w:val="21"/>
                <w:szCs w:val="21"/>
                <w:lang w:eastAsia="zh-CN"/>
              </w:rPr>
              <w:t>；</w:t>
            </w:r>
          </w:p>
          <w:p w14:paraId="1C4BE167">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5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⑸</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违约责任承诺。</w:t>
            </w:r>
          </w:p>
          <w:p w14:paraId="05590E8A">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满分标准</w:t>
            </w:r>
            <w:r>
              <w:rPr>
                <w:rFonts w:hint="eastAsia" w:ascii="宋体" w:hAnsi="宋体" w:eastAsia="宋体" w:cs="宋体"/>
                <w:color w:val="auto"/>
                <w:sz w:val="21"/>
                <w:szCs w:val="21"/>
                <w:lang w:val="en-US" w:eastAsia="zh-CN"/>
              </w:rPr>
              <w:t>：</w:t>
            </w:r>
          </w:p>
          <w:p w14:paraId="67A596AB">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⑴质量符合或优于采购文件要求的，得1分；目标明确的，得1分；</w:t>
            </w:r>
          </w:p>
          <w:p w14:paraId="1CBBE545">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⑵质量管理机构健全的，得1分；职责分工明确的，得1分；</w:t>
            </w:r>
          </w:p>
          <w:p w14:paraId="5906CDAC">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⑶管理制度齐全的，得2分；</w:t>
            </w:r>
          </w:p>
          <w:p w14:paraId="621EC697">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⑷实施与监控措施全面、有效的，得2分；</w:t>
            </w:r>
          </w:p>
          <w:p w14:paraId="6046E370">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⑸有具体违约责任承诺的，得1分；充分满足采购人采购需求的，得1分。</w:t>
            </w:r>
          </w:p>
          <w:p w14:paraId="293A7507">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质量管理体系与措施</w:t>
            </w:r>
            <w:r>
              <w:rPr>
                <w:rFonts w:hint="eastAsia" w:ascii="宋体" w:hAnsi="宋体" w:eastAsia="宋体" w:cs="宋体"/>
                <w:color w:val="auto"/>
                <w:sz w:val="21"/>
                <w:szCs w:val="21"/>
                <w:lang w:val="en-US" w:eastAsia="zh-CN"/>
              </w:rPr>
              <w:t>评审每缺少一项评审内容扣2分，总分10分；</w:t>
            </w:r>
          </w:p>
          <w:p w14:paraId="75F6514A">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扣分标准2</w:t>
            </w:r>
            <w:r>
              <w:rPr>
                <w:rFonts w:hint="eastAsia" w:ascii="宋体" w:hAnsi="宋体" w:eastAsia="宋体" w:cs="宋体"/>
                <w:color w:val="auto"/>
                <w:sz w:val="21"/>
                <w:szCs w:val="21"/>
                <w:lang w:val="en-US" w:eastAsia="zh-CN"/>
              </w:rPr>
              <w:t>：磋商小组对所有有效供应商的</w:t>
            </w:r>
            <w:r>
              <w:rPr>
                <w:rFonts w:hint="eastAsia" w:ascii="宋体" w:hAnsi="宋体" w:eastAsia="宋体" w:cs="宋体"/>
                <w:color w:val="auto"/>
                <w:sz w:val="21"/>
                <w:szCs w:val="21"/>
              </w:rPr>
              <w:t>质量管理体系与措施</w:t>
            </w:r>
            <w:r>
              <w:rPr>
                <w:rFonts w:hint="eastAsia" w:ascii="宋体" w:hAnsi="宋体" w:eastAsia="宋体" w:cs="宋体"/>
                <w:color w:val="auto"/>
                <w:sz w:val="21"/>
                <w:szCs w:val="21"/>
                <w:lang w:val="en-US" w:eastAsia="zh-CN"/>
              </w:rPr>
              <w:t>进行评审，分别以每项内容的质量符合度、质量目标明确性、质量管理机构健全度、职责分工明确度、管理制度齐全度、实施与监控措施全面性、有效性，违约责任承诺等进行评审。每项方案中存在上述内容任何一种缺陷的，扣0.5分。每一项评审内容满分2分，总分10分。</w:t>
            </w:r>
          </w:p>
        </w:tc>
      </w:tr>
      <w:tr w14:paraId="27E73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439" w:type="dxa"/>
            <w:vMerge w:val="continue"/>
            <w:vAlign w:val="center"/>
          </w:tcPr>
          <w:p w14:paraId="099E192F">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p>
        </w:tc>
        <w:tc>
          <w:tcPr>
            <w:tcW w:w="661" w:type="dxa"/>
            <w:vAlign w:val="center"/>
          </w:tcPr>
          <w:p w14:paraId="060A3C6B">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w:t>
            </w:r>
          </w:p>
        </w:tc>
        <w:tc>
          <w:tcPr>
            <w:tcW w:w="2236" w:type="dxa"/>
            <w:vAlign w:val="center"/>
          </w:tcPr>
          <w:p w14:paraId="78DE9894">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安全管理体系与措施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w:t>
            </w:r>
            <w:r>
              <w:rPr>
                <w:rFonts w:hint="eastAsia" w:ascii="宋体" w:hAnsi="宋体" w:eastAsia="宋体" w:cs="宋体"/>
                <w:color w:val="auto"/>
                <w:sz w:val="21"/>
                <w:szCs w:val="21"/>
                <w:lang w:eastAsia="zh-CN"/>
              </w:rPr>
              <w:t>）</w:t>
            </w:r>
          </w:p>
        </w:tc>
        <w:tc>
          <w:tcPr>
            <w:tcW w:w="7533" w:type="dxa"/>
          </w:tcPr>
          <w:p w14:paraId="7B044CFD">
            <w:pPr>
              <w:pageBreakBefore w:val="0"/>
              <w:kinsoku/>
              <w:wordWrap w:val="0"/>
              <w:overflowPunct/>
              <w:bidi w:val="0"/>
              <w:spacing w:after="0" w:line="300" w:lineRule="exac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color w:val="auto"/>
                <w:sz w:val="21"/>
                <w:szCs w:val="21"/>
              </w:rPr>
              <w:t>安全管理体系与措施</w:t>
            </w:r>
            <w:r>
              <w:rPr>
                <w:rFonts w:hint="eastAsia" w:ascii="宋体" w:hAnsi="宋体" w:eastAsia="宋体" w:cs="宋体"/>
                <w:b w:val="0"/>
                <w:bCs w:val="0"/>
                <w:color w:val="auto"/>
                <w:sz w:val="21"/>
                <w:szCs w:val="21"/>
                <w:lang w:val="en-US" w:eastAsia="zh-CN"/>
              </w:rPr>
              <w:t>评审由磋商小组依据以下</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rPr>
              <w:t>项内容进行</w:t>
            </w:r>
            <w:r>
              <w:rPr>
                <w:rFonts w:hint="eastAsia" w:ascii="宋体" w:hAnsi="宋体" w:eastAsia="宋体" w:cs="宋体"/>
                <w:color w:val="auto"/>
                <w:sz w:val="21"/>
                <w:szCs w:val="21"/>
                <w:lang w:val="en-US" w:eastAsia="zh-CN"/>
              </w:rPr>
              <w:t>综合评审：</w:t>
            </w:r>
          </w:p>
          <w:p w14:paraId="322F3C9A">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安全目标；</w:t>
            </w:r>
          </w:p>
          <w:p w14:paraId="7D3DD008">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安全管理机构；</w:t>
            </w:r>
          </w:p>
          <w:p w14:paraId="7D9B9FA0">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职责分工</w:t>
            </w:r>
            <w:r>
              <w:rPr>
                <w:rFonts w:hint="eastAsia" w:ascii="宋体" w:hAnsi="宋体" w:eastAsia="宋体" w:cs="宋体"/>
                <w:color w:val="auto"/>
                <w:sz w:val="21"/>
                <w:szCs w:val="21"/>
                <w:lang w:eastAsia="zh-CN"/>
              </w:rPr>
              <w:t>；</w:t>
            </w:r>
          </w:p>
          <w:p w14:paraId="27E68142">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4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⑷</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管理制度</w:t>
            </w:r>
            <w:r>
              <w:rPr>
                <w:rFonts w:hint="eastAsia" w:ascii="宋体" w:hAnsi="宋体" w:eastAsia="宋体" w:cs="宋体"/>
                <w:color w:val="auto"/>
                <w:sz w:val="21"/>
                <w:szCs w:val="21"/>
                <w:lang w:eastAsia="zh-CN"/>
              </w:rPr>
              <w:t>；</w:t>
            </w:r>
          </w:p>
          <w:p w14:paraId="748E432F">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5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⑸</w:t>
            </w:r>
            <w:r>
              <w:rPr>
                <w:rFonts w:hint="eastAsia" w:ascii="宋体" w:hAnsi="宋体" w:eastAsia="宋体" w:cs="宋体"/>
                <w:color w:val="auto"/>
                <w:lang w:eastAsia="zh-CN"/>
              </w:rPr>
              <w:t>实施</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监控措施</w:t>
            </w:r>
            <w:r>
              <w:rPr>
                <w:rFonts w:hint="eastAsia" w:ascii="宋体" w:hAnsi="宋体" w:eastAsia="宋体" w:cs="宋体"/>
                <w:color w:val="auto"/>
                <w:sz w:val="21"/>
                <w:szCs w:val="21"/>
                <w:lang w:eastAsia="zh-CN"/>
              </w:rPr>
              <w:t>。</w:t>
            </w:r>
          </w:p>
          <w:p w14:paraId="041AC13C">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满分标准</w:t>
            </w:r>
            <w:r>
              <w:rPr>
                <w:rFonts w:hint="eastAsia" w:ascii="宋体" w:hAnsi="宋体" w:eastAsia="宋体" w:cs="宋体"/>
                <w:color w:val="auto"/>
                <w:sz w:val="21"/>
                <w:szCs w:val="21"/>
                <w:lang w:val="en-US" w:eastAsia="zh-CN"/>
              </w:rPr>
              <w:t>：</w:t>
            </w:r>
          </w:p>
          <w:p w14:paraId="2593A36D">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安全目标符合或优于采购文件的要求</w:t>
            </w:r>
            <w:r>
              <w:rPr>
                <w:rFonts w:hint="eastAsia" w:ascii="宋体" w:hAnsi="宋体" w:eastAsia="宋体" w:cs="宋体"/>
                <w:color w:val="auto"/>
                <w:sz w:val="21"/>
                <w:szCs w:val="21"/>
                <w:lang w:val="en-US" w:eastAsia="zh-CN"/>
              </w:rPr>
              <w:t>的，得2分</w:t>
            </w:r>
            <w:r>
              <w:rPr>
                <w:rFonts w:hint="eastAsia" w:ascii="宋体" w:hAnsi="宋体" w:eastAsia="宋体" w:cs="宋体"/>
                <w:color w:val="auto"/>
                <w:sz w:val="21"/>
                <w:szCs w:val="21"/>
              </w:rPr>
              <w:t>；</w:t>
            </w:r>
          </w:p>
          <w:p w14:paraId="467C3E8F">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安全管理机构健全</w:t>
            </w:r>
            <w:r>
              <w:rPr>
                <w:rFonts w:hint="eastAsia" w:ascii="宋体" w:hAnsi="宋体" w:eastAsia="宋体" w:cs="宋体"/>
                <w:color w:val="auto"/>
                <w:sz w:val="21"/>
                <w:szCs w:val="21"/>
                <w:lang w:val="en-US" w:eastAsia="zh-CN"/>
              </w:rPr>
              <w:t>的，得2分；</w:t>
            </w:r>
          </w:p>
          <w:p w14:paraId="110B9A42">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职责分工明确</w:t>
            </w:r>
            <w:r>
              <w:rPr>
                <w:rFonts w:hint="eastAsia" w:ascii="宋体" w:hAnsi="宋体" w:eastAsia="宋体" w:cs="宋体"/>
                <w:color w:val="auto"/>
                <w:sz w:val="21"/>
                <w:szCs w:val="21"/>
                <w:lang w:val="en-US" w:eastAsia="zh-CN"/>
              </w:rPr>
              <w:t>的，得2分</w:t>
            </w:r>
            <w:r>
              <w:rPr>
                <w:rFonts w:hint="eastAsia" w:ascii="宋体" w:hAnsi="宋体" w:eastAsia="宋体" w:cs="宋体"/>
                <w:color w:val="auto"/>
                <w:sz w:val="21"/>
                <w:szCs w:val="21"/>
              </w:rPr>
              <w:t>；</w:t>
            </w:r>
          </w:p>
          <w:p w14:paraId="0CE5EE46">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4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⑷</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管理制度齐全</w:t>
            </w:r>
            <w:r>
              <w:rPr>
                <w:rFonts w:hint="eastAsia" w:ascii="宋体" w:hAnsi="宋体" w:eastAsia="宋体" w:cs="宋体"/>
                <w:color w:val="auto"/>
                <w:sz w:val="21"/>
                <w:szCs w:val="21"/>
                <w:lang w:val="en-US" w:eastAsia="zh-CN"/>
              </w:rPr>
              <w:t>的，得2分；</w:t>
            </w:r>
          </w:p>
          <w:p w14:paraId="76633F4F">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5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⑸</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实施与监控措施全面、有效</w:t>
            </w:r>
            <w:r>
              <w:rPr>
                <w:rFonts w:hint="eastAsia" w:ascii="宋体" w:hAnsi="宋体" w:eastAsia="宋体" w:cs="宋体"/>
                <w:color w:val="auto"/>
                <w:sz w:val="21"/>
                <w:szCs w:val="21"/>
                <w:lang w:val="en-US" w:eastAsia="zh-CN"/>
              </w:rPr>
              <w:t>的，得2分。</w:t>
            </w:r>
          </w:p>
          <w:p w14:paraId="2413378B">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安全管理体系与措施</w:t>
            </w:r>
            <w:r>
              <w:rPr>
                <w:rFonts w:hint="eastAsia" w:ascii="宋体" w:hAnsi="宋体" w:eastAsia="宋体" w:cs="宋体"/>
                <w:b w:val="0"/>
                <w:bCs w:val="0"/>
                <w:color w:val="auto"/>
                <w:sz w:val="21"/>
                <w:szCs w:val="21"/>
                <w:lang w:val="en-US" w:eastAsia="zh-CN"/>
              </w:rPr>
              <w:t>评审</w:t>
            </w:r>
            <w:r>
              <w:rPr>
                <w:rFonts w:hint="eastAsia" w:ascii="宋体" w:hAnsi="宋体" w:eastAsia="宋体" w:cs="宋体"/>
                <w:color w:val="auto"/>
                <w:sz w:val="21"/>
                <w:szCs w:val="21"/>
                <w:lang w:val="en-US" w:eastAsia="zh-CN"/>
              </w:rPr>
              <w:t>每缺少一项评审内容扣2分，总分10分；</w:t>
            </w:r>
          </w:p>
          <w:p w14:paraId="03117AD4">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扣分标准2</w:t>
            </w:r>
            <w:r>
              <w:rPr>
                <w:rFonts w:hint="eastAsia" w:ascii="宋体" w:hAnsi="宋体" w:eastAsia="宋体" w:cs="宋体"/>
                <w:color w:val="auto"/>
                <w:sz w:val="21"/>
                <w:szCs w:val="21"/>
                <w:lang w:val="en-US" w:eastAsia="zh-CN"/>
              </w:rPr>
              <w:t>：磋商小组对所有有效供应商的</w:t>
            </w:r>
            <w:r>
              <w:rPr>
                <w:rFonts w:hint="eastAsia" w:ascii="宋体" w:hAnsi="宋体" w:eastAsia="宋体" w:cs="宋体"/>
                <w:color w:val="auto"/>
                <w:sz w:val="21"/>
                <w:szCs w:val="21"/>
              </w:rPr>
              <w:t>安全管理体系与措施</w:t>
            </w:r>
            <w:r>
              <w:rPr>
                <w:rFonts w:hint="eastAsia" w:ascii="宋体" w:hAnsi="宋体" w:eastAsia="宋体" w:cs="宋体"/>
                <w:color w:val="auto"/>
                <w:sz w:val="21"/>
                <w:szCs w:val="21"/>
                <w:lang w:val="en-US" w:eastAsia="zh-CN"/>
              </w:rPr>
              <w:t>进行评审，分别以每项内容的安全目标符合度、</w:t>
            </w:r>
            <w:r>
              <w:rPr>
                <w:rFonts w:hint="eastAsia" w:ascii="宋体" w:hAnsi="宋体" w:eastAsia="宋体" w:cs="宋体"/>
                <w:color w:val="auto"/>
                <w:sz w:val="21"/>
                <w:szCs w:val="21"/>
              </w:rPr>
              <w:t>安全管理机构健全</w:t>
            </w:r>
            <w:r>
              <w:rPr>
                <w:rFonts w:hint="eastAsia" w:ascii="宋体" w:hAnsi="宋体" w:eastAsia="宋体" w:cs="宋体"/>
                <w:color w:val="auto"/>
                <w:sz w:val="21"/>
                <w:szCs w:val="21"/>
                <w:lang w:val="en-US" w:eastAsia="zh-CN"/>
              </w:rPr>
              <w:t>度、</w:t>
            </w:r>
            <w:r>
              <w:rPr>
                <w:rFonts w:hint="eastAsia" w:ascii="宋体" w:hAnsi="宋体" w:eastAsia="宋体" w:cs="宋体"/>
                <w:color w:val="auto"/>
                <w:sz w:val="21"/>
                <w:szCs w:val="21"/>
              </w:rPr>
              <w:t>职责分工明确</w:t>
            </w:r>
            <w:r>
              <w:rPr>
                <w:rFonts w:hint="eastAsia" w:ascii="宋体" w:hAnsi="宋体" w:eastAsia="宋体" w:cs="宋体"/>
                <w:color w:val="auto"/>
                <w:sz w:val="21"/>
                <w:szCs w:val="21"/>
                <w:lang w:val="en-US" w:eastAsia="zh-CN"/>
              </w:rPr>
              <w:t>度、</w:t>
            </w:r>
            <w:r>
              <w:rPr>
                <w:rFonts w:hint="eastAsia" w:ascii="宋体" w:hAnsi="宋体" w:eastAsia="宋体" w:cs="宋体"/>
                <w:color w:val="auto"/>
                <w:sz w:val="21"/>
                <w:szCs w:val="21"/>
              </w:rPr>
              <w:t>管理制度齐全</w:t>
            </w:r>
            <w:r>
              <w:rPr>
                <w:rFonts w:hint="eastAsia" w:ascii="宋体" w:hAnsi="宋体" w:eastAsia="宋体" w:cs="宋体"/>
                <w:color w:val="auto"/>
                <w:sz w:val="21"/>
                <w:szCs w:val="21"/>
                <w:lang w:val="en-US" w:eastAsia="zh-CN"/>
              </w:rPr>
              <w:t>度、</w:t>
            </w:r>
            <w:r>
              <w:rPr>
                <w:rFonts w:hint="eastAsia" w:ascii="宋体" w:hAnsi="宋体" w:eastAsia="宋体" w:cs="宋体"/>
                <w:color w:val="auto"/>
                <w:sz w:val="21"/>
                <w:szCs w:val="21"/>
              </w:rPr>
              <w:t>实施与监控措施全面</w:t>
            </w:r>
            <w:r>
              <w:rPr>
                <w:rFonts w:hint="eastAsia" w:ascii="宋体" w:hAnsi="宋体" w:eastAsia="宋体" w:cs="宋体"/>
                <w:color w:val="auto"/>
                <w:sz w:val="21"/>
                <w:szCs w:val="21"/>
                <w:lang w:val="en-US" w:eastAsia="zh-CN"/>
              </w:rPr>
              <w:t>性</w:t>
            </w:r>
            <w:r>
              <w:rPr>
                <w:rFonts w:hint="eastAsia" w:ascii="宋体" w:hAnsi="宋体" w:eastAsia="宋体" w:cs="宋体"/>
                <w:color w:val="auto"/>
                <w:sz w:val="21"/>
                <w:szCs w:val="21"/>
              </w:rPr>
              <w:t>、有效</w:t>
            </w:r>
            <w:r>
              <w:rPr>
                <w:rFonts w:hint="eastAsia" w:ascii="宋体" w:hAnsi="宋体" w:eastAsia="宋体" w:cs="宋体"/>
                <w:color w:val="auto"/>
                <w:sz w:val="21"/>
                <w:szCs w:val="21"/>
                <w:lang w:val="en-US" w:eastAsia="zh-CN"/>
              </w:rPr>
              <w:t>性进行评审。每项方案中存在上述内容任何一种缺陷的，扣0.5分。每一项评审内容满分2分，总分10分。</w:t>
            </w:r>
          </w:p>
        </w:tc>
      </w:tr>
      <w:tr w14:paraId="656E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439" w:type="dxa"/>
            <w:vMerge w:val="continue"/>
            <w:vAlign w:val="center"/>
          </w:tcPr>
          <w:p w14:paraId="1A9787FB">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p>
        </w:tc>
        <w:tc>
          <w:tcPr>
            <w:tcW w:w="661" w:type="dxa"/>
            <w:vAlign w:val="center"/>
          </w:tcPr>
          <w:p w14:paraId="0B9C62DA">
            <w:pPr>
              <w:pageBreakBefore w:val="0"/>
              <w:kinsoku/>
              <w:wordWrap w:val="0"/>
              <w:overflowPunct/>
              <w:bidi w:val="0"/>
              <w:spacing w:after="0" w:line="300" w:lineRule="exact"/>
              <w:ind w:firstLine="210" w:firstLineChars="1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4</w:t>
            </w:r>
          </w:p>
        </w:tc>
        <w:tc>
          <w:tcPr>
            <w:tcW w:w="2236" w:type="dxa"/>
            <w:vAlign w:val="center"/>
          </w:tcPr>
          <w:p w14:paraId="243B6295">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环境保护管理体系与措施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10分</w:t>
            </w:r>
            <w:r>
              <w:rPr>
                <w:rFonts w:hint="eastAsia" w:ascii="宋体" w:hAnsi="宋体" w:eastAsia="宋体" w:cs="宋体"/>
                <w:color w:val="auto"/>
                <w:sz w:val="21"/>
                <w:szCs w:val="21"/>
                <w:lang w:eastAsia="zh-CN"/>
              </w:rPr>
              <w:t>）</w:t>
            </w:r>
          </w:p>
        </w:tc>
        <w:tc>
          <w:tcPr>
            <w:tcW w:w="7533" w:type="dxa"/>
          </w:tcPr>
          <w:p w14:paraId="20450C83">
            <w:pPr>
              <w:pageBreakBefore w:val="0"/>
              <w:kinsoku/>
              <w:wordWrap w:val="0"/>
              <w:overflowPunct/>
              <w:bidi w:val="0"/>
              <w:spacing w:after="0" w:line="300" w:lineRule="exact"/>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color w:val="auto"/>
                <w:sz w:val="21"/>
                <w:szCs w:val="21"/>
              </w:rPr>
              <w:t>环境保护管理体系与措施</w:t>
            </w:r>
            <w:r>
              <w:rPr>
                <w:rFonts w:hint="eastAsia" w:ascii="宋体" w:hAnsi="宋体" w:eastAsia="宋体" w:cs="宋体"/>
                <w:b w:val="0"/>
                <w:bCs w:val="0"/>
                <w:color w:val="auto"/>
                <w:sz w:val="21"/>
                <w:szCs w:val="21"/>
                <w:lang w:val="en-US" w:eastAsia="zh-CN"/>
              </w:rPr>
              <w:t>评审由磋商小组依据以下</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rPr>
              <w:t>项内容进行</w:t>
            </w:r>
            <w:r>
              <w:rPr>
                <w:rFonts w:hint="eastAsia" w:ascii="宋体" w:hAnsi="宋体" w:eastAsia="宋体" w:cs="宋体"/>
                <w:color w:val="auto"/>
                <w:sz w:val="21"/>
                <w:szCs w:val="21"/>
                <w:lang w:val="en-US" w:eastAsia="zh-CN"/>
              </w:rPr>
              <w:t>综合评审：</w:t>
            </w:r>
          </w:p>
          <w:p w14:paraId="6BB1E26C">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环境管理目标；</w:t>
            </w:r>
          </w:p>
          <w:p w14:paraId="4EB6387A">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lang w:val="en-US" w:eastAsia="zh-CN"/>
              </w:rPr>
              <w:t>环境保护</w:t>
            </w:r>
            <w:r>
              <w:rPr>
                <w:rFonts w:hint="eastAsia" w:ascii="宋体" w:hAnsi="宋体" w:eastAsia="宋体" w:cs="宋体"/>
                <w:color w:val="auto"/>
                <w:sz w:val="21"/>
                <w:szCs w:val="21"/>
              </w:rPr>
              <w:t>管理机构；</w:t>
            </w:r>
          </w:p>
          <w:p w14:paraId="001E1C8B">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职责分工</w:t>
            </w:r>
            <w:r>
              <w:rPr>
                <w:rFonts w:hint="eastAsia" w:ascii="宋体" w:hAnsi="宋体" w:eastAsia="宋体" w:cs="宋体"/>
                <w:color w:val="auto"/>
                <w:sz w:val="21"/>
                <w:szCs w:val="21"/>
                <w:lang w:eastAsia="zh-CN"/>
              </w:rPr>
              <w:t>；</w:t>
            </w:r>
          </w:p>
          <w:p w14:paraId="1973AC62">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4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⑷</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管理制度</w:t>
            </w:r>
            <w:r>
              <w:rPr>
                <w:rFonts w:hint="eastAsia" w:ascii="宋体" w:hAnsi="宋体" w:eastAsia="宋体" w:cs="宋体"/>
                <w:color w:val="auto"/>
                <w:sz w:val="21"/>
                <w:szCs w:val="21"/>
                <w:lang w:eastAsia="zh-CN"/>
              </w:rPr>
              <w:t>；</w:t>
            </w:r>
          </w:p>
          <w:p w14:paraId="27922164">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5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⑸</w:t>
            </w:r>
            <w:r>
              <w:rPr>
                <w:rFonts w:hint="eastAsia" w:ascii="宋体" w:hAnsi="宋体" w:eastAsia="宋体" w:cs="宋体"/>
                <w:color w:val="auto"/>
                <w:lang w:eastAsia="zh-CN"/>
              </w:rPr>
              <w:t>实施</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监控措施</w:t>
            </w:r>
            <w:r>
              <w:rPr>
                <w:rFonts w:hint="eastAsia" w:ascii="宋体" w:hAnsi="宋体" w:eastAsia="宋体" w:cs="宋体"/>
                <w:color w:val="auto"/>
                <w:sz w:val="21"/>
                <w:szCs w:val="21"/>
                <w:lang w:eastAsia="zh-CN"/>
              </w:rPr>
              <w:t>。</w:t>
            </w:r>
          </w:p>
          <w:p w14:paraId="195E6EE8">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满分标准</w:t>
            </w:r>
            <w:r>
              <w:rPr>
                <w:rFonts w:hint="eastAsia" w:ascii="宋体" w:hAnsi="宋体" w:eastAsia="宋体" w:cs="宋体"/>
                <w:color w:val="auto"/>
                <w:sz w:val="21"/>
                <w:szCs w:val="21"/>
                <w:lang w:val="en-US" w:eastAsia="zh-CN"/>
              </w:rPr>
              <w:t>：</w:t>
            </w:r>
          </w:p>
          <w:p w14:paraId="236D7B44">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lang w:val="en-US" w:eastAsia="zh-CN"/>
              </w:rPr>
              <w:t>环境</w:t>
            </w:r>
            <w:r>
              <w:rPr>
                <w:rFonts w:hint="eastAsia" w:ascii="宋体" w:hAnsi="宋体" w:eastAsia="宋体" w:cs="宋体"/>
                <w:color w:val="auto"/>
                <w:sz w:val="21"/>
                <w:szCs w:val="21"/>
              </w:rPr>
              <w:t>目标符合或优于采购文件的要求</w:t>
            </w:r>
            <w:r>
              <w:rPr>
                <w:rFonts w:hint="eastAsia" w:ascii="宋体" w:hAnsi="宋体" w:eastAsia="宋体" w:cs="宋体"/>
                <w:color w:val="auto"/>
                <w:sz w:val="21"/>
                <w:szCs w:val="21"/>
                <w:lang w:val="en-US" w:eastAsia="zh-CN"/>
              </w:rPr>
              <w:t>的，得2分</w:t>
            </w:r>
            <w:r>
              <w:rPr>
                <w:rFonts w:hint="eastAsia" w:ascii="宋体" w:hAnsi="宋体" w:eastAsia="宋体" w:cs="宋体"/>
                <w:color w:val="auto"/>
                <w:sz w:val="21"/>
                <w:szCs w:val="21"/>
              </w:rPr>
              <w:t>；</w:t>
            </w:r>
          </w:p>
          <w:p w14:paraId="042E10B0">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lang w:val="en-US" w:eastAsia="zh-CN"/>
              </w:rPr>
              <w:t>环境</w:t>
            </w:r>
            <w:r>
              <w:rPr>
                <w:rFonts w:hint="eastAsia" w:ascii="宋体" w:hAnsi="宋体" w:eastAsia="宋体" w:cs="宋体"/>
                <w:color w:val="auto"/>
                <w:sz w:val="21"/>
                <w:szCs w:val="21"/>
              </w:rPr>
              <w:t>管理机构健全</w:t>
            </w:r>
            <w:r>
              <w:rPr>
                <w:rFonts w:hint="eastAsia" w:ascii="宋体" w:hAnsi="宋体" w:eastAsia="宋体" w:cs="宋体"/>
                <w:color w:val="auto"/>
                <w:sz w:val="21"/>
                <w:szCs w:val="21"/>
                <w:lang w:val="en-US" w:eastAsia="zh-CN"/>
              </w:rPr>
              <w:t>的，得2分；</w:t>
            </w:r>
          </w:p>
          <w:p w14:paraId="4810C1F0">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职责分工明确</w:t>
            </w:r>
            <w:r>
              <w:rPr>
                <w:rFonts w:hint="eastAsia" w:ascii="宋体" w:hAnsi="宋体" w:eastAsia="宋体" w:cs="宋体"/>
                <w:color w:val="auto"/>
                <w:sz w:val="21"/>
                <w:szCs w:val="21"/>
                <w:lang w:val="en-US" w:eastAsia="zh-CN"/>
              </w:rPr>
              <w:t>的，得2分</w:t>
            </w:r>
            <w:r>
              <w:rPr>
                <w:rFonts w:hint="eastAsia" w:ascii="宋体" w:hAnsi="宋体" w:eastAsia="宋体" w:cs="宋体"/>
                <w:color w:val="auto"/>
                <w:sz w:val="21"/>
                <w:szCs w:val="21"/>
              </w:rPr>
              <w:t>；</w:t>
            </w:r>
          </w:p>
          <w:p w14:paraId="48441037">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4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⑷</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管理制度齐全</w:t>
            </w:r>
            <w:r>
              <w:rPr>
                <w:rFonts w:hint="eastAsia" w:ascii="宋体" w:hAnsi="宋体" w:eastAsia="宋体" w:cs="宋体"/>
                <w:color w:val="auto"/>
                <w:sz w:val="21"/>
                <w:szCs w:val="21"/>
                <w:lang w:val="en-US" w:eastAsia="zh-CN"/>
              </w:rPr>
              <w:t>的，得2分；</w:t>
            </w:r>
          </w:p>
          <w:p w14:paraId="421252A6">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5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⑸</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实施与监控措施全面、有效</w:t>
            </w:r>
            <w:r>
              <w:rPr>
                <w:rFonts w:hint="eastAsia" w:ascii="宋体" w:hAnsi="宋体" w:eastAsia="宋体" w:cs="宋体"/>
                <w:color w:val="auto"/>
                <w:sz w:val="21"/>
                <w:szCs w:val="21"/>
                <w:lang w:val="en-US" w:eastAsia="zh-CN"/>
              </w:rPr>
              <w:t>的，得2分。</w:t>
            </w:r>
          </w:p>
          <w:p w14:paraId="553F0B7C">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扣分标准1</w:t>
            </w:r>
            <w:r>
              <w:rPr>
                <w:rFonts w:hint="eastAsia" w:ascii="宋体" w:hAnsi="宋体" w:eastAsia="宋体" w:cs="宋体"/>
                <w:color w:val="auto"/>
                <w:sz w:val="21"/>
                <w:szCs w:val="21"/>
                <w:lang w:val="en-US" w:eastAsia="zh-CN"/>
              </w:rPr>
              <w:t>：环境</w:t>
            </w:r>
            <w:r>
              <w:rPr>
                <w:rFonts w:hint="eastAsia" w:ascii="宋体" w:hAnsi="宋体" w:eastAsia="宋体" w:cs="宋体"/>
                <w:color w:val="auto"/>
                <w:sz w:val="21"/>
                <w:szCs w:val="21"/>
              </w:rPr>
              <w:t>管理体系与措施</w:t>
            </w:r>
            <w:r>
              <w:rPr>
                <w:rFonts w:hint="eastAsia" w:ascii="宋体" w:hAnsi="宋体" w:eastAsia="宋体" w:cs="宋体"/>
                <w:b w:val="0"/>
                <w:bCs w:val="0"/>
                <w:color w:val="auto"/>
                <w:sz w:val="21"/>
                <w:szCs w:val="21"/>
                <w:lang w:val="en-US" w:eastAsia="zh-CN"/>
              </w:rPr>
              <w:t>评审</w:t>
            </w:r>
            <w:r>
              <w:rPr>
                <w:rFonts w:hint="eastAsia" w:ascii="宋体" w:hAnsi="宋体" w:eastAsia="宋体" w:cs="宋体"/>
                <w:color w:val="auto"/>
                <w:sz w:val="21"/>
                <w:szCs w:val="21"/>
                <w:lang w:val="en-US" w:eastAsia="zh-CN"/>
              </w:rPr>
              <w:t>每缺少一项评审内容扣2分，总分10分；</w:t>
            </w:r>
          </w:p>
          <w:p w14:paraId="5ABC0993">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扣分标准2</w:t>
            </w:r>
            <w:r>
              <w:rPr>
                <w:rFonts w:hint="eastAsia" w:ascii="宋体" w:hAnsi="宋体" w:eastAsia="宋体" w:cs="宋体"/>
                <w:color w:val="auto"/>
                <w:sz w:val="21"/>
                <w:szCs w:val="21"/>
                <w:lang w:val="en-US" w:eastAsia="zh-CN"/>
              </w:rPr>
              <w:t>：磋商小组对所有有效供应商的环境</w:t>
            </w:r>
            <w:r>
              <w:rPr>
                <w:rFonts w:hint="eastAsia" w:ascii="宋体" w:hAnsi="宋体" w:eastAsia="宋体" w:cs="宋体"/>
                <w:color w:val="auto"/>
                <w:sz w:val="21"/>
                <w:szCs w:val="21"/>
              </w:rPr>
              <w:t>管理体系与措施</w:t>
            </w:r>
            <w:r>
              <w:rPr>
                <w:rFonts w:hint="eastAsia" w:ascii="宋体" w:hAnsi="宋体" w:eastAsia="宋体" w:cs="宋体"/>
                <w:color w:val="auto"/>
                <w:sz w:val="21"/>
                <w:szCs w:val="21"/>
                <w:lang w:val="en-US" w:eastAsia="zh-CN"/>
              </w:rPr>
              <w:t>进行评审，分别以每项内容的环境目标符合度、环境</w:t>
            </w:r>
            <w:r>
              <w:rPr>
                <w:rFonts w:hint="eastAsia" w:ascii="宋体" w:hAnsi="宋体" w:eastAsia="宋体" w:cs="宋体"/>
                <w:color w:val="auto"/>
                <w:sz w:val="21"/>
                <w:szCs w:val="21"/>
              </w:rPr>
              <w:t>管理机构健全</w:t>
            </w:r>
            <w:r>
              <w:rPr>
                <w:rFonts w:hint="eastAsia" w:ascii="宋体" w:hAnsi="宋体" w:eastAsia="宋体" w:cs="宋体"/>
                <w:color w:val="auto"/>
                <w:sz w:val="21"/>
                <w:szCs w:val="21"/>
                <w:lang w:val="en-US" w:eastAsia="zh-CN"/>
              </w:rPr>
              <w:t>度、</w:t>
            </w:r>
            <w:r>
              <w:rPr>
                <w:rFonts w:hint="eastAsia" w:ascii="宋体" w:hAnsi="宋体" w:eastAsia="宋体" w:cs="宋体"/>
                <w:color w:val="auto"/>
                <w:sz w:val="21"/>
                <w:szCs w:val="21"/>
              </w:rPr>
              <w:t>职责分工明确</w:t>
            </w:r>
            <w:r>
              <w:rPr>
                <w:rFonts w:hint="eastAsia" w:ascii="宋体" w:hAnsi="宋体" w:eastAsia="宋体" w:cs="宋体"/>
                <w:color w:val="auto"/>
                <w:sz w:val="21"/>
                <w:szCs w:val="21"/>
                <w:lang w:val="en-US" w:eastAsia="zh-CN"/>
              </w:rPr>
              <w:t>度、</w:t>
            </w:r>
            <w:r>
              <w:rPr>
                <w:rFonts w:hint="eastAsia" w:ascii="宋体" w:hAnsi="宋体" w:eastAsia="宋体" w:cs="宋体"/>
                <w:color w:val="auto"/>
                <w:sz w:val="21"/>
                <w:szCs w:val="21"/>
              </w:rPr>
              <w:t>管理制度齐全</w:t>
            </w:r>
            <w:r>
              <w:rPr>
                <w:rFonts w:hint="eastAsia" w:ascii="宋体" w:hAnsi="宋体" w:eastAsia="宋体" w:cs="宋体"/>
                <w:color w:val="auto"/>
                <w:sz w:val="21"/>
                <w:szCs w:val="21"/>
                <w:lang w:val="en-US" w:eastAsia="zh-CN"/>
              </w:rPr>
              <w:t>度、</w:t>
            </w:r>
            <w:r>
              <w:rPr>
                <w:rFonts w:hint="eastAsia" w:ascii="宋体" w:hAnsi="宋体" w:eastAsia="宋体" w:cs="宋体"/>
                <w:color w:val="auto"/>
                <w:sz w:val="21"/>
                <w:szCs w:val="21"/>
              </w:rPr>
              <w:t>实施与监控措施全面</w:t>
            </w:r>
            <w:r>
              <w:rPr>
                <w:rFonts w:hint="eastAsia" w:ascii="宋体" w:hAnsi="宋体" w:eastAsia="宋体" w:cs="宋体"/>
                <w:color w:val="auto"/>
                <w:sz w:val="21"/>
                <w:szCs w:val="21"/>
                <w:lang w:val="en-US" w:eastAsia="zh-CN"/>
              </w:rPr>
              <w:t>性</w:t>
            </w:r>
            <w:r>
              <w:rPr>
                <w:rFonts w:hint="eastAsia" w:ascii="宋体" w:hAnsi="宋体" w:eastAsia="宋体" w:cs="宋体"/>
                <w:color w:val="auto"/>
                <w:sz w:val="21"/>
                <w:szCs w:val="21"/>
              </w:rPr>
              <w:t>、有效</w:t>
            </w:r>
            <w:r>
              <w:rPr>
                <w:rFonts w:hint="eastAsia" w:ascii="宋体" w:hAnsi="宋体" w:eastAsia="宋体" w:cs="宋体"/>
                <w:color w:val="auto"/>
                <w:sz w:val="21"/>
                <w:szCs w:val="21"/>
                <w:lang w:val="en-US" w:eastAsia="zh-CN"/>
              </w:rPr>
              <w:t>性进行评审。每项方案中存在上述内容任何一种缺陷的，扣0.5分。每一项评审内容满分2分，总分10分。</w:t>
            </w:r>
          </w:p>
        </w:tc>
      </w:tr>
      <w:tr w14:paraId="17ED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439" w:type="dxa"/>
            <w:vMerge w:val="continue"/>
            <w:vAlign w:val="center"/>
          </w:tcPr>
          <w:p w14:paraId="57EFF37A">
            <w:pPr>
              <w:pageBreakBefore w:val="0"/>
              <w:kinsoku/>
              <w:wordWrap w:val="0"/>
              <w:overflowPunct/>
              <w:bidi w:val="0"/>
              <w:spacing w:after="0" w:line="300" w:lineRule="exact"/>
              <w:textAlignment w:val="auto"/>
              <w:rPr>
                <w:rFonts w:hint="eastAsia" w:ascii="宋体" w:hAnsi="宋体" w:eastAsia="宋体" w:cs="宋体"/>
                <w:color w:val="auto"/>
                <w:sz w:val="21"/>
                <w:szCs w:val="21"/>
              </w:rPr>
            </w:pPr>
          </w:p>
        </w:tc>
        <w:tc>
          <w:tcPr>
            <w:tcW w:w="661" w:type="dxa"/>
            <w:vAlign w:val="center"/>
          </w:tcPr>
          <w:p w14:paraId="0F75EB6A">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5</w:t>
            </w:r>
          </w:p>
        </w:tc>
        <w:tc>
          <w:tcPr>
            <w:tcW w:w="2236" w:type="dxa"/>
            <w:vAlign w:val="center"/>
          </w:tcPr>
          <w:p w14:paraId="18F9184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工程进度与保证措施</w:t>
            </w:r>
          </w:p>
          <w:p w14:paraId="1BB6309C">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（10分）</w:t>
            </w:r>
          </w:p>
        </w:tc>
        <w:tc>
          <w:tcPr>
            <w:tcW w:w="7533" w:type="dxa"/>
          </w:tcPr>
          <w:p w14:paraId="34EAD629">
            <w:pPr>
              <w:pageBreakBefore w:val="0"/>
              <w:kinsoku/>
              <w:wordWrap w:val="0"/>
              <w:overflowPunct/>
              <w:bidi w:val="0"/>
              <w:spacing w:after="0" w:line="300" w:lineRule="exact"/>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color w:val="auto"/>
                <w:sz w:val="21"/>
                <w:szCs w:val="21"/>
              </w:rPr>
              <w:t>工程进度与保证措施</w:t>
            </w:r>
            <w:r>
              <w:rPr>
                <w:rFonts w:hint="eastAsia" w:ascii="宋体" w:hAnsi="宋体" w:eastAsia="宋体" w:cs="宋体"/>
                <w:b w:val="0"/>
                <w:bCs w:val="0"/>
                <w:color w:val="auto"/>
                <w:sz w:val="21"/>
                <w:szCs w:val="21"/>
                <w:lang w:val="en-US" w:eastAsia="zh-CN"/>
              </w:rPr>
              <w:t>评审由磋商小组依据以下</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项内容进行</w:t>
            </w:r>
            <w:r>
              <w:rPr>
                <w:rFonts w:hint="eastAsia" w:ascii="宋体" w:hAnsi="宋体" w:eastAsia="宋体" w:cs="宋体"/>
                <w:color w:val="auto"/>
                <w:sz w:val="21"/>
                <w:szCs w:val="21"/>
                <w:lang w:val="en-US" w:eastAsia="zh-CN"/>
              </w:rPr>
              <w:t>综合评审：</w:t>
            </w:r>
          </w:p>
          <w:p w14:paraId="0EF8E2DE">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总工期及节点工期；</w:t>
            </w:r>
          </w:p>
          <w:p w14:paraId="45EF0451">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施工进度计划；</w:t>
            </w:r>
          </w:p>
          <w:p w14:paraId="3E6824D1">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lang w:val="en-US" w:eastAsia="zh-CN"/>
              </w:rPr>
              <w:t>施工</w:t>
            </w:r>
            <w:r>
              <w:rPr>
                <w:rFonts w:hint="eastAsia" w:ascii="宋体" w:hAnsi="宋体" w:eastAsia="宋体" w:cs="宋体"/>
                <w:color w:val="auto"/>
                <w:sz w:val="21"/>
                <w:szCs w:val="21"/>
              </w:rPr>
              <w:t>措施</w:t>
            </w:r>
            <w:r>
              <w:rPr>
                <w:rFonts w:hint="eastAsia" w:ascii="宋体" w:hAnsi="宋体" w:eastAsia="宋体" w:cs="宋体"/>
                <w:color w:val="auto"/>
                <w:sz w:val="21"/>
                <w:szCs w:val="21"/>
                <w:lang w:eastAsia="zh-CN"/>
              </w:rPr>
              <w:t>；</w:t>
            </w:r>
          </w:p>
          <w:p w14:paraId="29F8C479">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4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⑷</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违约责任承诺</w:t>
            </w:r>
            <w:r>
              <w:rPr>
                <w:rFonts w:hint="eastAsia" w:ascii="宋体" w:hAnsi="宋体" w:eastAsia="宋体" w:cs="宋体"/>
                <w:color w:val="auto"/>
                <w:sz w:val="21"/>
                <w:szCs w:val="21"/>
                <w:lang w:eastAsia="zh-CN"/>
              </w:rPr>
              <w:t>。</w:t>
            </w:r>
          </w:p>
          <w:p w14:paraId="66A741B3">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满分标准</w:t>
            </w:r>
            <w:r>
              <w:rPr>
                <w:rFonts w:hint="eastAsia" w:ascii="宋体" w:hAnsi="宋体" w:eastAsia="宋体" w:cs="宋体"/>
                <w:color w:val="auto"/>
                <w:sz w:val="21"/>
                <w:szCs w:val="21"/>
                <w:lang w:val="en-US" w:eastAsia="zh-CN"/>
              </w:rPr>
              <w:t>：</w:t>
            </w:r>
          </w:p>
          <w:p w14:paraId="1498EB9A">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总工期及节点工期满足采购文件要求</w:t>
            </w:r>
            <w:r>
              <w:rPr>
                <w:rFonts w:hint="eastAsia" w:ascii="宋体" w:hAnsi="宋体" w:eastAsia="宋体" w:cs="宋体"/>
                <w:color w:val="auto"/>
                <w:sz w:val="21"/>
                <w:szCs w:val="21"/>
                <w:lang w:val="en-US" w:eastAsia="zh-CN"/>
              </w:rPr>
              <w:t>的，得2.5分</w:t>
            </w:r>
            <w:r>
              <w:rPr>
                <w:rFonts w:hint="eastAsia" w:ascii="宋体" w:hAnsi="宋体" w:eastAsia="宋体" w:cs="宋体"/>
                <w:color w:val="auto"/>
                <w:sz w:val="21"/>
                <w:szCs w:val="21"/>
              </w:rPr>
              <w:t>；</w:t>
            </w:r>
          </w:p>
          <w:p w14:paraId="1EEFDCE9">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施工进度计划内容全面</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线路清晰、准确、完整</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计划编制合理、可行</w:t>
            </w:r>
            <w:r>
              <w:rPr>
                <w:rFonts w:hint="eastAsia" w:ascii="宋体" w:hAnsi="宋体" w:eastAsia="宋体" w:cs="宋体"/>
                <w:color w:val="auto"/>
                <w:sz w:val="21"/>
                <w:szCs w:val="21"/>
                <w:lang w:val="en-US" w:eastAsia="zh-CN"/>
              </w:rPr>
              <w:t>的，得2.5分；</w:t>
            </w:r>
          </w:p>
          <w:p w14:paraId="5F79B300">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措施有力、合理、可行</w:t>
            </w:r>
            <w:r>
              <w:rPr>
                <w:rFonts w:hint="eastAsia" w:ascii="宋体" w:hAnsi="宋体" w:eastAsia="宋体" w:cs="宋体"/>
                <w:color w:val="auto"/>
                <w:sz w:val="21"/>
                <w:szCs w:val="21"/>
                <w:lang w:val="en-US" w:eastAsia="zh-CN"/>
              </w:rPr>
              <w:t>的，得2.5分</w:t>
            </w:r>
            <w:r>
              <w:rPr>
                <w:rFonts w:hint="eastAsia" w:ascii="宋体" w:hAnsi="宋体" w:eastAsia="宋体" w:cs="宋体"/>
                <w:color w:val="auto"/>
                <w:sz w:val="21"/>
                <w:szCs w:val="21"/>
              </w:rPr>
              <w:t>；</w:t>
            </w:r>
          </w:p>
          <w:p w14:paraId="0FC52833">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4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⑷</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有具体违约责任承诺，充分满足采购人采购需求</w:t>
            </w:r>
            <w:r>
              <w:rPr>
                <w:rFonts w:hint="eastAsia" w:ascii="宋体" w:hAnsi="宋体" w:eastAsia="宋体" w:cs="宋体"/>
                <w:color w:val="auto"/>
                <w:sz w:val="21"/>
                <w:szCs w:val="21"/>
                <w:lang w:val="en-US" w:eastAsia="zh-CN"/>
              </w:rPr>
              <w:t>的，得2.5分；</w:t>
            </w:r>
          </w:p>
          <w:p w14:paraId="3469159E">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扣分标准1</w:t>
            </w:r>
            <w:r>
              <w:rPr>
                <w:rFonts w:hint="eastAsia" w:ascii="宋体" w:hAnsi="宋体" w:eastAsia="宋体" w:cs="宋体"/>
                <w:color w:val="auto"/>
                <w:sz w:val="21"/>
                <w:szCs w:val="21"/>
                <w:lang w:val="en-US" w:eastAsia="zh-CN"/>
              </w:rPr>
              <w:t>：工程进度与保证措施</w:t>
            </w:r>
            <w:r>
              <w:rPr>
                <w:rFonts w:hint="eastAsia" w:ascii="宋体" w:hAnsi="宋体" w:eastAsia="宋体" w:cs="宋体"/>
                <w:b w:val="0"/>
                <w:bCs w:val="0"/>
                <w:color w:val="auto"/>
                <w:sz w:val="21"/>
                <w:szCs w:val="21"/>
                <w:lang w:val="en-US" w:eastAsia="zh-CN"/>
              </w:rPr>
              <w:t>评审</w:t>
            </w:r>
            <w:r>
              <w:rPr>
                <w:rFonts w:hint="eastAsia" w:ascii="宋体" w:hAnsi="宋体" w:eastAsia="宋体" w:cs="宋体"/>
                <w:color w:val="auto"/>
                <w:sz w:val="21"/>
                <w:szCs w:val="21"/>
                <w:lang w:val="en-US" w:eastAsia="zh-CN"/>
              </w:rPr>
              <w:t>每缺少一项评审内容扣2.5分，总分10分；</w:t>
            </w:r>
          </w:p>
          <w:p w14:paraId="242566E3">
            <w:pPr>
              <w:pageBreakBefore w:val="0"/>
              <w:kinsoku/>
              <w:wordWrap w:val="0"/>
              <w:overflowPunct/>
              <w:bidi w:val="0"/>
              <w:spacing w:after="0" w:line="300" w:lineRule="exact"/>
              <w:jc w:val="both"/>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扣分标准2</w:t>
            </w:r>
            <w:r>
              <w:rPr>
                <w:rFonts w:hint="eastAsia" w:ascii="宋体" w:hAnsi="宋体" w:eastAsia="宋体" w:cs="宋体"/>
                <w:color w:val="auto"/>
                <w:sz w:val="21"/>
                <w:szCs w:val="21"/>
                <w:lang w:val="en-US" w:eastAsia="zh-CN"/>
              </w:rPr>
              <w:t>：磋商小组对所有有效供应商的</w:t>
            </w:r>
            <w:r>
              <w:rPr>
                <w:rFonts w:hint="eastAsia" w:ascii="宋体" w:hAnsi="宋体" w:eastAsia="宋体" w:cs="宋体"/>
                <w:color w:val="auto"/>
                <w:sz w:val="21"/>
                <w:szCs w:val="21"/>
              </w:rPr>
              <w:t>工程进度与保证措施</w:t>
            </w:r>
            <w:r>
              <w:rPr>
                <w:rFonts w:hint="eastAsia" w:ascii="宋体" w:hAnsi="宋体" w:eastAsia="宋体" w:cs="宋体"/>
                <w:color w:val="auto"/>
                <w:sz w:val="21"/>
                <w:szCs w:val="21"/>
                <w:lang w:val="en-US" w:eastAsia="zh-CN"/>
              </w:rPr>
              <w:t>进行评审，分别以每项内容的总工期及节点工期是否满足采购文件要求、施工进度计划内容全面性，线路清晰度、准确度、完整性，计划编制合理性、可行性、施工措施有力度、合理性、可行性、违约责任承诺具体度等进行评审。每项方案中存在上述内容任何一种缺陷的，扣0.5分。每一项评审内容满分2.5分，总分10分。</w:t>
            </w:r>
          </w:p>
        </w:tc>
      </w:tr>
      <w:tr w14:paraId="03E4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trPr>
        <w:tc>
          <w:tcPr>
            <w:tcW w:w="439" w:type="dxa"/>
            <w:vMerge w:val="continue"/>
            <w:vAlign w:val="center"/>
          </w:tcPr>
          <w:p w14:paraId="58DC0ED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p>
        </w:tc>
        <w:tc>
          <w:tcPr>
            <w:tcW w:w="661" w:type="dxa"/>
            <w:vAlign w:val="center"/>
          </w:tcPr>
          <w:p w14:paraId="324AFC64">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6</w:t>
            </w:r>
          </w:p>
        </w:tc>
        <w:tc>
          <w:tcPr>
            <w:tcW w:w="2236" w:type="dxa"/>
            <w:vAlign w:val="center"/>
          </w:tcPr>
          <w:p w14:paraId="0354EBB3">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资源配备计划</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w:t>
            </w:r>
          </w:p>
        </w:tc>
        <w:tc>
          <w:tcPr>
            <w:tcW w:w="7533" w:type="dxa"/>
            <w:vAlign w:val="center"/>
          </w:tcPr>
          <w:p w14:paraId="36A57007">
            <w:pPr>
              <w:pageBreakBefore w:val="0"/>
              <w:kinsoku/>
              <w:wordWrap w:val="0"/>
              <w:overflowPunct/>
              <w:bidi w:val="0"/>
              <w:spacing w:after="0" w:line="300" w:lineRule="exact"/>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color w:val="auto"/>
                <w:sz w:val="21"/>
                <w:szCs w:val="21"/>
              </w:rPr>
              <w:t>资源配备计划</w:t>
            </w:r>
            <w:r>
              <w:rPr>
                <w:rFonts w:hint="eastAsia" w:ascii="宋体" w:hAnsi="宋体" w:eastAsia="宋体" w:cs="宋体"/>
                <w:b w:val="0"/>
                <w:bCs w:val="0"/>
                <w:color w:val="auto"/>
                <w:sz w:val="21"/>
                <w:szCs w:val="21"/>
                <w:lang w:val="en-US" w:eastAsia="zh-CN"/>
              </w:rPr>
              <w:t>评审由磋商小组依据以下四</w:t>
            </w:r>
            <w:r>
              <w:rPr>
                <w:rFonts w:hint="eastAsia" w:ascii="宋体" w:hAnsi="宋体" w:eastAsia="宋体" w:cs="宋体"/>
                <w:color w:val="auto"/>
                <w:sz w:val="21"/>
                <w:szCs w:val="21"/>
              </w:rPr>
              <w:t>项内容进行</w:t>
            </w:r>
            <w:r>
              <w:rPr>
                <w:rFonts w:hint="eastAsia" w:ascii="宋体" w:hAnsi="宋体" w:eastAsia="宋体" w:cs="宋体"/>
                <w:color w:val="auto"/>
                <w:sz w:val="21"/>
                <w:szCs w:val="21"/>
                <w:lang w:val="en-US" w:eastAsia="zh-CN"/>
              </w:rPr>
              <w:t>综合评审：</w:t>
            </w:r>
          </w:p>
          <w:p w14:paraId="42E16C4C">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1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⑴</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劳动力计划；</w:t>
            </w:r>
          </w:p>
          <w:p w14:paraId="2D471A43">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2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⑵</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周转材料计划；</w:t>
            </w:r>
          </w:p>
          <w:p w14:paraId="41A82F98">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3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⑶</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施工机具计划</w:t>
            </w:r>
            <w:r>
              <w:rPr>
                <w:rFonts w:hint="eastAsia" w:ascii="宋体" w:hAnsi="宋体" w:eastAsia="宋体" w:cs="宋体"/>
                <w:color w:val="auto"/>
                <w:sz w:val="21"/>
                <w:szCs w:val="21"/>
                <w:lang w:eastAsia="zh-CN"/>
              </w:rPr>
              <w:t>；</w:t>
            </w:r>
          </w:p>
          <w:p w14:paraId="50AB36D3">
            <w:pPr>
              <w:pageBreakBefore w:val="0"/>
              <w:kinsoku/>
              <w:wordWrap w:val="0"/>
              <w:overflowPunct/>
              <w:bidi w:val="0"/>
              <w:spacing w:after="0" w:line="30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4 \* GB2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rPr>
              <w:t>⑷</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主要材料一次性需用量计划等资源投入计划</w:t>
            </w:r>
            <w:r>
              <w:rPr>
                <w:rFonts w:hint="eastAsia" w:ascii="宋体" w:hAnsi="宋体" w:eastAsia="宋体" w:cs="宋体"/>
                <w:color w:val="auto"/>
                <w:sz w:val="21"/>
                <w:szCs w:val="21"/>
                <w:lang w:eastAsia="zh-CN"/>
              </w:rPr>
              <w:t>。</w:t>
            </w:r>
          </w:p>
          <w:p w14:paraId="0E46851C">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满分标准</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劳动力计划、周转材料计划、施工机具计划、主要材料一次性需用量计划等资源投入计划与施工部署、施工方法及进度计划呼应，很好</w:t>
            </w:r>
            <w:r>
              <w:rPr>
                <w:rFonts w:hint="eastAsia" w:ascii="宋体" w:hAnsi="宋体" w:eastAsia="宋体" w:cs="宋体"/>
                <w:color w:val="auto"/>
                <w:sz w:val="21"/>
                <w:szCs w:val="21"/>
                <w:lang w:eastAsia="zh-CN"/>
              </w:rPr>
              <w:t>地</w:t>
            </w:r>
            <w:r>
              <w:rPr>
                <w:rFonts w:hint="eastAsia" w:ascii="宋体" w:hAnsi="宋体" w:eastAsia="宋体" w:cs="宋体"/>
                <w:color w:val="auto"/>
                <w:sz w:val="21"/>
                <w:szCs w:val="21"/>
              </w:rPr>
              <w:t>满足施工需要，调配投入计划合理、准确全面</w:t>
            </w:r>
            <w:r>
              <w:rPr>
                <w:rFonts w:hint="eastAsia" w:ascii="宋体" w:hAnsi="宋体" w:eastAsia="宋体" w:cs="宋体"/>
                <w:color w:val="auto"/>
                <w:sz w:val="21"/>
                <w:szCs w:val="21"/>
                <w:lang w:val="en-US" w:eastAsia="zh-CN"/>
              </w:rPr>
              <w:t>的，得满分12分。</w:t>
            </w:r>
          </w:p>
          <w:p w14:paraId="569AA74C">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资源配备计划</w:t>
            </w:r>
            <w:r>
              <w:rPr>
                <w:rFonts w:hint="eastAsia" w:ascii="宋体" w:hAnsi="宋体" w:eastAsia="宋体" w:cs="宋体"/>
                <w:b w:val="0"/>
                <w:bCs w:val="0"/>
                <w:color w:val="auto"/>
                <w:sz w:val="21"/>
                <w:szCs w:val="21"/>
                <w:lang w:val="en-US" w:eastAsia="zh-CN"/>
              </w:rPr>
              <w:t>评审</w:t>
            </w:r>
            <w:r>
              <w:rPr>
                <w:rFonts w:hint="eastAsia" w:ascii="宋体" w:hAnsi="宋体" w:eastAsia="宋体" w:cs="宋体"/>
                <w:color w:val="auto"/>
                <w:sz w:val="21"/>
                <w:szCs w:val="21"/>
                <w:lang w:val="en-US" w:eastAsia="zh-CN"/>
              </w:rPr>
              <w:t>每缺少一项评审内容扣3分，总分12分；</w:t>
            </w:r>
          </w:p>
          <w:p w14:paraId="79A2D6A7">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扣分标准2</w:t>
            </w:r>
            <w:r>
              <w:rPr>
                <w:rFonts w:hint="eastAsia" w:ascii="宋体" w:hAnsi="宋体" w:eastAsia="宋体" w:cs="宋体"/>
                <w:color w:val="auto"/>
                <w:sz w:val="21"/>
                <w:szCs w:val="21"/>
                <w:lang w:val="en-US" w:eastAsia="zh-CN"/>
              </w:rPr>
              <w:t>：磋商小组对所有有效供应商的</w:t>
            </w:r>
            <w:r>
              <w:rPr>
                <w:rFonts w:hint="eastAsia" w:ascii="宋体" w:hAnsi="宋体" w:eastAsia="宋体" w:cs="宋体"/>
                <w:color w:val="auto"/>
                <w:sz w:val="21"/>
                <w:szCs w:val="21"/>
              </w:rPr>
              <w:t>资源配备计划</w:t>
            </w:r>
            <w:r>
              <w:rPr>
                <w:rFonts w:hint="eastAsia" w:ascii="宋体" w:hAnsi="宋体" w:eastAsia="宋体" w:cs="宋体"/>
                <w:color w:val="auto"/>
                <w:sz w:val="21"/>
                <w:szCs w:val="21"/>
                <w:lang w:val="en-US" w:eastAsia="zh-CN"/>
              </w:rPr>
              <w:t>进行评审，分别以每项内容的</w:t>
            </w:r>
            <w:r>
              <w:rPr>
                <w:rFonts w:hint="eastAsia" w:ascii="宋体" w:hAnsi="宋体" w:eastAsia="宋体" w:cs="宋体"/>
                <w:color w:val="auto"/>
                <w:sz w:val="21"/>
                <w:szCs w:val="21"/>
              </w:rPr>
              <w:t>劳动力计划、周转材料计划、施工机具计划、主要材料一次性需用量计划等资源投入计划与施工部署、施工方法及进度计划呼应</w:t>
            </w:r>
            <w:r>
              <w:rPr>
                <w:rFonts w:hint="eastAsia" w:ascii="宋体" w:hAnsi="宋体" w:eastAsia="宋体" w:cs="宋体"/>
                <w:color w:val="auto"/>
                <w:sz w:val="21"/>
                <w:szCs w:val="21"/>
                <w:lang w:val="en-US" w:eastAsia="zh-CN"/>
              </w:rPr>
              <w:t>性</w:t>
            </w:r>
            <w:r>
              <w:rPr>
                <w:rFonts w:hint="eastAsia" w:ascii="宋体" w:hAnsi="宋体" w:eastAsia="宋体" w:cs="宋体"/>
                <w:color w:val="auto"/>
                <w:sz w:val="21"/>
                <w:szCs w:val="21"/>
              </w:rPr>
              <w:t>，施工需要</w:t>
            </w:r>
            <w:r>
              <w:rPr>
                <w:rFonts w:hint="eastAsia" w:ascii="宋体" w:hAnsi="宋体" w:eastAsia="宋体" w:cs="宋体"/>
                <w:color w:val="auto"/>
                <w:sz w:val="21"/>
                <w:szCs w:val="21"/>
                <w:lang w:val="en-US" w:eastAsia="zh-CN"/>
              </w:rPr>
              <w:t>满足度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调配投入计划合理</w:t>
            </w:r>
            <w:r>
              <w:rPr>
                <w:rFonts w:hint="eastAsia" w:ascii="宋体" w:hAnsi="宋体" w:eastAsia="宋体" w:cs="宋体"/>
                <w:color w:val="auto"/>
                <w:sz w:val="21"/>
                <w:szCs w:val="21"/>
                <w:lang w:val="en-US" w:eastAsia="zh-CN"/>
              </w:rPr>
              <w:t>性</w:t>
            </w:r>
            <w:r>
              <w:rPr>
                <w:rFonts w:hint="eastAsia" w:ascii="宋体" w:hAnsi="宋体" w:eastAsia="宋体" w:cs="宋体"/>
                <w:color w:val="auto"/>
                <w:sz w:val="21"/>
                <w:szCs w:val="21"/>
              </w:rPr>
              <w:t>、准确全面</w:t>
            </w:r>
            <w:r>
              <w:rPr>
                <w:rFonts w:hint="eastAsia" w:ascii="宋体" w:hAnsi="宋体" w:eastAsia="宋体" w:cs="宋体"/>
                <w:color w:val="auto"/>
                <w:sz w:val="21"/>
                <w:szCs w:val="21"/>
                <w:lang w:val="en-US" w:eastAsia="zh-CN"/>
              </w:rPr>
              <w:t>度等进行评审。每项方案中存在上述内容任何一种缺陷的，扣1分。每一项评审内容满分3分，总分12分。</w:t>
            </w:r>
          </w:p>
        </w:tc>
      </w:tr>
      <w:tr w14:paraId="0AAB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rPr>
        <w:tc>
          <w:tcPr>
            <w:tcW w:w="439" w:type="dxa"/>
            <w:vMerge w:val="continue"/>
            <w:vAlign w:val="center"/>
          </w:tcPr>
          <w:p w14:paraId="49AA903D">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p>
        </w:tc>
        <w:tc>
          <w:tcPr>
            <w:tcW w:w="661" w:type="dxa"/>
            <w:vAlign w:val="center"/>
          </w:tcPr>
          <w:p w14:paraId="4B885A72">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7</w:t>
            </w:r>
          </w:p>
        </w:tc>
        <w:tc>
          <w:tcPr>
            <w:tcW w:w="2236" w:type="dxa"/>
            <w:vAlign w:val="center"/>
          </w:tcPr>
          <w:p w14:paraId="0F5A9671">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项目管理机构配置</w:t>
            </w:r>
          </w:p>
          <w:p w14:paraId="62F6BADF">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分）</w:t>
            </w:r>
          </w:p>
        </w:tc>
        <w:tc>
          <w:tcPr>
            <w:tcW w:w="7533" w:type="dxa"/>
          </w:tcPr>
          <w:p w14:paraId="38DC2412">
            <w:pPr>
              <w:pageBreakBefore w:val="0"/>
              <w:kinsoku/>
              <w:wordWrap w:val="0"/>
              <w:overflowPunct/>
              <w:bidi w:val="0"/>
              <w:spacing w:after="0" w:line="300" w:lineRule="exact"/>
              <w:jc w:val="both"/>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color w:val="auto"/>
                <w:sz w:val="21"/>
                <w:szCs w:val="21"/>
              </w:rPr>
              <w:t>项目管理机构配置</w:t>
            </w:r>
            <w:r>
              <w:rPr>
                <w:rFonts w:hint="eastAsia" w:ascii="宋体" w:hAnsi="宋体" w:eastAsia="宋体" w:cs="宋体"/>
                <w:b w:val="0"/>
                <w:bCs w:val="0"/>
                <w:color w:val="auto"/>
                <w:sz w:val="21"/>
                <w:szCs w:val="21"/>
                <w:lang w:val="en-US" w:eastAsia="zh-CN"/>
              </w:rPr>
              <w:t>评审由磋商小组依据</w:t>
            </w:r>
            <w:r>
              <w:rPr>
                <w:rFonts w:hint="eastAsia" w:ascii="宋体" w:hAnsi="宋体" w:eastAsia="宋体" w:cs="宋体"/>
                <w:color w:val="auto"/>
                <w:sz w:val="21"/>
                <w:szCs w:val="21"/>
              </w:rPr>
              <w:t>项目管理人</w:t>
            </w:r>
            <w:r>
              <w:rPr>
                <w:rFonts w:hint="eastAsia" w:ascii="宋体" w:hAnsi="宋体" w:eastAsia="宋体" w:cs="宋体"/>
                <w:color w:val="auto"/>
                <w:sz w:val="21"/>
                <w:szCs w:val="21"/>
                <w:lang w:val="en-US" w:eastAsia="zh-CN"/>
              </w:rPr>
              <w:t>员实际配置</w:t>
            </w:r>
            <w:r>
              <w:rPr>
                <w:rFonts w:hint="eastAsia" w:ascii="宋体" w:hAnsi="宋体" w:eastAsia="宋体" w:cs="宋体"/>
                <w:color w:val="auto"/>
                <w:sz w:val="21"/>
                <w:szCs w:val="21"/>
              </w:rPr>
              <w:t>进行</w:t>
            </w:r>
            <w:r>
              <w:rPr>
                <w:rFonts w:hint="eastAsia" w:ascii="宋体" w:hAnsi="宋体" w:eastAsia="宋体" w:cs="宋体"/>
                <w:color w:val="auto"/>
                <w:sz w:val="21"/>
                <w:szCs w:val="21"/>
                <w:lang w:val="en-US" w:eastAsia="zh-CN"/>
              </w:rPr>
              <w:t>综合评审：</w:t>
            </w:r>
          </w:p>
          <w:p w14:paraId="35ECE199">
            <w:pPr>
              <w:pageBreakBefore w:val="0"/>
              <w:kinsoku/>
              <w:wordWrap w:val="0"/>
              <w:overflowPunct/>
              <w:bidi w:val="0"/>
              <w:spacing w:after="0" w:line="300" w:lineRule="exact"/>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满分标准</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项目管理人员针对工程实际配置且合理，能满足工程管理需要且有针对性，项目管理人员持证上岗</w:t>
            </w:r>
            <w:r>
              <w:rPr>
                <w:rFonts w:hint="eastAsia" w:ascii="宋体" w:hAnsi="宋体" w:eastAsia="宋体" w:cs="宋体"/>
                <w:color w:val="auto"/>
                <w:sz w:val="21"/>
                <w:szCs w:val="21"/>
                <w:lang w:val="en-US" w:eastAsia="zh-CN"/>
              </w:rPr>
              <w:t>的，得满分9分。</w:t>
            </w:r>
          </w:p>
          <w:p w14:paraId="73980F2E">
            <w:pPr>
              <w:pageBreakBefore w:val="0"/>
              <w:kinsoku/>
              <w:wordWrap w:val="0"/>
              <w:overflowPunct/>
              <w:bidi w:val="0"/>
              <w:spacing w:after="0" w:line="30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扣分标准1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项目管理人员没有说明的本项不得分</w:t>
            </w:r>
            <w:r>
              <w:rPr>
                <w:rFonts w:hint="eastAsia" w:ascii="宋体" w:hAnsi="宋体" w:eastAsia="宋体" w:cs="宋体"/>
                <w:color w:val="auto"/>
                <w:sz w:val="21"/>
                <w:szCs w:val="21"/>
                <w:lang w:val="en-US" w:eastAsia="zh-CN"/>
              </w:rPr>
              <w:t>；</w:t>
            </w:r>
          </w:p>
          <w:p w14:paraId="7CB75CBB">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扣分标准2</w:t>
            </w:r>
            <w:r>
              <w:rPr>
                <w:rFonts w:hint="eastAsia" w:ascii="宋体" w:hAnsi="宋体" w:eastAsia="宋体" w:cs="宋体"/>
                <w:color w:val="auto"/>
                <w:sz w:val="21"/>
                <w:szCs w:val="21"/>
                <w:lang w:val="en-US" w:eastAsia="zh-CN"/>
              </w:rPr>
              <w:t>：磋商小组对所有有效供应商的</w:t>
            </w:r>
            <w:r>
              <w:rPr>
                <w:rFonts w:hint="eastAsia" w:ascii="宋体" w:hAnsi="宋体" w:eastAsia="宋体" w:cs="宋体"/>
                <w:color w:val="auto"/>
                <w:sz w:val="21"/>
                <w:szCs w:val="21"/>
              </w:rPr>
              <w:t>项目管理机构配置</w:t>
            </w:r>
            <w:r>
              <w:rPr>
                <w:rFonts w:hint="eastAsia" w:ascii="宋体" w:hAnsi="宋体" w:eastAsia="宋体" w:cs="宋体"/>
                <w:color w:val="auto"/>
                <w:sz w:val="21"/>
                <w:szCs w:val="21"/>
                <w:lang w:val="en-US" w:eastAsia="zh-CN"/>
              </w:rPr>
              <w:t>进行评审，分别以每项内容的</w:t>
            </w:r>
            <w:r>
              <w:rPr>
                <w:rFonts w:hint="eastAsia" w:ascii="宋体" w:hAnsi="宋体" w:eastAsia="宋体" w:cs="宋体"/>
                <w:color w:val="auto"/>
                <w:sz w:val="21"/>
                <w:szCs w:val="21"/>
              </w:rPr>
              <w:t>项目管理人员针对工程实际配置合理</w:t>
            </w:r>
            <w:r>
              <w:rPr>
                <w:rFonts w:hint="eastAsia" w:ascii="宋体" w:hAnsi="宋体" w:eastAsia="宋体" w:cs="宋体"/>
                <w:color w:val="auto"/>
                <w:sz w:val="21"/>
                <w:szCs w:val="21"/>
                <w:lang w:val="en-US" w:eastAsia="zh-CN"/>
              </w:rPr>
              <w:t>性</w:t>
            </w:r>
            <w:r>
              <w:rPr>
                <w:rFonts w:hint="eastAsia" w:ascii="宋体" w:hAnsi="宋体" w:eastAsia="宋体" w:cs="宋体"/>
                <w:color w:val="auto"/>
                <w:sz w:val="21"/>
                <w:szCs w:val="21"/>
              </w:rPr>
              <w:t>，工程管理需要</w:t>
            </w:r>
            <w:r>
              <w:rPr>
                <w:rFonts w:hint="eastAsia" w:ascii="宋体" w:hAnsi="宋体" w:eastAsia="宋体" w:cs="宋体"/>
                <w:color w:val="auto"/>
                <w:sz w:val="21"/>
                <w:szCs w:val="21"/>
                <w:lang w:val="en-US" w:eastAsia="zh-CN"/>
              </w:rPr>
              <w:t>满足度</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针对性，项目管理人员持证上岗</w:t>
            </w:r>
            <w:r>
              <w:rPr>
                <w:rFonts w:hint="eastAsia" w:ascii="宋体" w:hAnsi="宋体" w:eastAsia="宋体" w:cs="宋体"/>
                <w:color w:val="auto"/>
                <w:sz w:val="21"/>
                <w:szCs w:val="21"/>
                <w:lang w:val="en-US" w:eastAsia="zh-CN"/>
              </w:rPr>
              <w:t>率等进行评审。每项方案中存在上述内容任何一种缺陷的，扣1分。总分9分。</w:t>
            </w:r>
          </w:p>
        </w:tc>
      </w:tr>
      <w:tr w14:paraId="55F03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39" w:type="dxa"/>
            <w:vMerge w:val="continue"/>
            <w:vAlign w:val="center"/>
          </w:tcPr>
          <w:p w14:paraId="6D8DBED7">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p>
        </w:tc>
        <w:tc>
          <w:tcPr>
            <w:tcW w:w="661" w:type="dxa"/>
            <w:vAlign w:val="center"/>
          </w:tcPr>
          <w:p w14:paraId="057D1C60">
            <w:pPr>
              <w:pageBreakBefore w:val="0"/>
              <w:kinsoku/>
              <w:wordWrap w:val="0"/>
              <w:overflowPunct/>
              <w:bidi w:val="0"/>
              <w:spacing w:after="0" w:line="300" w:lineRule="exact"/>
              <w:ind w:firstLine="210" w:firstLineChars="1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8</w:t>
            </w:r>
          </w:p>
        </w:tc>
        <w:tc>
          <w:tcPr>
            <w:tcW w:w="2236" w:type="dxa"/>
            <w:vAlign w:val="center"/>
          </w:tcPr>
          <w:p w14:paraId="16619436">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施工总平面布置图</w:t>
            </w:r>
          </w:p>
          <w:p w14:paraId="77050FEE">
            <w:pPr>
              <w:pageBreakBefore w:val="0"/>
              <w:kinsoku/>
              <w:wordWrap w:val="0"/>
              <w:overflowPunct/>
              <w:bidi w:val="0"/>
              <w:spacing w:after="0" w:line="300" w:lineRule="exac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tc>
        <w:tc>
          <w:tcPr>
            <w:tcW w:w="7533" w:type="dxa"/>
          </w:tcPr>
          <w:p w14:paraId="1C25665A">
            <w:pPr>
              <w:pageBreakBefore w:val="0"/>
              <w:kinsoku/>
              <w:wordWrap w:val="0"/>
              <w:overflowPunct/>
              <w:bidi w:val="0"/>
              <w:spacing w:after="0" w:line="300" w:lineRule="exact"/>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满分标准</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施工总平面图布置合理，图示标识准确，且针对工程实际</w:t>
            </w:r>
            <w:r>
              <w:rPr>
                <w:rFonts w:hint="eastAsia" w:ascii="宋体" w:hAnsi="宋体" w:eastAsia="宋体" w:cs="宋体"/>
                <w:color w:val="auto"/>
                <w:sz w:val="21"/>
                <w:szCs w:val="21"/>
                <w:lang w:val="en-US" w:eastAsia="zh-CN"/>
              </w:rPr>
              <w:t>的，得满分5</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p>
          <w:p w14:paraId="221D0CBC">
            <w:pPr>
              <w:pageBreakBefore w:val="0"/>
              <w:kinsoku/>
              <w:wordWrap w:val="0"/>
              <w:overflowPunct/>
              <w:bidi w:val="0"/>
              <w:spacing w:after="0" w:line="300" w:lineRule="exact"/>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扣分标准</w:t>
            </w:r>
            <w:r>
              <w:rPr>
                <w:rFonts w:hint="eastAsia" w:ascii="宋体" w:hAnsi="宋体" w:eastAsia="宋体" w:cs="宋体"/>
                <w:color w:val="auto"/>
                <w:sz w:val="21"/>
                <w:szCs w:val="21"/>
                <w:lang w:val="en-US" w:eastAsia="zh-CN"/>
              </w:rPr>
              <w:t>：出现</w:t>
            </w:r>
            <w:r>
              <w:rPr>
                <w:rFonts w:hint="eastAsia" w:ascii="宋体" w:hAnsi="宋体" w:eastAsia="宋体" w:cs="宋体"/>
                <w:color w:val="auto"/>
                <w:sz w:val="21"/>
                <w:szCs w:val="21"/>
              </w:rPr>
              <w:t>施工总平面图布置</w:t>
            </w:r>
            <w:r>
              <w:rPr>
                <w:rFonts w:hint="eastAsia" w:ascii="宋体" w:hAnsi="宋体" w:eastAsia="宋体" w:cs="宋体"/>
                <w:color w:val="auto"/>
                <w:sz w:val="21"/>
                <w:szCs w:val="21"/>
                <w:lang w:val="en-US" w:eastAsia="zh-CN"/>
              </w:rPr>
              <w:t>不够</w:t>
            </w:r>
            <w:r>
              <w:rPr>
                <w:rFonts w:hint="eastAsia" w:ascii="宋体" w:hAnsi="宋体" w:eastAsia="宋体" w:cs="宋体"/>
                <w:color w:val="auto"/>
                <w:sz w:val="21"/>
                <w:szCs w:val="21"/>
              </w:rPr>
              <w:t>合理，图示标识不够清楚、准确，缺乏针对性中每有一</w:t>
            </w:r>
            <w:r>
              <w:rPr>
                <w:rFonts w:hint="eastAsia" w:ascii="宋体" w:hAnsi="宋体" w:eastAsia="宋体" w:cs="宋体"/>
                <w:color w:val="auto"/>
                <w:sz w:val="21"/>
                <w:szCs w:val="21"/>
                <w:lang w:val="en-US" w:eastAsia="zh-CN"/>
              </w:rPr>
              <w:t>种情形</w:t>
            </w:r>
            <w:r>
              <w:rPr>
                <w:rFonts w:hint="eastAsia" w:ascii="宋体" w:hAnsi="宋体" w:eastAsia="宋体" w:cs="宋体"/>
                <w:color w:val="auto"/>
                <w:sz w:val="21"/>
                <w:szCs w:val="21"/>
              </w:rPr>
              <w:t>扣</w:t>
            </w:r>
            <w:r>
              <w:rPr>
                <w:rFonts w:hint="eastAsia" w:ascii="宋体" w:hAnsi="宋体" w:eastAsia="宋体" w:cs="宋体"/>
                <w:color w:val="auto"/>
                <w:sz w:val="21"/>
                <w:szCs w:val="21"/>
                <w:lang w:val="en-US" w:eastAsia="zh-CN"/>
              </w:rPr>
              <w:t>0.5</w:t>
            </w:r>
            <w:r>
              <w:rPr>
                <w:rFonts w:hint="eastAsia" w:ascii="宋体" w:hAnsi="宋体" w:eastAsia="宋体" w:cs="宋体"/>
                <w:color w:val="auto"/>
                <w:sz w:val="21"/>
                <w:szCs w:val="21"/>
              </w:rPr>
              <w:t>分。</w:t>
            </w:r>
          </w:p>
        </w:tc>
      </w:tr>
    </w:tbl>
    <w:p w14:paraId="5B83A4FA">
      <w:pPr>
        <w:pageBreakBefore w:val="0"/>
        <w:kinsoku/>
        <w:wordWrap w:val="0"/>
        <w:overflowPunct/>
        <w:bidi w:val="0"/>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0A66284">
      <w:pPr>
        <w:pageBreakBefore w:val="0"/>
        <w:kinsoku/>
        <w:wordWrap w:val="0"/>
        <w:overflowPunct/>
        <w:bidi w:val="0"/>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1.本评审办法按百分制打分，按照评分的权重计入评审总分。</w:t>
      </w:r>
    </w:p>
    <w:p w14:paraId="7684C49B">
      <w:pPr>
        <w:pageBreakBefore w:val="0"/>
        <w:kinsoku/>
        <w:wordWrap w:val="0"/>
        <w:overflowPunct/>
        <w:bidi w:val="0"/>
        <w:spacing w:after="0"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2.磋商响应文件缺失某项评审因素的，该项计零分。                              3.技术部分评分中，各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成员应自主评分并签字确认。各磋商小组成员的评分应在磋商小组进行公示，某个磋商小组成员对某磋商响应文件评分分值低于（高于）所有磋商小组成员对该磋商响应文件评分分值去掉最高和最低分值的平均分值10分以上（含10分）的，该</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成员须向评审委员会作出明确解释，理由不充分的该磋商小组成员应对其评分作修正，若拒不修正的，该磋商小组成员对此磋商响应文件的评分不得参与计算此磋商响应文件的技术部分得分。</w:t>
      </w:r>
    </w:p>
    <w:p w14:paraId="21B17EA4">
      <w:pPr>
        <w:pStyle w:val="14"/>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3849DB98">
      <w:pPr>
        <w:pageBreakBefore w:val="0"/>
        <w:kinsoku/>
        <w:wordWrap w:val="0"/>
        <w:overflowPunct/>
        <w:bidi w:val="0"/>
        <w:spacing w:after="0"/>
        <w:textAlignment w:val="auto"/>
        <w:rPr>
          <w:rFonts w:hint="eastAsia" w:ascii="宋体" w:hAnsi="宋体" w:eastAsia="宋体" w:cs="宋体"/>
          <w:color w:val="auto"/>
        </w:rPr>
      </w:pPr>
    </w:p>
    <w:p w14:paraId="7BD11BC6">
      <w:pPr>
        <w:pStyle w:val="14"/>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56C75E88">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299180F2">
      <w:pPr>
        <w:pStyle w:val="14"/>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3EE3571B">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7A2B2505">
      <w:pPr>
        <w:pStyle w:val="14"/>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7828329C">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731605F8">
      <w:pPr>
        <w:pStyle w:val="14"/>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5DCED0F6">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2509525D">
      <w:pPr>
        <w:pStyle w:val="14"/>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6E2FE237">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26DF47B2">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33815487">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020901AC">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4A3678C5">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104CF9C3">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1F7C41E1">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68E17E47">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45F04606">
      <w:pPr>
        <w:pStyle w:val="14"/>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0DBBB5AD">
      <w:pPr>
        <w:pageBreakBefore w:val="0"/>
        <w:kinsoku/>
        <w:wordWrap w:val="0"/>
        <w:overflowPunct/>
        <w:bidi w:val="0"/>
        <w:spacing w:after="0"/>
        <w:jc w:val="center"/>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评审办法正文</w:t>
      </w:r>
    </w:p>
    <w:p w14:paraId="31140445">
      <w:pPr>
        <w:pageBreakBefore w:val="0"/>
        <w:kinsoku/>
        <w:wordWrap w:val="0"/>
        <w:overflowPunct/>
        <w:bidi w:val="0"/>
        <w:spacing w:after="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1、评审方法</w:t>
      </w:r>
      <w:bookmarkEnd w:id="111"/>
      <w:bookmarkEnd w:id="112"/>
    </w:p>
    <w:p w14:paraId="5B1C081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一、本次采购所采用的评审方法为“综合评分法”。</w:t>
      </w:r>
    </w:p>
    <w:p w14:paraId="0B4B298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法”指响应文件满足磋商文件全部实质性要求且按评审因素的量化指标评审得分最高的供应商为成交候选供应商的评审方法。磋商小组应当根据综合评分情况，按照评审得分由高到低顺序推荐3名以上成交候选供应商，并编写评审报告。</w:t>
      </w:r>
    </w:p>
    <w:p w14:paraId="4F65148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符合《政府采购竞争性磋商采购方式管理暂行办法》第三条第四项（</w:t>
      </w:r>
      <w:r>
        <w:rPr>
          <w:rFonts w:hint="eastAsia" w:ascii="宋体" w:hAnsi="宋体" w:eastAsia="宋体" w:cs="宋体"/>
          <w:b/>
          <w:color w:val="auto"/>
          <w:sz w:val="24"/>
          <w:szCs w:val="24"/>
          <w:highlight w:val="none"/>
        </w:rPr>
        <w:t>市场竞争不充分的科研项目，以及需要扶持的科技成果转化项目）</w:t>
      </w:r>
      <w:r>
        <w:rPr>
          <w:rFonts w:hint="eastAsia" w:ascii="宋体" w:hAnsi="宋体" w:eastAsia="宋体" w:cs="宋体"/>
          <w:color w:val="auto"/>
          <w:sz w:val="24"/>
          <w:szCs w:val="24"/>
          <w:highlight w:val="none"/>
        </w:rPr>
        <w:t>情形的，提交最后报价的供应商可以为2家。评审得分相同的，按照最后报价由低到高的顺序推荐。评审得分且最后报价相同的，按照技术指标优劣顺序推荐。</w:t>
      </w:r>
    </w:p>
    <w:p w14:paraId="0645EA45">
      <w:pPr>
        <w:pageBreakBefore w:val="0"/>
        <w:shd w:val="clear" w:color="auto" w:fill="FFFFFF"/>
        <w:kinsoku/>
        <w:wordWrap w:val="0"/>
        <w:overflowPunct/>
        <w:bidi w:val="0"/>
        <w:spacing w:after="0" w:line="48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二、本办法是磋商小组确定成交候选人的依据，在评审过程中应充分体现公开透明原则、公平竞争原则、公正原则和诚实信用原则。</w:t>
      </w:r>
    </w:p>
    <w:p w14:paraId="08F0CED0">
      <w:pPr>
        <w:pageBreakBefore w:val="0"/>
        <w:kinsoku/>
        <w:wordWrap w:val="0"/>
        <w:overflowPunct/>
        <w:bidi w:val="0"/>
        <w:spacing w:after="0"/>
        <w:textAlignment w:val="auto"/>
        <w:rPr>
          <w:rFonts w:hint="eastAsia" w:ascii="宋体" w:hAnsi="宋体" w:eastAsia="宋体" w:cs="宋体"/>
          <w:b/>
          <w:color w:val="auto"/>
          <w:sz w:val="28"/>
          <w:szCs w:val="28"/>
          <w:highlight w:val="none"/>
        </w:rPr>
      </w:pPr>
      <w:bookmarkStart w:id="113" w:name="_bookmark68"/>
      <w:bookmarkEnd w:id="113"/>
      <w:bookmarkStart w:id="114" w:name="_Toc530733565"/>
      <w:bookmarkStart w:id="115" w:name="_Toc525207135"/>
      <w:r>
        <w:rPr>
          <w:rFonts w:hint="eastAsia" w:ascii="宋体" w:hAnsi="宋体" w:eastAsia="宋体" w:cs="宋体"/>
          <w:b/>
          <w:color w:val="auto"/>
          <w:sz w:val="28"/>
          <w:szCs w:val="28"/>
          <w:highlight w:val="none"/>
        </w:rPr>
        <w:t>2、评审标准</w:t>
      </w:r>
      <w:bookmarkEnd w:id="114"/>
      <w:bookmarkEnd w:id="115"/>
    </w:p>
    <w:p w14:paraId="09F17F2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2.1初步评审标准</w:t>
      </w:r>
    </w:p>
    <w:p w14:paraId="5900148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2.1.1形式评审标准：见评审办法前附表。</w:t>
      </w:r>
    </w:p>
    <w:p w14:paraId="79CAA1A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2.1.2资格评审标准：见评审办法前附表（适用于未进行资格预审的）。</w:t>
      </w:r>
    </w:p>
    <w:p w14:paraId="431CCDA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2.1.3响应性评审标准：见评审办法前附表。</w:t>
      </w:r>
    </w:p>
    <w:p w14:paraId="4389994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2.2详细评审标准：见评审办法前附表。</w:t>
      </w:r>
    </w:p>
    <w:p w14:paraId="7D256FBF">
      <w:pPr>
        <w:pageBreakBefore w:val="0"/>
        <w:kinsoku/>
        <w:wordWrap w:val="0"/>
        <w:overflowPunct/>
        <w:bidi w:val="0"/>
        <w:spacing w:after="0"/>
        <w:textAlignment w:val="auto"/>
        <w:rPr>
          <w:rFonts w:hint="eastAsia" w:ascii="宋体" w:hAnsi="宋体" w:eastAsia="宋体" w:cs="宋体"/>
          <w:b/>
          <w:color w:val="auto"/>
          <w:sz w:val="28"/>
          <w:szCs w:val="28"/>
          <w:highlight w:val="none"/>
        </w:rPr>
      </w:pPr>
      <w:bookmarkStart w:id="116" w:name="_bookmark69"/>
      <w:bookmarkEnd w:id="116"/>
      <w:bookmarkStart w:id="117" w:name="_Toc530733566"/>
      <w:bookmarkStart w:id="118" w:name="_Toc525207136"/>
      <w:r>
        <w:rPr>
          <w:rFonts w:hint="eastAsia" w:ascii="宋体" w:hAnsi="宋体" w:eastAsia="宋体" w:cs="宋体"/>
          <w:b/>
          <w:color w:val="auto"/>
          <w:sz w:val="28"/>
          <w:szCs w:val="28"/>
          <w:highlight w:val="none"/>
        </w:rPr>
        <w:t>3、评审程序</w:t>
      </w:r>
      <w:bookmarkEnd w:id="117"/>
      <w:bookmarkEnd w:id="118"/>
    </w:p>
    <w:p w14:paraId="0E23049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3.1初步评审</w:t>
      </w:r>
    </w:p>
    <w:p w14:paraId="08F4AA6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3.1.1磋商小组依据本章第2.1.1项、第2.1.2项、第2.1.3项顺序及规定的评审标准对磋商响应文件进行初步评审。有一项不符合评审标准的，作否决投标处理。供应商只有通过初步评审才能进入第二轮报价及承诺。</w:t>
      </w:r>
    </w:p>
    <w:p w14:paraId="390FD3B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3.1.2初步评审步骤：</w:t>
      </w:r>
    </w:p>
    <w:p w14:paraId="63A82BC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1、评审会议主持；</w:t>
      </w:r>
    </w:p>
    <w:p w14:paraId="089C7DD7">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2、第一次报价不公布，进入资格评审程序；</w:t>
      </w:r>
    </w:p>
    <w:p w14:paraId="603FB5A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3、磋商小组依据磋商文件的规定对供应商提供的响应文件进行资格符合性审查；</w:t>
      </w:r>
    </w:p>
    <w:p w14:paraId="0544478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4、磋商小组依据磋商文件的规定对供应商提供的响应文件进行初步评审；</w:t>
      </w:r>
    </w:p>
    <w:p w14:paraId="12D2543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5、磋商小组成员与通过初步评审、资格性审查的供应商按照随机次序分别进行磋商；</w:t>
      </w:r>
    </w:p>
    <w:p w14:paraId="0180248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6、第二轮报价及承诺（第二轮报价由供应商现场填报，并进行随机公布。第二轮磋商报价为供应商的最终报价。若供应商最终报价超过最高限价，按无效响应文件处理）。</w:t>
      </w:r>
    </w:p>
    <w:p w14:paraId="4CAC8FF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3.1.3磋商报价有算术错误的，磋商小组按以下原则对磋商报价进行修正，修正的价格经供应商书面确认后具有约束力。供应商不接受修正价格的，其磋商响应文件作否决投标处理。</w:t>
      </w:r>
    </w:p>
    <w:p w14:paraId="54EA675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（1）磋商响应文件中的大写金额与小写金额不一致的，以大写金额为准；</w:t>
      </w:r>
    </w:p>
    <w:p w14:paraId="42E0944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（2）总价金额与依据单价计算出的结果不一致的，以单价金额为准修正总价，但单价金额小数点有明显错误的除外。 </w:t>
      </w:r>
    </w:p>
    <w:p w14:paraId="4BD893D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3.1.4供应商有以下情形之一的，其磋商作否决投标处理：</w:t>
      </w:r>
    </w:p>
    <w:p w14:paraId="49CBD4E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不符合第二章“供应商须知”第1.4.1项规定的任何一种情形的：</w:t>
      </w:r>
    </w:p>
    <w:p w14:paraId="0521A61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2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串通磋商或弄虚作假或有其他违法行为的；</w:t>
      </w:r>
    </w:p>
    <w:p w14:paraId="6ED462D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3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不响应采购文件要求的，或者拒不按照评审委员会要求对其进行澄清、说明或者补正的；</w:t>
      </w:r>
    </w:p>
    <w:p w14:paraId="5D26D8B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4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未按规定的格式编制内容的，或内容不全或关键字迹模糊、无法辨认的；</w:t>
      </w:r>
    </w:p>
    <w:p w14:paraId="3FB10FFB">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5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供应商递交两份或多份内容不同的竞争性磋商响应文件，或在一份竞争性磋商响应文件中对同一采购项目报有两个或多个报价，且未声明哪一个有效；</w:t>
      </w:r>
    </w:p>
    <w:p w14:paraId="1F58C74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6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供应商名称或组织结构与资格审查不一致的；</w:t>
      </w:r>
    </w:p>
    <w:p w14:paraId="14A2DC8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7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在形式评审、资格评审、响应性评审中，评审委员会认定供应商不符合评标办法前附表中规定的任何一项评审标准的；</w:t>
      </w:r>
    </w:p>
    <w:p w14:paraId="1A384FA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8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⑻</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供应商在响应文件中签章或签名的名称或人员与其他供应商在响应文件中的签章或签名的名称或人员为同一人的；</w:t>
      </w:r>
    </w:p>
    <w:p w14:paraId="69656118">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9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⑼</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竞争性磋商响应文件附有采购人不能接受的条件、内容的；</w:t>
      </w:r>
    </w:p>
    <w:p w14:paraId="2EE08D7E">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10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⑽</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供应商工程量清单报价（或磋商报价明细表）存在有重大漏项、缺项，且在响应文件中没有明确的阐述和承诺的；</w:t>
      </w:r>
    </w:p>
    <w:p w14:paraId="653F952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11 \* GB2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⑾</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违反国家、省、市相关法律法规的；</w:t>
      </w:r>
    </w:p>
    <w:p w14:paraId="4E12908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详细评审</w:t>
      </w:r>
    </w:p>
    <w:p w14:paraId="50F168F0">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磋商小组按本章第2.2款规定的量化因素和分值进行打分，并计算出最终得分。</w:t>
      </w:r>
    </w:p>
    <w:p w14:paraId="752F75CA">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磋商小组发现供应商的报价明显低于其他磋商报价，或者在设有标底时明显低于标底，使得其磋商报价可能低于其个别成本的，应当要求该供应商作出书面说明并提供相应的证明材料。供应商不能合理说明或者不能提供相应证明材料的，由磋商小组认定该供应商以低于成本报价竞标，其磋商响应文件作否决投标处理。</w:t>
      </w:r>
    </w:p>
    <w:p w14:paraId="1A1F5A2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磋商响应文件的澄清和补正 </w:t>
      </w:r>
    </w:p>
    <w:p w14:paraId="5A2EFCA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3.3.1在评审过程中，磋商小组可以书面形式要求供应商对所提交的磋商响应文件中不明确的内容进行书面澄清或说明，或者对细微偏差进行补正。磋商小组不接受投标人主动提出的澄清、说明或补正。 </w:t>
      </w:r>
    </w:p>
    <w:p w14:paraId="6E8067F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澄清、说明和补正不得改变磋商响应文件的实质性内容（算术性错误修正的除外）。供应商的书面澄清、说明和补正属于磋商响应文件的组成部分。 </w:t>
      </w:r>
    </w:p>
    <w:p w14:paraId="10CF23F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磋商小组对供应商提交的澄清、说明或补正有疑问的，可以要求供应商进一步澄清、说明或补正，直至满足磋商小组的要求。</w:t>
      </w:r>
    </w:p>
    <w:p w14:paraId="14872A76">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3.4评审结果</w:t>
      </w:r>
    </w:p>
    <w:p w14:paraId="05CE0DA3">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3.4.1磋商小组根据综合评分情况，按照评审得分由高到低顺序推荐3名以上成交候选供应商，并编写评审报告。符合本办法3.4.2情形的，可以推荐2家成交候选供应商。评审得分相同的，按照最后报价由低到高的顺序推荐。评审得分且最后报价相同的，按照技术指标优劣顺序推荐。</w:t>
      </w:r>
    </w:p>
    <w:p w14:paraId="5C7AE2C2">
      <w:pPr>
        <w:pStyle w:val="55"/>
        <w:pageBreakBefore w:val="0"/>
        <w:kinsoku/>
        <w:wordWrap w:val="0"/>
        <w:overflowPunct/>
        <w:bidi w:val="0"/>
        <w:spacing w:before="0" w:beforeAutospacing="0" w:after="0" w:afterAutospacing="0" w:line="500" w:lineRule="exact"/>
        <w:ind w:left="150" w:firstLine="240" w:firstLineChars="100"/>
        <w:textAlignment w:val="auto"/>
        <w:rPr>
          <w:rFonts w:hint="eastAsia" w:ascii="宋体" w:hAnsi="宋体" w:eastAsia="宋体" w:cs="宋体"/>
          <w:color w:val="auto"/>
          <w:highlight w:val="none"/>
        </w:rPr>
      </w:pPr>
      <w:r>
        <w:rPr>
          <w:rFonts w:hint="eastAsia" w:ascii="宋体" w:hAnsi="宋体" w:eastAsia="宋体" w:cs="宋体"/>
          <w:color w:val="auto"/>
          <w:highlight w:val="none"/>
        </w:rPr>
        <w:t>3.4.2根据财政部文件财库〔2015〕124号财政部《关于政府采购竞争性磋商采购方式管理暂行办法有关问题的补充通知》号文，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0476A9C6">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3.4.3</w:t>
      </w:r>
      <w:r>
        <w:rPr>
          <w:rFonts w:hint="eastAsia" w:ascii="宋体" w:hAnsi="宋体" w:eastAsia="宋体" w:cs="宋体"/>
          <w:color w:val="auto"/>
          <w:highlight w:val="none"/>
          <w:lang w:val="en-US" w:eastAsia="zh-CN"/>
        </w:rPr>
        <w:t>根据《政府采购竞争性磋商采购方式管理暂行办法》第二十六条规定：评审报告应当包括以下主要内容：</w:t>
      </w:r>
    </w:p>
    <w:p w14:paraId="6C9DAF85">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（一）邀请供应商参加采购活动的具体方式和相关情况；</w:t>
      </w:r>
    </w:p>
    <w:p w14:paraId="10F416BE">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（二）响应文件开启日期和地点；</w:t>
      </w:r>
    </w:p>
    <w:p w14:paraId="7BBD1EA2">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（三）获取磋商文件的供应商名单和磋商小组成员名单；</w:t>
      </w:r>
    </w:p>
    <w:p w14:paraId="3391CD31">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（四）评审情况记录和说明，包括对供应商的资格审查情况、供应商响应文件评审情况、磋商情况、报价情况等；</w:t>
      </w:r>
    </w:p>
    <w:p w14:paraId="03003DDD">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（五）提出的成交候选供应商的排序名单及理由。</w:t>
      </w:r>
    </w:p>
    <w:p w14:paraId="1AFE9CFC">
      <w:pPr>
        <w:pStyle w:val="55"/>
        <w:pageBreakBefore w:val="0"/>
        <w:kinsoku/>
        <w:wordWrap w:val="0"/>
        <w:overflowPunct/>
        <w:bidi w:val="0"/>
        <w:spacing w:before="0" w:beforeAutospacing="0" w:after="0" w:afterAutospacing="0" w:line="50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磋商小组完成评审后，应当向采购人提交书面评审报告。</w:t>
      </w:r>
    </w:p>
    <w:p w14:paraId="10DD9037">
      <w:pPr>
        <w:pStyle w:val="55"/>
        <w:pageBreakBefore w:val="0"/>
        <w:kinsoku/>
        <w:wordWrap w:val="0"/>
        <w:overflowPunct/>
        <w:bidi w:val="0"/>
        <w:spacing w:before="0" w:beforeAutospacing="0" w:after="0" w:afterAutospacing="0" w:line="500" w:lineRule="exact"/>
        <w:ind w:firstLine="720" w:firstLineChars="3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3.4.4</w:t>
      </w:r>
      <w:r>
        <w:rPr>
          <w:rFonts w:hint="eastAsia" w:ascii="宋体" w:hAnsi="宋体" w:eastAsia="宋体" w:cs="宋体"/>
          <w:color w:val="auto"/>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0E8E653">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3.4.5根据《政府采购竞争性磋商采购方式管理暂行办法》第二十九条规定：采购人或者采购代理机构应当在成交供应商确定后2个工作日内，在省级以上财政部门指定的政府采购信息发布媒体上公告成交结果，同时向成交供应商发出成交通知书，并将磋商文件随成交结果同时公告。成交结果公告应当包括以下内容：</w:t>
      </w:r>
    </w:p>
    <w:p w14:paraId="67953133">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（一）采购人和采购代理机构的名称、地址和联系方式；</w:t>
      </w:r>
    </w:p>
    <w:p w14:paraId="15F4B5BB">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（二）项目名称和项目编号；</w:t>
      </w:r>
    </w:p>
    <w:p w14:paraId="1FC92B75">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（三）成交供应商名称、地址和成交金额；</w:t>
      </w:r>
    </w:p>
    <w:p w14:paraId="307E1038">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（四）主要成交标的的名称、规格型号、数量、单价、服务要求；</w:t>
      </w:r>
    </w:p>
    <w:p w14:paraId="201B19DE">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（五）磋商小组成员名单。</w:t>
      </w:r>
    </w:p>
    <w:p w14:paraId="6AE86456">
      <w:pPr>
        <w:pStyle w:val="55"/>
        <w:pageBreakBefore w:val="0"/>
        <w:kinsoku/>
        <w:wordWrap w:val="0"/>
        <w:overflowPunct/>
        <w:bidi w:val="0"/>
        <w:spacing w:before="0" w:beforeAutospacing="0" w:after="0" w:afterAutospacing="0" w:line="500" w:lineRule="exact"/>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采用书面推荐供应商参加采购活动的，还应当公告采购人和评审专家的推荐意见。</w:t>
      </w:r>
    </w:p>
    <w:p w14:paraId="61817B5C">
      <w:pPr>
        <w:pageBreakBefore w:val="0"/>
        <w:kinsoku/>
        <w:wordWrap w:val="0"/>
        <w:overflowPunct/>
        <w:bidi w:val="0"/>
        <w:adjustRightInd/>
        <w:snapToGrid/>
        <w:spacing w:after="0"/>
        <w:textAlignment w:val="auto"/>
        <w:rPr>
          <w:rFonts w:hint="eastAsia" w:ascii="宋体" w:hAnsi="宋体" w:eastAsia="宋体" w:cs="宋体"/>
          <w:b/>
          <w:bCs/>
          <w:color w:val="auto"/>
          <w:kern w:val="44"/>
          <w:sz w:val="40"/>
          <w:szCs w:val="44"/>
          <w:highlight w:val="none"/>
        </w:rPr>
      </w:pPr>
      <w:bookmarkStart w:id="119" w:name="_Toc517963435"/>
      <w:r>
        <w:rPr>
          <w:rFonts w:hint="eastAsia" w:ascii="宋体" w:hAnsi="宋体" w:eastAsia="宋体" w:cs="宋体"/>
          <w:color w:val="auto"/>
          <w:sz w:val="40"/>
          <w:highlight w:val="none"/>
        </w:rPr>
        <w:br w:type="page"/>
      </w:r>
      <w:bookmarkStart w:id="120" w:name="_Toc530733567"/>
    </w:p>
    <w:p w14:paraId="0F934917">
      <w:pPr>
        <w:pStyle w:val="2"/>
        <w:pageBreakBefore w:val="0"/>
        <w:kinsoku/>
        <w:wordWrap w:val="0"/>
        <w:overflowPunct/>
        <w:bidi w:val="0"/>
        <w:spacing w:after="0" w:line="276" w:lineRule="auto"/>
        <w:jc w:val="center"/>
        <w:textAlignment w:val="auto"/>
        <w:rPr>
          <w:rFonts w:hint="eastAsia" w:ascii="宋体" w:hAnsi="宋体" w:eastAsia="宋体" w:cs="宋体"/>
          <w:color w:val="auto"/>
          <w:sz w:val="40"/>
          <w:highlight w:val="none"/>
        </w:rPr>
      </w:pPr>
      <w:bookmarkStart w:id="121" w:name="_Toc15281"/>
      <w:r>
        <w:rPr>
          <w:rFonts w:hint="eastAsia" w:ascii="宋体" w:hAnsi="宋体" w:eastAsia="宋体" w:cs="宋体"/>
          <w:color w:val="auto"/>
          <w:sz w:val="40"/>
          <w:highlight w:val="none"/>
        </w:rPr>
        <w:t>第四章 合同条款及格式</w:t>
      </w:r>
      <w:bookmarkEnd w:id="119"/>
      <w:bookmarkEnd w:id="120"/>
      <w:bookmarkEnd w:id="121"/>
      <w:bookmarkStart w:id="122" w:name="_Toc530733568"/>
      <w:bookmarkStart w:id="123" w:name="_Toc517963436"/>
    </w:p>
    <w:p w14:paraId="434AECE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highlight w:val="none"/>
        </w:rPr>
      </w:pPr>
    </w:p>
    <w:p w14:paraId="51A7A975">
      <w:pPr>
        <w:pageBreakBefore w:val="0"/>
        <w:widowControl/>
        <w:kinsoku/>
        <w:wordWrap w:val="0"/>
        <w:overflowPunct/>
        <w:bidi w:val="0"/>
        <w:spacing w:after="0"/>
        <w:jc w:val="center"/>
        <w:textAlignment w:val="auto"/>
        <w:rPr>
          <w:rFonts w:hint="eastAsia" w:ascii="宋体" w:hAnsi="宋体" w:eastAsia="宋体" w:cs="宋体"/>
          <w:color w:val="auto"/>
          <w:kern w:val="44"/>
          <w:sz w:val="40"/>
          <w:szCs w:val="40"/>
        </w:rPr>
      </w:pPr>
      <w:r>
        <w:rPr>
          <w:rFonts w:hint="eastAsia" w:ascii="宋体" w:hAnsi="宋体" w:eastAsia="宋体" w:cs="宋体"/>
          <w:color w:val="auto"/>
          <w:kern w:val="0"/>
          <w:sz w:val="24"/>
          <w:szCs w:val="24"/>
        </w:rPr>
        <w:t>（具体以双方签订合同时协商，此格式仅供参考）</w:t>
      </w:r>
    </w:p>
    <w:p w14:paraId="07618659">
      <w:pPr>
        <w:pageBreakBefore w:val="0"/>
        <w:kinsoku/>
        <w:wordWrap w:val="0"/>
        <w:overflowPunct/>
        <w:bidi w:val="0"/>
        <w:spacing w:after="0"/>
        <w:ind w:firstLine="643"/>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rPr>
        <w:t>（GF—2017—0201）</w:t>
      </w:r>
    </w:p>
    <w:p w14:paraId="1B9F3B6B">
      <w:pPr>
        <w:pageBreakBefore w:val="0"/>
        <w:kinsoku/>
        <w:wordWrap w:val="0"/>
        <w:overflowPunct/>
        <w:bidi w:val="0"/>
        <w:spacing w:after="0"/>
        <w:ind w:firstLine="643"/>
        <w:textAlignment w:val="auto"/>
        <w:rPr>
          <w:rFonts w:hint="eastAsia" w:ascii="宋体" w:hAnsi="宋体" w:eastAsia="宋体" w:cs="宋体"/>
          <w:b/>
          <w:color w:val="auto"/>
          <w:sz w:val="32"/>
          <w:szCs w:val="32"/>
        </w:rPr>
      </w:pPr>
    </w:p>
    <w:p w14:paraId="35AA5403">
      <w:pPr>
        <w:pageBreakBefore w:val="0"/>
        <w:kinsoku/>
        <w:wordWrap w:val="0"/>
        <w:overflowPunct/>
        <w:bidi w:val="0"/>
        <w:spacing w:after="0"/>
        <w:ind w:firstLine="480"/>
        <w:textAlignment w:val="auto"/>
        <w:rPr>
          <w:rFonts w:hint="eastAsia" w:ascii="宋体" w:hAnsi="宋体" w:eastAsia="宋体" w:cs="宋体"/>
          <w:color w:val="auto"/>
          <w:szCs w:val="24"/>
        </w:rPr>
      </w:pPr>
    </w:p>
    <w:p w14:paraId="5EF9380A">
      <w:pPr>
        <w:pageBreakBefore w:val="0"/>
        <w:kinsoku/>
        <w:wordWrap w:val="0"/>
        <w:overflowPunct/>
        <w:bidi w:val="0"/>
        <w:spacing w:after="0"/>
        <w:ind w:firstLine="480"/>
        <w:textAlignment w:val="auto"/>
        <w:rPr>
          <w:rFonts w:hint="eastAsia" w:ascii="宋体" w:hAnsi="宋体" w:eastAsia="宋体" w:cs="宋体"/>
          <w:color w:val="auto"/>
          <w:szCs w:val="24"/>
        </w:rPr>
      </w:pPr>
    </w:p>
    <w:p w14:paraId="5C4F6011">
      <w:pPr>
        <w:pageBreakBefore w:val="0"/>
        <w:kinsoku/>
        <w:wordWrap w:val="0"/>
        <w:overflowPunct/>
        <w:bidi w:val="0"/>
        <w:spacing w:after="0"/>
        <w:ind w:firstLine="480"/>
        <w:textAlignment w:val="auto"/>
        <w:rPr>
          <w:rFonts w:hint="eastAsia" w:ascii="宋体" w:hAnsi="宋体" w:eastAsia="宋体" w:cs="宋体"/>
          <w:color w:val="auto"/>
          <w:szCs w:val="24"/>
        </w:rPr>
      </w:pPr>
    </w:p>
    <w:p w14:paraId="02FCF624">
      <w:pPr>
        <w:pageBreakBefore w:val="0"/>
        <w:kinsoku/>
        <w:wordWrap w:val="0"/>
        <w:overflowPunct/>
        <w:bidi w:val="0"/>
        <w:spacing w:after="0"/>
        <w:ind w:firstLine="480"/>
        <w:textAlignment w:val="auto"/>
        <w:rPr>
          <w:rFonts w:hint="eastAsia" w:ascii="宋体" w:hAnsi="宋体" w:eastAsia="宋体" w:cs="宋体"/>
          <w:color w:val="auto"/>
          <w:szCs w:val="24"/>
        </w:rPr>
      </w:pPr>
    </w:p>
    <w:p w14:paraId="643A519D">
      <w:pPr>
        <w:pageBreakBefore w:val="0"/>
        <w:kinsoku/>
        <w:wordWrap w:val="0"/>
        <w:overflowPunct/>
        <w:bidi w:val="0"/>
        <w:spacing w:after="0"/>
        <w:ind w:firstLine="1446"/>
        <w:jc w:val="center"/>
        <w:textAlignment w:val="auto"/>
        <w:rPr>
          <w:rFonts w:hint="eastAsia" w:ascii="宋体" w:hAnsi="宋体" w:eastAsia="宋体" w:cs="宋体"/>
          <w:b/>
          <w:color w:val="auto"/>
          <w:sz w:val="72"/>
          <w:szCs w:val="72"/>
          <w:lang w:eastAsia="zh-CN"/>
        </w:rPr>
      </w:pPr>
      <w:r>
        <w:rPr>
          <w:rFonts w:hint="eastAsia" w:ascii="宋体" w:hAnsi="宋体" w:eastAsia="宋体" w:cs="宋体"/>
          <w:b/>
          <w:color w:val="auto"/>
          <w:sz w:val="72"/>
          <w:szCs w:val="72"/>
        </w:rPr>
        <w:t>建设工程施工合同</w:t>
      </w:r>
    </w:p>
    <w:p w14:paraId="34A302A5">
      <w:pPr>
        <w:pageBreakBefore w:val="0"/>
        <w:kinsoku/>
        <w:wordWrap w:val="0"/>
        <w:overflowPunct/>
        <w:bidi w:val="0"/>
        <w:spacing w:after="0"/>
        <w:textAlignment w:val="auto"/>
        <w:rPr>
          <w:rFonts w:hint="eastAsia" w:ascii="宋体" w:hAnsi="宋体" w:eastAsia="宋体" w:cs="宋体"/>
          <w:color w:val="auto"/>
          <w:lang w:eastAsia="zh-CN"/>
        </w:rPr>
      </w:pPr>
    </w:p>
    <w:p w14:paraId="3CBF12C2">
      <w:pPr>
        <w:pageBreakBefore w:val="0"/>
        <w:kinsoku/>
        <w:wordWrap w:val="0"/>
        <w:overflowPunct/>
        <w:bidi w:val="0"/>
        <w:spacing w:after="0"/>
        <w:textAlignment w:val="auto"/>
        <w:rPr>
          <w:rFonts w:hint="eastAsia" w:ascii="宋体" w:hAnsi="宋体" w:eastAsia="宋体" w:cs="宋体"/>
          <w:color w:val="auto"/>
        </w:rPr>
      </w:pPr>
    </w:p>
    <w:p w14:paraId="426358A6">
      <w:pPr>
        <w:pageBreakBefore w:val="0"/>
        <w:kinsoku/>
        <w:wordWrap w:val="0"/>
        <w:overflowPunct/>
        <w:bidi w:val="0"/>
        <w:spacing w:after="0"/>
        <w:ind w:firstLine="480"/>
        <w:textAlignment w:val="auto"/>
        <w:rPr>
          <w:rFonts w:hint="eastAsia" w:ascii="宋体" w:hAnsi="宋体" w:eastAsia="宋体" w:cs="宋体"/>
          <w:color w:val="auto"/>
          <w:szCs w:val="24"/>
        </w:rPr>
      </w:pPr>
    </w:p>
    <w:p w14:paraId="25ECD386">
      <w:pPr>
        <w:pageBreakBefore w:val="0"/>
        <w:kinsoku/>
        <w:wordWrap w:val="0"/>
        <w:overflowPunct/>
        <w:bidi w:val="0"/>
        <w:spacing w:after="0"/>
        <w:ind w:firstLine="480"/>
        <w:textAlignment w:val="auto"/>
        <w:rPr>
          <w:rFonts w:hint="eastAsia" w:ascii="宋体" w:hAnsi="宋体" w:eastAsia="宋体" w:cs="宋体"/>
          <w:color w:val="auto"/>
          <w:szCs w:val="24"/>
        </w:rPr>
      </w:pPr>
    </w:p>
    <w:p w14:paraId="03A218F8">
      <w:pPr>
        <w:pageBreakBefore w:val="0"/>
        <w:kinsoku/>
        <w:wordWrap w:val="0"/>
        <w:overflowPunct/>
        <w:bidi w:val="0"/>
        <w:spacing w:after="0"/>
        <w:ind w:firstLine="480"/>
        <w:textAlignment w:val="auto"/>
        <w:rPr>
          <w:rFonts w:hint="eastAsia" w:ascii="宋体" w:hAnsi="宋体" w:eastAsia="宋体" w:cs="宋体"/>
          <w:color w:val="auto"/>
          <w:szCs w:val="24"/>
        </w:rPr>
      </w:pPr>
    </w:p>
    <w:p w14:paraId="33376368">
      <w:pPr>
        <w:pageBreakBefore w:val="0"/>
        <w:kinsoku/>
        <w:wordWrap w:val="0"/>
        <w:overflowPunct/>
        <w:bidi w:val="0"/>
        <w:spacing w:after="0"/>
        <w:ind w:firstLine="480"/>
        <w:textAlignment w:val="auto"/>
        <w:rPr>
          <w:rFonts w:hint="eastAsia" w:ascii="宋体" w:hAnsi="宋体" w:eastAsia="宋体" w:cs="宋体"/>
          <w:color w:val="auto"/>
          <w:szCs w:val="24"/>
        </w:rPr>
      </w:pPr>
    </w:p>
    <w:p w14:paraId="5DF53D69">
      <w:pPr>
        <w:pageBreakBefore w:val="0"/>
        <w:kinsoku/>
        <w:wordWrap w:val="0"/>
        <w:overflowPunct/>
        <w:bidi w:val="0"/>
        <w:spacing w:after="0"/>
        <w:ind w:firstLine="480"/>
        <w:jc w:val="center"/>
        <w:textAlignment w:val="auto"/>
        <w:rPr>
          <w:rFonts w:hint="eastAsia" w:ascii="宋体" w:hAnsi="宋体" w:eastAsia="宋体" w:cs="宋体"/>
          <w:color w:val="auto"/>
          <w:szCs w:val="24"/>
        </w:rPr>
      </w:pPr>
    </w:p>
    <w:p w14:paraId="420748D3">
      <w:pPr>
        <w:pageBreakBefore w:val="0"/>
        <w:kinsoku/>
        <w:wordWrap w:val="0"/>
        <w:overflowPunct/>
        <w:bidi w:val="0"/>
        <w:spacing w:after="0" w:line="360" w:lineRule="auto"/>
        <w:ind w:firstLine="643"/>
        <w:jc w:val="center"/>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4396105</wp:posOffset>
                </wp:positionH>
                <wp:positionV relativeFrom="paragraph">
                  <wp:posOffset>141605</wp:posOffset>
                </wp:positionV>
                <wp:extent cx="738505" cy="457200"/>
                <wp:effectExtent l="4445" t="5080" r="9525" b="4445"/>
                <wp:wrapNone/>
                <wp:docPr id="1" name="文本框 1"/>
                <wp:cNvGraphicFramePr/>
                <a:graphic xmlns:a="http://schemas.openxmlformats.org/drawingml/2006/main">
                  <a:graphicData uri="http://schemas.microsoft.com/office/word/2010/wordprocessingShape">
                    <wps:wsp>
                      <wps:cNvSpPr txBox="1"/>
                      <wps:spPr>
                        <a:xfrm>
                          <a:off x="0" y="0"/>
                          <a:ext cx="738505" cy="457200"/>
                        </a:xfrm>
                        <a:prstGeom prst="rect">
                          <a:avLst/>
                        </a:prstGeom>
                        <a:noFill/>
                        <a:ln w="9525" cap="flat" cmpd="sng">
                          <a:solidFill>
                            <a:srgbClr val="FFFFFF"/>
                          </a:solidFill>
                          <a:prstDash val="solid"/>
                          <a:miter/>
                          <a:headEnd type="none" w="med" len="med"/>
                          <a:tailEnd type="none" w="med" len="med"/>
                        </a:ln>
                      </wps:spPr>
                      <wps:txbx>
                        <w:txbxContent>
                          <w:p w14:paraId="2194A30F">
                            <w:pPr>
                              <w:rPr>
                                <w:rFonts w:hint="eastAsia" w:ascii="宋体" w:hAnsi="宋体" w:eastAsia="宋体"/>
                                <w:b/>
                                <w:bCs/>
                                <w:sz w:val="32"/>
                              </w:rPr>
                            </w:pPr>
                            <w:r>
                              <w:rPr>
                                <w:rFonts w:hint="eastAsia" w:ascii="宋体" w:hAnsi="宋体" w:eastAsia="宋体"/>
                                <w:b/>
                                <w:bCs/>
                                <w:sz w:val="32"/>
                              </w:rPr>
                              <w:t>制定</w:t>
                            </w:r>
                          </w:p>
                        </w:txbxContent>
                      </wps:txbx>
                      <wps:bodyPr upright="1"/>
                    </wps:wsp>
                  </a:graphicData>
                </a:graphic>
              </wp:anchor>
            </w:drawing>
          </mc:Choice>
          <mc:Fallback>
            <w:pict>
              <v:shape id="_x0000_s1026" o:spid="_x0000_s1026" o:spt="202" type="#_x0000_t202" style="position:absolute;left:0pt;margin-left:346.15pt;margin-top:11.15pt;height:36pt;width:58.15pt;z-index:251659264;mso-width-relative:page;mso-height-relative:page;" filled="f" stroked="t" coordsize="21600,21600" o:gfxdata="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&#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l9Tv7ZAAAACQEAAA8AAAAAAAAAAQAgAAAAIgAAAGRy&#10;cy9kb3ducmV2LnhtbFBLAQIUABQAAAAIAIdO4kD284YHBAIAAAwEAAAOAAAAAAAAAAEAIAAAACgB&#10;AABkcnMvZTJvRG9jLnhtbFBLBQYAAAAABgAGAFkBAACeBQAAAAA=&#10;">
                <v:fill on="f" focussize="0,0"/>
                <v:stroke color="#FFFFFF" joinstyle="miter"/>
                <v:imagedata o:title=""/>
                <o:lock v:ext="edit" aspectratio="f"/>
                <v:textbox>
                  <w:txbxContent>
                    <w:p w14:paraId="2194A30F">
                      <w:pPr>
                        <w:rPr>
                          <w:rFonts w:hint="eastAsia" w:ascii="宋体" w:hAnsi="宋体" w:eastAsia="宋体"/>
                          <w:b/>
                          <w:bCs/>
                          <w:sz w:val="32"/>
                        </w:rPr>
                      </w:pPr>
                      <w:r>
                        <w:rPr>
                          <w:rFonts w:hint="eastAsia" w:ascii="宋体" w:hAnsi="宋体" w:eastAsia="宋体"/>
                          <w:b/>
                          <w:bCs/>
                          <w:sz w:val="32"/>
                        </w:rPr>
                        <w:t>制定</w:t>
                      </w:r>
                    </w:p>
                  </w:txbxContent>
                </v:textbox>
              </v:shape>
            </w:pict>
          </mc:Fallback>
        </mc:AlternateContent>
      </w:r>
      <w:r>
        <w:rPr>
          <w:rFonts w:hint="eastAsia" w:ascii="宋体" w:hAnsi="宋体" w:eastAsia="宋体" w:cs="宋体"/>
          <w:b/>
          <w:color w:val="auto"/>
          <w:sz w:val="32"/>
          <w:szCs w:val="32"/>
        </w:rPr>
        <w:t>住房城乡建设部</w:t>
      </w:r>
    </w:p>
    <w:p w14:paraId="1B4DDEFB">
      <w:pPr>
        <w:pageBreakBefore w:val="0"/>
        <w:kinsoku/>
        <w:wordWrap w:val="0"/>
        <w:overflowPunct/>
        <w:bidi w:val="0"/>
        <w:spacing w:after="0" w:line="360" w:lineRule="auto"/>
        <w:ind w:firstLine="643"/>
        <w:jc w:val="center"/>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国家市场监督管理总局</w:t>
      </w:r>
    </w:p>
    <w:p w14:paraId="1038CE6F">
      <w:pPr>
        <w:pageBreakBefore w:val="0"/>
        <w:kinsoku/>
        <w:wordWrap w:val="0"/>
        <w:overflowPunct/>
        <w:bidi w:val="0"/>
        <w:spacing w:after="0" w:line="360" w:lineRule="auto"/>
        <w:ind w:firstLine="480"/>
        <w:textAlignment w:val="auto"/>
        <w:rPr>
          <w:rFonts w:hint="eastAsia" w:ascii="宋体" w:hAnsi="宋体" w:eastAsia="宋体" w:cs="宋体"/>
          <w:color w:val="auto"/>
          <w:szCs w:val="24"/>
        </w:rPr>
      </w:pPr>
    </w:p>
    <w:p w14:paraId="3742A6DE">
      <w:pPr>
        <w:pStyle w:val="3"/>
        <w:pageBreakBefore w:val="0"/>
        <w:kinsoku/>
        <w:wordWrap w:val="0"/>
        <w:overflowPunct/>
        <w:bidi w:val="0"/>
        <w:spacing w:before="0" w:after="0"/>
        <w:jc w:val="center"/>
        <w:textAlignment w:val="auto"/>
        <w:rPr>
          <w:rFonts w:hint="eastAsia" w:ascii="宋体" w:hAnsi="宋体" w:eastAsia="宋体" w:cs="宋体"/>
          <w:color w:val="auto"/>
        </w:rPr>
      </w:pPr>
      <w:r>
        <w:rPr>
          <w:rFonts w:hint="eastAsia" w:ascii="宋体" w:hAnsi="宋体" w:eastAsia="宋体" w:cs="宋体"/>
          <w:color w:val="auto"/>
          <w:sz w:val="21"/>
          <w:szCs w:val="21"/>
        </w:rPr>
        <w:br w:type="page"/>
      </w:r>
      <w:bookmarkStart w:id="124" w:name="_Toc351203480"/>
      <w:bookmarkStart w:id="125" w:name="_Toc15941767"/>
      <w:bookmarkStart w:id="126" w:name="_Toc342"/>
      <w:bookmarkStart w:id="127" w:name="_Toc53217934"/>
      <w:bookmarkStart w:id="128" w:name="_Toc17619"/>
      <w:bookmarkStart w:id="129" w:name="_Toc10739"/>
      <w:bookmarkStart w:id="130" w:name="_Toc21530"/>
      <w:bookmarkStart w:id="131" w:name="_Toc29768"/>
      <w:bookmarkStart w:id="132" w:name="_Toc13829"/>
      <w:bookmarkStart w:id="133" w:name="_Toc1889"/>
      <w:r>
        <w:rPr>
          <w:rFonts w:hint="eastAsia" w:ascii="宋体" w:hAnsi="宋体" w:eastAsia="宋体" w:cs="宋体"/>
          <w:color w:val="auto"/>
        </w:rPr>
        <w:t>第一部分 合同协议书</w:t>
      </w:r>
      <w:bookmarkEnd w:id="124"/>
      <w:bookmarkEnd w:id="125"/>
      <w:bookmarkEnd w:id="126"/>
      <w:bookmarkEnd w:id="127"/>
      <w:bookmarkEnd w:id="128"/>
      <w:bookmarkEnd w:id="129"/>
      <w:bookmarkEnd w:id="130"/>
      <w:bookmarkEnd w:id="131"/>
      <w:bookmarkEnd w:id="132"/>
      <w:bookmarkEnd w:id="133"/>
    </w:p>
    <w:p w14:paraId="5588EA5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发包人（全称）：</w:t>
      </w:r>
      <w:r>
        <w:rPr>
          <w:rFonts w:hint="eastAsia" w:ascii="宋体" w:hAnsi="宋体" w:eastAsia="宋体" w:cs="宋体"/>
          <w:color w:val="auto"/>
          <w:sz w:val="24"/>
          <w:szCs w:val="24"/>
          <w:u w:val="single"/>
        </w:rPr>
        <w:t xml:space="preserve">                                      </w:t>
      </w:r>
    </w:p>
    <w:p w14:paraId="3DDCC8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承包人（全称）：</w:t>
      </w:r>
      <w:r>
        <w:rPr>
          <w:rFonts w:hint="eastAsia" w:ascii="宋体" w:hAnsi="宋体" w:eastAsia="宋体" w:cs="宋体"/>
          <w:color w:val="auto"/>
          <w:sz w:val="24"/>
          <w:szCs w:val="24"/>
          <w:u w:val="single"/>
        </w:rPr>
        <w:t xml:space="preserve">                                      </w:t>
      </w:r>
    </w:p>
    <w:p w14:paraId="6A1B224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rPr>
        <w:t>中华人民共和国建筑法》及有关法律规定，遵循平等、自愿、公平和诚实信用的原则，双方就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工程施工及有关事项协商一致，共同达成如下协议：</w:t>
      </w:r>
    </w:p>
    <w:p w14:paraId="6BC83CA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34" w:name="_Toc351203481"/>
      <w:r>
        <w:rPr>
          <w:rFonts w:hint="eastAsia" w:ascii="宋体" w:hAnsi="宋体" w:eastAsia="宋体" w:cs="宋体"/>
          <w:color w:val="auto"/>
          <w:sz w:val="24"/>
          <w:szCs w:val="24"/>
        </w:rPr>
        <w:t>一、工程概况</w:t>
      </w:r>
      <w:bookmarkEnd w:id="134"/>
    </w:p>
    <w:p w14:paraId="45E5605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1.工程名称：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DED5F4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2.工程地点：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69052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3.工程立项批准文号：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2C3D27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4.资金来源：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1B16C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5.工程内容：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9D711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群体工程应附《承包人承揽工程项目一览表》（附件1）。</w:t>
      </w:r>
    </w:p>
    <w:p w14:paraId="4495D2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6.工程承包范围：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2FC845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35" w:name="_Toc351203482"/>
      <w:r>
        <w:rPr>
          <w:rFonts w:hint="eastAsia" w:ascii="宋体" w:hAnsi="宋体" w:eastAsia="宋体" w:cs="宋体"/>
          <w:color w:val="auto"/>
          <w:sz w:val="24"/>
          <w:szCs w:val="24"/>
        </w:rPr>
        <w:t>二、合同工期</w:t>
      </w:r>
      <w:bookmarkEnd w:id="135"/>
    </w:p>
    <w:p w14:paraId="6CB1B27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计划开工日期：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65909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计划竣工日期：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0ACF9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工期总日历天数：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天。工期总日历天数与根据前述计划开竣工日期计算的工期天数不一致的，以工期总日历天数为准。</w:t>
      </w:r>
    </w:p>
    <w:p w14:paraId="6062165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36" w:name="_Toc351203483"/>
      <w:r>
        <w:rPr>
          <w:rFonts w:hint="eastAsia" w:ascii="宋体" w:hAnsi="宋体" w:eastAsia="宋体" w:cs="宋体"/>
          <w:color w:val="auto"/>
          <w:sz w:val="24"/>
          <w:szCs w:val="24"/>
        </w:rPr>
        <w:t>三、质量标准</w:t>
      </w:r>
      <w:bookmarkEnd w:id="136"/>
    </w:p>
    <w:p w14:paraId="3673BD7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标准。</w:t>
      </w:r>
    </w:p>
    <w:p w14:paraId="2D13AAE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37" w:name="_Toc351203484"/>
      <w:r>
        <w:rPr>
          <w:rFonts w:hint="eastAsia" w:ascii="宋体" w:hAnsi="宋体" w:eastAsia="宋体" w:cs="宋体"/>
          <w:color w:val="auto"/>
          <w:sz w:val="24"/>
          <w:szCs w:val="24"/>
        </w:rPr>
        <w:t>四、签约合同价与合同价格形式</w:t>
      </w:r>
      <w:bookmarkEnd w:id="137"/>
      <w:r>
        <w:rPr>
          <w:rFonts w:hint="eastAsia" w:ascii="宋体" w:hAnsi="宋体" w:eastAsia="宋体" w:cs="宋体"/>
          <w:color w:val="auto"/>
          <w:sz w:val="24"/>
          <w:szCs w:val="24"/>
        </w:rPr>
        <w:tab/>
      </w:r>
    </w:p>
    <w:p w14:paraId="4E41ED5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1.签约合同价为：</w:t>
      </w:r>
    </w:p>
    <w:p w14:paraId="00D5D79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10A624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其中：</w:t>
      </w:r>
    </w:p>
    <w:p w14:paraId="51E2B4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（1）安全文明施工费：</w:t>
      </w:r>
    </w:p>
    <w:p w14:paraId="1FA4372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5D060AA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（2）材料和工程设备暂估价金额：</w:t>
      </w:r>
    </w:p>
    <w:p w14:paraId="7DA23D7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0EE59D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（3）专业工程暂估价金额：</w:t>
      </w:r>
    </w:p>
    <w:p w14:paraId="7314E74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0060DFA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（4）暂列金额：</w:t>
      </w:r>
    </w:p>
    <w:p w14:paraId="619BFB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1469B4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193322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38" w:name="_Toc351203485"/>
      <w:r>
        <w:rPr>
          <w:rFonts w:hint="eastAsia" w:ascii="宋体" w:hAnsi="宋体" w:eastAsia="宋体" w:cs="宋体"/>
          <w:color w:val="auto"/>
          <w:sz w:val="24"/>
          <w:szCs w:val="24"/>
        </w:rPr>
        <w:t>五、</w:t>
      </w:r>
      <w:bookmarkEnd w:id="138"/>
      <w:r>
        <w:rPr>
          <w:rFonts w:hint="eastAsia" w:ascii="宋体" w:hAnsi="宋体" w:eastAsia="宋体" w:cs="宋体"/>
          <w:color w:val="auto"/>
          <w:sz w:val="24"/>
          <w:szCs w:val="24"/>
        </w:rPr>
        <w:t>项目经理</w:t>
      </w:r>
    </w:p>
    <w:p w14:paraId="2C503A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5149EA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39" w:name="_Toc351203486"/>
      <w:r>
        <w:rPr>
          <w:rFonts w:hint="eastAsia" w:ascii="宋体" w:hAnsi="宋体" w:eastAsia="宋体" w:cs="宋体"/>
          <w:color w:val="auto"/>
          <w:sz w:val="24"/>
          <w:szCs w:val="24"/>
        </w:rPr>
        <w:t>六、合同文件构成</w:t>
      </w:r>
      <w:bookmarkEnd w:id="139"/>
    </w:p>
    <w:p w14:paraId="746B2C3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本协议书与下列文件一起构成合同文件：</w:t>
      </w:r>
    </w:p>
    <w:p w14:paraId="37B15A8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（1）中标通知书（如果有）；</w:t>
      </w:r>
    </w:p>
    <w:p w14:paraId="35F2C3B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（2）投标函及其附录（如果有）； </w:t>
      </w:r>
    </w:p>
    <w:p w14:paraId="345921E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（3）专用合同条款及其附件；</w:t>
      </w:r>
    </w:p>
    <w:p w14:paraId="2AE694F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（4）通用合同条款；</w:t>
      </w:r>
    </w:p>
    <w:p w14:paraId="0B31E19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（5）技术标准和要求；</w:t>
      </w:r>
    </w:p>
    <w:p w14:paraId="3B1C44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（6）图纸；</w:t>
      </w:r>
    </w:p>
    <w:p w14:paraId="5DED184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（7）已标价工程量清单或预算书；</w:t>
      </w:r>
    </w:p>
    <w:p w14:paraId="4AA2751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（8）其他合同文件。</w:t>
      </w:r>
    </w:p>
    <w:p w14:paraId="00333E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在合同订立及履行过程中形成的与合同有关的文件均构成合同文件组成部分。</w:t>
      </w:r>
    </w:p>
    <w:p w14:paraId="4335E88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上述各项合同文件包括合同当事人就该项合同文件所作出的补充和修改，属于同一类内容的文件，应以最新签署的为准。专用合同条款及其附件须经合同当事人签字或盖章。</w:t>
      </w:r>
    </w:p>
    <w:p w14:paraId="05AA0A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40" w:name="_Toc351203487"/>
      <w:r>
        <w:rPr>
          <w:rFonts w:hint="eastAsia" w:ascii="宋体" w:hAnsi="宋体" w:eastAsia="宋体" w:cs="宋体"/>
          <w:color w:val="auto"/>
          <w:sz w:val="24"/>
          <w:szCs w:val="24"/>
        </w:rPr>
        <w:t>七、承诺</w:t>
      </w:r>
      <w:bookmarkEnd w:id="140"/>
    </w:p>
    <w:p w14:paraId="2C0261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1.发包人承诺按照法律规定履行项目审批手续、筹集工程建设资金并按照合同约定的期限和方式支付合同价款。</w:t>
      </w:r>
    </w:p>
    <w:p w14:paraId="43EDD80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2.承包人承诺按照法律规定及合同约定组织完成工程施工，确保工程质量和安全，不进行转包及违法分包，并在缺陷责任期及保修期内承担相应的工程维修责任。</w:t>
      </w:r>
    </w:p>
    <w:p w14:paraId="21EBEAB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3.发包人和承包人通过招投标形式签订合同的，双方理解并承诺不再就同一工程另行签订与合同实质性内容相背离的协议。</w:t>
      </w:r>
    </w:p>
    <w:p w14:paraId="2018B2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41" w:name="_Toc351203488"/>
      <w:r>
        <w:rPr>
          <w:rFonts w:hint="eastAsia" w:ascii="宋体" w:hAnsi="宋体" w:eastAsia="宋体" w:cs="宋体"/>
          <w:color w:val="auto"/>
          <w:sz w:val="24"/>
          <w:szCs w:val="24"/>
        </w:rPr>
        <w:t>八、词语含义</w:t>
      </w:r>
      <w:bookmarkEnd w:id="141"/>
    </w:p>
    <w:p w14:paraId="659F0F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本协议书中词语含义与第二部分通用合同条款中赋予的含义相同。</w:t>
      </w:r>
    </w:p>
    <w:p w14:paraId="7B9CE05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42" w:name="_Toc351203489"/>
      <w:r>
        <w:rPr>
          <w:rFonts w:hint="eastAsia" w:ascii="宋体" w:hAnsi="宋体" w:eastAsia="宋体" w:cs="宋体"/>
          <w:color w:val="auto"/>
          <w:sz w:val="24"/>
          <w:szCs w:val="24"/>
        </w:rPr>
        <w:t>九、签订时间</w:t>
      </w:r>
      <w:bookmarkEnd w:id="142"/>
    </w:p>
    <w:p w14:paraId="523634E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日签订。</w:t>
      </w:r>
    </w:p>
    <w:p w14:paraId="045FBA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43" w:name="_Toc351203490"/>
      <w:r>
        <w:rPr>
          <w:rFonts w:hint="eastAsia" w:ascii="宋体" w:hAnsi="宋体" w:eastAsia="宋体" w:cs="宋体"/>
          <w:color w:val="auto"/>
          <w:sz w:val="24"/>
          <w:szCs w:val="24"/>
        </w:rPr>
        <w:t>十、签订地点</w:t>
      </w:r>
      <w:bookmarkEnd w:id="143"/>
    </w:p>
    <w:p w14:paraId="05053E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签订。</w:t>
      </w:r>
    </w:p>
    <w:p w14:paraId="6481E1A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44" w:name="_Toc351203491"/>
      <w:r>
        <w:rPr>
          <w:rFonts w:hint="eastAsia" w:ascii="宋体" w:hAnsi="宋体" w:eastAsia="宋体" w:cs="宋体"/>
          <w:color w:val="auto"/>
          <w:sz w:val="24"/>
          <w:szCs w:val="24"/>
        </w:rPr>
        <w:t>十一、补充协议</w:t>
      </w:r>
      <w:bookmarkEnd w:id="144"/>
    </w:p>
    <w:p w14:paraId="2A3A9D2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合同未尽事宜，合同当事人另行签订补充协议，补充协议是合同的组成部分。</w:t>
      </w:r>
    </w:p>
    <w:p w14:paraId="3C518D0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45" w:name="_Toc351203492"/>
      <w:r>
        <w:rPr>
          <w:rFonts w:hint="eastAsia" w:ascii="宋体" w:hAnsi="宋体" w:eastAsia="宋体" w:cs="宋体"/>
          <w:color w:val="auto"/>
          <w:sz w:val="24"/>
          <w:szCs w:val="24"/>
        </w:rPr>
        <w:t>十二、合同生效</w:t>
      </w:r>
      <w:bookmarkEnd w:id="145"/>
    </w:p>
    <w:p w14:paraId="4ADAA9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生效。</w:t>
      </w:r>
    </w:p>
    <w:p w14:paraId="1A32249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46" w:name="_Toc351203493"/>
      <w:r>
        <w:rPr>
          <w:rFonts w:hint="eastAsia" w:ascii="宋体" w:hAnsi="宋体" w:eastAsia="宋体" w:cs="宋体"/>
          <w:color w:val="auto"/>
          <w:sz w:val="24"/>
          <w:szCs w:val="24"/>
        </w:rPr>
        <w:t>十三、合同份数</w:t>
      </w:r>
      <w:bookmarkEnd w:id="146"/>
    </w:p>
    <w:p w14:paraId="16A1B3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份，均具有同等法律效力，发包人执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份，承包人执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p>
    <w:p w14:paraId="182E77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承包人：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公章</w:t>
      </w:r>
      <w:r>
        <w:rPr>
          <w:rFonts w:hint="eastAsia" w:ascii="宋体" w:hAnsi="宋体" w:eastAsia="宋体" w:cs="宋体"/>
          <w:color w:val="auto"/>
          <w:sz w:val="24"/>
          <w:szCs w:val="24"/>
          <w:lang w:eastAsia="zh-CN"/>
        </w:rPr>
        <w:t>）</w:t>
      </w:r>
    </w:p>
    <w:p w14:paraId="5136A1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643BFD0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         法定代表人或其委托代理人：</w:t>
      </w:r>
    </w:p>
    <w:p w14:paraId="4E806DE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（签字）                          （签字）</w:t>
      </w:r>
    </w:p>
    <w:p w14:paraId="64C12A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组织机构代码：                      组织机构代码：             </w:t>
      </w:r>
    </w:p>
    <w:p w14:paraId="3BFA2F7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                            地  址：            </w:t>
      </w:r>
    </w:p>
    <w:p w14:paraId="209B06A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邮政编码：                          邮政编码：  </w:t>
      </w:r>
    </w:p>
    <w:p w14:paraId="1F2058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法定代表人：   </w:t>
      </w:r>
    </w:p>
    <w:p w14:paraId="58EE9F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                        委托代理人：         </w:t>
      </w:r>
    </w:p>
    <w:p w14:paraId="075F8F2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                            电  话：    </w:t>
      </w:r>
    </w:p>
    <w:p w14:paraId="64FC855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                            传  真：  </w:t>
      </w:r>
    </w:p>
    <w:p w14:paraId="7C2EEA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                          电子信箱： </w:t>
      </w:r>
    </w:p>
    <w:p w14:paraId="72B1EE2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开户银行： </w:t>
      </w:r>
    </w:p>
    <w:p w14:paraId="0BC5EFFB">
      <w:pPr>
        <w:keepNext w:val="0"/>
        <w:keepLines w:val="0"/>
        <w:pageBreakBefore w:val="0"/>
        <w:widowControl/>
        <w:kinsoku/>
        <w:wordWrap w:val="0"/>
        <w:overflowPunct/>
        <w:topLinePunct w:val="0"/>
        <w:autoSpaceDE/>
        <w:autoSpaceDN/>
        <w:bidi w:val="0"/>
        <w:adjustRightInd w:val="0"/>
        <w:snapToGrid w:val="0"/>
        <w:spacing w:after="0" w:line="500" w:lineRule="exact"/>
        <w:ind w:firstLine="424" w:firstLineChars="177"/>
        <w:textAlignment w:val="auto"/>
        <w:rPr>
          <w:rFonts w:hint="eastAsia" w:ascii="宋体" w:hAnsi="宋体" w:eastAsia="宋体" w:cs="宋体"/>
          <w:color w:val="auto"/>
        </w:rPr>
      </w:pPr>
      <w:r>
        <w:rPr>
          <w:rFonts w:hint="eastAsia" w:ascii="宋体" w:hAnsi="宋体" w:eastAsia="宋体" w:cs="宋体"/>
          <w:color w:val="auto"/>
          <w:sz w:val="24"/>
          <w:szCs w:val="24"/>
        </w:rPr>
        <w:t xml:space="preserve">账  号：                            账  号：   </w:t>
      </w:r>
      <w:bookmarkStart w:id="147" w:name="_Toc12867"/>
      <w:bookmarkStart w:id="148" w:name="_Toc7983"/>
      <w:bookmarkStart w:id="149" w:name="_Toc53217935"/>
      <w:bookmarkStart w:id="150" w:name="_Toc12037"/>
      <w:bookmarkStart w:id="151" w:name="_Toc351203494"/>
      <w:bookmarkStart w:id="152" w:name="_Toc882"/>
      <w:bookmarkStart w:id="153" w:name="_Toc27469"/>
      <w:bookmarkStart w:id="154" w:name="_Toc23455"/>
      <w:bookmarkStart w:id="155" w:name="_Toc15941768"/>
      <w:bookmarkStart w:id="156" w:name="_Toc5829"/>
    </w:p>
    <w:p w14:paraId="4187E560">
      <w:pPr>
        <w:pageBreakBefore w:val="0"/>
        <w:kinsoku/>
        <w:wordWrap w:val="0"/>
        <w:overflowPunct/>
        <w:bidi w:val="0"/>
        <w:spacing w:after="0"/>
        <w:jc w:val="center"/>
        <w:textAlignment w:val="auto"/>
        <w:outlineLvl w:val="9"/>
        <w:rPr>
          <w:rFonts w:hint="eastAsia" w:ascii="宋体" w:hAnsi="宋体" w:eastAsia="宋体" w:cs="宋体"/>
          <w:color w:val="auto"/>
        </w:rPr>
      </w:pPr>
    </w:p>
    <w:p w14:paraId="7A2B799E">
      <w:pPr>
        <w:pStyle w:val="3"/>
        <w:pageBreakBefore w:val="0"/>
        <w:kinsoku/>
        <w:wordWrap w:val="0"/>
        <w:overflowPunct/>
        <w:bidi w:val="0"/>
        <w:spacing w:before="0" w:after="0"/>
        <w:jc w:val="center"/>
        <w:textAlignment w:val="auto"/>
        <w:rPr>
          <w:rFonts w:hint="eastAsia" w:ascii="宋体" w:hAnsi="宋体" w:eastAsia="宋体" w:cs="宋体"/>
          <w:b/>
          <w:color w:val="auto"/>
          <w:sz w:val="28"/>
          <w:szCs w:val="28"/>
        </w:rPr>
      </w:pPr>
      <w:r>
        <w:rPr>
          <w:rFonts w:hint="eastAsia" w:ascii="宋体" w:hAnsi="宋体" w:eastAsia="宋体" w:cs="宋体"/>
          <w:color w:val="auto"/>
        </w:rPr>
        <w:t>第二部分 通用合同条款</w:t>
      </w:r>
      <w:bookmarkEnd w:id="147"/>
      <w:bookmarkEnd w:id="148"/>
      <w:bookmarkEnd w:id="149"/>
      <w:bookmarkEnd w:id="150"/>
      <w:bookmarkEnd w:id="151"/>
      <w:bookmarkEnd w:id="152"/>
      <w:bookmarkEnd w:id="153"/>
      <w:bookmarkEnd w:id="154"/>
      <w:bookmarkEnd w:id="155"/>
      <w:bookmarkEnd w:id="156"/>
    </w:p>
    <w:p w14:paraId="7948EDDD">
      <w:pPr>
        <w:pageBreakBefore w:val="0"/>
        <w:kinsoku/>
        <w:wordWrap w:val="0"/>
        <w:overflowPunct/>
        <w:bidi w:val="0"/>
        <w:spacing w:after="0"/>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按GF—2017—0201版建设工程施工合同通用合同条款执行。</w:t>
      </w:r>
    </w:p>
    <w:p w14:paraId="437AF76B">
      <w:pPr>
        <w:pStyle w:val="14"/>
        <w:pageBreakBefore w:val="0"/>
        <w:kinsoku/>
        <w:wordWrap w:val="0"/>
        <w:overflowPunct/>
        <w:bidi w:val="0"/>
        <w:spacing w:after="0"/>
        <w:textAlignment w:val="auto"/>
        <w:rPr>
          <w:rFonts w:hint="eastAsia" w:ascii="宋体" w:hAnsi="宋体" w:eastAsia="宋体" w:cs="宋体"/>
          <w:b/>
          <w:color w:val="auto"/>
          <w:sz w:val="28"/>
          <w:szCs w:val="28"/>
        </w:rPr>
      </w:pPr>
    </w:p>
    <w:p w14:paraId="3D65BF57">
      <w:pPr>
        <w:pStyle w:val="30"/>
        <w:pageBreakBefore w:val="0"/>
        <w:kinsoku/>
        <w:wordWrap w:val="0"/>
        <w:overflowPunct/>
        <w:bidi w:val="0"/>
        <w:spacing w:after="0"/>
        <w:textAlignment w:val="auto"/>
        <w:rPr>
          <w:rFonts w:hint="eastAsia" w:ascii="宋体" w:hAnsi="宋体" w:eastAsia="宋体" w:cs="宋体"/>
          <w:color w:val="auto"/>
        </w:rPr>
      </w:pPr>
    </w:p>
    <w:p w14:paraId="0E156CFA">
      <w:pPr>
        <w:pageBreakBefore w:val="0"/>
        <w:kinsoku/>
        <w:wordWrap w:val="0"/>
        <w:overflowPunct/>
        <w:bidi w:val="0"/>
        <w:spacing w:after="0"/>
        <w:textAlignment w:val="auto"/>
        <w:rPr>
          <w:rFonts w:hint="eastAsia" w:ascii="宋体" w:hAnsi="宋体" w:eastAsia="宋体" w:cs="宋体"/>
          <w:b/>
          <w:color w:val="auto"/>
          <w:sz w:val="28"/>
          <w:szCs w:val="28"/>
        </w:rPr>
      </w:pPr>
    </w:p>
    <w:p w14:paraId="2F1BB2D9">
      <w:pPr>
        <w:pStyle w:val="14"/>
        <w:pageBreakBefore w:val="0"/>
        <w:kinsoku/>
        <w:wordWrap w:val="0"/>
        <w:overflowPunct/>
        <w:bidi w:val="0"/>
        <w:spacing w:after="0"/>
        <w:textAlignment w:val="auto"/>
        <w:rPr>
          <w:rFonts w:hint="eastAsia" w:ascii="宋体" w:hAnsi="宋体" w:eastAsia="宋体" w:cs="宋体"/>
          <w:b/>
          <w:color w:val="auto"/>
          <w:sz w:val="28"/>
          <w:szCs w:val="28"/>
        </w:rPr>
      </w:pPr>
    </w:p>
    <w:p w14:paraId="7351B4B0">
      <w:pPr>
        <w:pStyle w:val="30"/>
        <w:pageBreakBefore w:val="0"/>
        <w:kinsoku/>
        <w:wordWrap w:val="0"/>
        <w:overflowPunct/>
        <w:bidi w:val="0"/>
        <w:spacing w:after="0"/>
        <w:textAlignment w:val="auto"/>
        <w:rPr>
          <w:rFonts w:hint="eastAsia" w:ascii="宋体" w:hAnsi="宋体" w:eastAsia="宋体" w:cs="宋体"/>
          <w:b/>
          <w:color w:val="auto"/>
          <w:sz w:val="28"/>
          <w:szCs w:val="28"/>
        </w:rPr>
      </w:pPr>
    </w:p>
    <w:p w14:paraId="4D6FA583">
      <w:pPr>
        <w:pageBreakBefore w:val="0"/>
        <w:kinsoku/>
        <w:wordWrap w:val="0"/>
        <w:overflowPunct/>
        <w:bidi w:val="0"/>
        <w:spacing w:after="0"/>
        <w:textAlignment w:val="auto"/>
        <w:rPr>
          <w:rFonts w:hint="eastAsia" w:ascii="宋体" w:hAnsi="宋体" w:eastAsia="宋体" w:cs="宋体"/>
          <w:b/>
          <w:color w:val="auto"/>
          <w:sz w:val="28"/>
          <w:szCs w:val="28"/>
        </w:rPr>
      </w:pPr>
    </w:p>
    <w:p w14:paraId="238418AE">
      <w:pPr>
        <w:pStyle w:val="14"/>
        <w:pageBreakBefore w:val="0"/>
        <w:kinsoku/>
        <w:wordWrap w:val="0"/>
        <w:overflowPunct/>
        <w:bidi w:val="0"/>
        <w:spacing w:after="0"/>
        <w:textAlignment w:val="auto"/>
        <w:rPr>
          <w:rFonts w:hint="eastAsia" w:ascii="宋体" w:hAnsi="宋体" w:eastAsia="宋体" w:cs="宋体"/>
          <w:b/>
          <w:color w:val="auto"/>
          <w:sz w:val="28"/>
          <w:szCs w:val="28"/>
        </w:rPr>
      </w:pPr>
    </w:p>
    <w:p w14:paraId="7C26DACC">
      <w:pPr>
        <w:pStyle w:val="30"/>
        <w:pageBreakBefore w:val="0"/>
        <w:kinsoku/>
        <w:wordWrap w:val="0"/>
        <w:overflowPunct/>
        <w:bidi w:val="0"/>
        <w:spacing w:after="0"/>
        <w:textAlignment w:val="auto"/>
        <w:rPr>
          <w:rFonts w:hint="eastAsia" w:ascii="宋体" w:hAnsi="宋体" w:eastAsia="宋体" w:cs="宋体"/>
          <w:b/>
          <w:color w:val="auto"/>
          <w:sz w:val="28"/>
          <w:szCs w:val="28"/>
        </w:rPr>
      </w:pPr>
    </w:p>
    <w:p w14:paraId="7B3F02CD">
      <w:pPr>
        <w:pageBreakBefore w:val="0"/>
        <w:kinsoku/>
        <w:wordWrap w:val="0"/>
        <w:overflowPunct/>
        <w:bidi w:val="0"/>
        <w:spacing w:after="0"/>
        <w:textAlignment w:val="auto"/>
        <w:rPr>
          <w:rFonts w:hint="eastAsia" w:ascii="宋体" w:hAnsi="宋体" w:eastAsia="宋体" w:cs="宋体"/>
          <w:b/>
          <w:color w:val="auto"/>
          <w:sz w:val="28"/>
          <w:szCs w:val="28"/>
        </w:rPr>
      </w:pPr>
    </w:p>
    <w:p w14:paraId="3D27D1E7">
      <w:pPr>
        <w:pStyle w:val="14"/>
        <w:pageBreakBefore w:val="0"/>
        <w:kinsoku/>
        <w:wordWrap w:val="0"/>
        <w:overflowPunct/>
        <w:bidi w:val="0"/>
        <w:spacing w:after="0"/>
        <w:textAlignment w:val="auto"/>
        <w:rPr>
          <w:rFonts w:hint="eastAsia" w:ascii="宋体" w:hAnsi="宋体" w:eastAsia="宋体" w:cs="宋体"/>
          <w:b/>
          <w:color w:val="auto"/>
          <w:sz w:val="28"/>
          <w:szCs w:val="28"/>
        </w:rPr>
      </w:pPr>
    </w:p>
    <w:p w14:paraId="69D4E42D">
      <w:pPr>
        <w:pStyle w:val="30"/>
        <w:pageBreakBefore w:val="0"/>
        <w:kinsoku/>
        <w:wordWrap w:val="0"/>
        <w:overflowPunct/>
        <w:bidi w:val="0"/>
        <w:spacing w:after="0"/>
        <w:textAlignment w:val="auto"/>
        <w:rPr>
          <w:rFonts w:hint="eastAsia" w:ascii="宋体" w:hAnsi="宋体" w:eastAsia="宋体" w:cs="宋体"/>
          <w:b/>
          <w:color w:val="auto"/>
          <w:sz w:val="28"/>
          <w:szCs w:val="28"/>
        </w:rPr>
      </w:pPr>
    </w:p>
    <w:p w14:paraId="59200545">
      <w:pPr>
        <w:pageBreakBefore w:val="0"/>
        <w:kinsoku/>
        <w:wordWrap w:val="0"/>
        <w:overflowPunct/>
        <w:bidi w:val="0"/>
        <w:spacing w:after="0"/>
        <w:jc w:val="both"/>
        <w:textAlignment w:val="auto"/>
        <w:outlineLvl w:val="9"/>
        <w:rPr>
          <w:rFonts w:hint="eastAsia" w:ascii="宋体" w:hAnsi="宋体" w:eastAsia="宋体" w:cs="宋体"/>
          <w:color w:val="auto"/>
        </w:rPr>
      </w:pPr>
      <w:bookmarkStart w:id="157" w:name="_Toc1589"/>
      <w:bookmarkStart w:id="158" w:name="_Toc6101"/>
      <w:bookmarkStart w:id="159" w:name="_Toc15941769"/>
      <w:bookmarkStart w:id="160" w:name="_Toc28228"/>
      <w:bookmarkStart w:id="161" w:name="_Toc7381"/>
      <w:bookmarkStart w:id="162" w:name="_Toc9538"/>
      <w:bookmarkStart w:id="163" w:name="_Toc53217936"/>
      <w:bookmarkStart w:id="164" w:name="_Toc7531"/>
      <w:bookmarkStart w:id="165" w:name="_Toc15829"/>
    </w:p>
    <w:p w14:paraId="4815942A">
      <w:pPr>
        <w:pStyle w:val="35"/>
        <w:pageBreakBefore w:val="0"/>
        <w:kinsoku/>
        <w:wordWrap w:val="0"/>
        <w:overflowPunct/>
        <w:bidi w:val="0"/>
        <w:spacing w:after="0"/>
        <w:textAlignment w:val="auto"/>
        <w:rPr>
          <w:rFonts w:hint="eastAsia" w:ascii="宋体" w:hAnsi="宋体" w:eastAsia="宋体" w:cs="宋体"/>
          <w:color w:val="auto"/>
        </w:rPr>
      </w:pPr>
    </w:p>
    <w:p w14:paraId="3AB6F9A5">
      <w:pPr>
        <w:pStyle w:val="35"/>
        <w:pageBreakBefore w:val="0"/>
        <w:kinsoku/>
        <w:wordWrap w:val="0"/>
        <w:overflowPunct/>
        <w:bidi w:val="0"/>
        <w:spacing w:after="0"/>
        <w:textAlignment w:val="auto"/>
        <w:rPr>
          <w:rFonts w:hint="eastAsia" w:ascii="宋体" w:hAnsi="宋体" w:eastAsia="宋体" w:cs="宋体"/>
          <w:color w:val="auto"/>
        </w:rPr>
      </w:pPr>
    </w:p>
    <w:p w14:paraId="270F28A2">
      <w:pPr>
        <w:pStyle w:val="35"/>
        <w:pageBreakBefore w:val="0"/>
        <w:kinsoku/>
        <w:wordWrap w:val="0"/>
        <w:overflowPunct/>
        <w:bidi w:val="0"/>
        <w:spacing w:after="0"/>
        <w:textAlignment w:val="auto"/>
        <w:rPr>
          <w:rFonts w:hint="eastAsia" w:ascii="宋体" w:hAnsi="宋体" w:eastAsia="宋体" w:cs="宋体"/>
          <w:color w:val="auto"/>
        </w:rPr>
      </w:pPr>
    </w:p>
    <w:p w14:paraId="795575F3">
      <w:pPr>
        <w:pStyle w:val="35"/>
        <w:pageBreakBefore w:val="0"/>
        <w:kinsoku/>
        <w:wordWrap w:val="0"/>
        <w:overflowPunct/>
        <w:bidi w:val="0"/>
        <w:spacing w:after="0"/>
        <w:textAlignment w:val="auto"/>
        <w:rPr>
          <w:rFonts w:hint="eastAsia" w:ascii="宋体" w:hAnsi="宋体" w:eastAsia="宋体" w:cs="宋体"/>
          <w:color w:val="auto"/>
        </w:rPr>
      </w:pPr>
    </w:p>
    <w:p w14:paraId="3E6AC013">
      <w:pPr>
        <w:pStyle w:val="35"/>
        <w:pageBreakBefore w:val="0"/>
        <w:kinsoku/>
        <w:wordWrap w:val="0"/>
        <w:overflowPunct/>
        <w:bidi w:val="0"/>
        <w:spacing w:after="0"/>
        <w:textAlignment w:val="auto"/>
        <w:rPr>
          <w:rFonts w:hint="eastAsia" w:ascii="宋体" w:hAnsi="宋体" w:eastAsia="宋体" w:cs="宋体"/>
          <w:color w:val="auto"/>
        </w:rPr>
      </w:pPr>
    </w:p>
    <w:p w14:paraId="1A76AF27">
      <w:pPr>
        <w:pStyle w:val="35"/>
        <w:pageBreakBefore w:val="0"/>
        <w:kinsoku/>
        <w:wordWrap w:val="0"/>
        <w:overflowPunct/>
        <w:bidi w:val="0"/>
        <w:spacing w:after="0"/>
        <w:textAlignment w:val="auto"/>
        <w:rPr>
          <w:rFonts w:hint="eastAsia" w:ascii="宋体" w:hAnsi="宋体" w:eastAsia="宋体" w:cs="宋体"/>
          <w:color w:val="auto"/>
        </w:rPr>
      </w:pPr>
    </w:p>
    <w:p w14:paraId="29168DC6">
      <w:pPr>
        <w:pStyle w:val="35"/>
        <w:pageBreakBefore w:val="0"/>
        <w:kinsoku/>
        <w:wordWrap w:val="0"/>
        <w:overflowPunct/>
        <w:bidi w:val="0"/>
        <w:spacing w:after="0"/>
        <w:textAlignment w:val="auto"/>
        <w:rPr>
          <w:rFonts w:hint="eastAsia" w:ascii="宋体" w:hAnsi="宋体" w:eastAsia="宋体" w:cs="宋体"/>
          <w:color w:val="auto"/>
        </w:rPr>
      </w:pPr>
    </w:p>
    <w:p w14:paraId="3DA11A3B">
      <w:pPr>
        <w:pStyle w:val="35"/>
        <w:pageBreakBefore w:val="0"/>
        <w:kinsoku/>
        <w:wordWrap w:val="0"/>
        <w:overflowPunct/>
        <w:bidi w:val="0"/>
        <w:spacing w:after="0"/>
        <w:textAlignment w:val="auto"/>
        <w:rPr>
          <w:rFonts w:hint="eastAsia" w:ascii="宋体" w:hAnsi="宋体" w:eastAsia="宋体" w:cs="宋体"/>
          <w:color w:val="auto"/>
        </w:rPr>
      </w:pPr>
    </w:p>
    <w:p w14:paraId="6376C5E5">
      <w:pPr>
        <w:pStyle w:val="35"/>
        <w:pageBreakBefore w:val="0"/>
        <w:kinsoku/>
        <w:wordWrap w:val="0"/>
        <w:overflowPunct/>
        <w:bidi w:val="0"/>
        <w:spacing w:after="0"/>
        <w:textAlignment w:val="auto"/>
        <w:rPr>
          <w:rFonts w:hint="eastAsia" w:ascii="宋体" w:hAnsi="宋体" w:eastAsia="宋体" w:cs="宋体"/>
          <w:color w:val="auto"/>
        </w:rPr>
      </w:pPr>
    </w:p>
    <w:p w14:paraId="218162D5">
      <w:pPr>
        <w:pStyle w:val="35"/>
        <w:pageBreakBefore w:val="0"/>
        <w:kinsoku/>
        <w:wordWrap w:val="0"/>
        <w:overflowPunct/>
        <w:bidi w:val="0"/>
        <w:spacing w:after="0"/>
        <w:textAlignment w:val="auto"/>
        <w:rPr>
          <w:rFonts w:hint="eastAsia" w:ascii="宋体" w:hAnsi="宋体" w:eastAsia="宋体" w:cs="宋体"/>
          <w:color w:val="auto"/>
        </w:rPr>
      </w:pPr>
    </w:p>
    <w:p w14:paraId="61B2FE36">
      <w:pPr>
        <w:pStyle w:val="35"/>
        <w:pageBreakBefore w:val="0"/>
        <w:kinsoku/>
        <w:wordWrap w:val="0"/>
        <w:overflowPunct/>
        <w:bidi w:val="0"/>
        <w:spacing w:after="0"/>
        <w:textAlignment w:val="auto"/>
        <w:rPr>
          <w:rFonts w:hint="eastAsia" w:ascii="宋体" w:hAnsi="宋体" w:eastAsia="宋体" w:cs="宋体"/>
          <w:color w:val="auto"/>
        </w:rPr>
      </w:pPr>
    </w:p>
    <w:p w14:paraId="47A122FB">
      <w:pPr>
        <w:pStyle w:val="35"/>
        <w:pageBreakBefore w:val="0"/>
        <w:kinsoku/>
        <w:wordWrap w:val="0"/>
        <w:overflowPunct/>
        <w:bidi w:val="0"/>
        <w:spacing w:after="0"/>
        <w:textAlignment w:val="auto"/>
        <w:rPr>
          <w:rFonts w:hint="eastAsia" w:ascii="宋体" w:hAnsi="宋体" w:eastAsia="宋体" w:cs="宋体"/>
          <w:color w:val="auto"/>
        </w:rPr>
      </w:pPr>
    </w:p>
    <w:p w14:paraId="247DEB2F">
      <w:pPr>
        <w:pStyle w:val="35"/>
        <w:pageBreakBefore w:val="0"/>
        <w:kinsoku/>
        <w:wordWrap w:val="0"/>
        <w:overflowPunct/>
        <w:bidi w:val="0"/>
        <w:spacing w:after="0"/>
        <w:textAlignment w:val="auto"/>
        <w:rPr>
          <w:rFonts w:hint="eastAsia" w:ascii="宋体" w:hAnsi="宋体" w:eastAsia="宋体" w:cs="宋体"/>
          <w:color w:val="auto"/>
        </w:rPr>
      </w:pPr>
    </w:p>
    <w:p w14:paraId="2B2EBFA1">
      <w:pPr>
        <w:pStyle w:val="35"/>
        <w:pageBreakBefore w:val="0"/>
        <w:kinsoku/>
        <w:wordWrap w:val="0"/>
        <w:overflowPunct/>
        <w:bidi w:val="0"/>
        <w:spacing w:after="0"/>
        <w:textAlignment w:val="auto"/>
        <w:rPr>
          <w:rFonts w:hint="eastAsia" w:ascii="宋体" w:hAnsi="宋体" w:eastAsia="宋体" w:cs="宋体"/>
          <w:color w:val="auto"/>
        </w:rPr>
      </w:pPr>
    </w:p>
    <w:p w14:paraId="7A1B8D99">
      <w:pPr>
        <w:pStyle w:val="35"/>
        <w:pageBreakBefore w:val="0"/>
        <w:kinsoku/>
        <w:wordWrap w:val="0"/>
        <w:overflowPunct/>
        <w:bidi w:val="0"/>
        <w:spacing w:after="0"/>
        <w:textAlignment w:val="auto"/>
        <w:rPr>
          <w:rFonts w:hint="eastAsia" w:ascii="宋体" w:hAnsi="宋体" w:eastAsia="宋体" w:cs="宋体"/>
          <w:color w:val="auto"/>
        </w:rPr>
      </w:pPr>
    </w:p>
    <w:p w14:paraId="7299373E">
      <w:pPr>
        <w:pStyle w:val="3"/>
        <w:pageBreakBefore w:val="0"/>
        <w:kinsoku/>
        <w:wordWrap w:val="0"/>
        <w:overflowPunct/>
        <w:bidi w:val="0"/>
        <w:spacing w:before="0" w:after="0"/>
        <w:jc w:val="center"/>
        <w:textAlignment w:val="auto"/>
        <w:rPr>
          <w:rFonts w:hint="eastAsia" w:ascii="宋体" w:hAnsi="宋体" w:eastAsia="宋体" w:cs="宋体"/>
          <w:color w:val="auto"/>
        </w:rPr>
      </w:pPr>
      <w:r>
        <w:rPr>
          <w:rFonts w:hint="eastAsia" w:ascii="宋体" w:hAnsi="宋体" w:eastAsia="宋体" w:cs="宋体"/>
          <w:color w:val="auto"/>
        </w:rPr>
        <w:t>第三部分 专用合同条款</w:t>
      </w:r>
      <w:bookmarkEnd w:id="157"/>
      <w:bookmarkEnd w:id="158"/>
      <w:bookmarkEnd w:id="159"/>
      <w:bookmarkEnd w:id="160"/>
      <w:bookmarkEnd w:id="161"/>
      <w:bookmarkEnd w:id="162"/>
      <w:bookmarkEnd w:id="163"/>
      <w:bookmarkEnd w:id="164"/>
      <w:bookmarkEnd w:id="165"/>
    </w:p>
    <w:p w14:paraId="1ABF89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66" w:name="_Toc351203633"/>
      <w:r>
        <w:rPr>
          <w:rFonts w:hint="eastAsia" w:ascii="宋体" w:hAnsi="宋体" w:eastAsia="宋体" w:cs="宋体"/>
          <w:color w:val="auto"/>
          <w:sz w:val="24"/>
          <w:szCs w:val="24"/>
        </w:rPr>
        <w:t>1</w:t>
      </w:r>
      <w:bookmarkStart w:id="167" w:name="_Toc297048342"/>
      <w:bookmarkStart w:id="168" w:name="_Toc296346657"/>
      <w:bookmarkStart w:id="169" w:name="_Toc296503156"/>
      <w:bookmarkStart w:id="170" w:name="_Toc296890984"/>
      <w:bookmarkStart w:id="171" w:name="_Toc292559866"/>
      <w:bookmarkStart w:id="172" w:name="_Toc292559361"/>
      <w:bookmarkStart w:id="173" w:name="_Toc297120456"/>
      <w:bookmarkStart w:id="174" w:name="_Toc296347155"/>
      <w:bookmarkStart w:id="175" w:name="_Toc296944495"/>
      <w:bookmarkStart w:id="176" w:name="_Toc296891196"/>
      <w:r>
        <w:rPr>
          <w:rFonts w:hint="eastAsia" w:ascii="宋体" w:hAnsi="宋体" w:eastAsia="宋体" w:cs="宋体"/>
          <w:color w:val="auto"/>
          <w:sz w:val="24"/>
          <w:szCs w:val="24"/>
        </w:rPr>
        <w:t>. 一般约定</w:t>
      </w:r>
      <w:bookmarkEnd w:id="166"/>
    </w:p>
    <w:bookmarkEnd w:id="167"/>
    <w:bookmarkEnd w:id="168"/>
    <w:bookmarkEnd w:id="169"/>
    <w:bookmarkEnd w:id="170"/>
    <w:bookmarkEnd w:id="171"/>
    <w:bookmarkEnd w:id="172"/>
    <w:bookmarkEnd w:id="173"/>
    <w:bookmarkEnd w:id="174"/>
    <w:bookmarkEnd w:id="175"/>
    <w:bookmarkEnd w:id="176"/>
    <w:p w14:paraId="2DF794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 词语定义</w:t>
      </w:r>
    </w:p>
    <w:p w14:paraId="73EF862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1.1.1合同</w:t>
      </w:r>
    </w:p>
    <w:p w14:paraId="5151189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1.1.1.10其他合同文件包括：</w:t>
      </w:r>
      <w:r>
        <w:rPr>
          <w:rFonts w:hint="eastAsia" w:ascii="宋体" w:hAnsi="宋体" w:eastAsia="宋体" w:cs="宋体"/>
          <w:color w:val="auto"/>
          <w:sz w:val="24"/>
          <w:szCs w:val="24"/>
          <w:u w:val="single"/>
        </w:rPr>
        <w:t xml:space="preserve">                                          。</w:t>
      </w:r>
    </w:p>
    <w:p w14:paraId="031246B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1.1.2 合同当事人及其他相关方</w:t>
      </w:r>
    </w:p>
    <w:p w14:paraId="3E02376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1.1.2.4监理人：</w:t>
      </w:r>
    </w:p>
    <w:p w14:paraId="4798BB1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463F0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资质类别和等级：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0FE101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78A63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D954D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13F95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1.1.2.5 设计人：</w:t>
      </w:r>
    </w:p>
    <w:p w14:paraId="3D096EB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82CDD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资质类别和等级：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AD5077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F1A97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B0A1C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317B8A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 工程和设备</w:t>
      </w:r>
    </w:p>
    <w:p w14:paraId="5B2EF0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1.1.3.7 作为施工现场组成部分的其他场所包括：</w:t>
      </w:r>
      <w:r>
        <w:rPr>
          <w:rFonts w:hint="eastAsia" w:ascii="宋体" w:hAnsi="宋体" w:eastAsia="宋体" w:cs="宋体"/>
          <w:color w:val="auto"/>
          <w:sz w:val="24"/>
          <w:szCs w:val="24"/>
          <w:u w:val="single"/>
        </w:rPr>
        <w:t xml:space="preserve">                        </w:t>
      </w:r>
    </w:p>
    <w:p w14:paraId="22697CC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1.1.3.9 永久占地包括：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DD259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1.1.3.10 临时占地包括：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C085B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1.3法律 </w:t>
      </w:r>
    </w:p>
    <w:p w14:paraId="236D4E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适用于合同的其他规范性文件：</w:t>
      </w:r>
      <w:r>
        <w:rPr>
          <w:rFonts w:hint="eastAsia" w:ascii="宋体" w:hAnsi="宋体" w:eastAsia="宋体" w:cs="宋体"/>
          <w:color w:val="auto"/>
          <w:sz w:val="24"/>
          <w:szCs w:val="24"/>
          <w:u w:val="single"/>
        </w:rPr>
        <w:t xml:space="preserve">                                         。</w:t>
      </w:r>
    </w:p>
    <w:p w14:paraId="667F928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 标准和规范</w:t>
      </w:r>
    </w:p>
    <w:p w14:paraId="079DC47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1.4.1适用于工程的标准规范包括：</w:t>
      </w:r>
      <w:r>
        <w:rPr>
          <w:rFonts w:hint="eastAsia" w:ascii="宋体" w:hAnsi="宋体" w:eastAsia="宋体" w:cs="宋体"/>
          <w:color w:val="auto"/>
          <w:sz w:val="24"/>
          <w:szCs w:val="24"/>
          <w:u w:val="single"/>
        </w:rPr>
        <w:t xml:space="preserve">                                     。</w:t>
      </w:r>
    </w:p>
    <w:p w14:paraId="5B1DA7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1.4.2 发包人提供国外标准、规范的名称：</w:t>
      </w:r>
      <w:r>
        <w:rPr>
          <w:rFonts w:hint="eastAsia" w:ascii="宋体" w:hAnsi="宋体" w:eastAsia="宋体" w:cs="宋体"/>
          <w:color w:val="auto"/>
          <w:sz w:val="24"/>
          <w:szCs w:val="24"/>
          <w:u w:val="single"/>
        </w:rPr>
        <w:t xml:space="preserve">                             ；</w:t>
      </w:r>
    </w:p>
    <w:p w14:paraId="7073E8E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发包人提供国外标准、规范的份数：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1BA9B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发包人提供国外标准、规范的名称：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CE1174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1.4.3发包人对工程的技术标准和功能要求的特殊要求：</w:t>
      </w:r>
      <w:r>
        <w:rPr>
          <w:rFonts w:hint="eastAsia" w:ascii="宋体" w:hAnsi="宋体" w:eastAsia="宋体" w:cs="宋体"/>
          <w:color w:val="auto"/>
          <w:sz w:val="24"/>
          <w:szCs w:val="24"/>
          <w:u w:val="single"/>
        </w:rPr>
        <w:t xml:space="preserve">                   。</w:t>
      </w:r>
    </w:p>
    <w:p w14:paraId="6D34AFB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 合同文件的优先顺序</w:t>
      </w:r>
    </w:p>
    <w:p w14:paraId="1139E2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合同文件组成及优先顺序为：</w:t>
      </w:r>
      <w:r>
        <w:rPr>
          <w:rFonts w:hint="eastAsia" w:ascii="宋体" w:hAnsi="宋体" w:eastAsia="宋体" w:cs="宋体"/>
          <w:color w:val="auto"/>
          <w:sz w:val="24"/>
          <w:szCs w:val="24"/>
          <w:u w:val="single"/>
        </w:rPr>
        <w:t xml:space="preserve">                                         。</w:t>
      </w:r>
    </w:p>
    <w:p w14:paraId="5B6B8F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 图纸和承包人文件</w:t>
      </w:r>
      <w:r>
        <w:rPr>
          <w:rFonts w:hint="eastAsia" w:ascii="宋体" w:hAnsi="宋体" w:eastAsia="宋体" w:cs="宋体"/>
          <w:color w:val="auto"/>
          <w:sz w:val="24"/>
          <w:szCs w:val="24"/>
        </w:rPr>
        <w:tab/>
      </w:r>
    </w:p>
    <w:p w14:paraId="4EB3CC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1.6.1 图纸的提供</w:t>
      </w:r>
    </w:p>
    <w:p w14:paraId="4F1AEE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发包人向承包人提供图纸的期限：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0CD663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发包人向承包人提供图纸的数量：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B1C9AA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发包人向承包人提供图纸的内容：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3D4E7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1.6.4 承包人文件</w:t>
      </w:r>
    </w:p>
    <w:p w14:paraId="23F1070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需要由承包人提供的文件，包括：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58746E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承包人提供的文件的期限为：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ECA8D0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承包人提供的文件的数量为：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68F74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承包人提供的文件的形式为：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E8165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发包人审批承包人文件的期限：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1B6062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1.6.5 现场图纸准备</w:t>
      </w:r>
    </w:p>
    <w:p w14:paraId="450CFE9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关于现场图纸准备的约定：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EA075C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 联络</w:t>
      </w:r>
    </w:p>
    <w:p w14:paraId="7B6DDC1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1.7.1发包人和承包人应当在</w:t>
      </w:r>
      <w:r>
        <w:rPr>
          <w:rFonts w:hint="eastAsia" w:ascii="宋体" w:hAnsi="宋体" w:eastAsia="宋体" w:cs="宋体"/>
          <w:color w:val="auto"/>
          <w:sz w:val="24"/>
          <w:szCs w:val="24"/>
          <w:u w:val="dotted"/>
        </w:rPr>
        <w:t xml:space="preserve">    </w:t>
      </w:r>
      <w:r>
        <w:rPr>
          <w:rFonts w:hint="eastAsia" w:ascii="宋体" w:hAnsi="宋体" w:eastAsia="宋体" w:cs="宋体"/>
          <w:color w:val="auto"/>
          <w:sz w:val="24"/>
          <w:szCs w:val="24"/>
        </w:rPr>
        <w:t>天内将与合同有关的通知、批准、证明、证书、指示、指令、要求、请求、同意、意见、确定和决定等书面函件送达对方当事人。</w:t>
      </w:r>
    </w:p>
    <w:p w14:paraId="07AB23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1.7.2 发包人接收文件的地点：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0C43C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发包人指定的接收人为：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29C41C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承包人接收文件的地点：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D3C58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承包人指定的接收人为：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5A1A2F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监理人接收文件的地点：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1423DE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监理人指定的接收人为：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3F6FBA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1.10 交通运输</w:t>
      </w:r>
    </w:p>
    <w:p w14:paraId="20B7D5E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177" w:name="_Toc312677986"/>
      <w:bookmarkStart w:id="178" w:name="_Toc318581155"/>
      <w:bookmarkStart w:id="179" w:name="_Toc300934943"/>
      <w:bookmarkStart w:id="180" w:name="_Toc304295521"/>
      <w:bookmarkStart w:id="181" w:name="_Toc303539100"/>
      <w:r>
        <w:rPr>
          <w:rFonts w:hint="eastAsia" w:ascii="宋体" w:hAnsi="宋体" w:eastAsia="宋体" w:cs="宋体"/>
          <w:color w:val="auto"/>
          <w:sz w:val="24"/>
          <w:szCs w:val="24"/>
        </w:rPr>
        <w:t>.10.1 出入现场的权利</w:t>
      </w:r>
    </w:p>
    <w:p w14:paraId="3CA17C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关于出入现场的权利的约定：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bookmarkEnd w:id="177"/>
    <w:bookmarkEnd w:id="178"/>
    <w:bookmarkEnd w:id="179"/>
    <w:bookmarkEnd w:id="180"/>
    <w:bookmarkEnd w:id="181"/>
    <w:p w14:paraId="1F638E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182" w:name="_Toc303539101"/>
      <w:bookmarkStart w:id="183" w:name="_Toc304295522"/>
      <w:bookmarkStart w:id="184" w:name="_Toc300934944"/>
      <w:bookmarkStart w:id="185" w:name="_Toc318581156"/>
      <w:bookmarkStart w:id="186" w:name="_Toc312677987"/>
      <w:r>
        <w:rPr>
          <w:rFonts w:hint="eastAsia" w:ascii="宋体" w:hAnsi="宋体" w:eastAsia="宋体" w:cs="宋体"/>
          <w:color w:val="auto"/>
          <w:sz w:val="24"/>
          <w:szCs w:val="24"/>
        </w:rPr>
        <w:t>.10.3 场内交通</w:t>
      </w:r>
    </w:p>
    <w:p w14:paraId="7838FE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关于场外交通和场内交通的边界的约定：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982E3C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关于发包人向承包人免费提供满足工程施工需要的场内道路和交通设施的约定：</w:t>
      </w:r>
      <w:r>
        <w:rPr>
          <w:rFonts w:hint="eastAsia" w:ascii="宋体" w:hAnsi="宋体" w:eastAsia="宋体" w:cs="宋体"/>
          <w:color w:val="auto"/>
          <w:sz w:val="24"/>
          <w:szCs w:val="24"/>
          <w:u w:val="single"/>
        </w:rPr>
        <w:t xml:space="preserve"> </w:t>
      </w:r>
      <w:bookmarkEnd w:id="182"/>
      <w:bookmarkEnd w:id="183"/>
      <w:bookmarkEnd w:id="184"/>
      <w:bookmarkEnd w:id="185"/>
      <w:bookmarkEnd w:id="186"/>
      <w:bookmarkStart w:id="187" w:name="_Toc318581157"/>
      <w:r>
        <w:rPr>
          <w:rFonts w:hint="eastAsia" w:ascii="宋体" w:hAnsi="宋体" w:eastAsia="宋体" w:cs="宋体"/>
          <w:color w:val="auto"/>
          <w:sz w:val="24"/>
          <w:szCs w:val="24"/>
        </w:rPr>
        <w:t>。</w:t>
      </w:r>
    </w:p>
    <w:p w14:paraId="4AA9584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1.10.4超大件和超重件的运输</w:t>
      </w:r>
    </w:p>
    <w:p w14:paraId="2718B1AA">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运输超大件或超重件所需的道路和桥梁临时加固改造费用和其他有关费用由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承担。</w:t>
      </w:r>
    </w:p>
    <w:bookmarkEnd w:id="187"/>
    <w:p w14:paraId="31813CB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 知识产权</w:t>
      </w:r>
    </w:p>
    <w:p w14:paraId="3D724C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u w:val="single"/>
        </w:rPr>
        <w:t xml:space="preserve">   。</w:t>
      </w:r>
    </w:p>
    <w:p w14:paraId="17D8204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关于发包人提供的上述文件的使用限制的要求：</w:t>
      </w:r>
      <w:r>
        <w:rPr>
          <w:rFonts w:hint="eastAsia" w:ascii="宋体" w:hAnsi="宋体" w:eastAsia="宋体" w:cs="宋体"/>
          <w:color w:val="auto"/>
          <w:sz w:val="24"/>
          <w:szCs w:val="24"/>
          <w:u w:val="single"/>
        </w:rPr>
        <w:t xml:space="preserve">                         。</w:t>
      </w:r>
    </w:p>
    <w:p w14:paraId="083F242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1.11.2 关于承包人为实施工程所编制文件的著作权的归属：</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411ED2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关于承包人提供的上述文件的使用限制的要求：</w:t>
      </w:r>
      <w:r>
        <w:rPr>
          <w:rFonts w:hint="eastAsia" w:ascii="宋体" w:hAnsi="宋体" w:eastAsia="宋体" w:cs="宋体"/>
          <w:color w:val="auto"/>
          <w:sz w:val="24"/>
          <w:szCs w:val="24"/>
          <w:u w:val="single"/>
        </w:rPr>
        <w:t xml:space="preserve">                        。</w:t>
      </w:r>
    </w:p>
    <w:p w14:paraId="197E5D3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1.11.4 承包人在施工过程中所采用的专利、专有技术、技术秘密的使用费的承担方式：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61219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1.13工程量清单错误的修正</w:t>
      </w:r>
    </w:p>
    <w:p w14:paraId="0BF48E3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出现工程量清单错误时，是否调整合同价格：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72A787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允许调整合同价格的工程量偏差范围：</w:t>
      </w:r>
      <w:r>
        <w:rPr>
          <w:rFonts w:hint="eastAsia" w:ascii="宋体" w:hAnsi="宋体" w:eastAsia="宋体" w:cs="宋体"/>
          <w:color w:val="auto"/>
          <w:sz w:val="24"/>
          <w:szCs w:val="24"/>
          <w:u w:val="single"/>
        </w:rPr>
        <w:t xml:space="preserve">                  。</w:t>
      </w:r>
    </w:p>
    <w:p w14:paraId="35C10F5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88" w:name="_Toc351203634"/>
      <w:r>
        <w:rPr>
          <w:rFonts w:hint="eastAsia" w:ascii="宋体" w:hAnsi="宋体" w:eastAsia="宋体" w:cs="宋体"/>
          <w:color w:val="auto"/>
          <w:sz w:val="24"/>
          <w:szCs w:val="24"/>
        </w:rPr>
        <w:t>2</w:t>
      </w:r>
      <w:bookmarkStart w:id="189" w:name="_Toc296347156"/>
      <w:bookmarkStart w:id="190" w:name="_Toc296503157"/>
      <w:bookmarkStart w:id="191" w:name="_Toc296346658"/>
      <w:bookmarkStart w:id="192" w:name="_Toc297048343"/>
      <w:bookmarkStart w:id="193" w:name="_Toc292559867"/>
      <w:bookmarkStart w:id="194" w:name="_Toc296944496"/>
      <w:bookmarkStart w:id="195" w:name="_Toc297120457"/>
      <w:bookmarkStart w:id="196" w:name="_Toc296891197"/>
      <w:bookmarkStart w:id="197" w:name="_Toc296890985"/>
      <w:bookmarkStart w:id="198" w:name="_Toc292559362"/>
      <w:r>
        <w:rPr>
          <w:rFonts w:hint="eastAsia" w:ascii="宋体" w:hAnsi="宋体" w:eastAsia="宋体" w:cs="宋体"/>
          <w:color w:val="auto"/>
          <w:sz w:val="24"/>
          <w:szCs w:val="24"/>
        </w:rPr>
        <w:t>. 发包人</w:t>
      </w:r>
      <w:bookmarkEnd w:id="188"/>
    </w:p>
    <w:bookmarkEnd w:id="189"/>
    <w:bookmarkEnd w:id="190"/>
    <w:bookmarkEnd w:id="191"/>
    <w:bookmarkEnd w:id="192"/>
    <w:bookmarkEnd w:id="193"/>
    <w:bookmarkEnd w:id="194"/>
    <w:bookmarkEnd w:id="195"/>
    <w:bookmarkEnd w:id="196"/>
    <w:bookmarkEnd w:id="197"/>
    <w:bookmarkEnd w:id="198"/>
    <w:p w14:paraId="11135509">
      <w:pPr>
        <w:keepNext w:val="0"/>
        <w:keepLines w:val="0"/>
        <w:pageBreakBefore w:val="0"/>
        <w:widowControl/>
        <w:tabs>
          <w:tab w:val="left" w:pos="5103"/>
          <w:tab w:val="left" w:pos="5387"/>
          <w:tab w:val="left" w:pos="8931"/>
        </w:tabs>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发包人代表</w:t>
      </w:r>
    </w:p>
    <w:p w14:paraId="26020D4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发包人代表：</w:t>
      </w:r>
    </w:p>
    <w:p w14:paraId="5C3108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B27857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身份证号：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B1C459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40921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BEE543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A91CFC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32F502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发包人对发包人代表的授权范围如下：</w:t>
      </w:r>
      <w:r>
        <w:rPr>
          <w:rFonts w:hint="eastAsia" w:ascii="宋体" w:hAnsi="宋体" w:eastAsia="宋体" w:cs="宋体"/>
          <w:color w:val="auto"/>
          <w:sz w:val="24"/>
          <w:szCs w:val="24"/>
          <w:u w:val="single"/>
        </w:rPr>
        <w:t xml:space="preserve">              。</w:t>
      </w:r>
    </w:p>
    <w:p w14:paraId="15C7AB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 施工现场、施工条件和基础资料的提供</w:t>
      </w:r>
    </w:p>
    <w:p w14:paraId="614AF2E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2.4.1 提供施工现场</w:t>
      </w:r>
    </w:p>
    <w:p w14:paraId="2126CE0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关于发包人移交施工现场的期限要求：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1716D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2.4.2 提供施工条件</w:t>
      </w:r>
    </w:p>
    <w:p w14:paraId="147B11E1">
      <w:pPr>
        <w:keepNext w:val="0"/>
        <w:keepLines w:val="0"/>
        <w:pageBreakBefore w:val="0"/>
        <w:widowControl/>
        <w:tabs>
          <w:tab w:val="left" w:pos="4536"/>
        </w:tabs>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关于发包人应负责提供施工所需要的条件，包括：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B9200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 资金来源证明及支付担保</w:t>
      </w:r>
    </w:p>
    <w:p w14:paraId="184AA7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发包人提供资金来源证明的期限要求：</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83999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发包人是否提供支付担保：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288D53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发包人提供支付担保的形式：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360A6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199" w:name="_Toc351203635"/>
      <w:r>
        <w:rPr>
          <w:rFonts w:hint="eastAsia" w:ascii="宋体" w:hAnsi="宋体" w:eastAsia="宋体" w:cs="宋体"/>
          <w:color w:val="auto"/>
          <w:sz w:val="24"/>
          <w:szCs w:val="24"/>
        </w:rPr>
        <w:t>3</w:t>
      </w:r>
      <w:bookmarkStart w:id="200" w:name="_Toc296890986"/>
      <w:bookmarkStart w:id="201" w:name="_Toc297120458"/>
      <w:bookmarkStart w:id="202" w:name="_Toc292559363"/>
      <w:bookmarkStart w:id="203" w:name="_Toc296346659"/>
      <w:bookmarkStart w:id="204" w:name="_Toc292559868"/>
      <w:bookmarkStart w:id="205" w:name="_Toc296503158"/>
      <w:bookmarkStart w:id="206" w:name="_Toc296944497"/>
      <w:bookmarkStart w:id="207" w:name="_Toc296891198"/>
      <w:bookmarkStart w:id="208" w:name="_Toc296347157"/>
      <w:bookmarkStart w:id="209" w:name="_Toc297048344"/>
      <w:r>
        <w:rPr>
          <w:rFonts w:hint="eastAsia" w:ascii="宋体" w:hAnsi="宋体" w:eastAsia="宋体" w:cs="宋体"/>
          <w:color w:val="auto"/>
          <w:sz w:val="24"/>
          <w:szCs w:val="24"/>
        </w:rPr>
        <w:t>. 承包人</w:t>
      </w:r>
      <w:bookmarkEnd w:id="199"/>
    </w:p>
    <w:bookmarkEnd w:id="200"/>
    <w:bookmarkEnd w:id="201"/>
    <w:bookmarkEnd w:id="202"/>
    <w:bookmarkEnd w:id="203"/>
    <w:bookmarkEnd w:id="204"/>
    <w:bookmarkEnd w:id="205"/>
    <w:bookmarkEnd w:id="206"/>
    <w:bookmarkEnd w:id="207"/>
    <w:bookmarkEnd w:id="208"/>
    <w:bookmarkEnd w:id="209"/>
    <w:p w14:paraId="762193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 承包人的一般义务</w:t>
      </w:r>
    </w:p>
    <w:p w14:paraId="375187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（9）承包人提交的竣工资料的内容：</w:t>
      </w:r>
      <w:r>
        <w:rPr>
          <w:rFonts w:hint="eastAsia" w:ascii="宋体" w:hAnsi="宋体" w:eastAsia="宋体" w:cs="宋体"/>
          <w:color w:val="auto"/>
          <w:sz w:val="24"/>
          <w:szCs w:val="24"/>
          <w:u w:val="single"/>
        </w:rPr>
        <w:t xml:space="preserve">                  。 </w:t>
      </w:r>
    </w:p>
    <w:p w14:paraId="18C9678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承包人需要提交的竣工资料套数：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7215CA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承包人提交的竣工资料的费用承担：</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884904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承包人提交的竣工资料移交时间：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D09C8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承包人提交的竣工资料形式要求：</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C8E614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（10）承包人应履行的其他义务：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56C9C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 项目经理</w:t>
      </w:r>
    </w:p>
    <w:p w14:paraId="7408F0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3.2.1 项目经理：</w:t>
      </w:r>
    </w:p>
    <w:p w14:paraId="18DB26F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C50704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身份证号：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466ECB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建造师执业资格等级：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C7513E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建造师注册证书号：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3895F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建造师执业印章号：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269E5F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22A38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705E1A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7D3328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57D78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承包人对项目经理的授权范围如下： </w:t>
      </w:r>
      <w:r>
        <w:rPr>
          <w:rFonts w:hint="eastAsia" w:ascii="宋体" w:hAnsi="宋体" w:eastAsia="宋体" w:cs="宋体"/>
          <w:color w:val="auto"/>
          <w:sz w:val="24"/>
          <w:szCs w:val="24"/>
          <w:u w:val="single"/>
        </w:rPr>
        <w:t xml:space="preserve">                          。 </w:t>
      </w:r>
    </w:p>
    <w:p w14:paraId="23E52EA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关于项目经理每月在施工现场的时间要求：  </w:t>
      </w:r>
      <w:r>
        <w:rPr>
          <w:rFonts w:hint="eastAsia" w:ascii="宋体" w:hAnsi="宋体" w:eastAsia="宋体" w:cs="宋体"/>
          <w:color w:val="auto"/>
          <w:sz w:val="24"/>
          <w:szCs w:val="24"/>
          <w:u w:val="single"/>
        </w:rPr>
        <w:t xml:space="preserve">                     。</w:t>
      </w:r>
    </w:p>
    <w:p w14:paraId="64653C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承包人未提交劳动合同，以及没有为项目经理缴纳社会保险证明的违约责任：</w:t>
      </w:r>
      <w:r>
        <w:rPr>
          <w:rFonts w:hint="eastAsia" w:ascii="宋体" w:hAnsi="宋体" w:eastAsia="宋体" w:cs="宋体"/>
          <w:color w:val="auto"/>
          <w:sz w:val="24"/>
          <w:szCs w:val="24"/>
          <w:u w:val="single"/>
        </w:rPr>
        <w:t xml:space="preserve">  </w:t>
      </w:r>
    </w:p>
    <w:p w14:paraId="1F15782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项目经理未经批准，擅自离开施工现场的违约责任：</w:t>
      </w:r>
      <w:r>
        <w:rPr>
          <w:rFonts w:hint="eastAsia" w:ascii="宋体" w:hAnsi="宋体" w:eastAsia="宋体" w:cs="宋体"/>
          <w:color w:val="auto"/>
          <w:sz w:val="24"/>
          <w:szCs w:val="24"/>
          <w:u w:val="single"/>
        </w:rPr>
        <w:t xml:space="preserve">                        。</w:t>
      </w:r>
    </w:p>
    <w:p w14:paraId="20B605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3.2.3 承包人擅自更换项目经理的违约责任：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472D3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3.2.4 承包人无正当理由拒绝更换项目经理的违约责任：</w:t>
      </w:r>
      <w:r>
        <w:rPr>
          <w:rFonts w:hint="eastAsia" w:ascii="宋体" w:hAnsi="宋体" w:eastAsia="宋体" w:cs="宋体"/>
          <w:color w:val="auto"/>
          <w:sz w:val="24"/>
          <w:szCs w:val="24"/>
          <w:u w:val="single"/>
        </w:rPr>
        <w:t xml:space="preserve">                  。</w:t>
      </w:r>
    </w:p>
    <w:p w14:paraId="13B4F8D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 承包人人员</w:t>
      </w:r>
    </w:p>
    <w:p w14:paraId="598D5A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3.3.1 承包人提交项目管理机构及施工现场管理人员安排报告的期限：</w:t>
      </w:r>
      <w:r>
        <w:rPr>
          <w:rFonts w:hint="eastAsia" w:ascii="宋体" w:hAnsi="宋体" w:eastAsia="宋体" w:cs="宋体"/>
          <w:color w:val="auto"/>
          <w:sz w:val="24"/>
          <w:szCs w:val="24"/>
          <w:u w:val="single"/>
        </w:rPr>
        <w:t xml:space="preserve">       。</w:t>
      </w:r>
    </w:p>
    <w:p w14:paraId="6BC98B5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3.3.3 承包人无正当理由拒绝撤换主要施工管理人员的违约责任：</w:t>
      </w:r>
      <w:r>
        <w:rPr>
          <w:rFonts w:hint="eastAsia" w:ascii="宋体" w:hAnsi="宋体" w:eastAsia="宋体" w:cs="宋体"/>
          <w:color w:val="auto"/>
          <w:sz w:val="24"/>
          <w:szCs w:val="24"/>
          <w:u w:val="single"/>
        </w:rPr>
        <w:t xml:space="preserve">         。</w:t>
      </w:r>
    </w:p>
    <w:p w14:paraId="365BDD4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3.3.4 承包人主要施工管理人员离开施工现场的批准要求： </w:t>
      </w:r>
      <w:r>
        <w:rPr>
          <w:rFonts w:hint="eastAsia" w:ascii="宋体" w:hAnsi="宋体" w:eastAsia="宋体" w:cs="宋体"/>
          <w:color w:val="auto"/>
          <w:sz w:val="24"/>
          <w:szCs w:val="24"/>
          <w:u w:val="single"/>
        </w:rPr>
        <w:t xml:space="preserve">             。</w:t>
      </w:r>
    </w:p>
    <w:p w14:paraId="09C923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3.3.5承包人擅自更换主要施工管理人员的违约责任：</w:t>
      </w:r>
      <w:r>
        <w:rPr>
          <w:rFonts w:hint="eastAsia" w:ascii="宋体" w:hAnsi="宋体" w:eastAsia="宋体" w:cs="宋体"/>
          <w:color w:val="auto"/>
          <w:sz w:val="24"/>
          <w:szCs w:val="24"/>
          <w:u w:val="single"/>
        </w:rPr>
        <w:t xml:space="preserve">                   。</w:t>
      </w:r>
    </w:p>
    <w:p w14:paraId="3614D3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承包人主要施工管理人员擅自离开施工现场的违约责任：</w:t>
      </w:r>
      <w:r>
        <w:rPr>
          <w:rFonts w:hint="eastAsia" w:ascii="宋体" w:hAnsi="宋体" w:eastAsia="宋体" w:cs="宋体"/>
          <w:color w:val="auto"/>
          <w:sz w:val="24"/>
          <w:szCs w:val="24"/>
          <w:u w:val="single"/>
        </w:rPr>
        <w:t xml:space="preserve">                。</w:t>
      </w:r>
    </w:p>
    <w:p w14:paraId="39BA1DB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bookmarkStart w:id="210" w:name="_Toc296890987"/>
      <w:bookmarkStart w:id="211" w:name="_Toc304295523"/>
      <w:bookmarkStart w:id="212" w:name="_Toc312677988"/>
      <w:bookmarkStart w:id="213" w:name="_Toc292559869"/>
      <w:bookmarkStart w:id="214" w:name="_Toc296503159"/>
      <w:bookmarkStart w:id="215" w:name="_Toc297216151"/>
      <w:bookmarkStart w:id="216" w:name="_Toc303539102"/>
      <w:bookmarkStart w:id="217" w:name="_Toc297120459"/>
      <w:bookmarkStart w:id="218" w:name="_Toc292559364"/>
      <w:bookmarkStart w:id="219" w:name="_Toc297123492"/>
      <w:bookmarkStart w:id="220" w:name="_Toc300934945"/>
      <w:bookmarkStart w:id="221" w:name="_Toc297048345"/>
      <w:bookmarkStart w:id="222" w:name="_Toc296346660"/>
      <w:bookmarkStart w:id="223" w:name="_Toc296944498"/>
      <w:bookmarkStart w:id="224" w:name="_Toc296347158"/>
      <w:bookmarkStart w:id="225" w:name="_Toc296891199"/>
      <w:r>
        <w:rPr>
          <w:rFonts w:hint="eastAsia" w:ascii="宋体" w:hAnsi="宋体" w:eastAsia="宋体" w:cs="宋体"/>
          <w:color w:val="auto"/>
          <w:sz w:val="24"/>
          <w:szCs w:val="24"/>
        </w:rPr>
        <w:t>.5 分包</w:t>
      </w:r>
    </w:p>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14:paraId="7B7ABC4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bookmarkStart w:id="226" w:name="_Toc304295524"/>
      <w:bookmarkStart w:id="227" w:name="_Toc296503160"/>
      <w:bookmarkStart w:id="228" w:name="_Toc303539103"/>
      <w:bookmarkStart w:id="229" w:name="_Toc297120460"/>
      <w:bookmarkStart w:id="230" w:name="_Toc296890988"/>
      <w:bookmarkStart w:id="231" w:name="_Toc296346661"/>
      <w:bookmarkStart w:id="232" w:name="_Toc297123493"/>
      <w:bookmarkStart w:id="233" w:name="_Toc312677989"/>
      <w:bookmarkStart w:id="234" w:name="_Toc297216152"/>
      <w:bookmarkStart w:id="235" w:name="_Toc296891200"/>
      <w:bookmarkStart w:id="236" w:name="_Toc292559870"/>
      <w:bookmarkStart w:id="237" w:name="_Toc300934946"/>
      <w:bookmarkStart w:id="238" w:name="_Toc296347159"/>
      <w:bookmarkStart w:id="239" w:name="_Toc296944499"/>
      <w:bookmarkStart w:id="240" w:name="_Toc297048346"/>
      <w:bookmarkStart w:id="241" w:name="_Toc318581158"/>
      <w:bookmarkStart w:id="242" w:name="_Toc292559365"/>
      <w:r>
        <w:rPr>
          <w:rFonts w:hint="eastAsia" w:ascii="宋体" w:hAnsi="宋体" w:eastAsia="宋体" w:cs="宋体"/>
          <w:color w:val="auto"/>
          <w:sz w:val="24"/>
          <w:szCs w:val="24"/>
        </w:rPr>
        <w:t>.5.1 分包的一般约定</w:t>
      </w:r>
    </w:p>
    <w:p w14:paraId="357DA5C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禁止分包的工程包括：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60EBFD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主体结构、关键性工作的范围：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14:paraId="17ACF3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bookmarkStart w:id="243" w:name="_Toc312677990"/>
      <w:bookmarkStart w:id="244" w:name="_Toc318581159"/>
      <w:r>
        <w:rPr>
          <w:rFonts w:hint="eastAsia" w:ascii="宋体" w:hAnsi="宋体" w:eastAsia="宋体" w:cs="宋体"/>
          <w:color w:val="auto"/>
          <w:sz w:val="24"/>
          <w:szCs w:val="24"/>
        </w:rPr>
        <w:t>.5.2分包的确定</w:t>
      </w:r>
    </w:p>
    <w:p w14:paraId="6AD793B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允许分包的专业工程包括：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1FF4A4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其他关于分包的约定：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275CD5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3.5.4 分包合同价款</w:t>
      </w:r>
    </w:p>
    <w:p w14:paraId="38D3F1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关于分包合同价款支付的约定：</w:t>
      </w:r>
      <w:r>
        <w:rPr>
          <w:rFonts w:hint="eastAsia" w:ascii="宋体" w:hAnsi="宋体" w:eastAsia="宋体" w:cs="宋体"/>
          <w:color w:val="auto"/>
          <w:sz w:val="24"/>
          <w:szCs w:val="24"/>
          <w:u w:val="single"/>
        </w:rPr>
        <w:t xml:space="preserve">                        。 </w:t>
      </w:r>
      <w:bookmarkEnd w:id="243"/>
      <w:bookmarkEnd w:id="244"/>
    </w:p>
    <w:p w14:paraId="3D8B27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3.6 工程照管与成品、半成品保护</w:t>
      </w:r>
    </w:p>
    <w:p w14:paraId="5BF4FEE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承包人负责照管工程及工程相关的材料、工程设备的起始时间：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5CE65F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3.7 履约担保</w:t>
      </w:r>
    </w:p>
    <w:p w14:paraId="2959CB2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承包人是否提供履约担保：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5AE3DA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承包人提供履约担保的形式、金额及</w:t>
      </w:r>
      <w:r>
        <w:rPr>
          <w:rFonts w:hint="eastAsia" w:ascii="宋体" w:hAnsi="宋体" w:eastAsia="宋体" w:cs="宋体"/>
          <w:color w:val="auto"/>
          <w:sz w:val="24"/>
          <w:szCs w:val="24"/>
          <w:lang w:eastAsia="zh-CN"/>
        </w:rPr>
        <w:t>期限</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 </w:t>
      </w:r>
    </w:p>
    <w:p w14:paraId="586C314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245" w:name="_Toc351203636"/>
      <w:r>
        <w:rPr>
          <w:rFonts w:hint="eastAsia" w:ascii="宋体" w:hAnsi="宋体" w:eastAsia="宋体" w:cs="宋体"/>
          <w:color w:val="auto"/>
          <w:sz w:val="24"/>
          <w:szCs w:val="24"/>
        </w:rPr>
        <w:t>4</w:t>
      </w:r>
      <w:bookmarkStart w:id="246" w:name="_Toc296891202"/>
      <w:bookmarkStart w:id="247" w:name="_Toc297048348"/>
      <w:bookmarkStart w:id="248" w:name="_Toc296346663"/>
      <w:bookmarkStart w:id="249" w:name="_Toc296347161"/>
      <w:bookmarkStart w:id="250" w:name="_Toc292559366"/>
      <w:bookmarkStart w:id="251" w:name="_Toc296944501"/>
      <w:bookmarkStart w:id="252" w:name="_Toc296890990"/>
      <w:bookmarkStart w:id="253" w:name="_Toc296503162"/>
      <w:bookmarkStart w:id="254" w:name="_Toc292559871"/>
      <w:bookmarkStart w:id="255" w:name="_Toc267251413"/>
      <w:bookmarkStart w:id="256" w:name="_Toc297120462"/>
      <w:r>
        <w:rPr>
          <w:rFonts w:hint="eastAsia" w:ascii="宋体" w:hAnsi="宋体" w:eastAsia="宋体" w:cs="宋体"/>
          <w:color w:val="auto"/>
          <w:sz w:val="24"/>
          <w:szCs w:val="24"/>
        </w:rPr>
        <w:t>. 监</w:t>
      </w:r>
      <w:bookmarkEnd w:id="246"/>
      <w:bookmarkEnd w:id="247"/>
      <w:bookmarkEnd w:id="248"/>
      <w:bookmarkEnd w:id="249"/>
      <w:bookmarkEnd w:id="250"/>
      <w:bookmarkEnd w:id="251"/>
      <w:bookmarkEnd w:id="252"/>
      <w:bookmarkEnd w:id="253"/>
      <w:bookmarkEnd w:id="254"/>
      <w:bookmarkEnd w:id="255"/>
      <w:bookmarkEnd w:id="256"/>
      <w:r>
        <w:rPr>
          <w:rFonts w:hint="eastAsia" w:ascii="宋体" w:hAnsi="宋体" w:eastAsia="宋体" w:cs="宋体"/>
          <w:color w:val="auto"/>
          <w:sz w:val="24"/>
          <w:szCs w:val="24"/>
        </w:rPr>
        <w:t>理人</w:t>
      </w:r>
      <w:bookmarkEnd w:id="245"/>
    </w:p>
    <w:p w14:paraId="12F1BBA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4.1监理人的一般规定</w:t>
      </w:r>
    </w:p>
    <w:p w14:paraId="446D2E2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关于监理人的监理内容：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116C58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关于监理人的监理权限：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B2BAF4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关于监理人在施工现场的办公场所、生活场所的提供和费用承担的约定：</w:t>
      </w:r>
      <w:r>
        <w:rPr>
          <w:rFonts w:hint="eastAsia" w:ascii="宋体" w:hAnsi="宋体" w:eastAsia="宋体" w:cs="宋体"/>
          <w:color w:val="auto"/>
          <w:sz w:val="24"/>
          <w:szCs w:val="24"/>
          <w:u w:val="single"/>
        </w:rPr>
        <w:t xml:space="preserve">       </w:t>
      </w:r>
    </w:p>
    <w:p w14:paraId="5A6524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 监理人员</w:t>
      </w:r>
    </w:p>
    <w:p w14:paraId="61C7345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总监理工程师：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5E1C03A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姓    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F561C3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DE78E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监理工程师执业资格证书号：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FFB8A0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9CFAEF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电子信箱：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3BD43C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通信地址：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9C3D2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关于监理人的其他约定：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EBE2E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4.4 商定或确定</w:t>
      </w:r>
    </w:p>
    <w:p w14:paraId="3CDAFA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257" w:name="_Toc267251418"/>
      <w:r>
        <w:rPr>
          <w:rFonts w:hint="eastAsia" w:ascii="宋体" w:hAnsi="宋体" w:eastAsia="宋体" w:cs="宋体"/>
          <w:color w:val="auto"/>
          <w:sz w:val="24"/>
          <w:szCs w:val="24"/>
        </w:rPr>
        <w:t>在发包人和承包人不能通过协商达成一致意见时，发包人授权监理人对以下事项进行确定：</w:t>
      </w:r>
    </w:p>
    <w:p w14:paraId="10EB77B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340A7ED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C994A8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19775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258" w:name="_Toc351203637"/>
      <w:r>
        <w:rPr>
          <w:rFonts w:hint="eastAsia" w:ascii="宋体" w:hAnsi="宋体" w:eastAsia="宋体" w:cs="宋体"/>
          <w:color w:val="auto"/>
          <w:sz w:val="24"/>
          <w:szCs w:val="24"/>
        </w:rPr>
        <w:t>5</w:t>
      </w:r>
      <w:bookmarkEnd w:id="257"/>
      <w:bookmarkStart w:id="259" w:name="_Toc297048349"/>
      <w:bookmarkStart w:id="260" w:name="_Toc296891203"/>
      <w:bookmarkStart w:id="261" w:name="_Toc296944502"/>
      <w:bookmarkStart w:id="262" w:name="_Toc292559367"/>
      <w:bookmarkStart w:id="263" w:name="_Toc296890991"/>
      <w:bookmarkStart w:id="264" w:name="_Toc296346664"/>
      <w:bookmarkStart w:id="265" w:name="_Toc296347162"/>
      <w:bookmarkStart w:id="266" w:name="_Toc297120463"/>
      <w:bookmarkStart w:id="267" w:name="_Toc296503163"/>
      <w:bookmarkStart w:id="268" w:name="_Toc292559872"/>
      <w:r>
        <w:rPr>
          <w:rFonts w:hint="eastAsia" w:ascii="宋体" w:hAnsi="宋体" w:eastAsia="宋体" w:cs="宋体"/>
          <w:color w:val="auto"/>
          <w:sz w:val="24"/>
          <w:szCs w:val="24"/>
        </w:rPr>
        <w:t>. 工程质量</w:t>
      </w:r>
      <w:bookmarkEnd w:id="258"/>
    </w:p>
    <w:p w14:paraId="484EE1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 质量要求</w:t>
      </w:r>
    </w:p>
    <w:p w14:paraId="04BDD1C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bookmarkStart w:id="269" w:name="_Toc300934949"/>
      <w:bookmarkStart w:id="270" w:name="_Toc318581164"/>
      <w:bookmarkStart w:id="271" w:name="_Toc304295527"/>
      <w:bookmarkStart w:id="272" w:name="_Toc303539106"/>
      <w:bookmarkStart w:id="273" w:name="_Toc297216155"/>
      <w:bookmarkStart w:id="274" w:name="_Toc312677997"/>
      <w:bookmarkStart w:id="275" w:name="_Toc297123496"/>
      <w:r>
        <w:rPr>
          <w:rFonts w:hint="eastAsia" w:ascii="宋体" w:hAnsi="宋体" w:eastAsia="宋体" w:cs="宋体"/>
          <w:color w:val="auto"/>
          <w:sz w:val="24"/>
          <w:szCs w:val="24"/>
        </w:rPr>
        <w:t>.1.1 特殊质量标准和要求：</w:t>
      </w:r>
      <w:r>
        <w:rPr>
          <w:rFonts w:hint="eastAsia" w:ascii="宋体" w:hAnsi="宋体" w:eastAsia="宋体" w:cs="宋体"/>
          <w:color w:val="auto"/>
          <w:sz w:val="24"/>
          <w:szCs w:val="24"/>
          <w:u w:val="single"/>
        </w:rPr>
        <w:t xml:space="preserve">                     。</w:t>
      </w:r>
    </w:p>
    <w:p w14:paraId="7712F06F">
      <w:pPr>
        <w:keepNext w:val="0"/>
        <w:keepLines w:val="0"/>
        <w:pageBreakBefore w:val="0"/>
        <w:widowControl/>
        <w:kinsoku/>
        <w:wordWrap w:val="0"/>
        <w:overflowPunct/>
        <w:topLinePunct w:val="0"/>
        <w:autoSpaceDE/>
        <w:autoSpaceDN/>
        <w:bidi w:val="0"/>
        <w:adjustRightInd w:val="0"/>
        <w:snapToGrid w:val="0"/>
        <w:spacing w:after="0" w:line="500" w:lineRule="exact"/>
        <w:ind w:left="519" w:leftChars="236" w:right="257" w:rightChars="11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关于工程奖项的约定：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36825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5.3 隐蔽工程检查</w:t>
      </w:r>
    </w:p>
    <w:p w14:paraId="757980A1">
      <w:pPr>
        <w:keepNext w:val="0"/>
        <w:keepLines w:val="0"/>
        <w:pageBreakBefore w:val="0"/>
        <w:widowControl/>
        <w:kinsoku/>
        <w:wordWrap w:val="0"/>
        <w:overflowPunct/>
        <w:topLinePunct w:val="0"/>
        <w:autoSpaceDE/>
        <w:autoSpaceDN/>
        <w:bidi w:val="0"/>
        <w:adjustRightInd w:val="0"/>
        <w:snapToGrid w:val="0"/>
        <w:spacing w:after="0" w:line="500" w:lineRule="exact"/>
        <w:ind w:left="125" w:leftChars="57" w:firstLine="360" w:firstLineChars="15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5.3.2承包人提前通知监理人隐蔽工程检查的期限的约定：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861B93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监理人不能按时进行检查时，应提前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小时提交书面延期要求。</w:t>
      </w:r>
    </w:p>
    <w:p w14:paraId="35E2C1F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关于延期最长不得超过：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小时。</w:t>
      </w:r>
    </w:p>
    <w:p w14:paraId="34F9752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276" w:name="_Toc351203638"/>
      <w:r>
        <w:rPr>
          <w:rFonts w:hint="eastAsia" w:ascii="宋体" w:hAnsi="宋体" w:eastAsia="宋体" w:cs="宋体"/>
          <w:color w:val="auto"/>
          <w:sz w:val="24"/>
          <w:szCs w:val="24"/>
        </w:rPr>
        <w:t>6. 安全文明施工与环境保护</w:t>
      </w:r>
      <w:bookmarkEnd w:id="276"/>
    </w:p>
    <w:p w14:paraId="27D4095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6.1安全文明施工</w:t>
      </w:r>
    </w:p>
    <w:p w14:paraId="0B8EBD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6.1.1 项目安全生产的达标目标及相应事项的约定：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978489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6.1.4 关于治安保卫的特别约定：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455E0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关于编制施工场地治安管理计划的约定：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8AA6B3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6.1.5 文明施工</w:t>
      </w:r>
    </w:p>
    <w:p w14:paraId="184B4A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合同当事人对文明施工的要求：</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0203EEA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6.1.6 关于安全文明施工费支付比例和支付期限的约定：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269"/>
    <w:bookmarkEnd w:id="270"/>
    <w:bookmarkEnd w:id="271"/>
    <w:bookmarkEnd w:id="272"/>
    <w:bookmarkEnd w:id="273"/>
    <w:bookmarkEnd w:id="274"/>
    <w:bookmarkEnd w:id="275"/>
    <w:p w14:paraId="4479DEF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277" w:name="_Toc351203639"/>
      <w:r>
        <w:rPr>
          <w:rFonts w:hint="eastAsia" w:ascii="宋体" w:hAnsi="宋体" w:eastAsia="宋体" w:cs="宋体"/>
          <w:color w:val="auto"/>
          <w:sz w:val="24"/>
          <w:szCs w:val="24"/>
        </w:rPr>
        <w:t>7. 工期和进度</w:t>
      </w:r>
      <w:bookmarkEnd w:id="277"/>
    </w:p>
    <w:p w14:paraId="0CBDAED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 施工组织设计</w:t>
      </w:r>
    </w:p>
    <w:p w14:paraId="4AA043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7.1.1 合同当事人约定的施工组织设计应包括的其他内容：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7035C1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7.1.2 施工组织设计的提交和修改</w:t>
      </w:r>
    </w:p>
    <w:p w14:paraId="25CACCB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承包人提交详细施工组织设计的期限的约定：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E0E62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发包人和监理人在收到详细的施工组织设计后确认或提出修改意见的期限：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7DDFA5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bookmarkStart w:id="278" w:name="_Toc303539123"/>
      <w:bookmarkStart w:id="279" w:name="_Toc304295541"/>
      <w:bookmarkStart w:id="280" w:name="_Toc312677479"/>
      <w:bookmarkStart w:id="281" w:name="_Toc297216173"/>
      <w:bookmarkStart w:id="282" w:name="_Toc297123514"/>
      <w:bookmarkStart w:id="283" w:name="_Toc300934966"/>
      <w:bookmarkStart w:id="284" w:name="_Toc312678005"/>
      <w:r>
        <w:rPr>
          <w:rFonts w:hint="eastAsia" w:ascii="宋体" w:hAnsi="宋体" w:eastAsia="宋体" w:cs="宋体"/>
          <w:color w:val="auto"/>
          <w:sz w:val="24"/>
          <w:szCs w:val="24"/>
        </w:rPr>
        <w:t>.2 施工进度计划</w:t>
      </w:r>
    </w:p>
    <w:p w14:paraId="2937A1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7.2.2 施工进度计划的修订</w:t>
      </w:r>
    </w:p>
    <w:p w14:paraId="1A17B5B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发包人和监理人在收到修订的施工进度计划后确认或提出修改意见的期限：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384112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7.3 开工</w:t>
      </w:r>
    </w:p>
    <w:p w14:paraId="7DA96FF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7.3.1 开工准备</w:t>
      </w:r>
    </w:p>
    <w:p w14:paraId="26F3D99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关于承包人提交工程开工报审表的期限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B7B9C2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关于发包人应完成的其他开工准备工作及期限：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DEBBFE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关于承包人应完成的其他开工准备工作及期限：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447409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7.3.2开工通知</w:t>
      </w:r>
    </w:p>
    <w:p w14:paraId="289D07F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因发包人原因造成监理人未能在计划开工日期之日起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天内发出开工通知的，承包人有权提出价格调整要求，或者解除合同。</w:t>
      </w:r>
    </w:p>
    <w:bookmarkEnd w:id="278"/>
    <w:bookmarkEnd w:id="279"/>
    <w:bookmarkEnd w:id="280"/>
    <w:bookmarkEnd w:id="281"/>
    <w:bookmarkEnd w:id="282"/>
    <w:bookmarkEnd w:id="283"/>
    <w:bookmarkEnd w:id="284"/>
    <w:p w14:paraId="7433B79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7.4 测量放线</w:t>
      </w:r>
    </w:p>
    <w:p w14:paraId="242261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7.4.1发包人通过监理人向承包人提供测量基准点、基准线和水准点及其书面资料的期限：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2B8E14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bookmarkStart w:id="285" w:name="_Toc312677484"/>
      <w:bookmarkStart w:id="286" w:name="_Toc297216175"/>
      <w:bookmarkStart w:id="287" w:name="_Toc312678010"/>
      <w:bookmarkStart w:id="288" w:name="_Toc300934968"/>
      <w:bookmarkStart w:id="289" w:name="_Toc304295546"/>
      <w:bookmarkStart w:id="290" w:name="_Toc303539125"/>
      <w:bookmarkStart w:id="291" w:name="_Toc297123516"/>
      <w:r>
        <w:rPr>
          <w:rFonts w:hint="eastAsia" w:ascii="宋体" w:hAnsi="宋体" w:eastAsia="宋体" w:cs="宋体"/>
          <w:color w:val="auto"/>
          <w:sz w:val="24"/>
          <w:szCs w:val="24"/>
        </w:rPr>
        <w:t>.5 工期延误</w:t>
      </w:r>
    </w:p>
    <w:bookmarkEnd w:id="285"/>
    <w:bookmarkEnd w:id="286"/>
    <w:bookmarkEnd w:id="287"/>
    <w:bookmarkEnd w:id="288"/>
    <w:bookmarkEnd w:id="289"/>
    <w:bookmarkEnd w:id="290"/>
    <w:bookmarkEnd w:id="291"/>
    <w:p w14:paraId="18F24BC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7.5.1 因发包人原因导致工期延误</w:t>
      </w:r>
    </w:p>
    <w:p w14:paraId="664CD20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（7）因发包人原因导致工期延误的其他情形：</w:t>
      </w:r>
      <w:r>
        <w:rPr>
          <w:rFonts w:hint="eastAsia" w:ascii="宋体" w:hAnsi="宋体" w:eastAsia="宋体" w:cs="宋体"/>
          <w:color w:val="auto"/>
          <w:sz w:val="24"/>
          <w:szCs w:val="24"/>
          <w:u w:val="single"/>
        </w:rPr>
        <w:t xml:space="preserve">                             </w:t>
      </w:r>
    </w:p>
    <w:p w14:paraId="10B59A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bookmarkStart w:id="292" w:name="_Toc312678012"/>
      <w:bookmarkStart w:id="293" w:name="_Toc312677486"/>
      <w:bookmarkStart w:id="294" w:name="_Toc318581169"/>
      <w:bookmarkStart w:id="295" w:name="_Toc297216177"/>
      <w:bookmarkStart w:id="296" w:name="_Toc297123518"/>
      <w:bookmarkStart w:id="297" w:name="_Toc300934970"/>
      <w:bookmarkStart w:id="298" w:name="_Toc304295548"/>
      <w:bookmarkStart w:id="299" w:name="_Toc303539127"/>
      <w:r>
        <w:rPr>
          <w:rFonts w:hint="eastAsia" w:ascii="宋体" w:hAnsi="宋体" w:eastAsia="宋体" w:cs="宋体"/>
          <w:color w:val="auto"/>
          <w:sz w:val="24"/>
          <w:szCs w:val="24"/>
        </w:rPr>
        <w:t>.5.2 因承包人原因导致工期延误</w:t>
      </w:r>
    </w:p>
    <w:bookmarkEnd w:id="292"/>
    <w:bookmarkEnd w:id="293"/>
    <w:bookmarkEnd w:id="294"/>
    <w:p w14:paraId="67B8924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因</w:t>
      </w:r>
      <w:bookmarkStart w:id="300" w:name="_Toc312677487"/>
      <w:bookmarkStart w:id="301" w:name="_Toc312678013"/>
      <w:bookmarkStart w:id="302" w:name="_Toc318581170"/>
      <w:r>
        <w:rPr>
          <w:rFonts w:hint="eastAsia" w:ascii="宋体" w:hAnsi="宋体" w:eastAsia="宋体" w:cs="宋体"/>
          <w:color w:val="auto"/>
          <w:sz w:val="24"/>
          <w:szCs w:val="24"/>
        </w:rPr>
        <w:t>承包人原因造成工期延误，逾期竣工违约金的计算方法为：</w:t>
      </w:r>
      <w:r>
        <w:rPr>
          <w:rFonts w:hint="eastAsia" w:ascii="宋体" w:hAnsi="宋体" w:eastAsia="宋体" w:cs="宋体"/>
          <w:color w:val="auto"/>
          <w:sz w:val="24"/>
          <w:szCs w:val="24"/>
          <w:u w:val="single"/>
        </w:rPr>
        <w:t xml:space="preserve">                </w:t>
      </w:r>
      <w:bookmarkEnd w:id="295"/>
      <w:bookmarkEnd w:id="296"/>
      <w:bookmarkEnd w:id="297"/>
      <w:bookmarkEnd w:id="298"/>
      <w:bookmarkEnd w:id="299"/>
      <w:bookmarkEnd w:id="300"/>
      <w:bookmarkEnd w:id="301"/>
    </w:p>
    <w:bookmarkEnd w:id="302"/>
    <w:p w14:paraId="703C18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因承包人原因造成工期延误，逾</w:t>
      </w:r>
      <w:bookmarkStart w:id="303" w:name="_Toc312678014"/>
      <w:bookmarkStart w:id="304" w:name="_Toc318581171"/>
      <w:r>
        <w:rPr>
          <w:rFonts w:hint="eastAsia" w:ascii="宋体" w:hAnsi="宋体" w:eastAsia="宋体" w:cs="宋体"/>
          <w:color w:val="auto"/>
          <w:sz w:val="24"/>
          <w:szCs w:val="24"/>
        </w:rPr>
        <w:t>期竣工违约金的上限：</w:t>
      </w:r>
      <w:r>
        <w:rPr>
          <w:rFonts w:hint="eastAsia" w:ascii="宋体" w:hAnsi="宋体" w:eastAsia="宋体" w:cs="宋体"/>
          <w:color w:val="auto"/>
          <w:sz w:val="24"/>
          <w:szCs w:val="24"/>
          <w:u w:val="single"/>
        </w:rPr>
        <w:t xml:space="preserve">                       </w:t>
      </w:r>
    </w:p>
    <w:bookmarkEnd w:id="303"/>
    <w:bookmarkEnd w:id="304"/>
    <w:p w14:paraId="276A24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bookmarkStart w:id="305" w:name="_Toc297123519"/>
      <w:bookmarkStart w:id="306" w:name="_Toc300934971"/>
      <w:bookmarkStart w:id="307" w:name="_Toc312678015"/>
      <w:bookmarkStart w:id="308" w:name="_Toc304295549"/>
      <w:bookmarkStart w:id="309" w:name="_Toc297216178"/>
      <w:bookmarkStart w:id="310" w:name="_Toc303539128"/>
      <w:r>
        <w:rPr>
          <w:rFonts w:hint="eastAsia" w:ascii="宋体" w:hAnsi="宋体" w:eastAsia="宋体" w:cs="宋体"/>
          <w:color w:val="auto"/>
          <w:sz w:val="24"/>
          <w:szCs w:val="24"/>
        </w:rPr>
        <w:t>.6 不</w:t>
      </w:r>
      <w:bookmarkEnd w:id="305"/>
      <w:bookmarkEnd w:id="306"/>
      <w:bookmarkEnd w:id="307"/>
      <w:bookmarkEnd w:id="308"/>
      <w:bookmarkEnd w:id="309"/>
      <w:bookmarkEnd w:id="310"/>
      <w:r>
        <w:rPr>
          <w:rFonts w:hint="eastAsia" w:ascii="宋体" w:hAnsi="宋体" w:eastAsia="宋体" w:cs="宋体"/>
          <w:color w:val="auto"/>
          <w:sz w:val="24"/>
          <w:szCs w:val="24"/>
        </w:rPr>
        <w:t>利物质条件</w:t>
      </w:r>
    </w:p>
    <w:p w14:paraId="152BC7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311" w:name="_Toc312678016"/>
      <w:bookmarkStart w:id="312" w:name="_Toc297123520"/>
      <w:bookmarkStart w:id="313" w:name="_Toc303539129"/>
      <w:bookmarkStart w:id="314" w:name="_Toc304295550"/>
      <w:bookmarkStart w:id="315" w:name="_Toc300934972"/>
      <w:bookmarkStart w:id="316" w:name="_Toc318581172"/>
      <w:bookmarkStart w:id="317" w:name="_Toc297216179"/>
      <w:r>
        <w:rPr>
          <w:rFonts w:hint="eastAsia" w:ascii="宋体" w:hAnsi="宋体" w:eastAsia="宋体" w:cs="宋体"/>
          <w:color w:val="auto"/>
          <w:sz w:val="24"/>
          <w:szCs w:val="24"/>
        </w:rPr>
        <w:t>不利物质条件的其他情形和有关约定：</w:t>
      </w:r>
      <w:r>
        <w:rPr>
          <w:rFonts w:hint="eastAsia" w:ascii="宋体" w:hAnsi="宋体" w:eastAsia="宋体" w:cs="宋体"/>
          <w:color w:val="auto"/>
          <w:sz w:val="24"/>
          <w:szCs w:val="24"/>
          <w:u w:val="single"/>
        </w:rPr>
        <w:t xml:space="preserve">                                    </w:t>
      </w:r>
    </w:p>
    <w:bookmarkEnd w:id="311"/>
    <w:bookmarkEnd w:id="312"/>
    <w:bookmarkEnd w:id="313"/>
    <w:bookmarkEnd w:id="314"/>
    <w:bookmarkEnd w:id="315"/>
    <w:bookmarkEnd w:id="316"/>
    <w:bookmarkEnd w:id="317"/>
    <w:p w14:paraId="308A1A9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bookmarkStart w:id="318" w:name="_Toc297216180"/>
      <w:bookmarkStart w:id="319" w:name="_Toc312678017"/>
      <w:bookmarkStart w:id="320" w:name="_Toc297123521"/>
      <w:bookmarkStart w:id="321" w:name="_Toc300934973"/>
      <w:bookmarkStart w:id="322" w:name="_Toc303539130"/>
      <w:bookmarkStart w:id="323" w:name="_Toc304295551"/>
      <w:r>
        <w:rPr>
          <w:rFonts w:hint="eastAsia" w:ascii="宋体" w:hAnsi="宋体" w:eastAsia="宋体" w:cs="宋体"/>
          <w:color w:val="auto"/>
          <w:sz w:val="24"/>
          <w:szCs w:val="24"/>
        </w:rPr>
        <w:t>.7异常恶劣的气候条件</w:t>
      </w:r>
    </w:p>
    <w:bookmarkEnd w:id="318"/>
    <w:bookmarkEnd w:id="319"/>
    <w:bookmarkEnd w:id="320"/>
    <w:bookmarkEnd w:id="321"/>
    <w:bookmarkEnd w:id="322"/>
    <w:bookmarkEnd w:id="323"/>
    <w:p w14:paraId="542055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发包人和承包人同意以下情形视为异常恶劣的气候条件：</w:t>
      </w:r>
    </w:p>
    <w:p w14:paraId="410E07A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95B548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6478D2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50EE57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7.9 提前竣工的奖励</w:t>
      </w:r>
    </w:p>
    <w:p w14:paraId="014011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7.9.2提前竣工的奖励：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987B0B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324" w:name="_Toc351203640"/>
      <w:r>
        <w:rPr>
          <w:rFonts w:hint="eastAsia" w:ascii="宋体" w:hAnsi="宋体" w:eastAsia="宋体" w:cs="宋体"/>
          <w:color w:val="auto"/>
          <w:sz w:val="24"/>
          <w:szCs w:val="24"/>
        </w:rPr>
        <w:t>8. 材料与设备</w:t>
      </w:r>
      <w:bookmarkEnd w:id="324"/>
    </w:p>
    <w:bookmarkEnd w:id="259"/>
    <w:bookmarkEnd w:id="260"/>
    <w:bookmarkEnd w:id="261"/>
    <w:bookmarkEnd w:id="262"/>
    <w:bookmarkEnd w:id="263"/>
    <w:bookmarkEnd w:id="264"/>
    <w:bookmarkEnd w:id="265"/>
    <w:bookmarkEnd w:id="266"/>
    <w:bookmarkEnd w:id="267"/>
    <w:bookmarkEnd w:id="268"/>
    <w:p w14:paraId="768A60C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bookmarkStart w:id="325" w:name="_Toc312677493"/>
      <w:bookmarkStart w:id="326" w:name="_Toc304295556"/>
      <w:bookmarkStart w:id="327" w:name="_Toc296346668"/>
      <w:bookmarkStart w:id="328" w:name="_Toc296890995"/>
      <w:bookmarkStart w:id="329" w:name="_Toc292559372"/>
      <w:bookmarkStart w:id="330" w:name="_Toc296944506"/>
      <w:bookmarkStart w:id="331" w:name="_Toc292559877"/>
      <w:bookmarkStart w:id="332" w:name="_Toc296347166"/>
      <w:bookmarkStart w:id="333" w:name="_Toc297123527"/>
      <w:bookmarkStart w:id="334" w:name="_Toc300934979"/>
      <w:bookmarkStart w:id="335" w:name="_Toc296503167"/>
      <w:bookmarkStart w:id="336" w:name="_Toc280868654"/>
      <w:bookmarkStart w:id="337" w:name="_Toc297120467"/>
      <w:bookmarkStart w:id="338" w:name="_Toc312678019"/>
      <w:bookmarkStart w:id="339" w:name="_Toc296891207"/>
      <w:bookmarkStart w:id="340" w:name="_Toc297048353"/>
      <w:bookmarkStart w:id="341" w:name="_Toc303539136"/>
      <w:bookmarkStart w:id="342" w:name="_Toc297216186"/>
      <w:bookmarkStart w:id="343" w:name="_Toc280868656"/>
      <w:bookmarkStart w:id="344" w:name="_Toc280868655"/>
      <w:bookmarkStart w:id="345" w:name="_Toc267251424"/>
      <w:r>
        <w:rPr>
          <w:rFonts w:hint="eastAsia" w:ascii="宋体" w:hAnsi="宋体" w:eastAsia="宋体" w:cs="宋体"/>
          <w:color w:val="auto"/>
          <w:sz w:val="24"/>
          <w:szCs w:val="24"/>
        </w:rPr>
        <w:t>.4材料与工程设备的保管与使用</w:t>
      </w:r>
    </w:p>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14:paraId="53A8D08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bookmarkStart w:id="346" w:name="_Toc292559373"/>
      <w:bookmarkStart w:id="347" w:name="_Toc292559878"/>
      <w:bookmarkStart w:id="348" w:name="_Toc300934980"/>
      <w:bookmarkStart w:id="349" w:name="_Toc296347167"/>
      <w:bookmarkStart w:id="350" w:name="_Toc297216187"/>
      <w:bookmarkStart w:id="351" w:name="_Toc296346669"/>
      <w:bookmarkStart w:id="352" w:name="_Toc296890996"/>
      <w:bookmarkStart w:id="353" w:name="_Toc303539137"/>
      <w:bookmarkStart w:id="354" w:name="_Toc304295557"/>
      <w:bookmarkStart w:id="355" w:name="_Toc297120468"/>
      <w:bookmarkStart w:id="356" w:name="_Toc318581173"/>
      <w:bookmarkStart w:id="357" w:name="_Toc312677494"/>
      <w:bookmarkStart w:id="358" w:name="_Toc297123528"/>
      <w:bookmarkStart w:id="359" w:name="_Toc296503168"/>
      <w:bookmarkStart w:id="360" w:name="_Toc296891208"/>
      <w:bookmarkStart w:id="361" w:name="_Toc312678020"/>
      <w:bookmarkStart w:id="362" w:name="_Toc296944507"/>
      <w:bookmarkStart w:id="363" w:name="_Toc297048354"/>
      <w:r>
        <w:rPr>
          <w:rFonts w:hint="eastAsia" w:ascii="宋体" w:hAnsi="宋体" w:eastAsia="宋体" w:cs="宋体"/>
          <w:color w:val="auto"/>
          <w:sz w:val="24"/>
          <w:szCs w:val="24"/>
        </w:rPr>
        <w:t>.4.1发包人供应的材料设备的保管费用的承担：</w:t>
      </w:r>
      <w:r>
        <w:rPr>
          <w:rFonts w:hint="eastAsia" w:ascii="宋体" w:hAnsi="宋体" w:eastAsia="宋体" w:cs="宋体"/>
          <w:color w:val="auto"/>
          <w:sz w:val="24"/>
          <w:szCs w:val="24"/>
          <w:u w:val="single"/>
        </w:rPr>
        <w:t xml:space="preserve">                           </w:t>
      </w:r>
      <w:bookmarkEnd w:id="346"/>
      <w:bookmarkEnd w:id="347"/>
    </w:p>
    <w:p w14:paraId="5A5DCFD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8.6 样品</w:t>
      </w:r>
    </w:p>
    <w:p w14:paraId="31985CA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8.6.1</w:t>
      </w:r>
      <w:r>
        <w:rPr>
          <w:rFonts w:hint="eastAsia" w:ascii="宋体" w:hAnsi="宋体" w:eastAsia="宋体" w:cs="宋体"/>
          <w:color w:val="auto"/>
          <w:sz w:val="24"/>
          <w:szCs w:val="24"/>
        </w:rPr>
        <w:tab/>
      </w:r>
      <w:r>
        <w:rPr>
          <w:rFonts w:hint="eastAsia" w:ascii="宋体" w:hAnsi="宋体" w:eastAsia="宋体" w:cs="宋体"/>
          <w:color w:val="auto"/>
          <w:sz w:val="24"/>
          <w:szCs w:val="24"/>
        </w:rPr>
        <w:t>样品的报送与封存</w:t>
      </w:r>
    </w:p>
    <w:p w14:paraId="466126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需要承包人报送样品的材料或工程设备，样品的种类、名称、规格、数量要求：</w:t>
      </w:r>
      <w:r>
        <w:rPr>
          <w:rFonts w:hint="eastAsia" w:ascii="宋体" w:hAnsi="宋体" w:eastAsia="宋体" w:cs="宋体"/>
          <w:color w:val="auto"/>
          <w:sz w:val="24"/>
          <w:szCs w:val="24"/>
          <w:u w:val="single"/>
        </w:rPr>
        <w:t xml:space="preserve"> </w:t>
      </w:r>
    </w:p>
    <w:p w14:paraId="360669F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8.8 施工设备和临时设施</w:t>
      </w:r>
    </w:p>
    <w:p w14:paraId="2D53EEB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8.8.1 承包人提供的施工设备和临时设施</w:t>
      </w:r>
    </w:p>
    <w:p w14:paraId="6D1BF80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关于修建临时设施费用承担的约定：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14:paraId="673A9F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364" w:name="_Toc351203641"/>
      <w:r>
        <w:rPr>
          <w:rFonts w:hint="eastAsia" w:ascii="宋体" w:hAnsi="宋体" w:eastAsia="宋体" w:cs="宋体"/>
          <w:color w:val="auto"/>
          <w:sz w:val="24"/>
          <w:szCs w:val="24"/>
        </w:rPr>
        <w:t>9</w:t>
      </w:r>
      <w:bookmarkEnd w:id="343"/>
      <w:bookmarkEnd w:id="344"/>
      <w:bookmarkEnd w:id="345"/>
      <w:bookmarkStart w:id="365" w:name="_Toc304295559"/>
      <w:bookmarkStart w:id="366" w:name="_Toc297123533"/>
      <w:bookmarkStart w:id="367" w:name="_Toc312677495"/>
      <w:bookmarkStart w:id="368" w:name="_Toc300934982"/>
      <w:bookmarkStart w:id="369" w:name="_Toc297216192"/>
      <w:bookmarkStart w:id="370" w:name="_Toc303539139"/>
      <w:bookmarkStart w:id="371" w:name="_Toc312678021"/>
      <w:bookmarkStart w:id="372" w:name="_Toc296944512"/>
      <w:bookmarkStart w:id="373" w:name="_Toc296347172"/>
      <w:bookmarkStart w:id="374" w:name="_Toc296891213"/>
      <w:bookmarkStart w:id="375" w:name="_Toc297120473"/>
      <w:bookmarkStart w:id="376" w:name="_Toc296891001"/>
      <w:bookmarkStart w:id="377" w:name="_Toc297048359"/>
      <w:bookmarkStart w:id="378" w:name="_Toc292559378"/>
      <w:bookmarkStart w:id="379" w:name="_Toc296346674"/>
      <w:bookmarkStart w:id="380" w:name="_Toc267251428"/>
      <w:bookmarkStart w:id="381" w:name="_Toc267251427"/>
      <w:bookmarkStart w:id="382" w:name="_Toc292559883"/>
      <w:bookmarkStart w:id="383" w:name="_Toc296503173"/>
      <w:r>
        <w:rPr>
          <w:rFonts w:hint="eastAsia" w:ascii="宋体" w:hAnsi="宋体" w:eastAsia="宋体" w:cs="宋体"/>
          <w:color w:val="auto"/>
          <w:sz w:val="24"/>
          <w:szCs w:val="24"/>
        </w:rPr>
        <w:t>. 试验与检验</w:t>
      </w:r>
      <w:bookmarkEnd w:id="364"/>
    </w:p>
    <w:bookmarkEnd w:id="365"/>
    <w:bookmarkEnd w:id="366"/>
    <w:bookmarkEnd w:id="367"/>
    <w:bookmarkEnd w:id="368"/>
    <w:bookmarkEnd w:id="369"/>
    <w:bookmarkEnd w:id="370"/>
    <w:bookmarkEnd w:id="371"/>
    <w:p w14:paraId="3BABE59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bookmarkStart w:id="384" w:name="_Toc304295560"/>
      <w:bookmarkStart w:id="385" w:name="_Toc297123534"/>
      <w:bookmarkStart w:id="386" w:name="_Toc312677496"/>
      <w:bookmarkStart w:id="387" w:name="_Toc303539140"/>
      <w:bookmarkStart w:id="388" w:name="_Toc312678022"/>
      <w:bookmarkStart w:id="389" w:name="_Toc300934983"/>
      <w:bookmarkStart w:id="390" w:name="_Toc297216193"/>
      <w:r>
        <w:rPr>
          <w:rFonts w:hint="eastAsia" w:ascii="宋体" w:hAnsi="宋体" w:eastAsia="宋体" w:cs="宋体"/>
          <w:color w:val="auto"/>
          <w:sz w:val="24"/>
          <w:szCs w:val="24"/>
        </w:rPr>
        <w:t>.1试验设备与试验人员</w:t>
      </w:r>
    </w:p>
    <w:bookmarkEnd w:id="384"/>
    <w:bookmarkEnd w:id="385"/>
    <w:bookmarkEnd w:id="386"/>
    <w:bookmarkEnd w:id="387"/>
    <w:bookmarkEnd w:id="388"/>
    <w:bookmarkEnd w:id="389"/>
    <w:bookmarkEnd w:id="390"/>
    <w:p w14:paraId="7A87B9A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bookmarkStart w:id="391" w:name="_Toc297123535"/>
      <w:bookmarkStart w:id="392" w:name="_Toc312677497"/>
      <w:bookmarkStart w:id="393" w:name="_Toc300934984"/>
      <w:bookmarkStart w:id="394" w:name="_Toc312678023"/>
      <w:bookmarkStart w:id="395" w:name="_Toc303539141"/>
      <w:bookmarkStart w:id="396" w:name="_Toc304295561"/>
      <w:bookmarkStart w:id="397" w:name="_Toc297216194"/>
      <w:bookmarkStart w:id="398" w:name="_Toc318581174"/>
      <w:r>
        <w:rPr>
          <w:rFonts w:hint="eastAsia" w:ascii="宋体" w:hAnsi="宋体" w:eastAsia="宋体" w:cs="宋体"/>
          <w:color w:val="auto"/>
          <w:sz w:val="24"/>
          <w:szCs w:val="24"/>
        </w:rPr>
        <w:t>.1.2 试验设备</w:t>
      </w:r>
    </w:p>
    <w:p w14:paraId="670A6DA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施工现场需要配置的试验场所：</w:t>
      </w:r>
      <w:bookmarkEnd w:id="391"/>
      <w:bookmarkEnd w:id="392"/>
      <w:bookmarkEnd w:id="393"/>
      <w:bookmarkEnd w:id="394"/>
      <w:bookmarkEnd w:id="395"/>
      <w:bookmarkEnd w:id="396"/>
      <w:bookmarkEnd w:id="397"/>
      <w:bookmarkStart w:id="399" w:name="_Toc303539142"/>
      <w:bookmarkStart w:id="400" w:name="_Toc312677498"/>
      <w:bookmarkStart w:id="401" w:name="_Toc312678024"/>
      <w:bookmarkStart w:id="402" w:name="_Toc300934985"/>
      <w:bookmarkStart w:id="403" w:name="_Toc297123536"/>
      <w:bookmarkStart w:id="404" w:name="_Toc304295562"/>
      <w:bookmarkStart w:id="405" w:name="_Toc297216195"/>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0C4AF50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施工现场需要配备的试验设备：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15EBD9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施工现场需要具备的其他试验条件：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2022E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9.4 现场工艺试验 </w:t>
      </w:r>
    </w:p>
    <w:p w14:paraId="2EC2C79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现场工艺试验的有关约定：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398"/>
    <w:bookmarkEnd w:id="399"/>
    <w:bookmarkEnd w:id="400"/>
    <w:bookmarkEnd w:id="401"/>
    <w:bookmarkEnd w:id="402"/>
    <w:bookmarkEnd w:id="403"/>
    <w:bookmarkEnd w:id="404"/>
    <w:bookmarkEnd w:id="405"/>
    <w:p w14:paraId="751426F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406" w:name="_Toc351203642"/>
      <w:r>
        <w:rPr>
          <w:rFonts w:hint="eastAsia" w:ascii="宋体" w:hAnsi="宋体" w:eastAsia="宋体" w:cs="宋体"/>
          <w:color w:val="auto"/>
          <w:sz w:val="24"/>
          <w:szCs w:val="24"/>
        </w:rPr>
        <w:t>1</w:t>
      </w:r>
      <w:bookmarkEnd w:id="372"/>
      <w:bookmarkEnd w:id="373"/>
      <w:bookmarkEnd w:id="374"/>
      <w:bookmarkEnd w:id="375"/>
      <w:bookmarkEnd w:id="376"/>
      <w:bookmarkEnd w:id="377"/>
      <w:bookmarkEnd w:id="378"/>
      <w:bookmarkEnd w:id="379"/>
      <w:bookmarkEnd w:id="380"/>
      <w:bookmarkEnd w:id="381"/>
      <w:bookmarkEnd w:id="382"/>
      <w:bookmarkEnd w:id="383"/>
      <w:bookmarkStart w:id="407" w:name="_Toc300934989"/>
      <w:bookmarkStart w:id="408" w:name="_Toc296944532"/>
      <w:bookmarkStart w:id="409" w:name="_Toc296346694"/>
      <w:bookmarkStart w:id="410" w:name="_Toc296503193"/>
      <w:bookmarkStart w:id="411" w:name="_Toc296347192"/>
      <w:bookmarkStart w:id="412" w:name="_Toc304295566"/>
      <w:bookmarkStart w:id="413" w:name="_Toc297120493"/>
      <w:bookmarkStart w:id="414" w:name="_Toc297123540"/>
      <w:bookmarkStart w:id="415" w:name="_Toc296891021"/>
      <w:bookmarkStart w:id="416" w:name="_Toc297048379"/>
      <w:bookmarkStart w:id="417" w:name="_Toc296891233"/>
      <w:bookmarkStart w:id="418" w:name="_Toc297216199"/>
      <w:bookmarkStart w:id="419" w:name="_Toc292559903"/>
      <w:bookmarkStart w:id="420" w:name="_Toc303539146"/>
      <w:bookmarkStart w:id="421" w:name="_Toc292559398"/>
      <w:bookmarkStart w:id="422" w:name="_Toc312677499"/>
      <w:bookmarkStart w:id="423" w:name="_Toc312678025"/>
      <w:bookmarkStart w:id="424" w:name="_Toc267251440"/>
      <w:bookmarkStart w:id="425" w:name="_Toc267251437"/>
      <w:bookmarkStart w:id="426" w:name="_Toc267251439"/>
      <w:bookmarkStart w:id="427" w:name="_Toc267251441"/>
      <w:bookmarkStart w:id="428" w:name="_Toc267251435"/>
      <w:bookmarkStart w:id="429" w:name="_Toc267251433"/>
      <w:bookmarkStart w:id="430" w:name="_Toc267251442"/>
      <w:r>
        <w:rPr>
          <w:rFonts w:hint="eastAsia" w:ascii="宋体" w:hAnsi="宋体" w:eastAsia="宋体" w:cs="宋体"/>
          <w:color w:val="auto"/>
          <w:sz w:val="24"/>
          <w:szCs w:val="24"/>
        </w:rPr>
        <w:t>0. 变更</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bookmarkEnd w:id="422"/>
    <w:bookmarkEnd w:id="423"/>
    <w:p w14:paraId="58D84CB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431" w:name="_Toc296944533"/>
      <w:bookmarkStart w:id="432" w:name="_Toc297120494"/>
      <w:bookmarkStart w:id="433" w:name="_Toc296891022"/>
      <w:bookmarkStart w:id="434" w:name="_Toc312678026"/>
      <w:bookmarkStart w:id="435" w:name="_Toc296503194"/>
      <w:bookmarkStart w:id="436" w:name="_Toc297123541"/>
      <w:bookmarkStart w:id="437" w:name="_Toc296346695"/>
      <w:bookmarkStart w:id="438" w:name="_Toc304295567"/>
      <w:bookmarkStart w:id="439" w:name="_Toc297216200"/>
      <w:bookmarkStart w:id="440" w:name="_Toc300934990"/>
      <w:bookmarkStart w:id="441" w:name="_Toc303539147"/>
      <w:bookmarkStart w:id="442" w:name="_Toc297048380"/>
      <w:bookmarkStart w:id="443" w:name="_Toc312677500"/>
      <w:bookmarkStart w:id="444" w:name="_Toc296347193"/>
      <w:bookmarkStart w:id="445" w:name="_Toc292559399"/>
      <w:bookmarkStart w:id="446" w:name="_Toc296891234"/>
      <w:bookmarkStart w:id="447" w:name="_Toc292559904"/>
      <w:r>
        <w:rPr>
          <w:rFonts w:hint="eastAsia" w:ascii="宋体" w:hAnsi="宋体" w:eastAsia="宋体" w:cs="宋体"/>
          <w:color w:val="auto"/>
          <w:sz w:val="24"/>
          <w:szCs w:val="24"/>
        </w:rPr>
        <w:t>0.1变更的范围</w:t>
      </w:r>
    </w:p>
    <w:p w14:paraId="4A7CEF2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关于变更的范围的约定：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E81C2C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10.4 变更估价</w:t>
      </w:r>
    </w:p>
    <w:p w14:paraId="5208CCB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10.4.1 变更估价原则</w:t>
      </w:r>
    </w:p>
    <w:p w14:paraId="753FD1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关于变更估价的约定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2767EB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Start w:id="448" w:name="_Toc296503197"/>
      <w:bookmarkStart w:id="449" w:name="_Toc296891025"/>
      <w:bookmarkStart w:id="450" w:name="_Toc296347196"/>
      <w:bookmarkStart w:id="451" w:name="_Toc296944536"/>
      <w:bookmarkStart w:id="452" w:name="_Toc297123544"/>
      <w:bookmarkStart w:id="453" w:name="_Toc296891237"/>
      <w:bookmarkStart w:id="454" w:name="_Toc296346698"/>
      <w:bookmarkStart w:id="455" w:name="_Toc292559907"/>
      <w:bookmarkStart w:id="456" w:name="_Toc297120497"/>
      <w:bookmarkStart w:id="457" w:name="_Toc297216203"/>
      <w:bookmarkStart w:id="458" w:name="_Toc300934993"/>
      <w:bookmarkStart w:id="459" w:name="_Toc297048383"/>
      <w:bookmarkStart w:id="460" w:name="_Toc303539150"/>
      <w:bookmarkStart w:id="461" w:name="_Toc292559402"/>
      <w:bookmarkStart w:id="462" w:name="_Toc304295570"/>
      <w:bookmarkStart w:id="463" w:name="_Toc312678029"/>
      <w:bookmarkStart w:id="464" w:name="_Toc312677503"/>
      <w:r>
        <w:rPr>
          <w:rFonts w:hint="eastAsia" w:ascii="宋体" w:hAnsi="宋体" w:eastAsia="宋体" w:cs="宋体"/>
          <w:color w:val="auto"/>
          <w:sz w:val="24"/>
          <w:szCs w:val="24"/>
        </w:rPr>
        <w:t>0.5承</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Start w:id="465" w:name="_Toc303539151"/>
      <w:bookmarkStart w:id="466" w:name="_Toc292559408"/>
      <w:bookmarkStart w:id="467" w:name="_Toc300934994"/>
      <w:bookmarkStart w:id="468" w:name="_Toc297216204"/>
      <w:bookmarkStart w:id="469" w:name="_Toc292559913"/>
      <w:bookmarkStart w:id="470" w:name="_Toc296944542"/>
      <w:bookmarkStart w:id="471" w:name="_Toc297048389"/>
      <w:bookmarkStart w:id="472" w:name="_Toc297120503"/>
      <w:bookmarkStart w:id="473" w:name="_Toc296891243"/>
      <w:bookmarkStart w:id="474" w:name="_Toc296346704"/>
      <w:bookmarkStart w:id="475" w:name="_Toc297123545"/>
      <w:bookmarkStart w:id="476" w:name="_Toc296503203"/>
      <w:bookmarkStart w:id="477" w:name="_Toc296347202"/>
      <w:bookmarkStart w:id="478" w:name="_Toc296891031"/>
      <w:r>
        <w:rPr>
          <w:rFonts w:hint="eastAsia" w:ascii="宋体" w:hAnsi="宋体" w:eastAsia="宋体" w:cs="宋体"/>
          <w:color w:val="auto"/>
          <w:sz w:val="24"/>
          <w:szCs w:val="24"/>
        </w:rPr>
        <w:t>包人的合理化建议</w:t>
      </w:r>
    </w:p>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14:paraId="5D7F27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监理人审查承包人合理化建议的期限：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F30531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发包人审批承包人合理化建议的期限：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16E206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w:t>
      </w:r>
      <w:bookmarkStart w:id="479" w:name="_Toc303539152"/>
      <w:bookmarkStart w:id="480" w:name="_Toc292559409"/>
      <w:bookmarkStart w:id="481" w:name="_Toc296347203"/>
      <w:bookmarkStart w:id="482" w:name="_Toc297120504"/>
      <w:bookmarkStart w:id="483" w:name="_Toc296944543"/>
      <w:bookmarkStart w:id="484" w:name="_Toc296891244"/>
      <w:bookmarkStart w:id="485" w:name="_Toc296503204"/>
      <w:bookmarkStart w:id="486" w:name="_Toc297048390"/>
      <w:bookmarkStart w:id="487" w:name="_Toc296891032"/>
      <w:bookmarkStart w:id="488" w:name="_Toc296346705"/>
      <w:bookmarkStart w:id="489" w:name="_Toc297216205"/>
      <w:bookmarkStart w:id="490" w:name="_Toc304295571"/>
      <w:bookmarkStart w:id="491" w:name="_Toc292559914"/>
      <w:bookmarkStart w:id="492" w:name="_Toc312677504"/>
      <w:bookmarkStart w:id="493" w:name="_Toc300934995"/>
      <w:bookmarkStart w:id="494" w:name="_Toc312678030"/>
      <w:bookmarkStart w:id="495" w:name="_Toc318581175"/>
      <w:bookmarkStart w:id="496" w:name="_Toc297123546"/>
      <w:r>
        <w:rPr>
          <w:rFonts w:hint="eastAsia" w:ascii="宋体" w:hAnsi="宋体" w:eastAsia="宋体" w:cs="宋体"/>
          <w:color w:val="auto"/>
          <w:sz w:val="24"/>
          <w:szCs w:val="24"/>
        </w:rPr>
        <w:t xml:space="preserve">包人提出的合理化建议降低了合同价格或者提高了工程经济效益的奖励的方法和金额为：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14:paraId="7CCB3E5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497" w:name="_Toc296891027"/>
      <w:bookmarkStart w:id="498" w:name="_Toc296347198"/>
      <w:bookmarkStart w:id="499" w:name="_Toc297216207"/>
      <w:bookmarkStart w:id="500" w:name="_Toc300934997"/>
      <w:bookmarkStart w:id="501" w:name="_Toc296503199"/>
      <w:bookmarkStart w:id="502" w:name="_Toc297048385"/>
      <w:bookmarkStart w:id="503" w:name="_Toc296346700"/>
      <w:bookmarkStart w:id="504" w:name="_Toc297120499"/>
      <w:bookmarkStart w:id="505" w:name="_Toc296944538"/>
      <w:bookmarkStart w:id="506" w:name="_Toc296891239"/>
      <w:bookmarkStart w:id="507" w:name="_Toc303539154"/>
      <w:bookmarkStart w:id="508" w:name="_Toc312678033"/>
      <w:bookmarkStart w:id="509" w:name="_Toc297123548"/>
      <w:bookmarkStart w:id="510" w:name="_Toc292559404"/>
      <w:bookmarkStart w:id="511" w:name="_Toc304295574"/>
      <w:bookmarkStart w:id="512" w:name="_Toc312677507"/>
      <w:bookmarkStart w:id="513" w:name="_Toc292559909"/>
      <w:r>
        <w:rPr>
          <w:rFonts w:hint="eastAsia" w:ascii="宋体" w:hAnsi="宋体" w:eastAsia="宋体" w:cs="宋体"/>
          <w:color w:val="auto"/>
          <w:sz w:val="24"/>
          <w:szCs w:val="24"/>
        </w:rPr>
        <w:t>0.7 暂估价</w:t>
      </w:r>
    </w:p>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14:paraId="68C473C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暂</w:t>
      </w:r>
      <w:bookmarkStart w:id="514" w:name="_Toc318581176"/>
      <w:bookmarkStart w:id="515" w:name="_Toc312677508"/>
      <w:bookmarkStart w:id="516" w:name="_Toc312678034"/>
      <w:r>
        <w:rPr>
          <w:rFonts w:hint="eastAsia" w:ascii="宋体" w:hAnsi="宋体" w:eastAsia="宋体" w:cs="宋体"/>
          <w:color w:val="auto"/>
          <w:sz w:val="24"/>
          <w:szCs w:val="24"/>
        </w:rPr>
        <w:t>估价材料和工程设备的明细详见附件11：《暂估价一览表》。</w:t>
      </w:r>
    </w:p>
    <w:bookmarkEnd w:id="514"/>
    <w:bookmarkEnd w:id="515"/>
    <w:bookmarkEnd w:id="516"/>
    <w:p w14:paraId="0692CC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517" w:name="_Toc312677509"/>
      <w:bookmarkStart w:id="518" w:name="_Toc312678035"/>
      <w:bookmarkStart w:id="519" w:name="_Toc318581177"/>
      <w:r>
        <w:rPr>
          <w:rFonts w:hint="eastAsia" w:ascii="宋体" w:hAnsi="宋体" w:eastAsia="宋体" w:cs="宋体"/>
          <w:color w:val="auto"/>
          <w:sz w:val="24"/>
          <w:szCs w:val="24"/>
        </w:rPr>
        <w:t>0.7.1 依法必须招标的暂估价项目</w:t>
      </w:r>
    </w:p>
    <w:bookmarkEnd w:id="517"/>
    <w:bookmarkEnd w:id="518"/>
    <w:bookmarkEnd w:id="519"/>
    <w:p w14:paraId="2D033F8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对于依法必须招标的暂估价项目的确认和批准采取第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种方式确定。</w:t>
      </w:r>
    </w:p>
    <w:p w14:paraId="7F5B06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10.7.2 不属于依法必须招标的暂估价项目</w:t>
      </w:r>
    </w:p>
    <w:p w14:paraId="482097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对于不属于依法必须招标的暂估价项目的确认和批准采取第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种方式确定。</w:t>
      </w:r>
    </w:p>
    <w:p w14:paraId="16C0D56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第3种方式：承包人直接实施的暂估价项目</w:t>
      </w:r>
    </w:p>
    <w:p w14:paraId="4939DB3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承包人直接实施的暂估价项目的约定：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61559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10.8 暂列金额</w:t>
      </w:r>
    </w:p>
    <w:p w14:paraId="2AAA398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合同当事人关于暂列金额使用的约定：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EDA63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520" w:name="_Toc351203643"/>
      <w:r>
        <w:rPr>
          <w:rFonts w:hint="eastAsia" w:ascii="宋体" w:hAnsi="宋体" w:eastAsia="宋体" w:cs="宋体"/>
          <w:color w:val="auto"/>
          <w:sz w:val="24"/>
          <w:szCs w:val="24"/>
        </w:rPr>
        <w:t>11. 价格调整</w:t>
      </w:r>
      <w:bookmarkEnd w:id="520"/>
    </w:p>
    <w:p w14:paraId="41ED1EF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521" w:name="_Toc292559406"/>
      <w:bookmarkStart w:id="522" w:name="_Toc292559911"/>
      <w:bookmarkStart w:id="523" w:name="_Toc296891029"/>
      <w:bookmarkStart w:id="524" w:name="_Toc296503201"/>
      <w:bookmarkStart w:id="525" w:name="_Toc296891241"/>
      <w:bookmarkStart w:id="526" w:name="_Toc296347200"/>
      <w:bookmarkStart w:id="527" w:name="_Toc300935000"/>
      <w:bookmarkStart w:id="528" w:name="_Toc297123550"/>
      <w:bookmarkStart w:id="529" w:name="_Toc304295577"/>
      <w:bookmarkStart w:id="530" w:name="_Toc303539157"/>
      <w:bookmarkStart w:id="531" w:name="_Toc297216209"/>
      <w:bookmarkStart w:id="532" w:name="_Toc296944540"/>
      <w:bookmarkStart w:id="533" w:name="_Toc312678039"/>
      <w:bookmarkStart w:id="534" w:name="_Toc297048387"/>
      <w:bookmarkStart w:id="535" w:name="_Toc296346702"/>
      <w:bookmarkStart w:id="536" w:name="_Toc297120501"/>
      <w:r>
        <w:rPr>
          <w:rFonts w:hint="eastAsia" w:ascii="宋体" w:hAnsi="宋体" w:eastAsia="宋体" w:cs="宋体"/>
          <w:color w:val="auto"/>
          <w:sz w:val="24"/>
          <w:szCs w:val="24"/>
        </w:rPr>
        <w:t>11.1 市场价格波动引起的调整</w:t>
      </w:r>
    </w:p>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00A5EA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市场价格波动是否调整合同价格的约定：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276EC8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因市场价格波动调整合同价格，采用以下第    种方式对合同价格进行调整：</w:t>
      </w:r>
    </w:p>
    <w:p w14:paraId="45FABEE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第1种方式：采用价格指数进行价格调整。</w:t>
      </w:r>
    </w:p>
    <w:p w14:paraId="69AB392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关于各可调因子、定值和变值权重，以及基本价格指数及其来源的约定：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E5EDF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第2种方式：采用造价信息进行价格调整。</w:t>
      </w:r>
    </w:p>
    <w:p w14:paraId="18BD609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（2）关于基准价格的约定：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F49812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   %时，其超过部分据实调整。</w:t>
      </w:r>
    </w:p>
    <w:p w14:paraId="11C4002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p>
    <w:p w14:paraId="571709F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③承包人在已标价工程量清单或预算书中载明的材料单价等于基准单价的：专用合同条款合同履行期间材料单价涨跌幅以基准单价为基础超过±   %时，其超过部分据实调整。</w:t>
      </w:r>
    </w:p>
    <w:p w14:paraId="647178F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第3种方式：其他价格调整方式：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bookmarkEnd w:id="424"/>
    <w:bookmarkEnd w:id="425"/>
    <w:bookmarkEnd w:id="426"/>
    <w:bookmarkEnd w:id="427"/>
    <w:bookmarkEnd w:id="428"/>
    <w:bookmarkEnd w:id="429"/>
    <w:p w14:paraId="3C873B1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537" w:name="_Toc296347204"/>
      <w:bookmarkStart w:id="538" w:name="_Toc296503205"/>
      <w:bookmarkStart w:id="539" w:name="_Toc292559410"/>
      <w:bookmarkStart w:id="540" w:name="_Toc297048391"/>
      <w:bookmarkStart w:id="541" w:name="_Toc292559915"/>
      <w:bookmarkStart w:id="542" w:name="_Toc297120505"/>
      <w:bookmarkStart w:id="543" w:name="_Toc296346706"/>
      <w:bookmarkStart w:id="544" w:name="_Toc296891033"/>
      <w:bookmarkStart w:id="545" w:name="_Toc296891245"/>
      <w:bookmarkStart w:id="546" w:name="_Toc296944544"/>
      <w:bookmarkStart w:id="547" w:name="_Toc351203644"/>
      <w:bookmarkStart w:id="548" w:name="_Toc297216211"/>
      <w:bookmarkStart w:id="549" w:name="_Toc312678040"/>
      <w:bookmarkStart w:id="550" w:name="_Toc300935002"/>
      <w:bookmarkStart w:id="551" w:name="_Toc304295579"/>
      <w:bookmarkStart w:id="552" w:name="_Toc297123552"/>
      <w:bookmarkStart w:id="553" w:name="_Toc303539159"/>
      <w:r>
        <w:rPr>
          <w:rFonts w:hint="eastAsia" w:ascii="宋体" w:hAnsi="宋体" w:eastAsia="宋体" w:cs="宋体"/>
          <w:color w:val="auto"/>
          <w:sz w:val="24"/>
          <w:szCs w:val="24"/>
        </w:rPr>
        <w:t xml:space="preserve">12. </w:t>
      </w:r>
      <w:bookmarkEnd w:id="537"/>
      <w:bookmarkEnd w:id="538"/>
      <w:bookmarkEnd w:id="539"/>
      <w:bookmarkEnd w:id="540"/>
      <w:bookmarkEnd w:id="541"/>
      <w:bookmarkEnd w:id="542"/>
      <w:bookmarkEnd w:id="543"/>
      <w:bookmarkEnd w:id="544"/>
      <w:bookmarkEnd w:id="545"/>
      <w:bookmarkEnd w:id="546"/>
      <w:r>
        <w:rPr>
          <w:rFonts w:hint="eastAsia" w:ascii="宋体" w:hAnsi="宋体" w:eastAsia="宋体" w:cs="宋体"/>
          <w:color w:val="auto"/>
          <w:sz w:val="24"/>
          <w:szCs w:val="24"/>
        </w:rPr>
        <w:t>合同价格、计量与支付</w:t>
      </w:r>
      <w:bookmarkEnd w:id="547"/>
    </w:p>
    <w:bookmarkEnd w:id="548"/>
    <w:bookmarkEnd w:id="549"/>
    <w:bookmarkEnd w:id="550"/>
    <w:bookmarkEnd w:id="551"/>
    <w:bookmarkEnd w:id="552"/>
    <w:bookmarkEnd w:id="553"/>
    <w:p w14:paraId="01CFF14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554" w:name="_Toc292559411"/>
      <w:bookmarkStart w:id="555" w:name="_Toc267251461"/>
      <w:bookmarkStart w:id="556" w:name="_Toc292559916"/>
      <w:bookmarkStart w:id="557" w:name="_Toc296891246"/>
      <w:bookmarkStart w:id="558" w:name="_Toc296944545"/>
      <w:bookmarkStart w:id="559" w:name="_Toc296346707"/>
      <w:bookmarkStart w:id="560" w:name="_Toc296347205"/>
      <w:bookmarkStart w:id="561" w:name="_Toc296503206"/>
      <w:bookmarkStart w:id="562" w:name="_Toc296891034"/>
      <w:bookmarkStart w:id="563" w:name="_Toc297120506"/>
      <w:bookmarkStart w:id="564" w:name="_Toc297048392"/>
      <w:bookmarkStart w:id="565" w:name="_Toc304295580"/>
      <w:bookmarkStart w:id="566" w:name="_Toc312678041"/>
      <w:bookmarkStart w:id="567" w:name="_Toc303539160"/>
      <w:bookmarkStart w:id="568" w:name="_Toc297216212"/>
      <w:bookmarkStart w:id="569" w:name="_Toc297123553"/>
      <w:bookmarkStart w:id="570" w:name="_Toc300935003"/>
      <w:r>
        <w:rPr>
          <w:rFonts w:hint="eastAsia" w:ascii="宋体" w:hAnsi="宋体" w:eastAsia="宋体" w:cs="宋体"/>
          <w:color w:val="auto"/>
          <w:sz w:val="24"/>
          <w:szCs w:val="24"/>
        </w:rPr>
        <w:t>12.1 合</w:t>
      </w:r>
      <w:bookmarkEnd w:id="554"/>
      <w:bookmarkEnd w:id="555"/>
      <w:bookmarkEnd w:id="556"/>
      <w:r>
        <w:rPr>
          <w:rFonts w:hint="eastAsia" w:ascii="宋体" w:hAnsi="宋体" w:eastAsia="宋体" w:cs="宋体"/>
          <w:color w:val="auto"/>
          <w:sz w:val="24"/>
          <w:szCs w:val="24"/>
        </w:rPr>
        <w:t>同价</w:t>
      </w:r>
      <w:bookmarkEnd w:id="557"/>
      <w:bookmarkEnd w:id="558"/>
      <w:bookmarkEnd w:id="559"/>
      <w:bookmarkEnd w:id="560"/>
      <w:bookmarkEnd w:id="561"/>
      <w:bookmarkEnd w:id="562"/>
      <w:bookmarkEnd w:id="563"/>
      <w:bookmarkEnd w:id="564"/>
      <w:r>
        <w:rPr>
          <w:rFonts w:hint="eastAsia" w:ascii="宋体" w:hAnsi="宋体" w:eastAsia="宋体" w:cs="宋体"/>
          <w:color w:val="auto"/>
          <w:sz w:val="24"/>
          <w:szCs w:val="24"/>
        </w:rPr>
        <w:t>格形式</w:t>
      </w:r>
    </w:p>
    <w:bookmarkEnd w:id="565"/>
    <w:bookmarkEnd w:id="566"/>
    <w:bookmarkEnd w:id="567"/>
    <w:bookmarkEnd w:id="568"/>
    <w:bookmarkEnd w:id="569"/>
    <w:bookmarkEnd w:id="570"/>
    <w:p w14:paraId="316F866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1、单价合同。</w:t>
      </w:r>
    </w:p>
    <w:p w14:paraId="087661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综合单价包含的风险范围：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24D70E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风险费用的计算方法：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3F17A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风险范围以外合同价格的调整方法：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BDF33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2、总价合同。</w:t>
      </w:r>
    </w:p>
    <w:p w14:paraId="5B0EDE9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总价包含的风险范围：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0B8661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风险费用的计算方法：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0EB33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风险范围以外合同价格的调整方法：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86AAE1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3、其他价格方式：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EDF79C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571" w:name="_Toc297216213"/>
      <w:bookmarkStart w:id="572" w:name="_Toc304295581"/>
      <w:bookmarkStart w:id="573" w:name="_Toc297123554"/>
      <w:bookmarkStart w:id="574" w:name="_Toc300935004"/>
      <w:bookmarkStart w:id="575" w:name="_Toc303539161"/>
      <w:bookmarkStart w:id="576" w:name="_Toc312678042"/>
      <w:bookmarkStart w:id="577" w:name="_Toc296944546"/>
      <w:bookmarkStart w:id="578" w:name="_Toc292559412"/>
      <w:bookmarkStart w:id="579" w:name="_Toc296891035"/>
      <w:bookmarkStart w:id="580" w:name="_Toc297048393"/>
      <w:bookmarkStart w:id="581" w:name="_Toc296891247"/>
      <w:bookmarkStart w:id="582" w:name="_Toc296346708"/>
      <w:bookmarkStart w:id="583" w:name="_Toc296503207"/>
      <w:bookmarkStart w:id="584" w:name="_Toc292559917"/>
      <w:bookmarkStart w:id="585" w:name="_Toc297120507"/>
      <w:bookmarkStart w:id="586" w:name="_Toc296347206"/>
      <w:r>
        <w:rPr>
          <w:rFonts w:hint="eastAsia" w:ascii="宋体" w:hAnsi="宋体" w:eastAsia="宋体" w:cs="宋体"/>
          <w:color w:val="auto"/>
          <w:sz w:val="24"/>
          <w:szCs w:val="24"/>
        </w:rPr>
        <w:t>12.2 预付款</w:t>
      </w:r>
    </w:p>
    <w:bookmarkEnd w:id="571"/>
    <w:bookmarkEnd w:id="572"/>
    <w:bookmarkEnd w:id="573"/>
    <w:bookmarkEnd w:id="574"/>
    <w:bookmarkEnd w:id="575"/>
    <w:bookmarkEnd w:id="576"/>
    <w:p w14:paraId="0F17112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12.2.1 预付款的支付</w:t>
      </w:r>
    </w:p>
    <w:p w14:paraId="70AE841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预付款支付比例或金额：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67A9BE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预付款支付期限：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363ACB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预付款扣回的方式：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79AF26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12.2.2 预付款担保</w:t>
      </w:r>
    </w:p>
    <w:p w14:paraId="1A3170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承包人提交预付款担保的期限：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4B9511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预付款担保的形式为：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577"/>
    <w:bookmarkEnd w:id="578"/>
    <w:bookmarkEnd w:id="579"/>
    <w:bookmarkEnd w:id="580"/>
    <w:bookmarkEnd w:id="581"/>
    <w:bookmarkEnd w:id="582"/>
    <w:bookmarkEnd w:id="583"/>
    <w:bookmarkEnd w:id="584"/>
    <w:bookmarkEnd w:id="585"/>
    <w:bookmarkEnd w:id="586"/>
    <w:p w14:paraId="001883B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12.3 计量</w:t>
      </w:r>
    </w:p>
    <w:p w14:paraId="15D929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12.3.1 计量原则</w:t>
      </w:r>
    </w:p>
    <w:p w14:paraId="0FA67A5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工程量计算规则：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DBA108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12.3.2 计量周期</w:t>
      </w:r>
    </w:p>
    <w:p w14:paraId="5FE0ED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关于计量周期的约定：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ECA2DF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12.3.3 单价合同的计量</w:t>
      </w:r>
    </w:p>
    <w:p w14:paraId="1B124F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关于单价合同计量的约定：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78F0C9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12.3.4 总价合同的计量</w:t>
      </w:r>
    </w:p>
    <w:p w14:paraId="74CC5C9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关于总价合同计量的约定：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23AE0E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12.3.5总价合同采用支付分解表计量支付的，是否适用第12.3.4 项〔总价合同的计量〕约定进行计量：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64889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12.3.6 其他价格形式合同的计量</w:t>
      </w:r>
    </w:p>
    <w:p w14:paraId="08D879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其他价格形式的计量方式和程序：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753E7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12.4 工程进度款支付</w:t>
      </w:r>
    </w:p>
    <w:p w14:paraId="2655CC3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587" w:name="_Toc297120511"/>
      <w:bookmarkStart w:id="588" w:name="_Toc296503211"/>
      <w:bookmarkStart w:id="589" w:name="_Toc297123556"/>
      <w:bookmarkStart w:id="590" w:name="_Toc296944550"/>
      <w:bookmarkStart w:id="591" w:name="_Toc296891251"/>
      <w:bookmarkStart w:id="592" w:name="_Toc303539163"/>
      <w:bookmarkStart w:id="593" w:name="_Toc296346712"/>
      <w:bookmarkStart w:id="594" w:name="_Toc300935006"/>
      <w:bookmarkStart w:id="595" w:name="_Toc296347210"/>
      <w:bookmarkStart w:id="596" w:name="_Toc292559416"/>
      <w:bookmarkStart w:id="597" w:name="_Toc297216215"/>
      <w:bookmarkStart w:id="598" w:name="_Toc297048397"/>
      <w:bookmarkStart w:id="599" w:name="_Toc296891039"/>
      <w:bookmarkStart w:id="600" w:name="_Toc292559921"/>
      <w:r>
        <w:rPr>
          <w:rFonts w:hint="eastAsia" w:ascii="宋体" w:hAnsi="宋体" w:eastAsia="宋体" w:cs="宋体"/>
          <w:color w:val="auto"/>
          <w:sz w:val="24"/>
          <w:szCs w:val="24"/>
        </w:rPr>
        <w:t>12.4.1 付款周期</w:t>
      </w:r>
    </w:p>
    <w:p w14:paraId="7809CF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关于付款周期的约定：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4A2D8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12.4.2 进度付款申请单的编制</w:t>
      </w:r>
    </w:p>
    <w:p w14:paraId="3197BAA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关于进度付款申请单编制的约定：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FA4D7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r>
        <w:rPr>
          <w:rFonts w:hint="eastAsia" w:ascii="宋体" w:hAnsi="宋体" w:eastAsia="宋体" w:cs="宋体"/>
          <w:color w:val="auto"/>
          <w:sz w:val="24"/>
          <w:szCs w:val="24"/>
        </w:rPr>
        <w:t>2.4.3 进度付款申请单的提交</w:t>
      </w:r>
    </w:p>
    <w:p w14:paraId="6904037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（1）单价合同进度付款申请单提交的约定：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F42C0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（2）总价合同进度付款申请单提交的约定：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8E1AD0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（3）其他价格形式合同进度付款申请单提交的约定：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217A77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12.4.4 进度款审核和支付</w:t>
      </w:r>
    </w:p>
    <w:p w14:paraId="3B605E6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（1）监理人审查并报送发包人的期限：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BE3CCD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发包人完成审批并签发进度款支付证书的期限：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D1EE79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（2）发包人支付进度款的期限：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B0815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发包人逾期支付进度款的违约金的计算方式：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3F13B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12.4.6 支付分解表的编制</w:t>
      </w:r>
    </w:p>
    <w:p w14:paraId="20C2907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2、总价合同支付分解表的编制与审批：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F2B0C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3、单价合同的总价项目支付分解表的编制与审批：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430"/>
    <w:p w14:paraId="50EC86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01" w:name="_Toc351203645"/>
      <w:bookmarkStart w:id="602" w:name="_Toc312678053"/>
      <w:bookmarkStart w:id="603" w:name="_Toc296346720"/>
      <w:bookmarkStart w:id="604" w:name="_Toc292559424"/>
      <w:bookmarkStart w:id="605" w:name="_Toc304295593"/>
      <w:bookmarkStart w:id="606" w:name="_Toc296891047"/>
      <w:bookmarkStart w:id="607" w:name="_Toc297123564"/>
      <w:bookmarkStart w:id="608" w:name="_Toc297120519"/>
      <w:bookmarkStart w:id="609" w:name="_Toc292559929"/>
      <w:bookmarkStart w:id="610" w:name="_Toc303539172"/>
      <w:bookmarkStart w:id="611" w:name="_Toc297048405"/>
      <w:bookmarkStart w:id="612" w:name="_Toc296503219"/>
      <w:bookmarkStart w:id="613" w:name="_Toc297216223"/>
      <w:bookmarkStart w:id="614" w:name="_Toc296944558"/>
      <w:bookmarkStart w:id="615" w:name="_Toc296347218"/>
      <w:bookmarkStart w:id="616" w:name="_Toc300935015"/>
      <w:bookmarkStart w:id="617" w:name="_Toc296891259"/>
      <w:r>
        <w:rPr>
          <w:rFonts w:hint="eastAsia" w:ascii="宋体" w:hAnsi="宋体" w:eastAsia="宋体" w:cs="宋体"/>
          <w:color w:val="auto"/>
          <w:sz w:val="24"/>
          <w:szCs w:val="24"/>
        </w:rPr>
        <w:t>13. 验收和工程试车</w:t>
      </w:r>
      <w:bookmarkEnd w:id="601"/>
    </w:p>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14:paraId="105D5CE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13.1 分部分项工程验收</w:t>
      </w:r>
    </w:p>
    <w:p w14:paraId="0DAC70C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13.1.2监理人不能按时进行验收时，应提前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小时提交书面延期要求。</w:t>
      </w:r>
    </w:p>
    <w:p w14:paraId="79C6001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关于延期最长不得超过：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小时。</w:t>
      </w:r>
    </w:p>
    <w:p w14:paraId="352824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18" w:name="_Toc296891263"/>
      <w:bookmarkStart w:id="619" w:name="_Toc297216224"/>
      <w:bookmarkStart w:id="620" w:name="_Toc297120523"/>
      <w:bookmarkStart w:id="621" w:name="_Toc296944562"/>
      <w:bookmarkStart w:id="622" w:name="_Toc297123565"/>
      <w:bookmarkStart w:id="623" w:name="_Toc297048409"/>
      <w:bookmarkStart w:id="624" w:name="_Toc300935016"/>
      <w:bookmarkStart w:id="625" w:name="_Toc296503223"/>
      <w:bookmarkStart w:id="626" w:name="_Toc304295596"/>
      <w:bookmarkStart w:id="627" w:name="_Toc303539173"/>
      <w:bookmarkStart w:id="628" w:name="_Toc296346724"/>
      <w:bookmarkStart w:id="629" w:name="_Toc296891051"/>
      <w:bookmarkStart w:id="630" w:name="_Toc292559428"/>
      <w:bookmarkStart w:id="631" w:name="_Toc292559933"/>
      <w:bookmarkStart w:id="632" w:name="_Toc296347222"/>
      <w:bookmarkStart w:id="633" w:name="_Toc312678056"/>
      <w:bookmarkStart w:id="634" w:name="_Toc267251470"/>
      <w:bookmarkStart w:id="635" w:name="_Toc267251476"/>
      <w:bookmarkStart w:id="636" w:name="_Toc267251471"/>
      <w:bookmarkStart w:id="637" w:name="_Toc267251474"/>
      <w:bookmarkStart w:id="638" w:name="_Toc267251475"/>
      <w:bookmarkStart w:id="639" w:name="_Toc267251473"/>
      <w:bookmarkStart w:id="640" w:name="_Toc267251472"/>
      <w:r>
        <w:rPr>
          <w:rFonts w:hint="eastAsia" w:ascii="宋体" w:hAnsi="宋体" w:eastAsia="宋体" w:cs="宋体"/>
          <w:color w:val="auto"/>
          <w:sz w:val="24"/>
          <w:szCs w:val="24"/>
        </w:rPr>
        <w:t>13.2 竣工验收</w:t>
      </w:r>
    </w:p>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5FEF4F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41" w:name="_Toc280868704"/>
      <w:bookmarkStart w:id="642" w:name="_Toc280868705"/>
      <w:bookmarkStart w:id="643" w:name="_Toc280868706"/>
      <w:bookmarkStart w:id="644" w:name="_Toc280868707"/>
      <w:bookmarkStart w:id="645" w:name="_Toc280868708"/>
      <w:bookmarkStart w:id="646" w:name="_Toc280868709"/>
      <w:r>
        <w:rPr>
          <w:rFonts w:hint="eastAsia" w:ascii="宋体" w:hAnsi="宋体" w:eastAsia="宋体" w:cs="宋体"/>
          <w:color w:val="auto"/>
          <w:sz w:val="24"/>
          <w:szCs w:val="24"/>
        </w:rPr>
        <w:t>13.2.2竣工验收程序</w:t>
      </w:r>
    </w:p>
    <w:bookmarkEnd w:id="641"/>
    <w:p w14:paraId="4500FC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关于竣工验收程序的约定：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44B42C3">
      <w:pPr>
        <w:keepNext w:val="0"/>
        <w:keepLines w:val="0"/>
        <w:pageBreakBefore w:val="0"/>
        <w:widowControl/>
        <w:kinsoku/>
        <w:wordWrap w:val="0"/>
        <w:overflowPunct/>
        <w:topLinePunct w:val="0"/>
        <w:autoSpaceDE/>
        <w:autoSpaceDN/>
        <w:bidi w:val="0"/>
        <w:adjustRightInd w:val="0"/>
        <w:snapToGrid w:val="0"/>
        <w:spacing w:after="0" w:line="500" w:lineRule="exact"/>
        <w:ind w:left="594" w:leftChars="270"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发包人不按照本项约定组织竣工验收、颁发</w:t>
      </w:r>
      <w:r>
        <w:rPr>
          <w:rFonts w:hint="eastAsia" w:ascii="宋体" w:hAnsi="宋体" w:eastAsia="宋体" w:cs="宋体"/>
          <w:color w:val="auto"/>
          <w:sz w:val="24"/>
          <w:szCs w:val="24"/>
          <w:lang w:eastAsia="zh-CN"/>
        </w:rPr>
        <w:t>工程验收</w:t>
      </w:r>
      <w:r>
        <w:rPr>
          <w:rFonts w:hint="eastAsia" w:ascii="宋体" w:hAnsi="宋体" w:eastAsia="宋体" w:cs="宋体"/>
          <w:color w:val="auto"/>
          <w:sz w:val="24"/>
          <w:szCs w:val="24"/>
        </w:rPr>
        <w:t>证书的违约金的计算方法：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642"/>
    <w:p w14:paraId="45062A7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13.2.5移交、接收全部与部分工程</w:t>
      </w:r>
    </w:p>
    <w:bookmarkEnd w:id="643"/>
    <w:p w14:paraId="2D0832F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承包人向发包人移交工程的期限：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22CF3FF">
      <w:pPr>
        <w:keepNext w:val="0"/>
        <w:keepLines w:val="0"/>
        <w:pageBreakBefore w:val="0"/>
        <w:widowControl/>
        <w:kinsoku/>
        <w:wordWrap w:val="0"/>
        <w:overflowPunct/>
        <w:topLinePunct w:val="0"/>
        <w:autoSpaceDE/>
        <w:autoSpaceDN/>
        <w:bidi w:val="0"/>
        <w:adjustRightInd w:val="0"/>
        <w:snapToGrid w:val="0"/>
        <w:spacing w:after="0" w:line="500" w:lineRule="exact"/>
        <w:ind w:left="590" w:leftChars="229" w:hanging="86" w:hangingChars="3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发包人未按本合同约定接收全部或部分工程的，违约金的计算方法为：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644"/>
    <w:p w14:paraId="355A9F5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承包人未按时移交工程的，违约金的计算方法为：</w:t>
      </w:r>
      <w:r>
        <w:rPr>
          <w:rFonts w:hint="eastAsia" w:ascii="宋体" w:hAnsi="宋体" w:eastAsia="宋体" w:cs="宋体"/>
          <w:color w:val="auto"/>
          <w:sz w:val="24"/>
          <w:szCs w:val="24"/>
          <w:u w:val="single"/>
        </w:rPr>
        <w:t xml:space="preserve">                          </w:t>
      </w:r>
    </w:p>
    <w:p w14:paraId="7A383E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13.3 工程试车</w:t>
      </w:r>
    </w:p>
    <w:bookmarkEnd w:id="645"/>
    <w:p w14:paraId="4EDE36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13.3.1 试车程序</w:t>
      </w:r>
    </w:p>
    <w:p w14:paraId="112AB9E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工程试车内容：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B8F3D2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（1）单机无负荷试车费用由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承担；</w:t>
      </w:r>
    </w:p>
    <w:p w14:paraId="2D77D8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（2）无负荷联动试车费用由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承担。</w:t>
      </w:r>
    </w:p>
    <w:p w14:paraId="6731E7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13.3.3 投料试车</w:t>
      </w:r>
    </w:p>
    <w:p w14:paraId="01EEE2C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关于投料试车相关事项的约定：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5A98E0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13.6 竣工退场</w:t>
      </w:r>
    </w:p>
    <w:p w14:paraId="599D60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13.6.1 竣工退场</w:t>
      </w:r>
    </w:p>
    <w:p w14:paraId="214634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承包人完成竣工退场的期限：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B44E8E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47" w:name="_Toc351203646"/>
      <w:r>
        <w:rPr>
          <w:rFonts w:hint="eastAsia" w:ascii="宋体" w:hAnsi="宋体" w:eastAsia="宋体" w:cs="宋体"/>
          <w:color w:val="auto"/>
          <w:sz w:val="24"/>
          <w:szCs w:val="24"/>
        </w:rPr>
        <w:t>14. 竣工结算</w:t>
      </w:r>
      <w:bookmarkEnd w:id="647"/>
    </w:p>
    <w:p w14:paraId="3736EF3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14.1 竣工结算申请</w:t>
      </w:r>
    </w:p>
    <w:p w14:paraId="1A0F580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承包人提交竣工结算申请单的期限：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1300FB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竣工结算申请单应包括的内容：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CAD0FD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14.2 竣工结算审核</w:t>
      </w:r>
    </w:p>
    <w:p w14:paraId="2EA3F6D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发包人审批竣工付款申请单的期限：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064B9F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发包人完成竣工付款的期限：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8C377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关于竣工付款证书异议部分复核的方式和程序：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6B4A4F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14.4 最终结清</w:t>
      </w:r>
    </w:p>
    <w:p w14:paraId="1395AD1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14.4.1 最终结清申请单</w:t>
      </w:r>
    </w:p>
    <w:p w14:paraId="2054A0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承包人提交最终结清申请单的份数：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7F40A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承包人提交最终结算申请单的期限：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70715E5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14.4.2 最终结清证书和支付</w:t>
      </w:r>
    </w:p>
    <w:p w14:paraId="61B7EBD6">
      <w:pPr>
        <w:keepNext w:val="0"/>
        <w:keepLines w:val="0"/>
        <w:pageBreakBefore w:val="0"/>
        <w:widowControl/>
        <w:kinsoku/>
        <w:wordWrap w:val="0"/>
        <w:overflowPunct/>
        <w:topLinePunct w:val="0"/>
        <w:autoSpaceDE/>
        <w:autoSpaceDN/>
        <w:bidi w:val="0"/>
        <w:adjustRightInd w:val="0"/>
        <w:snapToGrid w:val="0"/>
        <w:spacing w:after="0" w:line="500" w:lineRule="exact"/>
        <w:ind w:left="444" w:leftChars="202" w:firstLine="139" w:firstLineChars="5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（1）发包人完成最终结清申请单的审批并颁发最终结清证书的期限：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BE091A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（2）发包人完成支付的期限：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634"/>
    <w:bookmarkEnd w:id="635"/>
    <w:bookmarkEnd w:id="636"/>
    <w:bookmarkEnd w:id="637"/>
    <w:bookmarkEnd w:id="638"/>
    <w:bookmarkEnd w:id="639"/>
    <w:bookmarkEnd w:id="640"/>
    <w:bookmarkEnd w:id="646"/>
    <w:p w14:paraId="7EB2FD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48" w:name="_Toc351203647"/>
      <w:bookmarkStart w:id="649" w:name="_Toc267251483"/>
      <w:bookmarkStart w:id="650" w:name="_Toc267251484"/>
      <w:bookmarkStart w:id="651" w:name="_Toc267251482"/>
      <w:bookmarkStart w:id="652" w:name="_Toc267251485"/>
      <w:bookmarkStart w:id="653" w:name="_Toc267251489"/>
      <w:bookmarkStart w:id="654" w:name="_Toc267251486"/>
      <w:bookmarkStart w:id="655" w:name="_Toc267251488"/>
      <w:bookmarkStart w:id="656" w:name="_Toc267251490"/>
      <w:bookmarkStart w:id="657" w:name="_Toc267251492"/>
      <w:bookmarkStart w:id="658" w:name="_Toc267251503"/>
      <w:bookmarkStart w:id="659" w:name="_Toc267251501"/>
      <w:bookmarkStart w:id="660" w:name="_Toc267251493"/>
      <w:bookmarkStart w:id="661" w:name="_Toc267251494"/>
      <w:bookmarkStart w:id="662" w:name="_Toc267251497"/>
      <w:bookmarkStart w:id="663" w:name="_Toc267251499"/>
      <w:bookmarkStart w:id="664" w:name="_Toc267251495"/>
      <w:bookmarkStart w:id="665" w:name="_Toc267251498"/>
      <w:bookmarkStart w:id="666" w:name="_Toc267251491"/>
      <w:bookmarkStart w:id="667" w:name="_Toc267251502"/>
      <w:bookmarkStart w:id="668" w:name="_Toc267251496"/>
      <w:bookmarkStart w:id="669" w:name="_Toc267251504"/>
      <w:bookmarkStart w:id="670" w:name="_Toc267251506"/>
      <w:bookmarkStart w:id="671" w:name="_Toc267251507"/>
      <w:bookmarkStart w:id="672" w:name="_Toc267251508"/>
      <w:bookmarkStart w:id="673" w:name="_Toc267251513"/>
      <w:bookmarkStart w:id="674" w:name="_Toc267251510"/>
      <w:bookmarkStart w:id="675" w:name="_Toc267251515"/>
      <w:bookmarkStart w:id="676" w:name="_Toc267251509"/>
      <w:bookmarkStart w:id="677" w:name="_Toc267251514"/>
      <w:bookmarkStart w:id="678" w:name="_Toc267251511"/>
      <w:r>
        <w:rPr>
          <w:rFonts w:hint="eastAsia" w:ascii="宋体" w:hAnsi="宋体" w:eastAsia="宋体" w:cs="宋体"/>
          <w:color w:val="auto"/>
          <w:sz w:val="24"/>
          <w:szCs w:val="24"/>
        </w:rPr>
        <w:t>15. 缺陷责任期与保修</w:t>
      </w:r>
      <w:bookmarkEnd w:id="648"/>
    </w:p>
    <w:p w14:paraId="525052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15.2缺陷责任期</w:t>
      </w:r>
      <w:bookmarkEnd w:id="649"/>
    </w:p>
    <w:p w14:paraId="7D16DC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缺陷责任期的具体期限：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FBB901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15.3 质量保证金</w:t>
      </w:r>
    </w:p>
    <w:p w14:paraId="58160B6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关于是否扣留质量保证金的约定：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。在工程项目竣工前，承包人按专用合同条款第3.7条提供履约担保的，发包人不得同时预留工程质量保证金。</w:t>
      </w:r>
    </w:p>
    <w:p w14:paraId="6E1051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15.3.1 承包人提供质量保证金的方式</w:t>
      </w:r>
    </w:p>
    <w:p w14:paraId="0DD957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质量保证金采用以下第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种方式：</w:t>
      </w:r>
    </w:p>
    <w:p w14:paraId="1DDC799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（1）质量保证金保函，保证金额为：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439D112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%的工程款；</w:t>
      </w:r>
    </w:p>
    <w:p w14:paraId="4FB80F2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（3）其他方式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ED612A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15.3.2 质量保证金的扣留 </w:t>
      </w:r>
    </w:p>
    <w:p w14:paraId="6539144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质量保证金的扣留采取以下第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种方式：</w:t>
      </w:r>
    </w:p>
    <w:p w14:paraId="65009AE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（1）在支付工程进度款时逐次扣留，在此情形下，质量保证金的计算基数不包括预付款的支付、扣回以及价格调整的金额；</w:t>
      </w:r>
    </w:p>
    <w:p w14:paraId="2259F57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（2）工程竣工结算时一次性扣留质量保证金；</w:t>
      </w:r>
    </w:p>
    <w:p w14:paraId="0D3693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（3）其他扣留方式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223079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关于质量保证金的补充约定：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650"/>
    <w:bookmarkEnd w:id="651"/>
    <w:p w14:paraId="5A40A7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15.4保修</w:t>
      </w:r>
    </w:p>
    <w:bookmarkEnd w:id="652"/>
    <w:p w14:paraId="03214D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15.4.1 保修责任</w:t>
      </w:r>
    </w:p>
    <w:p w14:paraId="6B36730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工程保修期为：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85087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15.4.3 修复通知</w:t>
      </w:r>
    </w:p>
    <w:p w14:paraId="1BFEAEE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承包人收到保修通知并到达工程现场的合理时间：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653"/>
    <w:bookmarkEnd w:id="654"/>
    <w:bookmarkEnd w:id="655"/>
    <w:bookmarkEnd w:id="656"/>
    <w:p w14:paraId="6DCEC00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79" w:name="_Toc351203648"/>
      <w:bookmarkStart w:id="680" w:name="_Toc280868717"/>
      <w:bookmarkStart w:id="681" w:name="_Toc280868718"/>
      <w:r>
        <w:rPr>
          <w:rFonts w:hint="eastAsia" w:ascii="宋体" w:hAnsi="宋体" w:eastAsia="宋体" w:cs="宋体"/>
          <w:color w:val="auto"/>
          <w:sz w:val="24"/>
          <w:szCs w:val="24"/>
        </w:rPr>
        <w:t>16. 违约</w:t>
      </w:r>
      <w:bookmarkEnd w:id="679"/>
    </w:p>
    <w:p w14:paraId="52F9509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16.1 发包人违约</w:t>
      </w:r>
    </w:p>
    <w:p w14:paraId="35EE01E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16.1.1发包人违约的情形</w:t>
      </w:r>
    </w:p>
    <w:p w14:paraId="6B3CE2D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发包人违约的其他情形：</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57EFE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16.1.2 发包人违约的责任</w:t>
      </w:r>
    </w:p>
    <w:p w14:paraId="08DBF4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发包人违约责任的承担方式和计算方法：</w:t>
      </w:r>
    </w:p>
    <w:p w14:paraId="282D6456">
      <w:pPr>
        <w:keepNext w:val="0"/>
        <w:keepLines w:val="0"/>
        <w:pageBreakBefore w:val="0"/>
        <w:widowControl/>
        <w:kinsoku/>
        <w:wordWrap w:val="0"/>
        <w:overflowPunct/>
        <w:topLinePunct w:val="0"/>
        <w:autoSpaceDE/>
        <w:autoSpaceDN/>
        <w:bidi w:val="0"/>
        <w:adjustRightInd w:val="0"/>
        <w:snapToGrid w:val="0"/>
        <w:spacing w:after="0" w:line="500" w:lineRule="exact"/>
        <w:ind w:left="594" w:leftChars="27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（1）因发包人原因未能在计划开工日期前7天内下达开工通知的违约责任：</w:t>
      </w:r>
      <w:r>
        <w:rPr>
          <w:rFonts w:hint="eastAsia" w:ascii="宋体" w:hAnsi="宋体" w:eastAsia="宋体" w:cs="宋体"/>
          <w:color w:val="auto"/>
          <w:sz w:val="24"/>
          <w:szCs w:val="24"/>
          <w:u w:val="single"/>
        </w:rPr>
        <w:t xml:space="preserve">    </w:t>
      </w:r>
    </w:p>
    <w:p w14:paraId="50A53B50">
      <w:pPr>
        <w:keepNext w:val="0"/>
        <w:keepLines w:val="0"/>
        <w:pageBreakBefore w:val="0"/>
        <w:widowControl/>
        <w:kinsoku/>
        <w:wordWrap w:val="0"/>
        <w:overflowPunct/>
        <w:topLinePunct w:val="0"/>
        <w:autoSpaceDE/>
        <w:autoSpaceDN/>
        <w:bidi w:val="0"/>
        <w:adjustRightInd w:val="0"/>
        <w:snapToGrid w:val="0"/>
        <w:spacing w:after="0" w:line="500" w:lineRule="exact"/>
        <w:ind w:left="594" w:leftChars="270" w:firstLine="60" w:firstLineChars="2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（2）因发包人原因未能按合同约定支付合同价款的违约责任：</w:t>
      </w:r>
      <w:r>
        <w:rPr>
          <w:rFonts w:hint="eastAsia" w:ascii="宋体" w:hAnsi="宋体" w:eastAsia="宋体" w:cs="宋体"/>
          <w:color w:val="auto"/>
          <w:sz w:val="24"/>
          <w:szCs w:val="24"/>
          <w:u w:val="single"/>
        </w:rPr>
        <w:t xml:space="preserve">              </w:t>
      </w:r>
    </w:p>
    <w:p w14:paraId="365EFAB0">
      <w:pPr>
        <w:keepNext w:val="0"/>
        <w:keepLines w:val="0"/>
        <w:pageBreakBefore w:val="0"/>
        <w:widowControl/>
        <w:kinsoku/>
        <w:wordWrap w:val="0"/>
        <w:overflowPunct/>
        <w:topLinePunct w:val="0"/>
        <w:autoSpaceDE/>
        <w:autoSpaceDN/>
        <w:bidi w:val="0"/>
        <w:adjustRightInd w:val="0"/>
        <w:snapToGrid w:val="0"/>
        <w:spacing w:after="0" w:line="500" w:lineRule="exact"/>
        <w:ind w:firstLine="708" w:firstLineChars="29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（3）发包人违反第10.1款〔变更的范围〕第（2）项约定，自行实施被取消的工作或转由他人实施的违约责任：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6557440">
      <w:pPr>
        <w:keepNext w:val="0"/>
        <w:keepLines w:val="0"/>
        <w:pageBreakBefore w:val="0"/>
        <w:widowControl/>
        <w:kinsoku/>
        <w:wordWrap w:val="0"/>
        <w:overflowPunct/>
        <w:topLinePunct w:val="0"/>
        <w:autoSpaceDE/>
        <w:autoSpaceDN/>
        <w:bidi w:val="0"/>
        <w:adjustRightInd w:val="0"/>
        <w:snapToGrid w:val="0"/>
        <w:spacing w:after="0" w:line="500" w:lineRule="exact"/>
        <w:ind w:left="444" w:leftChars="202" w:firstLine="52" w:firstLineChars="2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（4）发包人提供的材料、工程设备的规格、数量或质量不符合合同约定，或因发包人原因导致交货日期延误或交货地点变更等情况的违约责任：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6917E9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（5）因发包人违反合同约定造成暂停施工的违约责任：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53B9E0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（6）发包人无正当理由没有在约定期限内发出复工指示，导致承包人无法复工的违约责任：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3F2373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（7）其他：</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2B81A8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16.1.3 因发包人违约解除合同</w:t>
      </w:r>
    </w:p>
    <w:p w14:paraId="3718738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承包人按16.1.1项〔发包人违约的情形〕约定暂停施工满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天后发包人仍不纠正其违约行为并致使合同目的不能实现的，承包人有权解除合同。</w:t>
      </w:r>
    </w:p>
    <w:p w14:paraId="6FB74B4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16.2 承包人违约</w:t>
      </w:r>
    </w:p>
    <w:p w14:paraId="0CDBCB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16.2.1 承包人违约的情形</w:t>
      </w:r>
    </w:p>
    <w:p w14:paraId="44575F1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承包人违约的其他情形：</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6A909E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16.2.2承包人违约的责任</w:t>
      </w:r>
    </w:p>
    <w:p w14:paraId="2E9319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承包人违约责任的承担方式和计算方法：</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44C1A60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16.2.3 因承包人违约解除合同</w:t>
      </w:r>
    </w:p>
    <w:p w14:paraId="343F4F8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关于承包人违约解除合同的特别约定：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69E93C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AC8CB8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82" w:name="_Toc351203649"/>
      <w:r>
        <w:rPr>
          <w:rFonts w:hint="eastAsia" w:ascii="宋体" w:hAnsi="宋体" w:eastAsia="宋体" w:cs="宋体"/>
          <w:color w:val="auto"/>
          <w:sz w:val="24"/>
          <w:szCs w:val="24"/>
        </w:rPr>
        <w:t>17. 不可抗力</w:t>
      </w:r>
      <w:bookmarkEnd w:id="682"/>
      <w:r>
        <w:rPr>
          <w:rFonts w:hint="eastAsia" w:ascii="宋体" w:hAnsi="宋体" w:eastAsia="宋体" w:cs="宋体"/>
          <w:color w:val="auto"/>
          <w:sz w:val="24"/>
          <w:szCs w:val="24"/>
        </w:rPr>
        <w:t xml:space="preserve"> </w:t>
      </w:r>
      <w:bookmarkEnd w:id="680"/>
    </w:p>
    <w:p w14:paraId="627E9C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17.1 不可抗力的确认</w:t>
      </w:r>
    </w:p>
    <w:p w14:paraId="5AA56E2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除通用合同条款约定的不可抗力事件之外，视为不可抗力的其他情形：</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BFDB8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17.4 因不可抗力解除合同</w:t>
      </w:r>
    </w:p>
    <w:p w14:paraId="368322A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合同解除后，发包人应在商定或确定发包人应支付款项后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天内完成款项的支付。</w:t>
      </w:r>
    </w:p>
    <w:p w14:paraId="44BF51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83" w:name="_Toc351203650"/>
      <w:r>
        <w:rPr>
          <w:rFonts w:hint="eastAsia" w:ascii="宋体" w:hAnsi="宋体" w:eastAsia="宋体" w:cs="宋体"/>
          <w:color w:val="auto"/>
          <w:sz w:val="24"/>
          <w:szCs w:val="24"/>
        </w:rPr>
        <w:t>18. 保险</w:t>
      </w:r>
      <w:bookmarkEnd w:id="683"/>
    </w:p>
    <w:bookmarkEnd w:id="681"/>
    <w:p w14:paraId="7FA8E2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18.1 工程保险</w:t>
      </w:r>
    </w:p>
    <w:p w14:paraId="49A1499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关于工程保险的特别约定：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41A69A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18.3 其他保险</w:t>
      </w:r>
    </w:p>
    <w:p w14:paraId="7D43BF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关于其他保险的约定：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20AC2BD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承包人是否应为其施工设备等办理财产保险：</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A52FA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18.7 通知义务</w:t>
      </w:r>
    </w:p>
    <w:p w14:paraId="7D9027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关于变更保险合同时的通知义务的约定：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bookmarkEnd w:id="657"/>
    <w:bookmarkEnd w:id="658"/>
    <w:bookmarkEnd w:id="659"/>
    <w:bookmarkEnd w:id="660"/>
    <w:bookmarkEnd w:id="661"/>
    <w:bookmarkEnd w:id="662"/>
    <w:bookmarkEnd w:id="663"/>
    <w:bookmarkEnd w:id="664"/>
    <w:bookmarkEnd w:id="665"/>
    <w:bookmarkEnd w:id="666"/>
    <w:bookmarkEnd w:id="667"/>
    <w:bookmarkEnd w:id="668"/>
    <w:p w14:paraId="7FF12E2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84" w:name="_Toc351203651"/>
      <w:r>
        <w:rPr>
          <w:rFonts w:hint="eastAsia" w:ascii="宋体" w:hAnsi="宋体" w:eastAsia="宋体" w:cs="宋体"/>
          <w:color w:val="auto"/>
          <w:sz w:val="24"/>
          <w:szCs w:val="24"/>
        </w:rPr>
        <w:t>20. 争议解决</w:t>
      </w:r>
      <w:bookmarkEnd w:id="684"/>
    </w:p>
    <w:bookmarkEnd w:id="669"/>
    <w:bookmarkEnd w:id="670"/>
    <w:p w14:paraId="22BDED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20.3 争</w:t>
      </w:r>
      <w:bookmarkEnd w:id="671"/>
      <w:r>
        <w:rPr>
          <w:rFonts w:hint="eastAsia" w:ascii="宋体" w:hAnsi="宋体" w:eastAsia="宋体" w:cs="宋体"/>
          <w:color w:val="auto"/>
          <w:sz w:val="24"/>
          <w:szCs w:val="24"/>
        </w:rPr>
        <w:t>议评审</w:t>
      </w:r>
    </w:p>
    <w:p w14:paraId="2AA242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合同当事人是否同意将工程争议提交争议评审小组决定：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D5BE53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20.3.1 争议评审小组的确定</w:t>
      </w:r>
    </w:p>
    <w:p w14:paraId="193B34F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争议评审小组成员的确定：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A79703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选定争议评审员的期限：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FD950B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争议评审小组成员的报酬承担方式：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119ED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其他事项的约定：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B5348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20.3.2 争议评审小组的决定</w:t>
      </w:r>
    </w:p>
    <w:p w14:paraId="1D1BD11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合同当事人关于本项的约定：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44A17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20.4仲裁或诉讼</w:t>
      </w:r>
      <w:bookmarkEnd w:id="672"/>
    </w:p>
    <w:p w14:paraId="253F8F7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因合同及合同有关事项发生的争议，按下列第     种方式解决：</w:t>
      </w:r>
    </w:p>
    <w:p w14:paraId="18649C6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（1）向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仲裁委员会申请仲裁；</w:t>
      </w:r>
    </w:p>
    <w:p w14:paraId="205A7ED5">
      <w:pPr>
        <w:keepNext w:val="0"/>
        <w:keepLines w:val="0"/>
        <w:pageBreakBefore w:val="0"/>
        <w:widowControl/>
        <w:kinsoku/>
        <w:wordWrap w:val="0"/>
        <w:overflowPunct/>
        <w:topLinePunct w:val="0"/>
        <w:autoSpaceDE/>
        <w:autoSpaceDN/>
        <w:bidi w:val="0"/>
        <w:adjustRightInd w:val="0"/>
        <w:snapToGrid w:val="0"/>
        <w:spacing w:after="0" w:line="500" w:lineRule="exact"/>
        <w:ind w:firstLine="424" w:firstLineChars="17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（2）向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人民法院起诉。</w:t>
      </w:r>
      <w:bookmarkEnd w:id="673"/>
      <w:bookmarkEnd w:id="674"/>
      <w:bookmarkEnd w:id="675"/>
      <w:bookmarkEnd w:id="676"/>
      <w:bookmarkEnd w:id="677"/>
      <w:bookmarkEnd w:id="678"/>
    </w:p>
    <w:p w14:paraId="4F03DC48">
      <w:pPr>
        <w:keepNext w:val="0"/>
        <w:keepLines w:val="0"/>
        <w:pageBreakBefore w:val="0"/>
        <w:widowControl/>
        <w:kinsoku/>
        <w:wordWrap w:val="0"/>
        <w:overflowPunct/>
        <w:topLinePunct w:val="0"/>
        <w:autoSpaceDE/>
        <w:autoSpaceDN/>
        <w:bidi w:val="0"/>
        <w:adjustRightInd w:val="0"/>
        <w:snapToGrid w:val="0"/>
        <w:spacing w:after="0" w:line="500" w:lineRule="exact"/>
        <w:ind w:firstLine="424" w:firstLineChars="177"/>
        <w:textAlignment w:val="auto"/>
        <w:rPr>
          <w:rFonts w:hint="eastAsia" w:ascii="宋体" w:hAnsi="宋体" w:eastAsia="宋体" w:cs="宋体"/>
          <w:color w:val="auto"/>
          <w:sz w:val="24"/>
          <w:szCs w:val="24"/>
        </w:rPr>
      </w:pPr>
    </w:p>
    <w:p w14:paraId="59AB0831">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p>
    <w:p w14:paraId="0A405DC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bookmarkStart w:id="685" w:name="_Toc351203652"/>
    </w:p>
    <w:p w14:paraId="3784A47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18D3AA7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69C7BBB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06405F7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47B538B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0C8EE5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7443660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2F8DFF3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w:t>
      </w:r>
      <w:bookmarkEnd w:id="685"/>
    </w:p>
    <w:p w14:paraId="07741D8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协议书附件：</w:t>
      </w:r>
    </w:p>
    <w:p w14:paraId="38F117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附件1：承包人承揽工程项目一览表</w:t>
      </w:r>
    </w:p>
    <w:p w14:paraId="258EAAB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专用合同条款附件：</w:t>
      </w:r>
    </w:p>
    <w:p w14:paraId="1FCA4C1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附件2：发包人供应材料设备一览表</w:t>
      </w:r>
    </w:p>
    <w:p w14:paraId="15305E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附件3：工程质量保修书</w:t>
      </w:r>
    </w:p>
    <w:p w14:paraId="21DE86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附件4：主要建设工程文件目录</w:t>
      </w:r>
    </w:p>
    <w:p w14:paraId="6FA50BE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附件5：承包人用于本工程施工的机械设备表</w:t>
      </w:r>
    </w:p>
    <w:p w14:paraId="6A0E27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附件6：承包人主要施工管理人员表</w:t>
      </w:r>
    </w:p>
    <w:p w14:paraId="33BA01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附件7：分包人主要施工管理人员表</w:t>
      </w:r>
    </w:p>
    <w:p w14:paraId="1A4C8B6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附件8：履约担保格式</w:t>
      </w:r>
    </w:p>
    <w:p w14:paraId="7AE6E0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附件9：预付款担保格式</w:t>
      </w:r>
    </w:p>
    <w:p w14:paraId="3B8EB1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附件10：支付担保格式</w:t>
      </w:r>
    </w:p>
    <w:p w14:paraId="1C5DBF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附件11：暂估价一览表</w:t>
      </w:r>
    </w:p>
    <w:p w14:paraId="09FE43F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sectPr>
          <w:footerReference r:id="rId17" w:type="first"/>
          <w:headerReference r:id="rId15" w:type="default"/>
          <w:footerReference r:id="rId16" w:type="default"/>
          <w:pgSz w:w="11906" w:h="16838"/>
          <w:pgMar w:top="1304" w:right="1361" w:bottom="1304" w:left="1361" w:header="851" w:footer="680" w:gutter="0"/>
          <w:pgBorders>
            <w:top w:val="none" w:sz="0" w:space="0"/>
            <w:left w:val="none" w:sz="0" w:space="0"/>
            <w:bottom w:val="none" w:sz="0" w:space="0"/>
            <w:right w:val="none" w:sz="0" w:space="0"/>
          </w:pgBorders>
          <w:pgNumType w:fmt="decimal"/>
          <w:cols w:space="720" w:num="1"/>
          <w:rtlGutter w:val="0"/>
          <w:docGrid w:linePitch="326" w:charSpace="0"/>
        </w:sectPr>
      </w:pPr>
    </w:p>
    <w:p w14:paraId="657572D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附件1：</w:t>
      </w:r>
    </w:p>
    <w:p w14:paraId="1596554C">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承包人承揽工程项目一览表</w:t>
      </w:r>
    </w:p>
    <w:tbl>
      <w:tblPr>
        <w:tblStyle w:val="62"/>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50CB9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6D8B43F9">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单位工程名称</w:t>
            </w:r>
          </w:p>
        </w:tc>
        <w:tc>
          <w:tcPr>
            <w:tcW w:w="1843" w:type="dxa"/>
            <w:tcBorders>
              <w:top w:val="single" w:color="auto" w:sz="12" w:space="0"/>
              <w:bottom w:val="double" w:color="auto" w:sz="6" w:space="0"/>
            </w:tcBorders>
            <w:noWrap w:val="0"/>
            <w:vAlign w:val="center"/>
          </w:tcPr>
          <w:p w14:paraId="1F1DB99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建设规模</w:t>
            </w:r>
          </w:p>
        </w:tc>
        <w:tc>
          <w:tcPr>
            <w:tcW w:w="1417" w:type="dxa"/>
            <w:tcBorders>
              <w:top w:val="single" w:color="auto" w:sz="12" w:space="0"/>
              <w:bottom w:val="double" w:color="auto" w:sz="6" w:space="0"/>
            </w:tcBorders>
            <w:noWrap w:val="0"/>
            <w:vAlign w:val="center"/>
          </w:tcPr>
          <w:p w14:paraId="65273EC0">
            <w:pPr>
              <w:keepNext w:val="0"/>
              <w:keepLines w:val="0"/>
              <w:pageBreakBefore w:val="0"/>
              <w:widowControl/>
              <w:kinsoku/>
              <w:wordWrap w:val="0"/>
              <w:overflowPunct/>
              <w:topLinePunct w:val="0"/>
              <w:autoSpaceDE/>
              <w:autoSpaceDN/>
              <w:bidi w:val="0"/>
              <w:adjustRightInd w:val="0"/>
              <w:snapToGrid w:val="0"/>
              <w:spacing w:after="0" w:line="500" w:lineRule="exact"/>
              <w:ind w:hanging="2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建筑面积</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平方米</w:t>
            </w:r>
            <w:r>
              <w:rPr>
                <w:rFonts w:hint="eastAsia" w:ascii="宋体" w:hAnsi="宋体" w:eastAsia="宋体" w:cs="宋体"/>
                <w:color w:val="auto"/>
                <w:sz w:val="24"/>
                <w:szCs w:val="24"/>
                <w:lang w:eastAsia="zh-CN"/>
              </w:rPr>
              <w:t>）</w:t>
            </w:r>
          </w:p>
        </w:tc>
        <w:tc>
          <w:tcPr>
            <w:tcW w:w="2410" w:type="dxa"/>
            <w:tcBorders>
              <w:top w:val="single" w:color="auto" w:sz="12" w:space="0"/>
              <w:bottom w:val="double" w:color="auto" w:sz="6" w:space="0"/>
            </w:tcBorders>
            <w:noWrap w:val="0"/>
            <w:vAlign w:val="center"/>
          </w:tcPr>
          <w:p w14:paraId="4824B91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结构形式</w:t>
            </w:r>
          </w:p>
        </w:tc>
        <w:tc>
          <w:tcPr>
            <w:tcW w:w="850" w:type="dxa"/>
            <w:tcBorders>
              <w:top w:val="single" w:color="auto" w:sz="12" w:space="0"/>
              <w:bottom w:val="double" w:color="auto" w:sz="6" w:space="0"/>
            </w:tcBorders>
            <w:noWrap w:val="0"/>
            <w:vAlign w:val="center"/>
          </w:tcPr>
          <w:p w14:paraId="12110A37">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层数</w:t>
            </w:r>
          </w:p>
        </w:tc>
        <w:tc>
          <w:tcPr>
            <w:tcW w:w="1560" w:type="dxa"/>
            <w:tcBorders>
              <w:top w:val="single" w:color="auto" w:sz="12" w:space="0"/>
              <w:bottom w:val="double" w:color="auto" w:sz="6" w:space="0"/>
            </w:tcBorders>
            <w:noWrap w:val="0"/>
            <w:vAlign w:val="center"/>
          </w:tcPr>
          <w:p w14:paraId="29B9C2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生产能力</w:t>
            </w:r>
          </w:p>
        </w:tc>
        <w:tc>
          <w:tcPr>
            <w:tcW w:w="2126" w:type="dxa"/>
            <w:tcBorders>
              <w:top w:val="single" w:color="auto" w:sz="12" w:space="0"/>
              <w:bottom w:val="double" w:color="auto" w:sz="6" w:space="0"/>
            </w:tcBorders>
            <w:noWrap w:val="0"/>
            <w:vAlign w:val="center"/>
          </w:tcPr>
          <w:p w14:paraId="1545A7FA">
            <w:pPr>
              <w:keepNext w:val="0"/>
              <w:keepLines w:val="0"/>
              <w:pageBreakBefore w:val="0"/>
              <w:widowControl/>
              <w:kinsoku/>
              <w:wordWrap w:val="0"/>
              <w:overflowPunct/>
              <w:topLinePunct w:val="0"/>
              <w:autoSpaceDE/>
              <w:autoSpaceDN/>
              <w:bidi w:val="0"/>
              <w:adjustRightInd w:val="0"/>
              <w:snapToGrid w:val="0"/>
              <w:spacing w:after="0" w:line="500" w:lineRule="exact"/>
              <w:ind w:firstLine="113"/>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设备安装内容</w:t>
            </w:r>
          </w:p>
        </w:tc>
        <w:tc>
          <w:tcPr>
            <w:tcW w:w="1417" w:type="dxa"/>
            <w:tcBorders>
              <w:top w:val="single" w:color="auto" w:sz="12" w:space="0"/>
              <w:bottom w:val="double" w:color="auto" w:sz="6" w:space="0"/>
            </w:tcBorders>
            <w:noWrap w:val="0"/>
            <w:vAlign w:val="center"/>
          </w:tcPr>
          <w:p w14:paraId="12BF584C">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合同价格（元）</w:t>
            </w:r>
          </w:p>
        </w:tc>
        <w:tc>
          <w:tcPr>
            <w:tcW w:w="851" w:type="dxa"/>
            <w:tcBorders>
              <w:top w:val="single" w:color="auto" w:sz="12" w:space="0"/>
              <w:bottom w:val="double" w:color="auto" w:sz="6" w:space="0"/>
            </w:tcBorders>
            <w:noWrap w:val="0"/>
            <w:vAlign w:val="center"/>
          </w:tcPr>
          <w:p w14:paraId="735D3009">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开工日期</w:t>
            </w:r>
          </w:p>
        </w:tc>
        <w:tc>
          <w:tcPr>
            <w:tcW w:w="850" w:type="dxa"/>
            <w:tcBorders>
              <w:top w:val="single" w:color="auto" w:sz="12" w:space="0"/>
              <w:bottom w:val="double" w:color="auto" w:sz="6" w:space="0"/>
            </w:tcBorders>
            <w:noWrap w:val="0"/>
            <w:vAlign w:val="center"/>
          </w:tcPr>
          <w:p w14:paraId="2221CC4D">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竣工日期</w:t>
            </w:r>
          </w:p>
        </w:tc>
      </w:tr>
      <w:tr w14:paraId="423876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23C2B18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tcBorders>
              <w:top w:val="double" w:color="auto" w:sz="6" w:space="0"/>
              <w:bottom w:val="single" w:color="auto" w:sz="6" w:space="0"/>
            </w:tcBorders>
            <w:noWrap w:val="0"/>
            <w:vAlign w:val="center"/>
          </w:tcPr>
          <w:p w14:paraId="02046AF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double" w:color="auto" w:sz="6" w:space="0"/>
              <w:bottom w:val="single" w:color="auto" w:sz="6" w:space="0"/>
            </w:tcBorders>
            <w:noWrap w:val="0"/>
            <w:vAlign w:val="center"/>
          </w:tcPr>
          <w:p w14:paraId="402293C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tcBorders>
              <w:top w:val="double" w:color="auto" w:sz="6" w:space="0"/>
              <w:bottom w:val="single" w:color="auto" w:sz="6" w:space="0"/>
            </w:tcBorders>
            <w:noWrap w:val="0"/>
            <w:vAlign w:val="center"/>
          </w:tcPr>
          <w:p w14:paraId="52988B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double" w:color="auto" w:sz="6" w:space="0"/>
              <w:bottom w:val="single" w:color="auto" w:sz="6" w:space="0"/>
            </w:tcBorders>
            <w:noWrap w:val="0"/>
            <w:vAlign w:val="center"/>
          </w:tcPr>
          <w:p w14:paraId="2C73FC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tcBorders>
              <w:top w:val="double" w:color="auto" w:sz="6" w:space="0"/>
              <w:bottom w:val="single" w:color="auto" w:sz="6" w:space="0"/>
            </w:tcBorders>
            <w:noWrap w:val="0"/>
            <w:vAlign w:val="center"/>
          </w:tcPr>
          <w:p w14:paraId="2C2F323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tcBorders>
              <w:top w:val="double" w:color="auto" w:sz="6" w:space="0"/>
              <w:bottom w:val="single" w:color="auto" w:sz="6" w:space="0"/>
            </w:tcBorders>
            <w:noWrap w:val="0"/>
            <w:vAlign w:val="center"/>
          </w:tcPr>
          <w:p w14:paraId="5504186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double" w:color="auto" w:sz="6" w:space="0"/>
              <w:bottom w:val="single" w:color="auto" w:sz="6" w:space="0"/>
            </w:tcBorders>
            <w:noWrap w:val="0"/>
            <w:vAlign w:val="center"/>
          </w:tcPr>
          <w:p w14:paraId="51774F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double" w:color="auto" w:sz="6" w:space="0"/>
              <w:bottom w:val="single" w:color="auto" w:sz="6" w:space="0"/>
            </w:tcBorders>
            <w:noWrap w:val="0"/>
            <w:vAlign w:val="center"/>
          </w:tcPr>
          <w:p w14:paraId="3AA3DBA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double" w:color="auto" w:sz="6" w:space="0"/>
              <w:bottom w:val="single" w:color="auto" w:sz="6" w:space="0"/>
            </w:tcBorders>
            <w:noWrap w:val="0"/>
            <w:vAlign w:val="center"/>
          </w:tcPr>
          <w:p w14:paraId="7163B5D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963C5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94645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tcBorders>
              <w:top w:val="nil"/>
            </w:tcBorders>
            <w:noWrap w:val="0"/>
            <w:vAlign w:val="center"/>
          </w:tcPr>
          <w:p w14:paraId="023B7E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5FB39C2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tcBorders>
              <w:top w:val="nil"/>
            </w:tcBorders>
            <w:noWrap w:val="0"/>
            <w:vAlign w:val="center"/>
          </w:tcPr>
          <w:p w14:paraId="1A4C05C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29F5287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tcBorders>
              <w:top w:val="nil"/>
            </w:tcBorders>
            <w:noWrap w:val="0"/>
            <w:vAlign w:val="center"/>
          </w:tcPr>
          <w:p w14:paraId="2748DBB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tcBorders>
              <w:top w:val="nil"/>
            </w:tcBorders>
            <w:noWrap w:val="0"/>
            <w:vAlign w:val="center"/>
          </w:tcPr>
          <w:p w14:paraId="001C3F2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30A48F4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center"/>
          </w:tcPr>
          <w:p w14:paraId="52C8992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64C4B7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D7F0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AE090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tcBorders>
              <w:top w:val="nil"/>
            </w:tcBorders>
            <w:noWrap w:val="0"/>
            <w:vAlign w:val="center"/>
          </w:tcPr>
          <w:p w14:paraId="148FAD6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552CA4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tcBorders>
              <w:top w:val="nil"/>
            </w:tcBorders>
            <w:noWrap w:val="0"/>
            <w:vAlign w:val="center"/>
          </w:tcPr>
          <w:p w14:paraId="05FF744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23CD772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tcBorders>
              <w:top w:val="nil"/>
            </w:tcBorders>
            <w:noWrap w:val="0"/>
            <w:vAlign w:val="center"/>
          </w:tcPr>
          <w:p w14:paraId="1ECF0AC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tcBorders>
              <w:top w:val="nil"/>
            </w:tcBorders>
            <w:noWrap w:val="0"/>
            <w:vAlign w:val="center"/>
          </w:tcPr>
          <w:p w14:paraId="115B0D2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060882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center"/>
          </w:tcPr>
          <w:p w14:paraId="7BC6642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30B8AA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04FB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F56474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noWrap w:val="0"/>
            <w:vAlign w:val="center"/>
          </w:tcPr>
          <w:p w14:paraId="265546C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noWrap w:val="0"/>
            <w:vAlign w:val="center"/>
          </w:tcPr>
          <w:p w14:paraId="3076AC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noWrap w:val="0"/>
            <w:vAlign w:val="center"/>
          </w:tcPr>
          <w:p w14:paraId="5C44627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1BFE2E7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noWrap w:val="0"/>
            <w:vAlign w:val="center"/>
          </w:tcPr>
          <w:p w14:paraId="1F07FF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noWrap w:val="0"/>
            <w:vAlign w:val="center"/>
          </w:tcPr>
          <w:p w14:paraId="20FD956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noWrap w:val="0"/>
            <w:vAlign w:val="center"/>
          </w:tcPr>
          <w:p w14:paraId="3843DAE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2BBC117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469AAC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E4F4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D6AEB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tcBorders>
              <w:top w:val="nil"/>
            </w:tcBorders>
            <w:noWrap w:val="0"/>
            <w:vAlign w:val="center"/>
          </w:tcPr>
          <w:p w14:paraId="44DA09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2131F1E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tcBorders>
              <w:top w:val="nil"/>
            </w:tcBorders>
            <w:noWrap w:val="0"/>
            <w:vAlign w:val="center"/>
          </w:tcPr>
          <w:p w14:paraId="12B9089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5619A58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tcBorders>
              <w:top w:val="nil"/>
            </w:tcBorders>
            <w:noWrap w:val="0"/>
            <w:vAlign w:val="center"/>
          </w:tcPr>
          <w:p w14:paraId="4C5E8B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tcBorders>
              <w:top w:val="nil"/>
            </w:tcBorders>
            <w:noWrap w:val="0"/>
            <w:vAlign w:val="center"/>
          </w:tcPr>
          <w:p w14:paraId="71CF709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5EF4FD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center"/>
          </w:tcPr>
          <w:p w14:paraId="7EF77E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778B803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F8F95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D907FB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noWrap w:val="0"/>
            <w:vAlign w:val="center"/>
          </w:tcPr>
          <w:p w14:paraId="28B5E6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noWrap w:val="0"/>
            <w:vAlign w:val="center"/>
          </w:tcPr>
          <w:p w14:paraId="4F9269E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noWrap w:val="0"/>
            <w:vAlign w:val="center"/>
          </w:tcPr>
          <w:p w14:paraId="7EEF18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1C1A31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noWrap w:val="0"/>
            <w:vAlign w:val="center"/>
          </w:tcPr>
          <w:p w14:paraId="338A8D2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noWrap w:val="0"/>
            <w:vAlign w:val="center"/>
          </w:tcPr>
          <w:p w14:paraId="015B83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noWrap w:val="0"/>
            <w:vAlign w:val="center"/>
          </w:tcPr>
          <w:p w14:paraId="04D45CB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012B1F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7B30CDE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FDF2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D0F2F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tcBorders>
              <w:top w:val="nil"/>
            </w:tcBorders>
            <w:noWrap w:val="0"/>
            <w:vAlign w:val="center"/>
          </w:tcPr>
          <w:p w14:paraId="76B4F9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330F44B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tcBorders>
              <w:top w:val="nil"/>
            </w:tcBorders>
            <w:noWrap w:val="0"/>
            <w:vAlign w:val="center"/>
          </w:tcPr>
          <w:p w14:paraId="549A3B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6E16AC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tcBorders>
              <w:top w:val="nil"/>
            </w:tcBorders>
            <w:noWrap w:val="0"/>
            <w:vAlign w:val="center"/>
          </w:tcPr>
          <w:p w14:paraId="76CBEA0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tcBorders>
              <w:top w:val="nil"/>
            </w:tcBorders>
            <w:noWrap w:val="0"/>
            <w:vAlign w:val="center"/>
          </w:tcPr>
          <w:p w14:paraId="066BFC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406EF8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center"/>
          </w:tcPr>
          <w:p w14:paraId="1E8F271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04616F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247A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9E6DF2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tcBorders>
              <w:top w:val="nil"/>
            </w:tcBorders>
            <w:noWrap w:val="0"/>
            <w:vAlign w:val="center"/>
          </w:tcPr>
          <w:p w14:paraId="62EE7E0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59E2EE3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tcBorders>
              <w:top w:val="nil"/>
            </w:tcBorders>
            <w:noWrap w:val="0"/>
            <w:vAlign w:val="center"/>
          </w:tcPr>
          <w:p w14:paraId="5280C5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404E2A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tcBorders>
              <w:top w:val="nil"/>
            </w:tcBorders>
            <w:noWrap w:val="0"/>
            <w:vAlign w:val="center"/>
          </w:tcPr>
          <w:p w14:paraId="415DBB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tcBorders>
              <w:top w:val="nil"/>
            </w:tcBorders>
            <w:noWrap w:val="0"/>
            <w:vAlign w:val="center"/>
          </w:tcPr>
          <w:p w14:paraId="462D407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6130BE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center"/>
          </w:tcPr>
          <w:p w14:paraId="7BCEF29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0BE50E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21D82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499914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noWrap w:val="0"/>
            <w:vAlign w:val="center"/>
          </w:tcPr>
          <w:p w14:paraId="1A09B3A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noWrap w:val="0"/>
            <w:vAlign w:val="center"/>
          </w:tcPr>
          <w:p w14:paraId="0AAEBBB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noWrap w:val="0"/>
            <w:vAlign w:val="center"/>
          </w:tcPr>
          <w:p w14:paraId="17EA511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7E377A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noWrap w:val="0"/>
            <w:vAlign w:val="center"/>
          </w:tcPr>
          <w:p w14:paraId="571A85E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noWrap w:val="0"/>
            <w:vAlign w:val="center"/>
          </w:tcPr>
          <w:p w14:paraId="0007B76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noWrap w:val="0"/>
            <w:vAlign w:val="center"/>
          </w:tcPr>
          <w:p w14:paraId="65B6126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51326C3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24461BD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A18C3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50975A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tcBorders>
              <w:top w:val="nil"/>
            </w:tcBorders>
            <w:noWrap w:val="0"/>
            <w:vAlign w:val="center"/>
          </w:tcPr>
          <w:p w14:paraId="1AFC27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29F875A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tcBorders>
              <w:top w:val="nil"/>
            </w:tcBorders>
            <w:noWrap w:val="0"/>
            <w:vAlign w:val="center"/>
          </w:tcPr>
          <w:p w14:paraId="61C6CB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3A35AE8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tcBorders>
              <w:top w:val="nil"/>
            </w:tcBorders>
            <w:noWrap w:val="0"/>
            <w:vAlign w:val="center"/>
          </w:tcPr>
          <w:p w14:paraId="41A8C8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tcBorders>
              <w:top w:val="nil"/>
            </w:tcBorders>
            <w:noWrap w:val="0"/>
            <w:vAlign w:val="center"/>
          </w:tcPr>
          <w:p w14:paraId="4D58D1E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tcBorders>
              <w:top w:val="nil"/>
            </w:tcBorders>
            <w:noWrap w:val="0"/>
            <w:vAlign w:val="center"/>
          </w:tcPr>
          <w:p w14:paraId="66ACD40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center"/>
          </w:tcPr>
          <w:p w14:paraId="191B251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008003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B4C92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BB9E8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843" w:type="dxa"/>
            <w:noWrap w:val="0"/>
            <w:vAlign w:val="center"/>
          </w:tcPr>
          <w:p w14:paraId="6B3047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noWrap w:val="0"/>
            <w:vAlign w:val="center"/>
          </w:tcPr>
          <w:p w14:paraId="195361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410" w:type="dxa"/>
            <w:noWrap w:val="0"/>
            <w:vAlign w:val="center"/>
          </w:tcPr>
          <w:p w14:paraId="63918BC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227F1EF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560" w:type="dxa"/>
            <w:noWrap w:val="0"/>
            <w:vAlign w:val="center"/>
          </w:tcPr>
          <w:p w14:paraId="2D50A5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2126" w:type="dxa"/>
            <w:noWrap w:val="0"/>
            <w:vAlign w:val="center"/>
          </w:tcPr>
          <w:p w14:paraId="4A2B75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7" w:type="dxa"/>
            <w:noWrap w:val="0"/>
            <w:vAlign w:val="center"/>
          </w:tcPr>
          <w:p w14:paraId="0AE8D5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06F362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068FAA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bl>
    <w:p w14:paraId="37CE4C4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sectPr>
          <w:pgSz w:w="16838" w:h="11906" w:orient="landscape"/>
          <w:pgMar w:top="1134" w:right="1418" w:bottom="1134" w:left="1418"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7D3F03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w:t>
      </w:r>
      <w:bookmarkStart w:id="686" w:name="_Toc296346726"/>
      <w:bookmarkStart w:id="687" w:name="_Toc296891265"/>
      <w:bookmarkStart w:id="688" w:name="_Toc296944564"/>
      <w:bookmarkStart w:id="689" w:name="_Toc296503225"/>
      <w:bookmarkStart w:id="690" w:name="_Toc296347224"/>
      <w:bookmarkStart w:id="691" w:name="_Toc296891053"/>
      <w:bookmarkStart w:id="692" w:name="_Toc267261692"/>
      <w:r>
        <w:rPr>
          <w:rFonts w:hint="eastAsia" w:ascii="宋体" w:hAnsi="宋体" w:eastAsia="宋体" w:cs="宋体"/>
          <w:color w:val="auto"/>
          <w:sz w:val="24"/>
          <w:szCs w:val="24"/>
        </w:rPr>
        <w:t>件2：</w:t>
      </w:r>
    </w:p>
    <w:bookmarkEnd w:id="686"/>
    <w:bookmarkEnd w:id="687"/>
    <w:bookmarkEnd w:id="688"/>
    <w:bookmarkEnd w:id="689"/>
    <w:bookmarkEnd w:id="690"/>
    <w:bookmarkEnd w:id="691"/>
    <w:bookmarkEnd w:id="692"/>
    <w:p w14:paraId="71B452B4">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发包人供应材料设备一览表</w:t>
      </w:r>
    </w:p>
    <w:tbl>
      <w:tblPr>
        <w:tblStyle w:val="62"/>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156935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4BE82AC8">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276" w:type="dxa"/>
            <w:tcBorders>
              <w:top w:val="single" w:color="auto" w:sz="12" w:space="0"/>
              <w:bottom w:val="double" w:color="auto" w:sz="6" w:space="0"/>
            </w:tcBorders>
            <w:noWrap w:val="0"/>
            <w:vAlign w:val="center"/>
          </w:tcPr>
          <w:p w14:paraId="26D791BA">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材料、</w:t>
            </w:r>
          </w:p>
          <w:p w14:paraId="64677A2A">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设备品种</w:t>
            </w:r>
          </w:p>
        </w:tc>
        <w:tc>
          <w:tcPr>
            <w:tcW w:w="1418" w:type="dxa"/>
            <w:tcBorders>
              <w:top w:val="single" w:color="auto" w:sz="12" w:space="0"/>
              <w:bottom w:val="double" w:color="auto" w:sz="6" w:space="0"/>
            </w:tcBorders>
            <w:noWrap w:val="0"/>
            <w:vAlign w:val="center"/>
          </w:tcPr>
          <w:p w14:paraId="6C5643E3">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规格型号</w:t>
            </w:r>
          </w:p>
        </w:tc>
        <w:tc>
          <w:tcPr>
            <w:tcW w:w="940" w:type="dxa"/>
            <w:tcBorders>
              <w:top w:val="single" w:color="auto" w:sz="12" w:space="0"/>
              <w:bottom w:val="double" w:color="auto" w:sz="6" w:space="0"/>
            </w:tcBorders>
            <w:noWrap w:val="0"/>
            <w:vAlign w:val="center"/>
          </w:tcPr>
          <w:p w14:paraId="650FB160">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851" w:type="dxa"/>
            <w:tcBorders>
              <w:top w:val="single" w:color="auto" w:sz="12" w:space="0"/>
              <w:bottom w:val="double" w:color="auto" w:sz="6" w:space="0"/>
            </w:tcBorders>
            <w:noWrap w:val="0"/>
            <w:vAlign w:val="center"/>
          </w:tcPr>
          <w:p w14:paraId="465AA5FA">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044" w:type="dxa"/>
            <w:tcBorders>
              <w:top w:val="single" w:color="auto" w:sz="12" w:space="0"/>
              <w:bottom w:val="double" w:color="auto" w:sz="6" w:space="0"/>
            </w:tcBorders>
            <w:noWrap w:val="0"/>
            <w:vAlign w:val="center"/>
          </w:tcPr>
          <w:p w14:paraId="130FD75B">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单价（元）</w:t>
            </w:r>
          </w:p>
        </w:tc>
        <w:tc>
          <w:tcPr>
            <w:tcW w:w="992" w:type="dxa"/>
            <w:tcBorders>
              <w:top w:val="single" w:color="auto" w:sz="12" w:space="0"/>
              <w:bottom w:val="double" w:color="auto" w:sz="6" w:space="0"/>
            </w:tcBorders>
            <w:noWrap w:val="0"/>
            <w:vAlign w:val="center"/>
          </w:tcPr>
          <w:p w14:paraId="645152AA">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质量等级</w:t>
            </w:r>
          </w:p>
        </w:tc>
        <w:tc>
          <w:tcPr>
            <w:tcW w:w="851" w:type="dxa"/>
            <w:tcBorders>
              <w:top w:val="single" w:color="auto" w:sz="12" w:space="0"/>
              <w:bottom w:val="double" w:color="auto" w:sz="6" w:space="0"/>
            </w:tcBorders>
            <w:noWrap w:val="0"/>
            <w:vAlign w:val="center"/>
          </w:tcPr>
          <w:p w14:paraId="12325184">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供应时间</w:t>
            </w:r>
          </w:p>
        </w:tc>
        <w:tc>
          <w:tcPr>
            <w:tcW w:w="1487" w:type="dxa"/>
            <w:tcBorders>
              <w:top w:val="single" w:color="auto" w:sz="12" w:space="0"/>
              <w:bottom w:val="double" w:color="auto" w:sz="6" w:space="0"/>
            </w:tcBorders>
            <w:noWrap w:val="0"/>
            <w:vAlign w:val="center"/>
          </w:tcPr>
          <w:p w14:paraId="38ED8225">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送达地点</w:t>
            </w:r>
          </w:p>
        </w:tc>
        <w:tc>
          <w:tcPr>
            <w:tcW w:w="992" w:type="dxa"/>
            <w:tcBorders>
              <w:top w:val="single" w:color="auto" w:sz="12" w:space="0"/>
              <w:bottom w:val="double" w:color="auto" w:sz="6" w:space="0"/>
            </w:tcBorders>
            <w:noWrap w:val="0"/>
            <w:vAlign w:val="center"/>
          </w:tcPr>
          <w:p w14:paraId="0BD810DC">
            <w:pPr>
              <w:keepNext w:val="0"/>
              <w:keepLines w:val="0"/>
              <w:pageBreakBefore w:val="0"/>
              <w:widowControl/>
              <w:kinsoku/>
              <w:wordWrap w:val="0"/>
              <w:overflowPunct/>
              <w:topLinePunct w:val="0"/>
              <w:autoSpaceDE/>
              <w:autoSpaceDN/>
              <w:bidi w:val="0"/>
              <w:adjustRightInd w:val="0"/>
              <w:snapToGrid w:val="0"/>
              <w:spacing w:after="0" w:line="500" w:lineRule="exact"/>
              <w:ind w:firstLine="76" w:firstLineChars="3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17924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7F725E7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tcBorders>
              <w:top w:val="double" w:color="auto" w:sz="6" w:space="0"/>
              <w:bottom w:val="single" w:color="auto" w:sz="6" w:space="0"/>
            </w:tcBorders>
            <w:noWrap w:val="0"/>
            <w:vAlign w:val="center"/>
          </w:tcPr>
          <w:p w14:paraId="445EDE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top w:val="double" w:color="auto" w:sz="6" w:space="0"/>
              <w:bottom w:val="single" w:color="auto" w:sz="6" w:space="0"/>
            </w:tcBorders>
            <w:noWrap w:val="0"/>
            <w:vAlign w:val="center"/>
          </w:tcPr>
          <w:p w14:paraId="621CBC1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tcBorders>
              <w:top w:val="double" w:color="auto" w:sz="6" w:space="0"/>
              <w:bottom w:val="single" w:color="auto" w:sz="6" w:space="0"/>
            </w:tcBorders>
            <w:noWrap w:val="0"/>
            <w:vAlign w:val="center"/>
          </w:tcPr>
          <w:p w14:paraId="4FAF110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double" w:color="auto" w:sz="6" w:space="0"/>
              <w:bottom w:val="single" w:color="auto" w:sz="6" w:space="0"/>
            </w:tcBorders>
            <w:noWrap w:val="0"/>
            <w:vAlign w:val="center"/>
          </w:tcPr>
          <w:p w14:paraId="6195AD7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tcBorders>
              <w:top w:val="double" w:color="auto" w:sz="6" w:space="0"/>
              <w:bottom w:val="single" w:color="auto" w:sz="6" w:space="0"/>
            </w:tcBorders>
            <w:noWrap w:val="0"/>
            <w:vAlign w:val="center"/>
          </w:tcPr>
          <w:p w14:paraId="399D52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tcBorders>
              <w:top w:val="double" w:color="auto" w:sz="6" w:space="0"/>
              <w:bottom w:val="single" w:color="auto" w:sz="6" w:space="0"/>
            </w:tcBorders>
            <w:noWrap w:val="0"/>
            <w:vAlign w:val="center"/>
          </w:tcPr>
          <w:p w14:paraId="0809CF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double" w:color="auto" w:sz="6" w:space="0"/>
              <w:bottom w:val="single" w:color="auto" w:sz="6" w:space="0"/>
            </w:tcBorders>
            <w:noWrap w:val="0"/>
            <w:vAlign w:val="center"/>
          </w:tcPr>
          <w:p w14:paraId="413466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tcBorders>
              <w:top w:val="double" w:color="auto" w:sz="6" w:space="0"/>
              <w:bottom w:val="single" w:color="auto" w:sz="6" w:space="0"/>
            </w:tcBorders>
            <w:noWrap w:val="0"/>
            <w:vAlign w:val="center"/>
          </w:tcPr>
          <w:p w14:paraId="02C8DFD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tcBorders>
              <w:top w:val="double" w:color="auto" w:sz="6" w:space="0"/>
              <w:bottom w:val="single" w:color="auto" w:sz="6" w:space="0"/>
            </w:tcBorders>
            <w:noWrap w:val="0"/>
            <w:vAlign w:val="center"/>
          </w:tcPr>
          <w:p w14:paraId="39BB0DB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B026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3F4F713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tcBorders>
              <w:top w:val="nil"/>
            </w:tcBorders>
            <w:noWrap w:val="0"/>
            <w:vAlign w:val="center"/>
          </w:tcPr>
          <w:p w14:paraId="562FF39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top w:val="nil"/>
            </w:tcBorders>
            <w:noWrap w:val="0"/>
            <w:vAlign w:val="center"/>
          </w:tcPr>
          <w:p w14:paraId="0F5480E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tcBorders>
              <w:top w:val="nil"/>
            </w:tcBorders>
            <w:noWrap w:val="0"/>
            <w:vAlign w:val="center"/>
          </w:tcPr>
          <w:p w14:paraId="7E830AA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center"/>
          </w:tcPr>
          <w:p w14:paraId="42F59D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tcBorders>
              <w:top w:val="nil"/>
            </w:tcBorders>
            <w:noWrap w:val="0"/>
            <w:vAlign w:val="center"/>
          </w:tcPr>
          <w:p w14:paraId="1D28065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tcBorders>
              <w:top w:val="nil"/>
            </w:tcBorders>
            <w:noWrap w:val="0"/>
            <w:vAlign w:val="center"/>
          </w:tcPr>
          <w:p w14:paraId="525013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center"/>
          </w:tcPr>
          <w:p w14:paraId="415F65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tcBorders>
              <w:top w:val="nil"/>
            </w:tcBorders>
            <w:noWrap w:val="0"/>
            <w:vAlign w:val="center"/>
          </w:tcPr>
          <w:p w14:paraId="2EC102A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tcBorders>
              <w:top w:val="nil"/>
            </w:tcBorders>
            <w:noWrap w:val="0"/>
            <w:vAlign w:val="center"/>
          </w:tcPr>
          <w:p w14:paraId="15A8E5D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6B153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0AE03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53F16DD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4E683B6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08B7B4B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338732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3357DD4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4AF478B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2163C07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48F4576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6AA8436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3EAB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74DA31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36C60E3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5B6687A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42F0908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576E373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56339DB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11BF3C5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32C68B2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1AFE9D7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1FA615B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9BFA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414AD2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1693D95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70CD5B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4A46C67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54E5C1A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0B4EF8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03FC204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60361DC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6F63CC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17DA837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BCE85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E0EBA1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47819D0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280F0BD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4A2E3C4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04E6A0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738FE02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0323C73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634B1AC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669F4F4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4E90E33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BAB4A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79AC42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3CB404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3FD3784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53C227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3E35848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06A18A7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33EABF7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0021528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3CB88AA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4AB0FCC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59C3E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8AF50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6E6F54D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10EB5B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0E4113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39A7E1E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5E3F103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5D42597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366B05B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272BD8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75ACEE3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28FF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F9B5B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73CEC82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194045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018CE3B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633F927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2BAE66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2BBC00B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154F3F5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65B1C3B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480CB5E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59034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2ED724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7FF39FF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51D9693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67154D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5EBFCDA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6FA7222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0F9323E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34E71D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79E8DC3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1FDB5A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7020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14D133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702AEC2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0993FBF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021880A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6ABCC9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410D5D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15AB6EF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693851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6621B5E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6F829B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7B11E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56F740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32D20E7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7B6D4DC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1373882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77902F4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5DEEB25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79C6B54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71D0B4A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3DF60D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5BB6852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0330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89195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4183082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49CF3A3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11E549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641480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68AEC89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259AF95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2525A9F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6571AD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02149B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59608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3108E2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5B599DB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53B6D8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571ED53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2A59D89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1C4B70F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2E9B2D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34D393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3D3EC4D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5FB2C9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4A15F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0BCFD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5803A9D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0FDF1BA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2CFAD5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10B459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17EA12A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2CD0ED9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77DE77D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4B1F101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68E173B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C04DE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0105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2367FA9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3F9886E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38706E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02D8047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74654F9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75165E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3952B5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15DE513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233C61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1A28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47451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4EFC5CA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7A12AF7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32BEDFB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7682C1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40C2D70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2EBACE4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2EF168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7C3C03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1CC74F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F2AC4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361F5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63C808A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4E7CB9A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40" w:type="dxa"/>
            <w:noWrap w:val="0"/>
            <w:vAlign w:val="center"/>
          </w:tcPr>
          <w:p w14:paraId="1DC7D1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2BDE79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44" w:type="dxa"/>
            <w:noWrap w:val="0"/>
            <w:vAlign w:val="center"/>
          </w:tcPr>
          <w:p w14:paraId="221AA85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72D63F8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center"/>
          </w:tcPr>
          <w:p w14:paraId="08AC42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7" w:type="dxa"/>
            <w:noWrap w:val="0"/>
            <w:vAlign w:val="center"/>
          </w:tcPr>
          <w:p w14:paraId="381EE07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92" w:type="dxa"/>
            <w:noWrap w:val="0"/>
            <w:vAlign w:val="center"/>
          </w:tcPr>
          <w:p w14:paraId="7E4103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bl>
    <w:p w14:paraId="1E6214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54A592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w:t>
      </w:r>
      <w:bookmarkStart w:id="693" w:name="_Toc296891266"/>
      <w:bookmarkStart w:id="694" w:name="_Toc296944565"/>
      <w:bookmarkStart w:id="695" w:name="_Toc296891054"/>
      <w:bookmarkStart w:id="696" w:name="_Toc296503226"/>
      <w:bookmarkStart w:id="697" w:name="_Toc296346727"/>
      <w:bookmarkStart w:id="698" w:name="_Toc267261693"/>
      <w:bookmarkStart w:id="699" w:name="_Toc296347225"/>
      <w:r>
        <w:rPr>
          <w:rFonts w:hint="eastAsia" w:ascii="宋体" w:hAnsi="宋体" w:eastAsia="宋体" w:cs="宋体"/>
          <w:color w:val="auto"/>
          <w:sz w:val="24"/>
          <w:szCs w:val="24"/>
        </w:rPr>
        <w:t>件3：</w:t>
      </w:r>
      <w:bookmarkEnd w:id="693"/>
      <w:bookmarkEnd w:id="694"/>
      <w:bookmarkEnd w:id="695"/>
      <w:bookmarkEnd w:id="696"/>
      <w:bookmarkEnd w:id="697"/>
      <w:bookmarkEnd w:id="698"/>
      <w:bookmarkEnd w:id="699"/>
      <w:r>
        <w:rPr>
          <w:rFonts w:hint="eastAsia" w:ascii="宋体" w:hAnsi="宋体" w:eastAsia="宋体" w:cs="宋体"/>
          <w:color w:val="auto"/>
          <w:sz w:val="24"/>
          <w:szCs w:val="24"/>
        </w:rPr>
        <w:t xml:space="preserve">    </w:t>
      </w:r>
    </w:p>
    <w:p w14:paraId="18F8DD03">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工程质量保修书</w:t>
      </w:r>
    </w:p>
    <w:p w14:paraId="08EF62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发包人（全称）：</w:t>
      </w:r>
      <w:r>
        <w:rPr>
          <w:rFonts w:hint="eastAsia" w:ascii="宋体" w:hAnsi="宋体" w:eastAsia="宋体" w:cs="宋体"/>
          <w:color w:val="auto"/>
          <w:sz w:val="24"/>
          <w:szCs w:val="24"/>
          <w:u w:val="single"/>
        </w:rPr>
        <w:t xml:space="preserve">                                 </w:t>
      </w:r>
    </w:p>
    <w:p w14:paraId="3CB9AF3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承包人（全称）：</w:t>
      </w:r>
      <w:r>
        <w:rPr>
          <w:rFonts w:hint="eastAsia" w:ascii="宋体" w:hAnsi="宋体" w:eastAsia="宋体" w:cs="宋体"/>
          <w:color w:val="auto"/>
          <w:sz w:val="24"/>
          <w:szCs w:val="24"/>
          <w:u w:val="single"/>
        </w:rPr>
        <w:t xml:space="preserve">                                 </w:t>
      </w:r>
    </w:p>
    <w:p w14:paraId="42F1E8B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272A058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发包人和承包人根据《中华人民共和国建筑法》和《建设工程质量管理条例》，经协商一致就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（工程全称）签订工程质量保修书。</w:t>
      </w:r>
    </w:p>
    <w:p w14:paraId="3C076F8C">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一、工程质量保修范围和内容</w:t>
      </w:r>
    </w:p>
    <w:p w14:paraId="56E7759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承包人在质量保修期内，按照有关法律规定和合同约定，承担工程质量保修责任。</w:t>
      </w:r>
    </w:p>
    <w:p w14:paraId="77705CC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eastAsia="zh-CN"/>
        </w:rPr>
        <w:t>。</w:t>
      </w:r>
    </w:p>
    <w:p w14:paraId="43D4EC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二、质量保修期</w:t>
      </w:r>
    </w:p>
    <w:p w14:paraId="4FD87F3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根据《建设工程质量管理条例》及有关规定，工程的质量保修期如下：</w:t>
      </w:r>
    </w:p>
    <w:p w14:paraId="75C4AD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1．地基基础工程和主体结构工程为设计文件规定的工程合理使用年限；</w:t>
      </w:r>
    </w:p>
    <w:p w14:paraId="017B630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2．屋面防水工程、有防水要求的卫生间、房间和外墙面的防渗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65715B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3．装修工程为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7F1F64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4．电气管线、给排水管道、设备安装工程为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39E76D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5．供热与供冷系统为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val="en-US" w:eastAsia="zh-CN"/>
        </w:rPr>
        <w:t>个</w:t>
      </w:r>
      <w:r>
        <w:rPr>
          <w:rFonts w:hint="eastAsia" w:ascii="宋体" w:hAnsi="宋体" w:eastAsia="宋体" w:cs="宋体"/>
          <w:color w:val="auto"/>
          <w:sz w:val="24"/>
          <w:szCs w:val="24"/>
        </w:rPr>
        <w:t>采暖期、供冷期；</w:t>
      </w:r>
    </w:p>
    <w:p w14:paraId="7FF75A3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6．住宅小区内的给排水设施、道路等配套工程为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p>
    <w:p w14:paraId="1B06B2C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7．其他项目保修期限约定如下：</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w:t>
      </w:r>
      <w:r>
        <w:rPr>
          <w:rFonts w:hint="eastAsia" w:ascii="宋体" w:hAnsi="宋体" w:eastAsia="宋体" w:cs="宋体"/>
          <w:color w:val="auto"/>
          <w:sz w:val="24"/>
          <w:szCs w:val="24"/>
        </w:rPr>
        <w:t>质量保修期自工程竣工验收合格之日起计算。</w:t>
      </w:r>
    </w:p>
    <w:p w14:paraId="6ECF2B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三、缺陷责任期</w:t>
      </w:r>
    </w:p>
    <w:p w14:paraId="7671C0C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工程缺陷责任期为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个月，缺陷责任期自工程通过竣工验收之日起计算。单位工程先于全部工程进行验收，单位工程缺陷责任期自单位工程验收合格之日起算。</w:t>
      </w:r>
    </w:p>
    <w:p w14:paraId="05CD99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缺陷责任期终止后，发包人应退还剩余的质量保证金。</w:t>
      </w:r>
    </w:p>
    <w:p w14:paraId="350CC4A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四、质量保修责任</w:t>
      </w:r>
    </w:p>
    <w:p w14:paraId="7D40AC2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1．属于保修范围、内容的项目，承包人应当在接到保修通知之日起7天内派人保修。承包人不在约定期限内派人保修的，发包人可以委托他人修理。</w:t>
      </w:r>
    </w:p>
    <w:p w14:paraId="2F38E0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2．发生紧急事故需抢修的，承包人在接到事故通知后，应当立即到达事故现场抢修。</w:t>
      </w:r>
    </w:p>
    <w:p w14:paraId="458142E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72F0AC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4．质量保修完成后，由发包人组织验收。</w:t>
      </w:r>
    </w:p>
    <w:p w14:paraId="1587B6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五、保修费用</w:t>
      </w:r>
    </w:p>
    <w:p w14:paraId="551AE8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保修费用由造成质量缺陷的责任方承担。</w:t>
      </w:r>
    </w:p>
    <w:p w14:paraId="50D07EA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六、双方约定的其他工程质量保修事项：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C8BEF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工程质量保修书由发包人、承包人在工程竣工验收前共同签署，作为施工合同附件，其有效期限至保修期满。</w:t>
      </w:r>
    </w:p>
    <w:p w14:paraId="7638CBE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发包人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承包人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p w14:paraId="64CD5B1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                               地  址：     </w:t>
      </w:r>
    </w:p>
    <w:p w14:paraId="7DA9761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法定代表人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p w14:paraId="14399B4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委托代理人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委托代理人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p w14:paraId="0EC7274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                               电  话：     </w:t>
      </w:r>
    </w:p>
    <w:p w14:paraId="32BC4B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                               传  真： </w:t>
      </w:r>
    </w:p>
    <w:p w14:paraId="63D2C9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开户银行：   </w:t>
      </w:r>
    </w:p>
    <w:p w14:paraId="31E9E90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                               账  号：    </w:t>
      </w:r>
    </w:p>
    <w:p w14:paraId="3856D38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邮政编码：                            邮政编码： </w:t>
      </w:r>
    </w:p>
    <w:p w14:paraId="0675B5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附件4：</w:t>
      </w:r>
    </w:p>
    <w:p w14:paraId="0E9C5372">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主要建设工程文件目录</w:t>
      </w:r>
    </w:p>
    <w:tbl>
      <w:tblPr>
        <w:tblStyle w:val="62"/>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2F762A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196419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文件名称</w:t>
            </w:r>
          </w:p>
        </w:tc>
        <w:tc>
          <w:tcPr>
            <w:tcW w:w="1276" w:type="dxa"/>
            <w:tcBorders>
              <w:top w:val="single" w:color="auto" w:sz="12" w:space="0"/>
              <w:bottom w:val="double" w:color="auto" w:sz="6" w:space="0"/>
            </w:tcBorders>
            <w:noWrap w:val="0"/>
            <w:vAlign w:val="center"/>
          </w:tcPr>
          <w:p w14:paraId="1DAED1E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套数</w:t>
            </w:r>
          </w:p>
        </w:tc>
        <w:tc>
          <w:tcPr>
            <w:tcW w:w="1450" w:type="dxa"/>
            <w:tcBorders>
              <w:top w:val="single" w:color="auto" w:sz="12" w:space="0"/>
              <w:bottom w:val="double" w:color="auto" w:sz="6" w:space="0"/>
            </w:tcBorders>
            <w:noWrap w:val="0"/>
            <w:vAlign w:val="center"/>
          </w:tcPr>
          <w:p w14:paraId="0F65D3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费用（元）</w:t>
            </w:r>
          </w:p>
        </w:tc>
        <w:tc>
          <w:tcPr>
            <w:tcW w:w="1243" w:type="dxa"/>
            <w:tcBorders>
              <w:top w:val="single" w:color="auto" w:sz="12" w:space="0"/>
              <w:bottom w:val="double" w:color="auto" w:sz="6" w:space="0"/>
            </w:tcBorders>
            <w:noWrap w:val="0"/>
            <w:vAlign w:val="center"/>
          </w:tcPr>
          <w:p w14:paraId="686BF7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w:t>
            </w:r>
          </w:p>
        </w:tc>
        <w:tc>
          <w:tcPr>
            <w:tcW w:w="1450" w:type="dxa"/>
            <w:tcBorders>
              <w:top w:val="single" w:color="auto" w:sz="12" w:space="0"/>
              <w:bottom w:val="double" w:color="auto" w:sz="6" w:space="0"/>
            </w:tcBorders>
            <w:noWrap w:val="0"/>
            <w:vAlign w:val="top"/>
          </w:tcPr>
          <w:p w14:paraId="0C8A7CB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移交时间</w:t>
            </w:r>
          </w:p>
        </w:tc>
        <w:tc>
          <w:tcPr>
            <w:tcW w:w="1667" w:type="dxa"/>
            <w:tcBorders>
              <w:top w:val="single" w:color="auto" w:sz="12" w:space="0"/>
              <w:bottom w:val="double" w:color="auto" w:sz="6" w:space="0"/>
            </w:tcBorders>
            <w:noWrap w:val="0"/>
            <w:vAlign w:val="top"/>
          </w:tcPr>
          <w:p w14:paraId="598E99D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责任人</w:t>
            </w:r>
          </w:p>
        </w:tc>
      </w:tr>
      <w:tr w14:paraId="727A93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7FDCFD7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tcBorders>
              <w:top w:val="double" w:color="auto" w:sz="6" w:space="0"/>
              <w:bottom w:val="single" w:color="auto" w:sz="6" w:space="0"/>
            </w:tcBorders>
            <w:noWrap w:val="0"/>
            <w:vAlign w:val="center"/>
          </w:tcPr>
          <w:p w14:paraId="40DDC8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tcBorders>
              <w:top w:val="double" w:color="auto" w:sz="6" w:space="0"/>
              <w:bottom w:val="single" w:color="auto" w:sz="6" w:space="0"/>
            </w:tcBorders>
            <w:noWrap w:val="0"/>
            <w:vAlign w:val="center"/>
          </w:tcPr>
          <w:p w14:paraId="4B2F0B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tcBorders>
              <w:top w:val="double" w:color="auto" w:sz="6" w:space="0"/>
              <w:bottom w:val="single" w:color="auto" w:sz="6" w:space="0"/>
            </w:tcBorders>
            <w:noWrap w:val="0"/>
            <w:vAlign w:val="center"/>
          </w:tcPr>
          <w:p w14:paraId="214042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tcBorders>
              <w:top w:val="double" w:color="auto" w:sz="6" w:space="0"/>
              <w:bottom w:val="single" w:color="auto" w:sz="6" w:space="0"/>
            </w:tcBorders>
            <w:noWrap w:val="0"/>
            <w:vAlign w:val="center"/>
          </w:tcPr>
          <w:p w14:paraId="069EC5E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tcBorders>
              <w:top w:val="double" w:color="auto" w:sz="6" w:space="0"/>
              <w:bottom w:val="single" w:color="auto" w:sz="6" w:space="0"/>
            </w:tcBorders>
            <w:noWrap w:val="0"/>
            <w:vAlign w:val="center"/>
          </w:tcPr>
          <w:p w14:paraId="617418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AFFBC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3B3077D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tcBorders>
              <w:top w:val="nil"/>
            </w:tcBorders>
            <w:noWrap w:val="0"/>
            <w:vAlign w:val="center"/>
          </w:tcPr>
          <w:p w14:paraId="7CE9A6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tcBorders>
              <w:top w:val="nil"/>
            </w:tcBorders>
            <w:noWrap w:val="0"/>
            <w:vAlign w:val="center"/>
          </w:tcPr>
          <w:p w14:paraId="4772C82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tcBorders>
              <w:top w:val="nil"/>
            </w:tcBorders>
            <w:noWrap w:val="0"/>
            <w:vAlign w:val="center"/>
          </w:tcPr>
          <w:p w14:paraId="060024F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tcBorders>
              <w:top w:val="nil"/>
            </w:tcBorders>
            <w:noWrap w:val="0"/>
            <w:vAlign w:val="center"/>
          </w:tcPr>
          <w:p w14:paraId="457FF1D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tcBorders>
              <w:top w:val="nil"/>
            </w:tcBorders>
            <w:noWrap w:val="0"/>
            <w:vAlign w:val="center"/>
          </w:tcPr>
          <w:p w14:paraId="6AAA96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7A0D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9F80D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716E6F6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15A0D0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center"/>
          </w:tcPr>
          <w:p w14:paraId="0F52B56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6F0C15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center"/>
          </w:tcPr>
          <w:p w14:paraId="28C1D2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12F6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01FA95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25F9A6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01F7733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center"/>
          </w:tcPr>
          <w:p w14:paraId="5A4C3D3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54089AB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center"/>
          </w:tcPr>
          <w:p w14:paraId="03900E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4654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0839EE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2243E7F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0A05411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center"/>
          </w:tcPr>
          <w:p w14:paraId="283172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1E66A9F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center"/>
          </w:tcPr>
          <w:p w14:paraId="02034C3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84F12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BFF593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15DD398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40B7ABD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center"/>
          </w:tcPr>
          <w:p w14:paraId="25A905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2341A84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center"/>
          </w:tcPr>
          <w:p w14:paraId="1F68108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3C8D6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028F53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00D0D14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638904A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center"/>
          </w:tcPr>
          <w:p w14:paraId="68DF8FB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750CDDE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center"/>
          </w:tcPr>
          <w:p w14:paraId="245F710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B250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1D66C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5D07B22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0CCDEF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center"/>
          </w:tcPr>
          <w:p w14:paraId="56F445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223E7C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center"/>
          </w:tcPr>
          <w:p w14:paraId="0CEE7FB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56485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CCB860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122A274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7CB9DF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3B669E6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379FB5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01B28E9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FB02C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28420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center"/>
          </w:tcPr>
          <w:p w14:paraId="0D6BB8E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6AEEA8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center"/>
          </w:tcPr>
          <w:p w14:paraId="6AFB5F7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center"/>
          </w:tcPr>
          <w:p w14:paraId="6D195F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center"/>
          </w:tcPr>
          <w:p w14:paraId="27FC0FE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69505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671F7E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54C3471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3C2D7F2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087B69F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0FE0D1B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092F86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9649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D86145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342BB8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31D498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2A64C4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75B343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74051F3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0CACD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BDD385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0FBDC3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0A6EFF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2277EA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3B014C4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6DCE9B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6D4B5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5528C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079DFAF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2D3368D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078773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50DBB9F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6CCCF2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19411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85042C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11A235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7547DA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4D96EE2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536F40F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41381D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E96CB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74F56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750595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58E7F52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68EF4AD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640208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623A68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DE00D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5F699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C73036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2C366A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067136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411F053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7FD818A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4986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4E15ED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08C03F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0030414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73D6428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2E9B6C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4D4B1A0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3FCF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135D08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9087CB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32F1FDB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43" w:type="dxa"/>
            <w:noWrap w:val="0"/>
            <w:vAlign w:val="top"/>
          </w:tcPr>
          <w:p w14:paraId="6180DF2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50" w:type="dxa"/>
            <w:noWrap w:val="0"/>
            <w:vAlign w:val="top"/>
          </w:tcPr>
          <w:p w14:paraId="4DA145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667" w:type="dxa"/>
            <w:noWrap w:val="0"/>
            <w:vAlign w:val="top"/>
          </w:tcPr>
          <w:p w14:paraId="2ED8F0E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bl>
    <w:p w14:paraId="221676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6672756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w:t>
      </w:r>
      <w:bookmarkStart w:id="700" w:name="_Toc296347226"/>
      <w:bookmarkStart w:id="701" w:name="_Toc296503227"/>
      <w:bookmarkStart w:id="702" w:name="_Toc296891055"/>
      <w:bookmarkStart w:id="703" w:name="_Toc296944566"/>
      <w:bookmarkStart w:id="704" w:name="_Toc267261698"/>
      <w:bookmarkStart w:id="705" w:name="_Toc296346728"/>
      <w:bookmarkStart w:id="706" w:name="_Toc296891267"/>
      <w:r>
        <w:rPr>
          <w:rFonts w:hint="eastAsia" w:ascii="宋体" w:hAnsi="宋体" w:eastAsia="宋体" w:cs="宋体"/>
          <w:color w:val="auto"/>
          <w:sz w:val="24"/>
          <w:szCs w:val="24"/>
        </w:rPr>
        <w:t>件5：</w:t>
      </w:r>
    </w:p>
    <w:bookmarkEnd w:id="700"/>
    <w:bookmarkEnd w:id="701"/>
    <w:bookmarkEnd w:id="702"/>
    <w:bookmarkEnd w:id="703"/>
    <w:bookmarkEnd w:id="704"/>
    <w:bookmarkEnd w:id="705"/>
    <w:bookmarkEnd w:id="706"/>
    <w:p w14:paraId="2B90F580">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承包人用于本工程施工的机械设备表</w:t>
      </w:r>
    </w:p>
    <w:tbl>
      <w:tblPr>
        <w:tblStyle w:val="6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409C5596">
        <w:tblPrEx>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7B8FC97C">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418" w:type="dxa"/>
            <w:tcBorders>
              <w:top w:val="single" w:color="auto" w:sz="12" w:space="0"/>
              <w:bottom w:val="double" w:color="auto" w:sz="6" w:space="0"/>
            </w:tcBorders>
            <w:noWrap w:val="0"/>
            <w:vAlign w:val="center"/>
          </w:tcPr>
          <w:p w14:paraId="583F615D">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机械或设备名称</w:t>
            </w:r>
          </w:p>
        </w:tc>
        <w:tc>
          <w:tcPr>
            <w:tcW w:w="850" w:type="dxa"/>
            <w:tcBorders>
              <w:top w:val="single" w:color="auto" w:sz="12" w:space="0"/>
              <w:bottom w:val="double" w:color="auto" w:sz="6" w:space="0"/>
            </w:tcBorders>
            <w:noWrap w:val="0"/>
            <w:vAlign w:val="center"/>
          </w:tcPr>
          <w:p w14:paraId="3E2E2594">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规格型号</w:t>
            </w:r>
          </w:p>
        </w:tc>
        <w:tc>
          <w:tcPr>
            <w:tcW w:w="1058" w:type="dxa"/>
            <w:tcBorders>
              <w:top w:val="single" w:color="auto" w:sz="12" w:space="0"/>
              <w:bottom w:val="double" w:color="auto" w:sz="6" w:space="0"/>
            </w:tcBorders>
            <w:noWrap w:val="0"/>
            <w:vAlign w:val="center"/>
          </w:tcPr>
          <w:p w14:paraId="4A337891">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880" w:type="dxa"/>
            <w:tcBorders>
              <w:top w:val="single" w:color="auto" w:sz="12" w:space="0"/>
              <w:bottom w:val="double" w:color="auto" w:sz="6" w:space="0"/>
            </w:tcBorders>
            <w:noWrap w:val="0"/>
            <w:vAlign w:val="center"/>
          </w:tcPr>
          <w:p w14:paraId="24CD6A3D">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产地</w:t>
            </w:r>
          </w:p>
        </w:tc>
        <w:tc>
          <w:tcPr>
            <w:tcW w:w="1020" w:type="dxa"/>
            <w:tcBorders>
              <w:top w:val="single" w:color="auto" w:sz="12" w:space="0"/>
              <w:bottom w:val="double" w:color="auto" w:sz="6" w:space="0"/>
            </w:tcBorders>
            <w:noWrap w:val="0"/>
            <w:vAlign w:val="center"/>
          </w:tcPr>
          <w:p w14:paraId="02CBE798">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制造年份</w:t>
            </w:r>
          </w:p>
        </w:tc>
        <w:tc>
          <w:tcPr>
            <w:tcW w:w="1480" w:type="dxa"/>
            <w:tcBorders>
              <w:top w:val="single" w:color="auto" w:sz="12" w:space="0"/>
              <w:bottom w:val="double" w:color="auto" w:sz="6" w:space="0"/>
            </w:tcBorders>
            <w:noWrap w:val="0"/>
            <w:vAlign w:val="center"/>
          </w:tcPr>
          <w:p w14:paraId="307F6004">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额定功率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kW</w:t>
            </w:r>
            <w:r>
              <w:rPr>
                <w:rFonts w:hint="eastAsia" w:ascii="宋体" w:hAnsi="宋体" w:eastAsia="宋体" w:cs="宋体"/>
                <w:color w:val="auto"/>
                <w:sz w:val="24"/>
                <w:szCs w:val="24"/>
                <w:lang w:eastAsia="zh-CN"/>
              </w:rPr>
              <w:t>）</w:t>
            </w:r>
          </w:p>
        </w:tc>
        <w:tc>
          <w:tcPr>
            <w:tcW w:w="1020" w:type="dxa"/>
            <w:tcBorders>
              <w:top w:val="single" w:color="auto" w:sz="12" w:space="0"/>
              <w:bottom w:val="double" w:color="auto" w:sz="6" w:space="0"/>
            </w:tcBorders>
            <w:noWrap w:val="0"/>
            <w:vAlign w:val="center"/>
          </w:tcPr>
          <w:p w14:paraId="5AD4753E">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生产能力</w:t>
            </w:r>
          </w:p>
        </w:tc>
        <w:tc>
          <w:tcPr>
            <w:tcW w:w="921" w:type="dxa"/>
            <w:tcBorders>
              <w:top w:val="single" w:color="auto" w:sz="12" w:space="0"/>
              <w:bottom w:val="double" w:color="auto" w:sz="6" w:space="0"/>
            </w:tcBorders>
            <w:noWrap w:val="0"/>
            <w:vAlign w:val="center"/>
          </w:tcPr>
          <w:p w14:paraId="30B8A5CB">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5A2CAC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2BF53C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top w:val="double" w:color="auto" w:sz="6" w:space="0"/>
              <w:bottom w:val="single" w:color="auto" w:sz="6" w:space="0"/>
            </w:tcBorders>
            <w:noWrap w:val="0"/>
            <w:vAlign w:val="center"/>
          </w:tcPr>
          <w:p w14:paraId="714742F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double" w:color="auto" w:sz="6" w:space="0"/>
              <w:bottom w:val="single" w:color="auto" w:sz="6" w:space="0"/>
            </w:tcBorders>
            <w:noWrap w:val="0"/>
            <w:vAlign w:val="center"/>
          </w:tcPr>
          <w:p w14:paraId="0921C12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tcBorders>
              <w:top w:val="double" w:color="auto" w:sz="6" w:space="0"/>
              <w:bottom w:val="single" w:color="auto" w:sz="6" w:space="0"/>
            </w:tcBorders>
            <w:noWrap w:val="0"/>
            <w:vAlign w:val="center"/>
          </w:tcPr>
          <w:p w14:paraId="1638385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tcBorders>
              <w:top w:val="double" w:color="auto" w:sz="6" w:space="0"/>
              <w:bottom w:val="single" w:color="auto" w:sz="6" w:space="0"/>
            </w:tcBorders>
            <w:noWrap w:val="0"/>
            <w:vAlign w:val="center"/>
          </w:tcPr>
          <w:p w14:paraId="7A984F5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tcBorders>
              <w:top w:val="double" w:color="auto" w:sz="6" w:space="0"/>
              <w:bottom w:val="single" w:color="auto" w:sz="6" w:space="0"/>
            </w:tcBorders>
            <w:noWrap w:val="0"/>
            <w:vAlign w:val="center"/>
          </w:tcPr>
          <w:p w14:paraId="58D37F3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tcBorders>
              <w:top w:val="double" w:color="auto" w:sz="6" w:space="0"/>
              <w:bottom w:val="single" w:color="auto" w:sz="6" w:space="0"/>
            </w:tcBorders>
            <w:noWrap w:val="0"/>
            <w:vAlign w:val="center"/>
          </w:tcPr>
          <w:p w14:paraId="172852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tcBorders>
              <w:top w:val="double" w:color="auto" w:sz="6" w:space="0"/>
              <w:bottom w:val="single" w:color="auto" w:sz="6" w:space="0"/>
            </w:tcBorders>
            <w:noWrap w:val="0"/>
            <w:vAlign w:val="center"/>
          </w:tcPr>
          <w:p w14:paraId="7FB357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tcBorders>
              <w:top w:val="double" w:color="auto" w:sz="6" w:space="0"/>
              <w:bottom w:val="single" w:color="auto" w:sz="6" w:space="0"/>
            </w:tcBorders>
            <w:noWrap w:val="0"/>
            <w:vAlign w:val="center"/>
          </w:tcPr>
          <w:p w14:paraId="5E8FBB2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7E07C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6DCF95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top w:val="nil"/>
            </w:tcBorders>
            <w:noWrap w:val="0"/>
            <w:vAlign w:val="center"/>
          </w:tcPr>
          <w:p w14:paraId="04C755D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tcBorders>
              <w:top w:val="nil"/>
            </w:tcBorders>
            <w:noWrap w:val="0"/>
            <w:vAlign w:val="center"/>
          </w:tcPr>
          <w:p w14:paraId="68BEEA5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tcBorders>
              <w:top w:val="nil"/>
            </w:tcBorders>
            <w:noWrap w:val="0"/>
            <w:vAlign w:val="center"/>
          </w:tcPr>
          <w:p w14:paraId="6F7C0FB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tcBorders>
              <w:top w:val="nil"/>
            </w:tcBorders>
            <w:noWrap w:val="0"/>
            <w:vAlign w:val="center"/>
          </w:tcPr>
          <w:p w14:paraId="10C7A1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tcBorders>
              <w:top w:val="nil"/>
            </w:tcBorders>
            <w:noWrap w:val="0"/>
            <w:vAlign w:val="center"/>
          </w:tcPr>
          <w:p w14:paraId="30A31D4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tcBorders>
              <w:top w:val="nil"/>
            </w:tcBorders>
            <w:noWrap w:val="0"/>
            <w:vAlign w:val="center"/>
          </w:tcPr>
          <w:p w14:paraId="0992A22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tcBorders>
              <w:top w:val="nil"/>
            </w:tcBorders>
            <w:noWrap w:val="0"/>
            <w:vAlign w:val="center"/>
          </w:tcPr>
          <w:p w14:paraId="13B17B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tcBorders>
              <w:top w:val="nil"/>
            </w:tcBorders>
            <w:noWrap w:val="0"/>
            <w:vAlign w:val="center"/>
          </w:tcPr>
          <w:p w14:paraId="17AD639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5FD16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EEB842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15436D8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67BEF9C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center"/>
          </w:tcPr>
          <w:p w14:paraId="362488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center"/>
          </w:tcPr>
          <w:p w14:paraId="394601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720F139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center"/>
          </w:tcPr>
          <w:p w14:paraId="3FA0D1E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03CFFD7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center"/>
          </w:tcPr>
          <w:p w14:paraId="1117C4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030DA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F960CB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66DF9C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512255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center"/>
          </w:tcPr>
          <w:p w14:paraId="038D3C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center"/>
          </w:tcPr>
          <w:p w14:paraId="5CFC042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0FFFB0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center"/>
          </w:tcPr>
          <w:p w14:paraId="6D52B1D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35703A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center"/>
          </w:tcPr>
          <w:p w14:paraId="0026A9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EE407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824EEE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27F642F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5332FF4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center"/>
          </w:tcPr>
          <w:p w14:paraId="29A3BC4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center"/>
          </w:tcPr>
          <w:p w14:paraId="49EB4FA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5188CC8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center"/>
          </w:tcPr>
          <w:p w14:paraId="0772AC3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74C7C0B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center"/>
          </w:tcPr>
          <w:p w14:paraId="460BE1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84AE6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F99EC8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41CBF0F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781C9E6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center"/>
          </w:tcPr>
          <w:p w14:paraId="1A7B01F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center"/>
          </w:tcPr>
          <w:p w14:paraId="435703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0AA564A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center"/>
          </w:tcPr>
          <w:p w14:paraId="618CE36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05F1142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center"/>
          </w:tcPr>
          <w:p w14:paraId="5235EFB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C8871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EB5DA0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2B2461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54A76D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center"/>
          </w:tcPr>
          <w:p w14:paraId="66052D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center"/>
          </w:tcPr>
          <w:p w14:paraId="474A0B4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272F2A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center"/>
          </w:tcPr>
          <w:p w14:paraId="7FCDC6B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3366B6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center"/>
          </w:tcPr>
          <w:p w14:paraId="1C1EBB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F1E58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0FC072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563DFA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605B14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center"/>
          </w:tcPr>
          <w:p w14:paraId="668DCAF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center"/>
          </w:tcPr>
          <w:p w14:paraId="3C1FC39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23AE77F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center"/>
          </w:tcPr>
          <w:p w14:paraId="56CFA3F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00EF40C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center"/>
          </w:tcPr>
          <w:p w14:paraId="1CCBF39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C5BA7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9DA88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05E3C27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193EE57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72654C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5A897E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57C8D03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2D6974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779BD08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3D8257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24E1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79CBD7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32FDEE8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center"/>
          </w:tcPr>
          <w:p w14:paraId="1D412AC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center"/>
          </w:tcPr>
          <w:p w14:paraId="291E3BE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center"/>
          </w:tcPr>
          <w:p w14:paraId="148B61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1956BA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center"/>
          </w:tcPr>
          <w:p w14:paraId="0905B4A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center"/>
          </w:tcPr>
          <w:p w14:paraId="13C438C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center"/>
          </w:tcPr>
          <w:p w14:paraId="553E801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17E79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DFAB5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2CFDCE3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581D347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1E02F46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779E197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4A45E24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12A4C0C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505DE7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1B567F3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C7AF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6BDA92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B4870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4DCCDC1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02C669F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77C183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53C18E0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0E91875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793B0F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64AB90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A8D6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F3646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6E00AF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5682391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44B68A8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1214340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402293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6936A83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5A82E2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4DDDB81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47159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7D676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1D9377B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54CB79C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3A77A04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44CEE5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6C19241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2A41D54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4188435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5BDAEC7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0EBE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33B18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2E184F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1214C4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6865775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43F4AEA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1F5667F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181715C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45ADD3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6343FBD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8A38D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EF5BBC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D3961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7959090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798EC35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38309AD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61A127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68580D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1A910F5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5109C05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7D105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781239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12D2DE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581B2E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1974B2E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1EBDAE7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3DFF1E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14EF31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5B4BFC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6FB914B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1BF3D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4B8FF7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389C720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4A3D9B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74630EF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1EEAD14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22A5561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105683B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24C437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047C5B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7C957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E4EC1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1ACDE3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0" w:type="dxa"/>
            <w:noWrap w:val="0"/>
            <w:vAlign w:val="top"/>
          </w:tcPr>
          <w:p w14:paraId="635A57E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58" w:type="dxa"/>
            <w:noWrap w:val="0"/>
            <w:vAlign w:val="top"/>
          </w:tcPr>
          <w:p w14:paraId="43765B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80" w:type="dxa"/>
            <w:noWrap w:val="0"/>
            <w:vAlign w:val="top"/>
          </w:tcPr>
          <w:p w14:paraId="39CBB0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58B0266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80" w:type="dxa"/>
            <w:noWrap w:val="0"/>
            <w:vAlign w:val="top"/>
          </w:tcPr>
          <w:p w14:paraId="3C40A1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020" w:type="dxa"/>
            <w:noWrap w:val="0"/>
            <w:vAlign w:val="top"/>
          </w:tcPr>
          <w:p w14:paraId="7BCB9F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921" w:type="dxa"/>
            <w:noWrap w:val="0"/>
            <w:vAlign w:val="top"/>
          </w:tcPr>
          <w:p w14:paraId="6C7776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bl>
    <w:p w14:paraId="75983D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4AAC8A7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w:t>
      </w:r>
      <w:bookmarkStart w:id="707" w:name="_Toc267261699"/>
      <w:bookmarkStart w:id="708" w:name="_Toc296503228"/>
      <w:bookmarkStart w:id="709" w:name="_Toc296891268"/>
      <w:bookmarkStart w:id="710" w:name="_Toc296346729"/>
      <w:bookmarkStart w:id="711" w:name="_Toc296891056"/>
      <w:bookmarkStart w:id="712" w:name="_Toc296944567"/>
      <w:bookmarkStart w:id="713" w:name="_Toc296347227"/>
      <w:r>
        <w:rPr>
          <w:rFonts w:hint="eastAsia" w:ascii="宋体" w:hAnsi="宋体" w:eastAsia="宋体" w:cs="宋体"/>
          <w:color w:val="auto"/>
          <w:sz w:val="24"/>
          <w:szCs w:val="24"/>
        </w:rPr>
        <w:t>件6：</w:t>
      </w:r>
    </w:p>
    <w:bookmarkEnd w:id="707"/>
    <w:bookmarkEnd w:id="708"/>
    <w:bookmarkEnd w:id="709"/>
    <w:bookmarkEnd w:id="710"/>
    <w:bookmarkEnd w:id="711"/>
    <w:bookmarkEnd w:id="712"/>
    <w:bookmarkEnd w:id="713"/>
    <w:p w14:paraId="0D7214DB">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承包人主要施工管理人员表</w:t>
      </w:r>
    </w:p>
    <w:tbl>
      <w:tblPr>
        <w:tblStyle w:val="6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4DCFC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DBB8A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    称</w:t>
            </w:r>
          </w:p>
        </w:tc>
        <w:tc>
          <w:tcPr>
            <w:tcW w:w="1418" w:type="dxa"/>
            <w:tcBorders>
              <w:top w:val="single" w:color="auto" w:sz="12" w:space="0"/>
              <w:bottom w:val="double" w:color="auto" w:sz="6" w:space="0"/>
            </w:tcBorders>
            <w:noWrap w:val="0"/>
            <w:vAlign w:val="center"/>
          </w:tcPr>
          <w:p w14:paraId="0B7B1DC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1134" w:type="dxa"/>
            <w:tcBorders>
              <w:top w:val="single" w:color="auto" w:sz="12" w:space="0"/>
              <w:bottom w:val="double" w:color="auto" w:sz="6" w:space="0"/>
            </w:tcBorders>
            <w:noWrap w:val="0"/>
            <w:vAlign w:val="center"/>
          </w:tcPr>
          <w:p w14:paraId="66E033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职务</w:t>
            </w:r>
          </w:p>
        </w:tc>
        <w:tc>
          <w:tcPr>
            <w:tcW w:w="1134" w:type="dxa"/>
            <w:tcBorders>
              <w:top w:val="single" w:color="auto" w:sz="12" w:space="0"/>
              <w:bottom w:val="double" w:color="auto" w:sz="6" w:space="0"/>
            </w:tcBorders>
            <w:noWrap w:val="0"/>
            <w:vAlign w:val="center"/>
          </w:tcPr>
          <w:p w14:paraId="7439001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职称</w:t>
            </w:r>
          </w:p>
        </w:tc>
        <w:tc>
          <w:tcPr>
            <w:tcW w:w="4252" w:type="dxa"/>
            <w:tcBorders>
              <w:top w:val="single" w:color="auto" w:sz="12" w:space="0"/>
              <w:bottom w:val="double" w:color="auto" w:sz="6" w:space="0"/>
            </w:tcBorders>
            <w:noWrap w:val="0"/>
            <w:vAlign w:val="center"/>
          </w:tcPr>
          <w:p w14:paraId="6B2F08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主要资历、经验及承担过的项目</w:t>
            </w:r>
          </w:p>
        </w:tc>
      </w:tr>
      <w:tr w14:paraId="1856E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756635B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一、总部人员</w:t>
            </w:r>
          </w:p>
        </w:tc>
      </w:tr>
      <w:tr w14:paraId="5F120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C7DC7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项目主管</w:t>
            </w:r>
          </w:p>
        </w:tc>
        <w:tc>
          <w:tcPr>
            <w:tcW w:w="1418" w:type="dxa"/>
            <w:tcBorders>
              <w:top w:val="nil"/>
            </w:tcBorders>
            <w:noWrap w:val="0"/>
            <w:vAlign w:val="center"/>
          </w:tcPr>
          <w:p w14:paraId="15CC867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top w:val="nil"/>
            </w:tcBorders>
            <w:noWrap w:val="0"/>
            <w:vAlign w:val="center"/>
          </w:tcPr>
          <w:p w14:paraId="6ACDF8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top w:val="nil"/>
            </w:tcBorders>
            <w:noWrap w:val="0"/>
            <w:vAlign w:val="center"/>
          </w:tcPr>
          <w:p w14:paraId="62CF079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tcBorders>
              <w:top w:val="nil"/>
            </w:tcBorders>
            <w:noWrap w:val="0"/>
            <w:vAlign w:val="center"/>
          </w:tcPr>
          <w:p w14:paraId="118DB75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2F753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01658BC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08DB090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457D526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C878D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54EBC07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BCB8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B3B82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其他人员</w:t>
            </w:r>
          </w:p>
        </w:tc>
        <w:tc>
          <w:tcPr>
            <w:tcW w:w="1418" w:type="dxa"/>
            <w:noWrap w:val="0"/>
            <w:vAlign w:val="center"/>
          </w:tcPr>
          <w:p w14:paraId="4FE76F4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4AE27D9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57C400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48BA384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0142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5D2ED0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55816DB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6194F3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6C4F268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762DA3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8103E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7C8A176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二、现场人员</w:t>
            </w:r>
          </w:p>
        </w:tc>
      </w:tr>
      <w:tr w14:paraId="5E9192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4AE16C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项目经理</w:t>
            </w:r>
          </w:p>
        </w:tc>
        <w:tc>
          <w:tcPr>
            <w:tcW w:w="1418" w:type="dxa"/>
            <w:noWrap w:val="0"/>
            <w:vAlign w:val="center"/>
          </w:tcPr>
          <w:p w14:paraId="3BE90AA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184FBC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32D504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04301D2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BDD77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A4A409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项目副经理</w:t>
            </w:r>
          </w:p>
        </w:tc>
        <w:tc>
          <w:tcPr>
            <w:tcW w:w="1418" w:type="dxa"/>
            <w:noWrap w:val="0"/>
            <w:vAlign w:val="center"/>
          </w:tcPr>
          <w:p w14:paraId="0FC844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AD376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A57340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61FEB58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72AA1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D59B4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技术负责人</w:t>
            </w:r>
          </w:p>
        </w:tc>
        <w:tc>
          <w:tcPr>
            <w:tcW w:w="1418" w:type="dxa"/>
            <w:noWrap w:val="0"/>
            <w:vAlign w:val="center"/>
          </w:tcPr>
          <w:p w14:paraId="123065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103711A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465CDC1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319A915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9415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878120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造价管理</w:t>
            </w:r>
          </w:p>
        </w:tc>
        <w:tc>
          <w:tcPr>
            <w:tcW w:w="1418" w:type="dxa"/>
            <w:noWrap w:val="0"/>
            <w:vAlign w:val="center"/>
          </w:tcPr>
          <w:p w14:paraId="27313A1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6C5015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569E04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6FB689A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020D3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597021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质量管理</w:t>
            </w:r>
          </w:p>
        </w:tc>
        <w:tc>
          <w:tcPr>
            <w:tcW w:w="1418" w:type="dxa"/>
            <w:noWrap w:val="0"/>
            <w:vAlign w:val="center"/>
          </w:tcPr>
          <w:p w14:paraId="41DB9C6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CC959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26ECE7C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792589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73142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605E25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材料管理</w:t>
            </w:r>
          </w:p>
        </w:tc>
        <w:tc>
          <w:tcPr>
            <w:tcW w:w="1418" w:type="dxa"/>
            <w:noWrap w:val="0"/>
            <w:vAlign w:val="center"/>
          </w:tcPr>
          <w:p w14:paraId="7CD993E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26EE725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3BC419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4A8B8C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D591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2B54F0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计划管理</w:t>
            </w:r>
          </w:p>
        </w:tc>
        <w:tc>
          <w:tcPr>
            <w:tcW w:w="1418" w:type="dxa"/>
            <w:noWrap w:val="0"/>
            <w:vAlign w:val="center"/>
          </w:tcPr>
          <w:p w14:paraId="5AB683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2A0ECA4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114F8C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66C55EC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B7279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8478B9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安全管理</w:t>
            </w:r>
          </w:p>
        </w:tc>
        <w:tc>
          <w:tcPr>
            <w:tcW w:w="1418" w:type="dxa"/>
            <w:noWrap w:val="0"/>
            <w:vAlign w:val="center"/>
          </w:tcPr>
          <w:p w14:paraId="614A6A6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7AF8B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82F5F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4C1D4D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E720D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01F93D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其他人员</w:t>
            </w:r>
          </w:p>
        </w:tc>
        <w:tc>
          <w:tcPr>
            <w:tcW w:w="1418" w:type="dxa"/>
            <w:noWrap w:val="0"/>
            <w:vAlign w:val="center"/>
          </w:tcPr>
          <w:p w14:paraId="4686EC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4C193A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85174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51D52F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9E0B4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B0AC4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bottom w:val="nil"/>
            </w:tcBorders>
            <w:noWrap w:val="0"/>
            <w:vAlign w:val="center"/>
          </w:tcPr>
          <w:p w14:paraId="68962B6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bottom w:val="nil"/>
            </w:tcBorders>
            <w:noWrap w:val="0"/>
            <w:vAlign w:val="center"/>
          </w:tcPr>
          <w:p w14:paraId="233C455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bottom w:val="nil"/>
            </w:tcBorders>
            <w:noWrap w:val="0"/>
            <w:vAlign w:val="center"/>
          </w:tcPr>
          <w:p w14:paraId="3D679C3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tcBorders>
              <w:bottom w:val="nil"/>
            </w:tcBorders>
            <w:noWrap w:val="0"/>
            <w:vAlign w:val="center"/>
          </w:tcPr>
          <w:p w14:paraId="3004C66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468FB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96AEC3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5EF0CC2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5DE062D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632933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614AD4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65409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3B32CE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3C30A62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6218065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5E815AE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53D0B0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A2138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89CB5B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362EC13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46E574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578F42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6F3E7CA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C14A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89C81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bottom w:val="single" w:color="auto" w:sz="12" w:space="0"/>
            </w:tcBorders>
            <w:noWrap w:val="0"/>
            <w:vAlign w:val="center"/>
          </w:tcPr>
          <w:p w14:paraId="223202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bottom w:val="single" w:color="auto" w:sz="12" w:space="0"/>
            </w:tcBorders>
            <w:noWrap w:val="0"/>
            <w:vAlign w:val="center"/>
          </w:tcPr>
          <w:p w14:paraId="08E8EC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bottom w:val="single" w:color="auto" w:sz="12" w:space="0"/>
            </w:tcBorders>
            <w:noWrap w:val="0"/>
            <w:vAlign w:val="center"/>
          </w:tcPr>
          <w:p w14:paraId="5AEB216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tcBorders>
              <w:bottom w:val="single" w:color="auto" w:sz="12" w:space="0"/>
            </w:tcBorders>
            <w:noWrap w:val="0"/>
            <w:vAlign w:val="center"/>
          </w:tcPr>
          <w:p w14:paraId="57E7891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bl>
    <w:p w14:paraId="6195DF2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w:t>
      </w:r>
      <w:bookmarkStart w:id="714" w:name="_Toc296347228"/>
      <w:bookmarkStart w:id="715" w:name="_Toc296891057"/>
      <w:bookmarkStart w:id="716" w:name="_Toc296944568"/>
      <w:bookmarkStart w:id="717" w:name="_Toc296891269"/>
      <w:bookmarkStart w:id="718" w:name="_Toc296346730"/>
      <w:bookmarkStart w:id="719" w:name="_Toc296503229"/>
      <w:r>
        <w:rPr>
          <w:rFonts w:hint="eastAsia" w:ascii="宋体" w:hAnsi="宋体" w:eastAsia="宋体" w:cs="宋体"/>
          <w:color w:val="auto"/>
          <w:sz w:val="24"/>
          <w:szCs w:val="24"/>
        </w:rPr>
        <w:t>件7：</w:t>
      </w:r>
    </w:p>
    <w:bookmarkEnd w:id="714"/>
    <w:bookmarkEnd w:id="715"/>
    <w:bookmarkEnd w:id="716"/>
    <w:bookmarkEnd w:id="717"/>
    <w:bookmarkEnd w:id="718"/>
    <w:bookmarkEnd w:id="719"/>
    <w:p w14:paraId="2D1EDA4E">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分包人主要施工管理人员表</w:t>
      </w:r>
    </w:p>
    <w:tbl>
      <w:tblPr>
        <w:tblStyle w:val="6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0C45D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416AC2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    称</w:t>
            </w:r>
          </w:p>
        </w:tc>
        <w:tc>
          <w:tcPr>
            <w:tcW w:w="1418" w:type="dxa"/>
            <w:tcBorders>
              <w:top w:val="single" w:color="auto" w:sz="12" w:space="0"/>
              <w:bottom w:val="double" w:color="auto" w:sz="6" w:space="0"/>
            </w:tcBorders>
            <w:noWrap w:val="0"/>
            <w:vAlign w:val="center"/>
          </w:tcPr>
          <w:p w14:paraId="3C061D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1134" w:type="dxa"/>
            <w:tcBorders>
              <w:top w:val="single" w:color="auto" w:sz="12" w:space="0"/>
              <w:bottom w:val="double" w:color="auto" w:sz="6" w:space="0"/>
            </w:tcBorders>
            <w:noWrap w:val="0"/>
            <w:vAlign w:val="center"/>
          </w:tcPr>
          <w:p w14:paraId="330A68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职务</w:t>
            </w:r>
          </w:p>
        </w:tc>
        <w:tc>
          <w:tcPr>
            <w:tcW w:w="1134" w:type="dxa"/>
            <w:tcBorders>
              <w:top w:val="single" w:color="auto" w:sz="12" w:space="0"/>
              <w:bottom w:val="double" w:color="auto" w:sz="6" w:space="0"/>
            </w:tcBorders>
            <w:noWrap w:val="0"/>
            <w:vAlign w:val="center"/>
          </w:tcPr>
          <w:p w14:paraId="2AD136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职称</w:t>
            </w:r>
          </w:p>
        </w:tc>
        <w:tc>
          <w:tcPr>
            <w:tcW w:w="4252" w:type="dxa"/>
            <w:tcBorders>
              <w:top w:val="single" w:color="auto" w:sz="12" w:space="0"/>
              <w:bottom w:val="double" w:color="auto" w:sz="6" w:space="0"/>
            </w:tcBorders>
            <w:noWrap w:val="0"/>
            <w:vAlign w:val="center"/>
          </w:tcPr>
          <w:p w14:paraId="510DAC6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主要资历、经验及承担过的项目</w:t>
            </w:r>
          </w:p>
        </w:tc>
      </w:tr>
      <w:tr w14:paraId="2F88B1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0BB21C6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一、总部人员</w:t>
            </w:r>
          </w:p>
        </w:tc>
      </w:tr>
      <w:tr w14:paraId="028DAC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F75828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项目主管</w:t>
            </w:r>
          </w:p>
        </w:tc>
        <w:tc>
          <w:tcPr>
            <w:tcW w:w="1418" w:type="dxa"/>
            <w:tcBorders>
              <w:top w:val="nil"/>
            </w:tcBorders>
            <w:noWrap w:val="0"/>
            <w:vAlign w:val="center"/>
          </w:tcPr>
          <w:p w14:paraId="2920974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top w:val="nil"/>
            </w:tcBorders>
            <w:noWrap w:val="0"/>
            <w:vAlign w:val="center"/>
          </w:tcPr>
          <w:p w14:paraId="144D6B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top w:val="nil"/>
            </w:tcBorders>
            <w:noWrap w:val="0"/>
            <w:vAlign w:val="center"/>
          </w:tcPr>
          <w:p w14:paraId="11849B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tcBorders>
              <w:top w:val="nil"/>
            </w:tcBorders>
            <w:noWrap w:val="0"/>
            <w:vAlign w:val="center"/>
          </w:tcPr>
          <w:p w14:paraId="6D8538A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40A8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5153CC3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1B8859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68093A1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1E0402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60FB32D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FBE5A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BA8C1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其他人员</w:t>
            </w:r>
          </w:p>
        </w:tc>
        <w:tc>
          <w:tcPr>
            <w:tcW w:w="1418" w:type="dxa"/>
            <w:noWrap w:val="0"/>
            <w:vAlign w:val="center"/>
          </w:tcPr>
          <w:p w14:paraId="6CCB9A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62BBBDB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734393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7D4B736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3AA7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957A1D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37237E9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47061A3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40862E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6E7D488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73C5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4C9F2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二、现场人员</w:t>
            </w:r>
          </w:p>
        </w:tc>
      </w:tr>
      <w:tr w14:paraId="696013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D54D39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项目经理</w:t>
            </w:r>
          </w:p>
        </w:tc>
        <w:tc>
          <w:tcPr>
            <w:tcW w:w="1418" w:type="dxa"/>
            <w:noWrap w:val="0"/>
            <w:vAlign w:val="center"/>
          </w:tcPr>
          <w:p w14:paraId="0BA50AA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4BA321F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3670C8E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756BCA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2E92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38B591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项目副经理</w:t>
            </w:r>
          </w:p>
        </w:tc>
        <w:tc>
          <w:tcPr>
            <w:tcW w:w="1418" w:type="dxa"/>
            <w:noWrap w:val="0"/>
            <w:vAlign w:val="center"/>
          </w:tcPr>
          <w:p w14:paraId="21D5B4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5DDA14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4494E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24CACBE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A791C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899990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技术负责人</w:t>
            </w:r>
          </w:p>
        </w:tc>
        <w:tc>
          <w:tcPr>
            <w:tcW w:w="1418" w:type="dxa"/>
            <w:noWrap w:val="0"/>
            <w:vAlign w:val="center"/>
          </w:tcPr>
          <w:p w14:paraId="78625A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26EC888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700269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7468274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A1BD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AC391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造价管理</w:t>
            </w:r>
          </w:p>
        </w:tc>
        <w:tc>
          <w:tcPr>
            <w:tcW w:w="1418" w:type="dxa"/>
            <w:noWrap w:val="0"/>
            <w:vAlign w:val="center"/>
          </w:tcPr>
          <w:p w14:paraId="4053E67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1FABD09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1B6B08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6682A7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C6654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0C11DD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质量管理</w:t>
            </w:r>
          </w:p>
        </w:tc>
        <w:tc>
          <w:tcPr>
            <w:tcW w:w="1418" w:type="dxa"/>
            <w:noWrap w:val="0"/>
            <w:vAlign w:val="center"/>
          </w:tcPr>
          <w:p w14:paraId="076951F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0A2037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649C24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3801BA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1201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53359A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材料管理</w:t>
            </w:r>
          </w:p>
        </w:tc>
        <w:tc>
          <w:tcPr>
            <w:tcW w:w="1418" w:type="dxa"/>
            <w:noWrap w:val="0"/>
            <w:vAlign w:val="center"/>
          </w:tcPr>
          <w:p w14:paraId="3BC0F76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105BF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0DB1B8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29AA249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54936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2233F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计划管理</w:t>
            </w:r>
          </w:p>
        </w:tc>
        <w:tc>
          <w:tcPr>
            <w:tcW w:w="1418" w:type="dxa"/>
            <w:noWrap w:val="0"/>
            <w:vAlign w:val="center"/>
          </w:tcPr>
          <w:p w14:paraId="0AD54B1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01319C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53F43F2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406CC38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834E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08F2C6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安全管理</w:t>
            </w:r>
          </w:p>
        </w:tc>
        <w:tc>
          <w:tcPr>
            <w:tcW w:w="1418" w:type="dxa"/>
            <w:noWrap w:val="0"/>
            <w:vAlign w:val="center"/>
          </w:tcPr>
          <w:p w14:paraId="67B4CB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3299650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19AD75F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266D08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73505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7DF0086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其他人员</w:t>
            </w:r>
          </w:p>
        </w:tc>
        <w:tc>
          <w:tcPr>
            <w:tcW w:w="1418" w:type="dxa"/>
            <w:noWrap w:val="0"/>
            <w:vAlign w:val="center"/>
          </w:tcPr>
          <w:p w14:paraId="2707098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1045082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26A2522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01284F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36CF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9202FE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bottom w:val="nil"/>
            </w:tcBorders>
            <w:noWrap w:val="0"/>
            <w:vAlign w:val="center"/>
          </w:tcPr>
          <w:p w14:paraId="4E42E3C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bottom w:val="nil"/>
            </w:tcBorders>
            <w:noWrap w:val="0"/>
            <w:vAlign w:val="center"/>
          </w:tcPr>
          <w:p w14:paraId="4DCD6C9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bottom w:val="nil"/>
            </w:tcBorders>
            <w:noWrap w:val="0"/>
            <w:vAlign w:val="center"/>
          </w:tcPr>
          <w:p w14:paraId="775BC94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tcBorders>
              <w:bottom w:val="nil"/>
            </w:tcBorders>
            <w:noWrap w:val="0"/>
            <w:vAlign w:val="center"/>
          </w:tcPr>
          <w:p w14:paraId="3B7B071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11FB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378DB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0662ED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71708FD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12DAFCF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314AF06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FB9AC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0116E7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38DF149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6CB36B0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3260FD6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07227B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0BE01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F7818B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center"/>
          </w:tcPr>
          <w:p w14:paraId="5F59B43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3D4AC75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noWrap w:val="0"/>
            <w:vAlign w:val="center"/>
          </w:tcPr>
          <w:p w14:paraId="45DCF98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noWrap w:val="0"/>
            <w:vAlign w:val="center"/>
          </w:tcPr>
          <w:p w14:paraId="527B5F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52D7C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E0BFFC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bottom w:val="single" w:color="auto" w:sz="12" w:space="0"/>
            </w:tcBorders>
            <w:noWrap w:val="0"/>
            <w:vAlign w:val="center"/>
          </w:tcPr>
          <w:p w14:paraId="669A65B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bottom w:val="single" w:color="auto" w:sz="12" w:space="0"/>
            </w:tcBorders>
            <w:noWrap w:val="0"/>
            <w:vAlign w:val="center"/>
          </w:tcPr>
          <w:p w14:paraId="1CE5CCC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134" w:type="dxa"/>
            <w:tcBorders>
              <w:bottom w:val="single" w:color="auto" w:sz="12" w:space="0"/>
            </w:tcBorders>
            <w:noWrap w:val="0"/>
            <w:vAlign w:val="center"/>
          </w:tcPr>
          <w:p w14:paraId="1823F7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252" w:type="dxa"/>
            <w:tcBorders>
              <w:bottom w:val="single" w:color="auto" w:sz="12" w:space="0"/>
            </w:tcBorders>
            <w:noWrap w:val="0"/>
            <w:vAlign w:val="center"/>
          </w:tcPr>
          <w:p w14:paraId="0E1536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bl>
    <w:p w14:paraId="521101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bookmarkStart w:id="720" w:name="_Toc267261701"/>
      <w:r>
        <w:rPr>
          <w:rFonts w:hint="eastAsia" w:ascii="宋体" w:hAnsi="宋体" w:eastAsia="宋体" w:cs="宋体"/>
          <w:color w:val="auto"/>
          <w:sz w:val="24"/>
          <w:szCs w:val="24"/>
        </w:rPr>
        <w:t>附</w:t>
      </w:r>
      <w:bookmarkStart w:id="721" w:name="_Toc296891059"/>
      <w:bookmarkStart w:id="722" w:name="_Toc296347230"/>
      <w:bookmarkStart w:id="723" w:name="_Toc296944570"/>
      <w:bookmarkStart w:id="724" w:name="_Toc296503231"/>
      <w:bookmarkStart w:id="725" w:name="_Toc296891271"/>
      <w:bookmarkStart w:id="726" w:name="_Toc296346732"/>
      <w:r>
        <w:rPr>
          <w:rFonts w:hint="eastAsia" w:ascii="宋体" w:hAnsi="宋体" w:eastAsia="宋体" w:cs="宋体"/>
          <w:color w:val="auto"/>
          <w:sz w:val="24"/>
          <w:szCs w:val="24"/>
        </w:rPr>
        <w:t>件8：</w:t>
      </w:r>
    </w:p>
    <w:bookmarkEnd w:id="720"/>
    <w:bookmarkEnd w:id="721"/>
    <w:bookmarkEnd w:id="722"/>
    <w:bookmarkEnd w:id="723"/>
    <w:bookmarkEnd w:id="724"/>
    <w:bookmarkEnd w:id="725"/>
    <w:bookmarkEnd w:id="726"/>
    <w:p w14:paraId="578C0641">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履约担保</w:t>
      </w:r>
    </w:p>
    <w:p w14:paraId="49128F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（发包人名称）：</w:t>
      </w:r>
    </w:p>
    <w:p w14:paraId="10DDDE9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063D01A7">
      <w:pPr>
        <w:keepNext w:val="0"/>
        <w:keepLines w:val="0"/>
        <w:pageBreakBefore w:val="0"/>
        <w:widowControl/>
        <w:kinsoku/>
        <w:wordWrap w:val="0"/>
        <w:overflowPunct/>
        <w:topLinePunct w:val="0"/>
        <w:autoSpaceDE/>
        <w:autoSpaceDN/>
        <w:bidi w:val="0"/>
        <w:adjustRightInd w:val="0"/>
        <w:snapToGrid w:val="0"/>
        <w:spacing w:after="0" w:line="500" w:lineRule="exact"/>
        <w:ind w:firstLine="849" w:firstLineChars="354"/>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鉴于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（发包人名称，以下简称“发包人”）与</w:t>
      </w:r>
    </w:p>
    <w:p w14:paraId="18E929D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（承包人名称）（以下称“承包人”）于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（工程名称）施工及有关事项协商一致共同签订《建设工程施工合同》。我方愿意无条件地、不可撤销地就承包人履行与你方签订的合同，向你方提供连带责任担保。 </w:t>
      </w:r>
    </w:p>
    <w:p w14:paraId="2A92824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担保金额人民币（大写）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92EEB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担保有效期自你方与承包人签订的合同生效之日起至你方签发或应签发工程接收证书之日止。</w:t>
      </w:r>
    </w:p>
    <w:p w14:paraId="7C58234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在本担保有效期内，因承包人违反合同约定的义务给你方造成经济损失时，我方在收到你方以书面形式提出的在担保金额内的赔偿要求后，在7天内无条件支付。</w:t>
      </w:r>
    </w:p>
    <w:p w14:paraId="5C24473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你方和承包人按合同约定变更合同时，我方承担本担保规定的义务不变。</w:t>
      </w:r>
    </w:p>
    <w:p w14:paraId="603DC7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 因本保函发生的纠纷，可由双方协商解决，协商不成的，任何一方均可提请        仲裁委员会仲裁。</w:t>
      </w:r>
    </w:p>
    <w:p w14:paraId="16DC2E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 本保函自我方法定代表人（或其授权代理人）签字并加盖公章之日起生效。</w:t>
      </w:r>
    </w:p>
    <w:p w14:paraId="238AF0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173C419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担 保 人：                           （盖单位章）</w:t>
      </w:r>
    </w:p>
    <w:p w14:paraId="664310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               （签字）</w:t>
      </w:r>
    </w:p>
    <w:p w14:paraId="1C03002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                                      </w:t>
      </w:r>
    </w:p>
    <w:p w14:paraId="30C6B4D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邮政编码：                                      </w:t>
      </w:r>
    </w:p>
    <w:p w14:paraId="749B9D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                                      </w:t>
      </w:r>
    </w:p>
    <w:p w14:paraId="343ED1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                                      </w:t>
      </w:r>
    </w:p>
    <w:p w14:paraId="043261A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6F6299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07583B9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w:t>
      </w:r>
      <w:bookmarkStart w:id="727" w:name="_Toc296891272"/>
      <w:bookmarkStart w:id="728" w:name="_Toc296346733"/>
      <w:bookmarkStart w:id="729" w:name="_Toc296503232"/>
      <w:bookmarkStart w:id="730" w:name="_Toc296944571"/>
      <w:bookmarkStart w:id="731" w:name="_Toc296347231"/>
      <w:bookmarkStart w:id="732" w:name="_Toc267261702"/>
      <w:bookmarkStart w:id="733" w:name="_Toc296891060"/>
      <w:r>
        <w:rPr>
          <w:rFonts w:hint="eastAsia" w:ascii="宋体" w:hAnsi="宋体" w:eastAsia="宋体" w:cs="宋体"/>
          <w:color w:val="auto"/>
          <w:sz w:val="24"/>
          <w:szCs w:val="24"/>
        </w:rPr>
        <w:t>件9 ：</w:t>
      </w:r>
    </w:p>
    <w:bookmarkEnd w:id="727"/>
    <w:bookmarkEnd w:id="728"/>
    <w:bookmarkEnd w:id="729"/>
    <w:bookmarkEnd w:id="730"/>
    <w:bookmarkEnd w:id="731"/>
    <w:bookmarkEnd w:id="732"/>
    <w:bookmarkEnd w:id="733"/>
    <w:p w14:paraId="3DC54E71">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预付款担保</w:t>
      </w:r>
    </w:p>
    <w:p w14:paraId="0AB8180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（发包人名称）：</w:t>
      </w:r>
    </w:p>
    <w:p w14:paraId="2E600386">
      <w:pPr>
        <w:keepNext w:val="0"/>
        <w:keepLines w:val="0"/>
        <w:pageBreakBefore w:val="0"/>
        <w:widowControl/>
        <w:kinsoku/>
        <w:wordWrap w:val="0"/>
        <w:overflowPunct/>
        <w:topLinePunct w:val="0"/>
        <w:autoSpaceDE/>
        <w:autoSpaceDN/>
        <w:bidi w:val="0"/>
        <w:adjustRightInd w:val="0"/>
        <w:snapToGrid w:val="0"/>
        <w:spacing w:after="0" w:line="500" w:lineRule="exact"/>
        <w:ind w:firstLine="566" w:firstLineChars="236"/>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（承包人名称）（以下称“承包人”）与</w:t>
      </w:r>
    </w:p>
    <w:p w14:paraId="6E1F23B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（发包人名称）（以下简称“发包人”）</w:t>
      </w:r>
    </w:p>
    <w:p w14:paraId="6C7BDA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日签订的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（工程名称）《建设工程施工合同》，承包人按约定的金额向你方提交一份预付款担保，即有权得到你方支付相等金额的预付款。我方愿意就你方提供给承包人的预付款为承包人提供连带责任担保。</w:t>
      </w:r>
    </w:p>
    <w:p w14:paraId="27354BB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担保金额人民币（大写）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7B76064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担保有效期自预付款支付给承包人起生效，至你方签发的进度款支付证书说明已完全扣清止。</w:t>
      </w:r>
    </w:p>
    <w:p w14:paraId="7644C8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089763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你方和承包人按合同约定变更合同时，我方承担本保函规定的义务不变。</w:t>
      </w:r>
    </w:p>
    <w:p w14:paraId="791E7B3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 因本保函发生的纠纷，可由双方协商解决，协商不成的，任何一方均可提请        仲裁委员会仲裁。</w:t>
      </w:r>
    </w:p>
    <w:p w14:paraId="7E2B3B8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 本保函自我方法定代表人（或其授权代理人）签字并加盖公章之日起生效。</w:t>
      </w:r>
    </w:p>
    <w:p w14:paraId="17ECC93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担保人：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5823E4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50F072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26E62F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5DC3E69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0123E9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传    真：</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3731729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32AEFA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A8BAF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w:t>
      </w:r>
      <w:bookmarkStart w:id="734" w:name="_Toc296503233"/>
      <w:bookmarkStart w:id="735" w:name="_Toc296346734"/>
      <w:bookmarkStart w:id="736" w:name="_Toc296347232"/>
      <w:bookmarkStart w:id="737" w:name="_Toc296944572"/>
      <w:bookmarkStart w:id="738" w:name="_Toc296891273"/>
      <w:bookmarkStart w:id="739" w:name="_Toc296891061"/>
      <w:r>
        <w:rPr>
          <w:rFonts w:hint="eastAsia" w:ascii="宋体" w:hAnsi="宋体" w:eastAsia="宋体" w:cs="宋体"/>
          <w:color w:val="auto"/>
          <w:sz w:val="24"/>
          <w:szCs w:val="24"/>
        </w:rPr>
        <w:t xml:space="preserve">件10: </w:t>
      </w:r>
    </w:p>
    <w:p w14:paraId="2B2284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bookmarkEnd w:id="734"/>
    <w:bookmarkEnd w:id="735"/>
    <w:bookmarkEnd w:id="736"/>
    <w:bookmarkEnd w:id="737"/>
    <w:bookmarkEnd w:id="738"/>
    <w:bookmarkEnd w:id="739"/>
    <w:p w14:paraId="416072E1">
      <w:pPr>
        <w:keepNext w:val="0"/>
        <w:keepLines w:val="0"/>
        <w:pageBreakBefore w:val="0"/>
        <w:widowControl/>
        <w:kinsoku/>
        <w:wordWrap w:val="0"/>
        <w:overflowPunct/>
        <w:topLinePunct w:val="0"/>
        <w:autoSpaceDE/>
        <w:autoSpaceDN/>
        <w:bidi w:val="0"/>
        <w:adjustRightInd w:val="0"/>
        <w:snapToGrid w:val="0"/>
        <w:spacing w:after="0" w:line="500" w:lineRule="exact"/>
        <w:ind w:firstLine="48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支付担保</w:t>
      </w:r>
    </w:p>
    <w:p w14:paraId="4B0FC9E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（承包人）：</w:t>
      </w:r>
    </w:p>
    <w:p w14:paraId="3C16B4D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0CB6101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鉴于你方作为承包人已经与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（发包人名称）（以下称“发包人”）于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日签订了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（工程名称）《建设工程施工合同》（以下称“主合同”），应发包人的申请，我方愿就发包人履行主合同约定的工程款支付义务以保证的方式向你方提供如下担保：</w:t>
      </w:r>
    </w:p>
    <w:p w14:paraId="7EC728B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一、保证的范围及保证金额</w:t>
      </w:r>
    </w:p>
    <w:p w14:paraId="49068E9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我方的保证范围是主合同约定的工程款。</w:t>
      </w:r>
    </w:p>
    <w:p w14:paraId="7AEC001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本保函所称主合同约定的工程款是指主合同约定的除工程质量保证金以外的合同价款。</w:t>
      </w:r>
    </w:p>
    <w:p w14:paraId="33E3A1F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我方保证的金额是主合同约定的工程款的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%，数额最高不超过人民币元（大写：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0322A2F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二、保证的方式及保证期间</w:t>
      </w:r>
    </w:p>
    <w:p w14:paraId="1F7C8D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我方保证的方式为：连带责任保证。</w:t>
      </w:r>
    </w:p>
    <w:p w14:paraId="73C8ADF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我方保证的期间为：自本合同生效之日起至主合同约定的工程款支付完毕之日后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日内。</w:t>
      </w:r>
    </w:p>
    <w:p w14:paraId="4813646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你方与发包人协议变更工程款支付日期的，经我方书面同意后，保证期间按照变更后的支付日期做相应调整。</w:t>
      </w:r>
    </w:p>
    <w:p w14:paraId="1FDD47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三、承担保证责任的形式</w:t>
      </w:r>
    </w:p>
    <w:p w14:paraId="45402C6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我方承担保证责任的形式是代为支付。发包人未按主合同约定向你方支付工程款的，由我方在保证金额内代为支付。</w:t>
      </w:r>
    </w:p>
    <w:p w14:paraId="0D408E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四、代偿的安排</w:t>
      </w:r>
    </w:p>
    <w:p w14:paraId="7416C8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你方要求我方承担保证责任的，应向我方发出书面索赔通知及发包人未支付主合同约定工程款的证明材料。索赔通知应写明要求索赔的金额，支付款项应到达的账号。</w:t>
      </w:r>
    </w:p>
    <w:p w14:paraId="779C97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在出现你方与发包人因工程质量发生争议，发包人拒绝向你方支付工程款的情形时，你方要求我方履行保证责任代为支付的，需提供符合相应条件要求的工程质量检测机构出具的质量说明材料。</w:t>
      </w:r>
    </w:p>
    <w:p w14:paraId="53CC2E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我方收到你方的书面索赔通知及相应的证明材料后７天内无条件支付。</w:t>
      </w:r>
    </w:p>
    <w:p w14:paraId="3A1C96A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五、保证责任的解除</w:t>
      </w:r>
    </w:p>
    <w:p w14:paraId="6BA9B9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在本保函承诺的保证期间内，你方未书面向我方主张保证责任的，自保证期间届满次日起，我方保证责任解除。</w:t>
      </w:r>
    </w:p>
    <w:p w14:paraId="05C7DB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发包人按主合同约定履行了工程款的全部支付义务的，自本保函承诺的保证期间届满次日起，我方保证责任解除。</w:t>
      </w:r>
    </w:p>
    <w:p w14:paraId="0938E12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我方按照本保函向你方履行保证责任所支付金额达到本保函保证金额时，自我方向你方支付（支付款项从我方账户划出）之日起，保证责任即解除。</w:t>
      </w:r>
    </w:p>
    <w:p w14:paraId="243CB7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按照法律法规的规定或出现应解除我方保证责任的其他情形的，我方在本保函项下的保证责任亦解除。</w:t>
      </w:r>
    </w:p>
    <w:p w14:paraId="790ECA1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 我方解除保证责任后，你方应自我方保证责任解除之日起  个工作日内，将本保函原件返还我方。</w:t>
      </w:r>
    </w:p>
    <w:p w14:paraId="199A485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六、免责条款</w:t>
      </w:r>
    </w:p>
    <w:p w14:paraId="34EB4A0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 因你方违约致使发包人不能履行义务的，我方不承担保证责任。</w:t>
      </w:r>
    </w:p>
    <w:p w14:paraId="04BE1C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 依照法律法规的规定或你方与发包人的另行约定，免除发包人部分或全部义务的，我方亦免除其相应的保证责任。</w:t>
      </w:r>
    </w:p>
    <w:p w14:paraId="49F6B30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你方与发包人协议变更主合同的，如加重发包人责任致使我方保证责任加重的，需征得我方书面同意，否则我方不再承担因此而加重部分的保证责任，但主合同第10条〔变更〕约定的变更不受本款限制。</w:t>
      </w:r>
    </w:p>
    <w:p w14:paraId="0EC6930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因不可抗力造成发包人不能履行义务的，我方不承担保证责任。</w:t>
      </w:r>
    </w:p>
    <w:p w14:paraId="1B9E7AB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七、争议解决</w:t>
      </w:r>
    </w:p>
    <w:p w14:paraId="37CB861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因本保函或本保函相关事项发生的纠纷，可由双方协商解决，协商不成的，按下列第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种方式解决：</w:t>
      </w:r>
    </w:p>
    <w:p w14:paraId="727AB1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仲裁委员会申请仲裁；</w:t>
      </w:r>
    </w:p>
    <w:p w14:paraId="0C0E4E2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人民法院起诉。</w:t>
      </w:r>
    </w:p>
    <w:p w14:paraId="2717BC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八、保函的生效</w:t>
      </w:r>
    </w:p>
    <w:p w14:paraId="2907A7C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本保函自我方法定代表人（或其授权代理人）签字并加盖公章之日起生效。</w:t>
      </w:r>
    </w:p>
    <w:p w14:paraId="480C4F7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担保人：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（盖章）</w:t>
      </w:r>
    </w:p>
    <w:p w14:paraId="1B3A744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p>
    <w:p w14:paraId="489FDB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p>
    <w:p w14:paraId="6B476C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7FA72D2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205CA9A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29053C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br w:type="page"/>
      </w:r>
      <w:r>
        <w:rPr>
          <w:rFonts w:hint="eastAsia" w:ascii="宋体" w:hAnsi="宋体" w:eastAsia="宋体" w:cs="宋体"/>
          <w:color w:val="auto"/>
          <w:sz w:val="24"/>
          <w:szCs w:val="24"/>
        </w:rPr>
        <w:t>附件11：</w:t>
      </w:r>
    </w:p>
    <w:p w14:paraId="6F12F82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11-1：材料暂估价表</w:t>
      </w:r>
    </w:p>
    <w:tbl>
      <w:tblPr>
        <w:tblStyle w:val="6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813F3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255FA6C9">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84" w:type="dxa"/>
            <w:tcBorders>
              <w:top w:val="single" w:color="auto" w:sz="12" w:space="0"/>
              <w:bottom w:val="double" w:color="auto" w:sz="6" w:space="0"/>
            </w:tcBorders>
            <w:noWrap w:val="0"/>
            <w:vAlign w:val="top"/>
          </w:tcPr>
          <w:p w14:paraId="2080313E">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851" w:type="dxa"/>
            <w:tcBorders>
              <w:top w:val="single" w:color="auto" w:sz="12" w:space="0"/>
              <w:bottom w:val="double" w:color="auto" w:sz="6" w:space="0"/>
            </w:tcBorders>
            <w:noWrap w:val="0"/>
            <w:vAlign w:val="top"/>
          </w:tcPr>
          <w:p w14:paraId="6C082C6A">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774" w:type="dxa"/>
            <w:tcBorders>
              <w:top w:val="single" w:color="auto" w:sz="12" w:space="0"/>
              <w:bottom w:val="double" w:color="auto" w:sz="6" w:space="0"/>
            </w:tcBorders>
            <w:noWrap w:val="0"/>
            <w:vAlign w:val="top"/>
          </w:tcPr>
          <w:p w14:paraId="4DCB3C45">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352" w:type="dxa"/>
            <w:tcBorders>
              <w:top w:val="single" w:color="auto" w:sz="12" w:space="0"/>
              <w:bottom w:val="double" w:color="auto" w:sz="6" w:space="0"/>
            </w:tcBorders>
            <w:noWrap w:val="0"/>
            <w:vAlign w:val="top"/>
          </w:tcPr>
          <w:p w14:paraId="509B1A16">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单价（元）</w:t>
            </w:r>
          </w:p>
        </w:tc>
        <w:tc>
          <w:tcPr>
            <w:tcW w:w="1418" w:type="dxa"/>
            <w:tcBorders>
              <w:top w:val="single" w:color="auto" w:sz="12" w:space="0"/>
              <w:bottom w:val="double" w:color="auto" w:sz="6" w:space="0"/>
            </w:tcBorders>
            <w:noWrap w:val="0"/>
            <w:vAlign w:val="top"/>
          </w:tcPr>
          <w:p w14:paraId="4DC9CC33">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合价（元）</w:t>
            </w:r>
          </w:p>
        </w:tc>
        <w:tc>
          <w:tcPr>
            <w:tcW w:w="1701" w:type="dxa"/>
            <w:tcBorders>
              <w:top w:val="single" w:color="auto" w:sz="12" w:space="0"/>
              <w:bottom w:val="double" w:color="auto" w:sz="6" w:space="0"/>
            </w:tcBorders>
            <w:noWrap w:val="0"/>
            <w:vAlign w:val="top"/>
          </w:tcPr>
          <w:p w14:paraId="4B10C383">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1151AF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0BE74A9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tcBorders>
              <w:top w:val="double" w:color="auto" w:sz="6" w:space="0"/>
              <w:bottom w:val="single" w:color="auto" w:sz="6" w:space="0"/>
            </w:tcBorders>
            <w:noWrap w:val="0"/>
            <w:vAlign w:val="top"/>
          </w:tcPr>
          <w:p w14:paraId="5126D07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double" w:color="auto" w:sz="6" w:space="0"/>
              <w:bottom w:val="single" w:color="auto" w:sz="6" w:space="0"/>
            </w:tcBorders>
            <w:noWrap w:val="0"/>
            <w:vAlign w:val="top"/>
          </w:tcPr>
          <w:p w14:paraId="6854FA6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tcBorders>
              <w:top w:val="double" w:color="auto" w:sz="6" w:space="0"/>
              <w:bottom w:val="single" w:color="auto" w:sz="6" w:space="0"/>
            </w:tcBorders>
            <w:noWrap w:val="0"/>
            <w:vAlign w:val="top"/>
          </w:tcPr>
          <w:p w14:paraId="407C37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tcBorders>
              <w:top w:val="double" w:color="auto" w:sz="6" w:space="0"/>
              <w:bottom w:val="single" w:color="auto" w:sz="6" w:space="0"/>
            </w:tcBorders>
            <w:noWrap w:val="0"/>
            <w:vAlign w:val="top"/>
          </w:tcPr>
          <w:p w14:paraId="58C060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top w:val="double" w:color="auto" w:sz="6" w:space="0"/>
              <w:bottom w:val="single" w:color="auto" w:sz="6" w:space="0"/>
            </w:tcBorders>
            <w:noWrap w:val="0"/>
            <w:vAlign w:val="top"/>
          </w:tcPr>
          <w:p w14:paraId="76CB0B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tcBorders>
              <w:top w:val="double" w:color="auto" w:sz="6" w:space="0"/>
              <w:bottom w:val="single" w:color="auto" w:sz="6" w:space="0"/>
            </w:tcBorders>
            <w:noWrap w:val="0"/>
            <w:vAlign w:val="top"/>
          </w:tcPr>
          <w:p w14:paraId="2227C8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71F1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22D41B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tcBorders>
              <w:top w:val="nil"/>
            </w:tcBorders>
            <w:noWrap w:val="0"/>
            <w:vAlign w:val="top"/>
          </w:tcPr>
          <w:p w14:paraId="32AA006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top"/>
          </w:tcPr>
          <w:p w14:paraId="677CBE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tcBorders>
              <w:top w:val="nil"/>
            </w:tcBorders>
            <w:noWrap w:val="0"/>
            <w:vAlign w:val="top"/>
          </w:tcPr>
          <w:p w14:paraId="7239F80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tcBorders>
              <w:top w:val="nil"/>
            </w:tcBorders>
            <w:noWrap w:val="0"/>
            <w:vAlign w:val="top"/>
          </w:tcPr>
          <w:p w14:paraId="06C8FC1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top w:val="nil"/>
            </w:tcBorders>
            <w:noWrap w:val="0"/>
            <w:vAlign w:val="top"/>
          </w:tcPr>
          <w:p w14:paraId="6B8FECA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tcBorders>
              <w:top w:val="nil"/>
            </w:tcBorders>
            <w:noWrap w:val="0"/>
            <w:vAlign w:val="top"/>
          </w:tcPr>
          <w:p w14:paraId="5182ED2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20FA6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1AF0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695FF2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7BAF9C4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40DCF0D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1777DE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2715C65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2A7B27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0280C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33A12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826305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688F97F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3F5A41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075C24F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4D666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7506425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CE0DC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D3A697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EF899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3FEF3FB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1458A2A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6E98F0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47A8853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7D4193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F9F97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25D4DF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223BA4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731D51D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1132B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6143D96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1694CB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0D277B0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CD70E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E3796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2E752C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206C31D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EDE122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8BC6D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7909B06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036DF2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6BD5D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7582E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5DD599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3FAD559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156CC60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24A7B9E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338F20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4BC1A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D5D4D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A6DC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29F5CC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162CF3D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32370F3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58A4422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33552B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09B8C5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E09A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4060B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91AD0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6A1B0B0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15848DB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089E190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70FFF2E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321F90A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5FD5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6A444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DBA4A9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5561A24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129F08C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DF783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ED99D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0639CFA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28C8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2BA38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4AFB5AE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28E3210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523956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222C0E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6B22074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2FEF37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F62EC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77BF7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70A482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7FDC8DB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B20491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5E20595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4AECB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A7558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23005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BE29A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7D0DD60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51E5D9E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E7390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3216010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3691206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027B3AE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1391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7D43E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05F12C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6AF5073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4E2758D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183B0E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6ACCAF6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1924F21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A1CC8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0DC3F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0ED148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7F5DAC3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02F5BC1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23E2C6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43FB3C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54E1804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0B90E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BBA4A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04F2A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6305EAC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6985F0E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0B0C854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34F25D9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4ED954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690D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397317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4827144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6199CF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00F37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FAF42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75C4EE3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321A98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1373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F2795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1A9EE5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3E5FEA8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3AEF4B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366A298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62AFD9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041AED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D1193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2B2BA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284A626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1277B6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64AE3D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0B6C18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80E8BE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0FC1DA0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994B3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677B6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47AD0F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08B16C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62A8EA9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166F70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694670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5C31A5A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74487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8057F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277E460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54F983E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1EE75D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CFDA4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18B61C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34D2B48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B3CA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BC3A2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757E6C8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784566B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685F0C5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003E77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2869DC9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5B0ABF9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bl>
    <w:p w14:paraId="29E0F2E0">
      <w:pPr>
        <w:keepNext w:val="0"/>
        <w:keepLines w:val="0"/>
        <w:pageBreakBefore w:val="0"/>
        <w:widowControl/>
        <w:kinsoku/>
        <w:wordWrap w:val="0"/>
        <w:overflowPunct/>
        <w:topLinePunct w:val="0"/>
        <w:autoSpaceDE/>
        <w:autoSpaceDN/>
        <w:bidi w:val="0"/>
        <w:adjustRightInd w:val="0"/>
        <w:snapToGrid w:val="0"/>
        <w:spacing w:after="0" w:line="50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11-2：工程设备暂估价表</w:t>
      </w:r>
    </w:p>
    <w:tbl>
      <w:tblPr>
        <w:tblStyle w:val="6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BC8E2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5CA5FAFE">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84" w:type="dxa"/>
            <w:tcBorders>
              <w:top w:val="single" w:color="auto" w:sz="12" w:space="0"/>
              <w:bottom w:val="double" w:color="auto" w:sz="6" w:space="0"/>
            </w:tcBorders>
            <w:noWrap w:val="0"/>
            <w:vAlign w:val="top"/>
          </w:tcPr>
          <w:p w14:paraId="61CDC8F6">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851" w:type="dxa"/>
            <w:tcBorders>
              <w:top w:val="single" w:color="auto" w:sz="12" w:space="0"/>
              <w:bottom w:val="double" w:color="auto" w:sz="6" w:space="0"/>
            </w:tcBorders>
            <w:noWrap w:val="0"/>
            <w:vAlign w:val="top"/>
          </w:tcPr>
          <w:p w14:paraId="3F9555F3">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774" w:type="dxa"/>
            <w:tcBorders>
              <w:top w:val="single" w:color="auto" w:sz="12" w:space="0"/>
              <w:bottom w:val="double" w:color="auto" w:sz="6" w:space="0"/>
            </w:tcBorders>
            <w:noWrap w:val="0"/>
            <w:vAlign w:val="top"/>
          </w:tcPr>
          <w:p w14:paraId="470D9786">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352" w:type="dxa"/>
            <w:tcBorders>
              <w:top w:val="single" w:color="auto" w:sz="12" w:space="0"/>
              <w:bottom w:val="double" w:color="auto" w:sz="6" w:space="0"/>
            </w:tcBorders>
            <w:noWrap w:val="0"/>
            <w:vAlign w:val="top"/>
          </w:tcPr>
          <w:p w14:paraId="67D4B51F">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单价（元）</w:t>
            </w:r>
          </w:p>
        </w:tc>
        <w:tc>
          <w:tcPr>
            <w:tcW w:w="1418" w:type="dxa"/>
            <w:tcBorders>
              <w:top w:val="single" w:color="auto" w:sz="12" w:space="0"/>
              <w:bottom w:val="double" w:color="auto" w:sz="6" w:space="0"/>
            </w:tcBorders>
            <w:noWrap w:val="0"/>
            <w:vAlign w:val="top"/>
          </w:tcPr>
          <w:p w14:paraId="67BEE39E">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合价（元）</w:t>
            </w:r>
          </w:p>
        </w:tc>
        <w:tc>
          <w:tcPr>
            <w:tcW w:w="1701" w:type="dxa"/>
            <w:tcBorders>
              <w:top w:val="single" w:color="auto" w:sz="12" w:space="0"/>
              <w:bottom w:val="double" w:color="auto" w:sz="6" w:space="0"/>
            </w:tcBorders>
            <w:noWrap w:val="0"/>
            <w:vAlign w:val="top"/>
          </w:tcPr>
          <w:p w14:paraId="3D097F84">
            <w:pPr>
              <w:keepNext w:val="0"/>
              <w:keepLines w:val="0"/>
              <w:pageBreakBefore w:val="0"/>
              <w:widowControl/>
              <w:kinsoku/>
              <w:wordWrap w:val="0"/>
              <w:overflowPunct/>
              <w:topLinePunct w:val="0"/>
              <w:autoSpaceDE/>
              <w:autoSpaceDN/>
              <w:bidi w:val="0"/>
              <w:adjustRightInd w:val="0"/>
              <w:snapToGrid w:val="0"/>
              <w:spacing w:after="0" w:line="500" w:lineRule="exact"/>
              <w:ind w:left="-3" w:leftChars="-13" w:hanging="26" w:hangingChars="1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449577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7F545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tcBorders>
              <w:top w:val="double" w:color="auto" w:sz="6" w:space="0"/>
              <w:bottom w:val="single" w:color="auto" w:sz="6" w:space="0"/>
            </w:tcBorders>
            <w:noWrap w:val="0"/>
            <w:vAlign w:val="top"/>
          </w:tcPr>
          <w:p w14:paraId="7F60571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double" w:color="auto" w:sz="6" w:space="0"/>
              <w:bottom w:val="single" w:color="auto" w:sz="6" w:space="0"/>
            </w:tcBorders>
            <w:noWrap w:val="0"/>
            <w:vAlign w:val="top"/>
          </w:tcPr>
          <w:p w14:paraId="5BE0C99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tcBorders>
              <w:top w:val="double" w:color="auto" w:sz="6" w:space="0"/>
              <w:bottom w:val="single" w:color="auto" w:sz="6" w:space="0"/>
            </w:tcBorders>
            <w:noWrap w:val="0"/>
            <w:vAlign w:val="top"/>
          </w:tcPr>
          <w:p w14:paraId="0FE37EF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tcBorders>
              <w:top w:val="double" w:color="auto" w:sz="6" w:space="0"/>
              <w:bottom w:val="single" w:color="auto" w:sz="6" w:space="0"/>
            </w:tcBorders>
            <w:noWrap w:val="0"/>
            <w:vAlign w:val="top"/>
          </w:tcPr>
          <w:p w14:paraId="1CF3789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top w:val="double" w:color="auto" w:sz="6" w:space="0"/>
              <w:bottom w:val="single" w:color="auto" w:sz="6" w:space="0"/>
            </w:tcBorders>
            <w:noWrap w:val="0"/>
            <w:vAlign w:val="top"/>
          </w:tcPr>
          <w:p w14:paraId="66CAC7C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tcBorders>
              <w:top w:val="double" w:color="auto" w:sz="6" w:space="0"/>
              <w:bottom w:val="single" w:color="auto" w:sz="6" w:space="0"/>
            </w:tcBorders>
            <w:noWrap w:val="0"/>
            <w:vAlign w:val="top"/>
          </w:tcPr>
          <w:p w14:paraId="18C194E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A126D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6DD8D7E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tcBorders>
              <w:top w:val="nil"/>
            </w:tcBorders>
            <w:noWrap w:val="0"/>
            <w:vAlign w:val="top"/>
          </w:tcPr>
          <w:p w14:paraId="2389E8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tcBorders>
              <w:top w:val="nil"/>
            </w:tcBorders>
            <w:noWrap w:val="0"/>
            <w:vAlign w:val="top"/>
          </w:tcPr>
          <w:p w14:paraId="2D113E7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tcBorders>
              <w:top w:val="nil"/>
            </w:tcBorders>
            <w:noWrap w:val="0"/>
            <w:vAlign w:val="top"/>
          </w:tcPr>
          <w:p w14:paraId="3C52FE6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tcBorders>
              <w:top w:val="nil"/>
            </w:tcBorders>
            <w:noWrap w:val="0"/>
            <w:vAlign w:val="top"/>
          </w:tcPr>
          <w:p w14:paraId="49CE468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tcBorders>
              <w:top w:val="nil"/>
            </w:tcBorders>
            <w:noWrap w:val="0"/>
            <w:vAlign w:val="top"/>
          </w:tcPr>
          <w:p w14:paraId="28334E1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tcBorders>
              <w:top w:val="nil"/>
            </w:tcBorders>
            <w:noWrap w:val="0"/>
            <w:vAlign w:val="top"/>
          </w:tcPr>
          <w:p w14:paraId="2EF175F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5AAF1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220D4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3A48C9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5CACAD5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3B300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C84D21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10F766C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C17380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9CA55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CF5B06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4DBAA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46ED7C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4A9B65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4BA13D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2F84F2B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2F93CB9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79055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EC72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582427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09B305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3239DFE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20587D7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4916C72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90D706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C7D80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F32FA8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5ECC802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792D7E1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0D0E77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A244D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B377B0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7087D68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40175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2A29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C69D4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6452348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12A4E4A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350591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4A94D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71A9C01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90106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1E7772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82BCE7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6FCA32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4565435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4689F2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109BAA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7B3F8E9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FDE8A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29835C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634A0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3B9133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53DCE1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277C9C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46F71B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4ABE6B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9C928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EAA4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13B5B0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6DAFA30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04A50B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3FD9030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664AE0E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5C8CE1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D2FD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341BB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14590E5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2F0461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3345044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47837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39DF80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1BEFF2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40E23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E99C7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C0ACC4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161E692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3B32D86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24E4F52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14D1A63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DC67E0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22E92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586A4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784089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7CB9328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FF01EF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7F1DBC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79A880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30A4A55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ECB00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C0542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A3CA4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01E99DD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4386634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0E272B7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6936B53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93552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48DCC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ED4D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1F7628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26E883E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18D654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309C49D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4601C1D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3042447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BE74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07844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74F1E3D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7C01739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F367E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4F1015D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7184F88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302594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07570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F640B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ACF297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292A2EF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2C62EE5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300AE93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41CC9AC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34B17AD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5C68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89850E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7D7CBA2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381D98B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0E4A86F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0E8B7C7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2C3EB56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15890CB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D51F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D2D96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C8375F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5458CB4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3E28103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5C360CF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0AFB37B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7FA92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B1484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E842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2105768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4AEA18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4866E77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4B710A0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152C329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36B18E4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B2D9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47DBE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0697E9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5A5746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6834B56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542A2F3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C4865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6DD2515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30E15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EBA8D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6D6108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57103BE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44C412A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6B968A8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568FD4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55BC600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3DE5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CB14F9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78338D0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851" w:type="dxa"/>
            <w:noWrap w:val="0"/>
            <w:vAlign w:val="top"/>
          </w:tcPr>
          <w:p w14:paraId="34A0471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774" w:type="dxa"/>
            <w:noWrap w:val="0"/>
            <w:vAlign w:val="top"/>
          </w:tcPr>
          <w:p w14:paraId="0F4E361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352" w:type="dxa"/>
            <w:noWrap w:val="0"/>
            <w:vAlign w:val="top"/>
          </w:tcPr>
          <w:p w14:paraId="431888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418" w:type="dxa"/>
            <w:noWrap w:val="0"/>
            <w:vAlign w:val="top"/>
          </w:tcPr>
          <w:p w14:paraId="43D5697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701" w:type="dxa"/>
            <w:noWrap w:val="0"/>
            <w:vAlign w:val="top"/>
          </w:tcPr>
          <w:p w14:paraId="2989DBD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bl>
    <w:p w14:paraId="4FD6FB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p w14:paraId="4655C48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11-3：专业工程暂估价表</w:t>
      </w:r>
    </w:p>
    <w:tbl>
      <w:tblPr>
        <w:tblStyle w:val="62"/>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26C9FE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3816EF64">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84" w:type="dxa"/>
            <w:tcBorders>
              <w:top w:val="single" w:color="auto" w:sz="12" w:space="0"/>
              <w:bottom w:val="double" w:color="auto" w:sz="6" w:space="0"/>
            </w:tcBorders>
            <w:noWrap w:val="0"/>
            <w:vAlign w:val="top"/>
          </w:tcPr>
          <w:p w14:paraId="300206A2">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专业工程名称</w:t>
            </w:r>
          </w:p>
        </w:tc>
        <w:tc>
          <w:tcPr>
            <w:tcW w:w="4678" w:type="dxa"/>
            <w:tcBorders>
              <w:top w:val="single" w:color="auto" w:sz="12" w:space="0"/>
              <w:bottom w:val="double" w:color="auto" w:sz="6" w:space="0"/>
            </w:tcBorders>
            <w:noWrap w:val="0"/>
            <w:vAlign w:val="top"/>
          </w:tcPr>
          <w:p w14:paraId="4F0893D1">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工程内容</w:t>
            </w:r>
          </w:p>
        </w:tc>
        <w:tc>
          <w:tcPr>
            <w:tcW w:w="1276" w:type="dxa"/>
            <w:tcBorders>
              <w:top w:val="single" w:color="auto" w:sz="12" w:space="0"/>
              <w:bottom w:val="double" w:color="auto" w:sz="6" w:space="0"/>
            </w:tcBorders>
            <w:noWrap w:val="0"/>
            <w:vAlign w:val="top"/>
          </w:tcPr>
          <w:p w14:paraId="69C7E061">
            <w:pPr>
              <w:keepNext w:val="0"/>
              <w:keepLines w:val="0"/>
              <w:pageBreakBefore w:val="0"/>
              <w:widowControl/>
              <w:kinsoku/>
              <w:wordWrap w:val="0"/>
              <w:overflowPunct/>
              <w:topLinePunct w:val="0"/>
              <w:autoSpaceDE/>
              <w:autoSpaceDN/>
              <w:bidi w:val="0"/>
              <w:adjustRightInd w:val="0"/>
              <w:snapToGrid w:val="0"/>
              <w:spacing w:after="0" w:line="5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w:t>
            </w:r>
          </w:p>
        </w:tc>
      </w:tr>
      <w:tr w14:paraId="28B2C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2D133AE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tcBorders>
              <w:top w:val="double" w:color="auto" w:sz="6" w:space="0"/>
              <w:bottom w:val="single" w:color="auto" w:sz="6" w:space="0"/>
            </w:tcBorders>
            <w:noWrap w:val="0"/>
            <w:vAlign w:val="top"/>
          </w:tcPr>
          <w:p w14:paraId="09DBD88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tcBorders>
              <w:top w:val="double" w:color="auto" w:sz="6" w:space="0"/>
              <w:bottom w:val="single" w:color="auto" w:sz="6" w:space="0"/>
            </w:tcBorders>
            <w:noWrap w:val="0"/>
            <w:vAlign w:val="top"/>
          </w:tcPr>
          <w:p w14:paraId="2910A8B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tcBorders>
              <w:top w:val="double" w:color="auto" w:sz="6" w:space="0"/>
              <w:bottom w:val="single" w:color="auto" w:sz="6" w:space="0"/>
            </w:tcBorders>
            <w:noWrap w:val="0"/>
            <w:vAlign w:val="top"/>
          </w:tcPr>
          <w:p w14:paraId="4823316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5D994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47EF2C3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tcBorders>
              <w:top w:val="nil"/>
            </w:tcBorders>
            <w:noWrap w:val="0"/>
            <w:vAlign w:val="top"/>
          </w:tcPr>
          <w:p w14:paraId="1028CC3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tcBorders>
              <w:top w:val="nil"/>
            </w:tcBorders>
            <w:noWrap w:val="0"/>
            <w:vAlign w:val="top"/>
          </w:tcPr>
          <w:p w14:paraId="19C0BB8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tcBorders>
              <w:top w:val="nil"/>
            </w:tcBorders>
            <w:noWrap w:val="0"/>
            <w:vAlign w:val="top"/>
          </w:tcPr>
          <w:p w14:paraId="4511365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C20D2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431B11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tcBorders>
              <w:top w:val="nil"/>
            </w:tcBorders>
            <w:noWrap w:val="0"/>
            <w:vAlign w:val="top"/>
          </w:tcPr>
          <w:p w14:paraId="612078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tcBorders>
              <w:top w:val="nil"/>
            </w:tcBorders>
            <w:noWrap w:val="0"/>
            <w:vAlign w:val="top"/>
          </w:tcPr>
          <w:p w14:paraId="26866F6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tcBorders>
              <w:top w:val="nil"/>
            </w:tcBorders>
            <w:noWrap w:val="0"/>
            <w:vAlign w:val="top"/>
          </w:tcPr>
          <w:p w14:paraId="22E15C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1BE32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612AA3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019121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3D609EC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E64FF4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62BB1C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716795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BE1B43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5AF9814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098AD7A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42528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99FE28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8B3D8D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545855F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77532168">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41F561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BFDA9F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2C6AE7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00B21A0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305D5B3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0CA6B7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6D499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41C5F11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30E7606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746A07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21B37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4AFDCA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5079E76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7FA088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657BD7B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3006C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A5897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7AC40C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250D19A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D913E9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7B747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8ED595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CC41B3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1CE0353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223E59E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F7978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3EB6BE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2E709AD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7E2418C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07A17CE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1EA1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96CF68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C453B1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1A14FCD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3CA7676A">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A5F57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1B35D0C">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165B524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77EB726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93A51F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24AF53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8C1D21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7D8DC7A2">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78AEBE6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73D21AC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E6856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E044D1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4A3DA6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0E855A8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70A620A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07C97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A2534A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6A8FD6B0">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3A5F2B4D">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1B1949F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E24C0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7D8FD6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52B34D9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23984975">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6D62FC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1217D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C142B7E">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3E5EBE3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7FA0572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1DD4374B">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2B39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9067737">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0862CF73">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47BCCCF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6F8A7099">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7A751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6070DCF">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984" w:type="dxa"/>
            <w:noWrap w:val="0"/>
            <w:vAlign w:val="top"/>
          </w:tcPr>
          <w:p w14:paraId="28245B71">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4678" w:type="dxa"/>
            <w:noWrap w:val="0"/>
            <w:vAlign w:val="top"/>
          </w:tcPr>
          <w:p w14:paraId="36FC61C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c>
          <w:tcPr>
            <w:tcW w:w="1276" w:type="dxa"/>
            <w:noWrap w:val="0"/>
            <w:vAlign w:val="top"/>
          </w:tcPr>
          <w:p w14:paraId="425C5616">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p>
        </w:tc>
      </w:tr>
      <w:tr w14:paraId="5BD16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4" w:hRule="atLeast"/>
        </w:trPr>
        <w:tc>
          <w:tcPr>
            <w:tcW w:w="8817" w:type="dxa"/>
            <w:gridSpan w:val="4"/>
            <w:noWrap w:val="0"/>
            <w:vAlign w:val="top"/>
          </w:tcPr>
          <w:p w14:paraId="2AFCCF84">
            <w:pPr>
              <w:keepNext w:val="0"/>
              <w:keepLines w:val="0"/>
              <w:pageBreakBefore w:val="0"/>
              <w:widowControl/>
              <w:kinsoku/>
              <w:wordWrap w:val="0"/>
              <w:overflowPunct/>
              <w:topLinePunct w:val="0"/>
              <w:autoSpaceDE/>
              <w:autoSpaceDN/>
              <w:bidi w:val="0"/>
              <w:adjustRightInd w:val="0"/>
              <w:snapToGrid w:val="0"/>
              <w:spacing w:after="0" w:line="50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小计：</w:t>
            </w:r>
          </w:p>
        </w:tc>
      </w:tr>
    </w:tbl>
    <w:p w14:paraId="34397059">
      <w:pPr>
        <w:pStyle w:val="14"/>
        <w:pageBreakBefore w:val="0"/>
        <w:kinsoku/>
        <w:wordWrap w:val="0"/>
        <w:overflowPunct/>
        <w:bidi w:val="0"/>
        <w:spacing w:after="0"/>
        <w:textAlignment w:val="auto"/>
        <w:rPr>
          <w:rFonts w:hint="eastAsia" w:ascii="宋体" w:hAnsi="宋体" w:eastAsia="宋体" w:cs="宋体"/>
          <w:color w:val="auto"/>
        </w:rPr>
      </w:pPr>
    </w:p>
    <w:p w14:paraId="49F39626">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sz w:val="24"/>
          <w:szCs w:val="24"/>
          <w:highlight w:val="none"/>
        </w:rPr>
      </w:pPr>
    </w:p>
    <w:bookmarkEnd w:id="122"/>
    <w:bookmarkEnd w:id="123"/>
    <w:p w14:paraId="1185655A">
      <w:pPr>
        <w:pStyle w:val="2"/>
        <w:pageBreakBefore w:val="0"/>
        <w:numPr>
          <w:ilvl w:val="0"/>
          <w:numId w:val="1"/>
        </w:numPr>
        <w:kinsoku/>
        <w:wordWrap w:val="0"/>
        <w:overflowPunct/>
        <w:bidi w:val="0"/>
        <w:spacing w:after="0" w:line="240" w:lineRule="auto"/>
        <w:jc w:val="center"/>
        <w:textAlignment w:val="auto"/>
        <w:rPr>
          <w:rFonts w:hint="eastAsia" w:ascii="宋体" w:hAnsi="宋体" w:eastAsia="宋体" w:cs="宋体"/>
          <w:color w:val="auto"/>
          <w:sz w:val="40"/>
          <w:highlight w:val="none"/>
        </w:rPr>
      </w:pPr>
      <w:bookmarkStart w:id="740" w:name="_Toc24945"/>
      <w:r>
        <w:rPr>
          <w:rFonts w:hint="eastAsia" w:ascii="宋体" w:hAnsi="宋体" w:cs="宋体"/>
          <w:color w:val="auto"/>
          <w:sz w:val="40"/>
          <w:highlight w:val="none"/>
          <w:lang w:val="en-US" w:eastAsia="zh-CN"/>
        </w:rPr>
        <w:t xml:space="preserve"> </w:t>
      </w:r>
      <w:r>
        <w:rPr>
          <w:rFonts w:hint="eastAsia" w:ascii="宋体" w:hAnsi="宋体" w:eastAsia="宋体" w:cs="宋体"/>
          <w:color w:val="auto"/>
          <w:sz w:val="40"/>
          <w:highlight w:val="none"/>
        </w:rPr>
        <w:t>采购需求</w:t>
      </w:r>
      <w:bookmarkEnd w:id="102"/>
      <w:bookmarkEnd w:id="103"/>
      <w:bookmarkEnd w:id="104"/>
      <w:bookmarkEnd w:id="105"/>
      <w:bookmarkEnd w:id="106"/>
      <w:bookmarkEnd w:id="740"/>
      <w:bookmarkStart w:id="741" w:name="_Toc8480445"/>
    </w:p>
    <w:p w14:paraId="3C3799FF">
      <w:pPr>
        <w:pageBreakBefore w:val="0"/>
        <w:kinsoku/>
        <w:wordWrap w:val="0"/>
        <w:overflowPunct/>
        <w:bidi w:val="0"/>
        <w:spacing w:after="0"/>
        <w:jc w:val="center"/>
        <w:textAlignment w:val="auto"/>
        <w:rPr>
          <w:rFonts w:hint="eastAsia" w:ascii="宋体" w:hAnsi="宋体" w:eastAsia="宋体" w:cs="宋体"/>
          <w:b/>
          <w:color w:val="auto"/>
          <w:sz w:val="24"/>
          <w:szCs w:val="24"/>
        </w:rPr>
      </w:pPr>
      <w:r>
        <w:rPr>
          <w:rFonts w:hint="eastAsia" w:ascii="宋体" w:hAnsi="宋体" w:eastAsia="宋体" w:cs="宋体"/>
          <w:b/>
          <w:color w:val="auto"/>
          <w:szCs w:val="32"/>
        </w:rPr>
        <w:t>（ 技术标准和要求）</w:t>
      </w:r>
    </w:p>
    <w:p w14:paraId="3790BA4E">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一、本采购项目的材料、设备、施工须达到现行中华人民共和国以及省、自治区、直辖市或行业的工程建设标准、规范的要求；严格遵照设计施工图及国家或行业有关标准、规范执行。</w:t>
      </w:r>
    </w:p>
    <w:p w14:paraId="7026486F">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二、本采购项目涉及的安全生产、文明施工、环境保护措施应符合中华人民共和国以及</w:t>
      </w:r>
      <w:r>
        <w:rPr>
          <w:rFonts w:hint="eastAsia" w:ascii="宋体" w:hAnsi="宋体" w:eastAsia="宋体" w:cs="宋体"/>
          <w:color w:val="auto"/>
          <w:sz w:val="24"/>
          <w:szCs w:val="24"/>
          <w:lang w:eastAsia="zh-CN"/>
        </w:rPr>
        <w:t>省、自治区、直辖市</w:t>
      </w:r>
      <w:r>
        <w:rPr>
          <w:rFonts w:hint="eastAsia" w:ascii="宋体" w:hAnsi="宋体" w:eastAsia="宋体" w:cs="宋体"/>
          <w:color w:val="auto"/>
          <w:sz w:val="24"/>
          <w:szCs w:val="24"/>
        </w:rPr>
        <w:t>或行业以及当地政府的有关</w:t>
      </w:r>
      <w:r>
        <w:rPr>
          <w:rFonts w:hint="eastAsia" w:ascii="宋体" w:hAnsi="宋体" w:eastAsia="宋体" w:cs="宋体"/>
          <w:color w:val="auto"/>
          <w:sz w:val="24"/>
          <w:szCs w:val="24"/>
          <w:lang w:eastAsia="zh-CN"/>
        </w:rPr>
        <w:t>法律法规</w:t>
      </w:r>
      <w:r>
        <w:rPr>
          <w:rFonts w:hint="eastAsia" w:ascii="宋体" w:hAnsi="宋体" w:eastAsia="宋体" w:cs="宋体"/>
          <w:color w:val="auto"/>
          <w:sz w:val="24"/>
          <w:szCs w:val="24"/>
        </w:rPr>
        <w:t>的要求。</w:t>
      </w:r>
    </w:p>
    <w:p w14:paraId="50C983AB">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三、根据工程设计要求及所处地域当地政府的相关规定，</w:t>
      </w:r>
      <w:r>
        <w:rPr>
          <w:rFonts w:hint="eastAsia" w:ascii="宋体" w:hAnsi="宋体" w:eastAsia="宋体" w:cs="宋体"/>
          <w:color w:val="auto"/>
          <w:sz w:val="24"/>
          <w:szCs w:val="24"/>
          <w:lang w:eastAsia="zh-CN"/>
        </w:rPr>
        <w:t>适用</w:t>
      </w:r>
      <w:r>
        <w:rPr>
          <w:rFonts w:hint="eastAsia" w:ascii="宋体" w:hAnsi="宋体" w:eastAsia="宋体" w:cs="宋体"/>
          <w:color w:val="auto"/>
          <w:sz w:val="24"/>
          <w:szCs w:val="24"/>
        </w:rPr>
        <w:t>本招标工程项目的材料、设备、施工必须达到但不限于以下现行标准或规范及其最新版本的要求。</w:t>
      </w:r>
    </w:p>
    <w:p w14:paraId="076004CC">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四、招标工程量清单（另附）</w:t>
      </w:r>
    </w:p>
    <w:p w14:paraId="039E668E">
      <w:pPr>
        <w:pStyle w:val="35"/>
        <w:pageBreakBefore w:val="0"/>
        <w:kinsoku/>
        <w:wordWrap w:val="0"/>
        <w:overflowPunct/>
        <w:bidi w:val="0"/>
        <w:spacing w:after="0"/>
        <w:textAlignment w:val="auto"/>
        <w:rPr>
          <w:rFonts w:hint="eastAsia" w:ascii="宋体" w:hAnsi="宋体" w:eastAsia="宋体" w:cs="宋体"/>
          <w:color w:val="auto"/>
          <w:sz w:val="24"/>
          <w:szCs w:val="24"/>
          <w:lang w:val="en-US" w:eastAsia="zh-CN"/>
        </w:rPr>
      </w:pPr>
    </w:p>
    <w:p w14:paraId="560654BF">
      <w:pPr>
        <w:pStyle w:val="35"/>
        <w:pageBreakBefore w:val="0"/>
        <w:kinsoku/>
        <w:wordWrap w:val="0"/>
        <w:overflowPunct/>
        <w:bidi w:val="0"/>
        <w:spacing w:after="0"/>
        <w:textAlignment w:val="auto"/>
        <w:rPr>
          <w:rFonts w:hint="eastAsia" w:ascii="宋体" w:hAnsi="宋体" w:eastAsia="宋体" w:cs="宋体"/>
          <w:color w:val="auto"/>
          <w:sz w:val="24"/>
          <w:szCs w:val="24"/>
          <w:lang w:val="en-US" w:eastAsia="zh-CN"/>
        </w:rPr>
      </w:pPr>
    </w:p>
    <w:p w14:paraId="094AB1DB">
      <w:pPr>
        <w:pStyle w:val="35"/>
        <w:pageBreakBefore w:val="0"/>
        <w:kinsoku/>
        <w:wordWrap w:val="0"/>
        <w:overflowPunct/>
        <w:bidi w:val="0"/>
        <w:spacing w:after="0"/>
        <w:textAlignment w:val="auto"/>
        <w:rPr>
          <w:rFonts w:hint="eastAsia" w:ascii="宋体" w:hAnsi="宋体" w:eastAsia="宋体" w:cs="宋体"/>
          <w:color w:val="auto"/>
          <w:sz w:val="24"/>
          <w:szCs w:val="24"/>
          <w:lang w:val="en-US" w:eastAsia="zh-CN"/>
        </w:rPr>
      </w:pPr>
    </w:p>
    <w:bookmarkEnd w:id="7"/>
    <w:bookmarkEnd w:id="8"/>
    <w:bookmarkEnd w:id="12"/>
    <w:bookmarkEnd w:id="13"/>
    <w:bookmarkEnd w:id="741"/>
    <w:p w14:paraId="12E7206F">
      <w:pPr>
        <w:pageBreakBefore w:val="0"/>
        <w:kinsoku/>
        <w:wordWrap w:val="0"/>
        <w:overflowPunct/>
        <w:bidi w:val="0"/>
        <w:spacing w:after="0" w:line="276" w:lineRule="auto"/>
        <w:jc w:val="center"/>
        <w:textAlignment w:val="auto"/>
        <w:outlineLvl w:val="9"/>
        <w:rPr>
          <w:rFonts w:hint="eastAsia" w:ascii="宋体" w:hAnsi="宋体" w:eastAsia="宋体" w:cs="宋体"/>
          <w:color w:val="auto"/>
          <w:sz w:val="40"/>
          <w:highlight w:val="none"/>
        </w:rPr>
      </w:pPr>
      <w:bookmarkStart w:id="742" w:name="_Toc487037732"/>
      <w:bookmarkStart w:id="743" w:name="_Toc519587971"/>
      <w:bookmarkStart w:id="744" w:name="_Toc8979"/>
    </w:p>
    <w:p w14:paraId="3F6C0CFB">
      <w:pPr>
        <w:pageBreakBefore w:val="0"/>
        <w:kinsoku/>
        <w:wordWrap w:val="0"/>
        <w:overflowPunct/>
        <w:bidi w:val="0"/>
        <w:spacing w:after="0"/>
        <w:textAlignment w:val="auto"/>
        <w:rPr>
          <w:rFonts w:hint="eastAsia" w:ascii="宋体" w:hAnsi="宋体" w:eastAsia="宋体" w:cs="宋体"/>
          <w:color w:val="auto"/>
          <w:sz w:val="40"/>
          <w:highlight w:val="none"/>
        </w:rPr>
      </w:pPr>
    </w:p>
    <w:p w14:paraId="364B1339">
      <w:pPr>
        <w:pStyle w:val="35"/>
        <w:pageBreakBefore w:val="0"/>
        <w:kinsoku/>
        <w:wordWrap w:val="0"/>
        <w:overflowPunct/>
        <w:bidi w:val="0"/>
        <w:spacing w:after="0"/>
        <w:textAlignment w:val="auto"/>
        <w:rPr>
          <w:rFonts w:hint="eastAsia" w:ascii="宋体" w:hAnsi="宋体" w:eastAsia="宋体" w:cs="宋体"/>
          <w:color w:val="auto"/>
          <w:sz w:val="40"/>
          <w:highlight w:val="none"/>
        </w:rPr>
      </w:pPr>
    </w:p>
    <w:p w14:paraId="1EDD74C2">
      <w:pPr>
        <w:pStyle w:val="35"/>
        <w:pageBreakBefore w:val="0"/>
        <w:kinsoku/>
        <w:wordWrap w:val="0"/>
        <w:overflowPunct/>
        <w:bidi w:val="0"/>
        <w:spacing w:after="0"/>
        <w:textAlignment w:val="auto"/>
        <w:rPr>
          <w:rFonts w:hint="eastAsia" w:ascii="宋体" w:hAnsi="宋体" w:eastAsia="宋体" w:cs="宋体"/>
          <w:color w:val="auto"/>
          <w:sz w:val="40"/>
          <w:highlight w:val="none"/>
        </w:rPr>
      </w:pPr>
    </w:p>
    <w:p w14:paraId="406C5FA0">
      <w:pPr>
        <w:pStyle w:val="35"/>
        <w:pageBreakBefore w:val="0"/>
        <w:kinsoku/>
        <w:wordWrap w:val="0"/>
        <w:overflowPunct/>
        <w:bidi w:val="0"/>
        <w:spacing w:after="0"/>
        <w:textAlignment w:val="auto"/>
        <w:rPr>
          <w:rFonts w:hint="eastAsia" w:ascii="宋体" w:hAnsi="宋体" w:eastAsia="宋体" w:cs="宋体"/>
          <w:color w:val="auto"/>
          <w:sz w:val="40"/>
          <w:highlight w:val="none"/>
        </w:rPr>
      </w:pPr>
    </w:p>
    <w:p w14:paraId="2660D99B">
      <w:pPr>
        <w:pStyle w:val="35"/>
        <w:pageBreakBefore w:val="0"/>
        <w:kinsoku/>
        <w:wordWrap w:val="0"/>
        <w:overflowPunct/>
        <w:bidi w:val="0"/>
        <w:spacing w:after="0"/>
        <w:textAlignment w:val="auto"/>
        <w:rPr>
          <w:rFonts w:hint="eastAsia" w:ascii="宋体" w:hAnsi="宋体" w:eastAsia="宋体" w:cs="宋体"/>
          <w:color w:val="auto"/>
          <w:sz w:val="40"/>
          <w:highlight w:val="none"/>
        </w:rPr>
      </w:pPr>
    </w:p>
    <w:p w14:paraId="2C9047A0">
      <w:pPr>
        <w:pStyle w:val="35"/>
        <w:pageBreakBefore w:val="0"/>
        <w:kinsoku/>
        <w:wordWrap w:val="0"/>
        <w:overflowPunct/>
        <w:bidi w:val="0"/>
        <w:spacing w:after="0"/>
        <w:textAlignment w:val="auto"/>
        <w:rPr>
          <w:rFonts w:hint="eastAsia" w:ascii="宋体" w:hAnsi="宋体" w:eastAsia="宋体" w:cs="宋体"/>
          <w:color w:val="auto"/>
          <w:sz w:val="40"/>
          <w:highlight w:val="none"/>
        </w:rPr>
      </w:pPr>
    </w:p>
    <w:p w14:paraId="43129095">
      <w:pPr>
        <w:pStyle w:val="35"/>
        <w:pageBreakBefore w:val="0"/>
        <w:kinsoku/>
        <w:wordWrap w:val="0"/>
        <w:overflowPunct/>
        <w:bidi w:val="0"/>
        <w:spacing w:after="0"/>
        <w:textAlignment w:val="auto"/>
        <w:rPr>
          <w:rFonts w:hint="eastAsia" w:ascii="宋体" w:hAnsi="宋体" w:eastAsia="宋体" w:cs="宋体"/>
          <w:color w:val="auto"/>
          <w:sz w:val="40"/>
          <w:highlight w:val="none"/>
        </w:rPr>
      </w:pPr>
    </w:p>
    <w:p w14:paraId="17B6F00D">
      <w:pPr>
        <w:pStyle w:val="2"/>
        <w:pageBreakBefore w:val="0"/>
        <w:kinsoku/>
        <w:wordWrap w:val="0"/>
        <w:overflowPunct/>
        <w:bidi w:val="0"/>
        <w:spacing w:after="0" w:line="276" w:lineRule="auto"/>
        <w:jc w:val="center"/>
        <w:textAlignment w:val="auto"/>
        <w:rPr>
          <w:rFonts w:hint="eastAsia" w:ascii="宋体" w:hAnsi="宋体" w:eastAsia="宋体" w:cs="宋体"/>
          <w:color w:val="auto"/>
          <w:sz w:val="40"/>
          <w:highlight w:val="none"/>
        </w:rPr>
      </w:pPr>
      <w:r>
        <w:rPr>
          <w:rFonts w:hint="eastAsia" w:ascii="宋体" w:hAnsi="宋体" w:eastAsia="宋体" w:cs="宋体"/>
          <w:color w:val="auto"/>
          <w:sz w:val="40"/>
          <w:highlight w:val="none"/>
        </w:rPr>
        <w:t xml:space="preserve">第六章 </w:t>
      </w:r>
      <w:bookmarkEnd w:id="742"/>
      <w:bookmarkEnd w:id="743"/>
      <w:r>
        <w:rPr>
          <w:rFonts w:hint="eastAsia" w:ascii="宋体" w:hAnsi="宋体" w:eastAsia="宋体" w:cs="宋体"/>
          <w:color w:val="auto"/>
          <w:sz w:val="40"/>
          <w:highlight w:val="none"/>
        </w:rPr>
        <w:t>竞争性磋商响应文件格式</w:t>
      </w:r>
      <w:bookmarkEnd w:id="744"/>
    </w:p>
    <w:p w14:paraId="5C60FCE9">
      <w:pPr>
        <w:pageBreakBefore w:val="0"/>
        <w:kinsoku/>
        <w:wordWrap w:val="0"/>
        <w:overflowPunct/>
        <w:bidi w:val="0"/>
        <w:spacing w:after="0" w:line="360" w:lineRule="auto"/>
        <w:jc w:val="right"/>
        <w:textAlignment w:val="auto"/>
        <w:rPr>
          <w:rFonts w:hint="eastAsia" w:ascii="宋体" w:hAnsi="宋体" w:eastAsia="宋体" w:cs="宋体"/>
          <w:color w:val="auto"/>
          <w:sz w:val="32"/>
          <w:szCs w:val="32"/>
          <w:highlight w:val="none"/>
          <w:u w:val="single"/>
        </w:rPr>
      </w:pPr>
    </w:p>
    <w:p w14:paraId="3C84F359">
      <w:pPr>
        <w:pageBreakBefore w:val="0"/>
        <w:kinsoku/>
        <w:wordWrap w:val="0"/>
        <w:overflowPunct/>
        <w:bidi w:val="0"/>
        <w:spacing w:after="0"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（项目名称）</w:t>
      </w:r>
      <w:r>
        <w:rPr>
          <w:rFonts w:hint="eastAsia" w:ascii="宋体" w:hAnsi="宋体" w:eastAsia="宋体" w:cs="宋体"/>
          <w:color w:val="auto"/>
          <w:sz w:val="28"/>
          <w:szCs w:val="28"/>
          <w:highlight w:val="none"/>
        </w:rPr>
        <w:t xml:space="preserve">（标段号）     </w:t>
      </w:r>
    </w:p>
    <w:p w14:paraId="7B5A18FB">
      <w:pPr>
        <w:pageBreakBefore w:val="0"/>
        <w:kinsoku/>
        <w:wordWrap w:val="0"/>
        <w:overflowPunct/>
        <w:bidi w:val="0"/>
        <w:spacing w:after="0" w:line="360" w:lineRule="auto"/>
        <w:jc w:val="center"/>
        <w:textAlignment w:val="auto"/>
        <w:rPr>
          <w:rFonts w:hint="eastAsia" w:ascii="宋体" w:hAnsi="宋体" w:eastAsia="宋体" w:cs="宋体"/>
          <w:b/>
          <w:bCs/>
          <w:color w:val="auto"/>
          <w:sz w:val="52"/>
          <w:szCs w:val="52"/>
          <w:highlight w:val="none"/>
          <w:lang w:bidi="zh-CN"/>
        </w:rPr>
      </w:pPr>
    </w:p>
    <w:p w14:paraId="2B16236A">
      <w:pPr>
        <w:pageBreakBefore w:val="0"/>
        <w:kinsoku/>
        <w:wordWrap w:val="0"/>
        <w:overflowPunct/>
        <w:bidi w:val="0"/>
        <w:spacing w:after="0" w:line="360" w:lineRule="auto"/>
        <w:jc w:val="center"/>
        <w:textAlignment w:val="auto"/>
        <w:rPr>
          <w:rFonts w:hint="eastAsia" w:ascii="宋体" w:hAnsi="宋体" w:eastAsia="宋体" w:cs="宋体"/>
          <w:b/>
          <w:bCs/>
          <w:color w:val="auto"/>
          <w:sz w:val="52"/>
          <w:szCs w:val="52"/>
          <w:highlight w:val="none"/>
          <w:lang w:bidi="zh-CN"/>
        </w:rPr>
      </w:pPr>
      <w:r>
        <w:rPr>
          <w:rFonts w:hint="eastAsia" w:ascii="宋体" w:hAnsi="宋体" w:eastAsia="宋体" w:cs="宋体"/>
          <w:b/>
          <w:bCs/>
          <w:color w:val="auto"/>
          <w:sz w:val="52"/>
          <w:szCs w:val="52"/>
          <w:highlight w:val="none"/>
          <w:lang w:bidi="zh-CN"/>
        </w:rPr>
        <w:t>竞争性磋商响应文件</w:t>
      </w:r>
    </w:p>
    <w:p w14:paraId="728072B9">
      <w:pPr>
        <w:pageBreakBefore w:val="0"/>
        <w:kinsoku/>
        <w:wordWrap w:val="0"/>
        <w:overflowPunct/>
        <w:bidi w:val="0"/>
        <w:spacing w:after="0" w:line="360" w:lineRule="auto"/>
        <w:jc w:val="center"/>
        <w:textAlignment w:val="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28"/>
          <w:szCs w:val="28"/>
          <w:highlight w:val="none"/>
        </w:rPr>
        <w:t>编号：</w:t>
      </w:r>
      <w:r>
        <w:rPr>
          <w:rFonts w:hint="eastAsia" w:ascii="宋体" w:hAnsi="宋体" w:eastAsia="宋体" w:cs="宋体"/>
          <w:color w:val="auto"/>
          <w:sz w:val="28"/>
          <w:szCs w:val="28"/>
          <w:highlight w:val="none"/>
          <w:lang w:eastAsia="zh-CN"/>
        </w:rPr>
        <w:t>HHSYZBZX-CG20250313</w:t>
      </w:r>
    </w:p>
    <w:p w14:paraId="3188697B">
      <w:pPr>
        <w:pageBreakBefore w:val="0"/>
        <w:kinsoku/>
        <w:wordWrap w:val="0"/>
        <w:overflowPunct/>
        <w:bidi w:val="0"/>
        <w:spacing w:after="0" w:line="360" w:lineRule="auto"/>
        <w:ind w:firstLine="316" w:firstLineChars="150"/>
        <w:textAlignment w:val="auto"/>
        <w:rPr>
          <w:rFonts w:hint="eastAsia" w:ascii="宋体" w:hAnsi="宋体" w:eastAsia="宋体" w:cs="宋体"/>
          <w:b/>
          <w:color w:val="auto"/>
          <w:kern w:val="2"/>
          <w:sz w:val="21"/>
          <w:szCs w:val="21"/>
          <w:highlight w:val="none"/>
        </w:rPr>
      </w:pPr>
    </w:p>
    <w:p w14:paraId="6E0B9E5A">
      <w:pPr>
        <w:pageBreakBefore w:val="0"/>
        <w:kinsoku/>
        <w:wordWrap w:val="0"/>
        <w:overflowPunct/>
        <w:bidi w:val="0"/>
        <w:spacing w:after="0" w:line="360" w:lineRule="auto"/>
        <w:ind w:firstLine="330" w:firstLineChars="150"/>
        <w:textAlignment w:val="auto"/>
        <w:rPr>
          <w:rFonts w:hint="eastAsia" w:ascii="宋体" w:hAnsi="宋体" w:eastAsia="宋体" w:cs="宋体"/>
          <w:bCs/>
          <w:color w:val="auto"/>
          <w:szCs w:val="21"/>
          <w:highlight w:val="none"/>
        </w:rPr>
      </w:pPr>
    </w:p>
    <w:p w14:paraId="1E5CF93C">
      <w:pPr>
        <w:pageBreakBefore w:val="0"/>
        <w:kinsoku/>
        <w:wordWrap w:val="0"/>
        <w:overflowPunct/>
        <w:bidi w:val="0"/>
        <w:spacing w:after="0" w:line="360" w:lineRule="auto"/>
        <w:ind w:firstLine="330" w:firstLineChars="150"/>
        <w:textAlignment w:val="auto"/>
        <w:rPr>
          <w:rFonts w:hint="eastAsia" w:ascii="宋体" w:hAnsi="宋体" w:eastAsia="宋体" w:cs="宋体"/>
          <w:bCs/>
          <w:color w:val="auto"/>
          <w:szCs w:val="21"/>
          <w:highlight w:val="none"/>
        </w:rPr>
      </w:pPr>
    </w:p>
    <w:p w14:paraId="0402C353">
      <w:pPr>
        <w:pageBreakBefore w:val="0"/>
        <w:kinsoku/>
        <w:wordWrap w:val="0"/>
        <w:overflowPunct/>
        <w:bidi w:val="0"/>
        <w:spacing w:after="0" w:line="360" w:lineRule="auto"/>
        <w:ind w:firstLine="330" w:firstLineChars="150"/>
        <w:textAlignment w:val="auto"/>
        <w:rPr>
          <w:rFonts w:hint="eastAsia" w:ascii="宋体" w:hAnsi="宋体" w:eastAsia="宋体" w:cs="宋体"/>
          <w:bCs/>
          <w:color w:val="auto"/>
          <w:szCs w:val="21"/>
          <w:highlight w:val="none"/>
        </w:rPr>
      </w:pPr>
    </w:p>
    <w:p w14:paraId="02C3479E">
      <w:pPr>
        <w:pageBreakBefore w:val="0"/>
        <w:kinsoku/>
        <w:wordWrap w:val="0"/>
        <w:overflowPunct/>
        <w:bidi w:val="0"/>
        <w:spacing w:after="0" w:line="360" w:lineRule="auto"/>
        <w:ind w:firstLine="330" w:firstLineChars="150"/>
        <w:textAlignment w:val="auto"/>
        <w:rPr>
          <w:rFonts w:hint="eastAsia" w:ascii="宋体" w:hAnsi="宋体" w:eastAsia="宋体" w:cs="宋体"/>
          <w:bCs/>
          <w:color w:val="auto"/>
          <w:szCs w:val="21"/>
          <w:highlight w:val="none"/>
        </w:rPr>
      </w:pPr>
    </w:p>
    <w:p w14:paraId="060CFF98">
      <w:pPr>
        <w:pageBreakBefore w:val="0"/>
        <w:kinsoku/>
        <w:wordWrap w:val="0"/>
        <w:overflowPunct/>
        <w:bidi w:val="0"/>
        <w:spacing w:after="0" w:line="520" w:lineRule="exact"/>
        <w:ind w:firstLine="560" w:firstLineChars="200"/>
        <w:textAlignment w:val="auto"/>
        <w:rPr>
          <w:rFonts w:hint="eastAsia" w:ascii="宋体" w:hAnsi="宋体" w:eastAsia="宋体" w:cs="宋体"/>
          <w:color w:val="auto"/>
          <w:sz w:val="28"/>
          <w:szCs w:val="28"/>
          <w:highlight w:val="none"/>
        </w:rPr>
      </w:pPr>
    </w:p>
    <w:p w14:paraId="49CC123D">
      <w:pPr>
        <w:pStyle w:val="14"/>
        <w:pageBreakBefore w:val="0"/>
        <w:kinsoku/>
        <w:wordWrap w:val="0"/>
        <w:overflowPunct/>
        <w:bidi w:val="0"/>
        <w:spacing w:after="0"/>
        <w:textAlignment w:val="auto"/>
        <w:rPr>
          <w:rFonts w:hint="eastAsia" w:ascii="宋体" w:hAnsi="宋体" w:eastAsia="宋体" w:cs="宋体"/>
          <w:color w:val="auto"/>
          <w:highlight w:val="none"/>
        </w:rPr>
      </w:pPr>
    </w:p>
    <w:p w14:paraId="16521682">
      <w:pPr>
        <w:pageBreakBefore w:val="0"/>
        <w:kinsoku/>
        <w:wordWrap w:val="0"/>
        <w:overflowPunct/>
        <w:bidi w:val="0"/>
        <w:spacing w:after="0" w:line="520" w:lineRule="exact"/>
        <w:ind w:firstLine="1960" w:firstLineChars="7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 xml:space="preserve">                      （盖章） </w:t>
      </w:r>
    </w:p>
    <w:p w14:paraId="52BB76CD">
      <w:pPr>
        <w:pageBreakBefore w:val="0"/>
        <w:kinsoku/>
        <w:wordWrap w:val="0"/>
        <w:overflowPunct/>
        <w:bidi w:val="0"/>
        <w:spacing w:after="0" w:line="520" w:lineRule="exact"/>
        <w:ind w:firstLine="560" w:firstLineChars="200"/>
        <w:textAlignment w:val="auto"/>
        <w:rPr>
          <w:rFonts w:hint="eastAsia" w:ascii="宋体" w:hAnsi="宋体" w:eastAsia="宋体" w:cs="宋体"/>
          <w:color w:val="auto"/>
          <w:sz w:val="28"/>
          <w:szCs w:val="28"/>
          <w:highlight w:val="none"/>
        </w:rPr>
      </w:pPr>
    </w:p>
    <w:p w14:paraId="54143AF7">
      <w:pPr>
        <w:pageBreakBefore w:val="0"/>
        <w:kinsoku/>
        <w:wordWrap w:val="0"/>
        <w:overflowPunct/>
        <w:bidi w:val="0"/>
        <w:spacing w:after="0" w:line="520" w:lineRule="exact"/>
        <w:ind w:firstLine="1960" w:firstLineChars="7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（盖章或签字）</w:t>
      </w:r>
    </w:p>
    <w:p w14:paraId="45885358">
      <w:pPr>
        <w:pageBreakBefore w:val="0"/>
        <w:kinsoku/>
        <w:wordWrap w:val="0"/>
        <w:overflowPunct/>
        <w:bidi w:val="0"/>
        <w:spacing w:after="0" w:line="520" w:lineRule="exact"/>
        <w:ind w:firstLine="560" w:firstLineChars="200"/>
        <w:textAlignment w:val="auto"/>
        <w:rPr>
          <w:rFonts w:hint="eastAsia" w:ascii="宋体" w:hAnsi="宋体" w:eastAsia="宋体" w:cs="宋体"/>
          <w:color w:val="auto"/>
          <w:sz w:val="28"/>
          <w:szCs w:val="28"/>
          <w:highlight w:val="none"/>
        </w:rPr>
      </w:pPr>
    </w:p>
    <w:p w14:paraId="6126A697">
      <w:pPr>
        <w:pageBreakBefore w:val="0"/>
        <w:kinsoku/>
        <w:wordWrap w:val="0"/>
        <w:overflowPunct/>
        <w:bidi w:val="0"/>
        <w:spacing w:after="0"/>
        <w:ind w:firstLine="140" w:firstLineChars="50"/>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日</w:t>
      </w:r>
      <w:r>
        <w:rPr>
          <w:rFonts w:hint="eastAsia" w:ascii="宋体" w:hAnsi="宋体" w:eastAsia="宋体" w:cs="宋体"/>
          <w:color w:val="auto"/>
          <w:sz w:val="28"/>
          <w:szCs w:val="28"/>
          <w:highlight w:val="none"/>
        </w:rPr>
        <w:br w:type="page"/>
      </w:r>
      <w:bookmarkStart w:id="745" w:name="_Toc531966063"/>
      <w:bookmarkStart w:id="746" w:name="_Toc536534062"/>
      <w:bookmarkStart w:id="747" w:name="_Toc536534332"/>
      <w:bookmarkStart w:id="748" w:name="_Toc525741713"/>
    </w:p>
    <w:p w14:paraId="65D46270">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44"/>
          <w:szCs w:val="44"/>
          <w:highlight w:val="none"/>
        </w:rPr>
        <w:t>目       录</w:t>
      </w:r>
      <w:bookmarkEnd w:id="745"/>
      <w:bookmarkEnd w:id="746"/>
      <w:bookmarkEnd w:id="747"/>
      <w:bookmarkEnd w:id="748"/>
    </w:p>
    <w:p w14:paraId="588E90EC">
      <w:pPr>
        <w:pageBreakBefore w:val="0"/>
        <w:kinsoku/>
        <w:wordWrap w:val="0"/>
        <w:overflowPunct/>
        <w:bidi w:val="0"/>
        <w:spacing w:after="0"/>
        <w:textAlignment w:val="auto"/>
        <w:rPr>
          <w:rFonts w:hint="eastAsia" w:ascii="宋体" w:hAnsi="宋体" w:eastAsia="宋体" w:cs="宋体"/>
          <w:b/>
          <w:bCs/>
          <w:color w:val="auto"/>
          <w:sz w:val="36"/>
          <w:szCs w:val="36"/>
          <w:highlight w:val="none"/>
        </w:rPr>
      </w:pPr>
    </w:p>
    <w:p w14:paraId="71C421EA">
      <w:pPr>
        <w:pageBreakBefore w:val="0"/>
        <w:kinsoku/>
        <w:wordWrap w:val="0"/>
        <w:overflowPunct/>
        <w:bidi w:val="0"/>
        <w:spacing w:after="0"/>
        <w:textAlignment w:val="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1、竞争性磋商响应文件封面</w:t>
      </w:r>
    </w:p>
    <w:p w14:paraId="414CE0F1">
      <w:pPr>
        <w:pageBreakBefore w:val="0"/>
        <w:kinsoku/>
        <w:wordWrap w:val="0"/>
        <w:overflowPunct/>
        <w:bidi w:val="0"/>
        <w:spacing w:after="0"/>
        <w:textAlignment w:val="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2、竞争性磋商响应文件目录</w:t>
      </w:r>
    </w:p>
    <w:p w14:paraId="3B3A7828">
      <w:pPr>
        <w:pageBreakBefore w:val="0"/>
        <w:kinsoku/>
        <w:wordWrap w:val="0"/>
        <w:overflowPunct/>
        <w:bidi w:val="0"/>
        <w:spacing w:after="0"/>
        <w:textAlignment w:val="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3、第一部分  资格审查部分</w:t>
      </w:r>
    </w:p>
    <w:p w14:paraId="7965367E">
      <w:pPr>
        <w:pageBreakBefore w:val="0"/>
        <w:kinsoku/>
        <w:wordWrap w:val="0"/>
        <w:overflowPunct/>
        <w:bidi w:val="0"/>
        <w:spacing w:after="0"/>
        <w:textAlignment w:val="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4、第二部分  技术标部分</w:t>
      </w:r>
    </w:p>
    <w:p w14:paraId="1EC09831">
      <w:pPr>
        <w:pageBreakBefore w:val="0"/>
        <w:kinsoku/>
        <w:wordWrap w:val="0"/>
        <w:overflowPunct/>
        <w:bidi w:val="0"/>
        <w:spacing w:after="0"/>
        <w:textAlignment w:val="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5、第三部分  商务标部分</w:t>
      </w:r>
    </w:p>
    <w:p w14:paraId="45393953">
      <w:pPr>
        <w:pStyle w:val="99"/>
        <w:pageBreakBefore w:val="0"/>
        <w:kinsoku/>
        <w:wordWrap w:val="0"/>
        <w:overflowPunct/>
        <w:bidi w:val="0"/>
        <w:spacing w:after="0" w:afterLines="0"/>
        <w:jc w:val="center"/>
        <w:textAlignment w:val="auto"/>
        <w:rPr>
          <w:rFonts w:hint="eastAsia" w:ascii="宋体" w:hAnsi="宋体" w:eastAsia="宋体" w:cs="宋体"/>
          <w:color w:val="auto"/>
          <w:highlight w:val="none"/>
        </w:rPr>
      </w:pPr>
    </w:p>
    <w:p w14:paraId="183232B7">
      <w:pPr>
        <w:pageBreakBefore w:val="0"/>
        <w:kinsoku/>
        <w:wordWrap w:val="0"/>
        <w:overflowPunct/>
        <w:bidi w:val="0"/>
        <w:spacing w:after="0" w:line="520" w:lineRule="exact"/>
        <w:ind w:firstLine="560"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br w:type="page"/>
      </w:r>
    </w:p>
    <w:p w14:paraId="19EBB5CD">
      <w:pPr>
        <w:pageBreakBefore w:val="0"/>
        <w:kinsoku/>
        <w:wordWrap w:val="0"/>
        <w:overflowPunct/>
        <w:bidi w:val="0"/>
        <w:spacing w:after="0"/>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第一部分  资格审查部分</w:t>
      </w:r>
    </w:p>
    <w:p w14:paraId="5064EC16">
      <w:pPr>
        <w:pStyle w:val="14"/>
        <w:pageBreakBefore w:val="0"/>
        <w:kinsoku/>
        <w:wordWrap w:val="0"/>
        <w:overflowPunct/>
        <w:bidi w:val="0"/>
        <w:spacing w:after="0"/>
        <w:textAlignment w:val="auto"/>
        <w:rPr>
          <w:rFonts w:hint="eastAsia" w:ascii="宋体" w:hAnsi="宋体" w:eastAsia="宋体" w:cs="宋体"/>
          <w:b/>
          <w:bCs/>
          <w:color w:val="auto"/>
          <w:sz w:val="28"/>
          <w:szCs w:val="28"/>
          <w:highlight w:val="none"/>
        </w:rPr>
      </w:pPr>
    </w:p>
    <w:p w14:paraId="6C1944E4">
      <w:pPr>
        <w:pageBreakBefore w:val="0"/>
        <w:kinsoku/>
        <w:wordWrap w:val="0"/>
        <w:overflowPunct/>
        <w:bidi w:val="0"/>
        <w:spacing w:after="0"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1、满足《中华人民共和国政府采购法》第二十二条规定</w:t>
      </w:r>
    </w:p>
    <w:p w14:paraId="26254B6B">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⑴具有独立承担民事责任的能力，符合第二章“供应商须知前附表”第1.4.1项规定；</w:t>
      </w:r>
    </w:p>
    <w:p w14:paraId="62758707">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⑵有依法缴纳税收和社会保障资金的良好记录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符合第二章“供应商须知前附表”第1.4.1项规定；</w:t>
      </w:r>
    </w:p>
    <w:p w14:paraId="5ED68576">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⑶具有良好的商业信誉和健全的财务会计制度，符合第二章“供应商须知前附表”第1.4.1项规定； </w:t>
      </w:r>
    </w:p>
    <w:p w14:paraId="6295732B">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⑷具有履行合同所必需的设备和专业技术能力，符合第二章“供应商须知前附表”第1.4.1项规定； </w:t>
      </w:r>
    </w:p>
    <w:p w14:paraId="012C1943">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⑸参加政府采购活动前三年内，在经营活动中没有重大违法记录，符合第二章“供应商须知前附表”第1.4.1项规定；</w:t>
      </w:r>
    </w:p>
    <w:p w14:paraId="5E0E2B87">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⑹具备法律、行政法规规定的其他条件的证明材料；</w:t>
      </w:r>
    </w:p>
    <w:p w14:paraId="6C117128">
      <w:pPr>
        <w:pageBreakBefore w:val="0"/>
        <w:kinsoku/>
        <w:wordWrap w:val="0"/>
        <w:overflowPunct/>
        <w:bidi w:val="0"/>
        <w:spacing w:after="0"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2、落实政府采购政策需满足的资格要求</w:t>
      </w:r>
    </w:p>
    <w:p w14:paraId="0912CED6">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b/>
          <w:bCs/>
          <w:color w:val="auto"/>
          <w:sz w:val="24"/>
          <w:szCs w:val="24"/>
          <w:highlight w:val="none"/>
        </w:rPr>
        <w:t>属于专门面向中小企业采购的项目</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val="en-US" w:eastAsia="zh-CN"/>
        </w:rPr>
        <w:t>属于规定中所指的“</w:t>
      </w:r>
      <w:r>
        <w:rPr>
          <w:rFonts w:hint="eastAsia" w:ascii="宋体" w:hAnsi="宋体" w:eastAsia="宋体" w:cs="宋体"/>
          <w:b/>
          <w:bCs/>
          <w:color w:val="auto"/>
          <w:sz w:val="24"/>
          <w:szCs w:val="24"/>
          <w:highlight w:val="none"/>
          <w:lang w:val="en-US" w:eastAsia="zh-CN"/>
        </w:rPr>
        <w:t>建筑业”，</w:t>
      </w:r>
      <w:r>
        <w:rPr>
          <w:rFonts w:hint="eastAsia" w:ascii="宋体" w:hAnsi="宋体" w:eastAsia="宋体" w:cs="宋体"/>
          <w:color w:val="auto"/>
          <w:sz w:val="24"/>
          <w:szCs w:val="24"/>
          <w:highlight w:val="none"/>
        </w:rPr>
        <w:t>供应商应为中小微企业、监狱企业、残疾人福利性单位的具体资格要求，内容以磋商申请人须知前附表10.5款为准。</w:t>
      </w:r>
    </w:p>
    <w:p w14:paraId="31986404">
      <w:pPr>
        <w:pageBreakBefore w:val="0"/>
        <w:kinsoku/>
        <w:wordWrap w:val="0"/>
        <w:overflowPunct/>
        <w:bidi w:val="0"/>
        <w:spacing w:after="0"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3、本项目的特定资格要求</w:t>
      </w:r>
    </w:p>
    <w:p w14:paraId="1F3FCA83">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特定行业法定准入要求、联合体应提出相关资格要求符合第二章“供应商须知前附表”第1.4.1项规定；</w:t>
      </w:r>
    </w:p>
    <w:p w14:paraId="5DA05C9C">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25E7A25F">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5605E48D">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2F56BEF9">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37A042C9">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0449E090">
      <w:pPr>
        <w:rPr>
          <w:rFonts w:hint="eastAsia"/>
          <w:color w:val="auto"/>
        </w:rPr>
      </w:pPr>
    </w:p>
    <w:p w14:paraId="1BD50171">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3EA4FD0">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2C79A070">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75CD5AD4">
      <w:pPr>
        <w:pageBreakBefore w:val="0"/>
        <w:numPr>
          <w:ilvl w:val="0"/>
          <w:numId w:val="0"/>
        </w:numPr>
        <w:kinsoku/>
        <w:wordWrap w:val="0"/>
        <w:overflowPunct/>
        <w:bidi w:val="0"/>
        <w:spacing w:after="0"/>
        <w:jc w:val="both"/>
        <w:textAlignment w:val="auto"/>
        <w:rPr>
          <w:rFonts w:hint="eastAsia" w:ascii="宋体" w:hAnsi="宋体" w:eastAsia="宋体" w:cs="宋体"/>
          <w:b/>
          <w:color w:val="auto"/>
          <w:sz w:val="24"/>
          <w:szCs w:val="24"/>
          <w:highlight w:val="none"/>
        </w:rPr>
      </w:pPr>
      <w:bookmarkStart w:id="749" w:name="_Toc536534071"/>
      <w:bookmarkStart w:id="750" w:name="_Toc531966072"/>
      <w:bookmarkStart w:id="751" w:name="_Toc536534341"/>
      <w:bookmarkStart w:id="752" w:name="_Toc234382978"/>
      <w:r>
        <w:rPr>
          <w:rFonts w:hint="eastAsia" w:ascii="宋体" w:hAnsi="宋体" w:eastAsia="宋体" w:cs="宋体"/>
          <w:b/>
          <w:bCs/>
          <w:color w:val="auto"/>
          <w:sz w:val="36"/>
          <w:szCs w:val="36"/>
          <w:highlight w:val="none"/>
        </w:rPr>
        <w:t>1、满足《中华人民共和国政府采购法》第二十二条规定</w:t>
      </w:r>
    </w:p>
    <w:p w14:paraId="5DEE8E86">
      <w:pPr>
        <w:pageBreakBefore w:val="0"/>
        <w:kinsoku/>
        <w:wordWrap w:val="0"/>
        <w:overflowPunct/>
        <w:bidi w:val="0"/>
        <w:spacing w:after="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（一）供应商基本情况表</w:t>
      </w:r>
      <w:bookmarkEnd w:id="749"/>
      <w:bookmarkEnd w:id="750"/>
      <w:bookmarkEnd w:id="751"/>
      <w:bookmarkEnd w:id="752"/>
    </w:p>
    <w:tbl>
      <w:tblPr>
        <w:tblStyle w:val="62"/>
        <w:tblW w:w="96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942"/>
        <w:gridCol w:w="1010"/>
        <w:gridCol w:w="1070"/>
        <w:gridCol w:w="1416"/>
        <w:gridCol w:w="350"/>
        <w:gridCol w:w="1212"/>
        <w:gridCol w:w="557"/>
        <w:gridCol w:w="966"/>
        <w:gridCol w:w="1116"/>
      </w:tblGrid>
      <w:tr w14:paraId="0387C6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DE80489">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供应商名称</w:t>
            </w:r>
          </w:p>
        </w:tc>
        <w:tc>
          <w:tcPr>
            <w:tcW w:w="7697" w:type="dxa"/>
            <w:gridSpan w:val="8"/>
            <w:vAlign w:val="center"/>
          </w:tcPr>
          <w:p w14:paraId="3379FE03">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63C5BA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88249A5">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注册地址</w:t>
            </w:r>
          </w:p>
        </w:tc>
        <w:tc>
          <w:tcPr>
            <w:tcW w:w="3846" w:type="dxa"/>
            <w:gridSpan w:val="4"/>
            <w:vAlign w:val="center"/>
          </w:tcPr>
          <w:p w14:paraId="6769EADE">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c>
          <w:tcPr>
            <w:tcW w:w="1212" w:type="dxa"/>
            <w:vAlign w:val="center"/>
          </w:tcPr>
          <w:p w14:paraId="38986E9C">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tc>
        <w:tc>
          <w:tcPr>
            <w:tcW w:w="2639" w:type="dxa"/>
            <w:gridSpan w:val="3"/>
            <w:vAlign w:val="center"/>
          </w:tcPr>
          <w:p w14:paraId="403B0A04">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717277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Merge w:val="restart"/>
            <w:vAlign w:val="center"/>
          </w:tcPr>
          <w:p w14:paraId="12AC1080">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联系方式</w:t>
            </w:r>
          </w:p>
        </w:tc>
        <w:tc>
          <w:tcPr>
            <w:tcW w:w="1010" w:type="dxa"/>
            <w:vAlign w:val="center"/>
          </w:tcPr>
          <w:p w14:paraId="188A6C81">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联系人</w:t>
            </w:r>
          </w:p>
        </w:tc>
        <w:tc>
          <w:tcPr>
            <w:tcW w:w="2836" w:type="dxa"/>
            <w:gridSpan w:val="3"/>
            <w:vAlign w:val="center"/>
          </w:tcPr>
          <w:p w14:paraId="28834D72">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c>
          <w:tcPr>
            <w:tcW w:w="1212" w:type="dxa"/>
            <w:vAlign w:val="center"/>
          </w:tcPr>
          <w:p w14:paraId="4AD34E71">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tc>
        <w:tc>
          <w:tcPr>
            <w:tcW w:w="2639" w:type="dxa"/>
            <w:gridSpan w:val="3"/>
            <w:vAlign w:val="center"/>
          </w:tcPr>
          <w:p w14:paraId="2F29C006">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750D98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Merge w:val="continue"/>
            <w:vAlign w:val="center"/>
          </w:tcPr>
          <w:p w14:paraId="6B6E8B34">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c>
          <w:tcPr>
            <w:tcW w:w="1010" w:type="dxa"/>
            <w:vAlign w:val="center"/>
          </w:tcPr>
          <w:p w14:paraId="0E610305">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tc>
        <w:tc>
          <w:tcPr>
            <w:tcW w:w="2836" w:type="dxa"/>
            <w:gridSpan w:val="3"/>
            <w:vAlign w:val="center"/>
          </w:tcPr>
          <w:p w14:paraId="0E9B8808">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c>
          <w:tcPr>
            <w:tcW w:w="1212" w:type="dxa"/>
            <w:vAlign w:val="center"/>
          </w:tcPr>
          <w:p w14:paraId="459889F9">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电子邮件</w:t>
            </w:r>
          </w:p>
        </w:tc>
        <w:tc>
          <w:tcPr>
            <w:tcW w:w="2639" w:type="dxa"/>
            <w:gridSpan w:val="3"/>
            <w:vAlign w:val="center"/>
          </w:tcPr>
          <w:p w14:paraId="31139089">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3453BF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27B9F494">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w:t>
            </w:r>
          </w:p>
        </w:tc>
        <w:tc>
          <w:tcPr>
            <w:tcW w:w="1010" w:type="dxa"/>
            <w:vAlign w:val="center"/>
          </w:tcPr>
          <w:p w14:paraId="6922915C">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姓名</w:t>
            </w:r>
          </w:p>
        </w:tc>
        <w:tc>
          <w:tcPr>
            <w:tcW w:w="1070" w:type="dxa"/>
            <w:vAlign w:val="center"/>
          </w:tcPr>
          <w:p w14:paraId="2FE1BD6C">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c>
          <w:tcPr>
            <w:tcW w:w="1416" w:type="dxa"/>
            <w:vAlign w:val="center"/>
          </w:tcPr>
          <w:p w14:paraId="0F395A9B">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技术职称</w:t>
            </w:r>
          </w:p>
        </w:tc>
        <w:tc>
          <w:tcPr>
            <w:tcW w:w="2119" w:type="dxa"/>
            <w:gridSpan w:val="3"/>
            <w:vAlign w:val="center"/>
          </w:tcPr>
          <w:p w14:paraId="76277193">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c>
          <w:tcPr>
            <w:tcW w:w="966" w:type="dxa"/>
          </w:tcPr>
          <w:p w14:paraId="4A41141F">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tc>
        <w:tc>
          <w:tcPr>
            <w:tcW w:w="1116" w:type="dxa"/>
          </w:tcPr>
          <w:p w14:paraId="56C0DC6D">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2CB3DC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7ED4CF66">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技术负责人</w:t>
            </w:r>
          </w:p>
        </w:tc>
        <w:tc>
          <w:tcPr>
            <w:tcW w:w="1010" w:type="dxa"/>
            <w:vAlign w:val="center"/>
          </w:tcPr>
          <w:p w14:paraId="68A960AF">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姓名</w:t>
            </w:r>
          </w:p>
        </w:tc>
        <w:tc>
          <w:tcPr>
            <w:tcW w:w="1070" w:type="dxa"/>
            <w:vAlign w:val="center"/>
          </w:tcPr>
          <w:p w14:paraId="5A1E64D2">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c>
          <w:tcPr>
            <w:tcW w:w="1416" w:type="dxa"/>
            <w:vAlign w:val="center"/>
          </w:tcPr>
          <w:p w14:paraId="4F14B0BF">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技术职称</w:t>
            </w:r>
          </w:p>
        </w:tc>
        <w:tc>
          <w:tcPr>
            <w:tcW w:w="2119" w:type="dxa"/>
            <w:gridSpan w:val="3"/>
            <w:vAlign w:val="center"/>
          </w:tcPr>
          <w:p w14:paraId="18E97E7D">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c>
          <w:tcPr>
            <w:tcW w:w="966" w:type="dxa"/>
          </w:tcPr>
          <w:p w14:paraId="1B70672D">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tc>
        <w:tc>
          <w:tcPr>
            <w:tcW w:w="1116" w:type="dxa"/>
          </w:tcPr>
          <w:p w14:paraId="0F12A31E">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799417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65C9DB63">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成立时间</w:t>
            </w:r>
          </w:p>
        </w:tc>
        <w:tc>
          <w:tcPr>
            <w:tcW w:w="7697" w:type="dxa"/>
            <w:gridSpan w:val="8"/>
            <w:vAlign w:val="center"/>
          </w:tcPr>
          <w:p w14:paraId="5B256BC9">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0FAADB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5EF4366C">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营业执照号</w:t>
            </w:r>
          </w:p>
        </w:tc>
        <w:tc>
          <w:tcPr>
            <w:tcW w:w="7697" w:type="dxa"/>
            <w:gridSpan w:val="8"/>
            <w:vAlign w:val="center"/>
          </w:tcPr>
          <w:p w14:paraId="01DBBE8A">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0FF7D0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64E56BA8">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注册资金</w:t>
            </w:r>
          </w:p>
        </w:tc>
        <w:tc>
          <w:tcPr>
            <w:tcW w:w="7697" w:type="dxa"/>
            <w:gridSpan w:val="8"/>
            <w:vAlign w:val="center"/>
          </w:tcPr>
          <w:p w14:paraId="4EDB0C45">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48B643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5BAD660A">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基本账户开户银行</w:t>
            </w:r>
          </w:p>
        </w:tc>
        <w:tc>
          <w:tcPr>
            <w:tcW w:w="7697" w:type="dxa"/>
            <w:gridSpan w:val="8"/>
            <w:vAlign w:val="center"/>
          </w:tcPr>
          <w:p w14:paraId="3D5FE5C9">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7C5932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73DB83BE">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基本账户账号</w:t>
            </w:r>
          </w:p>
        </w:tc>
        <w:tc>
          <w:tcPr>
            <w:tcW w:w="7697" w:type="dxa"/>
            <w:gridSpan w:val="8"/>
            <w:vAlign w:val="center"/>
          </w:tcPr>
          <w:p w14:paraId="6A8D4CCE">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332CB6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2855" w:hRule="atLeast"/>
          <w:jc w:val="center"/>
        </w:trPr>
        <w:tc>
          <w:tcPr>
            <w:tcW w:w="1942" w:type="dxa"/>
            <w:vAlign w:val="center"/>
          </w:tcPr>
          <w:p w14:paraId="20DD3409">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经营范围</w:t>
            </w:r>
          </w:p>
        </w:tc>
        <w:tc>
          <w:tcPr>
            <w:tcW w:w="7697" w:type="dxa"/>
            <w:gridSpan w:val="8"/>
            <w:vAlign w:val="center"/>
          </w:tcPr>
          <w:p w14:paraId="13A7141B">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r w14:paraId="4F85E5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39" w:hRule="exact"/>
          <w:jc w:val="center"/>
        </w:trPr>
        <w:tc>
          <w:tcPr>
            <w:tcW w:w="1942" w:type="dxa"/>
            <w:vAlign w:val="center"/>
          </w:tcPr>
          <w:p w14:paraId="04720D3E">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备    注</w:t>
            </w:r>
          </w:p>
        </w:tc>
        <w:tc>
          <w:tcPr>
            <w:tcW w:w="7697" w:type="dxa"/>
            <w:gridSpan w:val="8"/>
            <w:vAlign w:val="center"/>
          </w:tcPr>
          <w:p w14:paraId="329890E0">
            <w:pPr>
              <w:pageBreakBefore w:val="0"/>
              <w:kinsoku/>
              <w:wordWrap w:val="0"/>
              <w:overflowPunct/>
              <w:bidi w:val="0"/>
              <w:spacing w:after="0" w:line="300" w:lineRule="exact"/>
              <w:jc w:val="center"/>
              <w:textAlignment w:val="auto"/>
              <w:rPr>
                <w:rFonts w:hint="eastAsia" w:ascii="宋体" w:hAnsi="宋体" w:eastAsia="宋体" w:cs="宋体"/>
                <w:bCs/>
                <w:color w:val="auto"/>
                <w:sz w:val="21"/>
                <w:szCs w:val="21"/>
                <w:highlight w:val="none"/>
              </w:rPr>
            </w:pPr>
          </w:p>
        </w:tc>
      </w:tr>
    </w:tbl>
    <w:p w14:paraId="41BF9981">
      <w:pPr>
        <w:pageBreakBefore w:val="0"/>
        <w:kinsoku/>
        <w:wordWrap w:val="0"/>
        <w:overflowPunct/>
        <w:bidi w:val="0"/>
        <w:spacing w:after="0"/>
        <w:textAlignment w:val="auto"/>
        <w:rPr>
          <w:rFonts w:hint="eastAsia" w:ascii="宋体" w:hAnsi="宋体" w:eastAsia="宋体" w:cs="宋体"/>
          <w:color w:val="auto"/>
          <w:sz w:val="24"/>
          <w:szCs w:val="24"/>
          <w:highlight w:val="none"/>
        </w:rPr>
      </w:pPr>
      <w:bookmarkStart w:id="753" w:name="_Toc234242180"/>
      <w:bookmarkStart w:id="754" w:name="_Toc193904176"/>
      <w:bookmarkStart w:id="755" w:name="_Toc536534342"/>
      <w:bookmarkStart w:id="756" w:name="_Toc531966073"/>
      <w:bookmarkStart w:id="757" w:name="_Toc536534072"/>
      <w:bookmarkStart w:id="758" w:name="_Toc234382981"/>
    </w:p>
    <w:p w14:paraId="5F859161">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p>
    <w:p w14:paraId="2DF31783">
      <w:pPr>
        <w:pStyle w:val="35"/>
        <w:rPr>
          <w:rFonts w:hint="eastAsia"/>
          <w:color w:val="auto"/>
        </w:rPr>
      </w:pPr>
    </w:p>
    <w:p w14:paraId="1404B19E">
      <w:pPr>
        <w:pageBreakBefore w:val="0"/>
        <w:numPr>
          <w:ilvl w:val="0"/>
          <w:numId w:val="0"/>
        </w:numPr>
        <w:kinsoku/>
        <w:wordWrap w:val="0"/>
        <w:overflowPunct/>
        <w:bidi w:val="0"/>
        <w:spacing w:after="0" w:line="360" w:lineRule="auto"/>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在中国境内注册或登记，具有独立承担民事责任的能力并能提供优质服务的法人或其他组织</w:t>
      </w:r>
      <w:r>
        <w:rPr>
          <w:rFonts w:hint="eastAsia" w:ascii="宋体" w:hAnsi="宋体" w:eastAsia="宋体" w:cs="宋体"/>
          <w:b/>
          <w:bCs/>
          <w:color w:val="auto"/>
          <w:sz w:val="24"/>
          <w:szCs w:val="24"/>
          <w:highlight w:val="none"/>
          <w:lang w:eastAsia="zh-CN"/>
        </w:rPr>
        <w:t>；</w:t>
      </w:r>
    </w:p>
    <w:p w14:paraId="5BFF012B">
      <w:pPr>
        <w:pageBreakBefore w:val="0"/>
        <w:numPr>
          <w:ilvl w:val="0"/>
          <w:numId w:val="0"/>
        </w:numPr>
        <w:kinsoku/>
        <w:wordWrap w:val="0"/>
        <w:overflowPunct/>
        <w:bidi w:val="0"/>
        <w:spacing w:after="0"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分别提供有效的企业法人营业执照或其他组织证明文件；</w:t>
      </w:r>
    </w:p>
    <w:p w14:paraId="73C21946">
      <w:pPr>
        <w:pageBreakBefore w:val="0"/>
        <w:kinsoku/>
        <w:wordWrap w:val="0"/>
        <w:overflowPunct/>
        <w:bidi w:val="0"/>
        <w:spacing w:after="0" w:line="360" w:lineRule="auto"/>
        <w:textAlignment w:val="auto"/>
        <w:rPr>
          <w:rFonts w:hint="eastAsia" w:ascii="宋体" w:hAnsi="宋体" w:eastAsia="宋体" w:cs="宋体"/>
          <w:b/>
          <w:bCs/>
          <w:color w:val="auto"/>
          <w:sz w:val="24"/>
          <w:szCs w:val="24"/>
          <w:highlight w:val="none"/>
        </w:rPr>
      </w:pPr>
    </w:p>
    <w:p w14:paraId="29194FEB">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045DBA67">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2C473352">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43E796CA">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4A6ACF6C">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6A1AFE35">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1473222E">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0A91B22B">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3D2C050D">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5F10D8E0">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7EA6E50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04073FDF">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5C145D1D">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37D9968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2B31939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3A0A4416">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69D85B0B">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7FC805FF">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3E9AD65D">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42728C43">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73CEC15C">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797038BA">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6B9738FC">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590BB345">
      <w:pPr>
        <w:pageBreakBefore w:val="0"/>
        <w:kinsoku/>
        <w:wordWrap w:val="0"/>
        <w:overflowPunct/>
        <w:bidi w:val="0"/>
        <w:spacing w:after="0" w:line="360" w:lineRule="exact"/>
        <w:textAlignment w:val="auto"/>
        <w:rPr>
          <w:rFonts w:hint="eastAsia" w:ascii="宋体" w:hAnsi="宋体" w:eastAsia="宋体" w:cs="宋体"/>
          <w:color w:val="auto"/>
          <w:sz w:val="21"/>
          <w:szCs w:val="21"/>
          <w:highlight w:val="none"/>
        </w:rPr>
      </w:pPr>
    </w:p>
    <w:p w14:paraId="09BFE0ED">
      <w:pPr>
        <w:pStyle w:val="14"/>
        <w:pageBreakBefore w:val="0"/>
        <w:kinsoku/>
        <w:wordWrap w:val="0"/>
        <w:overflowPunct/>
        <w:bidi w:val="0"/>
        <w:spacing w:after="0"/>
        <w:textAlignment w:val="auto"/>
        <w:rPr>
          <w:rFonts w:hint="eastAsia" w:ascii="宋体" w:hAnsi="宋体" w:eastAsia="宋体" w:cs="宋体"/>
          <w:color w:val="auto"/>
          <w:sz w:val="21"/>
          <w:szCs w:val="21"/>
          <w:highlight w:val="none"/>
        </w:rPr>
      </w:pPr>
    </w:p>
    <w:p w14:paraId="011B1D95">
      <w:pPr>
        <w:pStyle w:val="30"/>
        <w:pageBreakBefore w:val="0"/>
        <w:kinsoku/>
        <w:wordWrap w:val="0"/>
        <w:overflowPunct/>
        <w:bidi w:val="0"/>
        <w:spacing w:after="0"/>
        <w:textAlignment w:val="auto"/>
        <w:rPr>
          <w:rFonts w:hint="eastAsia" w:ascii="宋体" w:hAnsi="宋体" w:eastAsia="宋体" w:cs="宋体"/>
          <w:color w:val="auto"/>
          <w:sz w:val="21"/>
          <w:szCs w:val="21"/>
          <w:highlight w:val="none"/>
        </w:rPr>
      </w:pPr>
    </w:p>
    <w:p w14:paraId="2C360496">
      <w:pPr>
        <w:pageBreakBefore w:val="0"/>
        <w:kinsoku/>
        <w:wordWrap w:val="0"/>
        <w:overflowPunct/>
        <w:bidi w:val="0"/>
        <w:spacing w:after="0"/>
        <w:textAlignment w:val="auto"/>
        <w:rPr>
          <w:rFonts w:hint="eastAsia" w:ascii="宋体" w:hAnsi="宋体" w:eastAsia="宋体" w:cs="宋体"/>
          <w:color w:val="auto"/>
          <w:sz w:val="21"/>
          <w:szCs w:val="21"/>
          <w:highlight w:val="none"/>
        </w:rPr>
      </w:pPr>
    </w:p>
    <w:p w14:paraId="359C066D">
      <w:pPr>
        <w:pStyle w:val="14"/>
        <w:pageBreakBefore w:val="0"/>
        <w:kinsoku/>
        <w:wordWrap w:val="0"/>
        <w:overflowPunct/>
        <w:bidi w:val="0"/>
        <w:spacing w:after="0"/>
        <w:textAlignment w:val="auto"/>
        <w:rPr>
          <w:rFonts w:hint="eastAsia" w:ascii="宋体" w:hAnsi="宋体" w:eastAsia="宋体" w:cs="宋体"/>
          <w:color w:val="auto"/>
          <w:sz w:val="21"/>
          <w:szCs w:val="21"/>
          <w:highlight w:val="none"/>
        </w:rPr>
      </w:pPr>
    </w:p>
    <w:p w14:paraId="2245C27D">
      <w:pPr>
        <w:pStyle w:val="30"/>
        <w:pageBreakBefore w:val="0"/>
        <w:kinsoku/>
        <w:wordWrap w:val="0"/>
        <w:overflowPunct/>
        <w:bidi w:val="0"/>
        <w:spacing w:after="0"/>
        <w:textAlignment w:val="auto"/>
        <w:rPr>
          <w:rFonts w:hint="eastAsia" w:ascii="宋体" w:hAnsi="宋体" w:eastAsia="宋体" w:cs="宋体"/>
          <w:color w:val="auto"/>
          <w:sz w:val="21"/>
          <w:szCs w:val="21"/>
          <w:highlight w:val="none"/>
        </w:rPr>
      </w:pPr>
    </w:p>
    <w:p w14:paraId="2B7239D0">
      <w:pPr>
        <w:pageBreakBefore w:val="0"/>
        <w:kinsoku/>
        <w:wordWrap w:val="0"/>
        <w:overflowPunct/>
        <w:bidi w:val="0"/>
        <w:spacing w:after="0"/>
        <w:textAlignment w:val="auto"/>
        <w:rPr>
          <w:rFonts w:hint="eastAsia" w:ascii="宋体" w:hAnsi="宋体" w:eastAsia="宋体" w:cs="宋体"/>
          <w:color w:val="auto"/>
          <w:sz w:val="21"/>
          <w:szCs w:val="21"/>
          <w:highlight w:val="none"/>
        </w:rPr>
      </w:pPr>
    </w:p>
    <w:p w14:paraId="1C11E631">
      <w:pPr>
        <w:pStyle w:val="14"/>
        <w:pageBreakBefore w:val="0"/>
        <w:kinsoku/>
        <w:wordWrap w:val="0"/>
        <w:overflowPunct/>
        <w:bidi w:val="0"/>
        <w:spacing w:after="0"/>
        <w:textAlignment w:val="auto"/>
        <w:rPr>
          <w:rFonts w:hint="eastAsia" w:ascii="宋体" w:hAnsi="宋体" w:eastAsia="宋体" w:cs="宋体"/>
          <w:color w:val="auto"/>
        </w:rPr>
      </w:pPr>
    </w:p>
    <w:p w14:paraId="1B53B368">
      <w:pPr>
        <w:pageBreakBefore w:val="0"/>
        <w:numPr>
          <w:ilvl w:val="0"/>
          <w:numId w:val="0"/>
        </w:numPr>
        <w:kinsoku/>
        <w:wordWrap w:val="0"/>
        <w:overflowPunct/>
        <w:bidi w:val="0"/>
        <w:spacing w:after="0" w:line="360" w:lineRule="auto"/>
        <w:ind w:firstLine="964" w:firstLineChars="400"/>
        <w:jc w:val="center"/>
        <w:textAlignment w:val="auto"/>
        <w:rPr>
          <w:rFonts w:hint="eastAsia" w:ascii="宋体" w:hAnsi="宋体" w:eastAsia="宋体" w:cs="宋体"/>
          <w:b/>
          <w:bCs/>
          <w:color w:val="auto"/>
          <w:sz w:val="24"/>
          <w:szCs w:val="24"/>
          <w:lang w:val="en-US" w:eastAsia="zh-CN"/>
        </w:rPr>
      </w:pPr>
    </w:p>
    <w:p w14:paraId="7F3A692F">
      <w:pPr>
        <w:pageBreakBefore w:val="0"/>
        <w:numPr>
          <w:ilvl w:val="0"/>
          <w:numId w:val="0"/>
        </w:numPr>
        <w:kinsoku/>
        <w:wordWrap w:val="0"/>
        <w:overflowPunct/>
        <w:bidi w:val="0"/>
        <w:spacing w:after="0" w:line="360" w:lineRule="auto"/>
        <w:ind w:firstLine="964" w:firstLineChars="400"/>
        <w:jc w:val="center"/>
        <w:textAlignment w:val="auto"/>
        <w:rPr>
          <w:rFonts w:hint="eastAsia" w:ascii="宋体" w:hAnsi="宋体" w:eastAsia="宋体" w:cs="宋体"/>
          <w:b/>
          <w:bCs/>
          <w:color w:val="auto"/>
          <w:sz w:val="24"/>
          <w:szCs w:val="24"/>
          <w:lang w:val="en-US" w:eastAsia="zh-CN"/>
        </w:rPr>
      </w:pPr>
    </w:p>
    <w:p w14:paraId="270D377C">
      <w:pPr>
        <w:pageBreakBefore w:val="0"/>
        <w:numPr>
          <w:ilvl w:val="0"/>
          <w:numId w:val="0"/>
        </w:numPr>
        <w:kinsoku/>
        <w:wordWrap w:val="0"/>
        <w:overflowPunct/>
        <w:bidi w:val="0"/>
        <w:spacing w:after="0" w:line="360" w:lineRule="auto"/>
        <w:ind w:firstLine="964" w:firstLineChars="400"/>
        <w:jc w:val="center"/>
        <w:textAlignment w:val="auto"/>
        <w:rPr>
          <w:rFonts w:hint="eastAsia" w:ascii="宋体" w:hAnsi="宋体" w:eastAsia="宋体" w:cs="宋体"/>
          <w:b/>
          <w:bCs/>
          <w:color w:val="auto"/>
          <w:sz w:val="24"/>
          <w:szCs w:val="24"/>
          <w:lang w:val="en-US" w:eastAsia="zh-CN"/>
        </w:rPr>
      </w:pPr>
    </w:p>
    <w:p w14:paraId="0D260C57">
      <w:pPr>
        <w:pageBreakBefore w:val="0"/>
        <w:numPr>
          <w:ilvl w:val="0"/>
          <w:numId w:val="0"/>
        </w:numPr>
        <w:kinsoku/>
        <w:wordWrap w:val="0"/>
        <w:overflowPunct/>
        <w:bidi w:val="0"/>
        <w:spacing w:after="0" w:line="360" w:lineRule="auto"/>
        <w:ind w:firstLine="964" w:firstLineChars="40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（三）具</w:t>
      </w:r>
      <w:r>
        <w:rPr>
          <w:rFonts w:hint="eastAsia" w:ascii="宋体" w:hAnsi="宋体" w:eastAsia="宋体" w:cs="宋体"/>
          <w:b/>
          <w:bCs/>
          <w:color w:val="auto"/>
          <w:sz w:val="24"/>
          <w:szCs w:val="24"/>
        </w:rPr>
        <w:t>有依法缴纳税收和社会保障资金的良好记录</w:t>
      </w:r>
    </w:p>
    <w:p w14:paraId="334C8C7E">
      <w:pPr>
        <w:pageBreakBefore w:val="0"/>
        <w:kinsoku/>
        <w:wordWrap w:val="0"/>
        <w:overflowPunct/>
        <w:bidi w:val="0"/>
        <w:spacing w:after="0" w:line="360" w:lineRule="auto"/>
        <w:ind w:right="-156" w:rightChars="-71"/>
        <w:textAlignment w:val="auto"/>
        <w:rPr>
          <w:rFonts w:hint="eastAsia" w:ascii="宋体" w:hAnsi="宋体" w:eastAsia="宋体" w:cs="宋体"/>
          <w:color w:val="auto"/>
          <w:szCs w:val="21"/>
          <w:highlight w:val="none"/>
        </w:rPr>
      </w:pPr>
      <w:r>
        <w:rPr>
          <w:rFonts w:hint="eastAsia" w:ascii="宋体" w:hAnsi="宋体" w:eastAsia="宋体" w:cs="宋体"/>
          <w:bCs/>
          <w:color w:val="auto"/>
          <w:sz w:val="24"/>
          <w:szCs w:val="24"/>
        </w:rPr>
        <w:t>提供</w:t>
      </w:r>
      <w:r>
        <w:rPr>
          <w:rFonts w:hint="eastAsia" w:ascii="宋体" w:hAnsi="宋体" w:eastAsia="宋体" w:cs="宋体"/>
          <w:bCs/>
          <w:color w:val="auto"/>
          <w:sz w:val="24"/>
          <w:szCs w:val="24"/>
          <w:lang w:val="en-US" w:eastAsia="zh-CN"/>
        </w:rPr>
        <w:t>2024</w:t>
      </w:r>
      <w:r>
        <w:rPr>
          <w:rFonts w:hint="eastAsia" w:ascii="宋体" w:hAnsi="宋体" w:eastAsia="宋体" w:cs="宋体"/>
          <w:bCs/>
          <w:color w:val="auto"/>
          <w:sz w:val="24"/>
          <w:szCs w:val="24"/>
        </w:rPr>
        <w:t>年01月至今任意3个月的依法缴纳税收和社会保障资金的证明材料（依法免税和不需要缴纳社会保障资金的磋商申请人，应提供相应证明材料；成立不足3个月的，须提供书面</w:t>
      </w:r>
      <w:r>
        <w:rPr>
          <w:rFonts w:hint="eastAsia" w:ascii="宋体" w:hAnsi="宋体" w:eastAsia="宋体" w:cs="宋体"/>
          <w:bCs/>
          <w:color w:val="auto"/>
          <w:sz w:val="24"/>
          <w:szCs w:val="24"/>
          <w:lang w:val="en-US" w:eastAsia="zh-CN"/>
        </w:rPr>
        <w:t>说</w:t>
      </w:r>
      <w:r>
        <w:rPr>
          <w:rFonts w:hint="eastAsia" w:ascii="宋体" w:hAnsi="宋体" w:eastAsia="宋体" w:cs="宋体"/>
          <w:bCs/>
          <w:color w:val="auto"/>
          <w:sz w:val="24"/>
          <w:szCs w:val="24"/>
        </w:rPr>
        <w:t>明）；</w:t>
      </w:r>
    </w:p>
    <w:p w14:paraId="5AF83782">
      <w:pPr>
        <w:pageBreakBefore w:val="0"/>
        <w:kinsoku/>
        <w:wordWrap w:val="0"/>
        <w:overflowPunct/>
        <w:bidi w:val="0"/>
        <w:spacing w:after="0"/>
        <w:textAlignment w:val="auto"/>
        <w:rPr>
          <w:rFonts w:hint="eastAsia" w:ascii="宋体" w:hAnsi="宋体" w:eastAsia="宋体" w:cs="宋体"/>
          <w:color w:val="auto"/>
        </w:rPr>
      </w:pPr>
    </w:p>
    <w:p w14:paraId="51812B84">
      <w:pPr>
        <w:pageBreakBefore w:val="0"/>
        <w:kinsoku/>
        <w:wordWrap w:val="0"/>
        <w:overflowPunct/>
        <w:bidi w:val="0"/>
        <w:spacing w:after="0"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）具有良好的商业信誉和健全的财务会计制度。</w:t>
      </w:r>
    </w:p>
    <w:p w14:paraId="7B657F45">
      <w:pPr>
        <w:pageBreakBefore w:val="0"/>
        <w:kinsoku/>
        <w:wordWrap w:val="0"/>
        <w:overflowPunct/>
        <w:bidi w:val="0"/>
        <w:spacing w:after="0"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采购人或采购代理机构将在投标文件递交的截止时间后通过“信用中国”网站（网址：www.creditchina.gov.cn）、中国政府采购网（网址：www.ccgp.gov.cn）等渠道查询投标人相关主体信用记录。查询结果以采购人或采购代理机构在响应文件递交的截止时间后当天，通过“信用中国”网站信用信息查询栏中查询下载的信用报告或“信用服务”查询栏中查询的信息记录及“中国政府采购网”政府采购严重违法失信行为记录名单内无不良信息记录结果为准。</w:t>
      </w:r>
    </w:p>
    <w:p w14:paraId="135B2F3F">
      <w:pPr>
        <w:pageBreakBefore w:val="0"/>
        <w:kinsoku/>
        <w:wordWrap w:val="0"/>
        <w:overflowPunct/>
        <w:bidi w:val="0"/>
        <w:spacing w:after="0" w:line="360"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②</w:t>
      </w:r>
      <w:r>
        <w:rPr>
          <w:rFonts w:hint="eastAsia" w:ascii="宋体" w:hAnsi="宋体" w:eastAsia="宋体" w:cs="宋体"/>
          <w:bCs/>
          <w:color w:val="auto"/>
          <w:sz w:val="24"/>
          <w:szCs w:val="24"/>
        </w:rPr>
        <w:t>提供</w:t>
      </w:r>
      <w:r>
        <w:rPr>
          <w:rFonts w:hint="eastAsia" w:ascii="宋体" w:hAnsi="宋体" w:eastAsia="宋体" w:cs="宋体"/>
          <w:bCs/>
          <w:color w:val="auto"/>
          <w:sz w:val="24"/>
          <w:szCs w:val="24"/>
          <w:lang w:val="en-US" w:eastAsia="zh-CN"/>
        </w:rPr>
        <w:t>2022</w:t>
      </w:r>
      <w:r>
        <w:rPr>
          <w:rFonts w:hint="eastAsia" w:ascii="宋体" w:hAnsi="宋体" w:eastAsia="宋体" w:cs="宋体"/>
          <w:bCs/>
          <w:color w:val="auto"/>
          <w:sz w:val="24"/>
          <w:szCs w:val="24"/>
        </w:rPr>
        <w:t>至</w:t>
      </w:r>
      <w:r>
        <w:rPr>
          <w:rFonts w:hint="eastAsia" w:ascii="宋体" w:hAnsi="宋体" w:eastAsia="宋体" w:cs="宋体"/>
          <w:bCs/>
          <w:color w:val="auto"/>
          <w:sz w:val="24"/>
          <w:szCs w:val="24"/>
          <w:lang w:val="en-US" w:eastAsia="zh-CN"/>
        </w:rPr>
        <w:t>2024</w:t>
      </w:r>
      <w:r>
        <w:rPr>
          <w:rFonts w:hint="eastAsia" w:ascii="宋体" w:hAnsi="宋体" w:eastAsia="宋体" w:cs="宋体"/>
          <w:bCs/>
          <w:color w:val="auto"/>
          <w:sz w:val="24"/>
          <w:szCs w:val="24"/>
        </w:rPr>
        <w:t>年度任意一个年度经社会审计机构出具的审计报告及会计报表（含资产负债表、现金流量表、利润表）；未经审计的，可提供</w:t>
      </w:r>
      <w:r>
        <w:rPr>
          <w:rFonts w:hint="eastAsia" w:ascii="宋体" w:hAnsi="宋体" w:eastAsia="宋体" w:cs="宋体"/>
          <w:bCs/>
          <w:color w:val="auto"/>
          <w:sz w:val="24"/>
          <w:szCs w:val="24"/>
          <w:lang w:val="en-US" w:eastAsia="zh-CN"/>
        </w:rPr>
        <w:t>2022</w:t>
      </w:r>
      <w:r>
        <w:rPr>
          <w:rFonts w:hint="eastAsia" w:ascii="宋体" w:hAnsi="宋体" w:eastAsia="宋体" w:cs="宋体"/>
          <w:bCs/>
          <w:color w:val="auto"/>
          <w:sz w:val="24"/>
          <w:szCs w:val="24"/>
        </w:rPr>
        <w:t>至</w:t>
      </w:r>
      <w:r>
        <w:rPr>
          <w:rFonts w:hint="eastAsia" w:ascii="宋体" w:hAnsi="宋体" w:eastAsia="宋体" w:cs="宋体"/>
          <w:bCs/>
          <w:color w:val="auto"/>
          <w:sz w:val="24"/>
          <w:szCs w:val="24"/>
          <w:lang w:val="en-US" w:eastAsia="zh-CN"/>
        </w:rPr>
        <w:t>2024</w:t>
      </w:r>
      <w:r>
        <w:rPr>
          <w:rFonts w:hint="eastAsia" w:ascii="宋体" w:hAnsi="宋体" w:eastAsia="宋体" w:cs="宋体"/>
          <w:bCs/>
          <w:color w:val="auto"/>
          <w:sz w:val="24"/>
          <w:szCs w:val="24"/>
        </w:rPr>
        <w:t>年度任意一个年度公司内部自行编制的财务报表（新注册不满一年的企业可提供成立至今的会计报表或银行开具的资信证明文件或书面说明，此项要求可不列入废标条款）；</w:t>
      </w:r>
    </w:p>
    <w:p w14:paraId="4701B164">
      <w:pPr>
        <w:pageBreakBefore w:val="0"/>
        <w:kinsoku/>
        <w:wordWrap w:val="0"/>
        <w:overflowPunct/>
        <w:bidi w:val="0"/>
        <w:spacing w:after="0"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4"/>
          <w:szCs w:val="28"/>
          <w:highlight w:val="none"/>
          <w:lang w:val="en-US" w:eastAsia="zh-CN"/>
        </w:rPr>
        <w:t>注：对列入失信被执行人、重大税收违法失信主体、政府采购严重违法失信行为记录（被禁止在一定期限内参加政府采购活动但期限届满的除外）名单及其他不符合《中华人民共和国政府采购法》第二十二条规定条件的供应商，拒绝参与本次政府采购活动；</w:t>
      </w:r>
    </w:p>
    <w:p w14:paraId="7D933735">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A156914">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5512D317">
      <w:pPr>
        <w:pageBreakBefore w:val="0"/>
        <w:numPr>
          <w:ilvl w:val="0"/>
          <w:numId w:val="0"/>
        </w:numPr>
        <w:kinsoku/>
        <w:wordWrap w:val="0"/>
        <w:overflowPunct/>
        <w:bidi w:val="0"/>
        <w:spacing w:after="0" w:line="360" w:lineRule="auto"/>
        <w:ind w:leftChars="0"/>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）具有履行合同所必需的设备和专业技术能力</w:t>
      </w:r>
      <w:r>
        <w:rPr>
          <w:rFonts w:hint="eastAsia" w:ascii="宋体" w:hAnsi="宋体" w:eastAsia="宋体" w:cs="宋体"/>
          <w:b/>
          <w:bCs/>
          <w:color w:val="auto"/>
          <w:sz w:val="24"/>
          <w:szCs w:val="24"/>
          <w:highlight w:val="none"/>
          <w:lang w:eastAsia="zh-CN"/>
        </w:rPr>
        <w:t>；</w:t>
      </w:r>
    </w:p>
    <w:p w14:paraId="0C49FB37">
      <w:pPr>
        <w:pageBreakBefore w:val="0"/>
        <w:numPr>
          <w:ilvl w:val="0"/>
          <w:numId w:val="0"/>
        </w:numPr>
        <w:kinsoku/>
        <w:wordWrap w:val="0"/>
        <w:overflowPunct/>
        <w:bidi w:val="0"/>
        <w:spacing w:after="0" w:line="360" w:lineRule="auto"/>
        <w:ind w:leftChars="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提供相应的证明材料（可提供书面声明或承诺书）；</w:t>
      </w:r>
    </w:p>
    <w:p w14:paraId="1EF7FCC7">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75FABF83">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266D0A1B">
      <w:pPr>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3CF2F96A">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3B261C70">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B36BCFF">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13DE29FD">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341E2900">
      <w:pPr>
        <w:pageBreakBefore w:val="0"/>
        <w:numPr>
          <w:ilvl w:val="0"/>
          <w:numId w:val="0"/>
        </w:numPr>
        <w:kinsoku/>
        <w:wordWrap w:val="0"/>
        <w:overflowPunct/>
        <w:bidi w:val="0"/>
        <w:snapToGrid/>
        <w:spacing w:beforeAutospacing="0" w:after="0" w:afterAutospacing="0" w:line="560" w:lineRule="exact"/>
        <w:ind w:left="660" w:leftChars="0" w:right="0" w:rightChars="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参加政府采购活动前三年内，在经营活动中没有重大违法记录</w:t>
      </w:r>
    </w:p>
    <w:p w14:paraId="3A412281">
      <w:pPr>
        <w:pageBreakBefore w:val="0"/>
        <w:numPr>
          <w:ilvl w:val="0"/>
          <w:numId w:val="0"/>
        </w:numPr>
        <w:kinsoku/>
        <w:wordWrap w:val="0"/>
        <w:overflowPunct/>
        <w:bidi w:val="0"/>
        <w:snapToGrid/>
        <w:spacing w:beforeAutospacing="0" w:after="0" w:afterAutospacing="0" w:line="560" w:lineRule="exact"/>
        <w:ind w:leftChars="-200" w:right="0" w:rightChars="0" w:firstLine="480" w:firstLineChars="200"/>
        <w:jc w:val="left"/>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color w:val="auto"/>
          <w:kern w:val="2"/>
          <w:sz w:val="24"/>
          <w:szCs w:val="28"/>
          <w:highlight w:val="none"/>
          <w:lang w:val="en-US" w:eastAsia="zh-CN" w:bidi="ar-SA"/>
        </w:rPr>
        <w:t>提供参加政府采购活动前3年内在经营活动中没有重大违法记录的书面声明；</w:t>
      </w:r>
    </w:p>
    <w:p w14:paraId="05A0BB7B">
      <w:pPr>
        <w:pageBreakBefore w:val="0"/>
        <w:kinsoku/>
        <w:wordWrap w:val="0"/>
        <w:overflowPunct/>
        <w:bidi w:val="0"/>
        <w:snapToGrid/>
        <w:spacing w:beforeAutospacing="0" w:after="0" w:afterAutospacing="0" w:line="560" w:lineRule="exact"/>
        <w:ind w:left="643" w:right="0" w:rightChars="0" w:hanging="482" w:hangingChars="200"/>
        <w:jc w:val="left"/>
        <w:textAlignment w:val="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bCs/>
          <w:color w:val="auto"/>
          <w:kern w:val="2"/>
          <w:sz w:val="24"/>
          <w:szCs w:val="28"/>
          <w:highlight w:val="none"/>
          <w:lang w:val="en-US" w:eastAsia="zh-CN" w:bidi="ar-SA"/>
        </w:rPr>
        <w:t>书面申明格式：参加政府采购活动前三年内在经营活动中没有重大违法记录的书面申明</w:t>
      </w:r>
    </w:p>
    <w:p w14:paraId="0C259A1D">
      <w:pPr>
        <w:pStyle w:val="14"/>
        <w:pageBreakBefore w:val="0"/>
        <w:kinsoku/>
        <w:wordWrap w:val="0"/>
        <w:overflowPunct/>
        <w:bidi w:val="0"/>
        <w:spacing w:after="0"/>
        <w:textAlignment w:val="auto"/>
        <w:rPr>
          <w:rFonts w:hint="eastAsia" w:ascii="宋体" w:hAnsi="宋体" w:eastAsia="宋体" w:cs="宋体"/>
          <w:color w:val="auto"/>
          <w:lang w:val="en-US" w:eastAsia="zh-CN"/>
        </w:rPr>
      </w:pPr>
    </w:p>
    <w:p w14:paraId="7DB069E3">
      <w:pPr>
        <w:pageBreakBefore w:val="0"/>
        <w:kinsoku/>
        <w:wordWrap w:val="0"/>
        <w:overflowPunct/>
        <w:bidi w:val="0"/>
        <w:spacing w:after="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参加政府采购活动前三年内在经营活动中没有重大违法记录的声明</w:t>
      </w:r>
    </w:p>
    <w:p w14:paraId="141FEDF1">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（采购人全称）</w:t>
      </w:r>
    </w:p>
    <w:p w14:paraId="17A04ECB">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本单位以 </w:t>
      </w:r>
      <w:r>
        <w:rPr>
          <w:rFonts w:hint="eastAsia" w:ascii="宋体" w:hAnsi="宋体" w:eastAsia="宋体" w:cs="宋体"/>
          <w:color w:val="auto"/>
          <w:sz w:val="24"/>
          <w:szCs w:val="24"/>
          <w:highlight w:val="none"/>
          <w:u w:val="single"/>
        </w:rPr>
        <w:t xml:space="preserve">  （供应商全称）  </w:t>
      </w:r>
      <w:r>
        <w:rPr>
          <w:rFonts w:hint="eastAsia" w:ascii="宋体" w:hAnsi="宋体" w:eastAsia="宋体" w:cs="宋体"/>
          <w:color w:val="auto"/>
          <w:sz w:val="24"/>
          <w:szCs w:val="24"/>
          <w:highlight w:val="none"/>
        </w:rPr>
        <w:t>法定代表人的资格，郑重承诺：</w:t>
      </w:r>
    </w:p>
    <w:p w14:paraId="6A2A0B33">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具有履行合同要求的专业技术能力，参加本项目政府采购活动前三年内，在经营活动中无违法、违规的不良记录，无因违法经营受到刑事处罚或者责令停产停业、吊销许可证或者执照、较大数额罚款等行政处罚。若在本次项目的采购全过程中，被查实我公司提供的资料及上述承诺不属实，或提供的相关资料不属实或不满足采购文件的要求，则采购人有权取消我公司的参与磋商及成交资格，且我公司将无条件承担由此给本次采购活动带来的一切后果（包括经济损失）。</w:t>
      </w:r>
    </w:p>
    <w:p w14:paraId="18671746">
      <w:pPr>
        <w:pageBreakBefore w:val="0"/>
        <w:kinsoku/>
        <w:wordWrap w:val="0"/>
        <w:overflowPunct/>
        <w:bidi w:val="0"/>
        <w:spacing w:after="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06D248FF">
      <w:pPr>
        <w:pageBreakBefore w:val="0"/>
        <w:kinsoku/>
        <w:wordWrap w:val="0"/>
        <w:overflowPunct/>
        <w:bidi w:val="0"/>
        <w:spacing w:after="0"/>
        <w:textAlignment w:val="auto"/>
        <w:rPr>
          <w:rFonts w:hint="eastAsia" w:ascii="宋体" w:hAnsi="宋体" w:eastAsia="宋体" w:cs="宋体"/>
          <w:color w:val="auto"/>
          <w:highlight w:val="none"/>
        </w:rPr>
      </w:pPr>
    </w:p>
    <w:p w14:paraId="5FCC7A7D">
      <w:pPr>
        <w:pageBreakBefore w:val="0"/>
        <w:kinsoku/>
        <w:wordWrap w:val="0"/>
        <w:overflowPunct/>
        <w:bidi w:val="0"/>
        <w:spacing w:after="0"/>
        <w:textAlignment w:val="auto"/>
        <w:rPr>
          <w:rFonts w:hint="eastAsia" w:ascii="宋体" w:hAnsi="宋体" w:eastAsia="宋体" w:cs="宋体"/>
          <w:color w:val="auto"/>
          <w:highlight w:val="none"/>
        </w:rPr>
      </w:pPr>
    </w:p>
    <w:p w14:paraId="5FA0A793">
      <w:pPr>
        <w:pageBreakBefore w:val="0"/>
        <w:kinsoku/>
        <w:wordWrap w:val="0"/>
        <w:overflowPunct/>
        <w:bidi w:val="0"/>
        <w:spacing w:after="0" w:line="400" w:lineRule="exact"/>
        <w:ind w:firstLine="3360" w:firstLineChars="14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rPr>
        <w:t xml:space="preserve">                    （盖章）  </w:t>
      </w:r>
    </w:p>
    <w:p w14:paraId="12CA6468">
      <w:pPr>
        <w:pageBreakBefore w:val="0"/>
        <w:kinsoku/>
        <w:wordWrap w:val="0"/>
        <w:overflowPunct/>
        <w:bidi w:val="0"/>
        <w:spacing w:after="0" w:line="400" w:lineRule="exact"/>
        <w:ind w:firstLine="3360" w:firstLineChars="14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（签字或盖章）</w:t>
      </w:r>
    </w:p>
    <w:p w14:paraId="611F8C15">
      <w:pPr>
        <w:pageBreakBefore w:val="0"/>
        <w:kinsoku/>
        <w:wordWrap w:val="0"/>
        <w:overflowPunct/>
        <w:bidi w:val="0"/>
        <w:spacing w:after="0"/>
        <w:jc w:val="center"/>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p>
    <w:p w14:paraId="1E3F519D">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196A83E8">
      <w:pPr>
        <w:pageBreakBefore w:val="0"/>
        <w:kinsoku/>
        <w:wordWrap w:val="0"/>
        <w:overflowPunct/>
        <w:bidi w:val="0"/>
        <w:snapToGrid/>
        <w:spacing w:beforeAutospacing="0" w:after="0" w:afterAutospacing="0" w:line="560" w:lineRule="exact"/>
        <w:ind w:left="0" w:leftChars="0" w:right="0" w:rightChars="0" w:firstLine="482" w:firstLineChars="0"/>
        <w:jc w:val="left"/>
        <w:textAlignment w:val="auto"/>
        <w:rPr>
          <w:rFonts w:hint="eastAsia" w:ascii="宋体" w:hAnsi="宋体" w:eastAsia="宋体" w:cs="宋体"/>
          <w:b w:val="0"/>
          <w:bCs w:val="0"/>
          <w:color w:val="auto"/>
          <w:sz w:val="24"/>
          <w:szCs w:val="28"/>
          <w:highlight w:val="none"/>
          <w:lang w:eastAsia="zh-CN"/>
        </w:rPr>
      </w:pPr>
      <w:r>
        <w:rPr>
          <w:rFonts w:hint="eastAsia" w:ascii="宋体" w:hAnsi="宋体" w:eastAsia="宋体" w:cs="宋体"/>
          <w:b w:val="0"/>
          <w:bCs w:val="0"/>
          <w:color w:val="auto"/>
          <w:sz w:val="24"/>
          <w:highlight w:val="none"/>
        </w:rPr>
        <w:t>说明：</w:t>
      </w:r>
      <w:r>
        <w:rPr>
          <w:rFonts w:hint="eastAsia" w:ascii="宋体" w:hAnsi="宋体" w:eastAsia="宋体" w:cs="宋体"/>
          <w:b w:val="0"/>
          <w:bCs w:val="0"/>
          <w:color w:val="auto"/>
          <w:sz w:val="24"/>
          <w:szCs w:val="24"/>
          <w:highlight w:val="none"/>
          <w:lang w:val="en-US" w:eastAsia="zh-CN"/>
        </w:rPr>
        <w:t>重大违法记录，是指投标人因违法经营受到刑事处罚或者责令停产停业、吊销许可证或者执照、较大数额罚款等行政处罚。</w:t>
      </w:r>
      <w:r>
        <w:rPr>
          <w:rFonts w:hint="eastAsia" w:ascii="宋体" w:hAnsi="宋体" w:eastAsia="宋体" w:cs="宋体"/>
          <w:b w:val="0"/>
          <w:bCs w:val="0"/>
          <w:color w:val="auto"/>
          <w:sz w:val="24"/>
          <w:highlight w:val="none"/>
        </w:rPr>
        <w:t>“较大数额罚款”认定为200万元以上的罚款，法律、行政法规以及国务院有关部门明确规定相关领域“较大数额罚款”标准高于200万元的，从其规定</w:t>
      </w:r>
      <w:r>
        <w:rPr>
          <w:rFonts w:hint="eastAsia" w:ascii="宋体" w:hAnsi="宋体" w:eastAsia="宋体" w:cs="宋体"/>
          <w:b w:val="0"/>
          <w:bCs w:val="0"/>
          <w:color w:val="auto"/>
          <w:sz w:val="24"/>
          <w:highlight w:val="none"/>
          <w:lang w:eastAsia="zh-CN"/>
        </w:rPr>
        <w:t>。</w:t>
      </w:r>
    </w:p>
    <w:p w14:paraId="08E467BF">
      <w:pPr>
        <w:pageBreakBefore w:val="0"/>
        <w:kinsoku/>
        <w:wordWrap w:val="0"/>
        <w:overflowPunct/>
        <w:bidi w:val="0"/>
        <w:spacing w:after="0" w:line="360" w:lineRule="auto"/>
        <w:textAlignment w:val="auto"/>
        <w:rPr>
          <w:rFonts w:hint="eastAsia" w:ascii="宋体" w:hAnsi="宋体" w:eastAsia="宋体" w:cs="宋体"/>
          <w:b/>
          <w:bCs/>
          <w:color w:val="auto"/>
          <w:sz w:val="24"/>
          <w:szCs w:val="24"/>
          <w:highlight w:val="none"/>
        </w:rPr>
      </w:pPr>
    </w:p>
    <w:p w14:paraId="2A27C26C">
      <w:pPr>
        <w:pStyle w:val="35"/>
        <w:pageBreakBefore w:val="0"/>
        <w:kinsoku/>
        <w:wordWrap w:val="0"/>
        <w:overflowPunct/>
        <w:bidi w:val="0"/>
        <w:spacing w:after="0"/>
        <w:textAlignment w:val="auto"/>
        <w:rPr>
          <w:rFonts w:hint="eastAsia" w:ascii="宋体" w:hAnsi="宋体" w:eastAsia="宋体" w:cs="宋体"/>
          <w:color w:val="auto"/>
        </w:rPr>
      </w:pPr>
    </w:p>
    <w:p w14:paraId="350428AB">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）具备法律、行政法规规定的其他条件的证明材料</w:t>
      </w:r>
    </w:p>
    <w:p w14:paraId="7BB5FA4F">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注：采购项目有特殊要求的，供应商还应当提供其符合特殊要求的证明材料或者情况说明。</w:t>
      </w:r>
    </w:p>
    <w:p w14:paraId="628B9EA3">
      <w:pPr>
        <w:pStyle w:val="55"/>
        <w:pageBreakBefore w:val="0"/>
        <w:kinsoku/>
        <w:wordWrap w:val="0"/>
        <w:overflowPunct/>
        <w:bidi w:val="0"/>
        <w:spacing w:before="0" w:beforeAutospacing="0" w:after="0" w:afterAutospacing="0" w:line="440" w:lineRule="exact"/>
        <w:jc w:val="both"/>
        <w:textAlignment w:val="auto"/>
        <w:rPr>
          <w:rFonts w:hint="eastAsia" w:ascii="宋体" w:hAnsi="宋体" w:eastAsia="宋体" w:cs="宋体"/>
          <w:color w:val="auto"/>
          <w:sz w:val="21"/>
          <w:szCs w:val="21"/>
          <w:highlight w:val="none"/>
        </w:rPr>
      </w:pPr>
    </w:p>
    <w:p w14:paraId="534D2557">
      <w:pPr>
        <w:pageBreakBefore w:val="0"/>
        <w:kinsoku/>
        <w:wordWrap w:val="0"/>
        <w:overflowPunct/>
        <w:bidi w:val="0"/>
        <w:spacing w:after="0"/>
        <w:textAlignment w:val="auto"/>
        <w:rPr>
          <w:rFonts w:hint="eastAsia" w:ascii="宋体" w:hAnsi="宋体" w:eastAsia="宋体" w:cs="宋体"/>
          <w:color w:val="auto"/>
          <w:sz w:val="24"/>
          <w:szCs w:val="24"/>
          <w:highlight w:val="none"/>
        </w:rPr>
      </w:pPr>
    </w:p>
    <w:bookmarkEnd w:id="753"/>
    <w:bookmarkEnd w:id="754"/>
    <w:bookmarkEnd w:id="755"/>
    <w:bookmarkEnd w:id="756"/>
    <w:bookmarkEnd w:id="757"/>
    <w:bookmarkEnd w:id="758"/>
    <w:p w14:paraId="1017580C">
      <w:pPr>
        <w:pageBreakBefore w:val="0"/>
        <w:kinsoku/>
        <w:wordWrap w:val="0"/>
        <w:overflowPunct/>
        <w:bidi w:val="0"/>
        <w:spacing w:after="0"/>
        <w:textAlignment w:val="auto"/>
        <w:rPr>
          <w:rFonts w:hint="eastAsia" w:ascii="宋体" w:hAnsi="宋体" w:eastAsia="宋体" w:cs="宋体"/>
          <w:color w:val="auto"/>
          <w:highlight w:val="none"/>
        </w:rPr>
      </w:pPr>
    </w:p>
    <w:p w14:paraId="535AE4DB">
      <w:pPr>
        <w:pageBreakBefore w:val="0"/>
        <w:kinsoku/>
        <w:wordWrap w:val="0"/>
        <w:overflowPunct/>
        <w:bidi w:val="0"/>
        <w:adjustRightInd/>
        <w:snapToGrid/>
        <w:spacing w:after="0"/>
        <w:textAlignment w:val="auto"/>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br w:type="page"/>
      </w:r>
      <w:bookmarkStart w:id="759" w:name="_Toc234382989"/>
      <w:bookmarkStart w:id="760" w:name="_Toc531966078"/>
    </w:p>
    <w:p w14:paraId="18178856">
      <w:pPr>
        <w:pageBreakBefore w:val="0"/>
        <w:kinsoku/>
        <w:wordWrap w:val="0"/>
        <w:overflowPunct/>
        <w:bidi w:val="0"/>
        <w:spacing w:after="0"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2、落实政府采购政策需满足的资格要求</w:t>
      </w:r>
    </w:p>
    <w:p w14:paraId="3984C089">
      <w:pPr>
        <w:pageBreakBefore w:val="0"/>
        <w:kinsoku/>
        <w:wordWrap w:val="0"/>
        <w:overflowPunct/>
        <w:bidi w:val="0"/>
        <w:spacing w:after="0"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本项目</w:t>
      </w:r>
      <w:r>
        <w:rPr>
          <w:rFonts w:hint="eastAsia" w:ascii="宋体" w:hAnsi="宋体" w:eastAsia="宋体" w:cs="宋体"/>
          <w:b/>
          <w:bCs/>
          <w:color w:val="auto"/>
          <w:sz w:val="24"/>
          <w:szCs w:val="24"/>
          <w:highlight w:val="none"/>
        </w:rPr>
        <w:t>属于专门面向中小企业采购的项目</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val="en-US" w:eastAsia="zh-CN"/>
        </w:rPr>
        <w:t>属于规定中所指的“</w:t>
      </w:r>
      <w:r>
        <w:rPr>
          <w:rFonts w:hint="eastAsia" w:ascii="宋体" w:hAnsi="宋体" w:eastAsia="宋体" w:cs="宋体"/>
          <w:b/>
          <w:bCs/>
          <w:color w:val="auto"/>
          <w:sz w:val="24"/>
          <w:szCs w:val="24"/>
          <w:highlight w:val="none"/>
          <w:lang w:val="en-US" w:eastAsia="zh-CN"/>
        </w:rPr>
        <w:t>建筑业”，</w:t>
      </w:r>
      <w:r>
        <w:rPr>
          <w:rFonts w:hint="eastAsia" w:ascii="宋体" w:hAnsi="宋体" w:eastAsia="宋体" w:cs="宋体"/>
          <w:color w:val="auto"/>
          <w:sz w:val="24"/>
          <w:szCs w:val="24"/>
          <w:highlight w:val="none"/>
        </w:rPr>
        <w:t>供应商应为中小微企业、监狱企业、残疾人福利性单位的具体资格要求，内容以磋商申请人须知前附表10.5款为准。</w:t>
      </w:r>
    </w:p>
    <w:p w14:paraId="09D1E869">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449DCAF2">
      <w:pPr>
        <w:pageBreakBefore w:val="0"/>
        <w:kinsoku/>
        <w:wordWrap w:val="0"/>
        <w:overflowPunct/>
        <w:bidi w:val="0"/>
        <w:spacing w:after="0"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3、本项目的特定资格要求</w:t>
      </w:r>
    </w:p>
    <w:p w14:paraId="10F5A2D0">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特定行业法定准入要求、联合体应提出相关资格要求符合第二章“磋商申请人须知前附表”第1.4.1项规定；</w:t>
      </w:r>
    </w:p>
    <w:p w14:paraId="2C3BA2CE">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30F29B19">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3697781D">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7AA949E0">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6E1799E4">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6076975D">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66E3DF4E">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2A7A476A">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6CBBA9AB">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1F339FA5">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43528E9B">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2BD9CD2D">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6DB3A16E">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32288BC5">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07339952">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7F627F9D">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739CB74C">
      <w:pPr>
        <w:pStyle w:val="14"/>
        <w:pageBreakBefore w:val="0"/>
        <w:kinsoku/>
        <w:wordWrap w:val="0"/>
        <w:overflowPunct/>
        <w:bidi w:val="0"/>
        <w:spacing w:after="0"/>
        <w:textAlignment w:val="auto"/>
        <w:rPr>
          <w:rFonts w:hint="eastAsia" w:ascii="宋体" w:hAnsi="宋体" w:eastAsia="宋体" w:cs="宋体"/>
          <w:b/>
          <w:bCs/>
          <w:color w:val="auto"/>
          <w:sz w:val="24"/>
          <w:highlight w:val="none"/>
        </w:rPr>
      </w:pPr>
    </w:p>
    <w:p w14:paraId="2577CEA7">
      <w:pPr>
        <w:pageBreakBefore w:val="0"/>
        <w:kinsoku/>
        <w:wordWrap w:val="0"/>
        <w:overflowPunct/>
        <w:bidi w:val="0"/>
        <w:spacing w:after="0" w:line="360" w:lineRule="auto"/>
        <w:ind w:firstLine="482" w:firstLineChars="200"/>
        <w:textAlignment w:val="auto"/>
        <w:rPr>
          <w:rFonts w:hint="eastAsia" w:ascii="宋体" w:hAnsi="宋体" w:eastAsia="宋体" w:cs="宋体"/>
          <w:b/>
          <w:color w:val="auto"/>
          <w:kern w:val="2"/>
          <w:sz w:val="24"/>
          <w:szCs w:val="24"/>
          <w:highlight w:val="none"/>
        </w:rPr>
      </w:pPr>
    </w:p>
    <w:p w14:paraId="6EAD7FFE">
      <w:pPr>
        <w:pStyle w:val="60"/>
        <w:pageBreakBefore w:val="0"/>
        <w:kinsoku/>
        <w:wordWrap w:val="0"/>
        <w:overflowPunct/>
        <w:bidi w:val="0"/>
        <w:spacing w:after="0"/>
        <w:ind w:firstLine="482"/>
        <w:textAlignment w:val="auto"/>
        <w:rPr>
          <w:rFonts w:hint="eastAsia" w:ascii="宋体" w:hAnsi="宋体" w:eastAsia="宋体" w:cs="宋体"/>
          <w:b/>
          <w:color w:val="auto"/>
          <w:sz w:val="24"/>
          <w:highlight w:val="none"/>
        </w:rPr>
      </w:pPr>
    </w:p>
    <w:p w14:paraId="47E392DF">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2278D4AF">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72E78A06">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1B790473">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5F3DF55E">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345AB8E2">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73B9CD06">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1126853E">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2A2ACBB4">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047506C6">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54BCCC38">
      <w:pPr>
        <w:pStyle w:val="61"/>
        <w:pageBreakBefore w:val="0"/>
        <w:kinsoku/>
        <w:wordWrap w:val="0"/>
        <w:overflowPunct/>
        <w:bidi w:val="0"/>
        <w:spacing w:after="0"/>
        <w:textAlignment w:val="auto"/>
        <w:rPr>
          <w:rFonts w:hint="eastAsia" w:ascii="宋体" w:hAnsi="宋体" w:eastAsia="宋体" w:cs="宋体"/>
          <w:b/>
          <w:color w:val="auto"/>
          <w:sz w:val="24"/>
          <w:highlight w:val="none"/>
        </w:rPr>
      </w:pPr>
    </w:p>
    <w:p w14:paraId="0F019F9E">
      <w:pPr>
        <w:pageBreakBefore w:val="0"/>
        <w:kinsoku/>
        <w:wordWrap w:val="0"/>
        <w:overflowPunct/>
        <w:bidi w:val="0"/>
        <w:spacing w:after="0"/>
        <w:jc w:val="both"/>
        <w:textAlignment w:val="auto"/>
        <w:rPr>
          <w:rFonts w:hint="eastAsia" w:ascii="宋体" w:hAnsi="宋体" w:eastAsia="宋体" w:cs="宋体"/>
          <w:b/>
          <w:bCs/>
          <w:color w:val="auto"/>
          <w:sz w:val="36"/>
          <w:szCs w:val="36"/>
          <w:highlight w:val="none"/>
        </w:rPr>
      </w:pPr>
      <w:bookmarkStart w:id="761" w:name="_Toc419059324"/>
      <w:bookmarkStart w:id="762" w:name="_Toc3885058"/>
    </w:p>
    <w:p w14:paraId="38752E21">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中小企业声明函（工程）</w:t>
      </w:r>
    </w:p>
    <w:p w14:paraId="28D49C45">
      <w:pPr>
        <w:pStyle w:val="14"/>
        <w:pageBreakBefore w:val="0"/>
        <w:kinsoku/>
        <w:wordWrap w:val="0"/>
        <w:overflowPunct/>
        <w:bidi w:val="0"/>
        <w:spacing w:after="0"/>
        <w:textAlignment w:val="auto"/>
        <w:rPr>
          <w:rFonts w:hint="eastAsia" w:ascii="宋体" w:hAnsi="宋体" w:eastAsia="宋体" w:cs="宋体"/>
          <w:color w:val="auto"/>
          <w:highlight w:val="none"/>
        </w:rPr>
      </w:pPr>
    </w:p>
    <w:p w14:paraId="5D7B6223">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094DA2B">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中型企业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小型企业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微型企业</w:t>
      </w:r>
      <w:r>
        <w:rPr>
          <w:rFonts w:hint="eastAsia" w:ascii="宋体" w:hAnsi="宋体" w:eastAsia="宋体" w:cs="宋体"/>
          <w:color w:val="auto"/>
          <w:sz w:val="24"/>
          <w:szCs w:val="24"/>
          <w:highlight w:val="none"/>
        </w:rPr>
        <w:t>）；</w:t>
      </w:r>
    </w:p>
    <w:p w14:paraId="01084E96">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中型企业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小型企业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微型企业</w:t>
      </w:r>
      <w:r>
        <w:rPr>
          <w:rFonts w:hint="eastAsia" w:ascii="宋体" w:hAnsi="宋体" w:eastAsia="宋体" w:cs="宋体"/>
          <w:color w:val="auto"/>
          <w:sz w:val="24"/>
          <w:szCs w:val="24"/>
          <w:highlight w:val="none"/>
        </w:rPr>
        <w:t>）；</w:t>
      </w:r>
    </w:p>
    <w:p w14:paraId="3A3D3413">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600EB98">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C4BC0B5">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7635C6B">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0CE6E27D">
      <w:pPr>
        <w:pageBreakBefore w:val="0"/>
        <w:widowControl w:val="0"/>
        <w:kinsoku/>
        <w:wordWrap w:val="0"/>
        <w:overflowPunct/>
        <w:autoSpaceDE w:val="0"/>
        <w:autoSpaceDN w:val="0"/>
        <w:bidi w:val="0"/>
        <w:snapToGrid/>
        <w:spacing w:after="0"/>
        <w:ind w:firstLine="480" w:firstLineChars="200"/>
        <w:textAlignment w:val="auto"/>
        <w:rPr>
          <w:rFonts w:hint="eastAsia" w:ascii="宋体" w:hAnsi="宋体" w:eastAsia="宋体" w:cs="宋体"/>
          <w:color w:val="auto"/>
          <w:sz w:val="24"/>
          <w:szCs w:val="24"/>
          <w:highlight w:val="none"/>
        </w:rPr>
      </w:pPr>
    </w:p>
    <w:p w14:paraId="58BD6FE9">
      <w:pPr>
        <w:pageBreakBefore w:val="0"/>
        <w:widowControl w:val="0"/>
        <w:kinsoku/>
        <w:wordWrap w:val="0"/>
        <w:overflowPunct/>
        <w:autoSpaceDE w:val="0"/>
        <w:autoSpaceDN w:val="0"/>
        <w:bidi w:val="0"/>
        <w:snapToGrid/>
        <w:spacing w:after="0"/>
        <w:ind w:firstLine="480" w:firstLineChars="200"/>
        <w:textAlignment w:val="auto"/>
        <w:rPr>
          <w:rFonts w:hint="eastAsia" w:ascii="宋体" w:hAnsi="宋体" w:eastAsia="宋体" w:cs="宋体"/>
          <w:color w:val="auto"/>
          <w:sz w:val="24"/>
          <w:szCs w:val="24"/>
          <w:highlight w:val="none"/>
        </w:rPr>
      </w:pPr>
    </w:p>
    <w:p w14:paraId="04A7973D">
      <w:pPr>
        <w:pageBreakBefore w:val="0"/>
        <w:widowControl w:val="0"/>
        <w:kinsoku/>
        <w:wordWrap w:val="0"/>
        <w:overflowPunct/>
        <w:autoSpaceDE w:val="0"/>
        <w:autoSpaceDN w:val="0"/>
        <w:bidi w:val="0"/>
        <w:snapToGrid/>
        <w:spacing w:after="0"/>
        <w:jc w:val="center"/>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企业名称（盖章）：</w:t>
      </w:r>
      <w:r>
        <w:rPr>
          <w:rFonts w:hint="eastAsia" w:ascii="宋体" w:hAnsi="宋体" w:eastAsia="宋体" w:cs="宋体"/>
          <w:color w:val="auto"/>
          <w:sz w:val="24"/>
          <w:highlight w:val="none"/>
          <w:u w:val="single"/>
        </w:rPr>
        <w:t xml:space="preserve">          </w:t>
      </w:r>
    </w:p>
    <w:p w14:paraId="3AD7D981">
      <w:pPr>
        <w:pStyle w:val="109"/>
        <w:pageBreakBefore w:val="0"/>
        <w:kinsoku/>
        <w:wordWrap w:val="0"/>
        <w:overflowPunct/>
        <w:bidi w:val="0"/>
        <w:spacing w:after="0" w:line="560" w:lineRule="exact"/>
        <w:ind w:left="719" w:leftChars="327" w:firstLine="3960" w:firstLineChars="16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日</w:t>
      </w:r>
    </w:p>
    <w:p w14:paraId="7E332BA3">
      <w:pPr>
        <w:pStyle w:val="109"/>
        <w:pageBreakBefore w:val="0"/>
        <w:kinsoku/>
        <w:wordWrap w:val="0"/>
        <w:overflowPunct/>
        <w:bidi w:val="0"/>
        <w:spacing w:after="0" w:line="560" w:lineRule="exact"/>
        <w:ind w:left="839" w:leftChars="1" w:hanging="837" w:hangingChars="399"/>
        <w:jc w:val="both"/>
        <w:textAlignment w:val="auto"/>
        <w:rPr>
          <w:rFonts w:hint="eastAsia" w:ascii="宋体" w:hAnsi="宋体" w:eastAsia="宋体" w:cs="宋体"/>
          <w:color w:val="auto"/>
          <w:sz w:val="21"/>
          <w:szCs w:val="21"/>
          <w:highlight w:val="none"/>
        </w:rPr>
      </w:pPr>
    </w:p>
    <w:p w14:paraId="42E650B4">
      <w:pPr>
        <w:pStyle w:val="109"/>
        <w:pageBreakBefore w:val="0"/>
        <w:kinsoku/>
        <w:wordWrap w:val="0"/>
        <w:overflowPunct/>
        <w:bidi w:val="0"/>
        <w:spacing w:after="0" w:line="560" w:lineRule="exact"/>
        <w:ind w:left="839" w:leftChars="1" w:hanging="837" w:hangingChars="399"/>
        <w:jc w:val="both"/>
        <w:textAlignment w:val="auto"/>
        <w:rPr>
          <w:rFonts w:hint="eastAsia" w:ascii="宋体" w:hAnsi="宋体" w:eastAsia="宋体" w:cs="宋体"/>
          <w:color w:val="auto"/>
          <w:sz w:val="21"/>
          <w:szCs w:val="21"/>
          <w:highlight w:val="none"/>
        </w:rPr>
      </w:pPr>
    </w:p>
    <w:p w14:paraId="08D2E0B1">
      <w:pPr>
        <w:pStyle w:val="109"/>
        <w:pageBreakBefore w:val="0"/>
        <w:kinsoku/>
        <w:wordWrap w:val="0"/>
        <w:overflowPunct/>
        <w:bidi w:val="0"/>
        <w:spacing w:after="0" w:line="560" w:lineRule="exact"/>
        <w:ind w:left="839" w:leftChars="1" w:hanging="837" w:hangingChars="399"/>
        <w:jc w:val="both"/>
        <w:textAlignment w:val="auto"/>
        <w:rPr>
          <w:rFonts w:hint="eastAsia" w:ascii="宋体" w:hAnsi="宋体" w:eastAsia="宋体" w:cs="宋体"/>
          <w:color w:val="auto"/>
          <w:sz w:val="21"/>
          <w:szCs w:val="21"/>
          <w:highlight w:val="none"/>
        </w:rPr>
      </w:pPr>
    </w:p>
    <w:p w14:paraId="5AFDA59D">
      <w:pPr>
        <w:pStyle w:val="109"/>
        <w:pageBreakBefore w:val="0"/>
        <w:kinsoku/>
        <w:wordWrap w:val="0"/>
        <w:overflowPunct/>
        <w:bidi w:val="0"/>
        <w:spacing w:after="0" w:line="560" w:lineRule="exact"/>
        <w:ind w:left="839" w:leftChars="1" w:hanging="837" w:hangingChars="399"/>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 从业人员、营业收入、资产总额填报上一年度数据，无上一年度数据的新成立企业可不填报。</w:t>
      </w:r>
    </w:p>
    <w:p w14:paraId="15320552">
      <w:pPr>
        <w:pStyle w:val="109"/>
        <w:pageBreakBefore w:val="0"/>
        <w:kinsoku/>
        <w:wordWrap w:val="0"/>
        <w:overflowPunct/>
        <w:bidi w:val="0"/>
        <w:spacing w:after="0" w:line="560" w:lineRule="exact"/>
        <w:ind w:left="839" w:leftChars="1" w:hanging="837" w:hangingChars="399"/>
        <w:jc w:val="both"/>
        <w:textAlignment w:val="auto"/>
        <w:rPr>
          <w:rFonts w:hint="eastAsia" w:ascii="宋体" w:hAnsi="宋体" w:eastAsia="宋体" w:cs="宋体"/>
          <w:color w:val="auto"/>
          <w:sz w:val="21"/>
          <w:szCs w:val="21"/>
          <w:highlight w:val="none"/>
        </w:rPr>
      </w:pPr>
    </w:p>
    <w:bookmarkEnd w:id="761"/>
    <w:bookmarkEnd w:id="762"/>
    <w:p w14:paraId="6A369F13">
      <w:pPr>
        <w:pStyle w:val="35"/>
        <w:pageBreakBefore w:val="0"/>
        <w:kinsoku/>
        <w:wordWrap w:val="0"/>
        <w:overflowPunct/>
        <w:bidi w:val="0"/>
        <w:spacing w:after="0"/>
        <w:ind w:left="0" w:leftChars="0" w:firstLine="0" w:firstLineChars="0"/>
        <w:textAlignment w:val="auto"/>
        <w:rPr>
          <w:rFonts w:hint="eastAsia" w:ascii="宋体" w:hAnsi="宋体" w:eastAsia="宋体" w:cs="宋体"/>
          <w:color w:val="auto"/>
        </w:rPr>
      </w:pPr>
    </w:p>
    <w:p w14:paraId="46768BE9">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5C726360">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3D617D92">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残疾人福利性单位声明函</w:t>
      </w:r>
    </w:p>
    <w:p w14:paraId="44B9DEF1">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67710B5C">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005689">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6A64975D">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198E6A6B">
      <w:pPr>
        <w:pageBreakBefore w:val="0"/>
        <w:kinsoku/>
        <w:wordWrap w:val="0"/>
        <w:overflowPunct/>
        <w:bidi w:val="0"/>
        <w:spacing w:after="0" w:line="400" w:lineRule="exact"/>
        <w:ind w:firstLine="3360" w:firstLineChars="14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rPr>
        <w:t xml:space="preserve">                             （盖章）</w:t>
      </w:r>
    </w:p>
    <w:p w14:paraId="795F2958">
      <w:pPr>
        <w:pageBreakBefore w:val="0"/>
        <w:kinsoku/>
        <w:wordWrap w:val="0"/>
        <w:overflowPunct/>
        <w:bidi w:val="0"/>
        <w:spacing w:after="0" w:line="440" w:lineRule="exact"/>
        <w:ind w:right="960" w:firstLine="3360" w:firstLineChars="14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（签字或盖章）</w:t>
      </w:r>
    </w:p>
    <w:p w14:paraId="0B218D52">
      <w:pPr>
        <w:pageBreakBefore w:val="0"/>
        <w:kinsoku/>
        <w:wordWrap w:val="0"/>
        <w:overflowPunct/>
        <w:bidi w:val="0"/>
        <w:spacing w:after="0" w:line="440" w:lineRule="exact"/>
        <w:ind w:right="960" w:firstLine="5520" w:firstLineChars="2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91003EE">
      <w:pPr>
        <w:pageBreakBefore w:val="0"/>
        <w:kinsoku/>
        <w:wordWrap w:val="0"/>
        <w:overflowPunct/>
        <w:bidi w:val="0"/>
        <w:adjustRightInd/>
        <w:snapToGrid/>
        <w:spacing w:after="0"/>
        <w:jc w:val="right"/>
        <w:textAlignment w:val="auto"/>
        <w:rPr>
          <w:rFonts w:hint="eastAsia" w:ascii="宋体" w:hAnsi="宋体" w:eastAsia="宋体" w:cs="宋体"/>
          <w:color w:val="auto"/>
          <w:sz w:val="24"/>
          <w:highlight w:val="none"/>
        </w:rPr>
      </w:pPr>
    </w:p>
    <w:p w14:paraId="31876D59">
      <w:pPr>
        <w:pageBreakBefore w:val="0"/>
        <w:kinsoku/>
        <w:wordWrap w:val="0"/>
        <w:overflowPunct/>
        <w:bidi w:val="0"/>
        <w:adjustRightInd/>
        <w:snapToGrid/>
        <w:spacing w:after="0"/>
        <w:jc w:val="right"/>
        <w:textAlignment w:val="auto"/>
        <w:rPr>
          <w:rFonts w:hint="eastAsia" w:ascii="宋体" w:hAnsi="宋体" w:eastAsia="宋体" w:cs="宋体"/>
          <w:color w:val="auto"/>
          <w:sz w:val="24"/>
          <w:highlight w:val="none"/>
        </w:rPr>
      </w:pPr>
    </w:p>
    <w:p w14:paraId="0FE25ABE">
      <w:pPr>
        <w:pageBreakBefore w:val="0"/>
        <w:kinsoku/>
        <w:wordWrap w:val="0"/>
        <w:overflowPunct/>
        <w:bidi w:val="0"/>
        <w:adjustRightInd/>
        <w:snapToGrid/>
        <w:spacing w:after="0"/>
        <w:jc w:val="right"/>
        <w:textAlignment w:val="auto"/>
        <w:rPr>
          <w:rFonts w:hint="eastAsia" w:ascii="宋体" w:hAnsi="宋体" w:eastAsia="宋体" w:cs="宋体"/>
          <w:color w:val="auto"/>
          <w:sz w:val="24"/>
          <w:highlight w:val="none"/>
        </w:rPr>
      </w:pPr>
    </w:p>
    <w:p w14:paraId="2FB8A0DF">
      <w:pPr>
        <w:pageBreakBefore w:val="0"/>
        <w:kinsoku/>
        <w:wordWrap w:val="0"/>
        <w:overflowPunct/>
        <w:bidi w:val="0"/>
        <w:adjustRightInd/>
        <w:snapToGrid/>
        <w:spacing w:after="0"/>
        <w:jc w:val="right"/>
        <w:textAlignment w:val="auto"/>
        <w:rPr>
          <w:rFonts w:hint="eastAsia" w:ascii="宋体" w:hAnsi="宋体" w:eastAsia="宋体" w:cs="宋体"/>
          <w:color w:val="auto"/>
          <w:sz w:val="24"/>
          <w:highlight w:val="none"/>
        </w:rPr>
      </w:pPr>
    </w:p>
    <w:p w14:paraId="2E24BAEF">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29F8F142">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6A8498DB">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4C4470CC">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314CED83">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445B9EBC">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注：在政府采购活动中，残疾人福利性单位视同小型、微型企业，享受预留份额、评审中价格扣除等政府采购促进中小企业发展的政府采购政策。</w:t>
      </w:r>
    </w:p>
    <w:p w14:paraId="326A6DE8">
      <w:pPr>
        <w:pStyle w:val="35"/>
        <w:pageBreakBefore w:val="0"/>
        <w:kinsoku/>
        <w:wordWrap w:val="0"/>
        <w:overflowPunct/>
        <w:bidi w:val="0"/>
        <w:spacing w:after="0"/>
        <w:textAlignment w:val="auto"/>
        <w:rPr>
          <w:rFonts w:hint="eastAsia" w:ascii="宋体" w:hAnsi="宋体" w:eastAsia="宋体" w:cs="宋体"/>
          <w:color w:val="auto"/>
        </w:rPr>
      </w:pPr>
    </w:p>
    <w:p w14:paraId="3C779BE6">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5EE0B80B">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01002DFB">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3C61E641">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20EA5218">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602D6BE6">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p>
    <w:p w14:paraId="3F8DD62C">
      <w:pPr>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监狱企业证明文件</w:t>
      </w:r>
    </w:p>
    <w:p w14:paraId="36FBC1A4">
      <w:pPr>
        <w:pageBreakBefore w:val="0"/>
        <w:kinsoku/>
        <w:wordWrap w:val="0"/>
        <w:overflowPunct/>
        <w:bidi w:val="0"/>
        <w:spacing w:after="0"/>
        <w:textAlignment w:val="auto"/>
        <w:rPr>
          <w:rFonts w:hint="eastAsia" w:ascii="宋体" w:hAnsi="宋体" w:eastAsia="宋体" w:cs="宋体"/>
          <w:b/>
          <w:bCs/>
          <w:color w:val="auto"/>
          <w:sz w:val="32"/>
          <w:szCs w:val="32"/>
          <w:highlight w:val="none"/>
        </w:rPr>
      </w:pPr>
    </w:p>
    <w:p w14:paraId="4C5656EA">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 </w:t>
      </w:r>
    </w:p>
    <w:p w14:paraId="3C49A5A8">
      <w:pPr>
        <w:pageBreakBefore w:val="0"/>
        <w:shd w:val="clear" w:color="auto" w:fill="FFFFFF"/>
        <w:kinsoku/>
        <w:wordWrap w:val="0"/>
        <w:overflowPunct/>
        <w:bidi w:val="0"/>
        <w:spacing w:after="0" w:line="360" w:lineRule="auto"/>
        <w:textAlignment w:val="auto"/>
        <w:rPr>
          <w:rFonts w:hint="eastAsia" w:ascii="宋体" w:hAnsi="宋体" w:eastAsia="宋体" w:cs="宋体"/>
          <w:color w:val="auto"/>
          <w:sz w:val="24"/>
          <w:szCs w:val="24"/>
          <w:highlight w:val="none"/>
        </w:rPr>
      </w:pPr>
    </w:p>
    <w:p w14:paraId="40FCE8D9">
      <w:pPr>
        <w:pageBreakBefore w:val="0"/>
        <w:shd w:val="clear" w:color="auto" w:fill="FFFFFF"/>
        <w:kinsoku/>
        <w:wordWrap w:val="0"/>
        <w:overflowPunct/>
        <w:bidi w:val="0"/>
        <w:spacing w:after="0" w:line="360" w:lineRule="auto"/>
        <w:ind w:firstLine="4560" w:firstLineChars="1900"/>
        <w:textAlignment w:val="auto"/>
        <w:rPr>
          <w:rFonts w:hint="eastAsia" w:ascii="宋体" w:hAnsi="宋体" w:eastAsia="宋体" w:cs="宋体"/>
          <w:color w:val="auto"/>
          <w:sz w:val="24"/>
          <w:szCs w:val="24"/>
          <w:highlight w:val="none"/>
        </w:rPr>
      </w:pPr>
    </w:p>
    <w:p w14:paraId="08E60C6F">
      <w:pPr>
        <w:pageBreakBefore w:val="0"/>
        <w:kinsoku/>
        <w:wordWrap w:val="0"/>
        <w:overflowPunct/>
        <w:bidi w:val="0"/>
        <w:spacing w:after="0" w:line="400" w:lineRule="exact"/>
        <w:ind w:firstLine="3360" w:firstLineChars="14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供应商全称：</w:t>
      </w:r>
      <w:r>
        <w:rPr>
          <w:rFonts w:hint="eastAsia" w:ascii="宋体" w:hAnsi="宋体" w:eastAsia="宋体" w:cs="宋体"/>
          <w:color w:val="auto"/>
          <w:sz w:val="24"/>
          <w:highlight w:val="none"/>
          <w:u w:val="single"/>
        </w:rPr>
        <w:t xml:space="preserve">                       （盖章）</w:t>
      </w:r>
    </w:p>
    <w:p w14:paraId="46DDB8F2">
      <w:pPr>
        <w:pageBreakBefore w:val="0"/>
        <w:kinsoku/>
        <w:wordWrap w:val="0"/>
        <w:overflowPunct/>
        <w:bidi w:val="0"/>
        <w:spacing w:after="0" w:line="440" w:lineRule="exact"/>
        <w:ind w:right="960" w:firstLine="3360" w:firstLineChars="14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（签字或盖章）</w:t>
      </w:r>
    </w:p>
    <w:p w14:paraId="6305C2BC">
      <w:pPr>
        <w:pageBreakBefore w:val="0"/>
        <w:kinsoku/>
        <w:wordWrap w:val="0"/>
        <w:overflowPunct/>
        <w:bidi w:val="0"/>
        <w:adjustRightInd/>
        <w:snapToGrid/>
        <w:spacing w:after="0"/>
        <w:ind w:right="48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21A511E">
      <w:pPr>
        <w:pageBreakBefore w:val="0"/>
        <w:kinsoku/>
        <w:wordWrap w:val="0"/>
        <w:overflowPunct/>
        <w:bidi w:val="0"/>
        <w:spacing w:after="0"/>
        <w:textAlignment w:val="auto"/>
        <w:rPr>
          <w:rFonts w:hint="eastAsia" w:ascii="宋体" w:hAnsi="宋体" w:eastAsia="宋体" w:cs="宋体"/>
          <w:b/>
          <w:bCs/>
          <w:color w:val="auto"/>
          <w:sz w:val="24"/>
          <w:szCs w:val="24"/>
          <w:highlight w:val="none"/>
        </w:rPr>
      </w:pPr>
    </w:p>
    <w:p w14:paraId="1AAD9323">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70823785">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104C64DF">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1F269E3B">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7E923145">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10EE40A1">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p>
    <w:p w14:paraId="70BD6268">
      <w:pPr>
        <w:pStyle w:val="14"/>
        <w:pageBreakBefore w:val="0"/>
        <w:kinsoku/>
        <w:wordWrap w:val="0"/>
        <w:overflowPunct/>
        <w:bidi w:val="0"/>
        <w:spacing w:after="0"/>
        <w:textAlignment w:val="auto"/>
        <w:rPr>
          <w:rFonts w:hint="eastAsia" w:ascii="宋体" w:hAnsi="宋体" w:eastAsia="宋体" w:cs="宋体"/>
          <w:color w:val="auto"/>
        </w:rPr>
      </w:pPr>
    </w:p>
    <w:p w14:paraId="0566D0B2">
      <w:pPr>
        <w:pageBreakBefore w:val="0"/>
        <w:kinsoku/>
        <w:wordWrap w:val="0"/>
        <w:overflowPunct/>
        <w:bidi w:val="0"/>
        <w:spacing w:after="0" w:line="360" w:lineRule="auto"/>
        <w:ind w:firstLine="480" w:firstLineChars="200"/>
        <w:textAlignment w:val="auto"/>
        <w:rPr>
          <w:rFonts w:hint="eastAsia" w:ascii="宋体" w:hAnsi="宋体" w:eastAsia="宋体" w:cs="宋体"/>
          <w:b/>
          <w:color w:val="auto"/>
          <w:kern w:val="2"/>
          <w:sz w:val="24"/>
          <w:szCs w:val="24"/>
          <w:highlight w:val="none"/>
        </w:rPr>
      </w:pPr>
      <w:r>
        <w:rPr>
          <w:rFonts w:hint="eastAsia" w:ascii="宋体" w:hAnsi="宋体" w:eastAsia="宋体" w:cs="宋体"/>
          <w:color w:val="auto"/>
          <w:sz w:val="24"/>
          <w:szCs w:val="24"/>
          <w:highlight w:val="none"/>
        </w:rPr>
        <w:t xml:space="preserve">注：在政府采购活动中，监狱企业视同小型、微型企业，享受预留份额、评审中价格扣除等政府采购促进中小企业发展的政府采购政策。 </w:t>
      </w:r>
    </w:p>
    <w:p w14:paraId="5EBABFCD">
      <w:pPr>
        <w:pStyle w:val="60"/>
        <w:pageBreakBefore w:val="0"/>
        <w:kinsoku/>
        <w:wordWrap w:val="0"/>
        <w:overflowPunct/>
        <w:bidi w:val="0"/>
        <w:spacing w:after="0"/>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 xml:space="preserve">承  诺  </w:t>
      </w:r>
      <w:bookmarkEnd w:id="759"/>
      <w:r>
        <w:rPr>
          <w:rFonts w:hint="eastAsia" w:ascii="宋体" w:hAnsi="宋体" w:eastAsia="宋体" w:cs="宋体"/>
          <w:b/>
          <w:bCs/>
          <w:color w:val="auto"/>
          <w:sz w:val="36"/>
          <w:szCs w:val="36"/>
          <w:highlight w:val="none"/>
        </w:rPr>
        <w:t>书</w:t>
      </w:r>
      <w:bookmarkEnd w:id="760"/>
    </w:p>
    <w:p w14:paraId="5FD6DF37">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7657E03E">
      <w:pPr>
        <w:pageBreakBefore w:val="0"/>
        <w:kinsoku/>
        <w:wordWrap w:val="0"/>
        <w:overflowPunct/>
        <w:bidi w:val="0"/>
        <w:spacing w:after="0"/>
        <w:jc w:val="center"/>
        <w:textAlignment w:val="auto"/>
        <w:rPr>
          <w:rFonts w:hint="eastAsia" w:ascii="宋体" w:hAnsi="宋体" w:eastAsia="宋体" w:cs="宋体"/>
          <w:color w:val="auto"/>
          <w:sz w:val="24"/>
          <w:szCs w:val="24"/>
          <w:highlight w:val="none"/>
        </w:rPr>
      </w:pPr>
    </w:p>
    <w:p w14:paraId="5B788CED">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本单位作为项目的供应商，现作如下承诺：</w:t>
      </w:r>
    </w:p>
    <w:p w14:paraId="5F1C0011">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1、所提供的一切材料真实、有效、合法。</w:t>
      </w:r>
    </w:p>
    <w:p w14:paraId="4238EB4F">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2、不与其他供应商串通磋商，不损害采购人或其他供应商的合法权益。</w:t>
      </w:r>
    </w:p>
    <w:p w14:paraId="705BBDA4">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3、不与采购人或采购代理机构串通磋商，损害国家利益、社会公共利益或者他人的合法权益。</w:t>
      </w:r>
    </w:p>
    <w:p w14:paraId="049771CF">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4、不向采购人、磋商小组、监督人员贿赂。</w:t>
      </w:r>
    </w:p>
    <w:p w14:paraId="19476803">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5、不扰乱磋商活动正常秩序。</w:t>
      </w:r>
    </w:p>
    <w:p w14:paraId="1346B53C">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6、不进行虚假恶意投诉。</w:t>
      </w:r>
    </w:p>
    <w:p w14:paraId="0913CA2E">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7、如有违反政府采购</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、规章被查处的，不干预案件查处。</w:t>
      </w:r>
    </w:p>
    <w:p w14:paraId="756D38A5">
      <w:pPr>
        <w:pageBreakBefore w:val="0"/>
        <w:kinsoku/>
        <w:wordWrap w:val="0"/>
        <w:overflowPunct/>
        <w:bidi w:val="0"/>
        <w:spacing w:after="0" w:line="40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rPr>
        <w:t>如出现上述行为，本供应商自愿承担相关责任，接受采购监督管理部门、纪检监察部门或司法机关调查处理。给采购人造成损失的，依法承担赔偿责任。</w:t>
      </w:r>
    </w:p>
    <w:p w14:paraId="1AAC0774">
      <w:pPr>
        <w:pageBreakBefore w:val="0"/>
        <w:kinsoku/>
        <w:wordWrap w:val="0"/>
        <w:overflowPunct/>
        <w:bidi w:val="0"/>
        <w:spacing w:after="0" w:line="400" w:lineRule="exact"/>
        <w:textAlignment w:val="auto"/>
        <w:rPr>
          <w:rFonts w:hint="eastAsia" w:ascii="宋体" w:hAnsi="宋体" w:eastAsia="宋体" w:cs="宋体"/>
          <w:color w:val="auto"/>
          <w:sz w:val="24"/>
          <w:highlight w:val="none"/>
        </w:rPr>
      </w:pPr>
    </w:p>
    <w:p w14:paraId="7F9CE8CE">
      <w:pPr>
        <w:pageBreakBefore w:val="0"/>
        <w:kinsoku/>
        <w:wordWrap w:val="0"/>
        <w:overflowPunct/>
        <w:bidi w:val="0"/>
        <w:spacing w:after="0" w:line="400" w:lineRule="exact"/>
        <w:ind w:firstLine="4440" w:firstLineChars="185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highlight w:val="none"/>
        </w:rPr>
        <w:t>全称：</w:t>
      </w:r>
      <w:r>
        <w:rPr>
          <w:rFonts w:hint="eastAsia" w:ascii="宋体" w:hAnsi="宋体" w:eastAsia="宋体" w:cs="宋体"/>
          <w:color w:val="auto"/>
          <w:sz w:val="24"/>
          <w:highlight w:val="none"/>
          <w:u w:val="single"/>
        </w:rPr>
        <w:t xml:space="preserve">                     （盖章）</w:t>
      </w:r>
    </w:p>
    <w:p w14:paraId="5A268357">
      <w:pPr>
        <w:pageBreakBefore w:val="0"/>
        <w:kinsoku/>
        <w:wordWrap w:val="0"/>
        <w:overflowPunct/>
        <w:bidi w:val="0"/>
        <w:spacing w:after="0" w:line="440" w:lineRule="exact"/>
        <w:ind w:right="61" w:firstLine="4440" w:firstLineChars="18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（签字或盖章）</w:t>
      </w:r>
    </w:p>
    <w:p w14:paraId="3AA6EAA2">
      <w:pPr>
        <w:pageBreakBefore w:val="0"/>
        <w:kinsoku/>
        <w:wordWrap w:val="0"/>
        <w:overflowPunct/>
        <w:bidi w:val="0"/>
        <w:spacing w:after="0"/>
        <w:ind w:right="960" w:firstLine="5520" w:firstLineChars="2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5F3B5AE3">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47843320">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5AA84536">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789D77A8">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27AAAE96">
      <w:pPr>
        <w:pageBreakBefore w:val="0"/>
        <w:kinsoku/>
        <w:wordWrap w:val="0"/>
        <w:overflowPunct/>
        <w:bidi w:val="0"/>
        <w:spacing w:after="0"/>
        <w:textAlignment w:val="auto"/>
        <w:rPr>
          <w:rFonts w:hint="eastAsia" w:ascii="宋体" w:hAnsi="宋体" w:eastAsia="宋体" w:cs="宋体"/>
          <w:b/>
          <w:bCs/>
          <w:color w:val="auto"/>
          <w:sz w:val="44"/>
          <w:szCs w:val="44"/>
          <w:highlight w:val="none"/>
        </w:rPr>
      </w:pPr>
    </w:p>
    <w:p w14:paraId="5A8BF32E">
      <w:pPr>
        <w:pStyle w:val="35"/>
        <w:pageBreakBefore w:val="0"/>
        <w:kinsoku/>
        <w:wordWrap w:val="0"/>
        <w:overflowPunct/>
        <w:bidi w:val="0"/>
        <w:spacing w:after="0"/>
        <w:textAlignment w:val="auto"/>
        <w:rPr>
          <w:rFonts w:hint="eastAsia" w:ascii="宋体" w:hAnsi="宋体" w:eastAsia="宋体" w:cs="宋体"/>
          <w:b/>
          <w:bCs/>
          <w:color w:val="auto"/>
          <w:sz w:val="44"/>
          <w:szCs w:val="44"/>
          <w:highlight w:val="none"/>
        </w:rPr>
      </w:pPr>
    </w:p>
    <w:p w14:paraId="6772B46C">
      <w:pPr>
        <w:pStyle w:val="35"/>
        <w:pageBreakBefore w:val="0"/>
        <w:kinsoku/>
        <w:wordWrap w:val="0"/>
        <w:overflowPunct/>
        <w:bidi w:val="0"/>
        <w:spacing w:after="0"/>
        <w:textAlignment w:val="auto"/>
        <w:rPr>
          <w:rFonts w:hint="eastAsia" w:ascii="宋体" w:hAnsi="宋体" w:eastAsia="宋体" w:cs="宋体"/>
          <w:b/>
          <w:bCs/>
          <w:color w:val="auto"/>
          <w:sz w:val="44"/>
          <w:szCs w:val="44"/>
          <w:highlight w:val="none"/>
        </w:rPr>
      </w:pPr>
    </w:p>
    <w:p w14:paraId="1023B5BF">
      <w:pPr>
        <w:pStyle w:val="35"/>
        <w:pageBreakBefore w:val="0"/>
        <w:kinsoku/>
        <w:wordWrap w:val="0"/>
        <w:overflowPunct/>
        <w:bidi w:val="0"/>
        <w:spacing w:after="0"/>
        <w:textAlignment w:val="auto"/>
        <w:rPr>
          <w:rFonts w:hint="eastAsia" w:ascii="宋体" w:hAnsi="宋体" w:eastAsia="宋体" w:cs="宋体"/>
          <w:b/>
          <w:bCs/>
          <w:color w:val="auto"/>
          <w:sz w:val="44"/>
          <w:szCs w:val="44"/>
          <w:highlight w:val="none"/>
        </w:rPr>
      </w:pPr>
    </w:p>
    <w:p w14:paraId="55BD2F11">
      <w:pPr>
        <w:pStyle w:val="35"/>
        <w:pageBreakBefore w:val="0"/>
        <w:kinsoku/>
        <w:wordWrap w:val="0"/>
        <w:overflowPunct/>
        <w:bidi w:val="0"/>
        <w:spacing w:after="0"/>
        <w:textAlignment w:val="auto"/>
        <w:rPr>
          <w:rFonts w:hint="eastAsia" w:ascii="宋体" w:hAnsi="宋体" w:eastAsia="宋体" w:cs="宋体"/>
          <w:b/>
          <w:bCs/>
          <w:color w:val="auto"/>
          <w:sz w:val="44"/>
          <w:szCs w:val="44"/>
          <w:highlight w:val="none"/>
        </w:rPr>
      </w:pPr>
    </w:p>
    <w:p w14:paraId="3F9299E8">
      <w:pPr>
        <w:pageBreakBefore w:val="0"/>
        <w:kinsoku/>
        <w:wordWrap w:val="0"/>
        <w:overflowPunct/>
        <w:bidi w:val="0"/>
        <w:spacing w:after="0"/>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第二部分 技术标部分</w:t>
      </w:r>
    </w:p>
    <w:p w14:paraId="56178EC9">
      <w:pPr>
        <w:pageBreakBefore w:val="0"/>
        <w:kinsoku/>
        <w:wordWrap w:val="0"/>
        <w:overflowPunct/>
        <w:bidi w:val="0"/>
        <w:spacing w:after="0" w:line="400" w:lineRule="exact"/>
        <w:textAlignment w:val="auto"/>
        <w:rPr>
          <w:rFonts w:hint="eastAsia" w:ascii="宋体" w:hAnsi="宋体" w:eastAsia="宋体" w:cs="宋体"/>
          <w:color w:val="auto"/>
          <w:sz w:val="28"/>
          <w:szCs w:val="28"/>
        </w:rPr>
      </w:pPr>
      <w:r>
        <w:rPr>
          <w:rFonts w:hint="eastAsia" w:ascii="宋体" w:hAnsi="宋体" w:eastAsia="宋体" w:cs="宋体"/>
          <w:b/>
          <w:bCs/>
          <w:color w:val="auto"/>
          <w:sz w:val="28"/>
          <w:szCs w:val="28"/>
        </w:rPr>
        <w:t>一、技术部分</w:t>
      </w:r>
    </w:p>
    <w:p w14:paraId="3DCDDBA8">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1.磋商申请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8675233">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（1）施工方案与技术措施</w:t>
      </w:r>
    </w:p>
    <w:p w14:paraId="66837F7F">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（2）质量管理体系与措施</w:t>
      </w:r>
    </w:p>
    <w:p w14:paraId="32A06C52">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（3）安全管理体系与措施</w:t>
      </w:r>
    </w:p>
    <w:p w14:paraId="75FE7ED9">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（4）环境保护管理体系与措施</w:t>
      </w:r>
    </w:p>
    <w:p w14:paraId="10AAE3EF">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（5）工程进度计划与保证措施</w:t>
      </w:r>
    </w:p>
    <w:p w14:paraId="275EFA38">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（6）资源配备计划</w:t>
      </w:r>
    </w:p>
    <w:p w14:paraId="6E861B84">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（7）项目管理机构配置</w:t>
      </w:r>
    </w:p>
    <w:p w14:paraId="291F4D4E">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（8）施工总平面布置图</w:t>
      </w:r>
    </w:p>
    <w:p w14:paraId="7726F477">
      <w:pPr>
        <w:pageBreakBefore w:val="0"/>
        <w:kinsoku/>
        <w:wordWrap w:val="0"/>
        <w:overflowPunct/>
        <w:bidi w:val="0"/>
        <w:spacing w:after="0" w:line="360" w:lineRule="auto"/>
        <w:ind w:firstLine="240" w:firstLineChars="1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（9）其他需说明的内容</w:t>
      </w:r>
    </w:p>
    <w:p w14:paraId="69B503C5">
      <w:pPr>
        <w:pStyle w:val="14"/>
        <w:pageBreakBefore w:val="0"/>
        <w:kinsoku/>
        <w:wordWrap w:val="0"/>
        <w:overflowPunct/>
        <w:bidi w:val="0"/>
        <w:spacing w:after="0"/>
        <w:textAlignment w:val="auto"/>
        <w:rPr>
          <w:rFonts w:hint="eastAsia" w:ascii="宋体" w:hAnsi="宋体" w:eastAsia="宋体" w:cs="宋体"/>
          <w:caps/>
          <w:color w:val="auto"/>
          <w:sz w:val="24"/>
        </w:rPr>
      </w:pPr>
    </w:p>
    <w:p w14:paraId="720174A0">
      <w:pPr>
        <w:pStyle w:val="14"/>
        <w:pageBreakBefore w:val="0"/>
        <w:kinsoku/>
        <w:wordWrap w:val="0"/>
        <w:overflowPunct/>
        <w:bidi w:val="0"/>
        <w:spacing w:after="0"/>
        <w:textAlignment w:val="auto"/>
        <w:rPr>
          <w:rFonts w:hint="eastAsia" w:ascii="宋体" w:hAnsi="宋体" w:eastAsia="宋体" w:cs="宋体"/>
          <w:caps/>
          <w:color w:val="auto"/>
          <w:sz w:val="24"/>
        </w:rPr>
      </w:pPr>
    </w:p>
    <w:p w14:paraId="05112608">
      <w:pPr>
        <w:pStyle w:val="14"/>
        <w:pageBreakBefore w:val="0"/>
        <w:kinsoku/>
        <w:wordWrap w:val="0"/>
        <w:overflowPunct/>
        <w:bidi w:val="0"/>
        <w:spacing w:after="0"/>
        <w:textAlignment w:val="auto"/>
        <w:rPr>
          <w:rFonts w:hint="eastAsia" w:ascii="宋体" w:hAnsi="宋体" w:eastAsia="宋体" w:cs="宋体"/>
          <w:caps/>
          <w:color w:val="auto"/>
          <w:sz w:val="24"/>
        </w:rPr>
      </w:pPr>
    </w:p>
    <w:p w14:paraId="43380F18">
      <w:pPr>
        <w:pStyle w:val="14"/>
        <w:pageBreakBefore w:val="0"/>
        <w:kinsoku/>
        <w:wordWrap w:val="0"/>
        <w:overflowPunct/>
        <w:bidi w:val="0"/>
        <w:spacing w:after="0"/>
        <w:textAlignment w:val="auto"/>
        <w:rPr>
          <w:rFonts w:hint="eastAsia" w:ascii="宋体" w:hAnsi="宋体" w:eastAsia="宋体" w:cs="宋体"/>
          <w:caps/>
          <w:color w:val="auto"/>
          <w:sz w:val="24"/>
        </w:rPr>
      </w:pPr>
    </w:p>
    <w:p w14:paraId="0222FCF7">
      <w:pPr>
        <w:pStyle w:val="14"/>
        <w:pageBreakBefore w:val="0"/>
        <w:kinsoku/>
        <w:wordWrap w:val="0"/>
        <w:overflowPunct/>
        <w:bidi w:val="0"/>
        <w:spacing w:after="0"/>
        <w:textAlignment w:val="auto"/>
        <w:rPr>
          <w:rFonts w:hint="eastAsia" w:ascii="宋体" w:hAnsi="宋体" w:eastAsia="宋体" w:cs="宋体"/>
          <w:caps/>
          <w:color w:val="auto"/>
          <w:sz w:val="24"/>
        </w:rPr>
      </w:pPr>
    </w:p>
    <w:p w14:paraId="4ABD2FAF">
      <w:pPr>
        <w:pStyle w:val="14"/>
        <w:pageBreakBefore w:val="0"/>
        <w:kinsoku/>
        <w:wordWrap w:val="0"/>
        <w:overflowPunct/>
        <w:bidi w:val="0"/>
        <w:spacing w:after="0"/>
        <w:textAlignment w:val="auto"/>
        <w:rPr>
          <w:rFonts w:hint="eastAsia" w:ascii="宋体" w:hAnsi="宋体" w:eastAsia="宋体" w:cs="宋体"/>
          <w:caps/>
          <w:color w:val="auto"/>
          <w:sz w:val="24"/>
        </w:rPr>
      </w:pPr>
    </w:p>
    <w:p w14:paraId="0359E03E">
      <w:pPr>
        <w:pageBreakBefore w:val="0"/>
        <w:kinsoku/>
        <w:wordWrap w:val="0"/>
        <w:overflowPunct/>
        <w:bidi w:val="0"/>
        <w:spacing w:after="0"/>
        <w:textAlignment w:val="auto"/>
        <w:rPr>
          <w:rFonts w:hint="eastAsia" w:ascii="宋体" w:hAnsi="宋体" w:eastAsia="宋体" w:cs="宋体"/>
          <w:caps/>
          <w:color w:val="auto"/>
          <w:sz w:val="24"/>
        </w:rPr>
      </w:pPr>
    </w:p>
    <w:p w14:paraId="1D8C8D2A">
      <w:pPr>
        <w:pStyle w:val="35"/>
        <w:pageBreakBefore w:val="0"/>
        <w:kinsoku/>
        <w:wordWrap w:val="0"/>
        <w:overflowPunct/>
        <w:bidi w:val="0"/>
        <w:spacing w:after="0"/>
        <w:textAlignment w:val="auto"/>
        <w:rPr>
          <w:rFonts w:hint="eastAsia" w:ascii="宋体" w:hAnsi="宋体" w:eastAsia="宋体" w:cs="宋体"/>
          <w:caps/>
          <w:color w:val="auto"/>
          <w:sz w:val="24"/>
        </w:rPr>
      </w:pPr>
    </w:p>
    <w:p w14:paraId="54C2C8AC">
      <w:pPr>
        <w:pStyle w:val="35"/>
        <w:pageBreakBefore w:val="0"/>
        <w:kinsoku/>
        <w:wordWrap w:val="0"/>
        <w:overflowPunct/>
        <w:bidi w:val="0"/>
        <w:spacing w:after="0"/>
        <w:textAlignment w:val="auto"/>
        <w:rPr>
          <w:rFonts w:hint="eastAsia" w:ascii="宋体" w:hAnsi="宋体" w:eastAsia="宋体" w:cs="宋体"/>
          <w:caps/>
          <w:color w:val="auto"/>
          <w:sz w:val="24"/>
        </w:rPr>
      </w:pPr>
    </w:p>
    <w:p w14:paraId="0F57C22B">
      <w:pPr>
        <w:pStyle w:val="35"/>
        <w:pageBreakBefore w:val="0"/>
        <w:kinsoku/>
        <w:wordWrap w:val="0"/>
        <w:overflowPunct/>
        <w:bidi w:val="0"/>
        <w:spacing w:after="0"/>
        <w:textAlignment w:val="auto"/>
        <w:rPr>
          <w:rFonts w:hint="eastAsia" w:ascii="宋体" w:hAnsi="宋体" w:eastAsia="宋体" w:cs="宋体"/>
          <w:caps/>
          <w:color w:val="auto"/>
          <w:sz w:val="24"/>
        </w:rPr>
      </w:pPr>
    </w:p>
    <w:p w14:paraId="3B5772A3">
      <w:pPr>
        <w:pStyle w:val="35"/>
        <w:pageBreakBefore w:val="0"/>
        <w:kinsoku/>
        <w:wordWrap w:val="0"/>
        <w:overflowPunct/>
        <w:bidi w:val="0"/>
        <w:spacing w:after="0"/>
        <w:textAlignment w:val="auto"/>
        <w:rPr>
          <w:rFonts w:hint="eastAsia" w:ascii="宋体" w:hAnsi="宋体" w:eastAsia="宋体" w:cs="宋体"/>
          <w:caps/>
          <w:color w:val="auto"/>
          <w:sz w:val="24"/>
        </w:rPr>
      </w:pPr>
    </w:p>
    <w:p w14:paraId="293B82EB">
      <w:pPr>
        <w:pageBreakBefore w:val="0"/>
        <w:kinsoku/>
        <w:wordWrap w:val="0"/>
        <w:overflowPunct/>
        <w:bidi w:val="0"/>
        <w:spacing w:after="0"/>
        <w:ind w:firstLine="4498" w:firstLineChars="1600"/>
        <w:jc w:val="both"/>
        <w:textAlignment w:val="auto"/>
        <w:rPr>
          <w:rFonts w:hint="eastAsia" w:ascii="宋体" w:hAnsi="宋体" w:eastAsia="宋体" w:cs="宋体"/>
          <w:b/>
          <w:color w:val="auto"/>
          <w:sz w:val="28"/>
          <w:szCs w:val="28"/>
        </w:rPr>
      </w:pPr>
    </w:p>
    <w:p w14:paraId="69FB34C1">
      <w:pPr>
        <w:pStyle w:val="35"/>
        <w:rPr>
          <w:rFonts w:hint="eastAsia"/>
          <w:color w:val="auto"/>
        </w:rPr>
      </w:pPr>
    </w:p>
    <w:p w14:paraId="24FA2BB2">
      <w:pPr>
        <w:pStyle w:val="35"/>
        <w:pageBreakBefore w:val="0"/>
        <w:kinsoku/>
        <w:wordWrap w:val="0"/>
        <w:overflowPunct/>
        <w:bidi w:val="0"/>
        <w:spacing w:after="0"/>
        <w:textAlignment w:val="auto"/>
        <w:rPr>
          <w:rFonts w:hint="eastAsia" w:ascii="宋体" w:hAnsi="宋体" w:eastAsia="宋体" w:cs="宋体"/>
          <w:color w:val="auto"/>
        </w:rPr>
      </w:pPr>
    </w:p>
    <w:p w14:paraId="334D4F88">
      <w:pPr>
        <w:pageBreakBefore w:val="0"/>
        <w:kinsoku/>
        <w:wordWrap w:val="0"/>
        <w:overflowPunct/>
        <w:bidi w:val="0"/>
        <w:spacing w:after="0"/>
        <w:ind w:firstLine="4498" w:firstLineChars="1600"/>
        <w:jc w:val="both"/>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项目管理机构</w:t>
      </w:r>
    </w:p>
    <w:p w14:paraId="64FAA8CC">
      <w:pPr>
        <w:pageBreakBefore w:val="0"/>
        <w:kinsoku/>
        <w:wordWrap w:val="0"/>
        <w:overflowPunct/>
        <w:bidi w:val="0"/>
        <w:spacing w:after="0"/>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（一）项目管理机构组成表</w:t>
      </w:r>
    </w:p>
    <w:tbl>
      <w:tblPr>
        <w:tblStyle w:val="62"/>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7"/>
        <w:gridCol w:w="900"/>
        <w:gridCol w:w="900"/>
        <w:gridCol w:w="1080"/>
        <w:gridCol w:w="1080"/>
        <w:gridCol w:w="818"/>
        <w:gridCol w:w="1398"/>
        <w:gridCol w:w="1571"/>
      </w:tblGrid>
      <w:tr w14:paraId="14DC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657" w:type="dxa"/>
            <w:vMerge w:val="restart"/>
            <w:vAlign w:val="center"/>
          </w:tcPr>
          <w:p w14:paraId="486227C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职务</w:t>
            </w:r>
          </w:p>
        </w:tc>
        <w:tc>
          <w:tcPr>
            <w:tcW w:w="900" w:type="dxa"/>
            <w:vMerge w:val="restart"/>
            <w:vAlign w:val="center"/>
          </w:tcPr>
          <w:p w14:paraId="55DF1CC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姓名</w:t>
            </w:r>
          </w:p>
        </w:tc>
        <w:tc>
          <w:tcPr>
            <w:tcW w:w="900" w:type="dxa"/>
            <w:vMerge w:val="restart"/>
            <w:vAlign w:val="center"/>
          </w:tcPr>
          <w:p w14:paraId="7F45303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职称</w:t>
            </w:r>
          </w:p>
        </w:tc>
        <w:tc>
          <w:tcPr>
            <w:tcW w:w="4376" w:type="dxa"/>
            <w:gridSpan w:val="4"/>
            <w:vAlign w:val="center"/>
          </w:tcPr>
          <w:p w14:paraId="15F0A2C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执业或职业资格证明</w:t>
            </w:r>
          </w:p>
        </w:tc>
        <w:tc>
          <w:tcPr>
            <w:tcW w:w="1571" w:type="dxa"/>
            <w:vAlign w:val="center"/>
          </w:tcPr>
          <w:p w14:paraId="6A63AEB1">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76F4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657" w:type="dxa"/>
            <w:vMerge w:val="continue"/>
            <w:vAlign w:val="center"/>
          </w:tcPr>
          <w:p w14:paraId="3E1F2C5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900" w:type="dxa"/>
            <w:vMerge w:val="continue"/>
            <w:vAlign w:val="center"/>
          </w:tcPr>
          <w:p w14:paraId="270892E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900" w:type="dxa"/>
            <w:vMerge w:val="continue"/>
            <w:vAlign w:val="center"/>
          </w:tcPr>
          <w:p w14:paraId="1578A11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80" w:type="dxa"/>
            <w:vAlign w:val="center"/>
          </w:tcPr>
          <w:p w14:paraId="3C3DF5F4">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证书</w:t>
            </w:r>
          </w:p>
          <w:p w14:paraId="54FEF7B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080" w:type="dxa"/>
            <w:vAlign w:val="center"/>
          </w:tcPr>
          <w:p w14:paraId="214FB08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级别</w:t>
            </w:r>
          </w:p>
        </w:tc>
        <w:tc>
          <w:tcPr>
            <w:tcW w:w="818" w:type="dxa"/>
            <w:vAlign w:val="center"/>
          </w:tcPr>
          <w:p w14:paraId="6B97EE41">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证号</w:t>
            </w:r>
          </w:p>
        </w:tc>
        <w:tc>
          <w:tcPr>
            <w:tcW w:w="1398" w:type="dxa"/>
            <w:vAlign w:val="center"/>
          </w:tcPr>
          <w:p w14:paraId="3DD62B8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专业</w:t>
            </w:r>
          </w:p>
        </w:tc>
        <w:tc>
          <w:tcPr>
            <w:tcW w:w="1571" w:type="dxa"/>
            <w:vAlign w:val="center"/>
          </w:tcPr>
          <w:p w14:paraId="5D94CEB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4B47C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657" w:type="dxa"/>
            <w:vAlign w:val="center"/>
          </w:tcPr>
          <w:p w14:paraId="2ED4F07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7485BD80">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5A9CED7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34CCB89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2AF982C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18" w:type="dxa"/>
            <w:vAlign w:val="center"/>
          </w:tcPr>
          <w:p w14:paraId="10A9635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98" w:type="dxa"/>
            <w:vAlign w:val="center"/>
          </w:tcPr>
          <w:p w14:paraId="7357459F">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1" w:type="dxa"/>
            <w:vAlign w:val="center"/>
          </w:tcPr>
          <w:p w14:paraId="54D5251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34DA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657" w:type="dxa"/>
            <w:vAlign w:val="center"/>
          </w:tcPr>
          <w:p w14:paraId="5BF203B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701DB71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63579BD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12EAA4A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75F3608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18" w:type="dxa"/>
            <w:vAlign w:val="center"/>
          </w:tcPr>
          <w:p w14:paraId="74D7DE8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98" w:type="dxa"/>
            <w:vAlign w:val="center"/>
          </w:tcPr>
          <w:p w14:paraId="1236C92D">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1" w:type="dxa"/>
            <w:vAlign w:val="center"/>
          </w:tcPr>
          <w:p w14:paraId="7DFCE58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4AF04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657" w:type="dxa"/>
            <w:vAlign w:val="center"/>
          </w:tcPr>
          <w:p w14:paraId="2276156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0824E78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30C0FD7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6CA4F83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2EB8DE5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18" w:type="dxa"/>
            <w:vAlign w:val="center"/>
          </w:tcPr>
          <w:p w14:paraId="059C167D">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98" w:type="dxa"/>
            <w:vAlign w:val="center"/>
          </w:tcPr>
          <w:p w14:paraId="57E9A9C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1" w:type="dxa"/>
            <w:vAlign w:val="center"/>
          </w:tcPr>
          <w:p w14:paraId="269C119D">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6C2E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657" w:type="dxa"/>
            <w:vAlign w:val="center"/>
          </w:tcPr>
          <w:p w14:paraId="2D71E0D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47BBE0F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4711978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260F0FFA">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226FD9F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18" w:type="dxa"/>
            <w:vAlign w:val="center"/>
          </w:tcPr>
          <w:p w14:paraId="4BA4CB7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98" w:type="dxa"/>
            <w:vAlign w:val="center"/>
          </w:tcPr>
          <w:p w14:paraId="57193D5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1" w:type="dxa"/>
            <w:vAlign w:val="center"/>
          </w:tcPr>
          <w:p w14:paraId="494AF21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570C0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657" w:type="dxa"/>
            <w:vAlign w:val="center"/>
          </w:tcPr>
          <w:p w14:paraId="773EA38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1189405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00" w:type="dxa"/>
            <w:vAlign w:val="center"/>
          </w:tcPr>
          <w:p w14:paraId="388FE14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1D77B651">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80" w:type="dxa"/>
            <w:vAlign w:val="center"/>
          </w:tcPr>
          <w:p w14:paraId="60AE918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18" w:type="dxa"/>
            <w:vAlign w:val="center"/>
          </w:tcPr>
          <w:p w14:paraId="7F57FD51">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98" w:type="dxa"/>
            <w:vAlign w:val="center"/>
          </w:tcPr>
          <w:p w14:paraId="74982A60">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1" w:type="dxa"/>
            <w:vAlign w:val="center"/>
          </w:tcPr>
          <w:p w14:paraId="5B126DB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bl>
    <w:p w14:paraId="3B175FD3">
      <w:pPr>
        <w:pageBreakBefore w:val="0"/>
        <w:kinsoku/>
        <w:wordWrap w:val="0"/>
        <w:overflowPunct/>
        <w:bidi w:val="0"/>
        <w:spacing w:after="0" w:line="280" w:lineRule="exact"/>
        <w:jc w:val="center"/>
        <w:textAlignment w:val="auto"/>
        <w:rPr>
          <w:rFonts w:hint="eastAsia" w:ascii="宋体" w:hAnsi="宋体" w:eastAsia="宋体" w:cs="宋体"/>
          <w:b/>
          <w:caps/>
          <w:color w:val="auto"/>
          <w:sz w:val="24"/>
          <w:szCs w:val="24"/>
        </w:rPr>
      </w:pPr>
      <w:r>
        <w:rPr>
          <w:rFonts w:hint="eastAsia" w:ascii="宋体" w:hAnsi="宋体" w:eastAsia="宋体" w:cs="宋体"/>
          <w:b/>
          <w:caps/>
          <w:color w:val="auto"/>
          <w:sz w:val="24"/>
          <w:szCs w:val="24"/>
        </w:rPr>
        <w:t>（二）主要人员简历表</w:t>
      </w:r>
    </w:p>
    <w:p w14:paraId="41E2EDCF">
      <w:pPr>
        <w:pageBreakBefore w:val="0"/>
        <w:kinsoku/>
        <w:wordWrap w:val="0"/>
        <w:overflowPunct/>
        <w:bidi w:val="0"/>
        <w:spacing w:after="0" w:line="280" w:lineRule="exact"/>
        <w:textAlignment w:val="auto"/>
        <w:rPr>
          <w:rFonts w:hint="eastAsia" w:ascii="宋体" w:hAnsi="宋体" w:eastAsia="宋体" w:cs="宋体"/>
          <w:b/>
          <w:caps/>
          <w:color w:val="auto"/>
          <w:sz w:val="24"/>
          <w:szCs w:val="24"/>
        </w:rPr>
      </w:pPr>
      <w:r>
        <w:rPr>
          <w:rFonts w:hint="eastAsia" w:ascii="宋体" w:hAnsi="宋体" w:eastAsia="宋体" w:cs="宋体"/>
          <w:caps/>
          <w:color w:val="auto"/>
          <w:sz w:val="24"/>
          <w:szCs w:val="24"/>
        </w:rPr>
        <w:t xml:space="preserve">   “主要人员简历表”中的项目负责人应附项目负责人注册建造师证、项目负责人安全生产考核合格证书、身份证、职称证复印件；其他主要人员应附职称证（执业证或上岗证书）复印件。</w:t>
      </w:r>
    </w:p>
    <w:tbl>
      <w:tblPr>
        <w:tblStyle w:val="62"/>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1148"/>
        <w:gridCol w:w="2000"/>
        <w:gridCol w:w="1152"/>
        <w:gridCol w:w="2007"/>
        <w:gridCol w:w="1570"/>
      </w:tblGrid>
      <w:tr w14:paraId="06437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26D99C8A">
            <w:pPr>
              <w:pageBreakBefore w:val="0"/>
              <w:kinsoku/>
              <w:wordWrap w:val="0"/>
              <w:overflowPunct/>
              <w:bidi w:val="0"/>
              <w:spacing w:after="0" w:line="400" w:lineRule="exact"/>
              <w:ind w:left="-13" w:leftChars="-137" w:hanging="288" w:hangingChars="120"/>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姓名</w:t>
            </w:r>
          </w:p>
        </w:tc>
        <w:tc>
          <w:tcPr>
            <w:tcW w:w="1148" w:type="dxa"/>
            <w:vAlign w:val="center"/>
          </w:tcPr>
          <w:p w14:paraId="594E597C">
            <w:pPr>
              <w:pageBreakBefore w:val="0"/>
              <w:kinsoku/>
              <w:wordWrap w:val="0"/>
              <w:overflowPunct/>
              <w:bidi w:val="0"/>
              <w:spacing w:after="0" w:line="400" w:lineRule="exact"/>
              <w:ind w:firstLine="560"/>
              <w:jc w:val="center"/>
              <w:textAlignment w:val="auto"/>
              <w:rPr>
                <w:rFonts w:hint="eastAsia" w:ascii="宋体" w:hAnsi="宋体" w:eastAsia="宋体" w:cs="宋体"/>
                <w:caps/>
                <w:color w:val="auto"/>
                <w:sz w:val="24"/>
                <w:szCs w:val="24"/>
              </w:rPr>
            </w:pPr>
          </w:p>
        </w:tc>
        <w:tc>
          <w:tcPr>
            <w:tcW w:w="2000" w:type="dxa"/>
            <w:vAlign w:val="center"/>
          </w:tcPr>
          <w:p w14:paraId="1D90784E">
            <w:pPr>
              <w:pageBreakBefore w:val="0"/>
              <w:kinsoku/>
              <w:wordWrap w:val="0"/>
              <w:overflowPunct/>
              <w:bidi w:val="0"/>
              <w:spacing w:after="0" w:line="400" w:lineRule="exact"/>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年龄</w:t>
            </w:r>
          </w:p>
        </w:tc>
        <w:tc>
          <w:tcPr>
            <w:tcW w:w="1152" w:type="dxa"/>
            <w:vAlign w:val="center"/>
          </w:tcPr>
          <w:p w14:paraId="26A450EB">
            <w:pPr>
              <w:pageBreakBefore w:val="0"/>
              <w:kinsoku/>
              <w:wordWrap w:val="0"/>
              <w:overflowPunct/>
              <w:bidi w:val="0"/>
              <w:spacing w:after="0" w:line="400" w:lineRule="exact"/>
              <w:ind w:firstLine="560"/>
              <w:jc w:val="center"/>
              <w:textAlignment w:val="auto"/>
              <w:rPr>
                <w:rFonts w:hint="eastAsia" w:ascii="宋体" w:hAnsi="宋体" w:eastAsia="宋体" w:cs="宋体"/>
                <w:caps/>
                <w:color w:val="auto"/>
                <w:sz w:val="24"/>
                <w:szCs w:val="24"/>
              </w:rPr>
            </w:pPr>
          </w:p>
        </w:tc>
        <w:tc>
          <w:tcPr>
            <w:tcW w:w="2007" w:type="dxa"/>
            <w:vAlign w:val="center"/>
          </w:tcPr>
          <w:p w14:paraId="11B1F29E">
            <w:pPr>
              <w:pageBreakBefore w:val="0"/>
              <w:kinsoku/>
              <w:wordWrap w:val="0"/>
              <w:overflowPunct/>
              <w:bidi w:val="0"/>
              <w:spacing w:after="0" w:line="400" w:lineRule="exact"/>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学历</w:t>
            </w:r>
          </w:p>
        </w:tc>
        <w:tc>
          <w:tcPr>
            <w:tcW w:w="1570" w:type="dxa"/>
            <w:vAlign w:val="center"/>
          </w:tcPr>
          <w:p w14:paraId="121F47B6">
            <w:pPr>
              <w:pageBreakBefore w:val="0"/>
              <w:kinsoku/>
              <w:wordWrap w:val="0"/>
              <w:overflowPunct/>
              <w:bidi w:val="0"/>
              <w:spacing w:after="0" w:line="400" w:lineRule="exact"/>
              <w:ind w:firstLine="560"/>
              <w:jc w:val="center"/>
              <w:textAlignment w:val="auto"/>
              <w:rPr>
                <w:rFonts w:hint="eastAsia" w:ascii="宋体" w:hAnsi="宋体" w:eastAsia="宋体" w:cs="宋体"/>
                <w:caps/>
                <w:color w:val="auto"/>
                <w:sz w:val="24"/>
                <w:szCs w:val="24"/>
              </w:rPr>
            </w:pPr>
          </w:p>
        </w:tc>
      </w:tr>
      <w:tr w14:paraId="5E97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54414C1A">
            <w:pPr>
              <w:pageBreakBefore w:val="0"/>
              <w:kinsoku/>
              <w:wordWrap w:val="0"/>
              <w:overflowPunct/>
              <w:bidi w:val="0"/>
              <w:spacing w:after="0" w:line="400" w:lineRule="exact"/>
              <w:ind w:left="-13" w:leftChars="-137" w:hanging="288" w:hangingChars="120"/>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职称</w:t>
            </w:r>
          </w:p>
        </w:tc>
        <w:tc>
          <w:tcPr>
            <w:tcW w:w="1148" w:type="dxa"/>
            <w:vAlign w:val="center"/>
          </w:tcPr>
          <w:p w14:paraId="1127415D">
            <w:pPr>
              <w:pageBreakBefore w:val="0"/>
              <w:kinsoku/>
              <w:wordWrap w:val="0"/>
              <w:overflowPunct/>
              <w:bidi w:val="0"/>
              <w:spacing w:after="0" w:line="400" w:lineRule="exact"/>
              <w:ind w:firstLine="560"/>
              <w:jc w:val="center"/>
              <w:textAlignment w:val="auto"/>
              <w:rPr>
                <w:rFonts w:hint="eastAsia" w:ascii="宋体" w:hAnsi="宋体" w:eastAsia="宋体" w:cs="宋体"/>
                <w:caps/>
                <w:color w:val="auto"/>
                <w:sz w:val="24"/>
                <w:szCs w:val="24"/>
              </w:rPr>
            </w:pPr>
          </w:p>
        </w:tc>
        <w:tc>
          <w:tcPr>
            <w:tcW w:w="2000" w:type="dxa"/>
            <w:vAlign w:val="center"/>
          </w:tcPr>
          <w:p w14:paraId="4F63DB99">
            <w:pPr>
              <w:pageBreakBefore w:val="0"/>
              <w:kinsoku/>
              <w:wordWrap w:val="0"/>
              <w:overflowPunct/>
              <w:bidi w:val="0"/>
              <w:spacing w:after="0" w:line="400" w:lineRule="exact"/>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职务</w:t>
            </w:r>
          </w:p>
        </w:tc>
        <w:tc>
          <w:tcPr>
            <w:tcW w:w="1152" w:type="dxa"/>
            <w:vAlign w:val="center"/>
          </w:tcPr>
          <w:p w14:paraId="38ADD4E2">
            <w:pPr>
              <w:pageBreakBefore w:val="0"/>
              <w:kinsoku/>
              <w:wordWrap w:val="0"/>
              <w:overflowPunct/>
              <w:bidi w:val="0"/>
              <w:spacing w:after="0" w:line="400" w:lineRule="exact"/>
              <w:ind w:firstLine="560"/>
              <w:jc w:val="center"/>
              <w:textAlignment w:val="auto"/>
              <w:rPr>
                <w:rFonts w:hint="eastAsia" w:ascii="宋体" w:hAnsi="宋体" w:eastAsia="宋体" w:cs="宋体"/>
                <w:caps/>
                <w:color w:val="auto"/>
                <w:sz w:val="24"/>
                <w:szCs w:val="24"/>
              </w:rPr>
            </w:pPr>
          </w:p>
        </w:tc>
        <w:tc>
          <w:tcPr>
            <w:tcW w:w="2007" w:type="dxa"/>
            <w:vAlign w:val="center"/>
          </w:tcPr>
          <w:p w14:paraId="28A456FA">
            <w:pPr>
              <w:pageBreakBefore w:val="0"/>
              <w:kinsoku/>
              <w:wordWrap w:val="0"/>
              <w:overflowPunct/>
              <w:bidi w:val="0"/>
              <w:spacing w:after="0" w:line="400" w:lineRule="exact"/>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拟在本合同任职</w:t>
            </w:r>
          </w:p>
        </w:tc>
        <w:tc>
          <w:tcPr>
            <w:tcW w:w="1570" w:type="dxa"/>
            <w:vAlign w:val="center"/>
          </w:tcPr>
          <w:p w14:paraId="4ECC2DE4">
            <w:pPr>
              <w:pageBreakBefore w:val="0"/>
              <w:kinsoku/>
              <w:wordWrap w:val="0"/>
              <w:overflowPunct/>
              <w:bidi w:val="0"/>
              <w:spacing w:after="0" w:line="400" w:lineRule="exact"/>
              <w:ind w:firstLine="560"/>
              <w:jc w:val="center"/>
              <w:textAlignment w:val="auto"/>
              <w:rPr>
                <w:rFonts w:hint="eastAsia" w:ascii="宋体" w:hAnsi="宋体" w:eastAsia="宋体" w:cs="宋体"/>
                <w:caps/>
                <w:color w:val="auto"/>
                <w:sz w:val="24"/>
                <w:szCs w:val="24"/>
              </w:rPr>
            </w:pPr>
          </w:p>
        </w:tc>
      </w:tr>
      <w:tr w14:paraId="1D69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1580" w:type="dxa"/>
            <w:vAlign w:val="center"/>
          </w:tcPr>
          <w:p w14:paraId="6D912E02">
            <w:pPr>
              <w:pageBreakBefore w:val="0"/>
              <w:kinsoku/>
              <w:wordWrap w:val="0"/>
              <w:overflowPunct/>
              <w:bidi w:val="0"/>
              <w:spacing w:after="0" w:line="400" w:lineRule="exact"/>
              <w:ind w:left="-13" w:leftChars="-137" w:hanging="288" w:hangingChars="120"/>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毕业学校</w:t>
            </w:r>
          </w:p>
        </w:tc>
        <w:tc>
          <w:tcPr>
            <w:tcW w:w="7877" w:type="dxa"/>
            <w:gridSpan w:val="5"/>
            <w:vAlign w:val="center"/>
          </w:tcPr>
          <w:p w14:paraId="389FB594">
            <w:pPr>
              <w:pageBreakBefore w:val="0"/>
              <w:kinsoku/>
              <w:wordWrap w:val="0"/>
              <w:overflowPunct/>
              <w:bidi w:val="0"/>
              <w:spacing w:after="0" w:line="400" w:lineRule="exact"/>
              <w:ind w:left="483" w:leftChars="165" w:hanging="120" w:hangingChars="5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年毕业于学校专业</w:t>
            </w:r>
          </w:p>
        </w:tc>
      </w:tr>
      <w:tr w14:paraId="1F6A4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457" w:type="dxa"/>
            <w:gridSpan w:val="6"/>
            <w:vAlign w:val="center"/>
          </w:tcPr>
          <w:p w14:paraId="1B49EE2D">
            <w:pPr>
              <w:pageBreakBefore w:val="0"/>
              <w:kinsoku/>
              <w:wordWrap w:val="0"/>
              <w:overflowPunct/>
              <w:bidi w:val="0"/>
              <w:spacing w:after="0" w:line="400" w:lineRule="exact"/>
              <w:ind w:left="-13" w:leftChars="-137" w:hanging="288" w:hangingChars="120"/>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主要工作经历</w:t>
            </w:r>
          </w:p>
        </w:tc>
      </w:tr>
      <w:tr w14:paraId="0DBAA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31EEAC39">
            <w:pPr>
              <w:pageBreakBefore w:val="0"/>
              <w:kinsoku/>
              <w:wordWrap w:val="0"/>
              <w:overflowPunct/>
              <w:bidi w:val="0"/>
              <w:spacing w:after="0" w:line="400" w:lineRule="exact"/>
              <w:ind w:left="-13" w:leftChars="-137" w:hanging="288" w:hangingChars="120"/>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时间</w:t>
            </w:r>
          </w:p>
        </w:tc>
        <w:tc>
          <w:tcPr>
            <w:tcW w:w="3148" w:type="dxa"/>
            <w:gridSpan w:val="2"/>
            <w:vAlign w:val="center"/>
          </w:tcPr>
          <w:p w14:paraId="22EB7D07">
            <w:pPr>
              <w:pageBreakBefore w:val="0"/>
              <w:kinsoku/>
              <w:wordWrap w:val="0"/>
              <w:overflowPunct/>
              <w:bidi w:val="0"/>
              <w:spacing w:after="0" w:line="400" w:lineRule="exact"/>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参加过的类似项目</w:t>
            </w:r>
          </w:p>
        </w:tc>
        <w:tc>
          <w:tcPr>
            <w:tcW w:w="1152" w:type="dxa"/>
            <w:vAlign w:val="center"/>
          </w:tcPr>
          <w:p w14:paraId="689020EF">
            <w:pPr>
              <w:pageBreakBefore w:val="0"/>
              <w:kinsoku/>
              <w:wordWrap w:val="0"/>
              <w:overflowPunct/>
              <w:bidi w:val="0"/>
              <w:spacing w:after="0" w:line="400" w:lineRule="exact"/>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担任</w:t>
            </w:r>
          </w:p>
          <w:p w14:paraId="2E3BB1DD">
            <w:pPr>
              <w:pageBreakBefore w:val="0"/>
              <w:kinsoku/>
              <w:wordWrap w:val="0"/>
              <w:overflowPunct/>
              <w:bidi w:val="0"/>
              <w:spacing w:after="0" w:line="400" w:lineRule="exact"/>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职务</w:t>
            </w:r>
          </w:p>
        </w:tc>
        <w:tc>
          <w:tcPr>
            <w:tcW w:w="3577" w:type="dxa"/>
            <w:gridSpan w:val="2"/>
            <w:vAlign w:val="center"/>
          </w:tcPr>
          <w:p w14:paraId="6F1E70B0">
            <w:pPr>
              <w:pageBreakBefore w:val="0"/>
              <w:kinsoku/>
              <w:wordWrap w:val="0"/>
              <w:overflowPunct/>
              <w:bidi w:val="0"/>
              <w:spacing w:after="0" w:line="400" w:lineRule="exact"/>
              <w:jc w:val="center"/>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发包人及联系电话</w:t>
            </w:r>
          </w:p>
        </w:tc>
      </w:tr>
      <w:tr w14:paraId="60CA0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7D144694">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3148" w:type="dxa"/>
            <w:gridSpan w:val="2"/>
            <w:vAlign w:val="center"/>
          </w:tcPr>
          <w:p w14:paraId="62131145">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52" w:type="dxa"/>
            <w:vAlign w:val="center"/>
          </w:tcPr>
          <w:p w14:paraId="4232C410">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007" w:type="dxa"/>
            <w:vAlign w:val="center"/>
          </w:tcPr>
          <w:p w14:paraId="5D84E5D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0" w:type="dxa"/>
            <w:vAlign w:val="center"/>
          </w:tcPr>
          <w:p w14:paraId="4E65399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7E27D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027520F3">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3148" w:type="dxa"/>
            <w:gridSpan w:val="2"/>
            <w:vAlign w:val="center"/>
          </w:tcPr>
          <w:p w14:paraId="44EF64C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52" w:type="dxa"/>
            <w:vAlign w:val="center"/>
          </w:tcPr>
          <w:p w14:paraId="364BB7F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007" w:type="dxa"/>
            <w:vAlign w:val="center"/>
          </w:tcPr>
          <w:p w14:paraId="61913F0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0" w:type="dxa"/>
            <w:vAlign w:val="center"/>
          </w:tcPr>
          <w:p w14:paraId="14EFD4F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7FB47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4E5B7FA6">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3148" w:type="dxa"/>
            <w:gridSpan w:val="2"/>
            <w:vAlign w:val="center"/>
          </w:tcPr>
          <w:p w14:paraId="5EE8103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52" w:type="dxa"/>
            <w:vAlign w:val="center"/>
          </w:tcPr>
          <w:p w14:paraId="2669C2CA">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007" w:type="dxa"/>
            <w:vAlign w:val="center"/>
          </w:tcPr>
          <w:p w14:paraId="35A59985">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0" w:type="dxa"/>
            <w:vAlign w:val="center"/>
          </w:tcPr>
          <w:p w14:paraId="2F9D1E34">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56878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466D3D3E">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3148" w:type="dxa"/>
            <w:gridSpan w:val="2"/>
            <w:vAlign w:val="center"/>
          </w:tcPr>
          <w:p w14:paraId="785F4BDF">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52" w:type="dxa"/>
            <w:vAlign w:val="center"/>
          </w:tcPr>
          <w:p w14:paraId="4AC4F6A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007" w:type="dxa"/>
            <w:vAlign w:val="center"/>
          </w:tcPr>
          <w:p w14:paraId="0FD6D1E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0" w:type="dxa"/>
            <w:vAlign w:val="center"/>
          </w:tcPr>
          <w:p w14:paraId="1FF2EDD1">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5791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48D8A762">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3148" w:type="dxa"/>
            <w:gridSpan w:val="2"/>
            <w:vAlign w:val="center"/>
          </w:tcPr>
          <w:p w14:paraId="5163982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52" w:type="dxa"/>
            <w:vAlign w:val="center"/>
          </w:tcPr>
          <w:p w14:paraId="3277DAB4">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007" w:type="dxa"/>
            <w:vAlign w:val="center"/>
          </w:tcPr>
          <w:p w14:paraId="483DFE71">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0" w:type="dxa"/>
            <w:vAlign w:val="center"/>
          </w:tcPr>
          <w:p w14:paraId="150C681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7DE1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03338F64">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3148" w:type="dxa"/>
            <w:gridSpan w:val="2"/>
            <w:vAlign w:val="center"/>
          </w:tcPr>
          <w:p w14:paraId="18D1733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52" w:type="dxa"/>
            <w:vAlign w:val="center"/>
          </w:tcPr>
          <w:p w14:paraId="1DF4044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007" w:type="dxa"/>
            <w:vAlign w:val="center"/>
          </w:tcPr>
          <w:p w14:paraId="79236A6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0" w:type="dxa"/>
            <w:vAlign w:val="center"/>
          </w:tcPr>
          <w:p w14:paraId="224995D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5B25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485FD5B4">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3148" w:type="dxa"/>
            <w:gridSpan w:val="2"/>
            <w:vAlign w:val="center"/>
          </w:tcPr>
          <w:p w14:paraId="2E52199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52" w:type="dxa"/>
            <w:vAlign w:val="center"/>
          </w:tcPr>
          <w:p w14:paraId="059A2D9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007" w:type="dxa"/>
            <w:vAlign w:val="center"/>
          </w:tcPr>
          <w:p w14:paraId="361C5E0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570" w:type="dxa"/>
            <w:vAlign w:val="center"/>
          </w:tcPr>
          <w:p w14:paraId="0EF8C8F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bl>
    <w:p w14:paraId="6C1D498C">
      <w:pPr>
        <w:pageBreakBefore w:val="0"/>
        <w:kinsoku/>
        <w:wordWrap w:val="0"/>
        <w:overflowPunct/>
        <w:bidi w:val="0"/>
        <w:adjustRightInd/>
        <w:snapToGrid/>
        <w:spacing w:after="0"/>
        <w:jc w:val="both"/>
        <w:textAlignment w:val="auto"/>
        <w:rPr>
          <w:rFonts w:hint="eastAsia" w:ascii="宋体" w:hAnsi="宋体" w:eastAsia="宋体" w:cs="宋体"/>
          <w:b/>
          <w:color w:val="auto"/>
          <w:kern w:val="2"/>
          <w:sz w:val="24"/>
          <w:szCs w:val="24"/>
        </w:rPr>
      </w:pPr>
    </w:p>
    <w:p w14:paraId="1963C266">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rPr>
      </w:pPr>
    </w:p>
    <w:p w14:paraId="0C0C60F9">
      <w:pPr>
        <w:pStyle w:val="35"/>
        <w:pageBreakBefore w:val="0"/>
        <w:kinsoku/>
        <w:wordWrap w:val="0"/>
        <w:overflowPunct/>
        <w:bidi w:val="0"/>
        <w:spacing w:after="0"/>
        <w:textAlignment w:val="auto"/>
        <w:rPr>
          <w:rFonts w:hint="eastAsia" w:ascii="宋体" w:hAnsi="宋体" w:eastAsia="宋体" w:cs="宋体"/>
          <w:b/>
          <w:color w:val="auto"/>
          <w:kern w:val="2"/>
          <w:sz w:val="24"/>
          <w:szCs w:val="24"/>
        </w:rPr>
      </w:pPr>
    </w:p>
    <w:p w14:paraId="1B0BA807">
      <w:pPr>
        <w:pStyle w:val="35"/>
        <w:pageBreakBefore w:val="0"/>
        <w:kinsoku/>
        <w:wordWrap w:val="0"/>
        <w:overflowPunct/>
        <w:bidi w:val="0"/>
        <w:spacing w:after="0"/>
        <w:textAlignment w:val="auto"/>
        <w:rPr>
          <w:rFonts w:hint="eastAsia" w:ascii="宋体" w:hAnsi="宋体" w:eastAsia="宋体" w:cs="宋体"/>
          <w:b/>
          <w:color w:val="auto"/>
          <w:kern w:val="2"/>
          <w:sz w:val="24"/>
          <w:szCs w:val="24"/>
        </w:rPr>
      </w:pPr>
    </w:p>
    <w:p w14:paraId="312DFA32">
      <w:pPr>
        <w:pStyle w:val="35"/>
        <w:pageBreakBefore w:val="0"/>
        <w:kinsoku/>
        <w:wordWrap w:val="0"/>
        <w:overflowPunct/>
        <w:bidi w:val="0"/>
        <w:spacing w:after="0"/>
        <w:ind w:left="0" w:leftChars="0" w:firstLine="0" w:firstLineChars="0"/>
        <w:textAlignment w:val="auto"/>
        <w:rPr>
          <w:rFonts w:hint="eastAsia" w:ascii="宋体" w:hAnsi="宋体" w:eastAsia="宋体" w:cs="宋体"/>
          <w:b/>
          <w:color w:val="auto"/>
          <w:kern w:val="2"/>
          <w:sz w:val="24"/>
          <w:szCs w:val="24"/>
        </w:rPr>
      </w:pPr>
    </w:p>
    <w:p w14:paraId="6302347A">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（三）近年完成的类似项目情况表</w:t>
      </w:r>
    </w:p>
    <w:tbl>
      <w:tblPr>
        <w:tblStyle w:val="62"/>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7337"/>
      </w:tblGrid>
      <w:tr w14:paraId="13929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05BFA6CD">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项目名称</w:t>
            </w:r>
          </w:p>
        </w:tc>
        <w:tc>
          <w:tcPr>
            <w:tcW w:w="7337" w:type="dxa"/>
            <w:vAlign w:val="center"/>
          </w:tcPr>
          <w:p w14:paraId="6796BE29">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328B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785D19FB">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项目所在地</w:t>
            </w:r>
          </w:p>
        </w:tc>
        <w:tc>
          <w:tcPr>
            <w:tcW w:w="7337" w:type="dxa"/>
            <w:vAlign w:val="center"/>
          </w:tcPr>
          <w:p w14:paraId="2C9ED5E1">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5F15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94A8153">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发包人名称</w:t>
            </w:r>
          </w:p>
        </w:tc>
        <w:tc>
          <w:tcPr>
            <w:tcW w:w="7337" w:type="dxa"/>
            <w:vAlign w:val="center"/>
          </w:tcPr>
          <w:p w14:paraId="294036F2">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0603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718BF1DD">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发包人地址</w:t>
            </w:r>
          </w:p>
        </w:tc>
        <w:tc>
          <w:tcPr>
            <w:tcW w:w="7337" w:type="dxa"/>
            <w:vAlign w:val="center"/>
          </w:tcPr>
          <w:p w14:paraId="720A7C25">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51C83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2E80114C">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发包人电话</w:t>
            </w:r>
          </w:p>
        </w:tc>
        <w:tc>
          <w:tcPr>
            <w:tcW w:w="7337" w:type="dxa"/>
            <w:vAlign w:val="center"/>
          </w:tcPr>
          <w:p w14:paraId="4ABBB3FF">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4ECA3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EA89638">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合同价格</w:t>
            </w:r>
          </w:p>
        </w:tc>
        <w:tc>
          <w:tcPr>
            <w:tcW w:w="7337" w:type="dxa"/>
            <w:vAlign w:val="center"/>
          </w:tcPr>
          <w:p w14:paraId="5400C050">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7AF3F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4DAD68D3">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开工日期</w:t>
            </w:r>
          </w:p>
        </w:tc>
        <w:tc>
          <w:tcPr>
            <w:tcW w:w="7337" w:type="dxa"/>
            <w:vAlign w:val="center"/>
          </w:tcPr>
          <w:p w14:paraId="7DA3D87B">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5AC84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48FD4C30">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竣工日期</w:t>
            </w:r>
          </w:p>
        </w:tc>
        <w:tc>
          <w:tcPr>
            <w:tcW w:w="7337" w:type="dxa"/>
            <w:vAlign w:val="center"/>
          </w:tcPr>
          <w:p w14:paraId="44ACEED9">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24CF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2ED1B70">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承担的工作</w:t>
            </w:r>
          </w:p>
        </w:tc>
        <w:tc>
          <w:tcPr>
            <w:tcW w:w="7337" w:type="dxa"/>
            <w:vAlign w:val="center"/>
          </w:tcPr>
          <w:p w14:paraId="0F297110">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792E3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402B51F5">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工程质量</w:t>
            </w:r>
          </w:p>
        </w:tc>
        <w:tc>
          <w:tcPr>
            <w:tcW w:w="7337" w:type="dxa"/>
            <w:vAlign w:val="center"/>
          </w:tcPr>
          <w:p w14:paraId="72BE2C72">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65085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35BE5B6B">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项目负责人</w:t>
            </w:r>
          </w:p>
        </w:tc>
        <w:tc>
          <w:tcPr>
            <w:tcW w:w="7337" w:type="dxa"/>
            <w:vAlign w:val="center"/>
          </w:tcPr>
          <w:p w14:paraId="6621E382">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1406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0B3393EB">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技术负责人</w:t>
            </w:r>
          </w:p>
        </w:tc>
        <w:tc>
          <w:tcPr>
            <w:tcW w:w="7337" w:type="dxa"/>
            <w:vAlign w:val="center"/>
          </w:tcPr>
          <w:p w14:paraId="66F0E4BF">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0FD2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30846FF">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总监理工程师及电话</w:t>
            </w:r>
          </w:p>
        </w:tc>
        <w:tc>
          <w:tcPr>
            <w:tcW w:w="7337" w:type="dxa"/>
            <w:vAlign w:val="center"/>
          </w:tcPr>
          <w:p w14:paraId="0D330B2A">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39250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083CC47D">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项目描述</w:t>
            </w:r>
          </w:p>
        </w:tc>
        <w:tc>
          <w:tcPr>
            <w:tcW w:w="7337" w:type="dxa"/>
            <w:vAlign w:val="center"/>
          </w:tcPr>
          <w:p w14:paraId="0EAF5FFB">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05A71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51FA6AA">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c>
          <w:tcPr>
            <w:tcW w:w="7337" w:type="dxa"/>
            <w:vAlign w:val="center"/>
          </w:tcPr>
          <w:p w14:paraId="7A600F09">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bl>
    <w:p w14:paraId="7954C393">
      <w:pPr>
        <w:pageBreakBefore w:val="0"/>
        <w:kinsoku/>
        <w:wordWrap w:val="0"/>
        <w:overflowPunct/>
        <w:bidi w:val="0"/>
        <w:spacing w:after="0"/>
        <w:ind w:firstLine="472" w:firstLineChars="196"/>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注：应附中标（成交）通知书或施工合同或建设工程竣工验收备案表，具体年份要求详见“磋商申请人须知前附表”。</w:t>
      </w:r>
    </w:p>
    <w:p w14:paraId="5EE969D6">
      <w:pPr>
        <w:pageBreakBefore w:val="0"/>
        <w:kinsoku/>
        <w:wordWrap w:val="0"/>
        <w:overflowPunct/>
        <w:bidi w:val="0"/>
        <w:spacing w:after="0"/>
        <w:textAlignment w:val="auto"/>
        <w:rPr>
          <w:rFonts w:hint="eastAsia" w:ascii="宋体" w:hAnsi="宋体" w:eastAsia="宋体" w:cs="宋体"/>
          <w:b/>
          <w:color w:val="auto"/>
          <w:sz w:val="24"/>
          <w:szCs w:val="24"/>
        </w:rPr>
      </w:pPr>
    </w:p>
    <w:p w14:paraId="70F32174">
      <w:pPr>
        <w:pageBreakBefore w:val="0"/>
        <w:kinsoku/>
        <w:wordWrap w:val="0"/>
        <w:overflowPunct/>
        <w:bidi w:val="0"/>
        <w:adjustRightInd/>
        <w:snapToGrid/>
        <w:spacing w:after="0"/>
        <w:textAlignment w:val="auto"/>
        <w:rPr>
          <w:rFonts w:hint="eastAsia" w:ascii="宋体" w:hAnsi="宋体" w:eastAsia="宋体" w:cs="宋体"/>
          <w:b/>
          <w:caps/>
          <w:color w:val="auto"/>
          <w:sz w:val="24"/>
          <w:szCs w:val="24"/>
        </w:rPr>
      </w:pPr>
      <w:r>
        <w:rPr>
          <w:rFonts w:hint="eastAsia" w:ascii="宋体" w:hAnsi="宋体" w:eastAsia="宋体" w:cs="宋体"/>
          <w:b/>
          <w:caps/>
          <w:color w:val="auto"/>
          <w:sz w:val="24"/>
          <w:szCs w:val="24"/>
        </w:rPr>
        <w:br w:type="page"/>
      </w:r>
    </w:p>
    <w:p w14:paraId="2FF3358B">
      <w:pPr>
        <w:pageBreakBefore w:val="0"/>
        <w:kinsoku/>
        <w:wordWrap w:val="0"/>
        <w:overflowPunct/>
        <w:bidi w:val="0"/>
        <w:spacing w:after="0"/>
        <w:jc w:val="center"/>
        <w:textAlignment w:val="auto"/>
        <w:rPr>
          <w:rFonts w:hint="eastAsia" w:ascii="宋体" w:hAnsi="宋体" w:eastAsia="宋体" w:cs="宋体"/>
          <w:b/>
          <w:color w:val="auto"/>
          <w:sz w:val="24"/>
          <w:szCs w:val="24"/>
        </w:rPr>
      </w:pPr>
      <w:bookmarkStart w:id="763" w:name="_Toc531966074"/>
      <w:bookmarkStart w:id="764" w:name="_Toc536534343"/>
      <w:bookmarkStart w:id="765" w:name="_Toc536534073"/>
      <w:bookmarkStart w:id="766" w:name="_Toc193904177"/>
      <w:bookmarkStart w:id="767" w:name="_Toc234242182"/>
      <w:bookmarkStart w:id="768" w:name="_Toc234382983"/>
      <w:r>
        <w:rPr>
          <w:rFonts w:hint="eastAsia" w:ascii="宋体" w:hAnsi="宋体" w:eastAsia="宋体" w:cs="宋体"/>
          <w:b/>
          <w:color w:val="auto"/>
          <w:sz w:val="24"/>
          <w:szCs w:val="24"/>
        </w:rPr>
        <w:t>（四）正在施工和新承接的项目情况表</w:t>
      </w:r>
      <w:bookmarkEnd w:id="763"/>
      <w:bookmarkEnd w:id="764"/>
      <w:bookmarkEnd w:id="765"/>
      <w:bookmarkEnd w:id="766"/>
      <w:bookmarkEnd w:id="767"/>
      <w:bookmarkEnd w:id="768"/>
    </w:p>
    <w:tbl>
      <w:tblPr>
        <w:tblStyle w:val="62"/>
        <w:tblW w:w="103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05"/>
        <w:gridCol w:w="7554"/>
      </w:tblGrid>
      <w:tr w14:paraId="4086C0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1C94EBAF">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项目名称</w:t>
            </w:r>
          </w:p>
        </w:tc>
        <w:tc>
          <w:tcPr>
            <w:tcW w:w="7554" w:type="dxa"/>
            <w:vAlign w:val="center"/>
          </w:tcPr>
          <w:p w14:paraId="035CDF69">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0E17B1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442E3CBC">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项目所在地</w:t>
            </w:r>
          </w:p>
        </w:tc>
        <w:tc>
          <w:tcPr>
            <w:tcW w:w="7554" w:type="dxa"/>
            <w:vAlign w:val="center"/>
          </w:tcPr>
          <w:p w14:paraId="3544026D">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116247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075EF3C">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发包人名称</w:t>
            </w:r>
          </w:p>
        </w:tc>
        <w:tc>
          <w:tcPr>
            <w:tcW w:w="7554" w:type="dxa"/>
            <w:vAlign w:val="center"/>
          </w:tcPr>
          <w:p w14:paraId="263F4850">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60C39E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47DBBA53">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发包人地址</w:t>
            </w:r>
          </w:p>
        </w:tc>
        <w:tc>
          <w:tcPr>
            <w:tcW w:w="7554" w:type="dxa"/>
            <w:vAlign w:val="center"/>
          </w:tcPr>
          <w:p w14:paraId="08D04002">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411F4F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D496937">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发包人电话</w:t>
            </w:r>
          </w:p>
        </w:tc>
        <w:tc>
          <w:tcPr>
            <w:tcW w:w="7554" w:type="dxa"/>
            <w:vAlign w:val="center"/>
          </w:tcPr>
          <w:p w14:paraId="0CFB31B8">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051DD1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28512AB">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签约合同价</w:t>
            </w:r>
          </w:p>
        </w:tc>
        <w:tc>
          <w:tcPr>
            <w:tcW w:w="7554" w:type="dxa"/>
            <w:vAlign w:val="center"/>
          </w:tcPr>
          <w:p w14:paraId="27C3A1E6">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63F449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776CEB38">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开工日期</w:t>
            </w:r>
          </w:p>
        </w:tc>
        <w:tc>
          <w:tcPr>
            <w:tcW w:w="7554" w:type="dxa"/>
            <w:vAlign w:val="center"/>
          </w:tcPr>
          <w:p w14:paraId="5FFD1DAB">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22F707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A36CE8D">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计划交工日期</w:t>
            </w:r>
          </w:p>
        </w:tc>
        <w:tc>
          <w:tcPr>
            <w:tcW w:w="7554" w:type="dxa"/>
            <w:vAlign w:val="center"/>
          </w:tcPr>
          <w:p w14:paraId="1B107F92">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302579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3EB22F1D">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承担的工作</w:t>
            </w:r>
          </w:p>
        </w:tc>
        <w:tc>
          <w:tcPr>
            <w:tcW w:w="7554" w:type="dxa"/>
            <w:vAlign w:val="center"/>
          </w:tcPr>
          <w:p w14:paraId="24891B1A">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6A7027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621EADB9">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工程质量要求</w:t>
            </w:r>
          </w:p>
        </w:tc>
        <w:tc>
          <w:tcPr>
            <w:tcW w:w="7554" w:type="dxa"/>
            <w:vAlign w:val="center"/>
          </w:tcPr>
          <w:p w14:paraId="557E4C73">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34B6B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2DC87D39">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项目经理</w:t>
            </w:r>
          </w:p>
        </w:tc>
        <w:tc>
          <w:tcPr>
            <w:tcW w:w="7554" w:type="dxa"/>
            <w:vAlign w:val="center"/>
          </w:tcPr>
          <w:p w14:paraId="33FC81D5">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78E4D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2057D4F1">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项目总工</w:t>
            </w:r>
          </w:p>
        </w:tc>
        <w:tc>
          <w:tcPr>
            <w:tcW w:w="7554" w:type="dxa"/>
            <w:vAlign w:val="center"/>
          </w:tcPr>
          <w:p w14:paraId="7088A9B7">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40F63A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7A76AC47">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总监理工程师及电话</w:t>
            </w:r>
          </w:p>
        </w:tc>
        <w:tc>
          <w:tcPr>
            <w:tcW w:w="7554" w:type="dxa"/>
            <w:vAlign w:val="center"/>
          </w:tcPr>
          <w:p w14:paraId="1899C599">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69CDA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23D7E09">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项目描述</w:t>
            </w:r>
          </w:p>
        </w:tc>
        <w:tc>
          <w:tcPr>
            <w:tcW w:w="7554" w:type="dxa"/>
            <w:vAlign w:val="center"/>
          </w:tcPr>
          <w:p w14:paraId="62D397EE">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r w14:paraId="444A49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22F0DC60">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备注</w:t>
            </w:r>
          </w:p>
        </w:tc>
        <w:tc>
          <w:tcPr>
            <w:tcW w:w="7554" w:type="dxa"/>
            <w:vAlign w:val="center"/>
          </w:tcPr>
          <w:p w14:paraId="1DEEB104">
            <w:pPr>
              <w:pageBreakBefore w:val="0"/>
              <w:kinsoku/>
              <w:wordWrap w:val="0"/>
              <w:overflowPunct/>
              <w:bidi w:val="0"/>
              <w:spacing w:after="0" w:line="0" w:lineRule="atLeast"/>
              <w:jc w:val="center"/>
              <w:textAlignment w:val="auto"/>
              <w:rPr>
                <w:rFonts w:hint="eastAsia" w:ascii="宋体" w:hAnsi="宋体" w:eastAsia="宋体" w:cs="宋体"/>
                <w:color w:val="auto"/>
                <w:sz w:val="21"/>
                <w:szCs w:val="21"/>
              </w:rPr>
            </w:pPr>
          </w:p>
        </w:tc>
      </w:tr>
    </w:tbl>
    <w:p w14:paraId="48775687">
      <w:pPr>
        <w:pageBreakBefore w:val="0"/>
        <w:kinsoku/>
        <w:wordWrap w:val="0"/>
        <w:overflowPunct/>
        <w:bidi w:val="0"/>
        <w:spacing w:after="0" w:line="0" w:lineRule="atLeas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注：1、每张表格只填写一个项目，并标明序号。</w:t>
      </w:r>
    </w:p>
    <w:p w14:paraId="5E150F4D">
      <w:pPr>
        <w:pageBreakBefore w:val="0"/>
        <w:kinsoku/>
        <w:wordWrap w:val="0"/>
        <w:overflowPunct/>
        <w:bidi w:val="0"/>
        <w:spacing w:after="0" w:line="0" w:lineRule="atLeast"/>
        <w:ind w:firstLine="640" w:firstLineChars="267"/>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2、本表后应附中标（成交）通知书或合同协议书复印件。</w:t>
      </w:r>
    </w:p>
    <w:p w14:paraId="44A54861">
      <w:pPr>
        <w:pageBreakBefore w:val="0"/>
        <w:kinsoku/>
        <w:wordWrap w:val="0"/>
        <w:overflowPunct/>
        <w:bidi w:val="0"/>
        <w:spacing w:after="0" w:line="0" w:lineRule="atLeast"/>
        <w:ind w:firstLine="643" w:firstLineChars="268"/>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3、本表应包含所有在建工程项目，包括正在施工、已签订合同协议书或已收到中标（成交）通知书或意向书但尚未签订合同的所有项目。</w:t>
      </w:r>
      <w:bookmarkStart w:id="769" w:name="_Toc234382984"/>
    </w:p>
    <w:bookmarkEnd w:id="769"/>
    <w:p w14:paraId="098AE6BB">
      <w:pPr>
        <w:pStyle w:val="14"/>
        <w:pageBreakBefore w:val="0"/>
        <w:kinsoku/>
        <w:wordWrap w:val="0"/>
        <w:overflowPunct/>
        <w:bidi w:val="0"/>
        <w:spacing w:after="0"/>
        <w:textAlignment w:val="auto"/>
        <w:rPr>
          <w:rFonts w:hint="eastAsia" w:ascii="宋体" w:hAnsi="宋体" w:eastAsia="宋体" w:cs="宋体"/>
          <w:caps/>
          <w:color w:val="auto"/>
          <w:sz w:val="24"/>
        </w:rPr>
      </w:pPr>
    </w:p>
    <w:p w14:paraId="46707240">
      <w:pPr>
        <w:pStyle w:val="14"/>
        <w:pageBreakBefore w:val="0"/>
        <w:kinsoku/>
        <w:wordWrap w:val="0"/>
        <w:overflowPunct/>
        <w:bidi w:val="0"/>
        <w:spacing w:after="0"/>
        <w:textAlignment w:val="auto"/>
        <w:rPr>
          <w:rFonts w:hint="eastAsia" w:ascii="宋体" w:hAnsi="宋体" w:eastAsia="宋体" w:cs="宋体"/>
          <w:caps/>
          <w:color w:val="auto"/>
          <w:sz w:val="24"/>
        </w:rPr>
      </w:pPr>
    </w:p>
    <w:p w14:paraId="3903D0B0">
      <w:pPr>
        <w:pStyle w:val="14"/>
        <w:pageBreakBefore w:val="0"/>
        <w:kinsoku/>
        <w:wordWrap w:val="0"/>
        <w:overflowPunct/>
        <w:bidi w:val="0"/>
        <w:spacing w:after="0"/>
        <w:textAlignment w:val="auto"/>
        <w:rPr>
          <w:rFonts w:hint="eastAsia" w:ascii="宋体" w:hAnsi="宋体" w:eastAsia="宋体" w:cs="宋体"/>
          <w:caps/>
          <w:color w:val="auto"/>
          <w:sz w:val="24"/>
        </w:rPr>
      </w:pPr>
    </w:p>
    <w:p w14:paraId="5C26AB50">
      <w:pPr>
        <w:pStyle w:val="14"/>
        <w:pageBreakBefore w:val="0"/>
        <w:kinsoku/>
        <w:wordWrap w:val="0"/>
        <w:overflowPunct/>
        <w:bidi w:val="0"/>
        <w:spacing w:after="0"/>
        <w:textAlignment w:val="auto"/>
        <w:rPr>
          <w:rFonts w:hint="eastAsia" w:ascii="宋体" w:hAnsi="宋体" w:eastAsia="宋体" w:cs="宋体"/>
          <w:caps/>
          <w:color w:val="auto"/>
          <w:sz w:val="24"/>
        </w:rPr>
      </w:pPr>
    </w:p>
    <w:p w14:paraId="7468DCA9">
      <w:pPr>
        <w:pStyle w:val="14"/>
        <w:pageBreakBefore w:val="0"/>
        <w:kinsoku/>
        <w:wordWrap w:val="0"/>
        <w:overflowPunct/>
        <w:bidi w:val="0"/>
        <w:spacing w:after="0"/>
        <w:textAlignment w:val="auto"/>
        <w:rPr>
          <w:rFonts w:hint="eastAsia" w:ascii="宋体" w:hAnsi="宋体" w:eastAsia="宋体" w:cs="宋体"/>
          <w:caps/>
          <w:color w:val="auto"/>
          <w:sz w:val="24"/>
        </w:rPr>
      </w:pPr>
    </w:p>
    <w:p w14:paraId="401B1776">
      <w:pPr>
        <w:pageBreakBefore w:val="0"/>
        <w:kinsoku/>
        <w:wordWrap w:val="0"/>
        <w:overflowPunct/>
        <w:bidi w:val="0"/>
        <w:spacing w:after="0"/>
        <w:textAlignment w:val="auto"/>
        <w:rPr>
          <w:rFonts w:hint="eastAsia" w:ascii="宋体" w:hAnsi="宋体" w:eastAsia="宋体" w:cs="宋体"/>
          <w:caps/>
          <w:color w:val="auto"/>
          <w:sz w:val="24"/>
        </w:rPr>
      </w:pPr>
    </w:p>
    <w:p w14:paraId="285EA0DD">
      <w:pPr>
        <w:pStyle w:val="35"/>
        <w:pageBreakBefore w:val="0"/>
        <w:kinsoku/>
        <w:wordWrap w:val="0"/>
        <w:overflowPunct/>
        <w:bidi w:val="0"/>
        <w:spacing w:after="0"/>
        <w:textAlignment w:val="auto"/>
        <w:rPr>
          <w:rFonts w:hint="eastAsia" w:ascii="宋体" w:hAnsi="宋体" w:eastAsia="宋体" w:cs="宋体"/>
          <w:caps/>
          <w:color w:val="auto"/>
          <w:sz w:val="24"/>
        </w:rPr>
      </w:pPr>
    </w:p>
    <w:p w14:paraId="60E239A5">
      <w:pPr>
        <w:pStyle w:val="35"/>
        <w:pageBreakBefore w:val="0"/>
        <w:kinsoku/>
        <w:wordWrap w:val="0"/>
        <w:overflowPunct/>
        <w:bidi w:val="0"/>
        <w:spacing w:after="0"/>
        <w:textAlignment w:val="auto"/>
        <w:rPr>
          <w:rFonts w:hint="eastAsia" w:ascii="宋体" w:hAnsi="宋体" w:eastAsia="宋体" w:cs="宋体"/>
          <w:caps/>
          <w:color w:val="auto"/>
          <w:sz w:val="24"/>
        </w:rPr>
      </w:pPr>
    </w:p>
    <w:p w14:paraId="7A0D3D32">
      <w:pPr>
        <w:pageBreakBefore w:val="0"/>
        <w:kinsoku/>
        <w:wordWrap w:val="0"/>
        <w:overflowPunct/>
        <w:bidi w:val="0"/>
        <w:spacing w:after="0" w:line="400" w:lineRule="exact"/>
        <w:ind w:firstLine="460" w:firstLineChars="192"/>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2.施工组织设计除采用文字表述外可参考附下列图表，图表及格式，磋商申请人根据其施工组织设计的要求可自行把下列图表添加到相应的项目中。</w:t>
      </w:r>
    </w:p>
    <w:p w14:paraId="1ED31640">
      <w:pPr>
        <w:pageBreakBefore w:val="0"/>
        <w:kinsoku/>
        <w:wordWrap w:val="0"/>
        <w:overflowPunct/>
        <w:bidi w:val="0"/>
        <w:spacing w:after="0" w:line="400" w:lineRule="exact"/>
        <w:ind w:firstLine="460" w:firstLineChars="192"/>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附表一 拟投入本标段的主要施工设备表</w:t>
      </w:r>
    </w:p>
    <w:p w14:paraId="6D599EB2">
      <w:pPr>
        <w:pageBreakBefore w:val="0"/>
        <w:kinsoku/>
        <w:wordWrap w:val="0"/>
        <w:overflowPunct/>
        <w:bidi w:val="0"/>
        <w:spacing w:after="0" w:line="400" w:lineRule="exact"/>
        <w:ind w:firstLine="460" w:firstLineChars="192"/>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附表二 拟配备本标段的试验和检测仪器设备表</w:t>
      </w:r>
    </w:p>
    <w:p w14:paraId="2A3A6E9A">
      <w:pPr>
        <w:pageBreakBefore w:val="0"/>
        <w:kinsoku/>
        <w:wordWrap w:val="0"/>
        <w:overflowPunct/>
        <w:bidi w:val="0"/>
        <w:spacing w:after="0" w:line="400" w:lineRule="exact"/>
        <w:ind w:firstLine="460" w:firstLineChars="192"/>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附表三 劳动力计划表</w:t>
      </w:r>
    </w:p>
    <w:p w14:paraId="79C9780D">
      <w:pPr>
        <w:pageBreakBefore w:val="0"/>
        <w:kinsoku/>
        <w:wordWrap w:val="0"/>
        <w:overflowPunct/>
        <w:bidi w:val="0"/>
        <w:spacing w:after="0" w:line="400" w:lineRule="exact"/>
        <w:ind w:firstLine="460" w:firstLineChars="192"/>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附表四 计划开、竣工日期和施工进度网络图</w:t>
      </w:r>
    </w:p>
    <w:p w14:paraId="3ECE1150">
      <w:pPr>
        <w:pageBreakBefore w:val="0"/>
        <w:kinsoku/>
        <w:wordWrap w:val="0"/>
        <w:overflowPunct/>
        <w:bidi w:val="0"/>
        <w:spacing w:after="0" w:line="400" w:lineRule="exact"/>
        <w:ind w:firstLine="460" w:firstLineChars="192"/>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附表五 施工总平面图</w:t>
      </w:r>
    </w:p>
    <w:p w14:paraId="4F63CD18">
      <w:pPr>
        <w:pageBreakBefore w:val="0"/>
        <w:kinsoku/>
        <w:wordWrap w:val="0"/>
        <w:overflowPunct/>
        <w:bidi w:val="0"/>
        <w:spacing w:after="0" w:line="400" w:lineRule="exact"/>
        <w:ind w:firstLine="460" w:firstLineChars="192"/>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附表六 临时用地表</w:t>
      </w:r>
    </w:p>
    <w:p w14:paraId="77898146">
      <w:pPr>
        <w:pStyle w:val="14"/>
        <w:pageBreakBefore w:val="0"/>
        <w:kinsoku/>
        <w:wordWrap w:val="0"/>
        <w:overflowPunct/>
        <w:bidi w:val="0"/>
        <w:spacing w:after="0"/>
        <w:textAlignment w:val="auto"/>
        <w:rPr>
          <w:rFonts w:hint="eastAsia" w:ascii="宋体" w:hAnsi="宋体" w:eastAsia="宋体" w:cs="宋体"/>
          <w:caps/>
          <w:color w:val="auto"/>
          <w:sz w:val="24"/>
        </w:rPr>
      </w:pPr>
    </w:p>
    <w:p w14:paraId="77355CE2">
      <w:pPr>
        <w:pageBreakBefore w:val="0"/>
        <w:kinsoku/>
        <w:wordWrap w:val="0"/>
        <w:overflowPunct/>
        <w:bidi w:val="0"/>
        <w:spacing w:after="0"/>
        <w:textAlignment w:val="auto"/>
        <w:rPr>
          <w:rFonts w:hint="eastAsia" w:ascii="宋体" w:hAnsi="宋体" w:eastAsia="宋体" w:cs="宋体"/>
          <w:b/>
          <w:caps/>
          <w:color w:val="auto"/>
          <w:sz w:val="24"/>
          <w:szCs w:val="24"/>
        </w:rPr>
      </w:pPr>
      <w:bookmarkStart w:id="770" w:name="_Toc470531312"/>
      <w:r>
        <w:rPr>
          <w:rFonts w:hint="eastAsia" w:ascii="宋体" w:hAnsi="宋体" w:eastAsia="宋体" w:cs="宋体"/>
          <w:b/>
          <w:caps/>
          <w:color w:val="auto"/>
          <w:sz w:val="24"/>
          <w:szCs w:val="24"/>
        </w:rPr>
        <w:t>附表一：拟投入本项目的主要施工设备表</w:t>
      </w:r>
    </w:p>
    <w:tbl>
      <w:tblPr>
        <w:tblStyle w:val="62"/>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488"/>
        <w:gridCol w:w="743"/>
        <w:gridCol w:w="745"/>
        <w:gridCol w:w="894"/>
        <w:gridCol w:w="743"/>
        <w:gridCol w:w="1340"/>
        <w:gridCol w:w="894"/>
        <w:gridCol w:w="1043"/>
        <w:gridCol w:w="1191"/>
      </w:tblGrid>
      <w:tr w14:paraId="657D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007" w:type="dxa"/>
            <w:vAlign w:val="center"/>
          </w:tcPr>
          <w:p w14:paraId="2C314814">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488" w:type="dxa"/>
            <w:vAlign w:val="center"/>
          </w:tcPr>
          <w:p w14:paraId="58E2FC3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设备名称</w:t>
            </w:r>
          </w:p>
        </w:tc>
        <w:tc>
          <w:tcPr>
            <w:tcW w:w="743" w:type="dxa"/>
            <w:vAlign w:val="center"/>
          </w:tcPr>
          <w:p w14:paraId="368CEE2B">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型号</w:t>
            </w:r>
          </w:p>
          <w:p w14:paraId="5F7D62C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规格</w:t>
            </w:r>
          </w:p>
        </w:tc>
        <w:tc>
          <w:tcPr>
            <w:tcW w:w="745" w:type="dxa"/>
            <w:vAlign w:val="center"/>
          </w:tcPr>
          <w:p w14:paraId="2C04C7B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894" w:type="dxa"/>
            <w:vAlign w:val="center"/>
          </w:tcPr>
          <w:p w14:paraId="018F4D2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国别</w:t>
            </w:r>
          </w:p>
          <w:p w14:paraId="6FE63A8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产地</w:t>
            </w:r>
          </w:p>
        </w:tc>
        <w:tc>
          <w:tcPr>
            <w:tcW w:w="743" w:type="dxa"/>
            <w:vAlign w:val="center"/>
          </w:tcPr>
          <w:p w14:paraId="79BC0350">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制造</w:t>
            </w:r>
          </w:p>
          <w:p w14:paraId="07D679D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年份</w:t>
            </w:r>
          </w:p>
        </w:tc>
        <w:tc>
          <w:tcPr>
            <w:tcW w:w="1340" w:type="dxa"/>
            <w:vAlign w:val="center"/>
          </w:tcPr>
          <w:p w14:paraId="32EA135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额定功率（</w:t>
            </w:r>
            <w:r>
              <w:rPr>
                <w:rFonts w:hint="eastAsia" w:ascii="宋体" w:hAnsi="宋体" w:eastAsia="宋体" w:cs="宋体"/>
                <w:color w:val="auto"/>
                <w:sz w:val="24"/>
                <w:szCs w:val="24"/>
                <w:lang w:eastAsia="zh-CN"/>
              </w:rPr>
              <w:t>kW</w:t>
            </w:r>
            <w:r>
              <w:rPr>
                <w:rFonts w:hint="eastAsia" w:ascii="宋体" w:hAnsi="宋体" w:eastAsia="宋体" w:cs="宋体"/>
                <w:color w:val="auto"/>
                <w:sz w:val="24"/>
                <w:szCs w:val="24"/>
              </w:rPr>
              <w:t>）</w:t>
            </w:r>
          </w:p>
        </w:tc>
        <w:tc>
          <w:tcPr>
            <w:tcW w:w="894" w:type="dxa"/>
            <w:vAlign w:val="center"/>
          </w:tcPr>
          <w:p w14:paraId="5F9EE57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生产</w:t>
            </w:r>
          </w:p>
          <w:p w14:paraId="20481D6B">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能力</w:t>
            </w:r>
          </w:p>
        </w:tc>
        <w:tc>
          <w:tcPr>
            <w:tcW w:w="1043" w:type="dxa"/>
            <w:vAlign w:val="center"/>
          </w:tcPr>
          <w:p w14:paraId="1959A5C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用于</w:t>
            </w:r>
          </w:p>
          <w:p w14:paraId="04233E4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施工</w:t>
            </w:r>
          </w:p>
          <w:p w14:paraId="17D8327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部位</w:t>
            </w:r>
          </w:p>
        </w:tc>
        <w:tc>
          <w:tcPr>
            <w:tcW w:w="1191" w:type="dxa"/>
            <w:vAlign w:val="center"/>
          </w:tcPr>
          <w:p w14:paraId="0FA04F23">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3FA8A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48961E91">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488" w:type="dxa"/>
            <w:vAlign w:val="center"/>
          </w:tcPr>
          <w:p w14:paraId="0DF3ED2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3" w:type="dxa"/>
            <w:vAlign w:val="center"/>
          </w:tcPr>
          <w:p w14:paraId="566719B1">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5" w:type="dxa"/>
            <w:vAlign w:val="center"/>
          </w:tcPr>
          <w:p w14:paraId="35B270D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94" w:type="dxa"/>
            <w:vAlign w:val="center"/>
          </w:tcPr>
          <w:p w14:paraId="0EEF8D44">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3" w:type="dxa"/>
            <w:vAlign w:val="center"/>
          </w:tcPr>
          <w:p w14:paraId="74F1DE3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40" w:type="dxa"/>
            <w:vAlign w:val="center"/>
          </w:tcPr>
          <w:p w14:paraId="22EC284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94" w:type="dxa"/>
            <w:vAlign w:val="center"/>
          </w:tcPr>
          <w:p w14:paraId="2DA7E24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43" w:type="dxa"/>
            <w:vAlign w:val="center"/>
          </w:tcPr>
          <w:p w14:paraId="4B410E9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91" w:type="dxa"/>
            <w:vAlign w:val="center"/>
          </w:tcPr>
          <w:p w14:paraId="66A28F1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3ECD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2A679D5A">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488" w:type="dxa"/>
            <w:vAlign w:val="center"/>
          </w:tcPr>
          <w:p w14:paraId="3F6184D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3" w:type="dxa"/>
            <w:vAlign w:val="center"/>
          </w:tcPr>
          <w:p w14:paraId="0887170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5" w:type="dxa"/>
            <w:vAlign w:val="center"/>
          </w:tcPr>
          <w:p w14:paraId="64BF240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94" w:type="dxa"/>
            <w:vAlign w:val="center"/>
          </w:tcPr>
          <w:p w14:paraId="3555161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3" w:type="dxa"/>
            <w:vAlign w:val="center"/>
          </w:tcPr>
          <w:p w14:paraId="6A8074D1">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40" w:type="dxa"/>
            <w:vAlign w:val="center"/>
          </w:tcPr>
          <w:p w14:paraId="6DA872DD">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94" w:type="dxa"/>
            <w:vAlign w:val="center"/>
          </w:tcPr>
          <w:p w14:paraId="53CD3EE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43" w:type="dxa"/>
            <w:vAlign w:val="center"/>
          </w:tcPr>
          <w:p w14:paraId="4DD14EC4">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91" w:type="dxa"/>
            <w:vAlign w:val="center"/>
          </w:tcPr>
          <w:p w14:paraId="508A9A2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56184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35891DE3">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488" w:type="dxa"/>
            <w:vAlign w:val="center"/>
          </w:tcPr>
          <w:p w14:paraId="1663BC55">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3" w:type="dxa"/>
            <w:vAlign w:val="center"/>
          </w:tcPr>
          <w:p w14:paraId="10B3532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5" w:type="dxa"/>
            <w:vAlign w:val="center"/>
          </w:tcPr>
          <w:p w14:paraId="3AD1B21D">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94" w:type="dxa"/>
            <w:vAlign w:val="center"/>
          </w:tcPr>
          <w:p w14:paraId="43EEFB1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3" w:type="dxa"/>
            <w:vAlign w:val="center"/>
          </w:tcPr>
          <w:p w14:paraId="58070254">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40" w:type="dxa"/>
            <w:vAlign w:val="center"/>
          </w:tcPr>
          <w:p w14:paraId="0A11177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94" w:type="dxa"/>
            <w:vAlign w:val="center"/>
          </w:tcPr>
          <w:p w14:paraId="50A50EB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43" w:type="dxa"/>
            <w:vAlign w:val="center"/>
          </w:tcPr>
          <w:p w14:paraId="7873A61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91" w:type="dxa"/>
            <w:vAlign w:val="center"/>
          </w:tcPr>
          <w:p w14:paraId="12D59F7A">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4BE93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265555E5">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488" w:type="dxa"/>
            <w:vAlign w:val="center"/>
          </w:tcPr>
          <w:p w14:paraId="605870A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3" w:type="dxa"/>
            <w:vAlign w:val="center"/>
          </w:tcPr>
          <w:p w14:paraId="7DFBE78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5" w:type="dxa"/>
            <w:vAlign w:val="center"/>
          </w:tcPr>
          <w:p w14:paraId="46E70A8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94" w:type="dxa"/>
            <w:vAlign w:val="center"/>
          </w:tcPr>
          <w:p w14:paraId="60251BF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43" w:type="dxa"/>
            <w:vAlign w:val="center"/>
          </w:tcPr>
          <w:p w14:paraId="6E465B1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340" w:type="dxa"/>
            <w:vAlign w:val="center"/>
          </w:tcPr>
          <w:p w14:paraId="6AB67AE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94" w:type="dxa"/>
            <w:vAlign w:val="center"/>
          </w:tcPr>
          <w:p w14:paraId="74D8A08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043" w:type="dxa"/>
            <w:vAlign w:val="center"/>
          </w:tcPr>
          <w:p w14:paraId="2339FC0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91" w:type="dxa"/>
            <w:vAlign w:val="center"/>
          </w:tcPr>
          <w:p w14:paraId="585FC81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bl>
    <w:p w14:paraId="776B04F7">
      <w:pPr>
        <w:pageBreakBefore w:val="0"/>
        <w:kinsoku/>
        <w:wordWrap w:val="0"/>
        <w:overflowPunct/>
        <w:bidi w:val="0"/>
        <w:spacing w:after="0"/>
        <w:textAlignment w:val="auto"/>
        <w:rPr>
          <w:rFonts w:hint="eastAsia" w:ascii="宋体" w:hAnsi="宋体" w:eastAsia="宋体" w:cs="宋体"/>
          <w:b/>
          <w:caps/>
          <w:color w:val="auto"/>
          <w:sz w:val="24"/>
          <w:szCs w:val="24"/>
        </w:rPr>
      </w:pPr>
    </w:p>
    <w:p w14:paraId="3D1C458B">
      <w:pPr>
        <w:pageBreakBefore w:val="0"/>
        <w:kinsoku/>
        <w:wordWrap w:val="0"/>
        <w:overflowPunct/>
        <w:bidi w:val="0"/>
        <w:spacing w:after="0"/>
        <w:textAlignment w:val="auto"/>
        <w:rPr>
          <w:rFonts w:hint="eastAsia" w:ascii="宋体" w:hAnsi="宋体" w:eastAsia="宋体" w:cs="宋体"/>
          <w:b/>
          <w:caps/>
          <w:color w:val="auto"/>
          <w:sz w:val="24"/>
          <w:szCs w:val="24"/>
        </w:rPr>
      </w:pPr>
      <w:r>
        <w:rPr>
          <w:rFonts w:hint="eastAsia" w:ascii="宋体" w:hAnsi="宋体" w:eastAsia="宋体" w:cs="宋体"/>
          <w:b/>
          <w:caps/>
          <w:color w:val="auto"/>
          <w:sz w:val="24"/>
          <w:szCs w:val="24"/>
        </w:rPr>
        <w:t>附表二：拟配备本项目的试验和检测仪器设备表</w:t>
      </w:r>
    </w:p>
    <w:tbl>
      <w:tblPr>
        <w:tblStyle w:val="62"/>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764"/>
        <w:gridCol w:w="789"/>
        <w:gridCol w:w="828"/>
        <w:gridCol w:w="978"/>
        <w:gridCol w:w="1122"/>
        <w:gridCol w:w="978"/>
        <w:gridCol w:w="1628"/>
        <w:gridCol w:w="980"/>
      </w:tblGrid>
      <w:tr w14:paraId="025B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95" w:type="dxa"/>
            <w:vAlign w:val="center"/>
          </w:tcPr>
          <w:p w14:paraId="086FDBE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764" w:type="dxa"/>
            <w:vAlign w:val="center"/>
          </w:tcPr>
          <w:p w14:paraId="7AB6F62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仪器设备名称</w:t>
            </w:r>
          </w:p>
        </w:tc>
        <w:tc>
          <w:tcPr>
            <w:tcW w:w="789" w:type="dxa"/>
            <w:vAlign w:val="center"/>
          </w:tcPr>
          <w:p w14:paraId="0B7441E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型号规格</w:t>
            </w:r>
          </w:p>
        </w:tc>
        <w:tc>
          <w:tcPr>
            <w:tcW w:w="828" w:type="dxa"/>
            <w:vAlign w:val="center"/>
          </w:tcPr>
          <w:p w14:paraId="21B0169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978" w:type="dxa"/>
            <w:vAlign w:val="center"/>
          </w:tcPr>
          <w:p w14:paraId="7D4AC74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国别</w:t>
            </w:r>
          </w:p>
          <w:p w14:paraId="26AD31F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产地</w:t>
            </w:r>
          </w:p>
        </w:tc>
        <w:tc>
          <w:tcPr>
            <w:tcW w:w="1122" w:type="dxa"/>
            <w:vAlign w:val="center"/>
          </w:tcPr>
          <w:p w14:paraId="59200B3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制造</w:t>
            </w:r>
          </w:p>
          <w:p w14:paraId="2B0AA27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年份</w:t>
            </w:r>
          </w:p>
        </w:tc>
        <w:tc>
          <w:tcPr>
            <w:tcW w:w="978" w:type="dxa"/>
            <w:vAlign w:val="center"/>
          </w:tcPr>
          <w:p w14:paraId="560E6E60">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已使用台时数</w:t>
            </w:r>
          </w:p>
        </w:tc>
        <w:tc>
          <w:tcPr>
            <w:tcW w:w="1628" w:type="dxa"/>
            <w:vAlign w:val="center"/>
          </w:tcPr>
          <w:p w14:paraId="05FE891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用途</w:t>
            </w:r>
          </w:p>
        </w:tc>
        <w:tc>
          <w:tcPr>
            <w:tcW w:w="980" w:type="dxa"/>
            <w:vAlign w:val="center"/>
          </w:tcPr>
          <w:p w14:paraId="213857E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381E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15F64A00">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764" w:type="dxa"/>
            <w:vAlign w:val="center"/>
          </w:tcPr>
          <w:p w14:paraId="4FE7D18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89" w:type="dxa"/>
            <w:vAlign w:val="center"/>
          </w:tcPr>
          <w:p w14:paraId="3FABE72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28" w:type="dxa"/>
            <w:vAlign w:val="center"/>
          </w:tcPr>
          <w:p w14:paraId="05622CF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78" w:type="dxa"/>
            <w:vAlign w:val="center"/>
          </w:tcPr>
          <w:p w14:paraId="1A5CAFF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22" w:type="dxa"/>
            <w:vAlign w:val="center"/>
          </w:tcPr>
          <w:p w14:paraId="52C5C9B4">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78" w:type="dxa"/>
            <w:vAlign w:val="center"/>
          </w:tcPr>
          <w:p w14:paraId="05C89E05">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628" w:type="dxa"/>
            <w:vAlign w:val="center"/>
          </w:tcPr>
          <w:p w14:paraId="4DEB62A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80" w:type="dxa"/>
            <w:vAlign w:val="center"/>
          </w:tcPr>
          <w:p w14:paraId="4F4FA8D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4CAB5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56BBAAF4">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764" w:type="dxa"/>
            <w:vAlign w:val="center"/>
          </w:tcPr>
          <w:p w14:paraId="38125EA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89" w:type="dxa"/>
            <w:vAlign w:val="center"/>
          </w:tcPr>
          <w:p w14:paraId="06A7A0E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28" w:type="dxa"/>
            <w:vAlign w:val="center"/>
          </w:tcPr>
          <w:p w14:paraId="6AD510E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78" w:type="dxa"/>
            <w:vAlign w:val="center"/>
          </w:tcPr>
          <w:p w14:paraId="22528134">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22" w:type="dxa"/>
            <w:vAlign w:val="center"/>
          </w:tcPr>
          <w:p w14:paraId="75D4F234">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78" w:type="dxa"/>
            <w:vAlign w:val="center"/>
          </w:tcPr>
          <w:p w14:paraId="467A349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628" w:type="dxa"/>
            <w:vAlign w:val="center"/>
          </w:tcPr>
          <w:p w14:paraId="6CED382F">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80" w:type="dxa"/>
            <w:vAlign w:val="center"/>
          </w:tcPr>
          <w:p w14:paraId="310F0C25">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4B16B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55503FB9">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764" w:type="dxa"/>
            <w:vAlign w:val="center"/>
          </w:tcPr>
          <w:p w14:paraId="381E00C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789" w:type="dxa"/>
            <w:vAlign w:val="center"/>
          </w:tcPr>
          <w:p w14:paraId="070DDDF5">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828" w:type="dxa"/>
            <w:vAlign w:val="center"/>
          </w:tcPr>
          <w:p w14:paraId="5702D34E">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78" w:type="dxa"/>
            <w:vAlign w:val="center"/>
          </w:tcPr>
          <w:p w14:paraId="5A8E8195">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122" w:type="dxa"/>
            <w:vAlign w:val="center"/>
          </w:tcPr>
          <w:p w14:paraId="62951B0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78" w:type="dxa"/>
            <w:vAlign w:val="center"/>
          </w:tcPr>
          <w:p w14:paraId="1F8711E5">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628" w:type="dxa"/>
            <w:vAlign w:val="center"/>
          </w:tcPr>
          <w:p w14:paraId="402B560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980" w:type="dxa"/>
            <w:vAlign w:val="center"/>
          </w:tcPr>
          <w:p w14:paraId="481ADC2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bl>
    <w:p w14:paraId="5F3ECBCB">
      <w:pPr>
        <w:pStyle w:val="14"/>
        <w:pageBreakBefore w:val="0"/>
        <w:kinsoku/>
        <w:wordWrap w:val="0"/>
        <w:overflowPunct/>
        <w:bidi w:val="0"/>
        <w:spacing w:after="0"/>
        <w:textAlignment w:val="auto"/>
        <w:rPr>
          <w:rFonts w:hint="eastAsia" w:ascii="宋体" w:hAnsi="宋体" w:eastAsia="宋体" w:cs="宋体"/>
          <w:b/>
          <w:caps/>
          <w:color w:val="auto"/>
          <w:sz w:val="24"/>
        </w:rPr>
      </w:pPr>
    </w:p>
    <w:p w14:paraId="335FFD0E">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36E1714A">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58579B77">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5D8BBBF8">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2ACE0ABF">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7AEBD7C2">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31EBAD1B">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78137D14">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022ED6CE">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p>
    <w:p w14:paraId="349177E0">
      <w:pPr>
        <w:pageBreakBefore w:val="0"/>
        <w:kinsoku/>
        <w:wordWrap w:val="0"/>
        <w:overflowPunct/>
        <w:bidi w:val="0"/>
        <w:spacing w:after="0" w:line="320" w:lineRule="exact"/>
        <w:textAlignment w:val="auto"/>
        <w:rPr>
          <w:rFonts w:hint="eastAsia" w:ascii="宋体" w:hAnsi="宋体" w:eastAsia="宋体" w:cs="宋体"/>
          <w:b/>
          <w:caps/>
          <w:color w:val="auto"/>
          <w:sz w:val="24"/>
          <w:szCs w:val="24"/>
        </w:rPr>
      </w:pPr>
      <w:r>
        <w:rPr>
          <w:rFonts w:hint="eastAsia" w:ascii="宋体" w:hAnsi="宋体" w:eastAsia="宋体" w:cs="宋体"/>
          <w:b/>
          <w:caps/>
          <w:color w:val="auto"/>
          <w:sz w:val="24"/>
          <w:szCs w:val="24"/>
        </w:rPr>
        <w:t>附表三：劳动力计划表</w:t>
      </w:r>
    </w:p>
    <w:p w14:paraId="245C021C">
      <w:pPr>
        <w:pageBreakBefore w:val="0"/>
        <w:kinsoku/>
        <w:wordWrap w:val="0"/>
        <w:overflowPunct/>
        <w:bidi w:val="0"/>
        <w:spacing w:after="0" w:line="320" w:lineRule="exact"/>
        <w:ind w:left="8160" w:hanging="8160" w:hangingChars="3400"/>
        <w:textAlignment w:val="auto"/>
        <w:rPr>
          <w:rFonts w:hint="eastAsia" w:ascii="宋体" w:hAnsi="宋体" w:eastAsia="宋体" w:cs="宋体"/>
          <w:caps/>
          <w:color w:val="auto"/>
          <w:sz w:val="24"/>
          <w:szCs w:val="24"/>
        </w:rPr>
      </w:pPr>
      <w:r>
        <w:rPr>
          <w:rFonts w:hint="eastAsia" w:ascii="宋体" w:hAnsi="宋体" w:eastAsia="宋体" w:cs="宋体"/>
          <w:caps/>
          <w:color w:val="auto"/>
          <w:sz w:val="24"/>
          <w:szCs w:val="24"/>
        </w:rPr>
        <w:t xml:space="preserve">                                                                                                                       单位：人</w:t>
      </w:r>
    </w:p>
    <w:tbl>
      <w:tblPr>
        <w:tblStyle w:val="62"/>
        <w:tblW w:w="9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1212"/>
        <w:gridCol w:w="1212"/>
        <w:gridCol w:w="1211"/>
        <w:gridCol w:w="1212"/>
        <w:gridCol w:w="1212"/>
        <w:gridCol w:w="1212"/>
        <w:gridCol w:w="1410"/>
      </w:tblGrid>
      <w:tr w14:paraId="4EE5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223" w:type="dxa"/>
            <w:vAlign w:val="center"/>
          </w:tcPr>
          <w:p w14:paraId="17B61D51">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工种</w:t>
            </w:r>
          </w:p>
        </w:tc>
        <w:tc>
          <w:tcPr>
            <w:tcW w:w="8681" w:type="dxa"/>
            <w:gridSpan w:val="7"/>
            <w:vAlign w:val="center"/>
          </w:tcPr>
          <w:p w14:paraId="5C73C73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按工程施工阶段投入劳动力情况</w:t>
            </w:r>
          </w:p>
        </w:tc>
      </w:tr>
      <w:tr w14:paraId="12007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3ACFBD2B">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212" w:type="dxa"/>
            <w:vAlign w:val="center"/>
          </w:tcPr>
          <w:p w14:paraId="7219335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7C18C1AF">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1" w:type="dxa"/>
            <w:vAlign w:val="center"/>
          </w:tcPr>
          <w:p w14:paraId="02E7B89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6134401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7AF898A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3E69E3B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410" w:type="dxa"/>
            <w:vAlign w:val="center"/>
          </w:tcPr>
          <w:p w14:paraId="711E6BE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70167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5E9F9828">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212" w:type="dxa"/>
            <w:vAlign w:val="center"/>
          </w:tcPr>
          <w:p w14:paraId="44966C2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4AB562AF">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1" w:type="dxa"/>
            <w:vAlign w:val="center"/>
          </w:tcPr>
          <w:p w14:paraId="365DFFF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3487765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7E1F366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53268BC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410" w:type="dxa"/>
            <w:vAlign w:val="center"/>
          </w:tcPr>
          <w:p w14:paraId="132F2AB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732C2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64358076">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212" w:type="dxa"/>
            <w:vAlign w:val="center"/>
          </w:tcPr>
          <w:p w14:paraId="00C1DA8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293CBB2D">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1" w:type="dxa"/>
            <w:vAlign w:val="center"/>
          </w:tcPr>
          <w:p w14:paraId="55B8052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3A6F3BD8">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2508E27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3A60E03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410" w:type="dxa"/>
            <w:vAlign w:val="center"/>
          </w:tcPr>
          <w:p w14:paraId="6F7345CC">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2515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6CF47ED2">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1212" w:type="dxa"/>
            <w:vAlign w:val="center"/>
          </w:tcPr>
          <w:p w14:paraId="329B4D40">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6F1BDF1A">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1" w:type="dxa"/>
            <w:vAlign w:val="center"/>
          </w:tcPr>
          <w:p w14:paraId="34DFFBC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43AE233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16EF8DA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212" w:type="dxa"/>
            <w:vAlign w:val="center"/>
          </w:tcPr>
          <w:p w14:paraId="3BB5B8F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1410" w:type="dxa"/>
            <w:vAlign w:val="center"/>
          </w:tcPr>
          <w:p w14:paraId="127E08E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bl>
    <w:p w14:paraId="7BA275B3">
      <w:pPr>
        <w:pageBreakBefore w:val="0"/>
        <w:kinsoku/>
        <w:wordWrap w:val="0"/>
        <w:overflowPunct/>
        <w:bidi w:val="0"/>
        <w:spacing w:after="0" w:line="360" w:lineRule="exact"/>
        <w:textAlignment w:val="auto"/>
        <w:rPr>
          <w:rFonts w:hint="eastAsia" w:ascii="宋体" w:hAnsi="宋体" w:eastAsia="宋体" w:cs="宋体"/>
          <w:b/>
          <w:caps/>
          <w:color w:val="auto"/>
          <w:sz w:val="24"/>
          <w:szCs w:val="24"/>
        </w:rPr>
      </w:pPr>
    </w:p>
    <w:p w14:paraId="0DE87E4D">
      <w:pPr>
        <w:pageBreakBefore w:val="0"/>
        <w:kinsoku/>
        <w:wordWrap w:val="0"/>
        <w:overflowPunct/>
        <w:bidi w:val="0"/>
        <w:spacing w:after="0" w:line="360" w:lineRule="exact"/>
        <w:textAlignment w:val="auto"/>
        <w:rPr>
          <w:rFonts w:hint="eastAsia" w:ascii="宋体" w:hAnsi="宋体" w:eastAsia="宋体" w:cs="宋体"/>
          <w:b/>
          <w:caps/>
          <w:color w:val="auto"/>
          <w:sz w:val="24"/>
          <w:szCs w:val="24"/>
        </w:rPr>
      </w:pPr>
      <w:r>
        <w:rPr>
          <w:rFonts w:hint="eastAsia" w:ascii="宋体" w:hAnsi="宋体" w:eastAsia="宋体" w:cs="宋体"/>
          <w:b/>
          <w:caps/>
          <w:color w:val="auto"/>
          <w:sz w:val="24"/>
          <w:szCs w:val="24"/>
        </w:rPr>
        <w:t>附表四：计划开、竣工日期和施工进度网络图</w:t>
      </w:r>
    </w:p>
    <w:p w14:paraId="1297E621">
      <w:pPr>
        <w:pageBreakBefore w:val="0"/>
        <w:kinsoku/>
        <w:wordWrap w:val="0"/>
        <w:overflowPunct/>
        <w:bidi w:val="0"/>
        <w:spacing w:after="0" w:line="360" w:lineRule="exact"/>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1．磋商申请人应递交施工进度网络图或施工进度表，说明按磋商文件要求的计划工期进行施工的各个关键日期。</w:t>
      </w:r>
    </w:p>
    <w:p w14:paraId="1302DFAC">
      <w:pPr>
        <w:pageBreakBefore w:val="0"/>
        <w:kinsoku/>
        <w:wordWrap w:val="0"/>
        <w:overflowPunct/>
        <w:bidi w:val="0"/>
        <w:spacing w:after="0" w:line="360" w:lineRule="exact"/>
        <w:ind w:firstLine="600" w:firstLineChars="250"/>
        <w:textAlignment w:val="auto"/>
        <w:rPr>
          <w:rFonts w:hint="eastAsia" w:ascii="宋体" w:hAnsi="宋体" w:eastAsia="宋体" w:cs="宋体"/>
          <w:b/>
          <w:caps/>
          <w:color w:val="auto"/>
          <w:sz w:val="24"/>
          <w:szCs w:val="24"/>
        </w:rPr>
      </w:pPr>
      <w:r>
        <w:rPr>
          <w:rFonts w:hint="eastAsia" w:ascii="宋体" w:hAnsi="宋体" w:eastAsia="宋体" w:cs="宋体"/>
          <w:color w:val="auto"/>
          <w:sz w:val="24"/>
          <w:szCs w:val="24"/>
        </w:rPr>
        <w:t>2．施工进度表可采用网络图（或横道图）表示。</w:t>
      </w:r>
      <w:bookmarkStart w:id="771" w:name="_Toc377657308"/>
      <w:bookmarkStart w:id="772" w:name="_Toc377657381"/>
      <w:bookmarkStart w:id="773" w:name="_Toc377657240"/>
    </w:p>
    <w:p w14:paraId="33E5589F">
      <w:pPr>
        <w:pageBreakBefore w:val="0"/>
        <w:kinsoku/>
        <w:wordWrap w:val="0"/>
        <w:overflowPunct/>
        <w:bidi w:val="0"/>
        <w:spacing w:after="0" w:line="360" w:lineRule="exact"/>
        <w:textAlignment w:val="auto"/>
        <w:rPr>
          <w:rFonts w:hint="eastAsia" w:ascii="宋体" w:hAnsi="宋体" w:eastAsia="宋体" w:cs="宋体"/>
          <w:color w:val="auto"/>
          <w:sz w:val="24"/>
          <w:szCs w:val="24"/>
        </w:rPr>
      </w:pPr>
      <w:r>
        <w:rPr>
          <w:rFonts w:hint="eastAsia" w:ascii="宋体" w:hAnsi="宋体" w:eastAsia="宋体" w:cs="宋体"/>
          <w:b/>
          <w:caps/>
          <w:color w:val="auto"/>
          <w:sz w:val="24"/>
          <w:szCs w:val="24"/>
        </w:rPr>
        <w:t>附表五：施工总平面图</w:t>
      </w:r>
      <w:bookmarkEnd w:id="771"/>
      <w:bookmarkEnd w:id="772"/>
      <w:bookmarkEnd w:id="773"/>
    </w:p>
    <w:p w14:paraId="3B7C4FEC">
      <w:pPr>
        <w:pageBreakBefore w:val="0"/>
        <w:kinsoku/>
        <w:wordWrap w:val="0"/>
        <w:overflowPunct/>
        <w:bidi w:val="0"/>
        <w:spacing w:after="0" w:line="3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磋商申请人应递交一份施工总平面图，绘出现场临时设施布置图表并附文字说明，说明临时设施、加工车间、现场办公、设备及仓储、供电、供水、卫生、生活、道路、消防等设施的情况和布置。</w:t>
      </w:r>
    </w:p>
    <w:p w14:paraId="0D3E3920">
      <w:pPr>
        <w:pageBreakBefore w:val="0"/>
        <w:kinsoku/>
        <w:wordWrap w:val="0"/>
        <w:overflowPunct/>
        <w:bidi w:val="0"/>
        <w:spacing w:after="0"/>
        <w:textAlignment w:val="auto"/>
        <w:rPr>
          <w:rFonts w:hint="eastAsia" w:ascii="宋体" w:hAnsi="宋体" w:eastAsia="宋体" w:cs="宋体"/>
          <w:b/>
          <w:caps/>
          <w:color w:val="auto"/>
          <w:sz w:val="24"/>
          <w:szCs w:val="24"/>
        </w:rPr>
      </w:pPr>
      <w:r>
        <w:rPr>
          <w:rFonts w:hint="eastAsia" w:ascii="宋体" w:hAnsi="宋体" w:eastAsia="宋体" w:cs="宋体"/>
          <w:b/>
          <w:caps/>
          <w:color w:val="auto"/>
          <w:sz w:val="24"/>
          <w:szCs w:val="24"/>
        </w:rPr>
        <w:t>附表六：临时用地表</w:t>
      </w:r>
    </w:p>
    <w:tbl>
      <w:tblPr>
        <w:tblStyle w:val="62"/>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1"/>
        <w:gridCol w:w="2372"/>
        <w:gridCol w:w="2362"/>
        <w:gridCol w:w="2362"/>
      </w:tblGrid>
      <w:tr w14:paraId="00E9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46BEEA1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用途</w:t>
            </w:r>
          </w:p>
        </w:tc>
        <w:tc>
          <w:tcPr>
            <w:tcW w:w="2372" w:type="dxa"/>
            <w:vAlign w:val="center"/>
          </w:tcPr>
          <w:p w14:paraId="5A343414">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面积（平方米）</w:t>
            </w:r>
          </w:p>
        </w:tc>
        <w:tc>
          <w:tcPr>
            <w:tcW w:w="2362" w:type="dxa"/>
            <w:vAlign w:val="center"/>
          </w:tcPr>
          <w:p w14:paraId="3236D80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位置</w:t>
            </w:r>
          </w:p>
        </w:tc>
        <w:tc>
          <w:tcPr>
            <w:tcW w:w="2362" w:type="dxa"/>
            <w:vAlign w:val="center"/>
          </w:tcPr>
          <w:p w14:paraId="1DF16C3B">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需用时间</w:t>
            </w:r>
          </w:p>
        </w:tc>
      </w:tr>
      <w:tr w14:paraId="7E9CD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762AFAE6">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2372" w:type="dxa"/>
            <w:vAlign w:val="center"/>
          </w:tcPr>
          <w:p w14:paraId="1C165C2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362" w:type="dxa"/>
            <w:vAlign w:val="center"/>
          </w:tcPr>
          <w:p w14:paraId="2E4E78F7">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362" w:type="dxa"/>
            <w:vAlign w:val="center"/>
          </w:tcPr>
          <w:p w14:paraId="1515B08B">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63416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3CE262D0">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2372" w:type="dxa"/>
            <w:vAlign w:val="center"/>
          </w:tcPr>
          <w:p w14:paraId="2FD7743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362" w:type="dxa"/>
            <w:vAlign w:val="center"/>
          </w:tcPr>
          <w:p w14:paraId="096AC076">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362" w:type="dxa"/>
            <w:vAlign w:val="center"/>
          </w:tcPr>
          <w:p w14:paraId="70B70663">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r w14:paraId="36939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1E523D82">
            <w:pPr>
              <w:pageBreakBefore w:val="0"/>
              <w:kinsoku/>
              <w:wordWrap w:val="0"/>
              <w:overflowPunct/>
              <w:bidi w:val="0"/>
              <w:spacing w:after="0"/>
              <w:ind w:left="5250" w:firstLine="560"/>
              <w:jc w:val="center"/>
              <w:textAlignment w:val="auto"/>
              <w:rPr>
                <w:rFonts w:hint="eastAsia" w:ascii="宋体" w:hAnsi="宋体" w:eastAsia="宋体" w:cs="宋体"/>
                <w:caps/>
                <w:color w:val="auto"/>
                <w:sz w:val="24"/>
                <w:szCs w:val="24"/>
              </w:rPr>
            </w:pPr>
          </w:p>
        </w:tc>
        <w:tc>
          <w:tcPr>
            <w:tcW w:w="2372" w:type="dxa"/>
            <w:vAlign w:val="center"/>
          </w:tcPr>
          <w:p w14:paraId="07FDE789">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362" w:type="dxa"/>
            <w:vAlign w:val="center"/>
          </w:tcPr>
          <w:p w14:paraId="4D7D3822">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c>
          <w:tcPr>
            <w:tcW w:w="2362" w:type="dxa"/>
            <w:vAlign w:val="center"/>
          </w:tcPr>
          <w:p w14:paraId="776DC9D1">
            <w:pPr>
              <w:pageBreakBefore w:val="0"/>
              <w:kinsoku/>
              <w:wordWrap w:val="0"/>
              <w:overflowPunct/>
              <w:bidi w:val="0"/>
              <w:spacing w:after="0"/>
              <w:ind w:firstLine="560"/>
              <w:jc w:val="center"/>
              <w:textAlignment w:val="auto"/>
              <w:rPr>
                <w:rFonts w:hint="eastAsia" w:ascii="宋体" w:hAnsi="宋体" w:eastAsia="宋体" w:cs="宋体"/>
                <w:caps/>
                <w:color w:val="auto"/>
                <w:sz w:val="24"/>
                <w:szCs w:val="24"/>
              </w:rPr>
            </w:pPr>
          </w:p>
        </w:tc>
      </w:tr>
    </w:tbl>
    <w:p w14:paraId="2DA83532">
      <w:pPr>
        <w:pageBreakBefore w:val="0"/>
        <w:kinsoku/>
        <w:wordWrap w:val="0"/>
        <w:overflowPunct/>
        <w:bidi w:val="0"/>
        <w:spacing w:after="0"/>
        <w:textAlignment w:val="auto"/>
        <w:rPr>
          <w:rFonts w:hint="eastAsia" w:ascii="宋体" w:hAnsi="宋体" w:eastAsia="宋体" w:cs="宋体"/>
          <w:color w:val="auto"/>
        </w:rPr>
      </w:pPr>
    </w:p>
    <w:p w14:paraId="36CE2EEB">
      <w:pPr>
        <w:pStyle w:val="14"/>
        <w:pageBreakBefore w:val="0"/>
        <w:kinsoku/>
        <w:wordWrap w:val="0"/>
        <w:overflowPunct/>
        <w:bidi w:val="0"/>
        <w:spacing w:after="0"/>
        <w:textAlignment w:val="auto"/>
        <w:rPr>
          <w:rFonts w:hint="eastAsia" w:ascii="宋体" w:hAnsi="宋体" w:eastAsia="宋体" w:cs="宋体"/>
          <w:color w:val="auto"/>
        </w:rPr>
      </w:pPr>
    </w:p>
    <w:p w14:paraId="4F869E3E">
      <w:pPr>
        <w:pageBreakBefore w:val="0"/>
        <w:kinsoku/>
        <w:wordWrap w:val="0"/>
        <w:overflowPunct/>
        <w:bidi w:val="0"/>
        <w:spacing w:after="0"/>
        <w:textAlignment w:val="auto"/>
        <w:rPr>
          <w:rFonts w:hint="eastAsia" w:ascii="宋体" w:hAnsi="宋体" w:eastAsia="宋体" w:cs="宋体"/>
          <w:color w:val="auto"/>
        </w:rPr>
      </w:pPr>
    </w:p>
    <w:p w14:paraId="14ACBD71">
      <w:pPr>
        <w:pStyle w:val="35"/>
        <w:pageBreakBefore w:val="0"/>
        <w:kinsoku/>
        <w:wordWrap w:val="0"/>
        <w:overflowPunct/>
        <w:bidi w:val="0"/>
        <w:spacing w:after="0"/>
        <w:textAlignment w:val="auto"/>
        <w:rPr>
          <w:rFonts w:hint="eastAsia" w:ascii="宋体" w:hAnsi="宋体" w:eastAsia="宋体" w:cs="宋体"/>
          <w:color w:val="auto"/>
        </w:rPr>
      </w:pPr>
    </w:p>
    <w:p w14:paraId="233BF2AD">
      <w:pPr>
        <w:pStyle w:val="35"/>
        <w:pageBreakBefore w:val="0"/>
        <w:kinsoku/>
        <w:wordWrap w:val="0"/>
        <w:overflowPunct/>
        <w:bidi w:val="0"/>
        <w:spacing w:after="0"/>
        <w:textAlignment w:val="auto"/>
        <w:rPr>
          <w:rFonts w:hint="eastAsia" w:ascii="宋体" w:hAnsi="宋体" w:eastAsia="宋体" w:cs="宋体"/>
          <w:color w:val="auto"/>
        </w:rPr>
      </w:pPr>
    </w:p>
    <w:p w14:paraId="5BD87834">
      <w:pPr>
        <w:pStyle w:val="35"/>
        <w:pageBreakBefore w:val="0"/>
        <w:kinsoku/>
        <w:wordWrap w:val="0"/>
        <w:overflowPunct/>
        <w:bidi w:val="0"/>
        <w:spacing w:after="0"/>
        <w:textAlignment w:val="auto"/>
        <w:rPr>
          <w:rFonts w:hint="eastAsia" w:ascii="宋体" w:hAnsi="宋体" w:eastAsia="宋体" w:cs="宋体"/>
          <w:color w:val="auto"/>
        </w:rPr>
      </w:pPr>
    </w:p>
    <w:p w14:paraId="13435A59">
      <w:pPr>
        <w:pStyle w:val="35"/>
        <w:pageBreakBefore w:val="0"/>
        <w:kinsoku/>
        <w:wordWrap w:val="0"/>
        <w:overflowPunct/>
        <w:bidi w:val="0"/>
        <w:spacing w:after="0"/>
        <w:textAlignment w:val="auto"/>
        <w:rPr>
          <w:rFonts w:hint="eastAsia" w:ascii="宋体" w:hAnsi="宋体" w:eastAsia="宋体" w:cs="宋体"/>
          <w:color w:val="auto"/>
        </w:rPr>
      </w:pPr>
    </w:p>
    <w:bookmarkEnd w:id="770"/>
    <w:p w14:paraId="4521F6FE">
      <w:pPr>
        <w:pageBreakBefore w:val="0"/>
        <w:numPr>
          <w:ilvl w:val="0"/>
          <w:numId w:val="2"/>
        </w:numPr>
        <w:kinsoku/>
        <w:wordWrap w:val="0"/>
        <w:overflowPunct/>
        <w:bidi w:val="0"/>
        <w:adjustRightInd/>
        <w:snapToGrid/>
        <w:spacing w:after="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拟分包计划表（如有）</w:t>
      </w:r>
    </w:p>
    <w:p w14:paraId="63028738">
      <w:pPr>
        <w:pStyle w:val="14"/>
        <w:pageBreakBefore w:val="0"/>
        <w:kinsoku/>
        <w:wordWrap w:val="0"/>
        <w:overflowPunct/>
        <w:bidi w:val="0"/>
        <w:spacing w:after="0"/>
        <w:textAlignment w:val="auto"/>
        <w:rPr>
          <w:rFonts w:hint="eastAsia" w:ascii="宋体" w:hAnsi="宋体" w:eastAsia="宋体" w:cs="宋体"/>
          <w:color w:val="auto"/>
        </w:rPr>
      </w:pPr>
    </w:p>
    <w:tbl>
      <w:tblPr>
        <w:tblStyle w:val="62"/>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012"/>
        <w:gridCol w:w="737"/>
        <w:gridCol w:w="1122"/>
        <w:gridCol w:w="1226"/>
        <w:gridCol w:w="1190"/>
        <w:gridCol w:w="1307"/>
        <w:gridCol w:w="1073"/>
      </w:tblGrid>
      <w:tr w14:paraId="5943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71FE926B">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w:t>
            </w:r>
          </w:p>
          <w:p w14:paraId="680FD6D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号</w:t>
            </w: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48ADCAA1">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拟分包项目名称、范围及理由</w:t>
            </w:r>
          </w:p>
        </w:tc>
        <w:tc>
          <w:tcPr>
            <w:tcW w:w="5582" w:type="dxa"/>
            <w:gridSpan w:val="5"/>
            <w:tcBorders>
              <w:top w:val="single" w:color="auto" w:sz="4" w:space="0"/>
              <w:left w:val="single" w:color="auto" w:sz="4" w:space="0"/>
              <w:bottom w:val="single" w:color="auto" w:sz="4" w:space="0"/>
              <w:right w:val="single" w:color="auto" w:sz="4" w:space="0"/>
            </w:tcBorders>
            <w:vAlign w:val="center"/>
          </w:tcPr>
          <w:p w14:paraId="7371B35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拟选分包人</w:t>
            </w:r>
          </w:p>
        </w:tc>
        <w:tc>
          <w:tcPr>
            <w:tcW w:w="1073" w:type="dxa"/>
            <w:vMerge w:val="restart"/>
            <w:tcBorders>
              <w:top w:val="single" w:color="auto" w:sz="4" w:space="0"/>
              <w:left w:val="single" w:color="auto" w:sz="4" w:space="0"/>
              <w:bottom w:val="single" w:color="auto" w:sz="4" w:space="0"/>
              <w:right w:val="single" w:color="auto" w:sz="4" w:space="0"/>
            </w:tcBorders>
            <w:vAlign w:val="center"/>
          </w:tcPr>
          <w:p w14:paraId="5BC3425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21066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55A44D7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7228E8E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859" w:type="dxa"/>
            <w:gridSpan w:val="2"/>
            <w:tcBorders>
              <w:top w:val="single" w:color="auto" w:sz="4" w:space="0"/>
              <w:left w:val="single" w:color="auto" w:sz="4" w:space="0"/>
              <w:bottom w:val="single" w:color="auto" w:sz="4" w:space="0"/>
              <w:right w:val="single" w:color="auto" w:sz="4" w:space="0"/>
            </w:tcBorders>
            <w:vAlign w:val="center"/>
          </w:tcPr>
          <w:p w14:paraId="3D833F93">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拟选分包人</w:t>
            </w:r>
          </w:p>
          <w:p w14:paraId="0914B170">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1226" w:type="dxa"/>
            <w:tcBorders>
              <w:top w:val="single" w:color="auto" w:sz="4" w:space="0"/>
              <w:left w:val="single" w:color="auto" w:sz="4" w:space="0"/>
              <w:bottom w:val="single" w:color="auto" w:sz="4" w:space="0"/>
              <w:right w:val="single" w:color="auto" w:sz="4" w:space="0"/>
            </w:tcBorders>
            <w:vAlign w:val="center"/>
          </w:tcPr>
          <w:p w14:paraId="6E73C4A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注册地点</w:t>
            </w:r>
          </w:p>
        </w:tc>
        <w:tc>
          <w:tcPr>
            <w:tcW w:w="1190" w:type="dxa"/>
            <w:tcBorders>
              <w:top w:val="single" w:color="auto" w:sz="4" w:space="0"/>
              <w:left w:val="single" w:color="auto" w:sz="4" w:space="0"/>
              <w:bottom w:val="single" w:color="auto" w:sz="4" w:space="0"/>
              <w:right w:val="single" w:color="auto" w:sz="4" w:space="0"/>
            </w:tcBorders>
            <w:vAlign w:val="center"/>
          </w:tcPr>
          <w:p w14:paraId="38A24BD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企业资质</w:t>
            </w:r>
          </w:p>
        </w:tc>
        <w:tc>
          <w:tcPr>
            <w:tcW w:w="1307" w:type="dxa"/>
            <w:tcBorders>
              <w:top w:val="single" w:color="auto" w:sz="4" w:space="0"/>
              <w:left w:val="single" w:color="auto" w:sz="4" w:space="0"/>
              <w:bottom w:val="single" w:color="auto" w:sz="4" w:space="0"/>
              <w:right w:val="single" w:color="auto" w:sz="4" w:space="0"/>
            </w:tcBorders>
            <w:vAlign w:val="center"/>
          </w:tcPr>
          <w:p w14:paraId="2F3FB963">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有关业绩</w:t>
            </w:r>
          </w:p>
        </w:tc>
        <w:tc>
          <w:tcPr>
            <w:tcW w:w="1073" w:type="dxa"/>
            <w:vMerge w:val="continue"/>
            <w:tcBorders>
              <w:top w:val="single" w:color="auto" w:sz="4" w:space="0"/>
              <w:left w:val="single" w:color="auto" w:sz="4" w:space="0"/>
              <w:bottom w:val="single" w:color="auto" w:sz="4" w:space="0"/>
              <w:right w:val="single" w:color="auto" w:sz="4" w:space="0"/>
            </w:tcBorders>
            <w:vAlign w:val="center"/>
          </w:tcPr>
          <w:p w14:paraId="639DA9C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40CCF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57EEFF9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0662044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3E995BD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22" w:type="dxa"/>
            <w:tcBorders>
              <w:top w:val="single" w:color="auto" w:sz="4" w:space="0"/>
              <w:left w:val="single" w:color="auto" w:sz="4" w:space="0"/>
              <w:bottom w:val="single" w:color="auto" w:sz="4" w:space="0"/>
              <w:right w:val="single" w:color="auto" w:sz="4" w:space="0"/>
            </w:tcBorders>
            <w:vAlign w:val="center"/>
          </w:tcPr>
          <w:p w14:paraId="66837D6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0CF38CE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022B5C31">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0E27232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00E483D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788C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20D9FEA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2B7DD97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2214E96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122" w:type="dxa"/>
            <w:tcBorders>
              <w:top w:val="single" w:color="auto" w:sz="4" w:space="0"/>
              <w:left w:val="single" w:color="auto" w:sz="4" w:space="0"/>
              <w:bottom w:val="single" w:color="auto" w:sz="4" w:space="0"/>
              <w:right w:val="single" w:color="auto" w:sz="4" w:space="0"/>
            </w:tcBorders>
            <w:vAlign w:val="center"/>
          </w:tcPr>
          <w:p w14:paraId="040D7D1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15C7B61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0644CC66">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1A9456E4">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506D7846">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498AD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64F062B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0A0B399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48D2B563">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122" w:type="dxa"/>
            <w:tcBorders>
              <w:top w:val="single" w:color="auto" w:sz="4" w:space="0"/>
              <w:left w:val="single" w:color="auto" w:sz="4" w:space="0"/>
              <w:bottom w:val="single" w:color="auto" w:sz="4" w:space="0"/>
              <w:right w:val="single" w:color="auto" w:sz="4" w:space="0"/>
            </w:tcBorders>
            <w:vAlign w:val="center"/>
          </w:tcPr>
          <w:p w14:paraId="0411EB3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74BC4093">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6916CFE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28E23CF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157DEB9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022E0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5C39B93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5618B6D1">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467E120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22" w:type="dxa"/>
            <w:tcBorders>
              <w:top w:val="single" w:color="auto" w:sz="4" w:space="0"/>
              <w:left w:val="single" w:color="auto" w:sz="4" w:space="0"/>
              <w:bottom w:val="single" w:color="auto" w:sz="4" w:space="0"/>
              <w:right w:val="single" w:color="auto" w:sz="4" w:space="0"/>
            </w:tcBorders>
            <w:vAlign w:val="center"/>
          </w:tcPr>
          <w:p w14:paraId="24FB5EB4">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2B32861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3DA59EC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2208AC8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37B3996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3295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1A05F69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57A14FD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57ACF8AC">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122" w:type="dxa"/>
            <w:tcBorders>
              <w:top w:val="single" w:color="auto" w:sz="4" w:space="0"/>
              <w:left w:val="single" w:color="auto" w:sz="4" w:space="0"/>
              <w:bottom w:val="single" w:color="auto" w:sz="4" w:space="0"/>
              <w:right w:val="single" w:color="auto" w:sz="4" w:space="0"/>
            </w:tcBorders>
            <w:vAlign w:val="center"/>
          </w:tcPr>
          <w:p w14:paraId="5F9C0511">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3CB0FB8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64821B8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6A7301D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60822FF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5368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26CE2456">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7360071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7AF7761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122" w:type="dxa"/>
            <w:tcBorders>
              <w:top w:val="single" w:color="auto" w:sz="4" w:space="0"/>
              <w:left w:val="single" w:color="auto" w:sz="4" w:space="0"/>
              <w:bottom w:val="single" w:color="auto" w:sz="4" w:space="0"/>
              <w:right w:val="single" w:color="auto" w:sz="4" w:space="0"/>
            </w:tcBorders>
            <w:vAlign w:val="center"/>
          </w:tcPr>
          <w:p w14:paraId="03A0AA9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34FEC18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21126A3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7EDD21BB">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0A903D9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11054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595299C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2ACD9FEB">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5E24B30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22" w:type="dxa"/>
            <w:tcBorders>
              <w:top w:val="single" w:color="auto" w:sz="4" w:space="0"/>
              <w:left w:val="single" w:color="auto" w:sz="4" w:space="0"/>
              <w:bottom w:val="single" w:color="auto" w:sz="4" w:space="0"/>
              <w:right w:val="single" w:color="auto" w:sz="4" w:space="0"/>
            </w:tcBorders>
            <w:vAlign w:val="center"/>
          </w:tcPr>
          <w:p w14:paraId="633D2CB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4143CBB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4FAE13C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6A9DAEF3">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0AC7CB6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62A4C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35894303">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46351E0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18A309D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122" w:type="dxa"/>
            <w:tcBorders>
              <w:top w:val="single" w:color="auto" w:sz="4" w:space="0"/>
              <w:left w:val="single" w:color="auto" w:sz="4" w:space="0"/>
              <w:bottom w:val="single" w:color="auto" w:sz="4" w:space="0"/>
              <w:right w:val="single" w:color="auto" w:sz="4" w:space="0"/>
            </w:tcBorders>
            <w:vAlign w:val="center"/>
          </w:tcPr>
          <w:p w14:paraId="56EB21D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2E9C112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3BBB4C4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7757D54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46146E2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0068E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4F6D772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0A195FF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5BDB1B5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122" w:type="dxa"/>
            <w:tcBorders>
              <w:top w:val="single" w:color="auto" w:sz="4" w:space="0"/>
              <w:left w:val="single" w:color="auto" w:sz="4" w:space="0"/>
              <w:bottom w:val="single" w:color="auto" w:sz="4" w:space="0"/>
              <w:right w:val="single" w:color="auto" w:sz="4" w:space="0"/>
            </w:tcBorders>
            <w:vAlign w:val="center"/>
          </w:tcPr>
          <w:p w14:paraId="5B3CC82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484F247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10ECBCE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1C81586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7787B846">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1CC3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restart"/>
            <w:tcBorders>
              <w:top w:val="single" w:color="auto" w:sz="4" w:space="0"/>
              <w:left w:val="single" w:color="auto" w:sz="4" w:space="0"/>
              <w:bottom w:val="single" w:color="auto" w:sz="4" w:space="0"/>
              <w:right w:val="single" w:color="auto" w:sz="4" w:space="0"/>
            </w:tcBorders>
            <w:vAlign w:val="center"/>
          </w:tcPr>
          <w:p w14:paraId="60C8E983">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restart"/>
            <w:tcBorders>
              <w:top w:val="single" w:color="auto" w:sz="4" w:space="0"/>
              <w:left w:val="single" w:color="auto" w:sz="4" w:space="0"/>
              <w:bottom w:val="single" w:color="auto" w:sz="4" w:space="0"/>
              <w:right w:val="single" w:color="auto" w:sz="4" w:space="0"/>
            </w:tcBorders>
            <w:vAlign w:val="center"/>
          </w:tcPr>
          <w:p w14:paraId="3823719A">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6832E2B6">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22" w:type="dxa"/>
            <w:tcBorders>
              <w:top w:val="single" w:color="auto" w:sz="4" w:space="0"/>
              <w:left w:val="single" w:color="auto" w:sz="4" w:space="0"/>
              <w:bottom w:val="single" w:color="auto" w:sz="4" w:space="0"/>
              <w:right w:val="single" w:color="auto" w:sz="4" w:space="0"/>
            </w:tcBorders>
            <w:vAlign w:val="center"/>
          </w:tcPr>
          <w:p w14:paraId="77914D20">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7EC4E78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3353B64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4FED47F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7ACFA94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4CF12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6BC3AFF5">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514DB0F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2986EC5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122" w:type="dxa"/>
            <w:tcBorders>
              <w:top w:val="single" w:color="auto" w:sz="4" w:space="0"/>
              <w:left w:val="single" w:color="auto" w:sz="4" w:space="0"/>
              <w:bottom w:val="single" w:color="auto" w:sz="4" w:space="0"/>
              <w:right w:val="single" w:color="auto" w:sz="4" w:space="0"/>
            </w:tcBorders>
            <w:vAlign w:val="center"/>
          </w:tcPr>
          <w:p w14:paraId="6B938EAD">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2B01F40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156B76D7">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1DE6AA04">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198FEC09">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r w14:paraId="0EC2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9" w:type="dxa"/>
            <w:vMerge w:val="continue"/>
            <w:tcBorders>
              <w:top w:val="single" w:color="auto" w:sz="4" w:space="0"/>
              <w:left w:val="single" w:color="auto" w:sz="4" w:space="0"/>
              <w:bottom w:val="single" w:color="auto" w:sz="4" w:space="0"/>
              <w:right w:val="single" w:color="auto" w:sz="4" w:space="0"/>
            </w:tcBorders>
            <w:vAlign w:val="center"/>
          </w:tcPr>
          <w:p w14:paraId="2930385B">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2012" w:type="dxa"/>
            <w:vMerge w:val="continue"/>
            <w:tcBorders>
              <w:top w:val="single" w:color="auto" w:sz="4" w:space="0"/>
              <w:left w:val="single" w:color="auto" w:sz="4" w:space="0"/>
              <w:bottom w:val="single" w:color="auto" w:sz="4" w:space="0"/>
              <w:right w:val="single" w:color="auto" w:sz="4" w:space="0"/>
            </w:tcBorders>
            <w:vAlign w:val="center"/>
          </w:tcPr>
          <w:p w14:paraId="2D2170E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737" w:type="dxa"/>
            <w:tcBorders>
              <w:top w:val="single" w:color="auto" w:sz="4" w:space="0"/>
              <w:left w:val="single" w:color="auto" w:sz="4" w:space="0"/>
              <w:bottom w:val="single" w:color="auto" w:sz="4" w:space="0"/>
              <w:right w:val="single" w:color="auto" w:sz="4" w:space="0"/>
            </w:tcBorders>
            <w:vAlign w:val="center"/>
          </w:tcPr>
          <w:p w14:paraId="7771D080">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122" w:type="dxa"/>
            <w:tcBorders>
              <w:top w:val="single" w:color="auto" w:sz="4" w:space="0"/>
              <w:left w:val="single" w:color="auto" w:sz="4" w:space="0"/>
              <w:bottom w:val="single" w:color="auto" w:sz="4" w:space="0"/>
              <w:right w:val="single" w:color="auto" w:sz="4" w:space="0"/>
            </w:tcBorders>
            <w:vAlign w:val="center"/>
          </w:tcPr>
          <w:p w14:paraId="223975AF">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226" w:type="dxa"/>
            <w:tcBorders>
              <w:top w:val="single" w:color="auto" w:sz="4" w:space="0"/>
              <w:left w:val="single" w:color="auto" w:sz="4" w:space="0"/>
              <w:bottom w:val="single" w:color="auto" w:sz="4" w:space="0"/>
              <w:right w:val="single" w:color="auto" w:sz="4" w:space="0"/>
            </w:tcBorders>
            <w:vAlign w:val="center"/>
          </w:tcPr>
          <w:p w14:paraId="34E7AE70">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190" w:type="dxa"/>
            <w:tcBorders>
              <w:top w:val="single" w:color="auto" w:sz="4" w:space="0"/>
              <w:left w:val="single" w:color="auto" w:sz="4" w:space="0"/>
              <w:bottom w:val="single" w:color="auto" w:sz="4" w:space="0"/>
              <w:right w:val="single" w:color="auto" w:sz="4" w:space="0"/>
            </w:tcBorders>
            <w:vAlign w:val="center"/>
          </w:tcPr>
          <w:p w14:paraId="4FAA3C9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307" w:type="dxa"/>
            <w:tcBorders>
              <w:top w:val="single" w:color="auto" w:sz="4" w:space="0"/>
              <w:left w:val="single" w:color="auto" w:sz="4" w:space="0"/>
              <w:bottom w:val="single" w:color="auto" w:sz="4" w:space="0"/>
              <w:right w:val="single" w:color="auto" w:sz="4" w:space="0"/>
            </w:tcBorders>
            <w:vAlign w:val="center"/>
          </w:tcPr>
          <w:p w14:paraId="5C646AF8">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c>
          <w:tcPr>
            <w:tcW w:w="1073" w:type="dxa"/>
            <w:tcBorders>
              <w:top w:val="single" w:color="auto" w:sz="4" w:space="0"/>
              <w:left w:val="single" w:color="auto" w:sz="4" w:space="0"/>
              <w:bottom w:val="single" w:color="auto" w:sz="4" w:space="0"/>
              <w:right w:val="single" w:color="auto" w:sz="4" w:space="0"/>
            </w:tcBorders>
            <w:vAlign w:val="center"/>
          </w:tcPr>
          <w:p w14:paraId="068A568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tc>
      </w:tr>
    </w:tbl>
    <w:p w14:paraId="340DE2C4">
      <w:pPr>
        <w:pageBreakBefore w:val="0"/>
        <w:kinsoku/>
        <w:wordWrap w:val="0"/>
        <w:overflowPunct/>
        <w:bidi w:val="0"/>
        <w:spacing w:after="0" w:line="0" w:lineRule="atLeast"/>
        <w:ind w:firstLine="240" w:firstLineChars="100"/>
        <w:jc w:val="both"/>
        <w:textAlignment w:val="auto"/>
        <w:rPr>
          <w:rFonts w:hint="eastAsia" w:ascii="宋体" w:hAnsi="宋体" w:eastAsia="宋体" w:cs="宋体"/>
          <w:color w:val="auto"/>
          <w:szCs w:val="21"/>
        </w:rPr>
      </w:pPr>
      <w:r>
        <w:rPr>
          <w:rFonts w:hint="eastAsia" w:ascii="宋体" w:hAnsi="宋体" w:eastAsia="宋体" w:cs="宋体"/>
          <w:color w:val="auto"/>
          <w:sz w:val="24"/>
          <w:szCs w:val="24"/>
        </w:rPr>
        <w:t>备注：本表所列分包仅限于承包人自行施工范围内的非主体、非关键工程。</w:t>
      </w:r>
    </w:p>
    <w:p w14:paraId="36A5F552">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p>
    <w:p w14:paraId="7C35853E">
      <w:pPr>
        <w:pageBreakBefore w:val="0"/>
        <w:kinsoku/>
        <w:wordWrap w:val="0"/>
        <w:overflowPunct/>
        <w:bidi w:val="0"/>
        <w:spacing w:after="0" w:line="0" w:lineRule="atLeas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F3F8958">
      <w:pPr>
        <w:pageBreakBefore w:val="0"/>
        <w:kinsoku/>
        <w:wordWrap w:val="0"/>
        <w:overflowPunct/>
        <w:bidi w:val="0"/>
        <w:spacing w:after="0"/>
        <w:textAlignment w:val="auto"/>
        <w:rPr>
          <w:rFonts w:hint="eastAsia" w:ascii="宋体" w:hAnsi="宋体" w:eastAsia="宋体" w:cs="宋体"/>
          <w:color w:val="auto"/>
          <w:szCs w:val="21"/>
        </w:rPr>
      </w:pPr>
    </w:p>
    <w:p w14:paraId="62DD9DA2">
      <w:pPr>
        <w:pageBreakBefore w:val="0"/>
        <w:kinsoku/>
        <w:wordWrap w:val="0"/>
        <w:overflowPunct/>
        <w:bidi w:val="0"/>
        <w:spacing w:after="0" w:line="0" w:lineRule="atLeast"/>
        <w:ind w:firstLine="240" w:firstLineChars="1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注：附分包人的营业执照、资质证书、安全生产许可证复印件。</w:t>
      </w:r>
    </w:p>
    <w:p w14:paraId="47E07BDA">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03BD094B">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02ABC601">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5159EC21">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6A79FEB5">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6219F4DB">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1CED9436">
      <w:pPr>
        <w:pageBreakBefore w:val="0"/>
        <w:kinsoku/>
        <w:wordWrap w:val="0"/>
        <w:overflowPunct/>
        <w:bidi w:val="0"/>
        <w:adjustRightInd/>
        <w:snapToGrid/>
        <w:spacing w:after="0"/>
        <w:jc w:val="center"/>
        <w:textAlignment w:val="auto"/>
        <w:rPr>
          <w:rFonts w:hint="eastAsia" w:ascii="宋体" w:hAnsi="宋体" w:eastAsia="宋体" w:cs="宋体"/>
          <w:b/>
          <w:color w:val="auto"/>
          <w:kern w:val="2"/>
          <w:sz w:val="24"/>
          <w:szCs w:val="24"/>
          <w:highlight w:val="none"/>
        </w:rPr>
      </w:pPr>
    </w:p>
    <w:p w14:paraId="065108B0">
      <w:pPr>
        <w:pageBreakBefore w:val="0"/>
        <w:kinsoku/>
        <w:wordWrap w:val="0"/>
        <w:overflowPunct/>
        <w:bidi w:val="0"/>
        <w:spacing w:after="0"/>
        <w:jc w:val="both"/>
        <w:textAlignment w:val="auto"/>
        <w:rPr>
          <w:rFonts w:hint="eastAsia" w:ascii="宋体" w:hAnsi="宋体" w:eastAsia="宋体" w:cs="宋体"/>
          <w:b/>
          <w:bCs/>
          <w:color w:val="auto"/>
          <w:sz w:val="44"/>
          <w:szCs w:val="44"/>
          <w:highlight w:val="none"/>
        </w:rPr>
      </w:pPr>
    </w:p>
    <w:p w14:paraId="587CFCE5">
      <w:pPr>
        <w:pStyle w:val="35"/>
        <w:pageBreakBefore w:val="0"/>
        <w:kinsoku/>
        <w:wordWrap w:val="0"/>
        <w:overflowPunct/>
        <w:bidi w:val="0"/>
        <w:spacing w:after="0"/>
        <w:textAlignment w:val="auto"/>
        <w:rPr>
          <w:rFonts w:hint="eastAsia" w:ascii="宋体" w:hAnsi="宋体" w:eastAsia="宋体" w:cs="宋体"/>
          <w:b/>
          <w:bCs/>
          <w:color w:val="auto"/>
          <w:sz w:val="44"/>
          <w:szCs w:val="44"/>
          <w:highlight w:val="none"/>
        </w:rPr>
      </w:pPr>
    </w:p>
    <w:p w14:paraId="6C4649C4">
      <w:pPr>
        <w:pageBreakBefore w:val="0"/>
        <w:kinsoku/>
        <w:wordWrap w:val="0"/>
        <w:overflowPunct/>
        <w:bidi w:val="0"/>
        <w:spacing w:after="0"/>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第三部分 商务标部分</w:t>
      </w:r>
    </w:p>
    <w:p w14:paraId="54BA896E">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E1824C8">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09E0B033">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7D8475CC">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1D2A3946">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C1FFAE2">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3BC90348">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42FEDA1">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3868ABFC">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33781B88">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36FF8FB4">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08F78DD0">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473034C">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791BC7B7">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02DBEC66">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E0CD488">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46964B21">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56C76B9F">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5C7BE65A">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7FDF4724">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3742897D">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039EBC06">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5D445E84">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684E0CB3">
      <w:pPr>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51E9C6BD">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594B9E70">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0B9B88CF">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1BBCAD9B">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4CCD9AF3">
      <w:pPr>
        <w:pStyle w:val="35"/>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27C3A9DB">
      <w:pPr>
        <w:pStyle w:val="14"/>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14D0B83C">
      <w:pPr>
        <w:pageBreakBefore w:val="0"/>
        <w:kinsoku/>
        <w:wordWrap w:val="0"/>
        <w:overflowPunct/>
        <w:bidi w:val="0"/>
        <w:spacing w:after="0"/>
        <w:textAlignment w:val="auto"/>
        <w:rPr>
          <w:rFonts w:hint="eastAsia" w:ascii="宋体" w:hAnsi="宋体" w:eastAsia="宋体" w:cs="宋体"/>
          <w:color w:val="auto"/>
        </w:rPr>
      </w:pPr>
    </w:p>
    <w:p w14:paraId="278B5216">
      <w:pPr>
        <w:pageBreakBefore w:val="0"/>
        <w:kinsoku/>
        <w:wordWrap w:val="0"/>
        <w:overflowPunct/>
        <w:bidi w:val="0"/>
        <w:spacing w:after="0"/>
        <w:jc w:val="both"/>
        <w:textAlignment w:val="auto"/>
        <w:rPr>
          <w:rFonts w:hint="eastAsia" w:ascii="宋体" w:hAnsi="宋体" w:eastAsia="宋体" w:cs="宋体"/>
          <w:b/>
          <w:color w:val="auto"/>
          <w:sz w:val="28"/>
          <w:szCs w:val="28"/>
          <w:highlight w:val="none"/>
        </w:rPr>
      </w:pPr>
      <w:bookmarkStart w:id="774" w:name="_Toc377657823"/>
      <w:bookmarkStart w:id="775" w:name="_Toc377657234"/>
      <w:bookmarkStart w:id="776" w:name="_Toc377657518"/>
      <w:bookmarkStart w:id="777" w:name="_Toc377657104"/>
      <w:bookmarkStart w:id="778" w:name="_Toc377658032"/>
      <w:bookmarkStart w:id="779" w:name="_Toc536534333"/>
      <w:bookmarkStart w:id="780" w:name="_Toc470531294"/>
      <w:bookmarkStart w:id="781" w:name="_Toc377657302"/>
      <w:bookmarkStart w:id="782" w:name="_Toc531966064"/>
      <w:bookmarkStart w:id="783" w:name="_Toc201460598"/>
      <w:bookmarkStart w:id="784" w:name="_Toc536534063"/>
      <w:bookmarkStart w:id="785" w:name="_Toc377657375"/>
    </w:p>
    <w:p w14:paraId="1B6B5C55">
      <w:pPr>
        <w:pageBreakBefore w:val="0"/>
        <w:kinsoku/>
        <w:wordWrap w:val="0"/>
        <w:overflowPunct/>
        <w:bidi w:val="0"/>
        <w:spacing w:after="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一、磋商函</w:t>
      </w:r>
      <w:bookmarkEnd w:id="774"/>
      <w:bookmarkEnd w:id="775"/>
      <w:bookmarkEnd w:id="776"/>
      <w:bookmarkEnd w:id="777"/>
      <w:bookmarkEnd w:id="778"/>
      <w:bookmarkEnd w:id="779"/>
      <w:bookmarkEnd w:id="780"/>
      <w:bookmarkEnd w:id="781"/>
      <w:bookmarkEnd w:id="782"/>
      <w:bookmarkEnd w:id="783"/>
      <w:bookmarkEnd w:id="784"/>
      <w:bookmarkEnd w:id="785"/>
    </w:p>
    <w:p w14:paraId="379F74EA">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 xml:space="preserve"> </w:t>
      </w:r>
    </w:p>
    <w:p w14:paraId="0F88EA18">
      <w:pPr>
        <w:pageBreakBefore w:val="0"/>
        <w:kinsoku/>
        <w:wordWrap w:val="0"/>
        <w:overflowPunct/>
        <w:bidi w:val="0"/>
        <w:spacing w:after="0" w:line="520" w:lineRule="exact"/>
        <w:ind w:firstLine="600" w:firstLineChars="250"/>
        <w:textAlignment w:val="auto"/>
        <w:rPr>
          <w:rFonts w:hint="eastAsia" w:ascii="宋体" w:hAnsi="宋体" w:eastAsia="宋体" w:cs="宋体"/>
          <w:color w:val="auto"/>
          <w:sz w:val="24"/>
          <w:szCs w:val="24"/>
        </w:rPr>
      </w:pPr>
      <w:bookmarkStart w:id="786" w:name="_Toc531966065"/>
      <w:r>
        <w:rPr>
          <w:rFonts w:hint="eastAsia" w:ascii="宋体" w:hAnsi="宋体" w:eastAsia="宋体" w:cs="宋体"/>
          <w:color w:val="auto"/>
          <w:sz w:val="24"/>
          <w:szCs w:val="24"/>
        </w:rPr>
        <w:t>1．我方</w:t>
      </w:r>
      <w:r>
        <w:rPr>
          <w:rFonts w:hint="eastAsia" w:ascii="宋体" w:hAnsi="宋体" w:eastAsia="宋体" w:cs="宋体"/>
          <w:color w:val="auto"/>
          <w:sz w:val="24"/>
          <w:szCs w:val="24"/>
          <w:lang w:eastAsia="zh-CN"/>
        </w:rPr>
        <w:t>已</w:t>
      </w:r>
      <w:r>
        <w:rPr>
          <w:rFonts w:hint="eastAsia" w:ascii="宋体" w:hAnsi="宋体" w:eastAsia="宋体" w:cs="宋体"/>
          <w:color w:val="auto"/>
          <w:sz w:val="24"/>
          <w:szCs w:val="24"/>
        </w:rPr>
        <w:t>仔细研究了</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竞争性磋商文件的全部内容，愿意以最终磋商承诺的下浮率作为最终磋商报价，合同履行期限</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日历天，按合同约定实施和完成承包工程，修补工程中的任何缺陷，工程质量达到：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w:t>
      </w:r>
    </w:p>
    <w:p w14:paraId="2B6EF492">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2．我方承诺在磋商有效期内不修改、撤销响应文件。</w:t>
      </w:r>
    </w:p>
    <w:p w14:paraId="4B00E7C3">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3．随同本磋商函提交磋商保证金一份，金额为人民币（单位：元）</w:t>
      </w:r>
      <w:r>
        <w:rPr>
          <w:rFonts w:hint="eastAsia" w:ascii="宋体" w:hAnsi="宋体" w:eastAsia="宋体" w:cs="宋体"/>
          <w:color w:val="auto"/>
          <w:sz w:val="24"/>
          <w:szCs w:val="24"/>
          <w:u w:val="single"/>
        </w:rPr>
        <w:t>（大写：       ）（小写：               ）</w:t>
      </w:r>
      <w:r>
        <w:rPr>
          <w:rFonts w:hint="eastAsia" w:ascii="宋体" w:hAnsi="宋体" w:eastAsia="宋体" w:cs="宋体"/>
          <w:color w:val="auto"/>
          <w:sz w:val="24"/>
          <w:szCs w:val="24"/>
        </w:rPr>
        <w:t>。</w:t>
      </w:r>
    </w:p>
    <w:p w14:paraId="620FD679">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4．如我方获得成交资格：</w:t>
      </w:r>
    </w:p>
    <w:p w14:paraId="4AFD91A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1 \* GB2</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⑴</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我方承诺在收到成交通知书后，在成交通知书规定的期限内与你方签订合同。</w:t>
      </w:r>
    </w:p>
    <w:p w14:paraId="02DA2435">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2 \* GB2</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⑵</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随同本磋商函递交的磋商函附录属于合同文件的组成部分。</w:t>
      </w:r>
    </w:p>
    <w:p w14:paraId="3DDDF04C">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3 \* GB2</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⑶</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我方承诺按照竞争性磋商文件规定向你方递交履约担保。</w:t>
      </w:r>
    </w:p>
    <w:p w14:paraId="0009B0C4">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4 \* GB2</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⑷</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我方承诺在合同约定的期限内完成并移交全部合同工程。</w:t>
      </w:r>
    </w:p>
    <w:p w14:paraId="35F4C55F">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5．我方在此声明，所递交的响应文件及有关资料内容完整、真实</w:t>
      </w:r>
      <w:bookmarkStart w:id="798" w:name="_GoBack"/>
      <w:bookmarkEnd w:id="798"/>
      <w:r>
        <w:rPr>
          <w:rFonts w:hint="eastAsia" w:ascii="宋体" w:hAnsi="宋体" w:eastAsia="宋体" w:cs="宋体"/>
          <w:color w:val="auto"/>
          <w:sz w:val="24"/>
          <w:szCs w:val="24"/>
        </w:rPr>
        <w:t>和准确。</w:t>
      </w:r>
    </w:p>
    <w:p w14:paraId="6D0A474D">
      <w:pPr>
        <w:pageBreakBefore w:val="0"/>
        <w:kinsoku/>
        <w:wordWrap w:val="0"/>
        <w:overflowPunct/>
        <w:bidi w:val="0"/>
        <w:spacing w:after="0"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6.（其他补充说明）。</w:t>
      </w:r>
    </w:p>
    <w:p w14:paraId="283C62DA">
      <w:pPr>
        <w:pageBreakBefore w:val="0"/>
        <w:kinsoku/>
        <w:wordWrap w:val="0"/>
        <w:overflowPunct/>
        <w:bidi w:val="0"/>
        <w:spacing w:after="0" w:line="360" w:lineRule="auto"/>
        <w:ind w:firstLine="3360" w:firstLineChars="14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供应商全称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（盖章）   </w:t>
      </w:r>
    </w:p>
    <w:p w14:paraId="1C137638">
      <w:pPr>
        <w:pageBreakBefore w:val="0"/>
        <w:kinsoku/>
        <w:wordWrap w:val="0"/>
        <w:overflowPunct/>
        <w:bidi w:val="0"/>
        <w:spacing w:after="0" w:line="320" w:lineRule="exact"/>
        <w:ind w:firstLine="3360" w:firstLineChars="14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（盖章或签字） </w:t>
      </w:r>
    </w:p>
    <w:p w14:paraId="148B54A9">
      <w:pPr>
        <w:pageBreakBefore w:val="0"/>
        <w:kinsoku/>
        <w:wordWrap w:val="0"/>
        <w:overflowPunct/>
        <w:bidi w:val="0"/>
        <w:spacing w:after="0" w:line="320" w:lineRule="exact"/>
        <w:ind w:firstLine="3360" w:firstLineChars="14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xml:space="preserve">　                      </w:t>
      </w:r>
    </w:p>
    <w:p w14:paraId="11A70116">
      <w:pPr>
        <w:pageBreakBefore w:val="0"/>
        <w:kinsoku/>
        <w:wordWrap w:val="0"/>
        <w:overflowPunct/>
        <w:bidi w:val="0"/>
        <w:spacing w:after="0" w:line="320" w:lineRule="exact"/>
        <w:ind w:firstLine="3360" w:firstLineChars="14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电话：</w:t>
      </w:r>
      <w:r>
        <w:rPr>
          <w:rFonts w:hint="eastAsia" w:ascii="宋体" w:hAnsi="宋体" w:eastAsia="宋体" w:cs="宋体"/>
          <w:color w:val="auto"/>
          <w:sz w:val="24"/>
          <w:szCs w:val="24"/>
          <w:u w:val="single"/>
        </w:rPr>
        <w:t xml:space="preserve">　                      </w:t>
      </w:r>
    </w:p>
    <w:p w14:paraId="07238EEC">
      <w:pPr>
        <w:pageBreakBefore w:val="0"/>
        <w:kinsoku/>
        <w:wordWrap w:val="0"/>
        <w:overflowPunct/>
        <w:bidi w:val="0"/>
        <w:spacing w:after="0" w:line="320" w:lineRule="exact"/>
        <w:ind w:firstLine="3360" w:firstLineChars="14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日</w:t>
      </w:r>
    </w:p>
    <w:p w14:paraId="2B7CD6A6">
      <w:pPr>
        <w:pStyle w:val="14"/>
        <w:pageBreakBefore w:val="0"/>
        <w:kinsoku/>
        <w:wordWrap w:val="0"/>
        <w:overflowPunct/>
        <w:bidi w:val="0"/>
        <w:spacing w:after="0"/>
        <w:textAlignment w:val="auto"/>
        <w:rPr>
          <w:rFonts w:hint="eastAsia" w:ascii="宋体" w:hAnsi="宋体" w:eastAsia="宋体" w:cs="宋体"/>
          <w:color w:val="auto"/>
        </w:rPr>
      </w:pPr>
    </w:p>
    <w:p w14:paraId="52152100">
      <w:pPr>
        <w:pageBreakBefore w:val="0"/>
        <w:kinsoku/>
        <w:wordWrap w:val="0"/>
        <w:overflowPunct/>
        <w:bidi w:val="0"/>
        <w:spacing w:after="0"/>
        <w:textAlignment w:val="auto"/>
        <w:rPr>
          <w:rFonts w:hint="eastAsia" w:ascii="宋体" w:hAnsi="宋体" w:eastAsia="宋体" w:cs="宋体"/>
          <w:color w:val="auto"/>
        </w:rPr>
      </w:pPr>
    </w:p>
    <w:p w14:paraId="24A5C31E">
      <w:pPr>
        <w:pStyle w:val="35"/>
        <w:pageBreakBefore w:val="0"/>
        <w:kinsoku/>
        <w:wordWrap w:val="0"/>
        <w:overflowPunct/>
        <w:bidi w:val="0"/>
        <w:spacing w:after="0"/>
        <w:textAlignment w:val="auto"/>
        <w:rPr>
          <w:rFonts w:hint="eastAsia" w:ascii="宋体" w:hAnsi="宋体" w:eastAsia="宋体" w:cs="宋体"/>
          <w:color w:val="auto"/>
        </w:rPr>
      </w:pPr>
    </w:p>
    <w:p w14:paraId="145CDBAF">
      <w:pPr>
        <w:pStyle w:val="35"/>
        <w:pageBreakBefore w:val="0"/>
        <w:kinsoku/>
        <w:wordWrap w:val="0"/>
        <w:overflowPunct/>
        <w:bidi w:val="0"/>
        <w:spacing w:after="0"/>
        <w:textAlignment w:val="auto"/>
        <w:rPr>
          <w:rFonts w:hint="eastAsia" w:ascii="宋体" w:hAnsi="宋体" w:eastAsia="宋体" w:cs="宋体"/>
          <w:color w:val="auto"/>
        </w:rPr>
      </w:pPr>
    </w:p>
    <w:p w14:paraId="246DDA66">
      <w:pPr>
        <w:pStyle w:val="35"/>
        <w:pageBreakBefore w:val="0"/>
        <w:kinsoku/>
        <w:wordWrap w:val="0"/>
        <w:overflowPunct/>
        <w:bidi w:val="0"/>
        <w:spacing w:after="0"/>
        <w:textAlignment w:val="auto"/>
        <w:rPr>
          <w:rFonts w:hint="eastAsia" w:ascii="宋体" w:hAnsi="宋体" w:eastAsia="宋体" w:cs="宋体"/>
          <w:color w:val="auto"/>
        </w:rPr>
      </w:pPr>
    </w:p>
    <w:p w14:paraId="4E9A322B">
      <w:pPr>
        <w:pStyle w:val="35"/>
        <w:pageBreakBefore w:val="0"/>
        <w:kinsoku/>
        <w:wordWrap w:val="0"/>
        <w:overflowPunct/>
        <w:bidi w:val="0"/>
        <w:spacing w:after="0"/>
        <w:textAlignment w:val="auto"/>
        <w:rPr>
          <w:rFonts w:hint="eastAsia" w:ascii="宋体" w:hAnsi="宋体" w:eastAsia="宋体" w:cs="宋体"/>
          <w:color w:val="auto"/>
        </w:rPr>
      </w:pPr>
    </w:p>
    <w:p w14:paraId="307AE7A0">
      <w:pPr>
        <w:pStyle w:val="35"/>
        <w:pageBreakBefore w:val="0"/>
        <w:kinsoku/>
        <w:wordWrap w:val="0"/>
        <w:overflowPunct/>
        <w:bidi w:val="0"/>
        <w:spacing w:after="0"/>
        <w:textAlignment w:val="auto"/>
        <w:rPr>
          <w:rFonts w:hint="eastAsia" w:ascii="宋体" w:hAnsi="宋体" w:eastAsia="宋体" w:cs="宋体"/>
          <w:color w:val="auto"/>
        </w:rPr>
      </w:pPr>
    </w:p>
    <w:p w14:paraId="444545EA">
      <w:pPr>
        <w:pStyle w:val="26"/>
        <w:pageBreakBefore w:val="0"/>
        <w:kinsoku/>
        <w:wordWrap w:val="0"/>
        <w:overflowPunct/>
        <w:bidi w:val="0"/>
        <w:spacing w:beforeLines="0" w:after="0" w:afterLines="0"/>
        <w:ind w:left="0" w:leftChars="0" w:firstLine="0" w:firstLineChars="0"/>
        <w:textAlignment w:val="auto"/>
        <w:rPr>
          <w:rFonts w:hint="eastAsia" w:ascii="宋体" w:hAnsi="宋体" w:eastAsia="宋体" w:cs="宋体"/>
          <w:color w:val="auto"/>
          <w:highlight w:val="none"/>
        </w:rPr>
      </w:pPr>
    </w:p>
    <w:p w14:paraId="54BCDF44">
      <w:pPr>
        <w:rPr>
          <w:rFonts w:hint="eastAsia"/>
          <w:color w:val="auto"/>
        </w:rPr>
      </w:pPr>
    </w:p>
    <w:p w14:paraId="63E35AF8">
      <w:pPr>
        <w:pageBreakBefore w:val="0"/>
        <w:kinsoku/>
        <w:wordWrap w:val="0"/>
        <w:overflowPunct/>
        <w:bidi w:val="0"/>
        <w:spacing w:after="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二、磋商报价一览表</w:t>
      </w:r>
      <w:bookmarkEnd w:id="786"/>
    </w:p>
    <w:p w14:paraId="3C333C8A">
      <w:pPr>
        <w:pageBreakBefore w:val="0"/>
        <w:kinsoku/>
        <w:wordWrap w:val="0"/>
        <w:overflowPunct/>
        <w:bidi w:val="0"/>
        <w:spacing w:after="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1 \* GB4</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㈠</w:t>
      </w:r>
      <w:r>
        <w:rPr>
          <w:rFonts w:hint="eastAsia" w:ascii="宋体" w:hAnsi="宋体" w:eastAsia="宋体" w:cs="宋体"/>
          <w:b/>
          <w:color w:val="auto"/>
          <w:sz w:val="24"/>
          <w:szCs w:val="24"/>
          <w:highlight w:val="none"/>
        </w:rPr>
        <w:fldChar w:fldCharType="end"/>
      </w:r>
      <w:r>
        <w:rPr>
          <w:rFonts w:hint="eastAsia" w:ascii="宋体" w:hAnsi="宋体" w:eastAsia="宋体" w:cs="宋体"/>
          <w:b/>
          <w:color w:val="auto"/>
          <w:sz w:val="24"/>
          <w:szCs w:val="24"/>
          <w:highlight w:val="none"/>
        </w:rPr>
        <w:t>磋商报价一览表</w:t>
      </w:r>
    </w:p>
    <w:p w14:paraId="4B46BFA3">
      <w:pPr>
        <w:pageBreakBefore w:val="0"/>
        <w:kinsoku/>
        <w:wordWrap w:val="0"/>
        <w:overflowPunct/>
        <w:bidi w:val="0"/>
        <w:spacing w:after="0" w:line="0" w:lineRule="atLeast"/>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eastAsia="宋体" w:cs="宋体"/>
          <w:bCs/>
          <w:color w:val="auto"/>
          <w:sz w:val="24"/>
          <w:szCs w:val="24"/>
          <w:highlight w:val="none"/>
          <w:lang w:eastAsia="zh-CN"/>
        </w:rPr>
        <w:t>开远市中和营镇红薯分拣愈合中心配套附属设施及屋顶光伏自纳降本（余电上网）建设项目</w:t>
      </w:r>
    </w:p>
    <w:p w14:paraId="5935E53F">
      <w:pPr>
        <w:pageBreakBefore w:val="0"/>
        <w:kinsoku/>
        <w:wordWrap w:val="0"/>
        <w:overflowPunct/>
        <w:bidi w:val="0"/>
        <w:spacing w:after="0" w:line="0" w:lineRule="atLeast"/>
        <w:textAlignment w:val="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 w:val="24"/>
          <w:szCs w:val="24"/>
          <w:highlight w:val="none"/>
        </w:rPr>
        <w:t>项目编号：</w:t>
      </w:r>
      <w:r>
        <w:rPr>
          <w:rFonts w:hint="eastAsia" w:ascii="宋体" w:hAnsi="宋体" w:eastAsia="宋体" w:cs="宋体"/>
          <w:bCs/>
          <w:color w:val="auto"/>
          <w:sz w:val="24"/>
          <w:szCs w:val="24"/>
          <w:highlight w:val="none"/>
          <w:lang w:eastAsia="zh-CN"/>
        </w:rPr>
        <w:t>HHSYZBZX-CG20250313</w:t>
      </w:r>
    </w:p>
    <w:tbl>
      <w:tblPr>
        <w:tblStyle w:val="62"/>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2268"/>
        <w:gridCol w:w="6765"/>
      </w:tblGrid>
      <w:tr w14:paraId="0E9D5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0F80960E">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序号</w:t>
            </w:r>
          </w:p>
        </w:tc>
        <w:tc>
          <w:tcPr>
            <w:tcW w:w="2268" w:type="dxa"/>
            <w:vAlign w:val="center"/>
          </w:tcPr>
          <w:p w14:paraId="537D6045">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项   目</w:t>
            </w:r>
          </w:p>
        </w:tc>
        <w:tc>
          <w:tcPr>
            <w:tcW w:w="6765" w:type="dxa"/>
            <w:vAlign w:val="center"/>
          </w:tcPr>
          <w:p w14:paraId="2CF5B0A7">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内  容</w:t>
            </w:r>
          </w:p>
        </w:tc>
      </w:tr>
      <w:tr w14:paraId="21A09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894" w:type="dxa"/>
            <w:vAlign w:val="center"/>
          </w:tcPr>
          <w:p w14:paraId="7807C814">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1</w:t>
            </w:r>
          </w:p>
        </w:tc>
        <w:tc>
          <w:tcPr>
            <w:tcW w:w="2268" w:type="dxa"/>
            <w:vAlign w:val="center"/>
          </w:tcPr>
          <w:p w14:paraId="5F6840F9">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磋商报价</w:t>
            </w:r>
          </w:p>
          <w:p w14:paraId="6EF9014E">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（一次报价）</w:t>
            </w:r>
          </w:p>
        </w:tc>
        <w:tc>
          <w:tcPr>
            <w:tcW w:w="6765" w:type="dxa"/>
            <w:vAlign w:val="center"/>
          </w:tcPr>
          <w:p w14:paraId="4E613479">
            <w:pPr>
              <w:pageBreakBefore w:val="0"/>
              <w:kinsoku/>
              <w:wordWrap w:val="0"/>
              <w:overflowPunct/>
              <w:bidi w:val="0"/>
              <w:spacing w:after="0" w:line="360" w:lineRule="auto"/>
              <w:ind w:right="420"/>
              <w:textAlignment w:val="auto"/>
              <w:rPr>
                <w:rFonts w:hint="default" w:ascii="宋体" w:hAnsi="宋体" w:eastAsia="宋体" w:cs="宋体"/>
                <w:color w:val="auto"/>
                <w:sz w:val="21"/>
                <w:szCs w:val="21"/>
                <w:u w:val="none"/>
                <w:lang w:val="en-US" w:eastAsia="zh-CN"/>
              </w:rPr>
            </w:pPr>
            <w:r>
              <w:rPr>
                <w:rFonts w:hint="eastAsia" w:ascii="宋体" w:hAnsi="宋体" w:eastAsia="宋体" w:cs="宋体"/>
                <w:color w:val="auto"/>
              </w:rPr>
              <w:t>优惠率：</w:t>
            </w:r>
            <w:r>
              <w:rPr>
                <w:rFonts w:hint="eastAsia" w:ascii="宋体" w:hAnsi="宋体" w:eastAsia="宋体" w:cs="宋体"/>
                <w:color w:val="auto"/>
                <w:u w:val="single"/>
                <w:lang w:val="en-US" w:eastAsia="zh-CN"/>
              </w:rPr>
              <w:t xml:space="preserve">     </w:t>
            </w:r>
            <w:r>
              <w:rPr>
                <w:rFonts w:hint="eastAsia" w:ascii="宋体" w:hAnsi="宋体" w:eastAsia="宋体" w:cs="宋体"/>
                <w:color w:val="auto"/>
                <w:sz w:val="21"/>
                <w:szCs w:val="21"/>
                <w:u w:val="none"/>
                <w:lang w:val="en-US" w:eastAsia="zh-CN"/>
              </w:rPr>
              <w:t>%</w:t>
            </w:r>
          </w:p>
          <w:p w14:paraId="4A735A43">
            <w:pPr>
              <w:pageBreakBefore w:val="0"/>
              <w:kinsoku/>
              <w:wordWrap w:val="0"/>
              <w:overflowPunct/>
              <w:bidi w:val="0"/>
              <w:spacing w:after="0" w:line="360" w:lineRule="auto"/>
              <w:ind w:right="420"/>
              <w:textAlignment w:val="auto"/>
              <w:rPr>
                <w:rFonts w:hint="default" w:ascii="宋体" w:hAnsi="宋体" w:eastAsia="宋体" w:cs="宋体"/>
                <w:color w:val="auto"/>
                <w:lang w:val="en-US" w:eastAsia="zh-CN"/>
              </w:rPr>
            </w:pPr>
            <w:r>
              <w:rPr>
                <w:rFonts w:hint="eastAsia" w:ascii="宋体" w:hAnsi="宋体" w:eastAsia="宋体" w:cs="宋体"/>
                <w:color w:val="auto"/>
              </w:rPr>
              <w:t>总报价</w:t>
            </w:r>
            <w:r>
              <w:rPr>
                <w:rFonts w:hint="eastAsia" w:ascii="宋体" w:hAnsi="宋体" w:eastAsia="宋体" w:cs="宋体"/>
                <w:color w:val="auto"/>
                <w:lang w:eastAsia="zh-CN"/>
              </w:rPr>
              <w:t>（</w:t>
            </w:r>
            <w:r>
              <w:rPr>
                <w:rFonts w:hint="eastAsia" w:ascii="宋体" w:hAnsi="宋体" w:eastAsia="宋体" w:cs="宋体"/>
                <w:color w:val="auto"/>
                <w:lang w:val="en-US" w:eastAsia="zh-CN"/>
              </w:rPr>
              <w:t>单位：元）</w:t>
            </w:r>
          </w:p>
          <w:p w14:paraId="18223655">
            <w:pPr>
              <w:pageBreakBefore w:val="0"/>
              <w:kinsoku/>
              <w:wordWrap w:val="0"/>
              <w:overflowPunct/>
              <w:bidi w:val="0"/>
              <w:spacing w:after="0" w:line="360" w:lineRule="auto"/>
              <w:ind w:right="420"/>
              <w:textAlignment w:val="auto"/>
              <w:rPr>
                <w:rFonts w:hint="eastAsia" w:ascii="宋体" w:hAnsi="宋体" w:eastAsia="宋体" w:cs="宋体"/>
                <w:color w:val="auto"/>
              </w:rPr>
            </w:pPr>
            <w:r>
              <w:rPr>
                <w:rFonts w:hint="eastAsia" w:ascii="宋体" w:hAnsi="宋体" w:eastAsia="宋体" w:cs="宋体"/>
                <w:color w:val="auto"/>
              </w:rPr>
              <w:t>大写：</w:t>
            </w:r>
            <w:r>
              <w:rPr>
                <w:rFonts w:hint="eastAsia" w:ascii="宋体" w:hAnsi="宋体" w:eastAsia="宋体" w:cs="宋体"/>
                <w:color w:val="auto"/>
                <w:u w:val="single"/>
                <w:lang w:val="en-US" w:eastAsia="zh-CN"/>
              </w:rPr>
              <w:t xml:space="preserve">             </w:t>
            </w:r>
          </w:p>
          <w:p w14:paraId="2ED66FE8">
            <w:pPr>
              <w:pageBreakBefore w:val="0"/>
              <w:kinsoku/>
              <w:wordWrap w:val="0"/>
              <w:overflowPunct/>
              <w:bidi w:val="0"/>
              <w:spacing w:after="0" w:line="360" w:lineRule="auto"/>
              <w:ind w:right="420"/>
              <w:textAlignment w:val="auto"/>
              <w:rPr>
                <w:rFonts w:hint="eastAsia" w:ascii="宋体" w:hAnsi="宋体" w:eastAsia="宋体" w:cs="宋体"/>
                <w:color w:val="auto"/>
              </w:rPr>
            </w:pPr>
            <w:r>
              <w:rPr>
                <w:rFonts w:hint="eastAsia" w:ascii="宋体" w:hAnsi="宋体" w:eastAsia="宋体" w:cs="宋体"/>
                <w:color w:val="auto"/>
              </w:rPr>
              <w:t>小写：</w:t>
            </w:r>
            <w:r>
              <w:rPr>
                <w:rFonts w:hint="eastAsia" w:ascii="宋体" w:hAnsi="宋体" w:eastAsia="宋体" w:cs="宋体"/>
                <w:color w:val="auto"/>
                <w:u w:val="single"/>
                <w:lang w:val="en-US" w:eastAsia="zh-CN"/>
              </w:rPr>
              <w:t xml:space="preserve">             </w:t>
            </w:r>
          </w:p>
        </w:tc>
      </w:tr>
      <w:tr w14:paraId="32E8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894" w:type="dxa"/>
            <w:vAlign w:val="center"/>
          </w:tcPr>
          <w:p w14:paraId="0FD7E0B2">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2</w:t>
            </w:r>
          </w:p>
        </w:tc>
        <w:tc>
          <w:tcPr>
            <w:tcW w:w="2268" w:type="dxa"/>
            <w:vAlign w:val="center"/>
          </w:tcPr>
          <w:p w14:paraId="56CFC4C7">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拟派往项目负责人</w:t>
            </w:r>
          </w:p>
        </w:tc>
        <w:tc>
          <w:tcPr>
            <w:tcW w:w="6765" w:type="dxa"/>
            <w:vAlign w:val="center"/>
          </w:tcPr>
          <w:p w14:paraId="2A2F4FB9">
            <w:pPr>
              <w:pageBreakBefore w:val="0"/>
              <w:kinsoku/>
              <w:wordWrap w:val="0"/>
              <w:overflowPunct/>
              <w:bidi w:val="0"/>
              <w:spacing w:after="0" w:line="440" w:lineRule="exact"/>
              <w:textAlignment w:val="auto"/>
              <w:rPr>
                <w:rFonts w:hint="eastAsia" w:ascii="宋体" w:hAnsi="宋体" w:eastAsia="宋体" w:cs="宋体"/>
                <w:color w:val="auto"/>
                <w:szCs w:val="21"/>
              </w:rPr>
            </w:pPr>
            <w:r>
              <w:rPr>
                <w:rFonts w:hint="eastAsia" w:ascii="宋体" w:hAnsi="宋体" w:eastAsia="宋体" w:cs="宋体"/>
                <w:color w:val="auto"/>
                <w:szCs w:val="21"/>
              </w:rPr>
              <w:t>姓       名：</w:t>
            </w:r>
          </w:p>
          <w:p w14:paraId="6EEB92F0">
            <w:pPr>
              <w:pageBreakBefore w:val="0"/>
              <w:kinsoku/>
              <w:wordWrap w:val="0"/>
              <w:overflowPunct/>
              <w:bidi w:val="0"/>
              <w:spacing w:after="0" w:line="440" w:lineRule="exact"/>
              <w:textAlignment w:val="auto"/>
              <w:rPr>
                <w:rFonts w:hint="eastAsia" w:ascii="宋体" w:hAnsi="宋体" w:eastAsia="宋体" w:cs="宋体"/>
                <w:color w:val="auto"/>
                <w:szCs w:val="21"/>
                <w:u w:val="single"/>
              </w:rPr>
            </w:pPr>
            <w:r>
              <w:rPr>
                <w:rFonts w:hint="eastAsia" w:ascii="宋体" w:hAnsi="宋体" w:eastAsia="宋体" w:cs="宋体"/>
                <w:color w:val="auto"/>
                <w:szCs w:val="21"/>
              </w:rPr>
              <w:t>注册证书编号：</w:t>
            </w:r>
          </w:p>
        </w:tc>
      </w:tr>
      <w:tr w14:paraId="4C43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72EC71F3">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3</w:t>
            </w:r>
          </w:p>
        </w:tc>
        <w:tc>
          <w:tcPr>
            <w:tcW w:w="2268" w:type="dxa"/>
            <w:vAlign w:val="center"/>
          </w:tcPr>
          <w:p w14:paraId="33AD77F5">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合同履行期限</w:t>
            </w:r>
          </w:p>
        </w:tc>
        <w:tc>
          <w:tcPr>
            <w:tcW w:w="6765" w:type="dxa"/>
            <w:vAlign w:val="center"/>
          </w:tcPr>
          <w:p w14:paraId="48E475BA">
            <w:pPr>
              <w:pageBreakBefore w:val="0"/>
              <w:kinsoku/>
              <w:wordWrap w:val="0"/>
              <w:overflowPunct/>
              <w:bidi w:val="0"/>
              <w:spacing w:after="0"/>
              <w:ind w:right="420"/>
              <w:textAlignment w:val="auto"/>
              <w:rPr>
                <w:rFonts w:hint="eastAsia" w:ascii="宋体" w:hAnsi="宋体" w:eastAsia="宋体" w:cs="宋体"/>
                <w:color w:val="auto"/>
                <w:szCs w:val="21"/>
              </w:rPr>
            </w:pPr>
          </w:p>
        </w:tc>
      </w:tr>
      <w:tr w14:paraId="1316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54010F6A">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4</w:t>
            </w:r>
          </w:p>
        </w:tc>
        <w:tc>
          <w:tcPr>
            <w:tcW w:w="2268" w:type="dxa"/>
            <w:vAlign w:val="center"/>
          </w:tcPr>
          <w:p w14:paraId="7F1E40B5">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质量承诺</w:t>
            </w:r>
          </w:p>
        </w:tc>
        <w:tc>
          <w:tcPr>
            <w:tcW w:w="6765" w:type="dxa"/>
            <w:vAlign w:val="center"/>
          </w:tcPr>
          <w:p w14:paraId="09E7289D">
            <w:pPr>
              <w:pageBreakBefore w:val="0"/>
              <w:kinsoku/>
              <w:wordWrap w:val="0"/>
              <w:overflowPunct/>
              <w:bidi w:val="0"/>
              <w:spacing w:after="0"/>
              <w:ind w:right="420"/>
              <w:textAlignment w:val="auto"/>
              <w:rPr>
                <w:rFonts w:hint="eastAsia" w:ascii="宋体" w:hAnsi="宋体" w:eastAsia="宋体" w:cs="宋体"/>
                <w:color w:val="auto"/>
                <w:szCs w:val="21"/>
                <w:u w:val="single"/>
              </w:rPr>
            </w:pPr>
          </w:p>
        </w:tc>
      </w:tr>
      <w:tr w14:paraId="6B96C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4C9532A4">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5</w:t>
            </w:r>
          </w:p>
        </w:tc>
        <w:tc>
          <w:tcPr>
            <w:tcW w:w="2268" w:type="dxa"/>
            <w:vAlign w:val="center"/>
          </w:tcPr>
          <w:p w14:paraId="092AD686">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磋商保证金（元）</w:t>
            </w:r>
          </w:p>
        </w:tc>
        <w:tc>
          <w:tcPr>
            <w:tcW w:w="6765" w:type="dxa"/>
            <w:vAlign w:val="center"/>
          </w:tcPr>
          <w:p w14:paraId="1D7D8623">
            <w:pPr>
              <w:pageBreakBefore w:val="0"/>
              <w:kinsoku/>
              <w:wordWrap w:val="0"/>
              <w:overflowPunct/>
              <w:bidi w:val="0"/>
              <w:spacing w:after="0"/>
              <w:textAlignment w:val="auto"/>
              <w:rPr>
                <w:rFonts w:hint="eastAsia" w:ascii="宋体" w:hAnsi="宋体" w:eastAsia="宋体" w:cs="宋体"/>
                <w:color w:val="auto"/>
                <w:szCs w:val="21"/>
              </w:rPr>
            </w:pPr>
          </w:p>
        </w:tc>
      </w:tr>
      <w:tr w14:paraId="57E2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759E33A0">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6</w:t>
            </w:r>
          </w:p>
        </w:tc>
        <w:tc>
          <w:tcPr>
            <w:tcW w:w="2268" w:type="dxa"/>
            <w:vAlign w:val="center"/>
          </w:tcPr>
          <w:p w14:paraId="528284C8">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说       明</w:t>
            </w:r>
          </w:p>
        </w:tc>
        <w:tc>
          <w:tcPr>
            <w:tcW w:w="6765" w:type="dxa"/>
            <w:vAlign w:val="center"/>
          </w:tcPr>
          <w:p w14:paraId="44EDC892">
            <w:pPr>
              <w:pageBreakBefore w:val="0"/>
              <w:kinsoku/>
              <w:wordWrap w:val="0"/>
              <w:overflowPunct/>
              <w:bidi w:val="0"/>
              <w:spacing w:after="0"/>
              <w:jc w:val="center"/>
              <w:textAlignment w:val="auto"/>
              <w:rPr>
                <w:rFonts w:hint="eastAsia" w:ascii="宋体" w:hAnsi="宋体" w:eastAsia="宋体" w:cs="宋体"/>
                <w:color w:val="auto"/>
                <w:szCs w:val="21"/>
              </w:rPr>
            </w:pPr>
          </w:p>
        </w:tc>
      </w:tr>
      <w:tr w14:paraId="06E7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jc w:val="center"/>
        </w:trPr>
        <w:tc>
          <w:tcPr>
            <w:tcW w:w="9927" w:type="dxa"/>
            <w:gridSpan w:val="3"/>
            <w:vAlign w:val="center"/>
          </w:tcPr>
          <w:p w14:paraId="2F231415">
            <w:pPr>
              <w:pageBreakBefore w:val="0"/>
              <w:kinsoku/>
              <w:wordWrap w:val="0"/>
              <w:overflowPunct/>
              <w:bidi w:val="0"/>
              <w:spacing w:after="0" w:line="32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供应商全称：</w:t>
            </w:r>
            <w:r>
              <w:rPr>
                <w:rFonts w:hint="eastAsia" w:ascii="宋体" w:hAnsi="宋体" w:eastAsia="宋体" w:cs="宋体"/>
                <w:color w:val="auto"/>
                <w:sz w:val="24"/>
                <w:szCs w:val="24"/>
                <w:u w:val="single"/>
              </w:rPr>
              <w:t xml:space="preserve">          （盖章）</w:t>
            </w:r>
          </w:p>
          <w:p w14:paraId="3202466D">
            <w:pPr>
              <w:pageBreakBefore w:val="0"/>
              <w:kinsoku/>
              <w:wordWrap w:val="0"/>
              <w:overflowPunct/>
              <w:bidi w:val="0"/>
              <w:spacing w:after="0" w:line="360" w:lineRule="auto"/>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法定代表人或其委托人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（盖章或签字）</w:t>
            </w:r>
          </w:p>
          <w:p w14:paraId="6F551598">
            <w:pPr>
              <w:pageBreakBefore w:val="0"/>
              <w:kinsoku/>
              <w:wordWrap w:val="0"/>
              <w:overflowPunct/>
              <w:bidi w:val="0"/>
              <w:spacing w:after="0" w:line="360" w:lineRule="auto"/>
              <w:jc w:val="right"/>
              <w:textAlignment w:val="auto"/>
              <w:rPr>
                <w:rFonts w:hint="eastAsia" w:ascii="宋体" w:hAnsi="宋体" w:eastAsia="宋体" w:cs="宋体"/>
                <w:color w:val="auto"/>
                <w:szCs w:val="21"/>
              </w:rPr>
            </w:pPr>
            <w:r>
              <w:rPr>
                <w:rFonts w:hint="eastAsia" w:ascii="宋体" w:hAnsi="宋体" w:eastAsia="宋体" w:cs="宋体"/>
                <w:color w:val="auto"/>
                <w:szCs w:val="21"/>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Cs w:val="21"/>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Cs w:val="21"/>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Cs w:val="21"/>
              </w:rPr>
              <w:t>日</w:t>
            </w:r>
          </w:p>
        </w:tc>
      </w:tr>
    </w:tbl>
    <w:p w14:paraId="44F76D76">
      <w:pPr>
        <w:pageBreakBefore w:val="0"/>
        <w:kinsoku/>
        <w:wordWrap w:val="0"/>
        <w:overflowPunct/>
        <w:bidi w:val="0"/>
        <w:spacing w:after="0" w:line="240" w:lineRule="exact"/>
        <w:textAlignment w:val="auto"/>
        <w:rPr>
          <w:rFonts w:hint="eastAsia" w:ascii="宋体" w:hAnsi="宋体" w:eastAsia="宋体" w:cs="宋体"/>
          <w:color w:val="auto"/>
          <w:szCs w:val="21"/>
          <w:highlight w:val="none"/>
        </w:rPr>
      </w:pPr>
    </w:p>
    <w:p w14:paraId="357D9504">
      <w:pPr>
        <w:pageBreakBefore w:val="0"/>
        <w:kinsoku/>
        <w:wordWrap w:val="0"/>
        <w:overflowPunct/>
        <w:bidi w:val="0"/>
        <w:spacing w:after="0" w:line="320" w:lineRule="exact"/>
        <w:textAlignment w:val="auto"/>
        <w:rPr>
          <w:rFonts w:hint="eastAsia" w:ascii="宋体" w:hAnsi="宋体" w:eastAsia="宋体" w:cs="宋体"/>
          <w:color w:val="auto"/>
          <w:szCs w:val="21"/>
        </w:rPr>
      </w:pPr>
      <w:bookmarkStart w:id="787" w:name="_Toc531966066"/>
      <w:bookmarkStart w:id="788" w:name="_Toc536534065"/>
      <w:bookmarkStart w:id="789" w:name="_Toc536534335"/>
      <w:bookmarkStart w:id="790" w:name="_Toc530733572"/>
      <w:r>
        <w:rPr>
          <w:rFonts w:hint="eastAsia" w:ascii="宋体" w:hAnsi="宋体" w:eastAsia="宋体" w:cs="宋体"/>
          <w:color w:val="auto"/>
          <w:szCs w:val="21"/>
        </w:rPr>
        <w:t>注：1、此表磋商申请人应放在竞争性磋商响应文件封面后第一页（不需重复提交）。</w:t>
      </w:r>
    </w:p>
    <w:p w14:paraId="7BC4EBDC">
      <w:pPr>
        <w:pageBreakBefore w:val="0"/>
        <w:kinsoku/>
        <w:wordWrap w:val="0"/>
        <w:overflowPunct/>
        <w:bidi w:val="0"/>
        <w:spacing w:after="0" w:line="320" w:lineRule="exact"/>
        <w:ind w:firstLine="440" w:firstLineChars="200"/>
        <w:textAlignment w:val="auto"/>
        <w:rPr>
          <w:rFonts w:hint="eastAsia" w:ascii="宋体" w:hAnsi="宋体" w:eastAsia="宋体" w:cs="宋体"/>
          <w:b/>
          <w:bCs/>
          <w:color w:val="auto"/>
          <w:szCs w:val="21"/>
          <w:lang w:val="en-US" w:eastAsia="zh-CN"/>
        </w:rPr>
      </w:pPr>
      <w:r>
        <w:rPr>
          <w:rFonts w:hint="eastAsia" w:ascii="宋体" w:hAnsi="宋体" w:eastAsia="宋体" w:cs="宋体"/>
          <w:color w:val="auto"/>
          <w:szCs w:val="21"/>
        </w:rPr>
        <w:t>2、磋商报价方式：采用工程量清单综合报价方式进行报价</w:t>
      </w:r>
      <w:r>
        <w:rPr>
          <w:rFonts w:hint="eastAsia" w:ascii="宋体" w:hAnsi="宋体" w:eastAsia="宋体" w:cs="宋体"/>
          <w:color w:val="auto"/>
          <w:szCs w:val="21"/>
          <w:lang w:eastAsia="zh-CN"/>
        </w:rPr>
        <w:t>，</w:t>
      </w:r>
      <w:r>
        <w:rPr>
          <w:rFonts w:hint="eastAsia" w:ascii="宋体" w:hAnsi="宋体" w:eastAsia="宋体" w:cs="宋体"/>
          <w:b/>
          <w:bCs/>
          <w:color w:val="auto"/>
          <w:szCs w:val="21"/>
          <w:lang w:val="en-US" w:eastAsia="zh-CN"/>
        </w:rPr>
        <w:t>一次磋商总报价应与一次磋商报价明细表总报价一致；一次磋商报价优惠率指一次磋商总报价在最高限价的基础上优惠；</w:t>
      </w:r>
    </w:p>
    <w:p w14:paraId="7776D4B2">
      <w:pPr>
        <w:pageBreakBefore w:val="0"/>
        <w:kinsoku/>
        <w:wordWrap w:val="0"/>
        <w:overflowPunct/>
        <w:bidi w:val="0"/>
        <w:spacing w:after="0" w:line="320" w:lineRule="exact"/>
        <w:ind w:firstLine="44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3、当大小写金额不一致时以大写金额为准，报价金额保留小数点后两位。采购人不承诺最低价中标。</w:t>
      </w:r>
    </w:p>
    <w:p w14:paraId="526A2280">
      <w:pPr>
        <w:pStyle w:val="35"/>
        <w:pageBreakBefore w:val="0"/>
        <w:kinsoku/>
        <w:wordWrap w:val="0"/>
        <w:overflowPunct/>
        <w:bidi w:val="0"/>
        <w:spacing w:after="0"/>
        <w:textAlignment w:val="auto"/>
        <w:rPr>
          <w:rFonts w:hint="eastAsia" w:ascii="宋体" w:hAnsi="宋体" w:eastAsia="宋体" w:cs="宋体"/>
          <w:color w:val="auto"/>
        </w:rPr>
      </w:pPr>
    </w:p>
    <w:p w14:paraId="632B2A84">
      <w:pPr>
        <w:pStyle w:val="35"/>
        <w:pageBreakBefore w:val="0"/>
        <w:kinsoku/>
        <w:wordWrap w:val="0"/>
        <w:overflowPunct/>
        <w:bidi w:val="0"/>
        <w:spacing w:after="0"/>
        <w:textAlignment w:val="auto"/>
        <w:rPr>
          <w:rFonts w:hint="eastAsia" w:ascii="宋体" w:hAnsi="宋体" w:eastAsia="宋体" w:cs="宋体"/>
          <w:color w:val="auto"/>
        </w:rPr>
      </w:pPr>
    </w:p>
    <w:p w14:paraId="42F190C0">
      <w:pPr>
        <w:pStyle w:val="35"/>
        <w:pageBreakBefore w:val="0"/>
        <w:kinsoku/>
        <w:wordWrap w:val="0"/>
        <w:overflowPunct/>
        <w:bidi w:val="0"/>
        <w:spacing w:after="0"/>
        <w:textAlignment w:val="auto"/>
        <w:rPr>
          <w:rFonts w:hint="eastAsia" w:ascii="宋体" w:hAnsi="宋体" w:eastAsia="宋体" w:cs="宋体"/>
          <w:color w:val="auto"/>
        </w:rPr>
      </w:pPr>
    </w:p>
    <w:p w14:paraId="0E20DDD0">
      <w:pPr>
        <w:pStyle w:val="35"/>
        <w:pageBreakBefore w:val="0"/>
        <w:kinsoku/>
        <w:wordWrap w:val="0"/>
        <w:overflowPunct/>
        <w:bidi w:val="0"/>
        <w:spacing w:after="0"/>
        <w:textAlignment w:val="auto"/>
        <w:rPr>
          <w:rFonts w:hint="eastAsia" w:ascii="宋体" w:hAnsi="宋体" w:eastAsia="宋体" w:cs="宋体"/>
          <w:color w:val="auto"/>
        </w:rPr>
      </w:pPr>
    </w:p>
    <w:p w14:paraId="20DC4E93">
      <w:pPr>
        <w:pageBreakBefore w:val="0"/>
        <w:kinsoku/>
        <w:wordWrap w:val="0"/>
        <w:overflowPunct/>
        <w:bidi w:val="0"/>
        <w:spacing w:after="0" w:line="32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 2 \* GB4</w:instrText>
      </w:r>
      <w:r>
        <w:rPr>
          <w:rFonts w:hint="eastAsia" w:ascii="宋体" w:hAnsi="宋体" w:eastAsia="宋体" w:cs="宋体"/>
          <w:b/>
          <w:color w:val="auto"/>
          <w:sz w:val="24"/>
          <w:szCs w:val="24"/>
        </w:rPr>
        <w:fldChar w:fldCharType="separate"/>
      </w:r>
      <w:r>
        <w:rPr>
          <w:rFonts w:hint="eastAsia" w:ascii="宋体" w:hAnsi="宋体" w:eastAsia="宋体" w:cs="宋体"/>
          <w:b/>
          <w:color w:val="auto"/>
          <w:sz w:val="24"/>
          <w:szCs w:val="24"/>
        </w:rPr>
        <w:t>㈡</w:t>
      </w:r>
      <w:r>
        <w:rPr>
          <w:rFonts w:hint="eastAsia" w:ascii="宋体" w:hAnsi="宋体" w:eastAsia="宋体" w:cs="宋体"/>
          <w:color w:val="auto"/>
          <w:sz w:val="24"/>
          <w:szCs w:val="24"/>
        </w:rPr>
        <w:fldChar w:fldCharType="end"/>
      </w:r>
      <w:r>
        <w:rPr>
          <w:rFonts w:hint="eastAsia" w:ascii="宋体" w:hAnsi="宋体" w:eastAsia="宋体" w:cs="宋体"/>
          <w:b/>
          <w:color w:val="auto"/>
          <w:sz w:val="24"/>
          <w:szCs w:val="24"/>
        </w:rPr>
        <w:t>一次磋商报价明细表</w:t>
      </w:r>
    </w:p>
    <w:p w14:paraId="2D15CCFE">
      <w:pPr>
        <w:pageBreakBefore w:val="0"/>
        <w:kinsoku/>
        <w:wordWrap w:val="0"/>
        <w:overflowPunct/>
        <w:bidi w:val="0"/>
        <w:spacing w:after="0" w:line="0" w:lineRule="atLeast"/>
        <w:textAlignment w:val="auto"/>
        <w:rPr>
          <w:rFonts w:hint="eastAsia" w:ascii="宋体" w:hAnsi="宋体" w:eastAsia="宋体" w:cs="宋体"/>
          <w:bCs/>
          <w:color w:val="auto"/>
          <w:kern w:val="2"/>
          <w:sz w:val="24"/>
          <w:szCs w:val="24"/>
          <w:lang w:eastAsia="zh-CN"/>
        </w:rPr>
      </w:pPr>
      <w:r>
        <w:rPr>
          <w:rFonts w:hint="eastAsia" w:ascii="宋体" w:hAnsi="宋体" w:eastAsia="宋体" w:cs="宋体"/>
          <w:bCs/>
          <w:color w:val="auto"/>
          <w:sz w:val="24"/>
          <w:szCs w:val="24"/>
        </w:rPr>
        <w:t>项目名称：</w:t>
      </w:r>
      <w:r>
        <w:rPr>
          <w:rFonts w:hint="eastAsia" w:ascii="宋体" w:hAnsi="宋体" w:eastAsia="宋体" w:cs="宋体"/>
          <w:bCs/>
          <w:color w:val="auto"/>
          <w:kern w:val="2"/>
          <w:sz w:val="24"/>
          <w:szCs w:val="24"/>
          <w:lang w:eastAsia="zh-CN"/>
        </w:rPr>
        <w:t>开远市中和营镇红薯分拣愈合中心配套附属设施及屋顶光伏自纳降本（余电上网）建设项目</w:t>
      </w:r>
    </w:p>
    <w:p w14:paraId="503A27F2">
      <w:pPr>
        <w:pageBreakBefore w:val="0"/>
        <w:kinsoku/>
        <w:wordWrap w:val="0"/>
        <w:overflowPunct/>
        <w:bidi w:val="0"/>
        <w:spacing w:after="0" w:line="0" w:lineRule="atLeast"/>
        <w:textAlignment w:val="auto"/>
        <w:rPr>
          <w:rFonts w:hint="eastAsia" w:ascii="宋体" w:hAnsi="宋体" w:eastAsia="宋体" w:cs="宋体"/>
          <w:bCs/>
          <w:color w:val="auto"/>
          <w:szCs w:val="21"/>
          <w:lang w:val="en-US" w:eastAsia="zh-CN"/>
        </w:rPr>
      </w:pPr>
      <w:r>
        <w:rPr>
          <w:rFonts w:hint="eastAsia" w:ascii="宋体" w:hAnsi="宋体" w:eastAsia="宋体" w:cs="宋体"/>
          <w:bCs/>
          <w:color w:val="auto"/>
          <w:sz w:val="24"/>
          <w:szCs w:val="24"/>
        </w:rPr>
        <w:t>项目编号：</w:t>
      </w:r>
      <w:r>
        <w:rPr>
          <w:rFonts w:hint="eastAsia" w:ascii="宋体" w:hAnsi="宋体" w:eastAsia="宋体" w:cs="宋体"/>
          <w:bCs/>
          <w:color w:val="auto"/>
          <w:kern w:val="2"/>
          <w:sz w:val="24"/>
          <w:szCs w:val="24"/>
          <w:lang w:eastAsia="zh-CN"/>
        </w:rPr>
        <w:t>HHSYZBZX-CG20250313</w:t>
      </w:r>
    </w:p>
    <w:tbl>
      <w:tblPr>
        <w:tblStyle w:val="62"/>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3121"/>
        <w:gridCol w:w="2837"/>
        <w:gridCol w:w="3075"/>
      </w:tblGrid>
      <w:tr w14:paraId="08C8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894" w:type="dxa"/>
            <w:vMerge w:val="restart"/>
            <w:vAlign w:val="center"/>
          </w:tcPr>
          <w:p w14:paraId="0EF226B5">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3121" w:type="dxa"/>
            <w:vMerge w:val="restart"/>
            <w:vAlign w:val="center"/>
          </w:tcPr>
          <w:p w14:paraId="390AC6BC">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   目</w:t>
            </w:r>
          </w:p>
        </w:tc>
        <w:tc>
          <w:tcPr>
            <w:tcW w:w="5912" w:type="dxa"/>
            <w:gridSpan w:val="2"/>
            <w:vAlign w:val="center"/>
          </w:tcPr>
          <w:p w14:paraId="129FC7D9">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金额（元）</w:t>
            </w:r>
          </w:p>
        </w:tc>
      </w:tr>
      <w:tr w14:paraId="1C8FD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94" w:type="dxa"/>
            <w:vMerge w:val="continue"/>
            <w:vAlign w:val="center"/>
          </w:tcPr>
          <w:p w14:paraId="5EEFCA0A">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121" w:type="dxa"/>
            <w:vMerge w:val="continue"/>
            <w:vAlign w:val="center"/>
          </w:tcPr>
          <w:p w14:paraId="40BE76F0">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2837" w:type="dxa"/>
            <w:vAlign w:val="center"/>
          </w:tcPr>
          <w:p w14:paraId="3CB02BD7">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小写</w:t>
            </w:r>
          </w:p>
        </w:tc>
        <w:tc>
          <w:tcPr>
            <w:tcW w:w="3075" w:type="dxa"/>
            <w:vAlign w:val="center"/>
          </w:tcPr>
          <w:p w14:paraId="7A741B60">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大写</w:t>
            </w:r>
          </w:p>
        </w:tc>
      </w:tr>
      <w:tr w14:paraId="59E94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4" w:type="dxa"/>
            <w:vAlign w:val="center"/>
          </w:tcPr>
          <w:p w14:paraId="4889DF4D">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tc>
        <w:tc>
          <w:tcPr>
            <w:tcW w:w="3121" w:type="dxa"/>
            <w:vAlign w:val="center"/>
          </w:tcPr>
          <w:p w14:paraId="46365861">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分部分项工程费</w:t>
            </w:r>
          </w:p>
        </w:tc>
        <w:tc>
          <w:tcPr>
            <w:tcW w:w="2837" w:type="dxa"/>
            <w:vAlign w:val="center"/>
          </w:tcPr>
          <w:p w14:paraId="22E17B07">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28BDB20D">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30A9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4" w:type="dxa"/>
            <w:vAlign w:val="center"/>
          </w:tcPr>
          <w:p w14:paraId="1B4E5239">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p>
        </w:tc>
        <w:tc>
          <w:tcPr>
            <w:tcW w:w="3121" w:type="dxa"/>
            <w:vAlign w:val="center"/>
          </w:tcPr>
          <w:p w14:paraId="659B5DD6">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措施项目费</w:t>
            </w:r>
          </w:p>
        </w:tc>
        <w:tc>
          <w:tcPr>
            <w:tcW w:w="2837" w:type="dxa"/>
            <w:vAlign w:val="center"/>
          </w:tcPr>
          <w:p w14:paraId="3BB5145B">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531583FB">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3AA6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4" w:type="dxa"/>
            <w:vAlign w:val="center"/>
          </w:tcPr>
          <w:p w14:paraId="22A97F84">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w:t>
            </w:r>
          </w:p>
        </w:tc>
        <w:tc>
          <w:tcPr>
            <w:tcW w:w="3121" w:type="dxa"/>
            <w:vAlign w:val="center"/>
          </w:tcPr>
          <w:p w14:paraId="2296DE92">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安全、文明施工及环境保护费和临时设施费的合计</w:t>
            </w:r>
          </w:p>
        </w:tc>
        <w:tc>
          <w:tcPr>
            <w:tcW w:w="2837" w:type="dxa"/>
            <w:vAlign w:val="center"/>
          </w:tcPr>
          <w:p w14:paraId="152DF942">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17ADDF4E">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6AC7C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894" w:type="dxa"/>
            <w:vAlign w:val="center"/>
          </w:tcPr>
          <w:p w14:paraId="4DC4348D">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w:t>
            </w:r>
          </w:p>
        </w:tc>
        <w:tc>
          <w:tcPr>
            <w:tcW w:w="3121" w:type="dxa"/>
            <w:vAlign w:val="center"/>
          </w:tcPr>
          <w:p w14:paraId="045139B5">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大型机械设备进出场及安拆费、大型机械设备基础费、脚手架工程费、模板工程费、垂直运输费、超高增加费、排水降水费的合计</w:t>
            </w:r>
          </w:p>
        </w:tc>
        <w:tc>
          <w:tcPr>
            <w:tcW w:w="2837" w:type="dxa"/>
            <w:vAlign w:val="center"/>
          </w:tcPr>
          <w:p w14:paraId="27AB8EF0">
            <w:pPr>
              <w:pageBreakBefore w:val="0"/>
              <w:kinsoku/>
              <w:wordWrap w:val="0"/>
              <w:overflowPunct/>
              <w:bidi w:val="0"/>
              <w:spacing w:after="0" w:line="320" w:lineRule="exact"/>
              <w:jc w:val="center"/>
              <w:textAlignment w:val="auto"/>
              <w:rPr>
                <w:rFonts w:hint="eastAsia" w:ascii="宋体" w:hAnsi="宋体" w:eastAsia="宋体" w:cs="宋体"/>
                <w:color w:val="auto"/>
              </w:rPr>
            </w:pPr>
          </w:p>
          <w:p w14:paraId="7CA02328">
            <w:pPr>
              <w:pageBreakBefore w:val="0"/>
              <w:kinsoku/>
              <w:wordWrap w:val="0"/>
              <w:overflowPunct/>
              <w:bidi w:val="0"/>
              <w:spacing w:after="0"/>
              <w:jc w:val="center"/>
              <w:textAlignment w:val="auto"/>
              <w:rPr>
                <w:rFonts w:hint="eastAsia" w:ascii="宋体" w:hAnsi="宋体" w:eastAsia="宋体" w:cs="宋体"/>
                <w:color w:val="auto"/>
                <w:sz w:val="22"/>
                <w:szCs w:val="22"/>
                <w:lang w:val="en-US" w:eastAsia="zh-CN" w:bidi="ar-SA"/>
              </w:rPr>
            </w:pPr>
          </w:p>
        </w:tc>
        <w:tc>
          <w:tcPr>
            <w:tcW w:w="3075" w:type="dxa"/>
            <w:vAlign w:val="center"/>
          </w:tcPr>
          <w:p w14:paraId="1A46A6D8">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6FD6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4" w:type="dxa"/>
            <w:vAlign w:val="center"/>
          </w:tcPr>
          <w:p w14:paraId="4506ABEA">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w:t>
            </w:r>
          </w:p>
        </w:tc>
        <w:tc>
          <w:tcPr>
            <w:tcW w:w="3121" w:type="dxa"/>
            <w:vAlign w:val="center"/>
          </w:tcPr>
          <w:p w14:paraId="4DC73F81">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其他措施项目费</w:t>
            </w:r>
          </w:p>
        </w:tc>
        <w:tc>
          <w:tcPr>
            <w:tcW w:w="2837" w:type="dxa"/>
            <w:vAlign w:val="center"/>
          </w:tcPr>
          <w:p w14:paraId="62095715">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06420177">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4B308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4" w:type="dxa"/>
            <w:vAlign w:val="center"/>
          </w:tcPr>
          <w:p w14:paraId="6F2D0CD0">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3121" w:type="dxa"/>
            <w:vAlign w:val="center"/>
          </w:tcPr>
          <w:p w14:paraId="00747503">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其他项目费</w:t>
            </w:r>
          </w:p>
        </w:tc>
        <w:tc>
          <w:tcPr>
            <w:tcW w:w="2837" w:type="dxa"/>
            <w:vAlign w:val="center"/>
          </w:tcPr>
          <w:p w14:paraId="25D07750">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66217706">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07ED7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4" w:type="dxa"/>
            <w:vAlign w:val="center"/>
          </w:tcPr>
          <w:p w14:paraId="73A0706E">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3121" w:type="dxa"/>
            <w:vAlign w:val="center"/>
          </w:tcPr>
          <w:p w14:paraId="696D5C18">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其他规费</w:t>
            </w:r>
          </w:p>
        </w:tc>
        <w:tc>
          <w:tcPr>
            <w:tcW w:w="2837" w:type="dxa"/>
            <w:vAlign w:val="center"/>
          </w:tcPr>
          <w:p w14:paraId="69DE5A44">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3D464D91">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49888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4" w:type="dxa"/>
            <w:vAlign w:val="center"/>
          </w:tcPr>
          <w:p w14:paraId="7C5157E4">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3121" w:type="dxa"/>
            <w:vAlign w:val="center"/>
          </w:tcPr>
          <w:p w14:paraId="1B503283">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税金</w:t>
            </w:r>
          </w:p>
        </w:tc>
        <w:tc>
          <w:tcPr>
            <w:tcW w:w="2837" w:type="dxa"/>
            <w:vAlign w:val="center"/>
          </w:tcPr>
          <w:p w14:paraId="66279F84">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4FD7ABA6">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3AB16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94" w:type="dxa"/>
            <w:vAlign w:val="center"/>
          </w:tcPr>
          <w:p w14:paraId="6044D556">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3121" w:type="dxa"/>
            <w:vAlign w:val="center"/>
          </w:tcPr>
          <w:p w14:paraId="3BCABC13">
            <w:pPr>
              <w:pageBreakBefore w:val="0"/>
              <w:kinsoku/>
              <w:wordWrap w:val="0"/>
              <w:overflowPunct/>
              <w:bidi w:val="0"/>
              <w:spacing w:after="0" w:line="3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其他</w:t>
            </w:r>
          </w:p>
        </w:tc>
        <w:tc>
          <w:tcPr>
            <w:tcW w:w="2837" w:type="dxa"/>
            <w:vAlign w:val="center"/>
          </w:tcPr>
          <w:p w14:paraId="12F3E92D">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564E5A8F">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227D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15" w:type="dxa"/>
            <w:gridSpan w:val="2"/>
            <w:vAlign w:val="center"/>
          </w:tcPr>
          <w:p w14:paraId="58F0BC8D">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磋商报价合计</w:t>
            </w:r>
          </w:p>
        </w:tc>
        <w:tc>
          <w:tcPr>
            <w:tcW w:w="2837" w:type="dxa"/>
            <w:vAlign w:val="center"/>
          </w:tcPr>
          <w:p w14:paraId="3E2DFA6A">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c>
          <w:tcPr>
            <w:tcW w:w="3075" w:type="dxa"/>
            <w:vAlign w:val="center"/>
          </w:tcPr>
          <w:p w14:paraId="5944A0C6">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p>
        </w:tc>
      </w:tr>
      <w:tr w14:paraId="40CC1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1" w:hRule="atLeast"/>
          <w:jc w:val="center"/>
        </w:trPr>
        <w:tc>
          <w:tcPr>
            <w:tcW w:w="9927" w:type="dxa"/>
            <w:gridSpan w:val="4"/>
            <w:vAlign w:val="center"/>
          </w:tcPr>
          <w:p w14:paraId="01D57F13">
            <w:pPr>
              <w:pageBreakBefore w:val="0"/>
              <w:kinsoku/>
              <w:wordWrap w:val="0"/>
              <w:overflowPunct/>
              <w:bidi w:val="0"/>
              <w:spacing w:after="0" w:line="32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供应商全称：</w:t>
            </w:r>
            <w:r>
              <w:rPr>
                <w:rFonts w:hint="eastAsia" w:ascii="宋体" w:hAnsi="宋体" w:eastAsia="宋体" w:cs="宋体"/>
                <w:color w:val="auto"/>
                <w:sz w:val="24"/>
                <w:szCs w:val="24"/>
                <w:u w:val="single"/>
              </w:rPr>
              <w:t xml:space="preserve">          （盖章）</w:t>
            </w:r>
          </w:p>
          <w:p w14:paraId="2E30CA82">
            <w:pPr>
              <w:pageBreakBefore w:val="0"/>
              <w:kinsoku/>
              <w:wordWrap w:val="0"/>
              <w:overflowPunct/>
              <w:bidi w:val="0"/>
              <w:spacing w:after="0" w:line="32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法定代表人或其委托人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（盖章或签字）</w:t>
            </w:r>
          </w:p>
          <w:p w14:paraId="491C741C">
            <w:pPr>
              <w:pageBreakBefore w:val="0"/>
              <w:kinsoku/>
              <w:wordWrap w:val="0"/>
              <w:overflowPunct/>
              <w:bidi w:val="0"/>
              <w:spacing w:after="0" w:line="32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tc>
      </w:tr>
    </w:tbl>
    <w:p w14:paraId="449C33A3">
      <w:pPr>
        <w:pStyle w:val="14"/>
        <w:pageBreakBefore w:val="0"/>
        <w:kinsoku/>
        <w:wordWrap w:val="0"/>
        <w:overflowPunct/>
        <w:bidi w:val="0"/>
        <w:spacing w:after="0"/>
        <w:textAlignment w:val="auto"/>
        <w:rPr>
          <w:rFonts w:hint="eastAsia" w:ascii="宋体" w:hAnsi="宋体" w:eastAsia="宋体" w:cs="宋体"/>
          <w:color w:val="auto"/>
        </w:rPr>
      </w:pPr>
      <w:r>
        <w:rPr>
          <w:rFonts w:hint="eastAsia" w:ascii="宋体" w:hAnsi="宋体" w:eastAsia="宋体" w:cs="宋体"/>
          <w:color w:val="auto"/>
          <w:sz w:val="24"/>
        </w:rPr>
        <w:t>注：此表应放在一次磋商报价一览表后（不需重复提交）。</w:t>
      </w:r>
    </w:p>
    <w:p w14:paraId="142F58C5">
      <w:pPr>
        <w:pStyle w:val="14"/>
        <w:pageBreakBefore w:val="0"/>
        <w:kinsoku/>
        <w:wordWrap w:val="0"/>
        <w:overflowPunct/>
        <w:bidi w:val="0"/>
        <w:spacing w:after="0"/>
        <w:textAlignment w:val="auto"/>
        <w:rPr>
          <w:rFonts w:hint="eastAsia" w:ascii="宋体" w:hAnsi="宋体" w:eastAsia="宋体" w:cs="宋体"/>
          <w:color w:val="auto"/>
        </w:rPr>
      </w:pPr>
    </w:p>
    <w:p w14:paraId="20E8C44B">
      <w:pPr>
        <w:pageBreakBefore w:val="0"/>
        <w:kinsoku/>
        <w:wordWrap w:val="0"/>
        <w:overflowPunct/>
        <w:bidi w:val="0"/>
        <w:spacing w:after="0"/>
        <w:textAlignment w:val="auto"/>
        <w:rPr>
          <w:rFonts w:hint="eastAsia" w:ascii="宋体" w:hAnsi="宋体" w:eastAsia="宋体" w:cs="宋体"/>
          <w:color w:val="auto"/>
        </w:rPr>
      </w:pPr>
    </w:p>
    <w:p w14:paraId="41AA890F">
      <w:pPr>
        <w:pStyle w:val="35"/>
        <w:pageBreakBefore w:val="0"/>
        <w:kinsoku/>
        <w:wordWrap w:val="0"/>
        <w:overflowPunct/>
        <w:bidi w:val="0"/>
        <w:spacing w:after="0"/>
        <w:textAlignment w:val="auto"/>
        <w:rPr>
          <w:rFonts w:hint="eastAsia" w:ascii="宋体" w:hAnsi="宋体" w:eastAsia="宋体" w:cs="宋体"/>
          <w:color w:val="auto"/>
        </w:rPr>
      </w:pPr>
    </w:p>
    <w:p w14:paraId="50A94F4C">
      <w:pPr>
        <w:pageBreakBefore w:val="0"/>
        <w:kinsoku/>
        <w:wordWrap w:val="0"/>
        <w:overflowPunct/>
        <w:bidi w:val="0"/>
        <w:spacing w:after="0" w:line="320" w:lineRule="exact"/>
        <w:jc w:val="center"/>
        <w:textAlignment w:val="auto"/>
        <w:rPr>
          <w:rFonts w:hint="eastAsia" w:ascii="宋体" w:hAnsi="宋体" w:eastAsia="宋体" w:cs="宋体"/>
          <w:b/>
          <w:color w:val="auto"/>
          <w:sz w:val="24"/>
          <w:szCs w:val="24"/>
        </w:rPr>
      </w:pPr>
    </w:p>
    <w:p w14:paraId="6DEB8367">
      <w:pPr>
        <w:pageBreakBefore w:val="0"/>
        <w:kinsoku/>
        <w:wordWrap w:val="0"/>
        <w:overflowPunct/>
        <w:bidi w:val="0"/>
        <w:spacing w:after="0" w:line="320" w:lineRule="exact"/>
        <w:jc w:val="center"/>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㈢最终磋商报价一览表</w:t>
      </w:r>
    </w:p>
    <w:p w14:paraId="7DDE7D63">
      <w:pPr>
        <w:pageBreakBefore w:val="0"/>
        <w:kinsoku/>
        <w:wordWrap w:val="0"/>
        <w:overflowPunct/>
        <w:bidi w:val="0"/>
        <w:spacing w:after="0" w:line="0" w:lineRule="atLeast"/>
        <w:textAlignment w:val="auto"/>
        <w:rPr>
          <w:rFonts w:hint="eastAsia" w:ascii="宋体" w:hAnsi="宋体" w:eastAsia="宋体" w:cs="宋体"/>
          <w:bCs/>
          <w:color w:val="auto"/>
          <w:kern w:val="2"/>
          <w:sz w:val="24"/>
          <w:szCs w:val="24"/>
          <w:lang w:eastAsia="zh-CN"/>
        </w:rPr>
      </w:pPr>
      <w:r>
        <w:rPr>
          <w:rFonts w:hint="eastAsia" w:ascii="宋体" w:hAnsi="宋体" w:eastAsia="宋体" w:cs="宋体"/>
          <w:bCs/>
          <w:color w:val="auto"/>
          <w:sz w:val="24"/>
          <w:szCs w:val="24"/>
        </w:rPr>
        <w:t>项目名称：</w:t>
      </w:r>
      <w:r>
        <w:rPr>
          <w:rFonts w:hint="eastAsia" w:ascii="宋体" w:hAnsi="宋体" w:eastAsia="宋体" w:cs="宋体"/>
          <w:bCs/>
          <w:color w:val="auto"/>
          <w:kern w:val="2"/>
          <w:sz w:val="24"/>
          <w:szCs w:val="24"/>
          <w:lang w:eastAsia="zh-CN"/>
        </w:rPr>
        <w:t>开远市中和营镇红薯分拣愈合中心配套附属设施及屋顶光伏自纳降本（余电上网）建设项目</w:t>
      </w:r>
    </w:p>
    <w:p w14:paraId="10B9417B">
      <w:pPr>
        <w:pageBreakBefore w:val="0"/>
        <w:kinsoku/>
        <w:wordWrap w:val="0"/>
        <w:overflowPunct/>
        <w:bidi w:val="0"/>
        <w:spacing w:after="0" w:line="0" w:lineRule="atLeast"/>
        <w:textAlignment w:val="auto"/>
        <w:rPr>
          <w:rFonts w:hint="eastAsia" w:ascii="宋体" w:hAnsi="宋体" w:eastAsia="宋体" w:cs="宋体"/>
          <w:bCs/>
          <w:color w:val="auto"/>
          <w:szCs w:val="21"/>
          <w:lang w:val="en-US" w:eastAsia="zh-CN"/>
        </w:rPr>
      </w:pPr>
      <w:r>
        <w:rPr>
          <w:rFonts w:hint="eastAsia" w:ascii="宋体" w:hAnsi="宋体" w:eastAsia="宋体" w:cs="宋体"/>
          <w:bCs/>
          <w:color w:val="auto"/>
          <w:sz w:val="24"/>
          <w:szCs w:val="24"/>
        </w:rPr>
        <w:t>项目编号：</w:t>
      </w:r>
      <w:r>
        <w:rPr>
          <w:rFonts w:hint="eastAsia" w:ascii="宋体" w:hAnsi="宋体" w:eastAsia="宋体" w:cs="宋体"/>
          <w:bCs/>
          <w:color w:val="auto"/>
          <w:kern w:val="2"/>
          <w:sz w:val="24"/>
          <w:szCs w:val="24"/>
          <w:lang w:eastAsia="zh-CN"/>
        </w:rPr>
        <w:t>HHSYZBZX-CG20250313</w:t>
      </w:r>
    </w:p>
    <w:tbl>
      <w:tblPr>
        <w:tblStyle w:val="62"/>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2268"/>
        <w:gridCol w:w="6765"/>
      </w:tblGrid>
      <w:tr w14:paraId="3E0D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94" w:type="dxa"/>
            <w:vAlign w:val="center"/>
          </w:tcPr>
          <w:p w14:paraId="01176D67">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序号</w:t>
            </w:r>
          </w:p>
        </w:tc>
        <w:tc>
          <w:tcPr>
            <w:tcW w:w="2268" w:type="dxa"/>
            <w:vAlign w:val="center"/>
          </w:tcPr>
          <w:p w14:paraId="059C5990">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项   目</w:t>
            </w:r>
          </w:p>
        </w:tc>
        <w:tc>
          <w:tcPr>
            <w:tcW w:w="6765" w:type="dxa"/>
            <w:vAlign w:val="center"/>
          </w:tcPr>
          <w:p w14:paraId="0502001B">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内  容</w:t>
            </w:r>
          </w:p>
        </w:tc>
      </w:tr>
      <w:tr w14:paraId="515E7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894" w:type="dxa"/>
            <w:vAlign w:val="center"/>
          </w:tcPr>
          <w:p w14:paraId="5BC9DE5E">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1</w:t>
            </w:r>
          </w:p>
        </w:tc>
        <w:tc>
          <w:tcPr>
            <w:tcW w:w="2268" w:type="dxa"/>
            <w:vAlign w:val="center"/>
          </w:tcPr>
          <w:p w14:paraId="2733CFCE">
            <w:pPr>
              <w:pageBreakBefore w:val="0"/>
              <w:kinsoku/>
              <w:wordWrap w:val="0"/>
              <w:overflowPunct/>
              <w:bidi w:val="0"/>
              <w:spacing w:after="0"/>
              <w:jc w:val="center"/>
              <w:textAlignment w:val="auto"/>
              <w:rPr>
                <w:rFonts w:hint="eastAsia" w:ascii="宋体" w:hAnsi="宋体" w:eastAsia="宋体" w:cs="宋体"/>
                <w:color w:val="auto"/>
                <w:szCs w:val="21"/>
                <w:lang w:eastAsia="zh-CN"/>
              </w:rPr>
            </w:pPr>
            <w:r>
              <w:rPr>
                <w:rFonts w:hint="eastAsia" w:ascii="宋体" w:hAnsi="宋体" w:eastAsia="宋体" w:cs="宋体"/>
                <w:color w:val="auto"/>
                <w:szCs w:val="21"/>
              </w:rPr>
              <w:t>最终磋商报价</w:t>
            </w:r>
          </w:p>
        </w:tc>
        <w:tc>
          <w:tcPr>
            <w:tcW w:w="6765" w:type="dxa"/>
            <w:vAlign w:val="center"/>
          </w:tcPr>
          <w:p w14:paraId="0D82B310">
            <w:pPr>
              <w:pageBreakBefore w:val="0"/>
              <w:kinsoku/>
              <w:wordWrap w:val="0"/>
              <w:overflowPunct/>
              <w:bidi w:val="0"/>
              <w:spacing w:after="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按第一次报价下浮</w:t>
            </w:r>
            <w:r>
              <w:rPr>
                <w:rFonts w:hint="eastAsia" w:ascii="宋体" w:hAnsi="宋体" w:eastAsia="宋体" w:cs="宋体"/>
                <w:color w:val="auto"/>
                <w:u w:val="single"/>
                <w:lang w:val="en-US" w:eastAsia="zh-CN"/>
              </w:rPr>
              <w:t xml:space="preserve">      </w:t>
            </w:r>
            <w:r>
              <w:rPr>
                <w:rFonts w:hint="eastAsia" w:ascii="宋体" w:hAnsi="宋体" w:eastAsia="宋体" w:cs="宋体"/>
                <w:color w:val="auto"/>
                <w:lang w:val="en-US" w:eastAsia="zh-CN"/>
              </w:rPr>
              <w:t xml:space="preserve"> %</w:t>
            </w:r>
          </w:p>
          <w:p w14:paraId="3FE5F03C">
            <w:pPr>
              <w:pageBreakBefore w:val="0"/>
              <w:kinsoku/>
              <w:wordWrap w:val="0"/>
              <w:overflowPunct/>
              <w:bidi w:val="0"/>
              <w:spacing w:after="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优惠后的总报价（单位：元）为：</w:t>
            </w:r>
          </w:p>
          <w:p w14:paraId="6190F80A">
            <w:pPr>
              <w:pageBreakBefore w:val="0"/>
              <w:kinsoku/>
              <w:wordWrap w:val="0"/>
              <w:overflowPunct/>
              <w:bidi w:val="0"/>
              <w:spacing w:after="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大写：</w:t>
            </w:r>
            <w:r>
              <w:rPr>
                <w:rFonts w:hint="eastAsia" w:ascii="宋体" w:hAnsi="宋体" w:eastAsia="宋体" w:cs="宋体"/>
                <w:color w:val="auto"/>
                <w:u w:val="single"/>
                <w:lang w:val="en-US" w:eastAsia="zh-CN"/>
              </w:rPr>
              <w:t xml:space="preserve">             </w:t>
            </w:r>
            <w:r>
              <w:rPr>
                <w:rFonts w:hint="eastAsia" w:ascii="宋体" w:hAnsi="宋体" w:eastAsia="宋体" w:cs="宋体"/>
                <w:color w:val="auto"/>
                <w:lang w:val="en-US" w:eastAsia="zh-CN"/>
              </w:rPr>
              <w:t xml:space="preserve">            </w:t>
            </w:r>
          </w:p>
          <w:p w14:paraId="00096D98">
            <w:pPr>
              <w:pageBreakBefore w:val="0"/>
              <w:kinsoku/>
              <w:wordWrap w:val="0"/>
              <w:overflowPunct/>
              <w:bidi w:val="0"/>
              <w:spacing w:after="0"/>
              <w:jc w:val="lef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小写：</w:t>
            </w:r>
            <w:r>
              <w:rPr>
                <w:rFonts w:hint="eastAsia" w:ascii="宋体" w:hAnsi="宋体" w:eastAsia="宋体" w:cs="宋体"/>
                <w:color w:val="auto"/>
                <w:u w:val="single"/>
                <w:lang w:val="en-US" w:eastAsia="zh-CN"/>
              </w:rPr>
              <w:t xml:space="preserve">             </w:t>
            </w:r>
          </w:p>
        </w:tc>
      </w:tr>
      <w:tr w14:paraId="12EC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jc w:val="center"/>
        </w:trPr>
        <w:tc>
          <w:tcPr>
            <w:tcW w:w="894" w:type="dxa"/>
            <w:vAlign w:val="center"/>
          </w:tcPr>
          <w:p w14:paraId="37F0A5FC">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2</w:t>
            </w:r>
          </w:p>
        </w:tc>
        <w:tc>
          <w:tcPr>
            <w:tcW w:w="2268" w:type="dxa"/>
            <w:vAlign w:val="center"/>
          </w:tcPr>
          <w:p w14:paraId="13042A1F">
            <w:pPr>
              <w:pageBreakBefore w:val="0"/>
              <w:kinsoku/>
              <w:wordWrap w:val="0"/>
              <w:overflowPunct/>
              <w:bidi w:val="0"/>
              <w:spacing w:after="0"/>
              <w:jc w:val="center"/>
              <w:textAlignment w:val="auto"/>
              <w:rPr>
                <w:rFonts w:hint="eastAsia" w:ascii="宋体" w:hAnsi="宋体" w:eastAsia="宋体" w:cs="宋体"/>
                <w:color w:val="auto"/>
                <w:szCs w:val="21"/>
              </w:rPr>
            </w:pPr>
            <w:r>
              <w:rPr>
                <w:rFonts w:hint="eastAsia" w:ascii="宋体" w:hAnsi="宋体" w:eastAsia="宋体" w:cs="宋体"/>
                <w:color w:val="auto"/>
                <w:szCs w:val="21"/>
              </w:rPr>
              <w:t>说       明</w:t>
            </w:r>
          </w:p>
        </w:tc>
        <w:tc>
          <w:tcPr>
            <w:tcW w:w="6765" w:type="dxa"/>
            <w:vAlign w:val="center"/>
          </w:tcPr>
          <w:p w14:paraId="54DCDA19">
            <w:pPr>
              <w:pageBreakBefore w:val="0"/>
              <w:kinsoku/>
              <w:wordWrap w:val="0"/>
              <w:overflowPunct/>
              <w:bidi w:val="0"/>
              <w:spacing w:after="0"/>
              <w:jc w:val="center"/>
              <w:textAlignment w:val="auto"/>
              <w:rPr>
                <w:rFonts w:hint="eastAsia" w:ascii="宋体" w:hAnsi="宋体" w:eastAsia="宋体" w:cs="宋体"/>
                <w:color w:val="auto"/>
                <w:szCs w:val="21"/>
              </w:rPr>
            </w:pPr>
          </w:p>
        </w:tc>
      </w:tr>
      <w:tr w14:paraId="3008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7" w:hRule="atLeast"/>
          <w:jc w:val="center"/>
        </w:trPr>
        <w:tc>
          <w:tcPr>
            <w:tcW w:w="9927" w:type="dxa"/>
            <w:gridSpan w:val="3"/>
            <w:vAlign w:val="center"/>
          </w:tcPr>
          <w:p w14:paraId="1AD12399">
            <w:pPr>
              <w:pageBreakBefore w:val="0"/>
              <w:kinsoku/>
              <w:wordWrap w:val="0"/>
              <w:overflowPunct/>
              <w:bidi w:val="0"/>
              <w:spacing w:after="0" w:line="32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供应商全称：</w:t>
            </w:r>
            <w:r>
              <w:rPr>
                <w:rFonts w:hint="eastAsia" w:ascii="宋体" w:hAnsi="宋体" w:eastAsia="宋体" w:cs="宋体"/>
                <w:color w:val="auto"/>
                <w:sz w:val="24"/>
                <w:szCs w:val="24"/>
                <w:u w:val="single"/>
              </w:rPr>
              <w:t xml:space="preserve">          （盖章）</w:t>
            </w:r>
          </w:p>
          <w:p w14:paraId="20D841DF">
            <w:pPr>
              <w:pageBreakBefore w:val="0"/>
              <w:kinsoku/>
              <w:wordWrap w:val="0"/>
              <w:overflowPunct/>
              <w:bidi w:val="0"/>
              <w:spacing w:after="0" w:line="360" w:lineRule="auto"/>
              <w:jc w:val="both"/>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法定代表人或其委托人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（盖章或签字）</w:t>
            </w:r>
          </w:p>
          <w:p w14:paraId="1CABDD03">
            <w:pPr>
              <w:pageBreakBefore w:val="0"/>
              <w:kinsoku/>
              <w:wordWrap w:val="0"/>
              <w:overflowPunct/>
              <w:bidi w:val="0"/>
              <w:spacing w:after="0" w:line="360" w:lineRule="auto"/>
              <w:jc w:val="right"/>
              <w:textAlignment w:val="auto"/>
              <w:rPr>
                <w:rFonts w:hint="eastAsia" w:ascii="宋体" w:hAnsi="宋体" w:eastAsia="宋体" w:cs="宋体"/>
                <w:color w:val="auto"/>
                <w:szCs w:val="21"/>
              </w:rPr>
            </w:pPr>
            <w:r>
              <w:rPr>
                <w:rFonts w:hint="eastAsia" w:ascii="宋体" w:hAnsi="宋体" w:eastAsia="宋体" w:cs="宋体"/>
                <w:color w:val="auto"/>
                <w:szCs w:val="21"/>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Cs w:val="21"/>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Cs w:val="21"/>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Cs w:val="21"/>
              </w:rPr>
              <w:t>日</w:t>
            </w:r>
          </w:p>
        </w:tc>
      </w:tr>
    </w:tbl>
    <w:p w14:paraId="1118C19A">
      <w:pPr>
        <w:pageBreakBefore w:val="0"/>
        <w:kinsoku/>
        <w:wordWrap w:val="0"/>
        <w:overflowPunct/>
        <w:bidi w:val="0"/>
        <w:spacing w:after="0" w:line="0" w:lineRule="atLeast"/>
        <w:textAlignment w:val="auto"/>
        <w:rPr>
          <w:rFonts w:hint="eastAsia" w:ascii="宋体" w:hAnsi="宋体" w:eastAsia="宋体" w:cs="宋体"/>
          <w:color w:val="auto"/>
          <w:szCs w:val="21"/>
        </w:rPr>
      </w:pPr>
      <w:r>
        <w:rPr>
          <w:rFonts w:hint="eastAsia" w:ascii="宋体" w:hAnsi="宋体" w:eastAsia="宋体" w:cs="宋体"/>
          <w:color w:val="auto"/>
          <w:szCs w:val="21"/>
        </w:rPr>
        <w:t>注：1、此表磋商申请人应放在一次磋商报价表后第一页。</w:t>
      </w:r>
    </w:p>
    <w:p w14:paraId="654BCBE2">
      <w:pPr>
        <w:pageBreakBefore w:val="0"/>
        <w:kinsoku/>
        <w:wordWrap w:val="0"/>
        <w:overflowPunct/>
        <w:bidi w:val="0"/>
        <w:spacing w:after="0" w:line="0" w:lineRule="atLeast"/>
        <w:ind w:firstLine="440" w:firstLineChars="200"/>
        <w:textAlignment w:val="auto"/>
        <w:rPr>
          <w:rFonts w:hint="eastAsia" w:ascii="宋体" w:hAnsi="宋体" w:eastAsia="宋体" w:cs="宋体"/>
          <w:b/>
          <w:bCs/>
          <w:color w:val="auto"/>
          <w:szCs w:val="21"/>
        </w:rPr>
      </w:pPr>
      <w:r>
        <w:rPr>
          <w:rFonts w:hint="eastAsia" w:ascii="宋体" w:hAnsi="宋体" w:eastAsia="宋体" w:cs="宋体"/>
          <w:color w:val="auto"/>
          <w:szCs w:val="21"/>
        </w:rPr>
        <w:t>2、磋商报价方式：</w:t>
      </w:r>
      <w:r>
        <w:rPr>
          <w:rFonts w:hint="eastAsia" w:ascii="宋体" w:hAnsi="宋体" w:eastAsia="宋体" w:cs="宋体"/>
          <w:b/>
          <w:bCs/>
          <w:color w:val="auto"/>
          <w:szCs w:val="21"/>
        </w:rPr>
        <w:t>采用</w:t>
      </w:r>
      <w:r>
        <w:rPr>
          <w:rFonts w:hint="eastAsia" w:ascii="宋体" w:hAnsi="宋体" w:eastAsia="宋体" w:cs="宋体"/>
          <w:b/>
          <w:bCs/>
          <w:color w:val="auto"/>
          <w:szCs w:val="21"/>
          <w:lang w:val="en-US" w:eastAsia="zh-CN"/>
        </w:rPr>
        <w:t>优惠率</w:t>
      </w:r>
      <w:r>
        <w:rPr>
          <w:rFonts w:hint="eastAsia" w:ascii="宋体" w:hAnsi="宋体" w:eastAsia="宋体" w:cs="宋体"/>
          <w:b/>
          <w:bCs/>
          <w:color w:val="auto"/>
          <w:szCs w:val="21"/>
        </w:rPr>
        <w:t>的方式</w:t>
      </w:r>
      <w:r>
        <w:rPr>
          <w:rFonts w:hint="eastAsia" w:ascii="宋体" w:hAnsi="宋体" w:eastAsia="宋体" w:cs="宋体"/>
          <w:b/>
          <w:bCs/>
          <w:color w:val="auto"/>
          <w:szCs w:val="21"/>
          <w:lang w:val="en-US" w:eastAsia="zh-CN"/>
        </w:rPr>
        <w:t>在第一次报价基础上</w:t>
      </w:r>
      <w:r>
        <w:rPr>
          <w:rFonts w:hint="eastAsia" w:ascii="宋体" w:hAnsi="宋体" w:eastAsia="宋体" w:cs="宋体"/>
          <w:b/>
          <w:bCs/>
          <w:color w:val="auto"/>
          <w:szCs w:val="21"/>
        </w:rPr>
        <w:t>进行</w:t>
      </w:r>
      <w:r>
        <w:rPr>
          <w:rFonts w:hint="eastAsia" w:ascii="宋体" w:hAnsi="宋体" w:eastAsia="宋体" w:cs="宋体"/>
          <w:b/>
          <w:bCs/>
          <w:color w:val="auto"/>
          <w:szCs w:val="21"/>
          <w:lang w:val="en-US" w:eastAsia="zh-CN"/>
        </w:rPr>
        <w:t>二次</w:t>
      </w:r>
      <w:r>
        <w:rPr>
          <w:rFonts w:hint="eastAsia" w:ascii="宋体" w:hAnsi="宋体" w:eastAsia="宋体" w:cs="宋体"/>
          <w:b/>
          <w:bCs/>
          <w:color w:val="auto"/>
          <w:szCs w:val="21"/>
        </w:rPr>
        <w:t>报价；</w:t>
      </w:r>
    </w:p>
    <w:p w14:paraId="70E698E5">
      <w:pPr>
        <w:pageBreakBefore w:val="0"/>
        <w:kinsoku/>
        <w:wordWrap w:val="0"/>
        <w:overflowPunct/>
        <w:bidi w:val="0"/>
        <w:spacing w:after="0" w:line="0" w:lineRule="atLeast"/>
        <w:ind w:firstLine="440" w:firstLineChars="200"/>
        <w:textAlignment w:val="auto"/>
        <w:rPr>
          <w:rFonts w:hint="eastAsia"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b/>
          <w:color w:val="auto"/>
          <w:szCs w:val="21"/>
        </w:rPr>
        <w:t>最终报价由法定代表人或其委托代理人在</w:t>
      </w:r>
      <w:r>
        <w:rPr>
          <w:rFonts w:hint="eastAsia" w:ascii="宋体" w:hAnsi="宋体" w:eastAsia="宋体" w:cs="宋体"/>
          <w:b/>
          <w:bCs w:val="0"/>
          <w:color w:val="auto"/>
          <w:szCs w:val="21"/>
        </w:rPr>
        <w:t>“政府采购云平台”（https://www.zcygov.cn/</w:t>
      </w:r>
      <w:r>
        <w:rPr>
          <w:rFonts w:hint="eastAsia" w:ascii="宋体" w:hAnsi="宋体" w:eastAsia="宋体" w:cs="宋体"/>
          <w:b/>
          <w:bCs w:val="0"/>
          <w:color w:val="auto"/>
          <w:szCs w:val="21"/>
          <w:lang w:eastAsia="zh-CN"/>
        </w:rPr>
        <w:t>）</w:t>
      </w:r>
      <w:r>
        <w:rPr>
          <w:rFonts w:hint="eastAsia" w:ascii="宋体" w:hAnsi="宋体" w:eastAsia="宋体" w:cs="宋体"/>
          <w:b/>
          <w:color w:val="auto"/>
          <w:szCs w:val="21"/>
        </w:rPr>
        <w:t>填报。</w:t>
      </w:r>
      <w:r>
        <w:rPr>
          <w:rFonts w:hint="eastAsia" w:ascii="宋体" w:hAnsi="宋体" w:eastAsia="宋体" w:cs="宋体"/>
          <w:color w:val="auto"/>
          <w:szCs w:val="21"/>
        </w:rPr>
        <w:t>磋商报价高于预算金额时，为废标。最终报价不得高于第一次报价，否则视为无效报价；采购人不承诺最低价成交。</w:t>
      </w:r>
    </w:p>
    <w:p w14:paraId="038D88D7">
      <w:pPr>
        <w:pageBreakBefore w:val="0"/>
        <w:kinsoku/>
        <w:wordWrap w:val="0"/>
        <w:overflowPunct/>
        <w:bidi w:val="0"/>
        <w:spacing w:after="0" w:line="320" w:lineRule="exact"/>
        <w:jc w:val="center"/>
        <w:textAlignment w:val="auto"/>
        <w:rPr>
          <w:rFonts w:hint="eastAsia" w:ascii="宋体" w:hAnsi="宋体" w:eastAsia="宋体" w:cs="宋体"/>
          <w:b/>
          <w:color w:val="auto"/>
          <w:sz w:val="24"/>
          <w:szCs w:val="24"/>
          <w:highlight w:val="none"/>
        </w:rPr>
      </w:pPr>
    </w:p>
    <w:bookmarkEnd w:id="787"/>
    <w:bookmarkEnd w:id="788"/>
    <w:bookmarkEnd w:id="789"/>
    <w:bookmarkEnd w:id="790"/>
    <w:p w14:paraId="7E4F235A">
      <w:pPr>
        <w:pageBreakBefore w:val="0"/>
        <w:kinsoku/>
        <w:wordWrap w:val="0"/>
        <w:overflowPunct/>
        <w:bidi w:val="0"/>
        <w:spacing w:after="0" w:line="320" w:lineRule="exact"/>
        <w:ind w:firstLine="480" w:firstLineChars="200"/>
        <w:textAlignment w:val="auto"/>
        <w:rPr>
          <w:rFonts w:hint="eastAsia" w:ascii="宋体" w:hAnsi="宋体" w:eastAsia="宋体" w:cs="宋体"/>
          <w:color w:val="auto"/>
          <w:sz w:val="24"/>
          <w:highlight w:val="none"/>
        </w:rPr>
      </w:pPr>
      <w:bookmarkStart w:id="791" w:name="_Toc470531298"/>
    </w:p>
    <w:p w14:paraId="3257AC50">
      <w:pPr>
        <w:pageBreakBefore w:val="0"/>
        <w:kinsoku/>
        <w:wordWrap w:val="0"/>
        <w:overflowPunct/>
        <w:bidi w:val="0"/>
        <w:spacing w:after="0"/>
        <w:textAlignment w:val="auto"/>
        <w:rPr>
          <w:rFonts w:hint="eastAsia" w:ascii="宋体" w:hAnsi="宋体" w:eastAsia="宋体" w:cs="宋体"/>
          <w:color w:val="auto"/>
          <w:sz w:val="28"/>
          <w:szCs w:val="28"/>
          <w:highlight w:val="none"/>
        </w:rPr>
      </w:pPr>
      <w:bookmarkStart w:id="792" w:name="_Toc531966067"/>
    </w:p>
    <w:bookmarkEnd w:id="791"/>
    <w:bookmarkEnd w:id="792"/>
    <w:p w14:paraId="4BFC7C60">
      <w:pPr>
        <w:pageBreakBefore w:val="0"/>
        <w:kinsoku/>
        <w:wordWrap w:val="0"/>
        <w:overflowPunct/>
        <w:bidi w:val="0"/>
        <w:spacing w:after="0"/>
        <w:textAlignment w:val="auto"/>
        <w:rPr>
          <w:rFonts w:hint="eastAsia" w:ascii="宋体" w:hAnsi="宋体" w:eastAsia="宋体" w:cs="宋体"/>
          <w:color w:val="auto"/>
          <w:sz w:val="28"/>
          <w:szCs w:val="28"/>
          <w:highlight w:val="none"/>
        </w:rPr>
      </w:pPr>
    </w:p>
    <w:p w14:paraId="5142923E">
      <w:pPr>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6F0B2DC9">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3B6BEF1C">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11CFB3CC">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2069BA19">
      <w:pPr>
        <w:pStyle w:val="61"/>
        <w:pageBreakBefore w:val="0"/>
        <w:kinsoku/>
        <w:wordWrap w:val="0"/>
        <w:overflowPunct/>
        <w:bidi w:val="0"/>
        <w:spacing w:after="0"/>
        <w:ind w:firstLine="0" w:firstLineChars="0"/>
        <w:textAlignment w:val="auto"/>
        <w:rPr>
          <w:rFonts w:hint="eastAsia" w:ascii="宋体" w:hAnsi="宋体" w:eastAsia="宋体" w:cs="宋体"/>
          <w:color w:val="auto"/>
          <w:highlight w:val="none"/>
        </w:rPr>
      </w:pPr>
    </w:p>
    <w:p w14:paraId="5ED648DD">
      <w:pPr>
        <w:pStyle w:val="61"/>
        <w:pageBreakBefore w:val="0"/>
        <w:kinsoku/>
        <w:wordWrap w:val="0"/>
        <w:overflowPunct/>
        <w:bidi w:val="0"/>
        <w:spacing w:after="0"/>
        <w:ind w:firstLine="0" w:firstLineChars="0"/>
        <w:textAlignment w:val="auto"/>
        <w:rPr>
          <w:rFonts w:hint="eastAsia" w:ascii="宋体" w:hAnsi="宋体" w:eastAsia="宋体" w:cs="宋体"/>
          <w:color w:val="auto"/>
          <w:highlight w:val="none"/>
        </w:rPr>
      </w:pPr>
    </w:p>
    <w:p w14:paraId="78FE3E7C">
      <w:pPr>
        <w:pageBreakBefore w:val="0"/>
        <w:kinsoku/>
        <w:wordWrap w:val="0"/>
        <w:overflowPunct/>
        <w:bidi w:val="0"/>
        <w:spacing w:after="0" w:line="440" w:lineRule="exact"/>
        <w:jc w:val="center"/>
        <w:textAlignment w:val="auto"/>
        <w:rPr>
          <w:rFonts w:hint="eastAsia" w:ascii="宋体" w:hAnsi="宋体" w:eastAsia="宋体" w:cs="宋体"/>
          <w:b/>
          <w:bCs/>
          <w:color w:val="auto"/>
          <w:sz w:val="28"/>
          <w:szCs w:val="28"/>
          <w:highlight w:val="none"/>
        </w:rPr>
      </w:pPr>
    </w:p>
    <w:p w14:paraId="7B765202">
      <w:pPr>
        <w:pStyle w:val="35"/>
        <w:rPr>
          <w:rFonts w:hint="eastAsia"/>
          <w:color w:val="auto"/>
        </w:rPr>
      </w:pPr>
    </w:p>
    <w:p w14:paraId="375F0A44">
      <w:pPr>
        <w:pageBreakBefore w:val="0"/>
        <w:kinsoku/>
        <w:wordWrap w:val="0"/>
        <w:overflowPunct/>
        <w:bidi w:val="0"/>
        <w:spacing w:after="0"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rPr>
        <w:t>三、法定代表人身份证明书</w:t>
      </w:r>
    </w:p>
    <w:p w14:paraId="787FB7DC">
      <w:pPr>
        <w:pageBreakBefore w:val="0"/>
        <w:kinsoku/>
        <w:wordWrap w:val="0"/>
        <w:overflowPunct/>
        <w:bidi w:val="0"/>
        <w:spacing w:after="0" w:line="44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p>
    <w:p w14:paraId="7A47D803">
      <w:pPr>
        <w:pageBreakBefore w:val="0"/>
        <w:kinsoku/>
        <w:wordWrap w:val="0"/>
        <w:overflowPunct/>
        <w:bidi w:val="0"/>
        <w:spacing w:after="0" w:line="44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44C0C722">
      <w:pPr>
        <w:pageBreakBefore w:val="0"/>
        <w:kinsoku/>
        <w:wordWrap w:val="0"/>
        <w:overflowPunct/>
        <w:bidi w:val="0"/>
        <w:spacing w:after="0" w:line="44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14:paraId="34F37C20">
      <w:pPr>
        <w:pageBreakBefore w:val="0"/>
        <w:kinsoku/>
        <w:wordWrap w:val="0"/>
        <w:overflowPunct/>
        <w:bidi w:val="0"/>
        <w:spacing w:after="0"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59C7023">
      <w:pPr>
        <w:pageBreakBefore w:val="0"/>
        <w:kinsoku/>
        <w:wordWrap w:val="0"/>
        <w:overflowPunct/>
        <w:bidi w:val="0"/>
        <w:spacing w:after="0" w:line="44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1C10C118">
      <w:pPr>
        <w:pageBreakBefore w:val="0"/>
        <w:kinsoku/>
        <w:wordWrap w:val="0"/>
        <w:overflowPunct/>
        <w:bidi w:val="0"/>
        <w:spacing w:after="0" w:line="44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39D84F9">
      <w:pPr>
        <w:pageBreakBefore w:val="0"/>
        <w:kinsoku/>
        <w:wordWrap w:val="0"/>
        <w:overflowPunct/>
        <w:bidi w:val="0"/>
        <w:spacing w:after="0"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（供应商全称）            </w:t>
      </w:r>
      <w:r>
        <w:rPr>
          <w:rFonts w:hint="eastAsia" w:ascii="宋体" w:hAnsi="宋体" w:eastAsia="宋体" w:cs="宋体"/>
          <w:color w:val="auto"/>
          <w:sz w:val="24"/>
          <w:szCs w:val="24"/>
          <w:highlight w:val="none"/>
        </w:rPr>
        <w:t>的法定代表人。</w:t>
      </w:r>
    </w:p>
    <w:p w14:paraId="446A6EFA">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29789CC0">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附法定代表人身份证复印件</w:t>
      </w:r>
    </w:p>
    <w:tbl>
      <w:tblPr>
        <w:tblStyle w:val="62"/>
        <w:tblW w:w="77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798"/>
      </w:tblGrid>
      <w:tr w14:paraId="669602D4">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324" w:hRule="atLeast"/>
          <w:jc w:val="center"/>
        </w:trPr>
        <w:tc>
          <w:tcPr>
            <w:tcW w:w="7798" w:type="dxa"/>
          </w:tcPr>
          <w:p w14:paraId="0249F9D1">
            <w:pPr>
              <w:pStyle w:val="55"/>
              <w:pageBreakBefore w:val="0"/>
              <w:kinsoku/>
              <w:wordWrap w:val="0"/>
              <w:overflowPunct/>
              <w:bidi w:val="0"/>
              <w:adjustRightInd w:val="0"/>
              <w:snapToGrid w:val="0"/>
              <w:spacing w:before="0" w:beforeAutospacing="0" w:after="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法定代表人身份证复印件（“居民身份证国徽”面）：</w:t>
            </w:r>
          </w:p>
        </w:tc>
      </w:tr>
      <w:tr w14:paraId="130E9808">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PrEx>
        <w:trPr>
          <w:trHeight w:val="2324" w:hRule="atLeast"/>
          <w:jc w:val="center"/>
        </w:trPr>
        <w:tc>
          <w:tcPr>
            <w:tcW w:w="7798" w:type="dxa"/>
          </w:tcPr>
          <w:p w14:paraId="64B83145">
            <w:pPr>
              <w:pStyle w:val="55"/>
              <w:pageBreakBefore w:val="0"/>
              <w:kinsoku/>
              <w:wordWrap w:val="0"/>
              <w:overflowPunct/>
              <w:bidi w:val="0"/>
              <w:adjustRightInd w:val="0"/>
              <w:snapToGrid w:val="0"/>
              <w:spacing w:before="0" w:beforeAutospacing="0" w:after="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法定代表人身份证复印件（“居民身份证号码”面）：</w:t>
            </w:r>
          </w:p>
        </w:tc>
      </w:tr>
    </w:tbl>
    <w:p w14:paraId="2F889D11">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p>
    <w:p w14:paraId="0571DCC3">
      <w:pPr>
        <w:pageBreakBefore w:val="0"/>
        <w:kinsoku/>
        <w:wordWrap w:val="0"/>
        <w:overflowPunct/>
        <w:bidi w:val="0"/>
        <w:spacing w:after="0" w:line="360" w:lineRule="auto"/>
        <w:ind w:firstLine="3840" w:firstLineChars="16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（全称）        （盖单位章）</w:t>
      </w:r>
    </w:p>
    <w:p w14:paraId="22DBF510">
      <w:pPr>
        <w:pageBreakBefore w:val="0"/>
        <w:kinsoku/>
        <w:wordWrap w:val="0"/>
        <w:overflowPunct/>
        <w:bidi w:val="0"/>
        <w:spacing w:after="0" w:line="360" w:lineRule="auto"/>
        <w:ind w:firstLine="6480" w:firstLineChars="2700"/>
        <w:textAlignment w:val="auto"/>
        <w:rPr>
          <w:rFonts w:hint="eastAsia" w:ascii="宋体" w:hAnsi="宋体" w:eastAsia="宋体" w:cs="宋体"/>
          <w:color w:val="auto"/>
          <w:sz w:val="24"/>
          <w:szCs w:val="24"/>
          <w:highlight w:val="none"/>
          <w:u w:val="single"/>
        </w:rPr>
      </w:pPr>
    </w:p>
    <w:p w14:paraId="762701E2">
      <w:pPr>
        <w:pageBreakBefore w:val="0"/>
        <w:kinsoku/>
        <w:wordWrap w:val="0"/>
        <w:overflowPunct/>
        <w:bidi w:val="0"/>
        <w:spacing w:after="0" w:line="360" w:lineRule="auto"/>
        <w:ind w:firstLine="6480" w:firstLineChars="27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bookmarkStart w:id="793" w:name="_Toc531966068"/>
      <w:bookmarkStart w:id="794" w:name="_Toc470531299"/>
    </w:p>
    <w:p w14:paraId="731D9A7F">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2811AF89">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197112E1">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52EBAC6A">
      <w:pPr>
        <w:pStyle w:val="35"/>
        <w:pageBreakBefore w:val="0"/>
        <w:kinsoku/>
        <w:wordWrap w:val="0"/>
        <w:overflowPunct/>
        <w:bidi w:val="0"/>
        <w:spacing w:after="0"/>
        <w:textAlignment w:val="auto"/>
        <w:rPr>
          <w:rFonts w:hint="eastAsia" w:ascii="宋体" w:hAnsi="宋体" w:eastAsia="宋体" w:cs="宋体"/>
          <w:color w:val="auto"/>
          <w:sz w:val="24"/>
          <w:szCs w:val="24"/>
          <w:highlight w:val="none"/>
        </w:rPr>
      </w:pPr>
    </w:p>
    <w:p w14:paraId="4FB44F9A">
      <w:pPr>
        <w:pageBreakBefore w:val="0"/>
        <w:kinsoku/>
        <w:wordWrap w:val="0"/>
        <w:overflowPunct/>
        <w:bidi w:val="0"/>
        <w:spacing w:after="0"/>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四、授权委托书</w:t>
      </w:r>
      <w:bookmarkEnd w:id="793"/>
      <w:bookmarkEnd w:id="794"/>
    </w:p>
    <w:p w14:paraId="0412D78F">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（供应商全称）</w:t>
      </w:r>
      <w:r>
        <w:rPr>
          <w:rFonts w:hint="eastAsia" w:ascii="宋体" w:hAnsi="宋体" w:eastAsia="宋体" w:cs="宋体"/>
          <w:color w:val="auto"/>
          <w:sz w:val="24"/>
          <w:szCs w:val="24"/>
          <w:highlight w:val="none"/>
        </w:rPr>
        <w:t>的法定代表人，现委托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磋商响应文件、签订合同和处理有关事宜，其法律后果由我方承担。</w:t>
      </w:r>
    </w:p>
    <w:p w14:paraId="6685E972">
      <w:pPr>
        <w:pageBreakBefore w:val="0"/>
        <w:kinsoku/>
        <w:wordWrap w:val="0"/>
        <w:overflowPunct/>
        <w:bidi w:val="0"/>
        <w:spacing w:after="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F3A90C3">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532F428E">
      <w:pPr>
        <w:pageBreakBefore w:val="0"/>
        <w:kinsoku/>
        <w:wordWrap w:val="0"/>
        <w:overflow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附：委托代理人身份证复印件</w:t>
      </w:r>
    </w:p>
    <w:tbl>
      <w:tblPr>
        <w:tblStyle w:val="62"/>
        <w:tblW w:w="779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798"/>
      </w:tblGrid>
      <w:tr w14:paraId="14D16F6B">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783" w:hRule="atLeast"/>
          <w:jc w:val="center"/>
        </w:trPr>
        <w:tc>
          <w:tcPr>
            <w:tcW w:w="7798" w:type="dxa"/>
          </w:tcPr>
          <w:p w14:paraId="32320C06">
            <w:pPr>
              <w:pStyle w:val="55"/>
              <w:pageBreakBefore w:val="0"/>
              <w:kinsoku/>
              <w:wordWrap w:val="0"/>
              <w:overflowPunct/>
              <w:bidi w:val="0"/>
              <w:adjustRightInd w:val="0"/>
              <w:snapToGrid w:val="0"/>
              <w:spacing w:before="0" w:beforeAutospacing="0" w:after="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委托代理人身份证复印件（“居民身份证国徽”面）：</w:t>
            </w:r>
          </w:p>
        </w:tc>
      </w:tr>
      <w:tr w14:paraId="673B16A5">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687" w:hRule="atLeast"/>
          <w:jc w:val="center"/>
        </w:trPr>
        <w:tc>
          <w:tcPr>
            <w:tcW w:w="7798" w:type="dxa"/>
          </w:tcPr>
          <w:p w14:paraId="24F733FB">
            <w:pPr>
              <w:pStyle w:val="55"/>
              <w:pageBreakBefore w:val="0"/>
              <w:kinsoku/>
              <w:wordWrap w:val="0"/>
              <w:overflowPunct/>
              <w:bidi w:val="0"/>
              <w:adjustRightInd w:val="0"/>
              <w:snapToGrid w:val="0"/>
              <w:spacing w:before="0" w:beforeAutospacing="0" w:after="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委托代理人身份证复印件（“居民身份证号码”面）：</w:t>
            </w:r>
          </w:p>
        </w:tc>
      </w:tr>
    </w:tbl>
    <w:p w14:paraId="34674CA8">
      <w:pPr>
        <w:pageBreakBefore w:val="0"/>
        <w:kinsoku/>
        <w:wordWrap w:val="0"/>
        <w:overflowPunct/>
        <w:bidi w:val="0"/>
        <w:spacing w:after="0" w:line="360" w:lineRule="auto"/>
        <w:ind w:firstLine="2640" w:firstLineChars="1100"/>
        <w:textAlignment w:val="auto"/>
        <w:rPr>
          <w:rFonts w:hint="eastAsia" w:ascii="宋体" w:hAnsi="宋体" w:eastAsia="宋体" w:cs="宋体"/>
          <w:color w:val="auto"/>
          <w:sz w:val="24"/>
          <w:szCs w:val="24"/>
          <w:highlight w:val="none"/>
        </w:rPr>
      </w:pPr>
    </w:p>
    <w:p w14:paraId="750324E3">
      <w:pPr>
        <w:pageBreakBefore w:val="0"/>
        <w:kinsoku/>
        <w:wordWrap w:val="0"/>
        <w:overflowPunct/>
        <w:bidi w:val="0"/>
        <w:spacing w:after="0"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u w:val="single"/>
        </w:rPr>
        <w:t xml:space="preserve">              （全称）      （盖单位章）</w:t>
      </w:r>
    </w:p>
    <w:p w14:paraId="457910CB">
      <w:pPr>
        <w:pageBreakBefore w:val="0"/>
        <w:kinsoku/>
        <w:wordWrap w:val="0"/>
        <w:overflowPunct/>
        <w:bidi w:val="0"/>
        <w:spacing w:after="0"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（盖章或签字）</w:t>
      </w:r>
    </w:p>
    <w:p w14:paraId="1E455A2D">
      <w:pPr>
        <w:pageBreakBefore w:val="0"/>
        <w:kinsoku/>
        <w:wordWrap w:val="0"/>
        <w:overflowPunct/>
        <w:bidi w:val="0"/>
        <w:spacing w:after="0" w:line="360" w:lineRule="auto"/>
        <w:ind w:firstLine="2640" w:firstLineChars="11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2CB03A35">
      <w:pPr>
        <w:pageBreakBefore w:val="0"/>
        <w:kinsoku/>
        <w:wordWrap w:val="0"/>
        <w:overflowPunct/>
        <w:bidi w:val="0"/>
        <w:spacing w:after="0" w:line="360" w:lineRule="auto"/>
        <w:ind w:firstLine="2640" w:firstLineChars="1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（签字） </w:t>
      </w:r>
    </w:p>
    <w:p w14:paraId="44DF4135">
      <w:pPr>
        <w:pageBreakBefore w:val="0"/>
        <w:kinsoku/>
        <w:wordWrap w:val="0"/>
        <w:overflowPunct/>
        <w:bidi w:val="0"/>
        <w:spacing w:after="0" w:line="360" w:lineRule="auto"/>
        <w:ind w:firstLine="2640" w:firstLineChars="11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500DB7CC">
      <w:pPr>
        <w:pageBreakBefore w:val="0"/>
        <w:kinsoku/>
        <w:wordWrap w:val="0"/>
        <w:overflowPunct/>
        <w:bidi w:val="0"/>
        <w:spacing w:after="0" w:line="360" w:lineRule="auto"/>
        <w:ind w:firstLine="6480" w:firstLineChars="2700"/>
        <w:textAlignment w:val="auto"/>
        <w:rPr>
          <w:rFonts w:hint="eastAsia" w:ascii="宋体" w:hAnsi="宋体" w:eastAsia="宋体" w:cs="宋体"/>
          <w:b/>
          <w:color w:val="auto"/>
          <w:sz w:val="28"/>
          <w:szCs w:val="28"/>
          <w:highlight w:val="none"/>
        </w:rPr>
      </w:pPr>
      <w:bookmarkStart w:id="795" w:name="_Toc470531300"/>
      <w:bookmarkStart w:id="796" w:name="_Toc53196606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bookmarkEnd w:id="795"/>
    <w:bookmarkEnd w:id="796"/>
    <w:p w14:paraId="5B8A3E76">
      <w:pPr>
        <w:pStyle w:val="60"/>
        <w:pageBreakBefore w:val="0"/>
        <w:kinsoku/>
        <w:wordWrap w:val="0"/>
        <w:overflowPunct/>
        <w:bidi w:val="0"/>
        <w:spacing w:after="0"/>
        <w:ind w:firstLine="0" w:firstLineChars="0"/>
        <w:textAlignment w:val="auto"/>
        <w:rPr>
          <w:rFonts w:hint="eastAsia" w:ascii="宋体" w:hAnsi="宋体" w:eastAsia="宋体" w:cs="宋体"/>
          <w:b/>
          <w:bCs/>
          <w:color w:val="auto"/>
          <w:sz w:val="24"/>
          <w:highlight w:val="none"/>
        </w:rPr>
      </w:pPr>
    </w:p>
    <w:p w14:paraId="05DD7000">
      <w:pPr>
        <w:pageBreakBefore w:val="0"/>
        <w:kinsoku/>
        <w:wordWrap w:val="0"/>
        <w:overflowPunct/>
        <w:bidi w:val="0"/>
        <w:spacing w:after="0"/>
        <w:jc w:val="center"/>
        <w:textAlignment w:val="auto"/>
        <w:rPr>
          <w:rFonts w:hint="eastAsia" w:ascii="宋体" w:hAnsi="宋体" w:eastAsia="宋体" w:cs="宋体"/>
          <w:b/>
          <w:color w:val="auto"/>
          <w:sz w:val="28"/>
          <w:szCs w:val="28"/>
          <w:highlight w:val="none"/>
          <w:lang w:val="en-US" w:eastAsia="zh-CN"/>
        </w:rPr>
      </w:pPr>
      <w:bookmarkStart w:id="797" w:name="_Toc27259"/>
    </w:p>
    <w:p w14:paraId="5BF3C244">
      <w:pPr>
        <w:pStyle w:val="35"/>
        <w:pageBreakBefore w:val="0"/>
        <w:kinsoku/>
        <w:wordWrap w:val="0"/>
        <w:overflowPunct/>
        <w:bidi w:val="0"/>
        <w:spacing w:after="0"/>
        <w:textAlignment w:val="auto"/>
        <w:rPr>
          <w:rFonts w:hint="eastAsia" w:ascii="宋体" w:hAnsi="宋体" w:eastAsia="宋体" w:cs="宋体"/>
          <w:b/>
          <w:color w:val="auto"/>
          <w:sz w:val="28"/>
          <w:szCs w:val="28"/>
          <w:highlight w:val="none"/>
          <w:lang w:val="en-US" w:eastAsia="zh-CN"/>
        </w:rPr>
      </w:pPr>
    </w:p>
    <w:p w14:paraId="2E9F14C9">
      <w:pPr>
        <w:pStyle w:val="35"/>
        <w:pageBreakBefore w:val="0"/>
        <w:kinsoku/>
        <w:wordWrap w:val="0"/>
        <w:overflowPunct/>
        <w:bidi w:val="0"/>
        <w:spacing w:after="0"/>
        <w:textAlignment w:val="auto"/>
        <w:rPr>
          <w:rFonts w:hint="eastAsia" w:ascii="宋体" w:hAnsi="宋体" w:eastAsia="宋体" w:cs="宋体"/>
          <w:b/>
          <w:color w:val="auto"/>
          <w:sz w:val="28"/>
          <w:szCs w:val="28"/>
          <w:highlight w:val="none"/>
          <w:lang w:val="en-US" w:eastAsia="zh-CN"/>
        </w:rPr>
      </w:pPr>
    </w:p>
    <w:p w14:paraId="732577E8">
      <w:pPr>
        <w:pStyle w:val="35"/>
        <w:pageBreakBefore w:val="0"/>
        <w:kinsoku/>
        <w:wordWrap w:val="0"/>
        <w:overflowPunct/>
        <w:bidi w:val="0"/>
        <w:spacing w:after="0"/>
        <w:ind w:left="0" w:leftChars="0" w:firstLine="0" w:firstLineChars="0"/>
        <w:textAlignment w:val="auto"/>
        <w:rPr>
          <w:rFonts w:hint="eastAsia" w:ascii="宋体" w:hAnsi="宋体" w:eastAsia="宋体" w:cs="宋体"/>
          <w:b/>
          <w:color w:val="auto"/>
          <w:sz w:val="28"/>
          <w:szCs w:val="28"/>
          <w:highlight w:val="none"/>
          <w:lang w:val="en-US" w:eastAsia="zh-CN"/>
        </w:rPr>
      </w:pPr>
    </w:p>
    <w:p w14:paraId="7CAB9980">
      <w:pPr>
        <w:pStyle w:val="35"/>
        <w:pageBreakBefore w:val="0"/>
        <w:kinsoku/>
        <w:wordWrap w:val="0"/>
        <w:overflowPunct/>
        <w:bidi w:val="0"/>
        <w:spacing w:after="0"/>
        <w:ind w:left="0" w:leftChars="0" w:firstLine="0" w:firstLineChars="0"/>
        <w:textAlignment w:val="auto"/>
        <w:rPr>
          <w:rFonts w:hint="eastAsia" w:ascii="宋体" w:hAnsi="宋体" w:eastAsia="宋体" w:cs="宋体"/>
          <w:b/>
          <w:color w:val="auto"/>
          <w:sz w:val="28"/>
          <w:szCs w:val="28"/>
          <w:highlight w:val="none"/>
          <w:lang w:val="en-US" w:eastAsia="zh-CN"/>
        </w:rPr>
      </w:pPr>
    </w:p>
    <w:p w14:paraId="651023F4">
      <w:pPr>
        <w:pStyle w:val="14"/>
        <w:pageBreakBefore w:val="0"/>
        <w:kinsoku/>
        <w:wordWrap w:val="0"/>
        <w:overflowPunct/>
        <w:bidi w:val="0"/>
        <w:spacing w:after="0"/>
        <w:textAlignment w:val="auto"/>
        <w:rPr>
          <w:rFonts w:hint="eastAsia" w:ascii="宋体" w:hAnsi="宋体" w:eastAsia="宋体" w:cs="宋体"/>
          <w:color w:val="auto"/>
          <w:lang w:val="en-US" w:eastAsia="zh-CN"/>
        </w:rPr>
      </w:pPr>
    </w:p>
    <w:p w14:paraId="5C03ABFA">
      <w:pPr>
        <w:pageBreakBefore w:val="0"/>
        <w:kinsoku/>
        <w:wordWrap w:val="0"/>
        <w:overflowPunct/>
        <w:bidi w:val="0"/>
        <w:spacing w:after="0"/>
        <w:jc w:val="center"/>
        <w:textAlignment w:val="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五、磋商保证金</w:t>
      </w:r>
    </w:p>
    <w:p w14:paraId="630D5E28">
      <w:pPr>
        <w:pageBreakBefore w:val="0"/>
        <w:kinsoku/>
        <w:wordWrap w:val="0"/>
        <w:overflowPunct/>
        <w:topLinePunct/>
        <w:bidi w:val="0"/>
        <w:spacing w:after="0" w:line="360" w:lineRule="auto"/>
        <w:ind w:firstLine="482"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★保证金交纳确认成功后，保证金交纳回执需加盖单位公章后附于本页做入电子投标文件。</w:t>
      </w:r>
    </w:p>
    <w:p w14:paraId="2A466E4B">
      <w:pPr>
        <w:pageBreakBefore w:val="0"/>
        <w:kinsoku/>
        <w:wordWrap w:val="0"/>
        <w:overflowPunct/>
        <w:bidi w:val="0"/>
        <w:spacing w:after="0"/>
        <w:jc w:val="center"/>
        <w:textAlignment w:val="auto"/>
        <w:rPr>
          <w:rFonts w:hint="eastAsia" w:ascii="宋体" w:hAnsi="宋体" w:eastAsia="宋体" w:cs="宋体"/>
          <w:b/>
          <w:color w:val="auto"/>
          <w:sz w:val="28"/>
          <w:szCs w:val="28"/>
        </w:rPr>
      </w:pPr>
    </w:p>
    <w:p w14:paraId="60B25B05">
      <w:pPr>
        <w:pageBreakBefore w:val="0"/>
        <w:kinsoku/>
        <w:wordWrap w:val="0"/>
        <w:overflowPunct/>
        <w:bidi w:val="0"/>
        <w:spacing w:after="0"/>
        <w:jc w:val="center"/>
        <w:textAlignment w:val="auto"/>
        <w:rPr>
          <w:rFonts w:hint="eastAsia" w:ascii="宋体" w:hAnsi="宋体" w:eastAsia="宋体" w:cs="宋体"/>
          <w:b/>
          <w:color w:val="auto"/>
          <w:sz w:val="28"/>
          <w:szCs w:val="28"/>
        </w:rPr>
      </w:pPr>
    </w:p>
    <w:p w14:paraId="53503AE2">
      <w:pPr>
        <w:pageBreakBefore w:val="0"/>
        <w:kinsoku/>
        <w:wordWrap w:val="0"/>
        <w:overflowPunct/>
        <w:bidi w:val="0"/>
        <w:spacing w:after="0"/>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六、已标价的工程量清单</w:t>
      </w:r>
    </w:p>
    <w:p w14:paraId="506C8C72">
      <w:pPr>
        <w:pStyle w:val="35"/>
        <w:pageBreakBefore w:val="0"/>
        <w:kinsoku/>
        <w:wordWrap w:val="0"/>
        <w:overflowPunct/>
        <w:bidi w:val="0"/>
        <w:spacing w:after="0"/>
        <w:textAlignment w:val="auto"/>
        <w:rPr>
          <w:rFonts w:hint="eastAsia" w:ascii="宋体" w:hAnsi="宋体" w:eastAsia="宋体" w:cs="宋体"/>
          <w:color w:val="auto"/>
          <w:lang w:val="en-US" w:eastAsia="zh-CN"/>
        </w:rPr>
      </w:pPr>
    </w:p>
    <w:p w14:paraId="7B74B4EA">
      <w:pPr>
        <w:pageBreakBefore w:val="0"/>
        <w:kinsoku/>
        <w:wordWrap w:val="0"/>
        <w:overflowPunct/>
        <w:bidi w:val="0"/>
        <w:spacing w:after="0"/>
        <w:textAlignment w:val="auto"/>
        <w:outlineLvl w:val="9"/>
        <w:rPr>
          <w:rFonts w:hint="eastAsia" w:ascii="宋体" w:hAnsi="宋体" w:eastAsia="宋体" w:cs="宋体"/>
          <w:bCs w:val="0"/>
          <w:color w:val="auto"/>
          <w:sz w:val="21"/>
          <w:szCs w:val="21"/>
          <w:highlight w:val="none"/>
        </w:rPr>
      </w:pPr>
    </w:p>
    <w:p w14:paraId="2D3E9B3A">
      <w:pPr>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3F3707E8">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0689FCF9">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51CA2460">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38DE0501">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7F155684">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0FF475F8">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0C753930">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51DA6425">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51458B41">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4F928C3D">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7CA25E6C">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0DB33827">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36F36B5F">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47975777">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4B3710AD">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0E134E12">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5DA96FBD">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6CD41C79">
      <w:pPr>
        <w:pStyle w:val="35"/>
        <w:pageBreakBefore w:val="0"/>
        <w:kinsoku/>
        <w:wordWrap w:val="0"/>
        <w:overflowPunct/>
        <w:bidi w:val="0"/>
        <w:spacing w:after="0"/>
        <w:textAlignment w:val="auto"/>
        <w:rPr>
          <w:rFonts w:hint="eastAsia" w:ascii="宋体" w:hAnsi="宋体" w:eastAsia="宋体" w:cs="宋体"/>
          <w:bCs w:val="0"/>
          <w:color w:val="auto"/>
          <w:sz w:val="21"/>
          <w:szCs w:val="21"/>
          <w:highlight w:val="none"/>
        </w:rPr>
      </w:pPr>
    </w:p>
    <w:p w14:paraId="498700A7">
      <w:pPr>
        <w:pStyle w:val="35"/>
        <w:pageBreakBefore w:val="0"/>
        <w:kinsoku/>
        <w:wordWrap w:val="0"/>
        <w:overflowPunct/>
        <w:bidi w:val="0"/>
        <w:spacing w:after="0"/>
        <w:ind w:left="0" w:leftChars="0" w:firstLine="0" w:firstLineChars="0"/>
        <w:textAlignment w:val="auto"/>
        <w:rPr>
          <w:rFonts w:hint="eastAsia" w:ascii="宋体" w:hAnsi="宋体" w:eastAsia="宋体" w:cs="宋体"/>
          <w:bCs w:val="0"/>
          <w:color w:val="auto"/>
          <w:sz w:val="21"/>
          <w:szCs w:val="21"/>
          <w:highlight w:val="none"/>
        </w:rPr>
      </w:pPr>
    </w:p>
    <w:p w14:paraId="7DFDA0EB">
      <w:pPr>
        <w:pStyle w:val="2"/>
        <w:pageBreakBefore w:val="0"/>
        <w:kinsoku/>
        <w:wordWrap w:val="0"/>
        <w:overflowPunct/>
        <w:bidi w:val="0"/>
        <w:spacing w:after="0"/>
        <w:textAlignment w:val="auto"/>
        <w:rPr>
          <w:rFonts w:hint="eastAsia" w:ascii="宋体" w:hAnsi="宋体" w:eastAsia="宋体" w:cs="宋体"/>
          <w:color w:val="auto"/>
          <w:sz w:val="21"/>
          <w:szCs w:val="21"/>
          <w:highlight w:val="none"/>
          <w:lang w:eastAsia="zh-CN"/>
        </w:rPr>
      </w:pPr>
      <w:r>
        <w:rPr>
          <w:rFonts w:hint="eastAsia" w:ascii="宋体" w:hAnsi="宋体" w:eastAsia="宋体" w:cs="宋体"/>
          <w:bCs w:val="0"/>
          <w:color w:val="auto"/>
          <w:sz w:val="21"/>
          <w:szCs w:val="21"/>
          <w:highlight w:val="none"/>
        </w:rPr>
        <w:t>附件1</w:t>
      </w:r>
      <w:r>
        <w:rPr>
          <w:rFonts w:hint="eastAsia" w:ascii="宋体" w:hAnsi="宋体" w:eastAsia="宋体" w:cs="宋体"/>
          <w:bCs w:val="0"/>
          <w:color w:val="auto"/>
          <w:sz w:val="21"/>
          <w:szCs w:val="21"/>
          <w:highlight w:val="none"/>
          <w:lang w:eastAsia="zh-CN"/>
        </w:rPr>
        <w:t>：中小企业划型标准规定</w:t>
      </w:r>
      <w:bookmarkEnd w:id="797"/>
    </w:p>
    <w:p w14:paraId="300466CC">
      <w:pPr>
        <w:pageBreakBefore w:val="0"/>
        <w:kinsoku/>
        <w:wordWrap w:val="0"/>
        <w:overflowPunct/>
        <w:topLinePunct/>
        <w:bidi w:val="0"/>
        <w:spacing w:after="0" w:line="360" w:lineRule="auto"/>
        <w:jc w:val="center"/>
        <w:textAlignment w:val="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中小企业划型标准规定</w:t>
      </w:r>
    </w:p>
    <w:p w14:paraId="62CAED25">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一、根据《中华人民共和国中小企业促进法》和《国务院关于进一步促进中小企业发展的若干意见》（国发〔2009〕36号），制定本规定。</w:t>
      </w:r>
    </w:p>
    <w:p w14:paraId="5BBEC83A">
      <w:pPr>
        <w:pageBreakBefore w:val="0"/>
        <w:kinsoku/>
        <w:wordWrap w:val="0"/>
        <w:overflowPunct/>
        <w:topLinePunct/>
        <w:bidi w:val="0"/>
        <w:spacing w:after="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二、中小企业划分为中型、小型、微型三种类型，具体标准根据企业从业人员、营业收入、资产总额等指标，结合行业特点制定。</w:t>
      </w:r>
    </w:p>
    <w:p w14:paraId="5D626D29">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5D1DF6F">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四、各行业划型标准为：</w:t>
      </w:r>
    </w:p>
    <w:p w14:paraId="776B6926">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2A4263BF">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1466263">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5247B1B">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E4B9C64">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4CC6EAC">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CA8A6F3">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378F52E">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162982E">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9CD29AC">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A194535">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99BB26C">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71909B65">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37FCFAB">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5FE3993">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57B3FD7">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0D484308">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五、企业类型的划分以统计部门的统计数据为依据。</w:t>
      </w:r>
    </w:p>
    <w:p w14:paraId="5D78423E">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六、本规定适用于在中华人民共和国境内依法设立的各类所有制和各种组织形式的企业。个体工商户和本规定以外的行业，参照本规定进行划型。</w:t>
      </w:r>
    </w:p>
    <w:p w14:paraId="2269C8D7">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0B2CEC57">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八、本规定由工业和信息化部、国家统计局会同有关部门根据《国民经济行业分类》修订情况和企业发展变化情况适时修订。</w:t>
      </w:r>
    </w:p>
    <w:p w14:paraId="5B9196FE">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九、本规定由工业和信息化部、国家统计局会同有关部门负责解释。</w:t>
      </w:r>
    </w:p>
    <w:p w14:paraId="726437B3">
      <w:pPr>
        <w:pageBreakBefore w:val="0"/>
        <w:kinsoku/>
        <w:wordWrap w:val="0"/>
        <w:overflowPunct/>
        <w:topLinePunct/>
        <w:bidi w:val="0"/>
        <w:spacing w:after="0"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十、本规定自发布之日起执行，原国家经贸委、原国家计委、财政部和国家统计局2003年颁布的《中小企业标准暂行规定》同时废止。</w:t>
      </w:r>
    </w:p>
    <w:sectPr>
      <w:headerReference r:id="rId18" w:type="default"/>
      <w:footerReference r:id="rId19" w:type="default"/>
      <w:pgSz w:w="11906" w:h="16838"/>
      <w:pgMar w:top="1440" w:right="856" w:bottom="1440" w:left="868" w:header="1134" w:footer="68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00000" w:csb1="00000000"/>
  </w:font>
  <w:font w:name="RomanD">
    <w:altName w:val="Segoe Print"/>
    <w:panose1 w:val="00000400000000000000"/>
    <w:charset w:val="00"/>
    <w:family w:val="auto"/>
    <w:pitch w:val="default"/>
    <w:sig w:usb0="00000000" w:usb1="00000000" w:usb2="00000000" w:usb3="00000000" w:csb0="000001FF"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roman"/>
    <w:pitch w:val="default"/>
    <w:sig w:usb0="00000000" w:usb1="00000000" w:usb2="0000003F" w:usb3="00000000" w:csb0="603F01FF" w:csb1="FFFF0000"/>
  </w:font>
  <w:font w:name="Univers">
    <w:panose1 w:val="020B0603020202030204"/>
    <w:charset w:val="00"/>
    <w:family w:val="swiss"/>
    <w:pitch w:val="default"/>
    <w:sig w:usb0="00000007" w:usb1="00000000" w:usb2="00000000" w:usb3="00000000" w:csb0="00000093" w:csb1="00000000"/>
  </w:font>
  <w:font w:name="Tms Rmn">
    <w:altName w:val="Segoe Print"/>
    <w:panose1 w:val="02020603040505020304"/>
    <w:charset w:val="00"/>
    <w:family w:val="roman"/>
    <w:pitch w:val="default"/>
    <w:sig w:usb0="00000000" w:usb1="00000000" w:usb2="00000000" w:usb3="00000000" w:csb0="00000001" w:csb1="00000000"/>
  </w:font>
  <w:font w:name="Sim Sun+ 2">
    <w:altName w:val="微软雅黑"/>
    <w:panose1 w:val="00000000000000000000"/>
    <w:charset w:val="00"/>
    <w:family w:val="swiss"/>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方正小标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3C070">
    <w:pPr>
      <w:pStyle w:val="38"/>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14935" cy="264795"/>
              <wp:effectExtent l="0" t="0" r="0" b="0"/>
              <wp:wrapNone/>
              <wp:docPr id="4097" name="文本框 10"/>
              <wp:cNvGraphicFramePr/>
              <a:graphic xmlns:a="http://schemas.openxmlformats.org/drawingml/2006/main">
                <a:graphicData uri="http://schemas.microsoft.com/office/word/2010/wordprocessingShape">
                  <wps:wsp>
                    <wps:cNvSpPr/>
                    <wps:spPr>
                      <a:xfrm>
                        <a:off x="0" y="0"/>
                        <a:ext cx="114934" cy="264795"/>
                      </a:xfrm>
                      <a:prstGeom prst="rect">
                        <a:avLst/>
                      </a:prstGeom>
                      <a:noFill/>
                      <a:ln>
                        <a:noFill/>
                      </a:ln>
                      <a:effectLst/>
                    </wps:spPr>
                    <wps:txbx>
                      <w:txbxContent>
                        <w:p w14:paraId="47143583">
                          <w:pPr>
                            <w:rPr>
                              <w:sz w:val="18"/>
                            </w:rPr>
                          </w:pPr>
                        </w:p>
                      </w:txbxContent>
                    </wps:txbx>
                    <wps:bodyPr wrap="none" lIns="0" tIns="0" rIns="0" bIns="0" upright="1">
                      <a:spAutoFit/>
                    </wps:bodyPr>
                  </wps:wsp>
                </a:graphicData>
              </a:graphic>
            </wp:anchor>
          </w:drawing>
        </mc:Choice>
        <mc:Fallback>
          <w:pict>
            <v:rect id="文本框 10" o:spid="_x0000_s1026" o:spt="1" style="position:absolute;left:0pt;margin-top:0pt;height:20.85pt;width:9.05pt;mso-position-horizontal:right;mso-position-horizontal-relative:margin;mso-wrap-style:none;z-index:251661312;mso-width-relative:page;mso-height-relative:page;" filled="f" stroked="f" coordsize="21600,21600" o:gfxdata="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0gYhR0QAAAAMBAAAPAAAAAAAAAAEAIAAAACIAAABkcnMv&#10;ZG93bnJldi54bWxQSwECFAAUAAAACACHTuJAjZGvm9EBAACfAwAADgAAAAAAAAABACAAAAAgAQAA&#10;ZHJzL2Uyb0RvYy54bWxQSwUGAAAAAAYABgBZAQAAYwUAAAAA&#10;">
              <v:fill on="f" focussize="0,0"/>
              <v:stroke on="f"/>
              <v:imagedata o:title=""/>
              <o:lock v:ext="edit" aspectratio="f"/>
              <v:textbox inset="0mm,0mm,0mm,0mm" style="mso-fit-shape-to-text:t;">
                <w:txbxContent>
                  <w:p w14:paraId="47143583">
                    <w:pPr>
                      <w:rPr>
                        <w:sz w:val="18"/>
                      </w:rPr>
                    </w:pP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5E191">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B7CAB">
    <w:pPr>
      <w:pStyle w:val="38"/>
      <w:tabs>
        <w:tab w:val="left" w:pos="8730"/>
        <w:tab w:val="clear" w:pos="8306"/>
      </w:tabs>
      <w:jc w:val="both"/>
      <w:rPr>
        <w:rFonts w:eastAsia="宋体"/>
        <w:color w:val="auto"/>
      </w:rPr>
    </w:pPr>
    <w:r>
      <w:rPr>
        <w:rStyle w:val="71"/>
        <w:rFonts w:hint="default"/>
        <w:b/>
        <w:sz w:val="20"/>
      </w:rPr>
      <w:t xml:space="preserve"> </w:t>
    </w:r>
    <w:r>
      <w:drawing>
        <wp:inline distT="0" distB="0" distL="114300" distR="114300">
          <wp:extent cx="1614170" cy="330835"/>
          <wp:effectExtent l="0" t="0" r="5080" b="2540"/>
          <wp:docPr id="47" name="图片 2" descr="C:\公司资料\3、公司证照\logo-盛雅招标.pnglogo-盛雅招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 descr="C:\公司资料\3、公司证照\logo-盛雅招标.pnglogo-盛雅招标"/>
                  <pic:cNvPicPr>
                    <a:picLocks noChangeAspect="1"/>
                  </pic:cNvPicPr>
                </pic:nvPicPr>
                <pic:blipFill>
                  <a:blip r:embed="rId1"/>
                  <a:stretch>
                    <a:fillRect/>
                  </a:stretch>
                </pic:blipFill>
                <pic:spPr>
                  <a:xfrm>
                    <a:off x="0" y="0"/>
                    <a:ext cx="1614170" cy="330835"/>
                  </a:xfrm>
                  <a:prstGeom prst="rect">
                    <a:avLst/>
                  </a:prstGeom>
                  <a:noFill/>
                  <a:ln>
                    <a:noFill/>
                  </a:ln>
                </pic:spPr>
              </pic:pic>
            </a:graphicData>
          </a:graphic>
        </wp:inline>
      </w:drawing>
    </w:r>
    <w:r>
      <w:rPr>
        <w:rStyle w:val="71"/>
        <w:rFonts w:hint="default"/>
        <w:b/>
        <w:sz w:val="20"/>
      </w:rPr>
      <w:t xml:space="preserve">                                             </w:t>
    </w:r>
    <w:r>
      <w:rPr>
        <w:rStyle w:val="71"/>
        <w:rFonts w:hint="eastAsia" w:eastAsia="宋体"/>
        <w:b/>
        <w:sz w:val="20"/>
        <w:lang w:val="en-US" w:eastAsia="zh-CN"/>
      </w:rPr>
      <w:t xml:space="preserve">         </w:t>
    </w:r>
    <w:r>
      <w:rPr>
        <w:rFonts w:ascii="Wingdings" w:hAnsi="Wingdings" w:eastAsia="仿宋" w:cs="仿宋"/>
        <w:lang w:eastAsia="zh-CN"/>
      </w:rPr>
      <w:t></w:t>
    </w:r>
    <w:r>
      <w:rPr>
        <w:rFonts w:hint="eastAsia" w:ascii="宋体" w:hAnsi="宋体" w:eastAsia="宋体" w:cs="宋体"/>
        <w:lang w:val="en-US" w:eastAsia="zh-CN"/>
      </w:rPr>
      <w:t>：0873-7121919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B868F">
    <w:pPr>
      <w:pStyle w:val="38"/>
      <w:ind w:firstLine="7920" w:firstLineChars="4400"/>
      <w:jc w:val="both"/>
      <w:rPr>
        <w:color w:val="auto"/>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85ADF">
    <w:pPr>
      <w:pStyle w:val="38"/>
      <w:tabs>
        <w:tab w:val="left" w:pos="8730"/>
        <w:tab w:val="clear" w:pos="8306"/>
      </w:tabs>
      <w:jc w:val="both"/>
      <w:rPr>
        <w:rFonts w:eastAsia="宋体"/>
        <w:color w:val="auto"/>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67E93C">
                          <w:pPr>
                            <w:pStyle w:val="3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D67E93C">
                    <w:pPr>
                      <w:pStyle w:val="38"/>
                    </w:pPr>
                    <w:r>
                      <w:fldChar w:fldCharType="begin"/>
                    </w:r>
                    <w:r>
                      <w:instrText xml:space="preserve"> PAGE  \* MERGEFORMAT </w:instrText>
                    </w:r>
                    <w:r>
                      <w:fldChar w:fldCharType="separate"/>
                    </w:r>
                    <w:r>
                      <w:t>2</w:t>
                    </w:r>
                    <w:r>
                      <w:fldChar w:fldCharType="end"/>
                    </w:r>
                  </w:p>
                </w:txbxContent>
              </v:textbox>
            </v:shape>
          </w:pict>
        </mc:Fallback>
      </mc:AlternateContent>
    </w:r>
    <w:r>
      <w:rPr>
        <w:rStyle w:val="71"/>
        <w:rFonts w:hint="default"/>
        <w:b/>
        <w:sz w:val="20"/>
      </w:rPr>
      <w:t xml:space="preserve"> </w:t>
    </w:r>
    <w:r>
      <w:drawing>
        <wp:inline distT="0" distB="0" distL="114300" distR="114300">
          <wp:extent cx="1614170" cy="330835"/>
          <wp:effectExtent l="0" t="0" r="5080" b="2540"/>
          <wp:docPr id="16" name="图片 2" descr="C:\公司资料\3、公司证照\logo-盛雅招标.pnglogo-盛雅招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descr="C:\公司资料\3、公司证照\logo-盛雅招标.pnglogo-盛雅招标"/>
                  <pic:cNvPicPr>
                    <a:picLocks noChangeAspect="1"/>
                  </pic:cNvPicPr>
                </pic:nvPicPr>
                <pic:blipFill>
                  <a:blip r:embed="rId1"/>
                  <a:stretch>
                    <a:fillRect/>
                  </a:stretch>
                </pic:blipFill>
                <pic:spPr>
                  <a:xfrm>
                    <a:off x="0" y="0"/>
                    <a:ext cx="1614170" cy="330835"/>
                  </a:xfrm>
                  <a:prstGeom prst="rect">
                    <a:avLst/>
                  </a:prstGeom>
                  <a:noFill/>
                  <a:ln>
                    <a:noFill/>
                  </a:ln>
                </pic:spPr>
              </pic:pic>
            </a:graphicData>
          </a:graphic>
        </wp:inline>
      </w:drawing>
    </w:r>
    <w:r>
      <w:rPr>
        <w:rStyle w:val="71"/>
        <w:rFonts w:hint="default"/>
        <w:b/>
        <w:sz w:val="20"/>
      </w:rPr>
      <w:t xml:space="preserve">                                             </w:t>
    </w:r>
    <w:r>
      <w:rPr>
        <w:rStyle w:val="71"/>
        <w:rFonts w:hint="eastAsia" w:eastAsia="宋体"/>
        <w:b/>
        <w:sz w:val="20"/>
        <w:lang w:val="en-US" w:eastAsia="zh-CN"/>
      </w:rPr>
      <w:t xml:space="preserve">         </w:t>
    </w:r>
    <w:r>
      <w:rPr>
        <w:rFonts w:ascii="Wingdings" w:hAnsi="Wingdings" w:eastAsia="仿宋" w:cs="仿宋"/>
        <w:lang w:eastAsia="zh-CN"/>
      </w:rPr>
      <w:t></w:t>
    </w:r>
    <w:r>
      <w:rPr>
        <w:rFonts w:hint="eastAsia" w:ascii="宋体" w:hAnsi="宋体" w:eastAsia="宋体" w:cs="宋体"/>
        <w:lang w:val="en-US" w:eastAsia="zh-CN"/>
      </w:rPr>
      <w:t>：0873-7121919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9C37A">
    <w:pPr>
      <w:pStyle w:val="38"/>
      <w:jc w:val="both"/>
      <w:rPr>
        <w:color w:val="auto"/>
      </w:rPr>
    </w:pPr>
    <w:r>
      <w:drawing>
        <wp:inline distT="0" distB="0" distL="114300" distR="114300">
          <wp:extent cx="1614170" cy="330835"/>
          <wp:effectExtent l="0" t="0" r="5080" b="2540"/>
          <wp:docPr id="17" name="图片 2" descr="C:\公司资料\3、公司证照\logo-盛雅招标.pnglogo-盛雅招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C:\公司资料\3、公司证照\logo-盛雅招标.pnglogo-盛雅招标"/>
                  <pic:cNvPicPr>
                    <a:picLocks noChangeAspect="1"/>
                  </pic:cNvPicPr>
                </pic:nvPicPr>
                <pic:blipFill>
                  <a:blip r:embed="rId1"/>
                  <a:stretch>
                    <a:fillRect/>
                  </a:stretch>
                </pic:blipFill>
                <pic:spPr>
                  <a:xfrm>
                    <a:off x="0" y="0"/>
                    <a:ext cx="1614170" cy="330835"/>
                  </a:xfrm>
                  <a:prstGeom prst="rect">
                    <a:avLst/>
                  </a:prstGeom>
                  <a:noFill/>
                  <a:ln>
                    <a:noFill/>
                  </a:ln>
                </pic:spPr>
              </pic:pic>
            </a:graphicData>
          </a:graphic>
        </wp:inline>
      </w:drawing>
    </w:r>
    <w:r>
      <w:rPr>
        <w:rStyle w:val="71"/>
        <w:rFonts w:hint="default"/>
        <w:b/>
        <w:sz w:val="20"/>
      </w:rPr>
      <w:t xml:space="preserve">                                             </w:t>
    </w:r>
    <w:r>
      <w:rPr>
        <w:rStyle w:val="71"/>
        <w:rFonts w:hint="eastAsia" w:eastAsia="宋体"/>
        <w:b/>
        <w:sz w:val="20"/>
        <w:lang w:val="en-US" w:eastAsia="zh-CN"/>
      </w:rPr>
      <w:t xml:space="preserve">         </w:t>
    </w:r>
    <w:r>
      <w:rPr>
        <w:rFonts w:ascii="Wingdings" w:hAnsi="Wingdings" w:eastAsia="仿宋" w:cs="仿宋"/>
        <w:lang w:eastAsia="zh-CN"/>
      </w:rPr>
      <w:t></w:t>
    </w:r>
    <w:r>
      <w:rPr>
        <w:rFonts w:hint="eastAsia" w:ascii="宋体" w:hAnsi="宋体" w:eastAsia="宋体" w:cs="宋体"/>
        <w:lang w:val="en-US" w:eastAsia="zh-CN"/>
      </w:rPr>
      <w:t>：0873-7121919</w: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05B32F">
                          <w:pPr>
                            <w:pStyle w:val="3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7B05B32F">
                    <w:pPr>
                      <w:pStyle w:val="3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7F506">
    <w:pPr>
      <w:pStyle w:val="38"/>
      <w:tabs>
        <w:tab w:val="left" w:pos="8730"/>
        <w:tab w:val="clear" w:pos="8306"/>
      </w:tabs>
      <w:jc w:val="both"/>
      <w:rPr>
        <w:rFonts w:eastAsia="宋体"/>
        <w:color w:val="auto"/>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6A1C64">
                          <w:pPr>
                            <w:pStyle w:val="3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E6A1C64">
                    <w:pPr>
                      <w:pStyle w:val="38"/>
                    </w:pPr>
                    <w:r>
                      <w:fldChar w:fldCharType="begin"/>
                    </w:r>
                    <w:r>
                      <w:instrText xml:space="preserve"> PAGE  \* MERGEFORMAT </w:instrText>
                    </w:r>
                    <w:r>
                      <w:fldChar w:fldCharType="separate"/>
                    </w:r>
                    <w:r>
                      <w:t>2</w:t>
                    </w:r>
                    <w:r>
                      <w:fldChar w:fldCharType="end"/>
                    </w:r>
                  </w:p>
                </w:txbxContent>
              </v:textbox>
            </v:shape>
          </w:pict>
        </mc:Fallback>
      </mc:AlternateContent>
    </w:r>
    <w:r>
      <w:rPr>
        <w:rStyle w:val="71"/>
        <w:rFonts w:hint="default"/>
        <w:b/>
        <w:sz w:val="20"/>
      </w:rPr>
      <w:t xml:space="preserve"> </w:t>
    </w:r>
    <w:r>
      <w:drawing>
        <wp:inline distT="0" distB="0" distL="114300" distR="114300">
          <wp:extent cx="1614170" cy="330835"/>
          <wp:effectExtent l="0" t="0" r="5080" b="2540"/>
          <wp:docPr id="2" name="图片 2" descr="C:\公司资料\3、公司证照\logo-盛雅招标.pnglogo-盛雅招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公司资料\3、公司证照\logo-盛雅招标.pnglogo-盛雅招标"/>
                  <pic:cNvPicPr>
                    <a:picLocks noChangeAspect="1"/>
                  </pic:cNvPicPr>
                </pic:nvPicPr>
                <pic:blipFill>
                  <a:blip r:embed="rId1"/>
                  <a:stretch>
                    <a:fillRect/>
                  </a:stretch>
                </pic:blipFill>
                <pic:spPr>
                  <a:xfrm>
                    <a:off x="0" y="0"/>
                    <a:ext cx="1614170" cy="330835"/>
                  </a:xfrm>
                  <a:prstGeom prst="rect">
                    <a:avLst/>
                  </a:prstGeom>
                  <a:noFill/>
                  <a:ln>
                    <a:noFill/>
                  </a:ln>
                </pic:spPr>
              </pic:pic>
            </a:graphicData>
          </a:graphic>
        </wp:inline>
      </w:drawing>
    </w:r>
    <w:r>
      <w:rPr>
        <w:rStyle w:val="71"/>
        <w:rFonts w:hint="default"/>
        <w:b/>
        <w:sz w:val="20"/>
      </w:rPr>
      <w:t xml:space="preserve">                                             </w:t>
    </w:r>
    <w:r>
      <w:rPr>
        <w:rStyle w:val="71"/>
        <w:rFonts w:hint="eastAsia" w:eastAsia="宋体"/>
        <w:b/>
        <w:sz w:val="20"/>
        <w:lang w:val="en-US" w:eastAsia="zh-CN"/>
      </w:rPr>
      <w:t xml:space="preserve">         </w:t>
    </w:r>
    <w:r>
      <w:rPr>
        <w:rFonts w:ascii="Wingdings" w:hAnsi="Wingdings" w:eastAsia="仿宋" w:cs="仿宋"/>
        <w:lang w:eastAsia="zh-CN"/>
      </w:rPr>
      <w:t></w:t>
    </w:r>
    <w:r>
      <w:rPr>
        <w:rFonts w:hint="eastAsia" w:ascii="宋体" w:hAnsi="宋体" w:eastAsia="宋体" w:cs="宋体"/>
        <w:lang w:val="en-US" w:eastAsia="zh-CN"/>
      </w:rPr>
      <w:t>：0873-7121919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9CB7F">
    <w:pPr>
      <w:pStyle w:val="38"/>
      <w:jc w:val="both"/>
      <w:rPr>
        <w:rFonts w:hint="default"/>
        <w:color w:val="auto"/>
        <w:lang w:val="en-US"/>
      </w:rPr>
    </w:pPr>
    <w:r>
      <w:drawing>
        <wp:inline distT="0" distB="0" distL="114300" distR="114300">
          <wp:extent cx="1614170" cy="330835"/>
          <wp:effectExtent l="0" t="0" r="5080" b="2540"/>
          <wp:docPr id="9" name="图片 9" descr="C:\公司资料\3、公司证照\logo-盛雅招标.pnglogo-盛雅招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公司资料\3、公司证照\logo-盛雅招标.pnglogo-盛雅招标"/>
                  <pic:cNvPicPr>
                    <a:picLocks noChangeAspect="1"/>
                  </pic:cNvPicPr>
                </pic:nvPicPr>
                <pic:blipFill>
                  <a:blip r:embed="rId1"/>
                  <a:stretch>
                    <a:fillRect/>
                  </a:stretch>
                </pic:blipFill>
                <pic:spPr>
                  <a:xfrm>
                    <a:off x="0" y="0"/>
                    <a:ext cx="1614170" cy="330835"/>
                  </a:xfrm>
                  <a:prstGeom prst="rect">
                    <a:avLst/>
                  </a:prstGeom>
                  <a:noFill/>
                  <a:ln>
                    <a:noFill/>
                  </a:ln>
                </pic:spPr>
              </pic:pic>
            </a:graphicData>
          </a:graphic>
        </wp:inline>
      </w:drawing>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8FF0BD">
                          <w:pPr>
                            <w:pStyle w:val="3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A8FF0BD">
                    <w:pPr>
                      <w:pStyle w:val="38"/>
                    </w:pPr>
                    <w:r>
                      <w:fldChar w:fldCharType="begin"/>
                    </w:r>
                    <w:r>
                      <w:instrText xml:space="preserve"> PAGE  \* MERGEFORMAT </w:instrText>
                    </w:r>
                    <w:r>
                      <w:fldChar w:fldCharType="separate"/>
                    </w:r>
                    <w:r>
                      <w:t>4</w:t>
                    </w:r>
                    <w:r>
                      <w:fldChar w:fldCharType="end"/>
                    </w:r>
                  </w:p>
                </w:txbxContent>
              </v:textbox>
            </v:shape>
          </w:pict>
        </mc:Fallback>
      </mc:AlternateContent>
    </w:r>
    <w:r>
      <w:rPr>
        <w:rFonts w:hint="eastAsia"/>
        <w:lang w:val="en-US" w:eastAsia="zh-CN"/>
      </w:rPr>
      <w:t xml:space="preserve">                                                                                                  </w:t>
    </w:r>
    <w:r>
      <w:rPr>
        <w:rFonts w:ascii="Wingdings" w:hAnsi="Wingdings" w:eastAsia="仿宋" w:cs="仿宋"/>
        <w:lang w:eastAsia="zh-CN"/>
      </w:rPr>
      <w:t></w:t>
    </w:r>
    <w:r>
      <w:rPr>
        <w:rFonts w:hint="eastAsia" w:ascii="宋体" w:hAnsi="宋体" w:eastAsia="宋体" w:cs="宋体"/>
        <w:lang w:val="en-US" w:eastAsia="zh-CN"/>
      </w:rPr>
      <w:t>：0873-7121919</w:t>
    </w:r>
    <w:r>
      <w:rPr>
        <w:rFonts w:hint="eastAsia"/>
        <w:lang w:val="en-US" w:eastAsia="zh-CN"/>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8A211">
    <w:pPr>
      <w:widowControl w:val="0"/>
      <w:autoSpaceDE w:val="0"/>
      <w:autoSpaceDN w:val="0"/>
      <w:adjustRightInd w:val="0"/>
      <w:textAlignment w:val="baseline"/>
      <w:rPr>
        <w:rFonts w:hint="default"/>
        <w:sz w:val="20"/>
        <w:szCs w:val="20"/>
        <w:lang w:val="en-US"/>
      </w:rPr>
    </w:pPr>
    <w:r>
      <w:drawing>
        <wp:inline distT="0" distB="0" distL="114300" distR="114300">
          <wp:extent cx="1614170" cy="330835"/>
          <wp:effectExtent l="0" t="0" r="5080" b="2540"/>
          <wp:docPr id="10" name="图片 10" descr="C:\公司资料\3、公司证照\logo-盛雅招标.pnglogo-盛雅招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公司资料\3、公司证照\logo-盛雅招标.pnglogo-盛雅招标"/>
                  <pic:cNvPicPr>
                    <a:picLocks noChangeAspect="1"/>
                  </pic:cNvPicPr>
                </pic:nvPicPr>
                <pic:blipFill>
                  <a:blip r:embed="rId1"/>
                  <a:stretch>
                    <a:fillRect/>
                  </a:stretch>
                </pic:blipFill>
                <pic:spPr>
                  <a:xfrm>
                    <a:off x="0" y="0"/>
                    <a:ext cx="1614170" cy="330835"/>
                  </a:xfrm>
                  <a:prstGeom prst="rect">
                    <a:avLst/>
                  </a:prstGeom>
                  <a:noFill/>
                  <a:ln>
                    <a:noFill/>
                  </a:ln>
                </pic:spPr>
              </pic:pic>
            </a:graphicData>
          </a:graphic>
        </wp:inline>
      </w:drawing>
    </w: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C56304">
                          <w:pPr>
                            <w:pStyle w:val="3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FC56304">
                    <w:pPr>
                      <w:pStyle w:val="38"/>
                    </w:pPr>
                    <w:r>
                      <w:fldChar w:fldCharType="begin"/>
                    </w:r>
                    <w:r>
                      <w:instrText xml:space="preserve"> PAGE  \* MERGEFORMAT </w:instrText>
                    </w:r>
                    <w:r>
                      <w:fldChar w:fldCharType="separate"/>
                    </w:r>
                    <w:r>
                      <w:t>35</w:t>
                    </w:r>
                    <w:r>
                      <w:fldChar w:fldCharType="end"/>
                    </w:r>
                  </w:p>
                </w:txbxContent>
              </v:textbox>
            </v:shape>
          </w:pict>
        </mc:Fallback>
      </mc:AlternateContent>
    </w:r>
    <w:r>
      <w:rPr>
        <w:rFonts w:hint="eastAsia"/>
        <w:lang w:val="en-US" w:eastAsia="zh-CN"/>
      </w:rPr>
      <w:t xml:space="preserve">                                                                       </w:t>
    </w:r>
    <w:r>
      <w:rPr>
        <w:rFonts w:ascii="Wingdings" w:hAnsi="Wingdings" w:eastAsia="仿宋" w:cs="仿宋"/>
        <w:sz w:val="20"/>
        <w:szCs w:val="20"/>
        <w:lang w:eastAsia="zh-CN"/>
      </w:rPr>
      <w:t></w:t>
    </w:r>
    <w:r>
      <w:rPr>
        <w:rFonts w:hint="eastAsia" w:ascii="宋体" w:hAnsi="宋体" w:eastAsia="宋体" w:cs="宋体"/>
        <w:sz w:val="20"/>
        <w:szCs w:val="20"/>
        <w:lang w:val="en-US" w:eastAsia="zh-CN"/>
      </w:rPr>
      <w:t>：0873-7121919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94521">
    <w:pPr>
      <w:pStyle w:val="38"/>
      <w:tabs>
        <w:tab w:val="left" w:pos="3114"/>
        <w:tab w:val="center" w:pos="4320"/>
        <w:tab w:val="center" w:pos="7234"/>
        <w:tab w:val="right" w:pos="8640"/>
        <w:tab w:val="clear" w:pos="4153"/>
        <w:tab w:val="clear" w:pos="8306"/>
      </w:tabs>
      <w:jc w:val="left"/>
    </w:pPr>
    <w:r>
      <w:drawing>
        <wp:anchor distT="0" distB="0" distL="0" distR="0" simplePos="0" relativeHeight="251662336" behindDoc="0" locked="0" layoutInCell="1" allowOverlap="1">
          <wp:simplePos x="0" y="0"/>
          <wp:positionH relativeFrom="column">
            <wp:posOffset>52070</wp:posOffset>
          </wp:positionH>
          <wp:positionV relativeFrom="paragraph">
            <wp:posOffset>635</wp:posOffset>
          </wp:positionV>
          <wp:extent cx="2112645" cy="283845"/>
          <wp:effectExtent l="0" t="0" r="1905" b="1905"/>
          <wp:wrapNone/>
          <wp:docPr id="15" name="图片 8" descr="C:\Users\hasee\Documents\Tencent Files\591172402\FileRecv\MobileFile\Image\$`_N`8V{02}7F{_A])Z@GND.png"/>
          <wp:cNvGraphicFramePr/>
          <a:graphic xmlns:a="http://schemas.openxmlformats.org/drawingml/2006/main">
            <a:graphicData uri="http://schemas.openxmlformats.org/drawingml/2006/picture">
              <pic:pic xmlns:pic="http://schemas.openxmlformats.org/drawingml/2006/picture">
                <pic:nvPicPr>
                  <pic:cNvPr id="15" name="图片 8" descr="C:\Users\hasee\Documents\Tencent Files\591172402\FileRecv\MobileFile\Image\$`_N`8V{02}7F{_A])Z@GND.png"/>
                  <pic:cNvPicPr/>
                </pic:nvPicPr>
                <pic:blipFill>
                  <a:blip r:embed="rId1" cstate="print"/>
                  <a:srcRect/>
                  <a:stretch>
                    <a:fillRect/>
                  </a:stretch>
                </pic:blipFill>
                <pic:spPr>
                  <a:xfrm>
                    <a:off x="0" y="0"/>
                    <a:ext cx="2112645" cy="283845"/>
                  </a:xfrm>
                  <a:prstGeom prst="rect">
                    <a:avLst/>
                  </a:prstGeom>
                  <a:ln>
                    <a:noFill/>
                  </a:ln>
                </pic:spPr>
              </pic:pic>
            </a:graphicData>
          </a:graphic>
        </wp:anchor>
      </w:drawing>
    </w:r>
    <w:r>
      <w:rPr>
        <w:rFonts w:hint="eastAsia"/>
        <w:lang w:eastAsia="zh-CN"/>
      </w:rPr>
      <w:tab/>
    </w:r>
    <w:r>
      <w:rPr>
        <w:rStyle w:val="71"/>
        <w:rFonts w:hint="eastAsia" w:eastAsia="宋体"/>
        <w:b/>
        <w:sz w:val="20"/>
        <w:lang w:eastAsia="zh-CN"/>
      </w:rPr>
      <w:tab/>
    </w:r>
    <w:r>
      <w:rPr>
        <w:rStyle w:val="71"/>
        <w:rFonts w:hint="default"/>
        <w:b/>
        <w:sz w:val="20"/>
      </w:rPr>
      <w:t xml:space="preserve"> </w:t>
    </w:r>
    <w:r>
      <w:rPr>
        <w:rStyle w:val="71"/>
        <w:rFonts w:hint="eastAsia" w:eastAsia="宋体"/>
        <w:b/>
        <w:sz w:val="20"/>
        <w:lang w:val="en-US" w:eastAsia="zh-CN"/>
      </w:rPr>
      <w:t xml:space="preserve">                          67                                      </w:t>
    </w:r>
    <w:r>
      <w:rPr>
        <w:color w:val="auto"/>
      </w:rPr>
      <w:fldChar w:fldCharType="begin"/>
    </w:r>
    <w:r>
      <w:rPr>
        <w:color w:val="auto"/>
      </w:rPr>
      <w:instrText xml:space="preserve"> HYPERLINK "Tel:0873-7121919" </w:instrText>
    </w:r>
    <w:r>
      <w:rPr>
        <w:color w:val="auto"/>
      </w:rPr>
      <w:fldChar w:fldCharType="separate"/>
    </w:r>
    <w:r>
      <w:rPr>
        <w:rStyle w:val="71"/>
        <w:rFonts w:hint="default"/>
        <w:b/>
        <w:color w:val="auto"/>
        <w:sz w:val="20"/>
      </w:rPr>
      <w:t>Tel:0873-7121919</w:t>
    </w:r>
    <w:r>
      <w:rPr>
        <w:rStyle w:val="71"/>
        <w:rFonts w:hint="default"/>
        <w:b/>
        <w:color w:val="auto"/>
        <w:sz w:val="20"/>
      </w:rPr>
      <w:fldChar w:fldCharType="end"/>
    </w:r>
    <w:r>
      <w:rPr>
        <w:rFonts w:hint="eastAsia" w:ascii="宋体" w:hAnsi="宋体" w:eastAsia="宋体"/>
        <w:color w:val="1F497D"/>
        <w:sz w:val="21"/>
        <w:szCs w:val="21"/>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AD9F1">
    <w:pPr>
      <w:pStyle w:val="38"/>
      <w:tabs>
        <w:tab w:val="left" w:pos="8730"/>
        <w:tab w:val="clear" w:pos="8306"/>
      </w:tabs>
      <w:jc w:val="both"/>
      <w:rPr>
        <w:rFonts w:hint="default" w:eastAsia="宋体"/>
        <w:lang w:val="en-US"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9940BC">
                          <w:pPr>
                            <w:pStyle w:val="3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F9940BC">
                    <w:pPr>
                      <w:pStyle w:val="38"/>
                    </w:pPr>
                    <w:r>
                      <w:fldChar w:fldCharType="begin"/>
                    </w:r>
                    <w:r>
                      <w:instrText xml:space="preserve"> PAGE  \* MERGEFORMAT </w:instrText>
                    </w:r>
                    <w:r>
                      <w:fldChar w:fldCharType="separate"/>
                    </w:r>
                    <w:r>
                      <w:t>68</w:t>
                    </w:r>
                    <w:r>
                      <w:fldChar w:fldCharType="end"/>
                    </w:r>
                  </w:p>
                </w:txbxContent>
              </v:textbox>
            </v:shape>
          </w:pict>
        </mc:Fallback>
      </mc:AlternateContent>
    </w:r>
    <w:r>
      <w:drawing>
        <wp:anchor distT="0" distB="0" distL="0" distR="0" simplePos="0" relativeHeight="251660288" behindDoc="0" locked="0" layoutInCell="1" allowOverlap="1">
          <wp:simplePos x="0" y="0"/>
          <wp:positionH relativeFrom="column">
            <wp:posOffset>69215</wp:posOffset>
          </wp:positionH>
          <wp:positionV relativeFrom="paragraph">
            <wp:posOffset>1270</wp:posOffset>
          </wp:positionV>
          <wp:extent cx="2112645" cy="283845"/>
          <wp:effectExtent l="0" t="0" r="5715" b="5715"/>
          <wp:wrapNone/>
          <wp:docPr id="3" name="图片 8" descr="C:\Users\hasee\Documents\Tencent Files\591172402\FileRecv\MobileFile\Image\$`_N`8V{02}7F{_A])Z@GND.png"/>
          <wp:cNvGraphicFramePr/>
          <a:graphic xmlns:a="http://schemas.openxmlformats.org/drawingml/2006/main">
            <a:graphicData uri="http://schemas.openxmlformats.org/drawingml/2006/picture">
              <pic:pic xmlns:pic="http://schemas.openxmlformats.org/drawingml/2006/picture">
                <pic:nvPicPr>
                  <pic:cNvPr id="3" name="图片 8" descr="C:\Users\hasee\Documents\Tencent Files\591172402\FileRecv\MobileFile\Image\$`_N`8V{02}7F{_A])Z@GND.png"/>
                  <pic:cNvPicPr/>
                </pic:nvPicPr>
                <pic:blipFill>
                  <a:blip r:embed="rId1" cstate="print"/>
                  <a:srcRect/>
                  <a:stretch>
                    <a:fillRect/>
                  </a:stretch>
                </pic:blipFill>
                <pic:spPr>
                  <a:xfrm>
                    <a:off x="0" y="0"/>
                    <a:ext cx="2112645" cy="283845"/>
                  </a:xfrm>
                  <a:prstGeom prst="rect">
                    <a:avLst/>
                  </a:prstGeom>
                  <a:ln>
                    <a:noFill/>
                  </a:ln>
                </pic:spPr>
              </pic:pic>
            </a:graphicData>
          </a:graphic>
        </wp:anchor>
      </w:drawing>
    </w:r>
    <w:r>
      <w:rPr>
        <w:rStyle w:val="71"/>
        <w:rFonts w:hint="default"/>
        <w:b/>
        <w:sz w:val="20"/>
      </w:rPr>
      <w:t xml:space="preserve">           </w:t>
    </w:r>
    <w:r>
      <w:rPr>
        <w:rFonts w:hint="eastAsia" w:eastAsia="宋体"/>
        <w:lang w:eastAsia="zh-CN"/>
      </w:rPr>
      <w:tab/>
    </w:r>
    <w:r>
      <w:rPr>
        <w:rFonts w:hint="eastAsia" w:eastAsia="宋体"/>
        <w:lang w:val="en-US" w:eastAsia="zh-CN"/>
      </w:rPr>
      <w:t xml:space="preserv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"Tel:0873-7121919" </w:instrText>
    </w:r>
    <w:r>
      <w:rPr>
        <w:color w:val="000000" w:themeColor="text1"/>
        <w14:textFill>
          <w14:solidFill>
            <w14:schemeClr w14:val="tx1"/>
          </w14:solidFill>
        </w14:textFill>
      </w:rPr>
      <w:fldChar w:fldCharType="separate"/>
    </w:r>
    <w:r>
      <w:rPr>
        <w:rStyle w:val="71"/>
        <w:rFonts w:hint="default"/>
        <w:b/>
        <w:color w:val="000000" w:themeColor="text1"/>
        <w:sz w:val="20"/>
        <w14:textFill>
          <w14:solidFill>
            <w14:schemeClr w14:val="tx1"/>
          </w14:solidFill>
        </w14:textFill>
      </w:rPr>
      <w:t>Tel:0873-7121919</w:t>
    </w:r>
    <w:r>
      <w:rPr>
        <w:rStyle w:val="71"/>
        <w:rFonts w:hint="default"/>
        <w:b/>
        <w:color w:val="000000" w:themeColor="text1"/>
        <w:sz w:val="20"/>
        <w14:textFill>
          <w14:solidFill>
            <w14:schemeClr w14:val="tx1"/>
          </w14:solidFill>
        </w14:textFil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83737">
    <w:pPr>
      <w:pStyle w:val="39"/>
      <w:pBdr>
        <w:bottom w:val="thinThickSmallGap" w:color="auto" w:sz="12" w:space="1"/>
      </w:pBdr>
      <w:jc w:val="left"/>
      <w:rPr>
        <w:rFonts w:ascii="宋体" w:hAnsi="宋体" w:eastAsia="宋体"/>
        <w:sz w:val="20"/>
        <w:szCs w:val="20"/>
      </w:rPr>
    </w:pPr>
    <w:r>
      <w:rPr>
        <w:rFonts w:hint="eastAsia" w:ascii="宋体" w:hAnsi="宋体" w:eastAsia="宋体"/>
        <w:color w:val="000000" w:themeColor="text1"/>
        <w:sz w:val="19"/>
        <w:szCs w:val="19"/>
        <w:lang w:val="en-US" w:eastAsia="zh-CN"/>
        <w14:textFill>
          <w14:solidFill>
            <w14:schemeClr w14:val="tx1"/>
          </w14:solidFill>
        </w14:textFill>
      </w:rPr>
      <w:t xml:space="preserve">开远市中和营镇红薯分拣愈合中心配套附属设施及屋顶光伏自纳降本（余电上网）建设项目       </w:t>
    </w:r>
    <w:r>
      <w:rPr>
        <w:rFonts w:hint="eastAsia" w:ascii="宋体" w:hAnsi="宋体" w:eastAsia="宋体"/>
        <w:color w:val="000000" w:themeColor="text1"/>
        <w:sz w:val="19"/>
        <w:szCs w:val="19"/>
        <w14:textFill>
          <w14:solidFill>
            <w14:schemeClr w14:val="tx1"/>
          </w14:solidFill>
        </w14:textFill>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7CB4D">
    <w:pPr>
      <w:pStyle w:val="39"/>
      <w:pBdr>
        <w:bottom w:val="none" w:color="auto" w:sz="0" w:space="1"/>
      </w:pBdr>
      <w:ind w:left="160" w:hanging="160" w:hangingChars="100"/>
      <w:jc w:val="both"/>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DD500">
    <w:pPr>
      <w:pStyle w:val="39"/>
      <w:pBdr>
        <w:bottom w:val="thinThickSmallGap" w:color="auto" w:sz="12" w:space="2"/>
      </w:pBdr>
      <w:jc w:val="both"/>
      <w:rPr>
        <w:rFonts w:ascii="宋体" w:hAnsi="宋体" w:eastAsia="宋体"/>
        <w:bCs/>
      </w:rPr>
    </w:pPr>
    <w:r>
      <w:rPr>
        <w:rFonts w:hint="eastAsia" w:ascii="宋体" w:hAnsi="宋体" w:eastAsia="宋体"/>
        <w:color w:val="000000" w:themeColor="text1"/>
        <w:sz w:val="19"/>
        <w:szCs w:val="19"/>
        <w:lang w:val="en-US" w:eastAsia="zh-CN"/>
        <w14:textFill>
          <w14:solidFill>
            <w14:schemeClr w14:val="tx1"/>
          </w14:solidFill>
        </w14:textFill>
      </w:rPr>
      <w:t xml:space="preserve">开远市中和营镇红薯分拣愈合中心配套附属设施及屋顶光伏自纳降本（余电上网）建设项目 </w:t>
    </w:r>
    <w:r>
      <w:rPr>
        <w:rFonts w:hint="eastAsia" w:ascii="宋体" w:hAnsi="宋体" w:eastAsia="宋体"/>
        <w:sz w:val="19"/>
        <w:szCs w:val="19"/>
        <w:lang w:val="en-US" w:eastAsia="zh-CN"/>
      </w:rPr>
      <w:t xml:space="preserve">      </w:t>
    </w:r>
    <w:r>
      <w:rPr>
        <w:rFonts w:hint="eastAsia" w:ascii="宋体" w:hAnsi="宋体" w:eastAsia="宋体"/>
        <w:sz w:val="19"/>
        <w:szCs w:val="19"/>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BDCE2">
    <w:pPr>
      <w:pStyle w:val="39"/>
      <w:pBdr>
        <w:bottom w:val="thinThickSmallGap" w:color="auto" w:sz="12" w:space="1"/>
      </w:pBdr>
      <w:jc w:val="left"/>
      <w:rPr>
        <w:rFonts w:hint="eastAsia" w:ascii="宋体" w:hAnsi="宋体" w:eastAsia="宋体"/>
        <w:sz w:val="18"/>
        <w:szCs w:val="18"/>
        <w:lang w:val="en-US" w:eastAsia="zh-CN"/>
      </w:rPr>
    </w:pPr>
    <w:r>
      <w:rPr>
        <w:rFonts w:hint="eastAsia" w:ascii="宋体" w:hAnsi="宋体" w:eastAsia="宋体"/>
        <w:color w:val="auto"/>
        <w:sz w:val="18"/>
        <w:szCs w:val="18"/>
        <w:lang w:val="en-US" w:eastAsia="zh-CN"/>
      </w:rPr>
      <w:t xml:space="preserve">开远市中和营镇红薯分拣愈合中心配套附属设施及屋顶光伏自纳降本（余电上网）建设项目  </w:t>
    </w:r>
    <w:r>
      <w:rPr>
        <w:rFonts w:hint="eastAsia" w:ascii="宋体" w:hAnsi="宋体" w:eastAsia="宋体"/>
        <w:sz w:val="18"/>
        <w:szCs w:val="18"/>
        <w:lang w:val="en-US" w:eastAsia="zh-CN"/>
      </w:rPr>
      <w:t xml:space="preserve">      竞争性磋商文件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3AE56">
    <w:pPr>
      <w:pStyle w:val="39"/>
      <w:jc w:val="left"/>
      <w:rPr>
        <w:rFonts w:ascii="宋体" w:hAnsi="宋体" w:eastAsia="宋体"/>
        <w:sz w:val="20"/>
        <w:szCs w:val="20"/>
      </w:rPr>
    </w:pPr>
    <w:r>
      <w:rPr>
        <w:rFonts w:hint="eastAsia" w:ascii="宋体" w:hAnsi="宋体" w:eastAsia="宋体"/>
        <w:sz w:val="20"/>
        <w:szCs w:val="20"/>
        <w:lang w:val="en-US" w:eastAsia="zh-CN"/>
      </w:rPr>
      <w:t xml:space="preserve">开远市中和营镇红薯分拣愈合中心配套附属设施及屋顶光伏自纳降本（余电上网）建设项目    </w:t>
    </w:r>
    <w:r>
      <w:rPr>
        <w:rFonts w:hint="eastAsia" w:ascii="宋体" w:hAnsi="宋体" w:eastAsia="宋体"/>
        <w:sz w:val="20"/>
        <w:szCs w:val="20"/>
      </w:rPr>
      <w:t xml:space="preserve">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EE77FE"/>
    <w:multiLevelType w:val="singleLevel"/>
    <w:tmpl w:val="0CEE77FE"/>
    <w:lvl w:ilvl="0" w:tentative="0">
      <w:start w:val="5"/>
      <w:numFmt w:val="chineseCounting"/>
      <w:suff w:val="space"/>
      <w:lvlText w:val="第%1章"/>
      <w:lvlJc w:val="left"/>
      <w:rPr>
        <w:rFonts w:hint="eastAsia"/>
      </w:rPr>
    </w:lvl>
  </w:abstractNum>
  <w:abstractNum w:abstractNumId="1">
    <w:nsid w:val="1572D445"/>
    <w:multiLevelType w:val="singleLevel"/>
    <w:tmpl w:val="1572D445"/>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dit="readOnly" w:enforcement="0"/>
  <w:defaultTabStop w:val="720"/>
  <w:drawingGridHorizontalSpacing w:val="110"/>
  <w:drawingGridVerticalSpacing w:val="156"/>
  <w:displayHorizontalDrawingGridEvery w:val="1"/>
  <w:displayVerticalDrawingGridEvery w:val="1"/>
  <w:noPunctuationKerning w:val="1"/>
  <w:characterSpacingControl w:val="doNotCompress"/>
  <w:footnotePr>
    <w:footnote w:id="0"/>
    <w:footnote w:id="1"/>
  </w:foot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OTcxMTJlNGFhZTJkMDIzOGIwNDA4N2NhYmYzNDgifQ=="/>
  </w:docVars>
  <w:rsids>
    <w:rsidRoot w:val="00172A27"/>
    <w:rsid w:val="0001738E"/>
    <w:rsid w:val="00022510"/>
    <w:rsid w:val="00023EEA"/>
    <w:rsid w:val="000355D7"/>
    <w:rsid w:val="000530C3"/>
    <w:rsid w:val="00060575"/>
    <w:rsid w:val="00061636"/>
    <w:rsid w:val="00066EBC"/>
    <w:rsid w:val="00066FD5"/>
    <w:rsid w:val="0007549A"/>
    <w:rsid w:val="000844CB"/>
    <w:rsid w:val="0009075F"/>
    <w:rsid w:val="000A3039"/>
    <w:rsid w:val="000A456B"/>
    <w:rsid w:val="000C52E3"/>
    <w:rsid w:val="000E5ACB"/>
    <w:rsid w:val="000E7711"/>
    <w:rsid w:val="00107F22"/>
    <w:rsid w:val="00121098"/>
    <w:rsid w:val="00147602"/>
    <w:rsid w:val="00155318"/>
    <w:rsid w:val="00156335"/>
    <w:rsid w:val="001570FF"/>
    <w:rsid w:val="001604D3"/>
    <w:rsid w:val="0016581C"/>
    <w:rsid w:val="001670BC"/>
    <w:rsid w:val="00176C47"/>
    <w:rsid w:val="00182960"/>
    <w:rsid w:val="00194146"/>
    <w:rsid w:val="001963F2"/>
    <w:rsid w:val="001B6E1F"/>
    <w:rsid w:val="001C2EE6"/>
    <w:rsid w:val="001F1D2C"/>
    <w:rsid w:val="002009E0"/>
    <w:rsid w:val="00202FF8"/>
    <w:rsid w:val="0025120C"/>
    <w:rsid w:val="00257DED"/>
    <w:rsid w:val="00261C5B"/>
    <w:rsid w:val="002631DA"/>
    <w:rsid w:val="002658FE"/>
    <w:rsid w:val="00270B92"/>
    <w:rsid w:val="002756BC"/>
    <w:rsid w:val="0028057D"/>
    <w:rsid w:val="00297D76"/>
    <w:rsid w:val="002A705A"/>
    <w:rsid w:val="002B106F"/>
    <w:rsid w:val="002B4F6C"/>
    <w:rsid w:val="002B59C7"/>
    <w:rsid w:val="002C0338"/>
    <w:rsid w:val="002C56D6"/>
    <w:rsid w:val="002D2BB9"/>
    <w:rsid w:val="002D57F9"/>
    <w:rsid w:val="002E5D47"/>
    <w:rsid w:val="002F7C8F"/>
    <w:rsid w:val="00301F30"/>
    <w:rsid w:val="00366BA5"/>
    <w:rsid w:val="00373C19"/>
    <w:rsid w:val="003849B1"/>
    <w:rsid w:val="00387A46"/>
    <w:rsid w:val="00393A6E"/>
    <w:rsid w:val="003A043A"/>
    <w:rsid w:val="003A51C2"/>
    <w:rsid w:val="003B558A"/>
    <w:rsid w:val="003B7D80"/>
    <w:rsid w:val="003E2265"/>
    <w:rsid w:val="003E497B"/>
    <w:rsid w:val="003F0A4E"/>
    <w:rsid w:val="003F18C7"/>
    <w:rsid w:val="003F533F"/>
    <w:rsid w:val="00417212"/>
    <w:rsid w:val="0042598A"/>
    <w:rsid w:val="0042666C"/>
    <w:rsid w:val="00446F42"/>
    <w:rsid w:val="00447311"/>
    <w:rsid w:val="0045206E"/>
    <w:rsid w:val="0045211E"/>
    <w:rsid w:val="004565EA"/>
    <w:rsid w:val="00457B57"/>
    <w:rsid w:val="00462F7E"/>
    <w:rsid w:val="0046357E"/>
    <w:rsid w:val="00476475"/>
    <w:rsid w:val="004864B4"/>
    <w:rsid w:val="004A160B"/>
    <w:rsid w:val="004A68DA"/>
    <w:rsid w:val="004A6D56"/>
    <w:rsid w:val="004A6D7F"/>
    <w:rsid w:val="004B04CE"/>
    <w:rsid w:val="004C2FC6"/>
    <w:rsid w:val="004D44A0"/>
    <w:rsid w:val="004E426A"/>
    <w:rsid w:val="004E7D06"/>
    <w:rsid w:val="004F2FB0"/>
    <w:rsid w:val="004F4D31"/>
    <w:rsid w:val="00511F4A"/>
    <w:rsid w:val="00515FA8"/>
    <w:rsid w:val="00531A94"/>
    <w:rsid w:val="00534EC2"/>
    <w:rsid w:val="00542F37"/>
    <w:rsid w:val="00552988"/>
    <w:rsid w:val="005551BE"/>
    <w:rsid w:val="00571436"/>
    <w:rsid w:val="00571FB4"/>
    <w:rsid w:val="00573EAC"/>
    <w:rsid w:val="005758DD"/>
    <w:rsid w:val="00576F65"/>
    <w:rsid w:val="005848F4"/>
    <w:rsid w:val="005864A6"/>
    <w:rsid w:val="00592CFD"/>
    <w:rsid w:val="005A4B7E"/>
    <w:rsid w:val="005A6CDF"/>
    <w:rsid w:val="005B209F"/>
    <w:rsid w:val="005C3995"/>
    <w:rsid w:val="005C465D"/>
    <w:rsid w:val="005D3D58"/>
    <w:rsid w:val="005D3FB1"/>
    <w:rsid w:val="005D7900"/>
    <w:rsid w:val="005E28EF"/>
    <w:rsid w:val="005E54B9"/>
    <w:rsid w:val="005F1025"/>
    <w:rsid w:val="005F6234"/>
    <w:rsid w:val="006004A0"/>
    <w:rsid w:val="00601AFF"/>
    <w:rsid w:val="00612345"/>
    <w:rsid w:val="006174BD"/>
    <w:rsid w:val="006240C2"/>
    <w:rsid w:val="006268D1"/>
    <w:rsid w:val="00634D33"/>
    <w:rsid w:val="00640393"/>
    <w:rsid w:val="00647266"/>
    <w:rsid w:val="00660E3D"/>
    <w:rsid w:val="00663C4E"/>
    <w:rsid w:val="00665155"/>
    <w:rsid w:val="00671969"/>
    <w:rsid w:val="00671D4E"/>
    <w:rsid w:val="00673271"/>
    <w:rsid w:val="00675F40"/>
    <w:rsid w:val="00681E8D"/>
    <w:rsid w:val="006A617B"/>
    <w:rsid w:val="006A6702"/>
    <w:rsid w:val="006B3DCB"/>
    <w:rsid w:val="006C2B50"/>
    <w:rsid w:val="006C705E"/>
    <w:rsid w:val="006C7910"/>
    <w:rsid w:val="006E1B03"/>
    <w:rsid w:val="006E1EA3"/>
    <w:rsid w:val="006F0C97"/>
    <w:rsid w:val="006F1232"/>
    <w:rsid w:val="006F3B49"/>
    <w:rsid w:val="007072FA"/>
    <w:rsid w:val="00713D14"/>
    <w:rsid w:val="00724421"/>
    <w:rsid w:val="00730649"/>
    <w:rsid w:val="00731C7E"/>
    <w:rsid w:val="007340BF"/>
    <w:rsid w:val="00737BDB"/>
    <w:rsid w:val="007402CA"/>
    <w:rsid w:val="0075346B"/>
    <w:rsid w:val="007612E8"/>
    <w:rsid w:val="0078353A"/>
    <w:rsid w:val="00783CB3"/>
    <w:rsid w:val="00784F2A"/>
    <w:rsid w:val="007A4530"/>
    <w:rsid w:val="007B55D4"/>
    <w:rsid w:val="007B5E58"/>
    <w:rsid w:val="007B6EB8"/>
    <w:rsid w:val="007D38AC"/>
    <w:rsid w:val="007F6B4B"/>
    <w:rsid w:val="00814689"/>
    <w:rsid w:val="00816543"/>
    <w:rsid w:val="00824D78"/>
    <w:rsid w:val="008367B0"/>
    <w:rsid w:val="00843443"/>
    <w:rsid w:val="00844658"/>
    <w:rsid w:val="00865340"/>
    <w:rsid w:val="008929C3"/>
    <w:rsid w:val="00896372"/>
    <w:rsid w:val="008A4363"/>
    <w:rsid w:val="008A5A39"/>
    <w:rsid w:val="008C3463"/>
    <w:rsid w:val="008F5F79"/>
    <w:rsid w:val="008F6274"/>
    <w:rsid w:val="00902C2A"/>
    <w:rsid w:val="00902DB2"/>
    <w:rsid w:val="009031C2"/>
    <w:rsid w:val="00906974"/>
    <w:rsid w:val="00911EA6"/>
    <w:rsid w:val="009121B5"/>
    <w:rsid w:val="00912CBB"/>
    <w:rsid w:val="00916700"/>
    <w:rsid w:val="00920750"/>
    <w:rsid w:val="009216BE"/>
    <w:rsid w:val="009252B9"/>
    <w:rsid w:val="009714C5"/>
    <w:rsid w:val="0097186D"/>
    <w:rsid w:val="009960E2"/>
    <w:rsid w:val="009A09A0"/>
    <w:rsid w:val="009A1E0E"/>
    <w:rsid w:val="009A34E3"/>
    <w:rsid w:val="009A39FB"/>
    <w:rsid w:val="009A6D57"/>
    <w:rsid w:val="009B1883"/>
    <w:rsid w:val="009C0ACA"/>
    <w:rsid w:val="009D2868"/>
    <w:rsid w:val="009D392F"/>
    <w:rsid w:val="009E198B"/>
    <w:rsid w:val="009E48B2"/>
    <w:rsid w:val="009E6D25"/>
    <w:rsid w:val="009F2EBB"/>
    <w:rsid w:val="00A02C2E"/>
    <w:rsid w:val="00A14858"/>
    <w:rsid w:val="00A22C52"/>
    <w:rsid w:val="00A2604B"/>
    <w:rsid w:val="00A26DEC"/>
    <w:rsid w:val="00A40AA1"/>
    <w:rsid w:val="00A415FC"/>
    <w:rsid w:val="00A42D5F"/>
    <w:rsid w:val="00A4432E"/>
    <w:rsid w:val="00A452F9"/>
    <w:rsid w:val="00A63167"/>
    <w:rsid w:val="00A72DE4"/>
    <w:rsid w:val="00A769BE"/>
    <w:rsid w:val="00A818A8"/>
    <w:rsid w:val="00A84CFA"/>
    <w:rsid w:val="00A92516"/>
    <w:rsid w:val="00AA2F06"/>
    <w:rsid w:val="00AA63A2"/>
    <w:rsid w:val="00AB428F"/>
    <w:rsid w:val="00AC3D71"/>
    <w:rsid w:val="00AD501F"/>
    <w:rsid w:val="00AE10A0"/>
    <w:rsid w:val="00AE7462"/>
    <w:rsid w:val="00B07768"/>
    <w:rsid w:val="00B135C5"/>
    <w:rsid w:val="00B15E82"/>
    <w:rsid w:val="00B16E8D"/>
    <w:rsid w:val="00B344EC"/>
    <w:rsid w:val="00B35F8A"/>
    <w:rsid w:val="00B43F98"/>
    <w:rsid w:val="00B51524"/>
    <w:rsid w:val="00B6017E"/>
    <w:rsid w:val="00B61864"/>
    <w:rsid w:val="00B63A1F"/>
    <w:rsid w:val="00B96C16"/>
    <w:rsid w:val="00BA4238"/>
    <w:rsid w:val="00BA57E6"/>
    <w:rsid w:val="00BB18F8"/>
    <w:rsid w:val="00BB7047"/>
    <w:rsid w:val="00BC2B3F"/>
    <w:rsid w:val="00BC46DB"/>
    <w:rsid w:val="00BE7AB2"/>
    <w:rsid w:val="00C02C5E"/>
    <w:rsid w:val="00C07EC4"/>
    <w:rsid w:val="00C10704"/>
    <w:rsid w:val="00C10B09"/>
    <w:rsid w:val="00C136C3"/>
    <w:rsid w:val="00C14645"/>
    <w:rsid w:val="00C175F1"/>
    <w:rsid w:val="00C21FBC"/>
    <w:rsid w:val="00C24B27"/>
    <w:rsid w:val="00C30123"/>
    <w:rsid w:val="00C31209"/>
    <w:rsid w:val="00C43901"/>
    <w:rsid w:val="00C6158F"/>
    <w:rsid w:val="00C63587"/>
    <w:rsid w:val="00C7559F"/>
    <w:rsid w:val="00C764D7"/>
    <w:rsid w:val="00C775BE"/>
    <w:rsid w:val="00C84964"/>
    <w:rsid w:val="00C84D34"/>
    <w:rsid w:val="00C87243"/>
    <w:rsid w:val="00C95856"/>
    <w:rsid w:val="00CA2F00"/>
    <w:rsid w:val="00CA3250"/>
    <w:rsid w:val="00CA6F50"/>
    <w:rsid w:val="00CC35BC"/>
    <w:rsid w:val="00CC4D64"/>
    <w:rsid w:val="00CF1859"/>
    <w:rsid w:val="00CF1F18"/>
    <w:rsid w:val="00CF205F"/>
    <w:rsid w:val="00D019E4"/>
    <w:rsid w:val="00D061E2"/>
    <w:rsid w:val="00D166A5"/>
    <w:rsid w:val="00D20640"/>
    <w:rsid w:val="00D61475"/>
    <w:rsid w:val="00D70505"/>
    <w:rsid w:val="00D70577"/>
    <w:rsid w:val="00D750B2"/>
    <w:rsid w:val="00D77F4A"/>
    <w:rsid w:val="00D84037"/>
    <w:rsid w:val="00D969A5"/>
    <w:rsid w:val="00DA4422"/>
    <w:rsid w:val="00DB2839"/>
    <w:rsid w:val="00DB618E"/>
    <w:rsid w:val="00DC7C1D"/>
    <w:rsid w:val="00DD5964"/>
    <w:rsid w:val="00DE2487"/>
    <w:rsid w:val="00E00C94"/>
    <w:rsid w:val="00E0532F"/>
    <w:rsid w:val="00E149DA"/>
    <w:rsid w:val="00E17D5A"/>
    <w:rsid w:val="00E2251B"/>
    <w:rsid w:val="00E23B02"/>
    <w:rsid w:val="00E262D6"/>
    <w:rsid w:val="00E26BED"/>
    <w:rsid w:val="00E307E0"/>
    <w:rsid w:val="00E323B6"/>
    <w:rsid w:val="00E46AD2"/>
    <w:rsid w:val="00E52AC9"/>
    <w:rsid w:val="00E857A9"/>
    <w:rsid w:val="00E90963"/>
    <w:rsid w:val="00E97768"/>
    <w:rsid w:val="00EA1544"/>
    <w:rsid w:val="00EA3551"/>
    <w:rsid w:val="00EA4F28"/>
    <w:rsid w:val="00EA73AA"/>
    <w:rsid w:val="00EB1758"/>
    <w:rsid w:val="00EC1D41"/>
    <w:rsid w:val="00ED1E9B"/>
    <w:rsid w:val="00ED767D"/>
    <w:rsid w:val="00EF0FE1"/>
    <w:rsid w:val="00EF1BAD"/>
    <w:rsid w:val="00F0331B"/>
    <w:rsid w:val="00F05C75"/>
    <w:rsid w:val="00F05D5E"/>
    <w:rsid w:val="00F05E5C"/>
    <w:rsid w:val="00F12760"/>
    <w:rsid w:val="00F16BA0"/>
    <w:rsid w:val="00F23520"/>
    <w:rsid w:val="00F4561D"/>
    <w:rsid w:val="00F46D15"/>
    <w:rsid w:val="00F5051B"/>
    <w:rsid w:val="00F52A8D"/>
    <w:rsid w:val="00F54A03"/>
    <w:rsid w:val="00F9420F"/>
    <w:rsid w:val="00FA1D25"/>
    <w:rsid w:val="00FB4070"/>
    <w:rsid w:val="00FC02BF"/>
    <w:rsid w:val="00FD668E"/>
    <w:rsid w:val="00FE0230"/>
    <w:rsid w:val="00FE44D3"/>
    <w:rsid w:val="00FF6AD3"/>
    <w:rsid w:val="011078C7"/>
    <w:rsid w:val="012E2614"/>
    <w:rsid w:val="012E2A5E"/>
    <w:rsid w:val="0146777C"/>
    <w:rsid w:val="014A7E1C"/>
    <w:rsid w:val="014F4893"/>
    <w:rsid w:val="01527EDF"/>
    <w:rsid w:val="015F7CCA"/>
    <w:rsid w:val="016043AA"/>
    <w:rsid w:val="016E2F6B"/>
    <w:rsid w:val="017047A3"/>
    <w:rsid w:val="018750F0"/>
    <w:rsid w:val="01876AE3"/>
    <w:rsid w:val="018A1427"/>
    <w:rsid w:val="0199527E"/>
    <w:rsid w:val="019D675A"/>
    <w:rsid w:val="01AA7D1B"/>
    <w:rsid w:val="01AB1B9F"/>
    <w:rsid w:val="01B20715"/>
    <w:rsid w:val="01B61306"/>
    <w:rsid w:val="01C03210"/>
    <w:rsid w:val="01C319D1"/>
    <w:rsid w:val="01C45B93"/>
    <w:rsid w:val="01CA43B1"/>
    <w:rsid w:val="01CD657E"/>
    <w:rsid w:val="01CF7782"/>
    <w:rsid w:val="01D07A57"/>
    <w:rsid w:val="01DD296E"/>
    <w:rsid w:val="01E235DA"/>
    <w:rsid w:val="01ED4FFA"/>
    <w:rsid w:val="020867B8"/>
    <w:rsid w:val="021D5045"/>
    <w:rsid w:val="021E51EF"/>
    <w:rsid w:val="023A3627"/>
    <w:rsid w:val="02445490"/>
    <w:rsid w:val="024F0E8B"/>
    <w:rsid w:val="02500935"/>
    <w:rsid w:val="02704AC1"/>
    <w:rsid w:val="02704B1A"/>
    <w:rsid w:val="02866093"/>
    <w:rsid w:val="029A1B3E"/>
    <w:rsid w:val="029C0692"/>
    <w:rsid w:val="029E162E"/>
    <w:rsid w:val="02A4476B"/>
    <w:rsid w:val="02AD64F6"/>
    <w:rsid w:val="02B85DE7"/>
    <w:rsid w:val="02BA5D3C"/>
    <w:rsid w:val="02D23FF5"/>
    <w:rsid w:val="02D9767D"/>
    <w:rsid w:val="02E01C47"/>
    <w:rsid w:val="02E06CDD"/>
    <w:rsid w:val="02EE47F0"/>
    <w:rsid w:val="02F413A5"/>
    <w:rsid w:val="02FA438B"/>
    <w:rsid w:val="02FE2311"/>
    <w:rsid w:val="03057B71"/>
    <w:rsid w:val="0308181C"/>
    <w:rsid w:val="031076CD"/>
    <w:rsid w:val="031327D4"/>
    <w:rsid w:val="0321198C"/>
    <w:rsid w:val="03217B69"/>
    <w:rsid w:val="03327C97"/>
    <w:rsid w:val="0335640C"/>
    <w:rsid w:val="033A5FF3"/>
    <w:rsid w:val="034757B2"/>
    <w:rsid w:val="034C108A"/>
    <w:rsid w:val="034D7BEC"/>
    <w:rsid w:val="0371517B"/>
    <w:rsid w:val="037764D6"/>
    <w:rsid w:val="038A3960"/>
    <w:rsid w:val="038B207C"/>
    <w:rsid w:val="038C7D8D"/>
    <w:rsid w:val="03952CAF"/>
    <w:rsid w:val="03A075EF"/>
    <w:rsid w:val="03B44E81"/>
    <w:rsid w:val="03BA592F"/>
    <w:rsid w:val="03BB0A6A"/>
    <w:rsid w:val="03BF20A5"/>
    <w:rsid w:val="03C03826"/>
    <w:rsid w:val="03C9512B"/>
    <w:rsid w:val="03D02C0B"/>
    <w:rsid w:val="03D270B5"/>
    <w:rsid w:val="03E67C8A"/>
    <w:rsid w:val="03F62464"/>
    <w:rsid w:val="03F73D30"/>
    <w:rsid w:val="03F84D6E"/>
    <w:rsid w:val="0410402A"/>
    <w:rsid w:val="04243DB5"/>
    <w:rsid w:val="0431202E"/>
    <w:rsid w:val="044C0C16"/>
    <w:rsid w:val="044D7027"/>
    <w:rsid w:val="044E2BE0"/>
    <w:rsid w:val="04504BAA"/>
    <w:rsid w:val="04530A9C"/>
    <w:rsid w:val="0454276C"/>
    <w:rsid w:val="04553C59"/>
    <w:rsid w:val="0458701E"/>
    <w:rsid w:val="0475016D"/>
    <w:rsid w:val="04830A74"/>
    <w:rsid w:val="04887AC9"/>
    <w:rsid w:val="049C416F"/>
    <w:rsid w:val="04A206B7"/>
    <w:rsid w:val="04A42800"/>
    <w:rsid w:val="04A722F0"/>
    <w:rsid w:val="04AB1DE0"/>
    <w:rsid w:val="04B3212E"/>
    <w:rsid w:val="04B650E3"/>
    <w:rsid w:val="04BA5894"/>
    <w:rsid w:val="04BB7F4A"/>
    <w:rsid w:val="04C3537C"/>
    <w:rsid w:val="04D01847"/>
    <w:rsid w:val="04DE718D"/>
    <w:rsid w:val="04E31D80"/>
    <w:rsid w:val="04E52E89"/>
    <w:rsid w:val="04E81555"/>
    <w:rsid w:val="04F42D2E"/>
    <w:rsid w:val="04F77039"/>
    <w:rsid w:val="050106E4"/>
    <w:rsid w:val="05017C52"/>
    <w:rsid w:val="05047743"/>
    <w:rsid w:val="050745BF"/>
    <w:rsid w:val="051A0D14"/>
    <w:rsid w:val="052119FF"/>
    <w:rsid w:val="05290176"/>
    <w:rsid w:val="05327820"/>
    <w:rsid w:val="05467D5B"/>
    <w:rsid w:val="0547415A"/>
    <w:rsid w:val="05485881"/>
    <w:rsid w:val="0552226F"/>
    <w:rsid w:val="0552430B"/>
    <w:rsid w:val="05575AC4"/>
    <w:rsid w:val="05583808"/>
    <w:rsid w:val="055A55B4"/>
    <w:rsid w:val="0565499D"/>
    <w:rsid w:val="056B48A9"/>
    <w:rsid w:val="056B77C2"/>
    <w:rsid w:val="0574717F"/>
    <w:rsid w:val="05752EF1"/>
    <w:rsid w:val="057B6CD6"/>
    <w:rsid w:val="058368B9"/>
    <w:rsid w:val="058749B7"/>
    <w:rsid w:val="058C1C12"/>
    <w:rsid w:val="059565ED"/>
    <w:rsid w:val="05A65536"/>
    <w:rsid w:val="05AA02EA"/>
    <w:rsid w:val="05B44CC5"/>
    <w:rsid w:val="05C13E4C"/>
    <w:rsid w:val="05CA44E8"/>
    <w:rsid w:val="05CD562D"/>
    <w:rsid w:val="05D15877"/>
    <w:rsid w:val="05D95CBA"/>
    <w:rsid w:val="05DA1E05"/>
    <w:rsid w:val="05DA6E3E"/>
    <w:rsid w:val="05E54A04"/>
    <w:rsid w:val="05EE6705"/>
    <w:rsid w:val="05EF27B5"/>
    <w:rsid w:val="05FB1047"/>
    <w:rsid w:val="05FD66E6"/>
    <w:rsid w:val="06020126"/>
    <w:rsid w:val="060774EA"/>
    <w:rsid w:val="060A45E6"/>
    <w:rsid w:val="060A6FDB"/>
    <w:rsid w:val="0612612F"/>
    <w:rsid w:val="06140239"/>
    <w:rsid w:val="061452E1"/>
    <w:rsid w:val="06145C04"/>
    <w:rsid w:val="06224324"/>
    <w:rsid w:val="06293905"/>
    <w:rsid w:val="062C4707"/>
    <w:rsid w:val="0631283A"/>
    <w:rsid w:val="06336531"/>
    <w:rsid w:val="06361133"/>
    <w:rsid w:val="063E3BB1"/>
    <w:rsid w:val="06404EE5"/>
    <w:rsid w:val="064628F4"/>
    <w:rsid w:val="064C13A1"/>
    <w:rsid w:val="06533B2B"/>
    <w:rsid w:val="065B15E4"/>
    <w:rsid w:val="06604E4C"/>
    <w:rsid w:val="06693D01"/>
    <w:rsid w:val="066F111E"/>
    <w:rsid w:val="067E59E6"/>
    <w:rsid w:val="067F3525"/>
    <w:rsid w:val="068648B3"/>
    <w:rsid w:val="0689473B"/>
    <w:rsid w:val="068956E8"/>
    <w:rsid w:val="068A04B7"/>
    <w:rsid w:val="069A739A"/>
    <w:rsid w:val="069E538B"/>
    <w:rsid w:val="06A61C42"/>
    <w:rsid w:val="06AC33E0"/>
    <w:rsid w:val="06AD61A0"/>
    <w:rsid w:val="06C12AEC"/>
    <w:rsid w:val="06D60DBE"/>
    <w:rsid w:val="06DE46EF"/>
    <w:rsid w:val="06E45A7E"/>
    <w:rsid w:val="06E6761D"/>
    <w:rsid w:val="06EE7EA1"/>
    <w:rsid w:val="06F0662F"/>
    <w:rsid w:val="06F071AF"/>
    <w:rsid w:val="06F51A39"/>
    <w:rsid w:val="06FE43AB"/>
    <w:rsid w:val="070A4010"/>
    <w:rsid w:val="070B125C"/>
    <w:rsid w:val="070C0082"/>
    <w:rsid w:val="07175326"/>
    <w:rsid w:val="07177C01"/>
    <w:rsid w:val="071874D5"/>
    <w:rsid w:val="071C5217"/>
    <w:rsid w:val="07215521"/>
    <w:rsid w:val="072C7970"/>
    <w:rsid w:val="0732690E"/>
    <w:rsid w:val="073E637E"/>
    <w:rsid w:val="07411A05"/>
    <w:rsid w:val="074F368D"/>
    <w:rsid w:val="075C2E04"/>
    <w:rsid w:val="07681E7D"/>
    <w:rsid w:val="07701940"/>
    <w:rsid w:val="078013EA"/>
    <w:rsid w:val="07865918"/>
    <w:rsid w:val="078A2181"/>
    <w:rsid w:val="07B42663"/>
    <w:rsid w:val="07B54D24"/>
    <w:rsid w:val="07B9311C"/>
    <w:rsid w:val="07BC76D1"/>
    <w:rsid w:val="07C05BA3"/>
    <w:rsid w:val="07C4086A"/>
    <w:rsid w:val="07C733D5"/>
    <w:rsid w:val="07CD6512"/>
    <w:rsid w:val="07D00DC4"/>
    <w:rsid w:val="07D420AA"/>
    <w:rsid w:val="07D71AB1"/>
    <w:rsid w:val="07DD49A7"/>
    <w:rsid w:val="07EB20DE"/>
    <w:rsid w:val="07F54168"/>
    <w:rsid w:val="07F83E79"/>
    <w:rsid w:val="07FC2953"/>
    <w:rsid w:val="07FE6986"/>
    <w:rsid w:val="08085F2D"/>
    <w:rsid w:val="0810544A"/>
    <w:rsid w:val="081C749F"/>
    <w:rsid w:val="081D34D5"/>
    <w:rsid w:val="081F1FDC"/>
    <w:rsid w:val="08251861"/>
    <w:rsid w:val="082D1BA0"/>
    <w:rsid w:val="083148E3"/>
    <w:rsid w:val="084A5DB4"/>
    <w:rsid w:val="084C48BB"/>
    <w:rsid w:val="08537336"/>
    <w:rsid w:val="085C6B37"/>
    <w:rsid w:val="085E77D7"/>
    <w:rsid w:val="0869623A"/>
    <w:rsid w:val="0878022B"/>
    <w:rsid w:val="08836301"/>
    <w:rsid w:val="08856DEC"/>
    <w:rsid w:val="088A7F5F"/>
    <w:rsid w:val="08921E79"/>
    <w:rsid w:val="089522EB"/>
    <w:rsid w:val="089536F9"/>
    <w:rsid w:val="0897424E"/>
    <w:rsid w:val="08A13C26"/>
    <w:rsid w:val="08A74FB5"/>
    <w:rsid w:val="08AB244B"/>
    <w:rsid w:val="08C6543B"/>
    <w:rsid w:val="08DA4C87"/>
    <w:rsid w:val="08E73603"/>
    <w:rsid w:val="08EB6C4F"/>
    <w:rsid w:val="08F6721C"/>
    <w:rsid w:val="090146C5"/>
    <w:rsid w:val="09023F99"/>
    <w:rsid w:val="09076022"/>
    <w:rsid w:val="090766B8"/>
    <w:rsid w:val="09091AD2"/>
    <w:rsid w:val="09102B5A"/>
    <w:rsid w:val="09157670"/>
    <w:rsid w:val="09345B93"/>
    <w:rsid w:val="0939065B"/>
    <w:rsid w:val="093B0F2A"/>
    <w:rsid w:val="093C56FD"/>
    <w:rsid w:val="093F7CCB"/>
    <w:rsid w:val="094B3312"/>
    <w:rsid w:val="094B5940"/>
    <w:rsid w:val="095D2B9C"/>
    <w:rsid w:val="095F0E07"/>
    <w:rsid w:val="096B4234"/>
    <w:rsid w:val="096F0EA4"/>
    <w:rsid w:val="097053A7"/>
    <w:rsid w:val="09734E97"/>
    <w:rsid w:val="097F5263"/>
    <w:rsid w:val="098A324C"/>
    <w:rsid w:val="099031F5"/>
    <w:rsid w:val="099948FD"/>
    <w:rsid w:val="09B23C11"/>
    <w:rsid w:val="09BD7AFE"/>
    <w:rsid w:val="09C37BCC"/>
    <w:rsid w:val="09C53944"/>
    <w:rsid w:val="09D010DB"/>
    <w:rsid w:val="09D232AC"/>
    <w:rsid w:val="09D842CD"/>
    <w:rsid w:val="09E1531C"/>
    <w:rsid w:val="09E55B6A"/>
    <w:rsid w:val="09EF27F6"/>
    <w:rsid w:val="09F204B1"/>
    <w:rsid w:val="09FA6EA1"/>
    <w:rsid w:val="0A011B64"/>
    <w:rsid w:val="0A030E52"/>
    <w:rsid w:val="0A0E7BEF"/>
    <w:rsid w:val="0A260F9B"/>
    <w:rsid w:val="0A286ADF"/>
    <w:rsid w:val="0A2C2CD3"/>
    <w:rsid w:val="0A377832"/>
    <w:rsid w:val="0A3B0831"/>
    <w:rsid w:val="0A3D39CE"/>
    <w:rsid w:val="0A456833"/>
    <w:rsid w:val="0A530F50"/>
    <w:rsid w:val="0A6B47A7"/>
    <w:rsid w:val="0A72764C"/>
    <w:rsid w:val="0A742C74"/>
    <w:rsid w:val="0A7845BD"/>
    <w:rsid w:val="0A8455AD"/>
    <w:rsid w:val="0A875287"/>
    <w:rsid w:val="0A876E0E"/>
    <w:rsid w:val="0A886720"/>
    <w:rsid w:val="0A896BE4"/>
    <w:rsid w:val="0A917424"/>
    <w:rsid w:val="0A9D770B"/>
    <w:rsid w:val="0AA42D5C"/>
    <w:rsid w:val="0AB05C0F"/>
    <w:rsid w:val="0AB152FB"/>
    <w:rsid w:val="0ABE705B"/>
    <w:rsid w:val="0AC05EBA"/>
    <w:rsid w:val="0AC26155"/>
    <w:rsid w:val="0AC33D2C"/>
    <w:rsid w:val="0AC53593"/>
    <w:rsid w:val="0AC739F7"/>
    <w:rsid w:val="0ACC485F"/>
    <w:rsid w:val="0ACF3CAE"/>
    <w:rsid w:val="0AD35BED"/>
    <w:rsid w:val="0AF070A0"/>
    <w:rsid w:val="0AFA761E"/>
    <w:rsid w:val="0AFB4AED"/>
    <w:rsid w:val="0AFD2C6A"/>
    <w:rsid w:val="0B00320D"/>
    <w:rsid w:val="0B231928"/>
    <w:rsid w:val="0B3A51F7"/>
    <w:rsid w:val="0B3B6E01"/>
    <w:rsid w:val="0B3D3A27"/>
    <w:rsid w:val="0B491695"/>
    <w:rsid w:val="0B4A54DC"/>
    <w:rsid w:val="0B506D64"/>
    <w:rsid w:val="0B512FB6"/>
    <w:rsid w:val="0B521208"/>
    <w:rsid w:val="0B545CBA"/>
    <w:rsid w:val="0B596709"/>
    <w:rsid w:val="0B5B1DD6"/>
    <w:rsid w:val="0B641309"/>
    <w:rsid w:val="0B6C6634"/>
    <w:rsid w:val="0B74097E"/>
    <w:rsid w:val="0B767328"/>
    <w:rsid w:val="0B7D0518"/>
    <w:rsid w:val="0B7F7C9E"/>
    <w:rsid w:val="0B8471F3"/>
    <w:rsid w:val="0B8617FA"/>
    <w:rsid w:val="0B8B471A"/>
    <w:rsid w:val="0B8E3BFE"/>
    <w:rsid w:val="0B902C9E"/>
    <w:rsid w:val="0B9F6417"/>
    <w:rsid w:val="0BB04180"/>
    <w:rsid w:val="0BB215A6"/>
    <w:rsid w:val="0BB51797"/>
    <w:rsid w:val="0BB93035"/>
    <w:rsid w:val="0BBC4873"/>
    <w:rsid w:val="0BC905D8"/>
    <w:rsid w:val="0BC957EA"/>
    <w:rsid w:val="0BCB4B16"/>
    <w:rsid w:val="0BE272F9"/>
    <w:rsid w:val="0BE53695"/>
    <w:rsid w:val="0BEE424C"/>
    <w:rsid w:val="0BEF1BD4"/>
    <w:rsid w:val="0BEF7D50"/>
    <w:rsid w:val="0BF0790B"/>
    <w:rsid w:val="0BF32BB1"/>
    <w:rsid w:val="0C0F70F9"/>
    <w:rsid w:val="0C204729"/>
    <w:rsid w:val="0C236027"/>
    <w:rsid w:val="0C284C59"/>
    <w:rsid w:val="0C2C1909"/>
    <w:rsid w:val="0C320C0C"/>
    <w:rsid w:val="0C324B95"/>
    <w:rsid w:val="0C4A1EDF"/>
    <w:rsid w:val="0C6504DB"/>
    <w:rsid w:val="0C6861F7"/>
    <w:rsid w:val="0C6C454B"/>
    <w:rsid w:val="0C6D3E1F"/>
    <w:rsid w:val="0C881D56"/>
    <w:rsid w:val="0C8C1E7A"/>
    <w:rsid w:val="0C98005F"/>
    <w:rsid w:val="0C9F1C68"/>
    <w:rsid w:val="0CA554FE"/>
    <w:rsid w:val="0CAB33B8"/>
    <w:rsid w:val="0CC06645"/>
    <w:rsid w:val="0CDB522D"/>
    <w:rsid w:val="0CDD71F7"/>
    <w:rsid w:val="0CDE6ACB"/>
    <w:rsid w:val="0CEB51F3"/>
    <w:rsid w:val="0CF26831"/>
    <w:rsid w:val="0CF84031"/>
    <w:rsid w:val="0CF9257A"/>
    <w:rsid w:val="0CFF716D"/>
    <w:rsid w:val="0D0413DD"/>
    <w:rsid w:val="0D14171E"/>
    <w:rsid w:val="0D204061"/>
    <w:rsid w:val="0D207B65"/>
    <w:rsid w:val="0D240970"/>
    <w:rsid w:val="0D272220"/>
    <w:rsid w:val="0D29243C"/>
    <w:rsid w:val="0D314E4D"/>
    <w:rsid w:val="0D372DBB"/>
    <w:rsid w:val="0D3D6A0F"/>
    <w:rsid w:val="0D3F4828"/>
    <w:rsid w:val="0D531267"/>
    <w:rsid w:val="0D5447A5"/>
    <w:rsid w:val="0D58687D"/>
    <w:rsid w:val="0D5D1A97"/>
    <w:rsid w:val="0D693FF7"/>
    <w:rsid w:val="0D780CCE"/>
    <w:rsid w:val="0D7D0092"/>
    <w:rsid w:val="0D845CAD"/>
    <w:rsid w:val="0D8E229F"/>
    <w:rsid w:val="0D946EB2"/>
    <w:rsid w:val="0D9773A6"/>
    <w:rsid w:val="0DA046A7"/>
    <w:rsid w:val="0DB12485"/>
    <w:rsid w:val="0DBB1A3F"/>
    <w:rsid w:val="0DBC13A8"/>
    <w:rsid w:val="0DC15B78"/>
    <w:rsid w:val="0DCA5790"/>
    <w:rsid w:val="0DCB1CFB"/>
    <w:rsid w:val="0DD63885"/>
    <w:rsid w:val="0DD82720"/>
    <w:rsid w:val="0DE22CC0"/>
    <w:rsid w:val="0DE24101"/>
    <w:rsid w:val="0DED5218"/>
    <w:rsid w:val="0DF742E8"/>
    <w:rsid w:val="0DFB0E73"/>
    <w:rsid w:val="0E027E6D"/>
    <w:rsid w:val="0E035AE4"/>
    <w:rsid w:val="0E043B0D"/>
    <w:rsid w:val="0E0554AB"/>
    <w:rsid w:val="0E0E22A4"/>
    <w:rsid w:val="0E273BC3"/>
    <w:rsid w:val="0E2F6BD6"/>
    <w:rsid w:val="0E3270CE"/>
    <w:rsid w:val="0E416EC5"/>
    <w:rsid w:val="0E4D5CB6"/>
    <w:rsid w:val="0E574D87"/>
    <w:rsid w:val="0E660DAC"/>
    <w:rsid w:val="0E717634"/>
    <w:rsid w:val="0E7A630F"/>
    <w:rsid w:val="0E7C0105"/>
    <w:rsid w:val="0E7D3EA5"/>
    <w:rsid w:val="0E857BD2"/>
    <w:rsid w:val="0E8B5F5D"/>
    <w:rsid w:val="0E8B67DF"/>
    <w:rsid w:val="0E8B73D7"/>
    <w:rsid w:val="0EA734B4"/>
    <w:rsid w:val="0EAD1B53"/>
    <w:rsid w:val="0EAD6F0E"/>
    <w:rsid w:val="0EAF0FAA"/>
    <w:rsid w:val="0EB04152"/>
    <w:rsid w:val="0EB126E9"/>
    <w:rsid w:val="0EB30978"/>
    <w:rsid w:val="0EBC7F72"/>
    <w:rsid w:val="0EBF79D7"/>
    <w:rsid w:val="0EC02337"/>
    <w:rsid w:val="0EC266A4"/>
    <w:rsid w:val="0EC817E1"/>
    <w:rsid w:val="0ECB50EA"/>
    <w:rsid w:val="0ED4685A"/>
    <w:rsid w:val="0ED60470"/>
    <w:rsid w:val="0ED71BAF"/>
    <w:rsid w:val="0ED73BF2"/>
    <w:rsid w:val="0EDC27A4"/>
    <w:rsid w:val="0EE9713E"/>
    <w:rsid w:val="0F031C27"/>
    <w:rsid w:val="0F0C7767"/>
    <w:rsid w:val="0F1B08CE"/>
    <w:rsid w:val="0F1E70B5"/>
    <w:rsid w:val="0F206A87"/>
    <w:rsid w:val="0F3B0205"/>
    <w:rsid w:val="0F4107E6"/>
    <w:rsid w:val="0F430C58"/>
    <w:rsid w:val="0F4946D0"/>
    <w:rsid w:val="0F4A3B5D"/>
    <w:rsid w:val="0F514956"/>
    <w:rsid w:val="0F55224D"/>
    <w:rsid w:val="0F5979A5"/>
    <w:rsid w:val="0F6C03BE"/>
    <w:rsid w:val="0F714515"/>
    <w:rsid w:val="0F7D0B9A"/>
    <w:rsid w:val="0F7D312E"/>
    <w:rsid w:val="0F88552A"/>
    <w:rsid w:val="0F8F4204"/>
    <w:rsid w:val="0F9010A5"/>
    <w:rsid w:val="0F9140CC"/>
    <w:rsid w:val="0F975228"/>
    <w:rsid w:val="0F9E0D5D"/>
    <w:rsid w:val="0FA54557"/>
    <w:rsid w:val="0FBD11F0"/>
    <w:rsid w:val="0FBF0E36"/>
    <w:rsid w:val="0FC14173"/>
    <w:rsid w:val="0FC86C6A"/>
    <w:rsid w:val="0FCD1FD5"/>
    <w:rsid w:val="0FD22917"/>
    <w:rsid w:val="0FD50659"/>
    <w:rsid w:val="0FDB6B7C"/>
    <w:rsid w:val="0FDC5B55"/>
    <w:rsid w:val="0FE77518"/>
    <w:rsid w:val="0FEA2026"/>
    <w:rsid w:val="0FF31D66"/>
    <w:rsid w:val="0FF86B8F"/>
    <w:rsid w:val="0FFC7994"/>
    <w:rsid w:val="100A74D4"/>
    <w:rsid w:val="100D1BA1"/>
    <w:rsid w:val="10182213"/>
    <w:rsid w:val="10262C63"/>
    <w:rsid w:val="1028084A"/>
    <w:rsid w:val="102A3EF5"/>
    <w:rsid w:val="1037079D"/>
    <w:rsid w:val="10394507"/>
    <w:rsid w:val="103A1573"/>
    <w:rsid w:val="104430E9"/>
    <w:rsid w:val="1045703B"/>
    <w:rsid w:val="104A2030"/>
    <w:rsid w:val="104A6685"/>
    <w:rsid w:val="104D6442"/>
    <w:rsid w:val="105A46BB"/>
    <w:rsid w:val="105B2547"/>
    <w:rsid w:val="105C6685"/>
    <w:rsid w:val="106747F4"/>
    <w:rsid w:val="106D0892"/>
    <w:rsid w:val="106E2DCD"/>
    <w:rsid w:val="106F1332"/>
    <w:rsid w:val="10806817"/>
    <w:rsid w:val="10876B8C"/>
    <w:rsid w:val="108968C3"/>
    <w:rsid w:val="108D683E"/>
    <w:rsid w:val="109F54E6"/>
    <w:rsid w:val="10A427DA"/>
    <w:rsid w:val="10AF6EF1"/>
    <w:rsid w:val="10BB33AB"/>
    <w:rsid w:val="10C8518A"/>
    <w:rsid w:val="10D0497D"/>
    <w:rsid w:val="10D61301"/>
    <w:rsid w:val="10D74431"/>
    <w:rsid w:val="10ED1235"/>
    <w:rsid w:val="10F03CF7"/>
    <w:rsid w:val="10F466A4"/>
    <w:rsid w:val="10FA31F8"/>
    <w:rsid w:val="10FC40A6"/>
    <w:rsid w:val="10FC674D"/>
    <w:rsid w:val="1102547E"/>
    <w:rsid w:val="110F36F7"/>
    <w:rsid w:val="11164A85"/>
    <w:rsid w:val="1125116C"/>
    <w:rsid w:val="112C6057"/>
    <w:rsid w:val="112E1DCF"/>
    <w:rsid w:val="11375D7F"/>
    <w:rsid w:val="11450D38"/>
    <w:rsid w:val="11472E91"/>
    <w:rsid w:val="114E7B7E"/>
    <w:rsid w:val="115363AF"/>
    <w:rsid w:val="11555284"/>
    <w:rsid w:val="11562D43"/>
    <w:rsid w:val="11565EC8"/>
    <w:rsid w:val="115C1A4F"/>
    <w:rsid w:val="115C201D"/>
    <w:rsid w:val="116E6670"/>
    <w:rsid w:val="1171582B"/>
    <w:rsid w:val="117C3880"/>
    <w:rsid w:val="11801557"/>
    <w:rsid w:val="11811348"/>
    <w:rsid w:val="11852DFF"/>
    <w:rsid w:val="118B3557"/>
    <w:rsid w:val="118C2A26"/>
    <w:rsid w:val="11963CA8"/>
    <w:rsid w:val="11987B90"/>
    <w:rsid w:val="11AA6EBC"/>
    <w:rsid w:val="11B35AF6"/>
    <w:rsid w:val="11B52484"/>
    <w:rsid w:val="11BA2B44"/>
    <w:rsid w:val="11BD3153"/>
    <w:rsid w:val="11C03963"/>
    <w:rsid w:val="11D904CD"/>
    <w:rsid w:val="11E626AA"/>
    <w:rsid w:val="11F30116"/>
    <w:rsid w:val="11FD2036"/>
    <w:rsid w:val="12037BD5"/>
    <w:rsid w:val="12096398"/>
    <w:rsid w:val="12244F80"/>
    <w:rsid w:val="12282CC2"/>
    <w:rsid w:val="123553DF"/>
    <w:rsid w:val="12387D0E"/>
    <w:rsid w:val="123D5458"/>
    <w:rsid w:val="12457764"/>
    <w:rsid w:val="124F1AF2"/>
    <w:rsid w:val="12523397"/>
    <w:rsid w:val="12593E39"/>
    <w:rsid w:val="125F663C"/>
    <w:rsid w:val="126231ED"/>
    <w:rsid w:val="126F2923"/>
    <w:rsid w:val="127B14DB"/>
    <w:rsid w:val="12822AF2"/>
    <w:rsid w:val="128679E9"/>
    <w:rsid w:val="128B1647"/>
    <w:rsid w:val="12940358"/>
    <w:rsid w:val="12A82A7F"/>
    <w:rsid w:val="12A93D1D"/>
    <w:rsid w:val="12AD0870"/>
    <w:rsid w:val="12B15B47"/>
    <w:rsid w:val="12B67940"/>
    <w:rsid w:val="12B73171"/>
    <w:rsid w:val="12C65804"/>
    <w:rsid w:val="12D059AC"/>
    <w:rsid w:val="12D95F76"/>
    <w:rsid w:val="12F14B03"/>
    <w:rsid w:val="12F51433"/>
    <w:rsid w:val="12F57C80"/>
    <w:rsid w:val="12F708E7"/>
    <w:rsid w:val="130F3061"/>
    <w:rsid w:val="131427B8"/>
    <w:rsid w:val="131E3571"/>
    <w:rsid w:val="13394A5B"/>
    <w:rsid w:val="133B07D3"/>
    <w:rsid w:val="1347361C"/>
    <w:rsid w:val="13511E6E"/>
    <w:rsid w:val="135866B3"/>
    <w:rsid w:val="135B67E2"/>
    <w:rsid w:val="135D4BEE"/>
    <w:rsid w:val="135E6DC3"/>
    <w:rsid w:val="136046DE"/>
    <w:rsid w:val="13666BEB"/>
    <w:rsid w:val="13733E4C"/>
    <w:rsid w:val="137E6912"/>
    <w:rsid w:val="1388299F"/>
    <w:rsid w:val="138E124B"/>
    <w:rsid w:val="13991B38"/>
    <w:rsid w:val="13AC4B2D"/>
    <w:rsid w:val="13AE0FD0"/>
    <w:rsid w:val="13B86A5A"/>
    <w:rsid w:val="13BB36D5"/>
    <w:rsid w:val="13BC0B87"/>
    <w:rsid w:val="13CB7DA9"/>
    <w:rsid w:val="13CE259B"/>
    <w:rsid w:val="13D053C0"/>
    <w:rsid w:val="13D349E8"/>
    <w:rsid w:val="13D87546"/>
    <w:rsid w:val="13EB2DEB"/>
    <w:rsid w:val="13EC7D20"/>
    <w:rsid w:val="13F3091C"/>
    <w:rsid w:val="13F60920"/>
    <w:rsid w:val="13F60B9E"/>
    <w:rsid w:val="13F67AB2"/>
    <w:rsid w:val="14016C29"/>
    <w:rsid w:val="140B41BA"/>
    <w:rsid w:val="140B6562"/>
    <w:rsid w:val="14157276"/>
    <w:rsid w:val="14515DD5"/>
    <w:rsid w:val="145A0CC1"/>
    <w:rsid w:val="14674788"/>
    <w:rsid w:val="146B22BE"/>
    <w:rsid w:val="146D2C0E"/>
    <w:rsid w:val="1470190A"/>
    <w:rsid w:val="14746372"/>
    <w:rsid w:val="14771CDF"/>
    <w:rsid w:val="147815B3"/>
    <w:rsid w:val="147A37BE"/>
    <w:rsid w:val="14912630"/>
    <w:rsid w:val="14912F8F"/>
    <w:rsid w:val="14914AE2"/>
    <w:rsid w:val="149208C7"/>
    <w:rsid w:val="14A04A70"/>
    <w:rsid w:val="14A34AC6"/>
    <w:rsid w:val="14BB1903"/>
    <w:rsid w:val="14BC76F2"/>
    <w:rsid w:val="14BD2C5E"/>
    <w:rsid w:val="14C34A44"/>
    <w:rsid w:val="14C56F8C"/>
    <w:rsid w:val="14D233B9"/>
    <w:rsid w:val="14DB3F6B"/>
    <w:rsid w:val="14DE264A"/>
    <w:rsid w:val="14EF5D19"/>
    <w:rsid w:val="14F0674D"/>
    <w:rsid w:val="14F31DEF"/>
    <w:rsid w:val="14F40CE0"/>
    <w:rsid w:val="1504556B"/>
    <w:rsid w:val="15052023"/>
    <w:rsid w:val="1515098A"/>
    <w:rsid w:val="151E2FFB"/>
    <w:rsid w:val="15202377"/>
    <w:rsid w:val="15284D87"/>
    <w:rsid w:val="153E7C35"/>
    <w:rsid w:val="1544763D"/>
    <w:rsid w:val="15451DDD"/>
    <w:rsid w:val="15471230"/>
    <w:rsid w:val="155B3C11"/>
    <w:rsid w:val="156C1694"/>
    <w:rsid w:val="156D2C43"/>
    <w:rsid w:val="15756ACE"/>
    <w:rsid w:val="157C3998"/>
    <w:rsid w:val="158C17BA"/>
    <w:rsid w:val="158D108E"/>
    <w:rsid w:val="15A46B04"/>
    <w:rsid w:val="15B8435D"/>
    <w:rsid w:val="15B900D5"/>
    <w:rsid w:val="15BC578B"/>
    <w:rsid w:val="15BE4950"/>
    <w:rsid w:val="15BE749A"/>
    <w:rsid w:val="15D106D8"/>
    <w:rsid w:val="15DD6126"/>
    <w:rsid w:val="15EE2414"/>
    <w:rsid w:val="15EF58A5"/>
    <w:rsid w:val="15F2679F"/>
    <w:rsid w:val="16041350"/>
    <w:rsid w:val="160A2A50"/>
    <w:rsid w:val="161A76AE"/>
    <w:rsid w:val="161F43DC"/>
    <w:rsid w:val="16262AF7"/>
    <w:rsid w:val="162F6A59"/>
    <w:rsid w:val="1637148E"/>
    <w:rsid w:val="164C51EB"/>
    <w:rsid w:val="16526560"/>
    <w:rsid w:val="165634DE"/>
    <w:rsid w:val="16592E2D"/>
    <w:rsid w:val="166064AB"/>
    <w:rsid w:val="166A5DFE"/>
    <w:rsid w:val="166D4FB8"/>
    <w:rsid w:val="16707608"/>
    <w:rsid w:val="16731816"/>
    <w:rsid w:val="16971476"/>
    <w:rsid w:val="16A207F3"/>
    <w:rsid w:val="16AA5E25"/>
    <w:rsid w:val="16AC34C7"/>
    <w:rsid w:val="16AD2ED1"/>
    <w:rsid w:val="16B20DAC"/>
    <w:rsid w:val="16B5089D"/>
    <w:rsid w:val="16C448A6"/>
    <w:rsid w:val="16C84A74"/>
    <w:rsid w:val="16CD3E38"/>
    <w:rsid w:val="16DC7219"/>
    <w:rsid w:val="16EC7031"/>
    <w:rsid w:val="16FB600A"/>
    <w:rsid w:val="17010359"/>
    <w:rsid w:val="170B6788"/>
    <w:rsid w:val="17125CEF"/>
    <w:rsid w:val="172017A7"/>
    <w:rsid w:val="17210540"/>
    <w:rsid w:val="172761C4"/>
    <w:rsid w:val="173B3498"/>
    <w:rsid w:val="173C0FBE"/>
    <w:rsid w:val="173C153A"/>
    <w:rsid w:val="17426C7F"/>
    <w:rsid w:val="174A7237"/>
    <w:rsid w:val="174F1619"/>
    <w:rsid w:val="174F29A8"/>
    <w:rsid w:val="174F484D"/>
    <w:rsid w:val="175D340E"/>
    <w:rsid w:val="17620A24"/>
    <w:rsid w:val="17641B7D"/>
    <w:rsid w:val="1768254B"/>
    <w:rsid w:val="17696D40"/>
    <w:rsid w:val="177611A6"/>
    <w:rsid w:val="17795D6E"/>
    <w:rsid w:val="177A3491"/>
    <w:rsid w:val="177A6D5C"/>
    <w:rsid w:val="177C13BA"/>
    <w:rsid w:val="17815824"/>
    <w:rsid w:val="17824C23"/>
    <w:rsid w:val="17842DC5"/>
    <w:rsid w:val="17884203"/>
    <w:rsid w:val="178B3636"/>
    <w:rsid w:val="17902510"/>
    <w:rsid w:val="17946704"/>
    <w:rsid w:val="17946C41"/>
    <w:rsid w:val="17990F1E"/>
    <w:rsid w:val="179A0526"/>
    <w:rsid w:val="179C2844"/>
    <w:rsid w:val="17A440B9"/>
    <w:rsid w:val="17AA78EF"/>
    <w:rsid w:val="17AC2F74"/>
    <w:rsid w:val="17B220EE"/>
    <w:rsid w:val="17B42A29"/>
    <w:rsid w:val="17B87CB8"/>
    <w:rsid w:val="17BA0DCB"/>
    <w:rsid w:val="17BD01D7"/>
    <w:rsid w:val="17C47411"/>
    <w:rsid w:val="17CE7E68"/>
    <w:rsid w:val="17D00FC2"/>
    <w:rsid w:val="17D47447"/>
    <w:rsid w:val="17DD238E"/>
    <w:rsid w:val="17EF0EA2"/>
    <w:rsid w:val="180120FE"/>
    <w:rsid w:val="18057EB7"/>
    <w:rsid w:val="18074081"/>
    <w:rsid w:val="180A50C1"/>
    <w:rsid w:val="18115FA7"/>
    <w:rsid w:val="18127237"/>
    <w:rsid w:val="181B300F"/>
    <w:rsid w:val="18270A15"/>
    <w:rsid w:val="1828252B"/>
    <w:rsid w:val="182B350C"/>
    <w:rsid w:val="182C5DDD"/>
    <w:rsid w:val="183819F3"/>
    <w:rsid w:val="183D44E0"/>
    <w:rsid w:val="183F11E2"/>
    <w:rsid w:val="184B14C7"/>
    <w:rsid w:val="185542F0"/>
    <w:rsid w:val="185C5086"/>
    <w:rsid w:val="185F3E34"/>
    <w:rsid w:val="1867206B"/>
    <w:rsid w:val="18677ECD"/>
    <w:rsid w:val="186B798A"/>
    <w:rsid w:val="18703FEF"/>
    <w:rsid w:val="18722C44"/>
    <w:rsid w:val="18770500"/>
    <w:rsid w:val="187F135F"/>
    <w:rsid w:val="18853A7E"/>
    <w:rsid w:val="18893063"/>
    <w:rsid w:val="18993B86"/>
    <w:rsid w:val="189E715F"/>
    <w:rsid w:val="18A62B93"/>
    <w:rsid w:val="18A80D50"/>
    <w:rsid w:val="18AE3A07"/>
    <w:rsid w:val="18B84674"/>
    <w:rsid w:val="18B85A92"/>
    <w:rsid w:val="18BA3449"/>
    <w:rsid w:val="18C75FCB"/>
    <w:rsid w:val="18D70F9E"/>
    <w:rsid w:val="18DF2BDD"/>
    <w:rsid w:val="18E44D9B"/>
    <w:rsid w:val="18E611E1"/>
    <w:rsid w:val="18E7112D"/>
    <w:rsid w:val="18EA68A8"/>
    <w:rsid w:val="18ED07C2"/>
    <w:rsid w:val="18F17962"/>
    <w:rsid w:val="18FE73D7"/>
    <w:rsid w:val="19035315"/>
    <w:rsid w:val="19143284"/>
    <w:rsid w:val="191F63A6"/>
    <w:rsid w:val="192B12EA"/>
    <w:rsid w:val="19327927"/>
    <w:rsid w:val="1934019F"/>
    <w:rsid w:val="19341F4D"/>
    <w:rsid w:val="193A5ABD"/>
    <w:rsid w:val="194843B1"/>
    <w:rsid w:val="1954367B"/>
    <w:rsid w:val="195C7520"/>
    <w:rsid w:val="196565AA"/>
    <w:rsid w:val="196952BD"/>
    <w:rsid w:val="197467ED"/>
    <w:rsid w:val="197971A0"/>
    <w:rsid w:val="197B6EAF"/>
    <w:rsid w:val="1981715C"/>
    <w:rsid w:val="198346CC"/>
    <w:rsid w:val="1990114D"/>
    <w:rsid w:val="19A370D2"/>
    <w:rsid w:val="19B34FEC"/>
    <w:rsid w:val="19C93010"/>
    <w:rsid w:val="19D34081"/>
    <w:rsid w:val="19E00326"/>
    <w:rsid w:val="19E03E83"/>
    <w:rsid w:val="19E73463"/>
    <w:rsid w:val="19EF2318"/>
    <w:rsid w:val="1A0933D9"/>
    <w:rsid w:val="1A180098"/>
    <w:rsid w:val="1A1A1A1A"/>
    <w:rsid w:val="1A200723"/>
    <w:rsid w:val="1A206975"/>
    <w:rsid w:val="1A250AC2"/>
    <w:rsid w:val="1A276475"/>
    <w:rsid w:val="1A347BF5"/>
    <w:rsid w:val="1A3F329F"/>
    <w:rsid w:val="1A424A67"/>
    <w:rsid w:val="1A4342A0"/>
    <w:rsid w:val="1A4818D1"/>
    <w:rsid w:val="1A4C6FCC"/>
    <w:rsid w:val="1A572463"/>
    <w:rsid w:val="1A59103C"/>
    <w:rsid w:val="1A5A1E87"/>
    <w:rsid w:val="1A5F7DB9"/>
    <w:rsid w:val="1A710E87"/>
    <w:rsid w:val="1A7B1DFD"/>
    <w:rsid w:val="1A862BD8"/>
    <w:rsid w:val="1A8901A9"/>
    <w:rsid w:val="1A9B0542"/>
    <w:rsid w:val="1AA50C28"/>
    <w:rsid w:val="1AA55CF4"/>
    <w:rsid w:val="1AAE4F3F"/>
    <w:rsid w:val="1AC818DE"/>
    <w:rsid w:val="1ADC4EF5"/>
    <w:rsid w:val="1ADD6614"/>
    <w:rsid w:val="1AE4114C"/>
    <w:rsid w:val="1AE43BE7"/>
    <w:rsid w:val="1AF1474E"/>
    <w:rsid w:val="1AF20AB4"/>
    <w:rsid w:val="1AF8595E"/>
    <w:rsid w:val="1B0F5036"/>
    <w:rsid w:val="1B1801A7"/>
    <w:rsid w:val="1B2028BA"/>
    <w:rsid w:val="1B27310F"/>
    <w:rsid w:val="1B3053D8"/>
    <w:rsid w:val="1B3B1CB8"/>
    <w:rsid w:val="1B3E70B3"/>
    <w:rsid w:val="1B3F2E2B"/>
    <w:rsid w:val="1B3F762E"/>
    <w:rsid w:val="1B471924"/>
    <w:rsid w:val="1B4A0468"/>
    <w:rsid w:val="1B4B5C73"/>
    <w:rsid w:val="1B5728FE"/>
    <w:rsid w:val="1B5C3A7D"/>
    <w:rsid w:val="1B783457"/>
    <w:rsid w:val="1B822D91"/>
    <w:rsid w:val="1B8A679C"/>
    <w:rsid w:val="1B950F86"/>
    <w:rsid w:val="1B975B0B"/>
    <w:rsid w:val="1B9C5D53"/>
    <w:rsid w:val="1BB2030D"/>
    <w:rsid w:val="1BB43819"/>
    <w:rsid w:val="1BB8164A"/>
    <w:rsid w:val="1BC44BD7"/>
    <w:rsid w:val="1BC53CD8"/>
    <w:rsid w:val="1BC83D8E"/>
    <w:rsid w:val="1BD94FAF"/>
    <w:rsid w:val="1BDC0090"/>
    <w:rsid w:val="1BE9798D"/>
    <w:rsid w:val="1BFD19B2"/>
    <w:rsid w:val="1C062412"/>
    <w:rsid w:val="1C26157D"/>
    <w:rsid w:val="1C2A3D55"/>
    <w:rsid w:val="1C2C23ED"/>
    <w:rsid w:val="1C341ABB"/>
    <w:rsid w:val="1C3977EE"/>
    <w:rsid w:val="1C4037F4"/>
    <w:rsid w:val="1C44307F"/>
    <w:rsid w:val="1C472178"/>
    <w:rsid w:val="1C4B78B1"/>
    <w:rsid w:val="1C5C173E"/>
    <w:rsid w:val="1C5F19D6"/>
    <w:rsid w:val="1C6646A5"/>
    <w:rsid w:val="1C6A2058"/>
    <w:rsid w:val="1C6E1C1A"/>
    <w:rsid w:val="1C7361EE"/>
    <w:rsid w:val="1C7B45C3"/>
    <w:rsid w:val="1C7F3E27"/>
    <w:rsid w:val="1C8431EB"/>
    <w:rsid w:val="1C8C20A0"/>
    <w:rsid w:val="1C911BDE"/>
    <w:rsid w:val="1C990D57"/>
    <w:rsid w:val="1CA078F9"/>
    <w:rsid w:val="1CB33AD0"/>
    <w:rsid w:val="1CBE6D1B"/>
    <w:rsid w:val="1CC042E6"/>
    <w:rsid w:val="1CC10994"/>
    <w:rsid w:val="1CC45CDD"/>
    <w:rsid w:val="1CCA109E"/>
    <w:rsid w:val="1CD37B54"/>
    <w:rsid w:val="1CD51E9F"/>
    <w:rsid w:val="1CD81789"/>
    <w:rsid w:val="1CE123EB"/>
    <w:rsid w:val="1CE251FB"/>
    <w:rsid w:val="1CEB3211"/>
    <w:rsid w:val="1CEB326A"/>
    <w:rsid w:val="1CF069B4"/>
    <w:rsid w:val="1CF1431A"/>
    <w:rsid w:val="1CF553CD"/>
    <w:rsid w:val="1D0A2B72"/>
    <w:rsid w:val="1D0B1216"/>
    <w:rsid w:val="1D216D39"/>
    <w:rsid w:val="1D226A15"/>
    <w:rsid w:val="1D3544E5"/>
    <w:rsid w:val="1D37025D"/>
    <w:rsid w:val="1D3A4FC1"/>
    <w:rsid w:val="1D3F393E"/>
    <w:rsid w:val="1D411FB9"/>
    <w:rsid w:val="1D496A43"/>
    <w:rsid w:val="1D4B7701"/>
    <w:rsid w:val="1D514F49"/>
    <w:rsid w:val="1D6152DA"/>
    <w:rsid w:val="1D7D181A"/>
    <w:rsid w:val="1D82029E"/>
    <w:rsid w:val="1D9E208B"/>
    <w:rsid w:val="1DAA1F80"/>
    <w:rsid w:val="1DAC5457"/>
    <w:rsid w:val="1DB775F0"/>
    <w:rsid w:val="1DBB6A08"/>
    <w:rsid w:val="1DC23CF9"/>
    <w:rsid w:val="1DC5637B"/>
    <w:rsid w:val="1DC76833"/>
    <w:rsid w:val="1DC90F28"/>
    <w:rsid w:val="1DCC309C"/>
    <w:rsid w:val="1DDA6E3B"/>
    <w:rsid w:val="1DDD4A91"/>
    <w:rsid w:val="1DE127A1"/>
    <w:rsid w:val="1DE97590"/>
    <w:rsid w:val="1DF05690"/>
    <w:rsid w:val="1DF8043B"/>
    <w:rsid w:val="1DFE276C"/>
    <w:rsid w:val="1E0068A1"/>
    <w:rsid w:val="1E061749"/>
    <w:rsid w:val="1E077129"/>
    <w:rsid w:val="1E0E219C"/>
    <w:rsid w:val="1E214A6A"/>
    <w:rsid w:val="1E2D1E3B"/>
    <w:rsid w:val="1E2E78B2"/>
    <w:rsid w:val="1E32569D"/>
    <w:rsid w:val="1E326C77"/>
    <w:rsid w:val="1E346CAB"/>
    <w:rsid w:val="1E362050"/>
    <w:rsid w:val="1E4350D6"/>
    <w:rsid w:val="1E446A23"/>
    <w:rsid w:val="1E454BFC"/>
    <w:rsid w:val="1E461372"/>
    <w:rsid w:val="1E4F7829"/>
    <w:rsid w:val="1E5906A7"/>
    <w:rsid w:val="1E5D058E"/>
    <w:rsid w:val="1E6534DA"/>
    <w:rsid w:val="1E671B08"/>
    <w:rsid w:val="1E6A2177"/>
    <w:rsid w:val="1E761259"/>
    <w:rsid w:val="1E7948AA"/>
    <w:rsid w:val="1E796654"/>
    <w:rsid w:val="1E820091"/>
    <w:rsid w:val="1E937986"/>
    <w:rsid w:val="1E984700"/>
    <w:rsid w:val="1E990D30"/>
    <w:rsid w:val="1E9A0557"/>
    <w:rsid w:val="1EA450E5"/>
    <w:rsid w:val="1EA6650C"/>
    <w:rsid w:val="1EAF02B3"/>
    <w:rsid w:val="1EBB40A4"/>
    <w:rsid w:val="1ED21451"/>
    <w:rsid w:val="1ED31630"/>
    <w:rsid w:val="1ED8781E"/>
    <w:rsid w:val="1EE765F8"/>
    <w:rsid w:val="1EFB4AD3"/>
    <w:rsid w:val="1F0406E7"/>
    <w:rsid w:val="1F074A8E"/>
    <w:rsid w:val="1F0F3B96"/>
    <w:rsid w:val="1F0F722C"/>
    <w:rsid w:val="1F13191F"/>
    <w:rsid w:val="1F134CFA"/>
    <w:rsid w:val="1F1F0D56"/>
    <w:rsid w:val="1F225BA1"/>
    <w:rsid w:val="1F3074D7"/>
    <w:rsid w:val="1F3B4881"/>
    <w:rsid w:val="1F3D3B25"/>
    <w:rsid w:val="1F464788"/>
    <w:rsid w:val="1F4E5D32"/>
    <w:rsid w:val="1F557377"/>
    <w:rsid w:val="1F57615D"/>
    <w:rsid w:val="1F5C66FF"/>
    <w:rsid w:val="1F6115C2"/>
    <w:rsid w:val="1F664E2A"/>
    <w:rsid w:val="1F6D440A"/>
    <w:rsid w:val="1F6E6281"/>
    <w:rsid w:val="1F7F6F6B"/>
    <w:rsid w:val="1F8C6E3E"/>
    <w:rsid w:val="1F900C35"/>
    <w:rsid w:val="1FA61E04"/>
    <w:rsid w:val="1FA92F69"/>
    <w:rsid w:val="1FB36DFA"/>
    <w:rsid w:val="1FB931AC"/>
    <w:rsid w:val="1FBC633E"/>
    <w:rsid w:val="1FBD373E"/>
    <w:rsid w:val="1FC35DD8"/>
    <w:rsid w:val="1FC55FF4"/>
    <w:rsid w:val="1FC72D10"/>
    <w:rsid w:val="1FD82D1F"/>
    <w:rsid w:val="1FDF11D1"/>
    <w:rsid w:val="1FE30229"/>
    <w:rsid w:val="1FE81D63"/>
    <w:rsid w:val="1FF44C63"/>
    <w:rsid w:val="1FFB648B"/>
    <w:rsid w:val="20085EE1"/>
    <w:rsid w:val="201E74B3"/>
    <w:rsid w:val="20261CF6"/>
    <w:rsid w:val="20297048"/>
    <w:rsid w:val="202F7912"/>
    <w:rsid w:val="20352236"/>
    <w:rsid w:val="203E3CFD"/>
    <w:rsid w:val="20457135"/>
    <w:rsid w:val="204C2272"/>
    <w:rsid w:val="20515916"/>
    <w:rsid w:val="20521A02"/>
    <w:rsid w:val="205A0D23"/>
    <w:rsid w:val="20616418"/>
    <w:rsid w:val="207845CA"/>
    <w:rsid w:val="207B66B3"/>
    <w:rsid w:val="207F5CAC"/>
    <w:rsid w:val="20825C93"/>
    <w:rsid w:val="20847C5E"/>
    <w:rsid w:val="208D63E6"/>
    <w:rsid w:val="208D7616"/>
    <w:rsid w:val="208E41EA"/>
    <w:rsid w:val="20931A06"/>
    <w:rsid w:val="20A234C6"/>
    <w:rsid w:val="20A26336"/>
    <w:rsid w:val="20AB634A"/>
    <w:rsid w:val="20BE13B2"/>
    <w:rsid w:val="20C53E7F"/>
    <w:rsid w:val="20C55B80"/>
    <w:rsid w:val="20D81D57"/>
    <w:rsid w:val="20D96C9E"/>
    <w:rsid w:val="20DE6C42"/>
    <w:rsid w:val="20E046B5"/>
    <w:rsid w:val="20E76E52"/>
    <w:rsid w:val="20EB4451"/>
    <w:rsid w:val="210308B9"/>
    <w:rsid w:val="21160439"/>
    <w:rsid w:val="21185FBB"/>
    <w:rsid w:val="211A3402"/>
    <w:rsid w:val="212363ED"/>
    <w:rsid w:val="21283B70"/>
    <w:rsid w:val="212E1949"/>
    <w:rsid w:val="21336F8E"/>
    <w:rsid w:val="213966DD"/>
    <w:rsid w:val="2147536A"/>
    <w:rsid w:val="214A1BCC"/>
    <w:rsid w:val="214B077B"/>
    <w:rsid w:val="214F1EE7"/>
    <w:rsid w:val="21501E25"/>
    <w:rsid w:val="21513AA6"/>
    <w:rsid w:val="21575CFB"/>
    <w:rsid w:val="21617F9F"/>
    <w:rsid w:val="21642BDC"/>
    <w:rsid w:val="21696E53"/>
    <w:rsid w:val="216E1354"/>
    <w:rsid w:val="217238F5"/>
    <w:rsid w:val="21780E44"/>
    <w:rsid w:val="21896E2F"/>
    <w:rsid w:val="218C53E2"/>
    <w:rsid w:val="21926C4F"/>
    <w:rsid w:val="219F2938"/>
    <w:rsid w:val="21A86ACF"/>
    <w:rsid w:val="21B903ED"/>
    <w:rsid w:val="21CF5397"/>
    <w:rsid w:val="21DA7EAC"/>
    <w:rsid w:val="21DE0978"/>
    <w:rsid w:val="21E11403"/>
    <w:rsid w:val="21E2370E"/>
    <w:rsid w:val="21E3061D"/>
    <w:rsid w:val="21E64000"/>
    <w:rsid w:val="22015030"/>
    <w:rsid w:val="22034BB2"/>
    <w:rsid w:val="220D77DF"/>
    <w:rsid w:val="22314071"/>
    <w:rsid w:val="22315053"/>
    <w:rsid w:val="22327D0A"/>
    <w:rsid w:val="223E1C31"/>
    <w:rsid w:val="223E4EF7"/>
    <w:rsid w:val="223E6C8B"/>
    <w:rsid w:val="2259047A"/>
    <w:rsid w:val="225B5264"/>
    <w:rsid w:val="22600256"/>
    <w:rsid w:val="226A4F50"/>
    <w:rsid w:val="226C09A9"/>
    <w:rsid w:val="22714212"/>
    <w:rsid w:val="22772A4F"/>
    <w:rsid w:val="22822506"/>
    <w:rsid w:val="22837780"/>
    <w:rsid w:val="22853819"/>
    <w:rsid w:val="228A0374"/>
    <w:rsid w:val="22910410"/>
    <w:rsid w:val="229972C4"/>
    <w:rsid w:val="229B4DEB"/>
    <w:rsid w:val="22A6273A"/>
    <w:rsid w:val="22B6780B"/>
    <w:rsid w:val="22BB1281"/>
    <w:rsid w:val="22BD7457"/>
    <w:rsid w:val="22C00CF5"/>
    <w:rsid w:val="22CA0C4E"/>
    <w:rsid w:val="22CD5167"/>
    <w:rsid w:val="22DA6EFB"/>
    <w:rsid w:val="22E5075C"/>
    <w:rsid w:val="22E51343"/>
    <w:rsid w:val="22ED3731"/>
    <w:rsid w:val="22F015DA"/>
    <w:rsid w:val="22F63F25"/>
    <w:rsid w:val="22FA12EE"/>
    <w:rsid w:val="230F5811"/>
    <w:rsid w:val="23102B8F"/>
    <w:rsid w:val="231057D9"/>
    <w:rsid w:val="23114BF9"/>
    <w:rsid w:val="23124697"/>
    <w:rsid w:val="23207472"/>
    <w:rsid w:val="23244DE0"/>
    <w:rsid w:val="232B4B30"/>
    <w:rsid w:val="233A5A2D"/>
    <w:rsid w:val="23426EE9"/>
    <w:rsid w:val="23447230"/>
    <w:rsid w:val="234D6D7D"/>
    <w:rsid w:val="234F4252"/>
    <w:rsid w:val="234F5BD5"/>
    <w:rsid w:val="23536E54"/>
    <w:rsid w:val="23547880"/>
    <w:rsid w:val="23560C2E"/>
    <w:rsid w:val="235A02F8"/>
    <w:rsid w:val="23616034"/>
    <w:rsid w:val="23637302"/>
    <w:rsid w:val="2369313B"/>
    <w:rsid w:val="237607A1"/>
    <w:rsid w:val="237675AA"/>
    <w:rsid w:val="237E618A"/>
    <w:rsid w:val="23811554"/>
    <w:rsid w:val="238D01BE"/>
    <w:rsid w:val="239F6280"/>
    <w:rsid w:val="23A10B26"/>
    <w:rsid w:val="23B23A95"/>
    <w:rsid w:val="23B26890"/>
    <w:rsid w:val="23B53196"/>
    <w:rsid w:val="23C8149B"/>
    <w:rsid w:val="23C87E61"/>
    <w:rsid w:val="23DB4591"/>
    <w:rsid w:val="23E57FF0"/>
    <w:rsid w:val="23EB3443"/>
    <w:rsid w:val="23EE6686"/>
    <w:rsid w:val="23F22A71"/>
    <w:rsid w:val="23F46EA8"/>
    <w:rsid w:val="240B41F2"/>
    <w:rsid w:val="2410532D"/>
    <w:rsid w:val="242E53F3"/>
    <w:rsid w:val="242F275D"/>
    <w:rsid w:val="242F7EE0"/>
    <w:rsid w:val="2439262A"/>
    <w:rsid w:val="243A3A3D"/>
    <w:rsid w:val="243F4597"/>
    <w:rsid w:val="243F65D1"/>
    <w:rsid w:val="2446522A"/>
    <w:rsid w:val="244D2147"/>
    <w:rsid w:val="247B11AE"/>
    <w:rsid w:val="247D0EDD"/>
    <w:rsid w:val="247D252F"/>
    <w:rsid w:val="247E6772"/>
    <w:rsid w:val="24862F1D"/>
    <w:rsid w:val="24876B9B"/>
    <w:rsid w:val="248E33A2"/>
    <w:rsid w:val="24A0493A"/>
    <w:rsid w:val="24A3267C"/>
    <w:rsid w:val="24A84F7F"/>
    <w:rsid w:val="24B22C73"/>
    <w:rsid w:val="24B30B11"/>
    <w:rsid w:val="24B3606D"/>
    <w:rsid w:val="24C16D67"/>
    <w:rsid w:val="24CD612D"/>
    <w:rsid w:val="24CF23FE"/>
    <w:rsid w:val="24D07DB4"/>
    <w:rsid w:val="24D247AA"/>
    <w:rsid w:val="24D33654"/>
    <w:rsid w:val="24E54C78"/>
    <w:rsid w:val="25127648"/>
    <w:rsid w:val="2514724F"/>
    <w:rsid w:val="25191400"/>
    <w:rsid w:val="25292836"/>
    <w:rsid w:val="253D43EA"/>
    <w:rsid w:val="25443E9B"/>
    <w:rsid w:val="25494FD2"/>
    <w:rsid w:val="25671C86"/>
    <w:rsid w:val="256F255E"/>
    <w:rsid w:val="25707940"/>
    <w:rsid w:val="25784DAA"/>
    <w:rsid w:val="257A5D13"/>
    <w:rsid w:val="258960CE"/>
    <w:rsid w:val="258A3109"/>
    <w:rsid w:val="258F5E62"/>
    <w:rsid w:val="25A22934"/>
    <w:rsid w:val="25A23B72"/>
    <w:rsid w:val="25A8619C"/>
    <w:rsid w:val="25C50FC8"/>
    <w:rsid w:val="25D60750"/>
    <w:rsid w:val="25DF76E4"/>
    <w:rsid w:val="25E55B71"/>
    <w:rsid w:val="25F0600A"/>
    <w:rsid w:val="25F767DC"/>
    <w:rsid w:val="26095254"/>
    <w:rsid w:val="260E362B"/>
    <w:rsid w:val="261C2FC2"/>
    <w:rsid w:val="261E2DB3"/>
    <w:rsid w:val="2621757C"/>
    <w:rsid w:val="26301CEE"/>
    <w:rsid w:val="263100B8"/>
    <w:rsid w:val="26320FB6"/>
    <w:rsid w:val="263A1F00"/>
    <w:rsid w:val="263F7225"/>
    <w:rsid w:val="26420AFF"/>
    <w:rsid w:val="26430D15"/>
    <w:rsid w:val="264B7620"/>
    <w:rsid w:val="26534F10"/>
    <w:rsid w:val="26582ED2"/>
    <w:rsid w:val="265E6838"/>
    <w:rsid w:val="26644A96"/>
    <w:rsid w:val="2668565A"/>
    <w:rsid w:val="266B5332"/>
    <w:rsid w:val="267C4F33"/>
    <w:rsid w:val="26880ABF"/>
    <w:rsid w:val="268D77D0"/>
    <w:rsid w:val="26C012C4"/>
    <w:rsid w:val="26CA4525"/>
    <w:rsid w:val="26CD4856"/>
    <w:rsid w:val="26CF26C4"/>
    <w:rsid w:val="26D06149"/>
    <w:rsid w:val="26D910CC"/>
    <w:rsid w:val="26DE5BEE"/>
    <w:rsid w:val="26DF7460"/>
    <w:rsid w:val="26EA1863"/>
    <w:rsid w:val="26EB3E67"/>
    <w:rsid w:val="26ED5E31"/>
    <w:rsid w:val="26F471BF"/>
    <w:rsid w:val="270218DC"/>
    <w:rsid w:val="2707370C"/>
    <w:rsid w:val="270925D5"/>
    <w:rsid w:val="2714160F"/>
    <w:rsid w:val="27185A71"/>
    <w:rsid w:val="27197E70"/>
    <w:rsid w:val="27223D2C"/>
    <w:rsid w:val="27337CE7"/>
    <w:rsid w:val="273D3B5E"/>
    <w:rsid w:val="274841FC"/>
    <w:rsid w:val="274C243E"/>
    <w:rsid w:val="274E1B97"/>
    <w:rsid w:val="274F2647"/>
    <w:rsid w:val="2752270B"/>
    <w:rsid w:val="27573046"/>
    <w:rsid w:val="275F6D2E"/>
    <w:rsid w:val="27640C62"/>
    <w:rsid w:val="276F5FC6"/>
    <w:rsid w:val="277717F0"/>
    <w:rsid w:val="277A5EF6"/>
    <w:rsid w:val="278A54F1"/>
    <w:rsid w:val="27912438"/>
    <w:rsid w:val="27960276"/>
    <w:rsid w:val="27960F20"/>
    <w:rsid w:val="279B7756"/>
    <w:rsid w:val="27A110F5"/>
    <w:rsid w:val="27A9389D"/>
    <w:rsid w:val="27B32BD6"/>
    <w:rsid w:val="27CA34FC"/>
    <w:rsid w:val="27CC2534"/>
    <w:rsid w:val="27CD137A"/>
    <w:rsid w:val="27D54E5C"/>
    <w:rsid w:val="27DE08EB"/>
    <w:rsid w:val="27E11BAE"/>
    <w:rsid w:val="27EB3970"/>
    <w:rsid w:val="27EC5471"/>
    <w:rsid w:val="27F54F9D"/>
    <w:rsid w:val="27FE720C"/>
    <w:rsid w:val="28017DE6"/>
    <w:rsid w:val="281F64BE"/>
    <w:rsid w:val="28215D92"/>
    <w:rsid w:val="2826784C"/>
    <w:rsid w:val="28277120"/>
    <w:rsid w:val="28285372"/>
    <w:rsid w:val="282E6AE0"/>
    <w:rsid w:val="282F1659"/>
    <w:rsid w:val="28355CE1"/>
    <w:rsid w:val="28362260"/>
    <w:rsid w:val="28391540"/>
    <w:rsid w:val="283A32F8"/>
    <w:rsid w:val="283F3211"/>
    <w:rsid w:val="283F33E5"/>
    <w:rsid w:val="284F6DA3"/>
    <w:rsid w:val="28592810"/>
    <w:rsid w:val="285A5748"/>
    <w:rsid w:val="285C39AD"/>
    <w:rsid w:val="285C501C"/>
    <w:rsid w:val="28626A66"/>
    <w:rsid w:val="286374B0"/>
    <w:rsid w:val="28727EEF"/>
    <w:rsid w:val="287A5B68"/>
    <w:rsid w:val="28830013"/>
    <w:rsid w:val="288325A9"/>
    <w:rsid w:val="288822B5"/>
    <w:rsid w:val="28893750"/>
    <w:rsid w:val="28A039F2"/>
    <w:rsid w:val="28A12961"/>
    <w:rsid w:val="28AB1AFF"/>
    <w:rsid w:val="28AE1B9A"/>
    <w:rsid w:val="28B16177"/>
    <w:rsid w:val="28B645C5"/>
    <w:rsid w:val="28C16E8A"/>
    <w:rsid w:val="28C170F2"/>
    <w:rsid w:val="28C2164D"/>
    <w:rsid w:val="28C63D09"/>
    <w:rsid w:val="28CA3209"/>
    <w:rsid w:val="28D42E04"/>
    <w:rsid w:val="28DA48C1"/>
    <w:rsid w:val="28E37F65"/>
    <w:rsid w:val="28E57250"/>
    <w:rsid w:val="28E76A0C"/>
    <w:rsid w:val="28F80CFD"/>
    <w:rsid w:val="28FB61EA"/>
    <w:rsid w:val="28FE2577"/>
    <w:rsid w:val="28FE4325"/>
    <w:rsid w:val="29231FDE"/>
    <w:rsid w:val="29236E28"/>
    <w:rsid w:val="292D7FBD"/>
    <w:rsid w:val="294F2DD3"/>
    <w:rsid w:val="295766AF"/>
    <w:rsid w:val="295F1A78"/>
    <w:rsid w:val="296A19BB"/>
    <w:rsid w:val="296E31CA"/>
    <w:rsid w:val="296F6FD1"/>
    <w:rsid w:val="297168A5"/>
    <w:rsid w:val="2972675B"/>
    <w:rsid w:val="29746395"/>
    <w:rsid w:val="297D19D8"/>
    <w:rsid w:val="29824F56"/>
    <w:rsid w:val="29892677"/>
    <w:rsid w:val="298E4FBF"/>
    <w:rsid w:val="299875B0"/>
    <w:rsid w:val="29B42C36"/>
    <w:rsid w:val="29B80978"/>
    <w:rsid w:val="29BF3AB4"/>
    <w:rsid w:val="29DB01C2"/>
    <w:rsid w:val="29E81883"/>
    <w:rsid w:val="29F16621"/>
    <w:rsid w:val="29F2154B"/>
    <w:rsid w:val="29FF7828"/>
    <w:rsid w:val="2A0239A1"/>
    <w:rsid w:val="2A056366"/>
    <w:rsid w:val="2A076621"/>
    <w:rsid w:val="2A124435"/>
    <w:rsid w:val="2A19370C"/>
    <w:rsid w:val="2A1B3136"/>
    <w:rsid w:val="2A293624"/>
    <w:rsid w:val="2A314286"/>
    <w:rsid w:val="2A464BCD"/>
    <w:rsid w:val="2A4915D0"/>
    <w:rsid w:val="2A517E24"/>
    <w:rsid w:val="2A5D705E"/>
    <w:rsid w:val="2A617321"/>
    <w:rsid w:val="2A6A3C57"/>
    <w:rsid w:val="2A7A4703"/>
    <w:rsid w:val="2A7A783B"/>
    <w:rsid w:val="2A7F5A59"/>
    <w:rsid w:val="2A88034A"/>
    <w:rsid w:val="2A8A4FC1"/>
    <w:rsid w:val="2A943D8E"/>
    <w:rsid w:val="2A95612C"/>
    <w:rsid w:val="2A975202"/>
    <w:rsid w:val="2A991CE7"/>
    <w:rsid w:val="2AA8409B"/>
    <w:rsid w:val="2AAD7DB1"/>
    <w:rsid w:val="2AB33D59"/>
    <w:rsid w:val="2ABC1093"/>
    <w:rsid w:val="2AC24A46"/>
    <w:rsid w:val="2ACA2711"/>
    <w:rsid w:val="2ACC3B85"/>
    <w:rsid w:val="2AD70A5F"/>
    <w:rsid w:val="2AE00453"/>
    <w:rsid w:val="2AE92AD2"/>
    <w:rsid w:val="2AEF2ABE"/>
    <w:rsid w:val="2AF069B3"/>
    <w:rsid w:val="2AF43A35"/>
    <w:rsid w:val="2AFD4616"/>
    <w:rsid w:val="2B0F6376"/>
    <w:rsid w:val="2B13232E"/>
    <w:rsid w:val="2B3808A6"/>
    <w:rsid w:val="2B3F2067"/>
    <w:rsid w:val="2B400C25"/>
    <w:rsid w:val="2B451225"/>
    <w:rsid w:val="2B4A1DF2"/>
    <w:rsid w:val="2B4C6922"/>
    <w:rsid w:val="2B4D6E9E"/>
    <w:rsid w:val="2B5E10AB"/>
    <w:rsid w:val="2B634913"/>
    <w:rsid w:val="2B66797C"/>
    <w:rsid w:val="2B697826"/>
    <w:rsid w:val="2B710DDE"/>
    <w:rsid w:val="2B716C5C"/>
    <w:rsid w:val="2B7303BD"/>
    <w:rsid w:val="2B7707C0"/>
    <w:rsid w:val="2B7725EC"/>
    <w:rsid w:val="2B780AE8"/>
    <w:rsid w:val="2B931129"/>
    <w:rsid w:val="2B93457E"/>
    <w:rsid w:val="2B9845BD"/>
    <w:rsid w:val="2BA1767B"/>
    <w:rsid w:val="2BB331A5"/>
    <w:rsid w:val="2BBD4024"/>
    <w:rsid w:val="2BBE1046"/>
    <w:rsid w:val="2BC37160"/>
    <w:rsid w:val="2BC54A05"/>
    <w:rsid w:val="2BCC78D4"/>
    <w:rsid w:val="2BD65C90"/>
    <w:rsid w:val="2BDF4577"/>
    <w:rsid w:val="2BEB1424"/>
    <w:rsid w:val="2BEB6DE3"/>
    <w:rsid w:val="2BEC2B5B"/>
    <w:rsid w:val="2BF03C28"/>
    <w:rsid w:val="2BF05C5B"/>
    <w:rsid w:val="2BFA3A8F"/>
    <w:rsid w:val="2C131737"/>
    <w:rsid w:val="2C1F5453"/>
    <w:rsid w:val="2C225C6C"/>
    <w:rsid w:val="2C225D99"/>
    <w:rsid w:val="2C290243"/>
    <w:rsid w:val="2C316DA6"/>
    <w:rsid w:val="2C400FAC"/>
    <w:rsid w:val="2C427BE6"/>
    <w:rsid w:val="2C552CCF"/>
    <w:rsid w:val="2C574478"/>
    <w:rsid w:val="2C70139E"/>
    <w:rsid w:val="2C792640"/>
    <w:rsid w:val="2C8174BC"/>
    <w:rsid w:val="2C932FD6"/>
    <w:rsid w:val="2C950AFD"/>
    <w:rsid w:val="2C9B7B5C"/>
    <w:rsid w:val="2CA60F5C"/>
    <w:rsid w:val="2CAD22EA"/>
    <w:rsid w:val="2CAD4098"/>
    <w:rsid w:val="2CB73169"/>
    <w:rsid w:val="2CBC077F"/>
    <w:rsid w:val="2CBC657F"/>
    <w:rsid w:val="2CBE44F7"/>
    <w:rsid w:val="2CC87124"/>
    <w:rsid w:val="2CDA0C05"/>
    <w:rsid w:val="2CE35D0C"/>
    <w:rsid w:val="2CE36D46"/>
    <w:rsid w:val="2CEA48C8"/>
    <w:rsid w:val="2CF717B7"/>
    <w:rsid w:val="2CFD3A7F"/>
    <w:rsid w:val="2D2010F8"/>
    <w:rsid w:val="2D285E15"/>
    <w:rsid w:val="2D3D4A1E"/>
    <w:rsid w:val="2D540829"/>
    <w:rsid w:val="2D5F6728"/>
    <w:rsid w:val="2D663E81"/>
    <w:rsid w:val="2D7A5B83"/>
    <w:rsid w:val="2D7E6051"/>
    <w:rsid w:val="2D824D20"/>
    <w:rsid w:val="2D897A04"/>
    <w:rsid w:val="2D8A262B"/>
    <w:rsid w:val="2D941294"/>
    <w:rsid w:val="2D947862"/>
    <w:rsid w:val="2D9D235F"/>
    <w:rsid w:val="2DA13A3D"/>
    <w:rsid w:val="2DB525F7"/>
    <w:rsid w:val="2DB60B6B"/>
    <w:rsid w:val="2DBF0527"/>
    <w:rsid w:val="2DBF7CFA"/>
    <w:rsid w:val="2DC518B5"/>
    <w:rsid w:val="2DCA7580"/>
    <w:rsid w:val="2DD438A6"/>
    <w:rsid w:val="2DE0224B"/>
    <w:rsid w:val="2DF06DBF"/>
    <w:rsid w:val="2DF458D4"/>
    <w:rsid w:val="2E022F91"/>
    <w:rsid w:val="2E075A4E"/>
    <w:rsid w:val="2E0979F4"/>
    <w:rsid w:val="2E10387D"/>
    <w:rsid w:val="2E182CFF"/>
    <w:rsid w:val="2E1B3283"/>
    <w:rsid w:val="2E275674"/>
    <w:rsid w:val="2E2831E8"/>
    <w:rsid w:val="2E2C5491"/>
    <w:rsid w:val="2E3E271C"/>
    <w:rsid w:val="2E440A2C"/>
    <w:rsid w:val="2E556795"/>
    <w:rsid w:val="2E597D96"/>
    <w:rsid w:val="2E6764C9"/>
    <w:rsid w:val="2E6E7857"/>
    <w:rsid w:val="2E717EF4"/>
    <w:rsid w:val="2E742C26"/>
    <w:rsid w:val="2E8D5C9E"/>
    <w:rsid w:val="2E8F76EA"/>
    <w:rsid w:val="2E953A12"/>
    <w:rsid w:val="2E982DBF"/>
    <w:rsid w:val="2E9A064C"/>
    <w:rsid w:val="2E9A689E"/>
    <w:rsid w:val="2E9D5E57"/>
    <w:rsid w:val="2E9F2106"/>
    <w:rsid w:val="2EA22FD5"/>
    <w:rsid w:val="2EA339A5"/>
    <w:rsid w:val="2EBE16CE"/>
    <w:rsid w:val="2EC76F67"/>
    <w:rsid w:val="2ED516AC"/>
    <w:rsid w:val="2ED9128D"/>
    <w:rsid w:val="2EDE5ED4"/>
    <w:rsid w:val="2EE43EE4"/>
    <w:rsid w:val="2EFC2674"/>
    <w:rsid w:val="2F034443"/>
    <w:rsid w:val="2F0A069B"/>
    <w:rsid w:val="2F0A6DA1"/>
    <w:rsid w:val="2F1253D6"/>
    <w:rsid w:val="2F1971CF"/>
    <w:rsid w:val="2F397E65"/>
    <w:rsid w:val="2F407445"/>
    <w:rsid w:val="2F4131BE"/>
    <w:rsid w:val="2F4F511B"/>
    <w:rsid w:val="2F4F66E2"/>
    <w:rsid w:val="2F527179"/>
    <w:rsid w:val="2F5922B5"/>
    <w:rsid w:val="2F66503B"/>
    <w:rsid w:val="2F7A6DF0"/>
    <w:rsid w:val="2F844072"/>
    <w:rsid w:val="2F8D65C4"/>
    <w:rsid w:val="2F944E39"/>
    <w:rsid w:val="2FAF0127"/>
    <w:rsid w:val="2FB04947"/>
    <w:rsid w:val="2FD65136"/>
    <w:rsid w:val="2FE34275"/>
    <w:rsid w:val="2FEB5637"/>
    <w:rsid w:val="2FEB770C"/>
    <w:rsid w:val="2FF34C20"/>
    <w:rsid w:val="2FF6557D"/>
    <w:rsid w:val="2FFC6F54"/>
    <w:rsid w:val="2FFC7007"/>
    <w:rsid w:val="300913C7"/>
    <w:rsid w:val="30113336"/>
    <w:rsid w:val="3017730B"/>
    <w:rsid w:val="301864A5"/>
    <w:rsid w:val="301E705B"/>
    <w:rsid w:val="302029C5"/>
    <w:rsid w:val="3029043A"/>
    <w:rsid w:val="302B4288"/>
    <w:rsid w:val="302C636E"/>
    <w:rsid w:val="30320D68"/>
    <w:rsid w:val="30336FAA"/>
    <w:rsid w:val="303E00CC"/>
    <w:rsid w:val="303E7BA7"/>
    <w:rsid w:val="304A6847"/>
    <w:rsid w:val="305A1FAD"/>
    <w:rsid w:val="30600618"/>
    <w:rsid w:val="30723411"/>
    <w:rsid w:val="307F5833"/>
    <w:rsid w:val="30914F19"/>
    <w:rsid w:val="30A84981"/>
    <w:rsid w:val="30BC2363"/>
    <w:rsid w:val="30BE5669"/>
    <w:rsid w:val="30C34927"/>
    <w:rsid w:val="30D17158"/>
    <w:rsid w:val="30DD2A72"/>
    <w:rsid w:val="30E65DCB"/>
    <w:rsid w:val="30EA3CD2"/>
    <w:rsid w:val="30F76EBF"/>
    <w:rsid w:val="30FE5197"/>
    <w:rsid w:val="31027F12"/>
    <w:rsid w:val="31043EBC"/>
    <w:rsid w:val="310B5831"/>
    <w:rsid w:val="3112521D"/>
    <w:rsid w:val="312237C1"/>
    <w:rsid w:val="31230A7A"/>
    <w:rsid w:val="312406A1"/>
    <w:rsid w:val="312B1F96"/>
    <w:rsid w:val="312D6718"/>
    <w:rsid w:val="3135646C"/>
    <w:rsid w:val="31413001"/>
    <w:rsid w:val="315C3C06"/>
    <w:rsid w:val="31626F38"/>
    <w:rsid w:val="316831C3"/>
    <w:rsid w:val="3172523C"/>
    <w:rsid w:val="317927A2"/>
    <w:rsid w:val="31802E9D"/>
    <w:rsid w:val="3198640D"/>
    <w:rsid w:val="3199346D"/>
    <w:rsid w:val="31A6555A"/>
    <w:rsid w:val="31A976E9"/>
    <w:rsid w:val="31AD4B3A"/>
    <w:rsid w:val="31BC3137"/>
    <w:rsid w:val="31D43E75"/>
    <w:rsid w:val="31D60522"/>
    <w:rsid w:val="31E0281A"/>
    <w:rsid w:val="31E038BD"/>
    <w:rsid w:val="31ED35C3"/>
    <w:rsid w:val="31FD02B8"/>
    <w:rsid w:val="31FD161E"/>
    <w:rsid w:val="31FE2C3E"/>
    <w:rsid w:val="32006BF3"/>
    <w:rsid w:val="321042D9"/>
    <w:rsid w:val="321C4825"/>
    <w:rsid w:val="322051DC"/>
    <w:rsid w:val="3227199F"/>
    <w:rsid w:val="322A69E6"/>
    <w:rsid w:val="322D652C"/>
    <w:rsid w:val="32364B30"/>
    <w:rsid w:val="32423DD3"/>
    <w:rsid w:val="32427031"/>
    <w:rsid w:val="32453E8A"/>
    <w:rsid w:val="324808F5"/>
    <w:rsid w:val="325356E2"/>
    <w:rsid w:val="325A081E"/>
    <w:rsid w:val="326962EB"/>
    <w:rsid w:val="326A2A2B"/>
    <w:rsid w:val="326C26DE"/>
    <w:rsid w:val="32747406"/>
    <w:rsid w:val="32751AE4"/>
    <w:rsid w:val="32870EE7"/>
    <w:rsid w:val="328F3FFE"/>
    <w:rsid w:val="329F26D5"/>
    <w:rsid w:val="32A26F06"/>
    <w:rsid w:val="32A41A99"/>
    <w:rsid w:val="32A6235A"/>
    <w:rsid w:val="32B048E2"/>
    <w:rsid w:val="32B948C5"/>
    <w:rsid w:val="32C30AD1"/>
    <w:rsid w:val="32C31CA5"/>
    <w:rsid w:val="32EF1AD0"/>
    <w:rsid w:val="32F12805"/>
    <w:rsid w:val="32F7747F"/>
    <w:rsid w:val="330B38C7"/>
    <w:rsid w:val="33224582"/>
    <w:rsid w:val="332D53DD"/>
    <w:rsid w:val="33356B95"/>
    <w:rsid w:val="333E5082"/>
    <w:rsid w:val="33466FF4"/>
    <w:rsid w:val="33483B2E"/>
    <w:rsid w:val="33525999"/>
    <w:rsid w:val="33616DEA"/>
    <w:rsid w:val="33792144"/>
    <w:rsid w:val="33812E13"/>
    <w:rsid w:val="33835B53"/>
    <w:rsid w:val="338813BB"/>
    <w:rsid w:val="3388542B"/>
    <w:rsid w:val="338D4C23"/>
    <w:rsid w:val="33936678"/>
    <w:rsid w:val="339678DA"/>
    <w:rsid w:val="33972B2C"/>
    <w:rsid w:val="339D3202"/>
    <w:rsid w:val="33B757FC"/>
    <w:rsid w:val="33C00B55"/>
    <w:rsid w:val="33CA01DB"/>
    <w:rsid w:val="33CD6DCE"/>
    <w:rsid w:val="33D12D62"/>
    <w:rsid w:val="33D53ED4"/>
    <w:rsid w:val="33DB2361"/>
    <w:rsid w:val="33DD1FE6"/>
    <w:rsid w:val="33E04D53"/>
    <w:rsid w:val="33E17995"/>
    <w:rsid w:val="33E53476"/>
    <w:rsid w:val="33EC7B9C"/>
    <w:rsid w:val="33FE6B43"/>
    <w:rsid w:val="34013F08"/>
    <w:rsid w:val="34036447"/>
    <w:rsid w:val="34056568"/>
    <w:rsid w:val="340741EC"/>
    <w:rsid w:val="340842AA"/>
    <w:rsid w:val="340A0C95"/>
    <w:rsid w:val="342373C2"/>
    <w:rsid w:val="342804A8"/>
    <w:rsid w:val="342E1E02"/>
    <w:rsid w:val="342F687D"/>
    <w:rsid w:val="343F4BEF"/>
    <w:rsid w:val="345968B4"/>
    <w:rsid w:val="345D17BF"/>
    <w:rsid w:val="345E211C"/>
    <w:rsid w:val="346720E8"/>
    <w:rsid w:val="34687A3C"/>
    <w:rsid w:val="346911EC"/>
    <w:rsid w:val="346B272E"/>
    <w:rsid w:val="346C157A"/>
    <w:rsid w:val="346F4329"/>
    <w:rsid w:val="34757858"/>
    <w:rsid w:val="347817A7"/>
    <w:rsid w:val="347C26E3"/>
    <w:rsid w:val="34831B82"/>
    <w:rsid w:val="3489363D"/>
    <w:rsid w:val="34937AB1"/>
    <w:rsid w:val="34964A34"/>
    <w:rsid w:val="349B59CE"/>
    <w:rsid w:val="34B166F0"/>
    <w:rsid w:val="34B23FD0"/>
    <w:rsid w:val="34C9252D"/>
    <w:rsid w:val="34D33033"/>
    <w:rsid w:val="34D46371"/>
    <w:rsid w:val="34D50630"/>
    <w:rsid w:val="34DF12B3"/>
    <w:rsid w:val="34E90496"/>
    <w:rsid w:val="34EA2CE8"/>
    <w:rsid w:val="34F541AF"/>
    <w:rsid w:val="35120EB7"/>
    <w:rsid w:val="35133BA9"/>
    <w:rsid w:val="351849C1"/>
    <w:rsid w:val="351B1DBB"/>
    <w:rsid w:val="351F5D4F"/>
    <w:rsid w:val="352232FB"/>
    <w:rsid w:val="352275ED"/>
    <w:rsid w:val="35232CD2"/>
    <w:rsid w:val="3529272A"/>
    <w:rsid w:val="35315EB3"/>
    <w:rsid w:val="353415B6"/>
    <w:rsid w:val="3536009F"/>
    <w:rsid w:val="353C54BF"/>
    <w:rsid w:val="353F1F4D"/>
    <w:rsid w:val="35415CC5"/>
    <w:rsid w:val="3546371D"/>
    <w:rsid w:val="3546508A"/>
    <w:rsid w:val="355A144A"/>
    <w:rsid w:val="355D5442"/>
    <w:rsid w:val="356A4F5A"/>
    <w:rsid w:val="356C0AC5"/>
    <w:rsid w:val="3578720D"/>
    <w:rsid w:val="358B1B16"/>
    <w:rsid w:val="359107D8"/>
    <w:rsid w:val="35942299"/>
    <w:rsid w:val="359A7D5D"/>
    <w:rsid w:val="359F0C3E"/>
    <w:rsid w:val="35A10512"/>
    <w:rsid w:val="35B80919"/>
    <w:rsid w:val="35C470FB"/>
    <w:rsid w:val="35CC40AE"/>
    <w:rsid w:val="35D00DF7"/>
    <w:rsid w:val="35D00E91"/>
    <w:rsid w:val="35D96D71"/>
    <w:rsid w:val="35E540A6"/>
    <w:rsid w:val="35F35F66"/>
    <w:rsid w:val="36015455"/>
    <w:rsid w:val="36150858"/>
    <w:rsid w:val="36200098"/>
    <w:rsid w:val="36251019"/>
    <w:rsid w:val="362C19FD"/>
    <w:rsid w:val="362C24D2"/>
    <w:rsid w:val="362F388D"/>
    <w:rsid w:val="36306FC2"/>
    <w:rsid w:val="3642045F"/>
    <w:rsid w:val="364315C9"/>
    <w:rsid w:val="36455DE4"/>
    <w:rsid w:val="36541FE9"/>
    <w:rsid w:val="36564F74"/>
    <w:rsid w:val="365B4E4E"/>
    <w:rsid w:val="36633A19"/>
    <w:rsid w:val="367479D5"/>
    <w:rsid w:val="3677586A"/>
    <w:rsid w:val="36795E32"/>
    <w:rsid w:val="36806379"/>
    <w:rsid w:val="3682618A"/>
    <w:rsid w:val="368F0CB2"/>
    <w:rsid w:val="368F4996"/>
    <w:rsid w:val="36940077"/>
    <w:rsid w:val="36960BAA"/>
    <w:rsid w:val="36A0160A"/>
    <w:rsid w:val="36A3181F"/>
    <w:rsid w:val="36A53BE5"/>
    <w:rsid w:val="36BD5B7E"/>
    <w:rsid w:val="36C22C7F"/>
    <w:rsid w:val="36C56482"/>
    <w:rsid w:val="36C6569E"/>
    <w:rsid w:val="36C7044C"/>
    <w:rsid w:val="36E67791"/>
    <w:rsid w:val="36E91DE6"/>
    <w:rsid w:val="36F90F37"/>
    <w:rsid w:val="37037CA2"/>
    <w:rsid w:val="37040B5C"/>
    <w:rsid w:val="37060700"/>
    <w:rsid w:val="370914FF"/>
    <w:rsid w:val="371D5B51"/>
    <w:rsid w:val="371F3DE4"/>
    <w:rsid w:val="371F5B92"/>
    <w:rsid w:val="37225683"/>
    <w:rsid w:val="37296D67"/>
    <w:rsid w:val="37465815"/>
    <w:rsid w:val="3752732D"/>
    <w:rsid w:val="375D7468"/>
    <w:rsid w:val="376079F3"/>
    <w:rsid w:val="37615703"/>
    <w:rsid w:val="378254C0"/>
    <w:rsid w:val="37904CE2"/>
    <w:rsid w:val="379F4F25"/>
    <w:rsid w:val="37A24824"/>
    <w:rsid w:val="37A91900"/>
    <w:rsid w:val="37AB46D2"/>
    <w:rsid w:val="37C53FE6"/>
    <w:rsid w:val="37C93D50"/>
    <w:rsid w:val="37CE75B8"/>
    <w:rsid w:val="37DE3C9F"/>
    <w:rsid w:val="37E31666"/>
    <w:rsid w:val="37EA028C"/>
    <w:rsid w:val="37EB0ABF"/>
    <w:rsid w:val="37ED0D37"/>
    <w:rsid w:val="37F05781"/>
    <w:rsid w:val="37F100CA"/>
    <w:rsid w:val="37F214F9"/>
    <w:rsid w:val="380D38A8"/>
    <w:rsid w:val="380F5C07"/>
    <w:rsid w:val="3810372D"/>
    <w:rsid w:val="381C11C1"/>
    <w:rsid w:val="38360AF9"/>
    <w:rsid w:val="383C09C6"/>
    <w:rsid w:val="38453C51"/>
    <w:rsid w:val="385B52F0"/>
    <w:rsid w:val="385C2357"/>
    <w:rsid w:val="38610C69"/>
    <w:rsid w:val="389425B0"/>
    <w:rsid w:val="38945341"/>
    <w:rsid w:val="38966328"/>
    <w:rsid w:val="389F6E96"/>
    <w:rsid w:val="38AE0341"/>
    <w:rsid w:val="38B30C88"/>
    <w:rsid w:val="38B5724D"/>
    <w:rsid w:val="38BA3F7D"/>
    <w:rsid w:val="38BC7C26"/>
    <w:rsid w:val="38C22C79"/>
    <w:rsid w:val="38E3046C"/>
    <w:rsid w:val="38E93CA1"/>
    <w:rsid w:val="38EA21D0"/>
    <w:rsid w:val="38EC5325"/>
    <w:rsid w:val="38EE1CC0"/>
    <w:rsid w:val="38FB43DD"/>
    <w:rsid w:val="39002C13"/>
    <w:rsid w:val="39090859"/>
    <w:rsid w:val="390929EB"/>
    <w:rsid w:val="39131995"/>
    <w:rsid w:val="391C2FF4"/>
    <w:rsid w:val="39261261"/>
    <w:rsid w:val="392C4597"/>
    <w:rsid w:val="392E47B3"/>
    <w:rsid w:val="3930176F"/>
    <w:rsid w:val="393145CE"/>
    <w:rsid w:val="39336414"/>
    <w:rsid w:val="39364146"/>
    <w:rsid w:val="394107D3"/>
    <w:rsid w:val="3953366E"/>
    <w:rsid w:val="3958538C"/>
    <w:rsid w:val="395A1981"/>
    <w:rsid w:val="3967002F"/>
    <w:rsid w:val="396A549B"/>
    <w:rsid w:val="396C100C"/>
    <w:rsid w:val="396D7A86"/>
    <w:rsid w:val="398248AB"/>
    <w:rsid w:val="398676AD"/>
    <w:rsid w:val="39922FC5"/>
    <w:rsid w:val="39987617"/>
    <w:rsid w:val="39A86313"/>
    <w:rsid w:val="39AB4779"/>
    <w:rsid w:val="39AE3B05"/>
    <w:rsid w:val="39B14C69"/>
    <w:rsid w:val="39B72A6D"/>
    <w:rsid w:val="39B80797"/>
    <w:rsid w:val="39B85321"/>
    <w:rsid w:val="39B87BC4"/>
    <w:rsid w:val="39BA0167"/>
    <w:rsid w:val="39BA2596"/>
    <w:rsid w:val="39BA4298"/>
    <w:rsid w:val="39D645BB"/>
    <w:rsid w:val="39DC28A8"/>
    <w:rsid w:val="39EE6B45"/>
    <w:rsid w:val="39F50E2C"/>
    <w:rsid w:val="3A033549"/>
    <w:rsid w:val="3A050B93"/>
    <w:rsid w:val="3A064DE8"/>
    <w:rsid w:val="3A0B22E8"/>
    <w:rsid w:val="3A0B619D"/>
    <w:rsid w:val="3A0B68A2"/>
    <w:rsid w:val="3A0D3962"/>
    <w:rsid w:val="3A0D4911"/>
    <w:rsid w:val="3A1350E1"/>
    <w:rsid w:val="3A197F6C"/>
    <w:rsid w:val="3A3068B7"/>
    <w:rsid w:val="3A31545D"/>
    <w:rsid w:val="3A36684E"/>
    <w:rsid w:val="3A3D25E3"/>
    <w:rsid w:val="3A3F654C"/>
    <w:rsid w:val="3A410516"/>
    <w:rsid w:val="3A451DB4"/>
    <w:rsid w:val="3A463CB7"/>
    <w:rsid w:val="3A4D3D87"/>
    <w:rsid w:val="3A5E3A01"/>
    <w:rsid w:val="3A614714"/>
    <w:rsid w:val="3A6845EA"/>
    <w:rsid w:val="3A6A181A"/>
    <w:rsid w:val="3A6F6FB5"/>
    <w:rsid w:val="3A742699"/>
    <w:rsid w:val="3A743766"/>
    <w:rsid w:val="3A745BAF"/>
    <w:rsid w:val="3A7461F5"/>
    <w:rsid w:val="3A856654"/>
    <w:rsid w:val="3A857B51"/>
    <w:rsid w:val="3A8C38DD"/>
    <w:rsid w:val="3A8F4D08"/>
    <w:rsid w:val="3AC24F2B"/>
    <w:rsid w:val="3ACD1DA9"/>
    <w:rsid w:val="3ACF63AB"/>
    <w:rsid w:val="3AD24BB0"/>
    <w:rsid w:val="3ADA09C7"/>
    <w:rsid w:val="3ADA78F5"/>
    <w:rsid w:val="3ADB0D33"/>
    <w:rsid w:val="3AE6134A"/>
    <w:rsid w:val="3AEA6AD2"/>
    <w:rsid w:val="3AEF31FD"/>
    <w:rsid w:val="3AF30E23"/>
    <w:rsid w:val="3AF94C7B"/>
    <w:rsid w:val="3AFA0F15"/>
    <w:rsid w:val="3AFE6791"/>
    <w:rsid w:val="3B0A50CC"/>
    <w:rsid w:val="3B1061ED"/>
    <w:rsid w:val="3B243D56"/>
    <w:rsid w:val="3B3F3957"/>
    <w:rsid w:val="3B40257B"/>
    <w:rsid w:val="3B402DBE"/>
    <w:rsid w:val="3B4E4A39"/>
    <w:rsid w:val="3B563553"/>
    <w:rsid w:val="3B645955"/>
    <w:rsid w:val="3B674AED"/>
    <w:rsid w:val="3B697D24"/>
    <w:rsid w:val="3B6C1D5D"/>
    <w:rsid w:val="3B6D6DB8"/>
    <w:rsid w:val="3B796759"/>
    <w:rsid w:val="3B7B35B3"/>
    <w:rsid w:val="3B82288A"/>
    <w:rsid w:val="3B8B15B8"/>
    <w:rsid w:val="3B8D5106"/>
    <w:rsid w:val="3B983AC9"/>
    <w:rsid w:val="3BA12BFE"/>
    <w:rsid w:val="3BA521BC"/>
    <w:rsid w:val="3BA83101"/>
    <w:rsid w:val="3BB05D81"/>
    <w:rsid w:val="3BB52F69"/>
    <w:rsid w:val="3BB645EB"/>
    <w:rsid w:val="3BB9597F"/>
    <w:rsid w:val="3BBD597A"/>
    <w:rsid w:val="3BC304E1"/>
    <w:rsid w:val="3BC82CE8"/>
    <w:rsid w:val="3BD056AD"/>
    <w:rsid w:val="3BD97804"/>
    <w:rsid w:val="3BF03FA1"/>
    <w:rsid w:val="3BF05D4F"/>
    <w:rsid w:val="3BFB3B3A"/>
    <w:rsid w:val="3BFE0815"/>
    <w:rsid w:val="3C0504D3"/>
    <w:rsid w:val="3C054809"/>
    <w:rsid w:val="3C1046AE"/>
    <w:rsid w:val="3C1119C8"/>
    <w:rsid w:val="3C1D40E0"/>
    <w:rsid w:val="3C21415B"/>
    <w:rsid w:val="3C241E9D"/>
    <w:rsid w:val="3C2D6FA3"/>
    <w:rsid w:val="3C386797"/>
    <w:rsid w:val="3C3D521D"/>
    <w:rsid w:val="3C3E4D0D"/>
    <w:rsid w:val="3C432323"/>
    <w:rsid w:val="3C4B11D8"/>
    <w:rsid w:val="3C5F7D6F"/>
    <w:rsid w:val="3C633A10"/>
    <w:rsid w:val="3C6B7C8B"/>
    <w:rsid w:val="3C7E4D7D"/>
    <w:rsid w:val="3C8E25CB"/>
    <w:rsid w:val="3C914678"/>
    <w:rsid w:val="3C952218"/>
    <w:rsid w:val="3C9B6C5B"/>
    <w:rsid w:val="3C9C5ED7"/>
    <w:rsid w:val="3CA5097A"/>
    <w:rsid w:val="3CB62885"/>
    <w:rsid w:val="3CB964A5"/>
    <w:rsid w:val="3CBA6E0F"/>
    <w:rsid w:val="3CBC671F"/>
    <w:rsid w:val="3CC270E2"/>
    <w:rsid w:val="3CC55A13"/>
    <w:rsid w:val="3CC72F54"/>
    <w:rsid w:val="3CF4186F"/>
    <w:rsid w:val="3D047A16"/>
    <w:rsid w:val="3D053A7C"/>
    <w:rsid w:val="3D21520A"/>
    <w:rsid w:val="3D357310"/>
    <w:rsid w:val="3D4C146F"/>
    <w:rsid w:val="3D5B0BAC"/>
    <w:rsid w:val="3D5B3034"/>
    <w:rsid w:val="3D5B5B9F"/>
    <w:rsid w:val="3D5D68D7"/>
    <w:rsid w:val="3D6036BC"/>
    <w:rsid w:val="3D607843"/>
    <w:rsid w:val="3D62061F"/>
    <w:rsid w:val="3D651D8C"/>
    <w:rsid w:val="3D6C688F"/>
    <w:rsid w:val="3D6E271C"/>
    <w:rsid w:val="3D74084F"/>
    <w:rsid w:val="3D7A7FC6"/>
    <w:rsid w:val="3D7C61F2"/>
    <w:rsid w:val="3D920C36"/>
    <w:rsid w:val="3DA9184E"/>
    <w:rsid w:val="3DB338E8"/>
    <w:rsid w:val="3DB76351"/>
    <w:rsid w:val="3DC56D68"/>
    <w:rsid w:val="3DDF7E2A"/>
    <w:rsid w:val="3DE23DBE"/>
    <w:rsid w:val="3DE25EAF"/>
    <w:rsid w:val="3DF53AF1"/>
    <w:rsid w:val="3E0047CB"/>
    <w:rsid w:val="3E0519A4"/>
    <w:rsid w:val="3E0F0532"/>
    <w:rsid w:val="3E0F525C"/>
    <w:rsid w:val="3E1C4172"/>
    <w:rsid w:val="3E263CAA"/>
    <w:rsid w:val="3E2B12C1"/>
    <w:rsid w:val="3E374422"/>
    <w:rsid w:val="3E3F4D6C"/>
    <w:rsid w:val="3E50516A"/>
    <w:rsid w:val="3E530817"/>
    <w:rsid w:val="3E547D41"/>
    <w:rsid w:val="3E611186"/>
    <w:rsid w:val="3E622809"/>
    <w:rsid w:val="3E642A25"/>
    <w:rsid w:val="3E7419E1"/>
    <w:rsid w:val="3E773C13"/>
    <w:rsid w:val="3E7762B4"/>
    <w:rsid w:val="3E796C49"/>
    <w:rsid w:val="3E7F796F"/>
    <w:rsid w:val="3EA03A5D"/>
    <w:rsid w:val="3EA766CA"/>
    <w:rsid w:val="3EAA48DB"/>
    <w:rsid w:val="3EB017C6"/>
    <w:rsid w:val="3EB275B0"/>
    <w:rsid w:val="3EB43064"/>
    <w:rsid w:val="3EB63280"/>
    <w:rsid w:val="3EBB608E"/>
    <w:rsid w:val="3EC06CDA"/>
    <w:rsid w:val="3EC51715"/>
    <w:rsid w:val="3EDC6A5F"/>
    <w:rsid w:val="3EE46869"/>
    <w:rsid w:val="3EE4706F"/>
    <w:rsid w:val="3EE622A0"/>
    <w:rsid w:val="3EEC0538"/>
    <w:rsid w:val="3EEF054D"/>
    <w:rsid w:val="3EF47905"/>
    <w:rsid w:val="3F087854"/>
    <w:rsid w:val="3F254C92"/>
    <w:rsid w:val="3F36167A"/>
    <w:rsid w:val="3F374DC4"/>
    <w:rsid w:val="3F402085"/>
    <w:rsid w:val="3F43593B"/>
    <w:rsid w:val="3F4846B7"/>
    <w:rsid w:val="3F4A5F7B"/>
    <w:rsid w:val="3F4C124A"/>
    <w:rsid w:val="3F5202F2"/>
    <w:rsid w:val="3F56236D"/>
    <w:rsid w:val="3F593DB4"/>
    <w:rsid w:val="3F5C5BBA"/>
    <w:rsid w:val="3F5F045A"/>
    <w:rsid w:val="3F604F9A"/>
    <w:rsid w:val="3F671AFA"/>
    <w:rsid w:val="3F6A3810"/>
    <w:rsid w:val="3F717852"/>
    <w:rsid w:val="3F79605C"/>
    <w:rsid w:val="3F7B0026"/>
    <w:rsid w:val="3F7C496E"/>
    <w:rsid w:val="3F7E3672"/>
    <w:rsid w:val="3F8033DB"/>
    <w:rsid w:val="3F8A1761"/>
    <w:rsid w:val="3F8D77CD"/>
    <w:rsid w:val="3F980BD8"/>
    <w:rsid w:val="3F9C20DF"/>
    <w:rsid w:val="3FA40D52"/>
    <w:rsid w:val="3FA41FA0"/>
    <w:rsid w:val="3FAA090B"/>
    <w:rsid w:val="3FB377C0"/>
    <w:rsid w:val="3FB53538"/>
    <w:rsid w:val="3FC01EDD"/>
    <w:rsid w:val="3FC421A7"/>
    <w:rsid w:val="3FDB1AD6"/>
    <w:rsid w:val="3FDC26AA"/>
    <w:rsid w:val="3FDE7D85"/>
    <w:rsid w:val="3FE31B96"/>
    <w:rsid w:val="3FE43E1D"/>
    <w:rsid w:val="3FE71217"/>
    <w:rsid w:val="3FEB2B55"/>
    <w:rsid w:val="3FEC2CD2"/>
    <w:rsid w:val="400C5122"/>
    <w:rsid w:val="401A64B9"/>
    <w:rsid w:val="40212E38"/>
    <w:rsid w:val="402406BD"/>
    <w:rsid w:val="402D5DDD"/>
    <w:rsid w:val="402E431D"/>
    <w:rsid w:val="40451DEB"/>
    <w:rsid w:val="40553BE5"/>
    <w:rsid w:val="405C6911"/>
    <w:rsid w:val="4061721C"/>
    <w:rsid w:val="40632F94"/>
    <w:rsid w:val="406D0562"/>
    <w:rsid w:val="406D3E12"/>
    <w:rsid w:val="406E7B8B"/>
    <w:rsid w:val="407705F1"/>
    <w:rsid w:val="408714F4"/>
    <w:rsid w:val="4099592E"/>
    <w:rsid w:val="409D60D9"/>
    <w:rsid w:val="40A315E2"/>
    <w:rsid w:val="40A63FF9"/>
    <w:rsid w:val="40AB0821"/>
    <w:rsid w:val="40B45915"/>
    <w:rsid w:val="40BA4B7E"/>
    <w:rsid w:val="40D40557"/>
    <w:rsid w:val="40D52D12"/>
    <w:rsid w:val="40DC46D9"/>
    <w:rsid w:val="40DD3817"/>
    <w:rsid w:val="40E66544"/>
    <w:rsid w:val="40E816EB"/>
    <w:rsid w:val="40E82AB2"/>
    <w:rsid w:val="40E90FBF"/>
    <w:rsid w:val="40ED1A87"/>
    <w:rsid w:val="40EE65D6"/>
    <w:rsid w:val="40F17A9D"/>
    <w:rsid w:val="40F21F7B"/>
    <w:rsid w:val="40FA4F7A"/>
    <w:rsid w:val="40FC44F7"/>
    <w:rsid w:val="41016CF9"/>
    <w:rsid w:val="41061B71"/>
    <w:rsid w:val="41134241"/>
    <w:rsid w:val="411424E0"/>
    <w:rsid w:val="41180BF1"/>
    <w:rsid w:val="41202A9C"/>
    <w:rsid w:val="412F7BB0"/>
    <w:rsid w:val="413228D8"/>
    <w:rsid w:val="413D1A37"/>
    <w:rsid w:val="4142704D"/>
    <w:rsid w:val="4153125A"/>
    <w:rsid w:val="415B0C42"/>
    <w:rsid w:val="41656898"/>
    <w:rsid w:val="417020A3"/>
    <w:rsid w:val="417A275F"/>
    <w:rsid w:val="41820198"/>
    <w:rsid w:val="41847666"/>
    <w:rsid w:val="418827F1"/>
    <w:rsid w:val="418C651A"/>
    <w:rsid w:val="419510BE"/>
    <w:rsid w:val="4195321A"/>
    <w:rsid w:val="419F2972"/>
    <w:rsid w:val="41A01FC6"/>
    <w:rsid w:val="41A41AB6"/>
    <w:rsid w:val="41A53138"/>
    <w:rsid w:val="41AA2E44"/>
    <w:rsid w:val="41AB7846"/>
    <w:rsid w:val="41AC32BB"/>
    <w:rsid w:val="41B0087D"/>
    <w:rsid w:val="41B1293B"/>
    <w:rsid w:val="41C41259"/>
    <w:rsid w:val="41CB397B"/>
    <w:rsid w:val="41CD4CCA"/>
    <w:rsid w:val="41DB5A1C"/>
    <w:rsid w:val="41E20D84"/>
    <w:rsid w:val="41E579D9"/>
    <w:rsid w:val="41E8208F"/>
    <w:rsid w:val="41EF6800"/>
    <w:rsid w:val="41F45E6E"/>
    <w:rsid w:val="41F9054A"/>
    <w:rsid w:val="41FF0A9A"/>
    <w:rsid w:val="42053613"/>
    <w:rsid w:val="42114C71"/>
    <w:rsid w:val="423E7632"/>
    <w:rsid w:val="42437296"/>
    <w:rsid w:val="4269380A"/>
    <w:rsid w:val="427A624B"/>
    <w:rsid w:val="42800CA1"/>
    <w:rsid w:val="42801AD2"/>
    <w:rsid w:val="42925DB2"/>
    <w:rsid w:val="429342B8"/>
    <w:rsid w:val="429C09DF"/>
    <w:rsid w:val="42AB11F0"/>
    <w:rsid w:val="42B37AD7"/>
    <w:rsid w:val="42B724FA"/>
    <w:rsid w:val="42BC4ABD"/>
    <w:rsid w:val="42BF09A3"/>
    <w:rsid w:val="42C43A92"/>
    <w:rsid w:val="42CA4229"/>
    <w:rsid w:val="42DA0D6D"/>
    <w:rsid w:val="42EF6D61"/>
    <w:rsid w:val="42F02AD9"/>
    <w:rsid w:val="43010842"/>
    <w:rsid w:val="430D368B"/>
    <w:rsid w:val="43235EA7"/>
    <w:rsid w:val="432437DA"/>
    <w:rsid w:val="43277C2C"/>
    <w:rsid w:val="43293596"/>
    <w:rsid w:val="43340CF9"/>
    <w:rsid w:val="4335752B"/>
    <w:rsid w:val="4336634F"/>
    <w:rsid w:val="4340580E"/>
    <w:rsid w:val="43424035"/>
    <w:rsid w:val="434E5F85"/>
    <w:rsid w:val="435A28FE"/>
    <w:rsid w:val="4365252A"/>
    <w:rsid w:val="436D20D5"/>
    <w:rsid w:val="43713C1A"/>
    <w:rsid w:val="437867D6"/>
    <w:rsid w:val="438B1507"/>
    <w:rsid w:val="4397344C"/>
    <w:rsid w:val="43A01F5D"/>
    <w:rsid w:val="43B8743E"/>
    <w:rsid w:val="43BB4E95"/>
    <w:rsid w:val="43C318D9"/>
    <w:rsid w:val="43CF0316"/>
    <w:rsid w:val="43D95B62"/>
    <w:rsid w:val="43DB72E5"/>
    <w:rsid w:val="43E75C8A"/>
    <w:rsid w:val="43F06AA6"/>
    <w:rsid w:val="43F263DD"/>
    <w:rsid w:val="44006D4C"/>
    <w:rsid w:val="44052598"/>
    <w:rsid w:val="440A3217"/>
    <w:rsid w:val="440E5049"/>
    <w:rsid w:val="440F49AF"/>
    <w:rsid w:val="441373AC"/>
    <w:rsid w:val="44190025"/>
    <w:rsid w:val="441A6B4D"/>
    <w:rsid w:val="44242A3A"/>
    <w:rsid w:val="442A3DC9"/>
    <w:rsid w:val="442A5B77"/>
    <w:rsid w:val="442C78FE"/>
    <w:rsid w:val="443429F1"/>
    <w:rsid w:val="443C2A18"/>
    <w:rsid w:val="44464108"/>
    <w:rsid w:val="44481E68"/>
    <w:rsid w:val="444A302F"/>
    <w:rsid w:val="444E06D9"/>
    <w:rsid w:val="447A36EA"/>
    <w:rsid w:val="448336CE"/>
    <w:rsid w:val="4493196E"/>
    <w:rsid w:val="44AA29F8"/>
    <w:rsid w:val="44AB7D4D"/>
    <w:rsid w:val="44AE49FA"/>
    <w:rsid w:val="44B10F31"/>
    <w:rsid w:val="44B244EA"/>
    <w:rsid w:val="44BD69EB"/>
    <w:rsid w:val="44C0340D"/>
    <w:rsid w:val="44C4166B"/>
    <w:rsid w:val="44C51C3D"/>
    <w:rsid w:val="44DB27B4"/>
    <w:rsid w:val="44E43C4A"/>
    <w:rsid w:val="44F34843"/>
    <w:rsid w:val="45034778"/>
    <w:rsid w:val="450665E4"/>
    <w:rsid w:val="45091C30"/>
    <w:rsid w:val="450E535F"/>
    <w:rsid w:val="451346C4"/>
    <w:rsid w:val="451D0320"/>
    <w:rsid w:val="451F7F5F"/>
    <w:rsid w:val="45246FAE"/>
    <w:rsid w:val="45303661"/>
    <w:rsid w:val="45316FD3"/>
    <w:rsid w:val="45336CAD"/>
    <w:rsid w:val="453A6EC5"/>
    <w:rsid w:val="453E3FCF"/>
    <w:rsid w:val="453F4A39"/>
    <w:rsid w:val="45442EBF"/>
    <w:rsid w:val="455425DA"/>
    <w:rsid w:val="4554487E"/>
    <w:rsid w:val="4561381A"/>
    <w:rsid w:val="45631F21"/>
    <w:rsid w:val="4567582F"/>
    <w:rsid w:val="45701392"/>
    <w:rsid w:val="457336AC"/>
    <w:rsid w:val="458341E8"/>
    <w:rsid w:val="45835E86"/>
    <w:rsid w:val="458614D2"/>
    <w:rsid w:val="45865100"/>
    <w:rsid w:val="458B264A"/>
    <w:rsid w:val="458C1482"/>
    <w:rsid w:val="4594056B"/>
    <w:rsid w:val="459566FB"/>
    <w:rsid w:val="4597548E"/>
    <w:rsid w:val="459B31D0"/>
    <w:rsid w:val="45A1535D"/>
    <w:rsid w:val="45A54BBF"/>
    <w:rsid w:val="45AB1B76"/>
    <w:rsid w:val="45AB5BB1"/>
    <w:rsid w:val="45B1654F"/>
    <w:rsid w:val="45BD1E2F"/>
    <w:rsid w:val="45CF2E79"/>
    <w:rsid w:val="45D154AB"/>
    <w:rsid w:val="45D80042"/>
    <w:rsid w:val="45D978DB"/>
    <w:rsid w:val="45DB2524"/>
    <w:rsid w:val="45E2495B"/>
    <w:rsid w:val="45E87A97"/>
    <w:rsid w:val="45ED2A6A"/>
    <w:rsid w:val="45F97EF6"/>
    <w:rsid w:val="45FF375F"/>
    <w:rsid w:val="45FF46D5"/>
    <w:rsid w:val="460A170A"/>
    <w:rsid w:val="4611146D"/>
    <w:rsid w:val="46116FEE"/>
    <w:rsid w:val="46184820"/>
    <w:rsid w:val="461B0756"/>
    <w:rsid w:val="46233152"/>
    <w:rsid w:val="463311B9"/>
    <w:rsid w:val="463D6035"/>
    <w:rsid w:val="46496788"/>
    <w:rsid w:val="465B2217"/>
    <w:rsid w:val="4665739F"/>
    <w:rsid w:val="46737197"/>
    <w:rsid w:val="467517CD"/>
    <w:rsid w:val="46752B6D"/>
    <w:rsid w:val="467711CD"/>
    <w:rsid w:val="46784F46"/>
    <w:rsid w:val="46832F2A"/>
    <w:rsid w:val="468504C1"/>
    <w:rsid w:val="468E6EDA"/>
    <w:rsid w:val="46927782"/>
    <w:rsid w:val="46956BB4"/>
    <w:rsid w:val="46A12B43"/>
    <w:rsid w:val="46AA0282"/>
    <w:rsid w:val="46AB233E"/>
    <w:rsid w:val="46AF6ABC"/>
    <w:rsid w:val="46B21F49"/>
    <w:rsid w:val="46B50D28"/>
    <w:rsid w:val="46B81B60"/>
    <w:rsid w:val="46BE7000"/>
    <w:rsid w:val="46E14FC2"/>
    <w:rsid w:val="46E15B56"/>
    <w:rsid w:val="46E645BF"/>
    <w:rsid w:val="46F154AE"/>
    <w:rsid w:val="46FA3F26"/>
    <w:rsid w:val="47036C96"/>
    <w:rsid w:val="47054205"/>
    <w:rsid w:val="47095F17"/>
    <w:rsid w:val="470A7758"/>
    <w:rsid w:val="47100921"/>
    <w:rsid w:val="47180682"/>
    <w:rsid w:val="472227AF"/>
    <w:rsid w:val="472E7329"/>
    <w:rsid w:val="472F1E22"/>
    <w:rsid w:val="47392CA0"/>
    <w:rsid w:val="473A2575"/>
    <w:rsid w:val="47517680"/>
    <w:rsid w:val="475746C8"/>
    <w:rsid w:val="476926B0"/>
    <w:rsid w:val="47762AB3"/>
    <w:rsid w:val="47814D2D"/>
    <w:rsid w:val="478937D1"/>
    <w:rsid w:val="478C7274"/>
    <w:rsid w:val="478D5C82"/>
    <w:rsid w:val="479E7246"/>
    <w:rsid w:val="47A6346E"/>
    <w:rsid w:val="47B507BB"/>
    <w:rsid w:val="47B55C54"/>
    <w:rsid w:val="47B90677"/>
    <w:rsid w:val="47C00CCC"/>
    <w:rsid w:val="47C811AD"/>
    <w:rsid w:val="47D91D8D"/>
    <w:rsid w:val="47DF157F"/>
    <w:rsid w:val="47E25C5C"/>
    <w:rsid w:val="47E650B3"/>
    <w:rsid w:val="47EC5C01"/>
    <w:rsid w:val="47F13323"/>
    <w:rsid w:val="47F70346"/>
    <w:rsid w:val="47FD3CCE"/>
    <w:rsid w:val="48057A4B"/>
    <w:rsid w:val="480B438A"/>
    <w:rsid w:val="48135C91"/>
    <w:rsid w:val="481500C7"/>
    <w:rsid w:val="481E3C44"/>
    <w:rsid w:val="481F02A1"/>
    <w:rsid w:val="482701A7"/>
    <w:rsid w:val="482754D9"/>
    <w:rsid w:val="482E537F"/>
    <w:rsid w:val="483418AC"/>
    <w:rsid w:val="484216E1"/>
    <w:rsid w:val="484713ED"/>
    <w:rsid w:val="484A2C8B"/>
    <w:rsid w:val="484C255F"/>
    <w:rsid w:val="48510FFB"/>
    <w:rsid w:val="485247A6"/>
    <w:rsid w:val="485853A8"/>
    <w:rsid w:val="485F1572"/>
    <w:rsid w:val="485F6737"/>
    <w:rsid w:val="486356C4"/>
    <w:rsid w:val="486362F5"/>
    <w:rsid w:val="486413E4"/>
    <w:rsid w:val="48663969"/>
    <w:rsid w:val="486F705F"/>
    <w:rsid w:val="48735006"/>
    <w:rsid w:val="4875625C"/>
    <w:rsid w:val="48880A20"/>
    <w:rsid w:val="488944A5"/>
    <w:rsid w:val="488C11E1"/>
    <w:rsid w:val="489C7870"/>
    <w:rsid w:val="48B366B6"/>
    <w:rsid w:val="48B56357"/>
    <w:rsid w:val="48C12F4D"/>
    <w:rsid w:val="48C51F1C"/>
    <w:rsid w:val="48C77E38"/>
    <w:rsid w:val="48CC1003"/>
    <w:rsid w:val="48CC544E"/>
    <w:rsid w:val="48CE11C6"/>
    <w:rsid w:val="48DA4B22"/>
    <w:rsid w:val="48E05181"/>
    <w:rsid w:val="48E46EA6"/>
    <w:rsid w:val="48FA645F"/>
    <w:rsid w:val="48FD385A"/>
    <w:rsid w:val="4900334A"/>
    <w:rsid w:val="490324DE"/>
    <w:rsid w:val="490A19A4"/>
    <w:rsid w:val="491A7B19"/>
    <w:rsid w:val="492B6619"/>
    <w:rsid w:val="494B3902"/>
    <w:rsid w:val="494D2A33"/>
    <w:rsid w:val="49572917"/>
    <w:rsid w:val="495F09B4"/>
    <w:rsid w:val="49613907"/>
    <w:rsid w:val="496433E0"/>
    <w:rsid w:val="49645EAB"/>
    <w:rsid w:val="496D6C31"/>
    <w:rsid w:val="49734FE4"/>
    <w:rsid w:val="497A75A0"/>
    <w:rsid w:val="49813A2C"/>
    <w:rsid w:val="49836455"/>
    <w:rsid w:val="498521CD"/>
    <w:rsid w:val="498A5E6D"/>
    <w:rsid w:val="498E765E"/>
    <w:rsid w:val="49932704"/>
    <w:rsid w:val="49955166"/>
    <w:rsid w:val="499C3073"/>
    <w:rsid w:val="499E1FCA"/>
    <w:rsid w:val="499E6DEB"/>
    <w:rsid w:val="49A42C8D"/>
    <w:rsid w:val="49A454D6"/>
    <w:rsid w:val="49AA39E1"/>
    <w:rsid w:val="49B07F84"/>
    <w:rsid w:val="49BB6A4B"/>
    <w:rsid w:val="49C12AD9"/>
    <w:rsid w:val="49D51A71"/>
    <w:rsid w:val="49D56345"/>
    <w:rsid w:val="49DE2067"/>
    <w:rsid w:val="49EB4928"/>
    <w:rsid w:val="49F96717"/>
    <w:rsid w:val="49FC3A1D"/>
    <w:rsid w:val="4A0254AE"/>
    <w:rsid w:val="4A1167AA"/>
    <w:rsid w:val="4A1615F5"/>
    <w:rsid w:val="4A190B67"/>
    <w:rsid w:val="4A1B043B"/>
    <w:rsid w:val="4A266DE0"/>
    <w:rsid w:val="4A290409"/>
    <w:rsid w:val="4A3866D8"/>
    <w:rsid w:val="4A38723F"/>
    <w:rsid w:val="4A3C4454"/>
    <w:rsid w:val="4A45370A"/>
    <w:rsid w:val="4A4B02C6"/>
    <w:rsid w:val="4A5136F4"/>
    <w:rsid w:val="4A513F1C"/>
    <w:rsid w:val="4A5567BD"/>
    <w:rsid w:val="4A5567F6"/>
    <w:rsid w:val="4A617FA1"/>
    <w:rsid w:val="4A667D77"/>
    <w:rsid w:val="4A6B2178"/>
    <w:rsid w:val="4A6D4289"/>
    <w:rsid w:val="4A730277"/>
    <w:rsid w:val="4A77763C"/>
    <w:rsid w:val="4A7E24D3"/>
    <w:rsid w:val="4A8677E5"/>
    <w:rsid w:val="4A8D00DB"/>
    <w:rsid w:val="4A8E0A03"/>
    <w:rsid w:val="4A8E50B1"/>
    <w:rsid w:val="4A970A83"/>
    <w:rsid w:val="4A995D22"/>
    <w:rsid w:val="4AAA68CA"/>
    <w:rsid w:val="4AAD750B"/>
    <w:rsid w:val="4AB10DA0"/>
    <w:rsid w:val="4AB16FF2"/>
    <w:rsid w:val="4AB61467"/>
    <w:rsid w:val="4ABB2394"/>
    <w:rsid w:val="4AC06705"/>
    <w:rsid w:val="4ACD4C9A"/>
    <w:rsid w:val="4ACF4107"/>
    <w:rsid w:val="4AD12ACE"/>
    <w:rsid w:val="4AD14F9E"/>
    <w:rsid w:val="4AE21B57"/>
    <w:rsid w:val="4AE3651C"/>
    <w:rsid w:val="4AEE1F3F"/>
    <w:rsid w:val="4AFE0828"/>
    <w:rsid w:val="4B0D06CC"/>
    <w:rsid w:val="4B157580"/>
    <w:rsid w:val="4B1F03FF"/>
    <w:rsid w:val="4B335F93"/>
    <w:rsid w:val="4B5160DF"/>
    <w:rsid w:val="4B535245"/>
    <w:rsid w:val="4B556613"/>
    <w:rsid w:val="4B575E55"/>
    <w:rsid w:val="4B5F07FC"/>
    <w:rsid w:val="4B661CBC"/>
    <w:rsid w:val="4B6776B0"/>
    <w:rsid w:val="4B6C1A96"/>
    <w:rsid w:val="4B6E0A3F"/>
    <w:rsid w:val="4B700C83"/>
    <w:rsid w:val="4B732A50"/>
    <w:rsid w:val="4B8D503F"/>
    <w:rsid w:val="4BA24D42"/>
    <w:rsid w:val="4BB23F23"/>
    <w:rsid w:val="4BBE2159"/>
    <w:rsid w:val="4BBE3EF4"/>
    <w:rsid w:val="4BC7282E"/>
    <w:rsid w:val="4BD20808"/>
    <w:rsid w:val="4BD42AD2"/>
    <w:rsid w:val="4BD8399C"/>
    <w:rsid w:val="4BE00830"/>
    <w:rsid w:val="4BEA27BB"/>
    <w:rsid w:val="4C043151"/>
    <w:rsid w:val="4C0751FB"/>
    <w:rsid w:val="4C080E93"/>
    <w:rsid w:val="4C095BB2"/>
    <w:rsid w:val="4C0F5D7E"/>
    <w:rsid w:val="4C123AC0"/>
    <w:rsid w:val="4C1B6CD1"/>
    <w:rsid w:val="4C303F46"/>
    <w:rsid w:val="4C3E48B5"/>
    <w:rsid w:val="4C450222"/>
    <w:rsid w:val="4C463DFD"/>
    <w:rsid w:val="4C4D3A2F"/>
    <w:rsid w:val="4C4E112E"/>
    <w:rsid w:val="4C515130"/>
    <w:rsid w:val="4C520360"/>
    <w:rsid w:val="4C765DFD"/>
    <w:rsid w:val="4C7A0FC8"/>
    <w:rsid w:val="4C8C05A4"/>
    <w:rsid w:val="4C972D09"/>
    <w:rsid w:val="4C981916"/>
    <w:rsid w:val="4C9E1996"/>
    <w:rsid w:val="4CA754DF"/>
    <w:rsid w:val="4CA87842"/>
    <w:rsid w:val="4CAD692E"/>
    <w:rsid w:val="4CB03E52"/>
    <w:rsid w:val="4CBB1306"/>
    <w:rsid w:val="4CC15B6A"/>
    <w:rsid w:val="4CC72B08"/>
    <w:rsid w:val="4CD07A7D"/>
    <w:rsid w:val="4CD36E33"/>
    <w:rsid w:val="4CE03BBE"/>
    <w:rsid w:val="4CE63FE3"/>
    <w:rsid w:val="4CE76CFB"/>
    <w:rsid w:val="4CE8191B"/>
    <w:rsid w:val="4CE94821"/>
    <w:rsid w:val="4CF121F9"/>
    <w:rsid w:val="4CF60F17"/>
    <w:rsid w:val="4D176E22"/>
    <w:rsid w:val="4D1D096E"/>
    <w:rsid w:val="4D27007F"/>
    <w:rsid w:val="4D3A32CE"/>
    <w:rsid w:val="4D3C6BA3"/>
    <w:rsid w:val="4D3F6181"/>
    <w:rsid w:val="4D4209E2"/>
    <w:rsid w:val="4D471547"/>
    <w:rsid w:val="4D4A6E38"/>
    <w:rsid w:val="4D4B7289"/>
    <w:rsid w:val="4D4F1A4B"/>
    <w:rsid w:val="4D4F472A"/>
    <w:rsid w:val="4D531FD5"/>
    <w:rsid w:val="4D551D32"/>
    <w:rsid w:val="4D5A7247"/>
    <w:rsid w:val="4D5C2DF8"/>
    <w:rsid w:val="4D5D0D6B"/>
    <w:rsid w:val="4D717010"/>
    <w:rsid w:val="4D745A74"/>
    <w:rsid w:val="4D754306"/>
    <w:rsid w:val="4D812949"/>
    <w:rsid w:val="4D98679D"/>
    <w:rsid w:val="4D9E1305"/>
    <w:rsid w:val="4DA60964"/>
    <w:rsid w:val="4DA7315A"/>
    <w:rsid w:val="4DA75CF8"/>
    <w:rsid w:val="4DB90697"/>
    <w:rsid w:val="4DBD2AB4"/>
    <w:rsid w:val="4DBD72DE"/>
    <w:rsid w:val="4DCB3F26"/>
    <w:rsid w:val="4DCB5897"/>
    <w:rsid w:val="4DCC678C"/>
    <w:rsid w:val="4DCF6792"/>
    <w:rsid w:val="4DD3102D"/>
    <w:rsid w:val="4DE40EC2"/>
    <w:rsid w:val="4DE94D7F"/>
    <w:rsid w:val="4DED7B8D"/>
    <w:rsid w:val="4DF1343E"/>
    <w:rsid w:val="4DF25957"/>
    <w:rsid w:val="4DFA6872"/>
    <w:rsid w:val="4DFF7C4C"/>
    <w:rsid w:val="4E0C467A"/>
    <w:rsid w:val="4E10402F"/>
    <w:rsid w:val="4E17716C"/>
    <w:rsid w:val="4E1A4EAE"/>
    <w:rsid w:val="4E1F2911"/>
    <w:rsid w:val="4E200716"/>
    <w:rsid w:val="4E291FA6"/>
    <w:rsid w:val="4E2A50F1"/>
    <w:rsid w:val="4E2C6651"/>
    <w:rsid w:val="4E3732F6"/>
    <w:rsid w:val="4E396C72"/>
    <w:rsid w:val="4E3E6DEE"/>
    <w:rsid w:val="4E425376"/>
    <w:rsid w:val="4E437FF8"/>
    <w:rsid w:val="4E447D32"/>
    <w:rsid w:val="4E4C2278"/>
    <w:rsid w:val="4E4E50A9"/>
    <w:rsid w:val="4E4F2DA9"/>
    <w:rsid w:val="4E5A3C62"/>
    <w:rsid w:val="4E5C1022"/>
    <w:rsid w:val="4E606D65"/>
    <w:rsid w:val="4E6525CD"/>
    <w:rsid w:val="4E656C6F"/>
    <w:rsid w:val="4E6F51FA"/>
    <w:rsid w:val="4E726A98"/>
    <w:rsid w:val="4E88341A"/>
    <w:rsid w:val="4E953B44"/>
    <w:rsid w:val="4EA209E3"/>
    <w:rsid w:val="4EA529C9"/>
    <w:rsid w:val="4EA764DA"/>
    <w:rsid w:val="4EAE1433"/>
    <w:rsid w:val="4EB90223"/>
    <w:rsid w:val="4EBB07B9"/>
    <w:rsid w:val="4EC55BCD"/>
    <w:rsid w:val="4ED41AE4"/>
    <w:rsid w:val="4EDD74B4"/>
    <w:rsid w:val="4EE94326"/>
    <w:rsid w:val="4EED0A0D"/>
    <w:rsid w:val="4EF251CA"/>
    <w:rsid w:val="4EF638AB"/>
    <w:rsid w:val="4EF851EF"/>
    <w:rsid w:val="4EF92EFC"/>
    <w:rsid w:val="4EFE512E"/>
    <w:rsid w:val="4EFF3311"/>
    <w:rsid w:val="4F0A1B73"/>
    <w:rsid w:val="4F0B45BF"/>
    <w:rsid w:val="4F1556BF"/>
    <w:rsid w:val="4F1D27FC"/>
    <w:rsid w:val="4F202B06"/>
    <w:rsid w:val="4F262208"/>
    <w:rsid w:val="4F392255"/>
    <w:rsid w:val="4F3A76D7"/>
    <w:rsid w:val="4F3C5F78"/>
    <w:rsid w:val="4F512CF1"/>
    <w:rsid w:val="4F571B9E"/>
    <w:rsid w:val="4F5902B7"/>
    <w:rsid w:val="4F5E64DE"/>
    <w:rsid w:val="4F6000C5"/>
    <w:rsid w:val="4F672375"/>
    <w:rsid w:val="4F696D37"/>
    <w:rsid w:val="4F7B0501"/>
    <w:rsid w:val="4F8819CF"/>
    <w:rsid w:val="4F8C780A"/>
    <w:rsid w:val="4F9432A7"/>
    <w:rsid w:val="4F9608F3"/>
    <w:rsid w:val="4F9861A1"/>
    <w:rsid w:val="4FA32D3F"/>
    <w:rsid w:val="4FA40ED3"/>
    <w:rsid w:val="4FA8706E"/>
    <w:rsid w:val="4FAB2261"/>
    <w:rsid w:val="4FB21842"/>
    <w:rsid w:val="4FB34134"/>
    <w:rsid w:val="4FB355BA"/>
    <w:rsid w:val="4FDA1734"/>
    <w:rsid w:val="4FDA66A3"/>
    <w:rsid w:val="4FDB3C10"/>
    <w:rsid w:val="4FE70DC0"/>
    <w:rsid w:val="4FF05EC6"/>
    <w:rsid w:val="4FFE6835"/>
    <w:rsid w:val="50132A94"/>
    <w:rsid w:val="5023629C"/>
    <w:rsid w:val="50257526"/>
    <w:rsid w:val="502F4C40"/>
    <w:rsid w:val="50452CF0"/>
    <w:rsid w:val="50471B96"/>
    <w:rsid w:val="504969F0"/>
    <w:rsid w:val="505226DD"/>
    <w:rsid w:val="50580D47"/>
    <w:rsid w:val="5061316C"/>
    <w:rsid w:val="5065580F"/>
    <w:rsid w:val="506D426A"/>
    <w:rsid w:val="507A7283"/>
    <w:rsid w:val="50801B9C"/>
    <w:rsid w:val="508A6680"/>
    <w:rsid w:val="508B5BEF"/>
    <w:rsid w:val="509B13F7"/>
    <w:rsid w:val="50A622E4"/>
    <w:rsid w:val="50A665E1"/>
    <w:rsid w:val="50B97E38"/>
    <w:rsid w:val="50BD63F4"/>
    <w:rsid w:val="50CD27E9"/>
    <w:rsid w:val="50D15029"/>
    <w:rsid w:val="50D61AAB"/>
    <w:rsid w:val="50DA1752"/>
    <w:rsid w:val="50E92C28"/>
    <w:rsid w:val="50EF617E"/>
    <w:rsid w:val="50F24677"/>
    <w:rsid w:val="50F33EC0"/>
    <w:rsid w:val="50F62834"/>
    <w:rsid w:val="50F863DB"/>
    <w:rsid w:val="50F923EB"/>
    <w:rsid w:val="50FD248E"/>
    <w:rsid w:val="50FD53EA"/>
    <w:rsid w:val="50FE45BD"/>
    <w:rsid w:val="510336EA"/>
    <w:rsid w:val="511107EA"/>
    <w:rsid w:val="512B326E"/>
    <w:rsid w:val="5135307F"/>
    <w:rsid w:val="51385D77"/>
    <w:rsid w:val="514069D9"/>
    <w:rsid w:val="51416068"/>
    <w:rsid w:val="5142696C"/>
    <w:rsid w:val="51494C6C"/>
    <w:rsid w:val="514C5ED8"/>
    <w:rsid w:val="51581F75"/>
    <w:rsid w:val="515B1A65"/>
    <w:rsid w:val="51603644"/>
    <w:rsid w:val="51621DB7"/>
    <w:rsid w:val="517759E1"/>
    <w:rsid w:val="51791EEB"/>
    <w:rsid w:val="517B6D1F"/>
    <w:rsid w:val="517E1AF8"/>
    <w:rsid w:val="517F7502"/>
    <w:rsid w:val="51802E4E"/>
    <w:rsid w:val="5181771E"/>
    <w:rsid w:val="5199413A"/>
    <w:rsid w:val="519E78AE"/>
    <w:rsid w:val="51A568E5"/>
    <w:rsid w:val="51BA678C"/>
    <w:rsid w:val="51BB2504"/>
    <w:rsid w:val="51BD30DD"/>
    <w:rsid w:val="51C3612D"/>
    <w:rsid w:val="51C4180B"/>
    <w:rsid w:val="51D4488C"/>
    <w:rsid w:val="51DA6085"/>
    <w:rsid w:val="51E076A7"/>
    <w:rsid w:val="51F223CA"/>
    <w:rsid w:val="51FD48CA"/>
    <w:rsid w:val="52054B3C"/>
    <w:rsid w:val="520B2115"/>
    <w:rsid w:val="52110930"/>
    <w:rsid w:val="522D51B0"/>
    <w:rsid w:val="52301B23"/>
    <w:rsid w:val="523114CE"/>
    <w:rsid w:val="52354064"/>
    <w:rsid w:val="52426781"/>
    <w:rsid w:val="524633DB"/>
    <w:rsid w:val="524C4E04"/>
    <w:rsid w:val="525203D3"/>
    <w:rsid w:val="52624DD6"/>
    <w:rsid w:val="52633210"/>
    <w:rsid w:val="527F3531"/>
    <w:rsid w:val="528307A6"/>
    <w:rsid w:val="528D5C4E"/>
    <w:rsid w:val="529B480F"/>
    <w:rsid w:val="52AB2578"/>
    <w:rsid w:val="52AE239F"/>
    <w:rsid w:val="52B103F9"/>
    <w:rsid w:val="52B65A73"/>
    <w:rsid w:val="52C10B13"/>
    <w:rsid w:val="52C6307F"/>
    <w:rsid w:val="52C673B2"/>
    <w:rsid w:val="52CD735E"/>
    <w:rsid w:val="52CF3E41"/>
    <w:rsid w:val="52D41ACF"/>
    <w:rsid w:val="52DB337D"/>
    <w:rsid w:val="52E83ED8"/>
    <w:rsid w:val="52EB11FE"/>
    <w:rsid w:val="52F541DC"/>
    <w:rsid w:val="52F557E2"/>
    <w:rsid w:val="53013F55"/>
    <w:rsid w:val="530922E2"/>
    <w:rsid w:val="53191BD8"/>
    <w:rsid w:val="532742F5"/>
    <w:rsid w:val="53430CE6"/>
    <w:rsid w:val="53442EED"/>
    <w:rsid w:val="534467EE"/>
    <w:rsid w:val="53447C3A"/>
    <w:rsid w:val="53635372"/>
    <w:rsid w:val="537520C9"/>
    <w:rsid w:val="5382084D"/>
    <w:rsid w:val="538B4884"/>
    <w:rsid w:val="539F5E69"/>
    <w:rsid w:val="53A07882"/>
    <w:rsid w:val="53A771E4"/>
    <w:rsid w:val="53AC6C07"/>
    <w:rsid w:val="53AD212C"/>
    <w:rsid w:val="53B65679"/>
    <w:rsid w:val="53BE088E"/>
    <w:rsid w:val="53C25DCC"/>
    <w:rsid w:val="53C51418"/>
    <w:rsid w:val="53CA66C0"/>
    <w:rsid w:val="53CB3C52"/>
    <w:rsid w:val="53D14916"/>
    <w:rsid w:val="53D62986"/>
    <w:rsid w:val="53D8589F"/>
    <w:rsid w:val="53DC0907"/>
    <w:rsid w:val="53E53868"/>
    <w:rsid w:val="53E576E2"/>
    <w:rsid w:val="53E70494"/>
    <w:rsid w:val="53FB7617"/>
    <w:rsid w:val="53FE70E6"/>
    <w:rsid w:val="540408E2"/>
    <w:rsid w:val="54293718"/>
    <w:rsid w:val="54305BDF"/>
    <w:rsid w:val="544E6B86"/>
    <w:rsid w:val="545D5AF4"/>
    <w:rsid w:val="546557E5"/>
    <w:rsid w:val="54706ADD"/>
    <w:rsid w:val="54707F26"/>
    <w:rsid w:val="547D1CF3"/>
    <w:rsid w:val="54845F57"/>
    <w:rsid w:val="548D40D4"/>
    <w:rsid w:val="548D72FE"/>
    <w:rsid w:val="54A53B80"/>
    <w:rsid w:val="54A7764A"/>
    <w:rsid w:val="54AD1E76"/>
    <w:rsid w:val="54B4254B"/>
    <w:rsid w:val="54B576DE"/>
    <w:rsid w:val="54C379FA"/>
    <w:rsid w:val="54C70FD8"/>
    <w:rsid w:val="54C87412"/>
    <w:rsid w:val="54CD3CE0"/>
    <w:rsid w:val="54D20290"/>
    <w:rsid w:val="54D23E38"/>
    <w:rsid w:val="54D843F9"/>
    <w:rsid w:val="54DF1662"/>
    <w:rsid w:val="54E64E2D"/>
    <w:rsid w:val="54F00BE7"/>
    <w:rsid w:val="54F0347B"/>
    <w:rsid w:val="54F42FF7"/>
    <w:rsid w:val="54F76F2A"/>
    <w:rsid w:val="54FF558F"/>
    <w:rsid w:val="55083A02"/>
    <w:rsid w:val="551A380A"/>
    <w:rsid w:val="55261718"/>
    <w:rsid w:val="552F450E"/>
    <w:rsid w:val="553920BD"/>
    <w:rsid w:val="554747DA"/>
    <w:rsid w:val="554770EC"/>
    <w:rsid w:val="554E3280"/>
    <w:rsid w:val="555146A3"/>
    <w:rsid w:val="556E620B"/>
    <w:rsid w:val="55713605"/>
    <w:rsid w:val="55744D6E"/>
    <w:rsid w:val="557622D9"/>
    <w:rsid w:val="557842D8"/>
    <w:rsid w:val="557A3351"/>
    <w:rsid w:val="558045EB"/>
    <w:rsid w:val="558A05C8"/>
    <w:rsid w:val="5594384D"/>
    <w:rsid w:val="55974CD8"/>
    <w:rsid w:val="55A84AEA"/>
    <w:rsid w:val="55A97575"/>
    <w:rsid w:val="55AF4658"/>
    <w:rsid w:val="55B654BC"/>
    <w:rsid w:val="55BF6A67"/>
    <w:rsid w:val="55CE6CAA"/>
    <w:rsid w:val="55F304BE"/>
    <w:rsid w:val="55F9370D"/>
    <w:rsid w:val="55FE275E"/>
    <w:rsid w:val="55FE3238"/>
    <w:rsid w:val="56005DA3"/>
    <w:rsid w:val="56114DE8"/>
    <w:rsid w:val="5617280E"/>
    <w:rsid w:val="56181D17"/>
    <w:rsid w:val="56233D1B"/>
    <w:rsid w:val="56334D5F"/>
    <w:rsid w:val="56382375"/>
    <w:rsid w:val="563C005A"/>
    <w:rsid w:val="563E27E9"/>
    <w:rsid w:val="56420CF6"/>
    <w:rsid w:val="56434ED7"/>
    <w:rsid w:val="564B53BB"/>
    <w:rsid w:val="565A0158"/>
    <w:rsid w:val="565B0D7C"/>
    <w:rsid w:val="565D0CF3"/>
    <w:rsid w:val="56617B1E"/>
    <w:rsid w:val="56633896"/>
    <w:rsid w:val="56751B69"/>
    <w:rsid w:val="567A473C"/>
    <w:rsid w:val="56812378"/>
    <w:rsid w:val="56867584"/>
    <w:rsid w:val="56963736"/>
    <w:rsid w:val="569A622B"/>
    <w:rsid w:val="56A31858"/>
    <w:rsid w:val="56A52D39"/>
    <w:rsid w:val="56BE0ACC"/>
    <w:rsid w:val="56CE4FCE"/>
    <w:rsid w:val="56CE6147"/>
    <w:rsid w:val="56D57BC4"/>
    <w:rsid w:val="56DD6297"/>
    <w:rsid w:val="56EA18C1"/>
    <w:rsid w:val="56ED7603"/>
    <w:rsid w:val="570A4206"/>
    <w:rsid w:val="57106E73"/>
    <w:rsid w:val="57143945"/>
    <w:rsid w:val="57263F03"/>
    <w:rsid w:val="57327275"/>
    <w:rsid w:val="57355AC5"/>
    <w:rsid w:val="573827C5"/>
    <w:rsid w:val="573B5A46"/>
    <w:rsid w:val="573C7663"/>
    <w:rsid w:val="5750595B"/>
    <w:rsid w:val="575D6B63"/>
    <w:rsid w:val="576157A4"/>
    <w:rsid w:val="57683BB8"/>
    <w:rsid w:val="57701D8A"/>
    <w:rsid w:val="57771052"/>
    <w:rsid w:val="577B69BD"/>
    <w:rsid w:val="57811AFA"/>
    <w:rsid w:val="57853398"/>
    <w:rsid w:val="5788472F"/>
    <w:rsid w:val="57890833"/>
    <w:rsid w:val="57923D07"/>
    <w:rsid w:val="57990637"/>
    <w:rsid w:val="579B705F"/>
    <w:rsid w:val="579F658D"/>
    <w:rsid w:val="57AA1051"/>
    <w:rsid w:val="57C049B1"/>
    <w:rsid w:val="57C213B1"/>
    <w:rsid w:val="57C2283E"/>
    <w:rsid w:val="57C551EC"/>
    <w:rsid w:val="57CB7A80"/>
    <w:rsid w:val="57CD641B"/>
    <w:rsid w:val="57CE6573"/>
    <w:rsid w:val="57D218CE"/>
    <w:rsid w:val="57D40FE8"/>
    <w:rsid w:val="57DD31D4"/>
    <w:rsid w:val="57E04A72"/>
    <w:rsid w:val="57E351E1"/>
    <w:rsid w:val="57EA64DD"/>
    <w:rsid w:val="57EC78BB"/>
    <w:rsid w:val="57F63ED2"/>
    <w:rsid w:val="57F66044"/>
    <w:rsid w:val="57FE62CF"/>
    <w:rsid w:val="58300EF1"/>
    <w:rsid w:val="58307A4F"/>
    <w:rsid w:val="58341F10"/>
    <w:rsid w:val="583621CF"/>
    <w:rsid w:val="58424D7D"/>
    <w:rsid w:val="5846521D"/>
    <w:rsid w:val="584E7C2E"/>
    <w:rsid w:val="58553425"/>
    <w:rsid w:val="585F008D"/>
    <w:rsid w:val="58627B7D"/>
    <w:rsid w:val="58726012"/>
    <w:rsid w:val="58731D99"/>
    <w:rsid w:val="588009D6"/>
    <w:rsid w:val="58801DB1"/>
    <w:rsid w:val="588E2FC7"/>
    <w:rsid w:val="58A3441E"/>
    <w:rsid w:val="58A51B7E"/>
    <w:rsid w:val="58A61632"/>
    <w:rsid w:val="58AB489E"/>
    <w:rsid w:val="58AB54C8"/>
    <w:rsid w:val="58AF4E0E"/>
    <w:rsid w:val="58B94A95"/>
    <w:rsid w:val="58C14F7E"/>
    <w:rsid w:val="58C61EBA"/>
    <w:rsid w:val="58C66497"/>
    <w:rsid w:val="58D1539D"/>
    <w:rsid w:val="58DC043A"/>
    <w:rsid w:val="58F85DEC"/>
    <w:rsid w:val="58FB50DF"/>
    <w:rsid w:val="58FF0CCE"/>
    <w:rsid w:val="59011144"/>
    <w:rsid w:val="590C3C32"/>
    <w:rsid w:val="590E5874"/>
    <w:rsid w:val="591043F8"/>
    <w:rsid w:val="59282B75"/>
    <w:rsid w:val="592D1F39"/>
    <w:rsid w:val="592D48EA"/>
    <w:rsid w:val="59303E55"/>
    <w:rsid w:val="59305BCB"/>
    <w:rsid w:val="593B28A8"/>
    <w:rsid w:val="59486D73"/>
    <w:rsid w:val="59491422"/>
    <w:rsid w:val="594E426C"/>
    <w:rsid w:val="59521961"/>
    <w:rsid w:val="59566DEA"/>
    <w:rsid w:val="59674EFF"/>
    <w:rsid w:val="59680B5D"/>
    <w:rsid w:val="5975743C"/>
    <w:rsid w:val="59791976"/>
    <w:rsid w:val="59817ABA"/>
    <w:rsid w:val="59824CA9"/>
    <w:rsid w:val="598B2CE1"/>
    <w:rsid w:val="598D3924"/>
    <w:rsid w:val="599306AB"/>
    <w:rsid w:val="59986899"/>
    <w:rsid w:val="599A0A00"/>
    <w:rsid w:val="599C2FE1"/>
    <w:rsid w:val="59A03CFF"/>
    <w:rsid w:val="59A33FA9"/>
    <w:rsid w:val="59AA3003"/>
    <w:rsid w:val="59AB4BCB"/>
    <w:rsid w:val="59B2243E"/>
    <w:rsid w:val="59B368B1"/>
    <w:rsid w:val="59CA59DA"/>
    <w:rsid w:val="59CF2FF0"/>
    <w:rsid w:val="59D475B9"/>
    <w:rsid w:val="59E41CDB"/>
    <w:rsid w:val="59EF227E"/>
    <w:rsid w:val="59FF11DD"/>
    <w:rsid w:val="5A0172E6"/>
    <w:rsid w:val="5A0278A1"/>
    <w:rsid w:val="5A07278A"/>
    <w:rsid w:val="5A073A11"/>
    <w:rsid w:val="5A0C1B4F"/>
    <w:rsid w:val="5A144F46"/>
    <w:rsid w:val="5A191C6C"/>
    <w:rsid w:val="5A1F22CD"/>
    <w:rsid w:val="5A31123E"/>
    <w:rsid w:val="5A3918EF"/>
    <w:rsid w:val="5A3B7777"/>
    <w:rsid w:val="5A48065E"/>
    <w:rsid w:val="5A5A4C99"/>
    <w:rsid w:val="5A64493B"/>
    <w:rsid w:val="5A7218F8"/>
    <w:rsid w:val="5A7438F9"/>
    <w:rsid w:val="5A7457BE"/>
    <w:rsid w:val="5A783688"/>
    <w:rsid w:val="5A7B1206"/>
    <w:rsid w:val="5A7D44AF"/>
    <w:rsid w:val="5A83409A"/>
    <w:rsid w:val="5A9E3E33"/>
    <w:rsid w:val="5A9E7735"/>
    <w:rsid w:val="5AA20705"/>
    <w:rsid w:val="5AA31531"/>
    <w:rsid w:val="5AA7702D"/>
    <w:rsid w:val="5AA84993"/>
    <w:rsid w:val="5AA923EF"/>
    <w:rsid w:val="5AAD166A"/>
    <w:rsid w:val="5AC44C2F"/>
    <w:rsid w:val="5ACC12DE"/>
    <w:rsid w:val="5ACC3C4E"/>
    <w:rsid w:val="5AD25BBD"/>
    <w:rsid w:val="5AE66844"/>
    <w:rsid w:val="5AFA0005"/>
    <w:rsid w:val="5AFE0872"/>
    <w:rsid w:val="5B004E5E"/>
    <w:rsid w:val="5B0867BA"/>
    <w:rsid w:val="5B0C4EBF"/>
    <w:rsid w:val="5B0E6A9B"/>
    <w:rsid w:val="5B101B12"/>
    <w:rsid w:val="5B12122C"/>
    <w:rsid w:val="5B183B64"/>
    <w:rsid w:val="5B1C354D"/>
    <w:rsid w:val="5B243A53"/>
    <w:rsid w:val="5B24736C"/>
    <w:rsid w:val="5B321DD3"/>
    <w:rsid w:val="5B40356C"/>
    <w:rsid w:val="5B4516BD"/>
    <w:rsid w:val="5B497165"/>
    <w:rsid w:val="5B56316E"/>
    <w:rsid w:val="5B5E6B6F"/>
    <w:rsid w:val="5B604990"/>
    <w:rsid w:val="5B685B37"/>
    <w:rsid w:val="5B6D0DE3"/>
    <w:rsid w:val="5B7449C9"/>
    <w:rsid w:val="5B7756EE"/>
    <w:rsid w:val="5B7B3430"/>
    <w:rsid w:val="5B7B718D"/>
    <w:rsid w:val="5B834092"/>
    <w:rsid w:val="5B8E4E5A"/>
    <w:rsid w:val="5B903825"/>
    <w:rsid w:val="5B962018"/>
    <w:rsid w:val="5B971BDC"/>
    <w:rsid w:val="5B995664"/>
    <w:rsid w:val="5BA27D9F"/>
    <w:rsid w:val="5BAB42FD"/>
    <w:rsid w:val="5BAF6C35"/>
    <w:rsid w:val="5BB0053E"/>
    <w:rsid w:val="5BB17FEF"/>
    <w:rsid w:val="5BB22BCA"/>
    <w:rsid w:val="5BDF6F0E"/>
    <w:rsid w:val="5BE075EC"/>
    <w:rsid w:val="5BE3060F"/>
    <w:rsid w:val="5BE72373"/>
    <w:rsid w:val="5C010618"/>
    <w:rsid w:val="5C043425"/>
    <w:rsid w:val="5C0A355B"/>
    <w:rsid w:val="5C0E535C"/>
    <w:rsid w:val="5C18312C"/>
    <w:rsid w:val="5C2910FD"/>
    <w:rsid w:val="5C2B2BE6"/>
    <w:rsid w:val="5C2F76E2"/>
    <w:rsid w:val="5C30790C"/>
    <w:rsid w:val="5C3364E2"/>
    <w:rsid w:val="5C381321"/>
    <w:rsid w:val="5C48233E"/>
    <w:rsid w:val="5C491493"/>
    <w:rsid w:val="5C49708A"/>
    <w:rsid w:val="5C504816"/>
    <w:rsid w:val="5C5617A7"/>
    <w:rsid w:val="5C5F46DC"/>
    <w:rsid w:val="5C5F74E0"/>
    <w:rsid w:val="5C750F3B"/>
    <w:rsid w:val="5C770065"/>
    <w:rsid w:val="5C776296"/>
    <w:rsid w:val="5C807D9E"/>
    <w:rsid w:val="5C817D53"/>
    <w:rsid w:val="5C8A54F9"/>
    <w:rsid w:val="5C8C1A93"/>
    <w:rsid w:val="5C8E2CEF"/>
    <w:rsid w:val="5C9847C7"/>
    <w:rsid w:val="5C9E67DE"/>
    <w:rsid w:val="5CA02A22"/>
    <w:rsid w:val="5CA13036"/>
    <w:rsid w:val="5CAA595E"/>
    <w:rsid w:val="5CAC6D2E"/>
    <w:rsid w:val="5CAC7619"/>
    <w:rsid w:val="5CB33805"/>
    <w:rsid w:val="5CB671EF"/>
    <w:rsid w:val="5CBA7B0A"/>
    <w:rsid w:val="5CCB3F43"/>
    <w:rsid w:val="5CD3791D"/>
    <w:rsid w:val="5CDC7EFE"/>
    <w:rsid w:val="5CEF139D"/>
    <w:rsid w:val="5CF24776"/>
    <w:rsid w:val="5CF83562"/>
    <w:rsid w:val="5CFE75E9"/>
    <w:rsid w:val="5D0371C7"/>
    <w:rsid w:val="5D0E2082"/>
    <w:rsid w:val="5D121851"/>
    <w:rsid w:val="5D2B1664"/>
    <w:rsid w:val="5D30024A"/>
    <w:rsid w:val="5D42117F"/>
    <w:rsid w:val="5D443CF5"/>
    <w:rsid w:val="5D447851"/>
    <w:rsid w:val="5D57663D"/>
    <w:rsid w:val="5D59463B"/>
    <w:rsid w:val="5D5A52C7"/>
    <w:rsid w:val="5D5A7E7E"/>
    <w:rsid w:val="5D617C8F"/>
    <w:rsid w:val="5D641266"/>
    <w:rsid w:val="5D755BE3"/>
    <w:rsid w:val="5D812854"/>
    <w:rsid w:val="5D8829F9"/>
    <w:rsid w:val="5D922C54"/>
    <w:rsid w:val="5DAF1748"/>
    <w:rsid w:val="5DBD5713"/>
    <w:rsid w:val="5DC67177"/>
    <w:rsid w:val="5DC91FC1"/>
    <w:rsid w:val="5DCF0358"/>
    <w:rsid w:val="5DF405C5"/>
    <w:rsid w:val="5DF81275"/>
    <w:rsid w:val="5DFB3571"/>
    <w:rsid w:val="5E162F9C"/>
    <w:rsid w:val="5E170E10"/>
    <w:rsid w:val="5E1E62F4"/>
    <w:rsid w:val="5E287173"/>
    <w:rsid w:val="5E2A1D30"/>
    <w:rsid w:val="5E31427A"/>
    <w:rsid w:val="5E346DD4"/>
    <w:rsid w:val="5E3653EC"/>
    <w:rsid w:val="5E3D43C6"/>
    <w:rsid w:val="5E435D5B"/>
    <w:rsid w:val="5E442B9F"/>
    <w:rsid w:val="5E516DB1"/>
    <w:rsid w:val="5E5D283E"/>
    <w:rsid w:val="5E6737F7"/>
    <w:rsid w:val="5E713497"/>
    <w:rsid w:val="5E795F85"/>
    <w:rsid w:val="5E7D126D"/>
    <w:rsid w:val="5E8545C5"/>
    <w:rsid w:val="5E86502C"/>
    <w:rsid w:val="5E8C319B"/>
    <w:rsid w:val="5E8D3D9E"/>
    <w:rsid w:val="5E8E695B"/>
    <w:rsid w:val="5E8F59C9"/>
    <w:rsid w:val="5E961F89"/>
    <w:rsid w:val="5E981C6F"/>
    <w:rsid w:val="5E98483B"/>
    <w:rsid w:val="5E9B5B97"/>
    <w:rsid w:val="5E9E5CF4"/>
    <w:rsid w:val="5EA142E2"/>
    <w:rsid w:val="5EA42C9D"/>
    <w:rsid w:val="5EA56506"/>
    <w:rsid w:val="5EA902B4"/>
    <w:rsid w:val="5EAD28CA"/>
    <w:rsid w:val="5EB07003"/>
    <w:rsid w:val="5EB66350"/>
    <w:rsid w:val="5EC11A46"/>
    <w:rsid w:val="5EC2079C"/>
    <w:rsid w:val="5EC3580E"/>
    <w:rsid w:val="5EC40C4A"/>
    <w:rsid w:val="5EC4709B"/>
    <w:rsid w:val="5ED72593"/>
    <w:rsid w:val="5ED91246"/>
    <w:rsid w:val="5ED91A29"/>
    <w:rsid w:val="5EDD78DB"/>
    <w:rsid w:val="5EEA2050"/>
    <w:rsid w:val="5EEA61D6"/>
    <w:rsid w:val="5EF50BB9"/>
    <w:rsid w:val="5EFF2E29"/>
    <w:rsid w:val="5F01316A"/>
    <w:rsid w:val="5F046F6D"/>
    <w:rsid w:val="5F055292"/>
    <w:rsid w:val="5F134B86"/>
    <w:rsid w:val="5F13666F"/>
    <w:rsid w:val="5F1C2834"/>
    <w:rsid w:val="5F2F0095"/>
    <w:rsid w:val="5F306CB1"/>
    <w:rsid w:val="5F39195F"/>
    <w:rsid w:val="5F3A715E"/>
    <w:rsid w:val="5F3C2ED6"/>
    <w:rsid w:val="5F3E6C4E"/>
    <w:rsid w:val="5F53146B"/>
    <w:rsid w:val="5F5B03BF"/>
    <w:rsid w:val="5F5D101F"/>
    <w:rsid w:val="5F677827"/>
    <w:rsid w:val="5F6917F1"/>
    <w:rsid w:val="5F6976C7"/>
    <w:rsid w:val="5F6D1AAD"/>
    <w:rsid w:val="5F775CBC"/>
    <w:rsid w:val="5F801211"/>
    <w:rsid w:val="5F886FA2"/>
    <w:rsid w:val="5F933389"/>
    <w:rsid w:val="5FA472D6"/>
    <w:rsid w:val="5FAB235F"/>
    <w:rsid w:val="5FB46F10"/>
    <w:rsid w:val="5FB74BC7"/>
    <w:rsid w:val="5FBA324B"/>
    <w:rsid w:val="5FD255E8"/>
    <w:rsid w:val="5FDA1F1E"/>
    <w:rsid w:val="5FE01AB3"/>
    <w:rsid w:val="5FE1582B"/>
    <w:rsid w:val="5FF904C5"/>
    <w:rsid w:val="5FF90DC7"/>
    <w:rsid w:val="5FF91EB0"/>
    <w:rsid w:val="5FFB0E26"/>
    <w:rsid w:val="5FFE5B5E"/>
    <w:rsid w:val="5FFE63DD"/>
    <w:rsid w:val="5FFF5CB2"/>
    <w:rsid w:val="60013CD9"/>
    <w:rsid w:val="60065C4A"/>
    <w:rsid w:val="600C624A"/>
    <w:rsid w:val="600F05EB"/>
    <w:rsid w:val="6011550A"/>
    <w:rsid w:val="60146A42"/>
    <w:rsid w:val="601B0D3D"/>
    <w:rsid w:val="601B5A47"/>
    <w:rsid w:val="601C4AB5"/>
    <w:rsid w:val="601E2B26"/>
    <w:rsid w:val="60233980"/>
    <w:rsid w:val="602D281F"/>
    <w:rsid w:val="60370F4B"/>
    <w:rsid w:val="60437811"/>
    <w:rsid w:val="60457B68"/>
    <w:rsid w:val="604F2B4C"/>
    <w:rsid w:val="60545FFD"/>
    <w:rsid w:val="6065020A"/>
    <w:rsid w:val="606A7CB3"/>
    <w:rsid w:val="60732927"/>
    <w:rsid w:val="607E0E0E"/>
    <w:rsid w:val="60835442"/>
    <w:rsid w:val="608764DC"/>
    <w:rsid w:val="608C39E9"/>
    <w:rsid w:val="60982C38"/>
    <w:rsid w:val="60995190"/>
    <w:rsid w:val="60A72129"/>
    <w:rsid w:val="60A90F2D"/>
    <w:rsid w:val="60AF76D8"/>
    <w:rsid w:val="60B116A2"/>
    <w:rsid w:val="60B30F76"/>
    <w:rsid w:val="60B80C35"/>
    <w:rsid w:val="60B90921"/>
    <w:rsid w:val="60C52C31"/>
    <w:rsid w:val="60CD61E0"/>
    <w:rsid w:val="60D662A2"/>
    <w:rsid w:val="60DD2497"/>
    <w:rsid w:val="60E87A59"/>
    <w:rsid w:val="60EC26DA"/>
    <w:rsid w:val="60EF3D8B"/>
    <w:rsid w:val="60F16F04"/>
    <w:rsid w:val="60F247D9"/>
    <w:rsid w:val="611371D2"/>
    <w:rsid w:val="611E26EF"/>
    <w:rsid w:val="611F057D"/>
    <w:rsid w:val="612105D5"/>
    <w:rsid w:val="612154EC"/>
    <w:rsid w:val="61273712"/>
    <w:rsid w:val="61274963"/>
    <w:rsid w:val="612A6141"/>
    <w:rsid w:val="612B3202"/>
    <w:rsid w:val="612E605A"/>
    <w:rsid w:val="6131633F"/>
    <w:rsid w:val="61363A57"/>
    <w:rsid w:val="61365ED0"/>
    <w:rsid w:val="613B47D0"/>
    <w:rsid w:val="61421595"/>
    <w:rsid w:val="614815AD"/>
    <w:rsid w:val="614D1859"/>
    <w:rsid w:val="614F0F07"/>
    <w:rsid w:val="61554CFF"/>
    <w:rsid w:val="615C33BC"/>
    <w:rsid w:val="615F221E"/>
    <w:rsid w:val="6160417E"/>
    <w:rsid w:val="61671C01"/>
    <w:rsid w:val="61695FC8"/>
    <w:rsid w:val="616C64FC"/>
    <w:rsid w:val="617C7D70"/>
    <w:rsid w:val="617F61C0"/>
    <w:rsid w:val="618925DC"/>
    <w:rsid w:val="61940A18"/>
    <w:rsid w:val="6198206D"/>
    <w:rsid w:val="61A600AF"/>
    <w:rsid w:val="61A92379"/>
    <w:rsid w:val="61AB60F1"/>
    <w:rsid w:val="61B75C9F"/>
    <w:rsid w:val="61BB3034"/>
    <w:rsid w:val="61BC02FE"/>
    <w:rsid w:val="61D03D81"/>
    <w:rsid w:val="61DE64C6"/>
    <w:rsid w:val="61F15891"/>
    <w:rsid w:val="62005942"/>
    <w:rsid w:val="620B4DE2"/>
    <w:rsid w:val="621903A0"/>
    <w:rsid w:val="622765CB"/>
    <w:rsid w:val="622D3390"/>
    <w:rsid w:val="622D6B06"/>
    <w:rsid w:val="623363CD"/>
    <w:rsid w:val="62374FE5"/>
    <w:rsid w:val="62427916"/>
    <w:rsid w:val="62435FB3"/>
    <w:rsid w:val="62463BD8"/>
    <w:rsid w:val="62473DBD"/>
    <w:rsid w:val="624C78D4"/>
    <w:rsid w:val="624D53FA"/>
    <w:rsid w:val="6251460D"/>
    <w:rsid w:val="625E7607"/>
    <w:rsid w:val="626B762E"/>
    <w:rsid w:val="62851777"/>
    <w:rsid w:val="6286794D"/>
    <w:rsid w:val="628849D1"/>
    <w:rsid w:val="628D27F1"/>
    <w:rsid w:val="62A54E64"/>
    <w:rsid w:val="62A57CD1"/>
    <w:rsid w:val="62B72874"/>
    <w:rsid w:val="62BC72E8"/>
    <w:rsid w:val="62CA25A7"/>
    <w:rsid w:val="62CC631F"/>
    <w:rsid w:val="62D20C09"/>
    <w:rsid w:val="62D84CC4"/>
    <w:rsid w:val="62DC6E15"/>
    <w:rsid w:val="62DD3937"/>
    <w:rsid w:val="62DE345E"/>
    <w:rsid w:val="62EE2739"/>
    <w:rsid w:val="62FA1B1F"/>
    <w:rsid w:val="62FB63FC"/>
    <w:rsid w:val="630F26B0"/>
    <w:rsid w:val="63181EED"/>
    <w:rsid w:val="63191289"/>
    <w:rsid w:val="63251ED3"/>
    <w:rsid w:val="63312626"/>
    <w:rsid w:val="633A639E"/>
    <w:rsid w:val="633B75E8"/>
    <w:rsid w:val="633D721D"/>
    <w:rsid w:val="634B5AB0"/>
    <w:rsid w:val="634C2935"/>
    <w:rsid w:val="634F133A"/>
    <w:rsid w:val="6354633D"/>
    <w:rsid w:val="635749FC"/>
    <w:rsid w:val="63575211"/>
    <w:rsid w:val="63614997"/>
    <w:rsid w:val="636436C9"/>
    <w:rsid w:val="6367429A"/>
    <w:rsid w:val="63743BF3"/>
    <w:rsid w:val="6377272F"/>
    <w:rsid w:val="637B631F"/>
    <w:rsid w:val="637D0D8E"/>
    <w:rsid w:val="637D1D0F"/>
    <w:rsid w:val="63862972"/>
    <w:rsid w:val="63892462"/>
    <w:rsid w:val="63910A14"/>
    <w:rsid w:val="63915E1B"/>
    <w:rsid w:val="639F0F22"/>
    <w:rsid w:val="63A63014"/>
    <w:rsid w:val="63B13B17"/>
    <w:rsid w:val="63B41C25"/>
    <w:rsid w:val="63B76FCF"/>
    <w:rsid w:val="63BA086D"/>
    <w:rsid w:val="63C04058"/>
    <w:rsid w:val="63C969D3"/>
    <w:rsid w:val="63CB6EC4"/>
    <w:rsid w:val="63CF6ACD"/>
    <w:rsid w:val="63D81651"/>
    <w:rsid w:val="63E20B9E"/>
    <w:rsid w:val="63EF496F"/>
    <w:rsid w:val="63F55D49"/>
    <w:rsid w:val="63F57673"/>
    <w:rsid w:val="63FC0596"/>
    <w:rsid w:val="63FF3559"/>
    <w:rsid w:val="6401649C"/>
    <w:rsid w:val="640A35A3"/>
    <w:rsid w:val="640A7191"/>
    <w:rsid w:val="641066DF"/>
    <w:rsid w:val="64106D0C"/>
    <w:rsid w:val="641206A9"/>
    <w:rsid w:val="64151F48"/>
    <w:rsid w:val="641E4644"/>
    <w:rsid w:val="642014B1"/>
    <w:rsid w:val="642D3C78"/>
    <w:rsid w:val="6436401E"/>
    <w:rsid w:val="64550596"/>
    <w:rsid w:val="6461003F"/>
    <w:rsid w:val="64623B5D"/>
    <w:rsid w:val="64634A61"/>
    <w:rsid w:val="64647B87"/>
    <w:rsid w:val="64685CB5"/>
    <w:rsid w:val="64747CBD"/>
    <w:rsid w:val="6481138B"/>
    <w:rsid w:val="6488213F"/>
    <w:rsid w:val="648E13C9"/>
    <w:rsid w:val="64947310"/>
    <w:rsid w:val="649515A5"/>
    <w:rsid w:val="64970BAF"/>
    <w:rsid w:val="649966D5"/>
    <w:rsid w:val="649D4417"/>
    <w:rsid w:val="649E58A6"/>
    <w:rsid w:val="64A249C4"/>
    <w:rsid w:val="64A406E9"/>
    <w:rsid w:val="64A532CB"/>
    <w:rsid w:val="64A61A43"/>
    <w:rsid w:val="64A95F18"/>
    <w:rsid w:val="64B848A8"/>
    <w:rsid w:val="64BA4095"/>
    <w:rsid w:val="64C61544"/>
    <w:rsid w:val="64C64273"/>
    <w:rsid w:val="64CA2D32"/>
    <w:rsid w:val="64CF0141"/>
    <w:rsid w:val="64E57B6C"/>
    <w:rsid w:val="64EC0A1F"/>
    <w:rsid w:val="64F53FC7"/>
    <w:rsid w:val="64F900CD"/>
    <w:rsid w:val="64FC306A"/>
    <w:rsid w:val="650F5C0B"/>
    <w:rsid w:val="65101B67"/>
    <w:rsid w:val="65135C21"/>
    <w:rsid w:val="65207C61"/>
    <w:rsid w:val="652747FB"/>
    <w:rsid w:val="652E1181"/>
    <w:rsid w:val="653647DD"/>
    <w:rsid w:val="653B6436"/>
    <w:rsid w:val="654D4C62"/>
    <w:rsid w:val="655077CE"/>
    <w:rsid w:val="655868C8"/>
    <w:rsid w:val="655B7E2E"/>
    <w:rsid w:val="656942F9"/>
    <w:rsid w:val="657C6056"/>
    <w:rsid w:val="657D3920"/>
    <w:rsid w:val="658A3995"/>
    <w:rsid w:val="658D7051"/>
    <w:rsid w:val="65950AC0"/>
    <w:rsid w:val="65953BDE"/>
    <w:rsid w:val="659C4889"/>
    <w:rsid w:val="65A71D3B"/>
    <w:rsid w:val="65B36214"/>
    <w:rsid w:val="65D8322D"/>
    <w:rsid w:val="65DD6A95"/>
    <w:rsid w:val="65E13721"/>
    <w:rsid w:val="65E4599C"/>
    <w:rsid w:val="65EB14DF"/>
    <w:rsid w:val="65EE2A50"/>
    <w:rsid w:val="65F22540"/>
    <w:rsid w:val="65FA4111"/>
    <w:rsid w:val="65FF6A0B"/>
    <w:rsid w:val="66065FEC"/>
    <w:rsid w:val="661C51AF"/>
    <w:rsid w:val="66212904"/>
    <w:rsid w:val="66443934"/>
    <w:rsid w:val="66445591"/>
    <w:rsid w:val="66474E73"/>
    <w:rsid w:val="66560D21"/>
    <w:rsid w:val="665B1852"/>
    <w:rsid w:val="665F74AA"/>
    <w:rsid w:val="66693E17"/>
    <w:rsid w:val="666A65F1"/>
    <w:rsid w:val="666F593F"/>
    <w:rsid w:val="66791DD4"/>
    <w:rsid w:val="667C2D5C"/>
    <w:rsid w:val="667F18FA"/>
    <w:rsid w:val="6692162D"/>
    <w:rsid w:val="6692379D"/>
    <w:rsid w:val="66990C0E"/>
    <w:rsid w:val="66AD790E"/>
    <w:rsid w:val="66AF1A56"/>
    <w:rsid w:val="66B36474"/>
    <w:rsid w:val="66B479CC"/>
    <w:rsid w:val="66B77EE2"/>
    <w:rsid w:val="66BC7DB0"/>
    <w:rsid w:val="66C82ABE"/>
    <w:rsid w:val="66CC0FE3"/>
    <w:rsid w:val="66CC3ABD"/>
    <w:rsid w:val="66CD6B09"/>
    <w:rsid w:val="66D079D2"/>
    <w:rsid w:val="66D8069E"/>
    <w:rsid w:val="66E31E89"/>
    <w:rsid w:val="66F477D6"/>
    <w:rsid w:val="670047E9"/>
    <w:rsid w:val="670B22F0"/>
    <w:rsid w:val="67206C39"/>
    <w:rsid w:val="6732696D"/>
    <w:rsid w:val="67375865"/>
    <w:rsid w:val="67450028"/>
    <w:rsid w:val="67553E23"/>
    <w:rsid w:val="67602A5C"/>
    <w:rsid w:val="676A6362"/>
    <w:rsid w:val="67713939"/>
    <w:rsid w:val="6772017D"/>
    <w:rsid w:val="678A4190"/>
    <w:rsid w:val="678E6299"/>
    <w:rsid w:val="6797006C"/>
    <w:rsid w:val="67996DE0"/>
    <w:rsid w:val="67AC12B5"/>
    <w:rsid w:val="67BA6A40"/>
    <w:rsid w:val="67CA2631"/>
    <w:rsid w:val="67CD0082"/>
    <w:rsid w:val="67D40A94"/>
    <w:rsid w:val="67D77C40"/>
    <w:rsid w:val="67DD5801"/>
    <w:rsid w:val="67DF08A2"/>
    <w:rsid w:val="67E04831"/>
    <w:rsid w:val="67E66FD5"/>
    <w:rsid w:val="67EC049E"/>
    <w:rsid w:val="67F93ED2"/>
    <w:rsid w:val="67FA552A"/>
    <w:rsid w:val="68005D8B"/>
    <w:rsid w:val="68093B71"/>
    <w:rsid w:val="680F010E"/>
    <w:rsid w:val="68224CA6"/>
    <w:rsid w:val="6828049B"/>
    <w:rsid w:val="682D7860"/>
    <w:rsid w:val="682F54A7"/>
    <w:rsid w:val="68303C5A"/>
    <w:rsid w:val="683C5CF5"/>
    <w:rsid w:val="683D6156"/>
    <w:rsid w:val="68405947"/>
    <w:rsid w:val="6840722B"/>
    <w:rsid w:val="6845618A"/>
    <w:rsid w:val="684C15E7"/>
    <w:rsid w:val="684D4007"/>
    <w:rsid w:val="68570D81"/>
    <w:rsid w:val="685A76E9"/>
    <w:rsid w:val="686239BA"/>
    <w:rsid w:val="68633281"/>
    <w:rsid w:val="686A0AB4"/>
    <w:rsid w:val="687848F2"/>
    <w:rsid w:val="687E33F8"/>
    <w:rsid w:val="688813E8"/>
    <w:rsid w:val="6888718C"/>
    <w:rsid w:val="689169DB"/>
    <w:rsid w:val="689313DC"/>
    <w:rsid w:val="68955405"/>
    <w:rsid w:val="68961DA8"/>
    <w:rsid w:val="68C1536C"/>
    <w:rsid w:val="68C414B5"/>
    <w:rsid w:val="68CA3301"/>
    <w:rsid w:val="68CF0B2F"/>
    <w:rsid w:val="68D0643D"/>
    <w:rsid w:val="68ED6B9A"/>
    <w:rsid w:val="68FD5BC1"/>
    <w:rsid w:val="69002580"/>
    <w:rsid w:val="69006D22"/>
    <w:rsid w:val="69047B7F"/>
    <w:rsid w:val="69054339"/>
    <w:rsid w:val="690E68FB"/>
    <w:rsid w:val="69126A56"/>
    <w:rsid w:val="691A4D55"/>
    <w:rsid w:val="692202F2"/>
    <w:rsid w:val="692549DB"/>
    <w:rsid w:val="692A1FF1"/>
    <w:rsid w:val="693469CC"/>
    <w:rsid w:val="69370AFF"/>
    <w:rsid w:val="693C5F3D"/>
    <w:rsid w:val="69430874"/>
    <w:rsid w:val="695161B2"/>
    <w:rsid w:val="69531548"/>
    <w:rsid w:val="695567B3"/>
    <w:rsid w:val="69685C09"/>
    <w:rsid w:val="69746A38"/>
    <w:rsid w:val="69751231"/>
    <w:rsid w:val="6975395B"/>
    <w:rsid w:val="697857E8"/>
    <w:rsid w:val="698E07D2"/>
    <w:rsid w:val="699429C1"/>
    <w:rsid w:val="69990F25"/>
    <w:rsid w:val="69A022B3"/>
    <w:rsid w:val="69A061F9"/>
    <w:rsid w:val="69A370E7"/>
    <w:rsid w:val="69A55B1C"/>
    <w:rsid w:val="69A94779"/>
    <w:rsid w:val="69B86809"/>
    <w:rsid w:val="69C34110"/>
    <w:rsid w:val="69DD5F7A"/>
    <w:rsid w:val="69F3089A"/>
    <w:rsid w:val="69F766A1"/>
    <w:rsid w:val="6A1C4030"/>
    <w:rsid w:val="6A226039"/>
    <w:rsid w:val="6A2922A9"/>
    <w:rsid w:val="6A2E5B11"/>
    <w:rsid w:val="6A343CCB"/>
    <w:rsid w:val="6A367E4D"/>
    <w:rsid w:val="6A386990"/>
    <w:rsid w:val="6A420630"/>
    <w:rsid w:val="6A487D38"/>
    <w:rsid w:val="6A684AC4"/>
    <w:rsid w:val="6A6A7111"/>
    <w:rsid w:val="6A6B466F"/>
    <w:rsid w:val="6A6F2833"/>
    <w:rsid w:val="6A714657"/>
    <w:rsid w:val="6A752853"/>
    <w:rsid w:val="6A883D03"/>
    <w:rsid w:val="6A9A7628"/>
    <w:rsid w:val="6AA87672"/>
    <w:rsid w:val="6AB73D58"/>
    <w:rsid w:val="6AB87A04"/>
    <w:rsid w:val="6ABA1153"/>
    <w:rsid w:val="6ABC4ECB"/>
    <w:rsid w:val="6ABE0873"/>
    <w:rsid w:val="6AC34A03"/>
    <w:rsid w:val="6AD011A8"/>
    <w:rsid w:val="6ADF6A55"/>
    <w:rsid w:val="6AEA7C8A"/>
    <w:rsid w:val="6AF04845"/>
    <w:rsid w:val="6AF83888"/>
    <w:rsid w:val="6B027DC3"/>
    <w:rsid w:val="6B077705"/>
    <w:rsid w:val="6B103EE9"/>
    <w:rsid w:val="6B1431A2"/>
    <w:rsid w:val="6B182A49"/>
    <w:rsid w:val="6B1E5828"/>
    <w:rsid w:val="6B2D56B7"/>
    <w:rsid w:val="6B2E24D2"/>
    <w:rsid w:val="6B3E641A"/>
    <w:rsid w:val="6B454EC0"/>
    <w:rsid w:val="6B542EC4"/>
    <w:rsid w:val="6B563571"/>
    <w:rsid w:val="6B56531F"/>
    <w:rsid w:val="6B600130"/>
    <w:rsid w:val="6B607A31"/>
    <w:rsid w:val="6B6537B4"/>
    <w:rsid w:val="6B6926F2"/>
    <w:rsid w:val="6B6F018F"/>
    <w:rsid w:val="6B7216AE"/>
    <w:rsid w:val="6B7239DC"/>
    <w:rsid w:val="6B7C301E"/>
    <w:rsid w:val="6B851761"/>
    <w:rsid w:val="6B895F4E"/>
    <w:rsid w:val="6B911690"/>
    <w:rsid w:val="6B9D39BF"/>
    <w:rsid w:val="6BB47BB0"/>
    <w:rsid w:val="6BC53E7E"/>
    <w:rsid w:val="6BCA4400"/>
    <w:rsid w:val="6BCF6E80"/>
    <w:rsid w:val="6BD61099"/>
    <w:rsid w:val="6BE17C11"/>
    <w:rsid w:val="6BE741CA"/>
    <w:rsid w:val="6BE80BBF"/>
    <w:rsid w:val="6BEB1FBE"/>
    <w:rsid w:val="6BEC3DD0"/>
    <w:rsid w:val="6BF74942"/>
    <w:rsid w:val="6BF9421A"/>
    <w:rsid w:val="6BFA3EFD"/>
    <w:rsid w:val="6BFC7EF8"/>
    <w:rsid w:val="6C1B537A"/>
    <w:rsid w:val="6C1C3133"/>
    <w:rsid w:val="6C1D06FA"/>
    <w:rsid w:val="6C1F5F5E"/>
    <w:rsid w:val="6C223454"/>
    <w:rsid w:val="6C363D37"/>
    <w:rsid w:val="6C393549"/>
    <w:rsid w:val="6C423AF6"/>
    <w:rsid w:val="6C44161C"/>
    <w:rsid w:val="6C496A5C"/>
    <w:rsid w:val="6C5555D7"/>
    <w:rsid w:val="6C5E3F18"/>
    <w:rsid w:val="6C6212C2"/>
    <w:rsid w:val="6C65075E"/>
    <w:rsid w:val="6C6677E4"/>
    <w:rsid w:val="6C6A1606"/>
    <w:rsid w:val="6C6F1758"/>
    <w:rsid w:val="6C7041BF"/>
    <w:rsid w:val="6C753814"/>
    <w:rsid w:val="6C7D2816"/>
    <w:rsid w:val="6C7E415F"/>
    <w:rsid w:val="6C9913EC"/>
    <w:rsid w:val="6CA420BB"/>
    <w:rsid w:val="6CAB51F7"/>
    <w:rsid w:val="6CAC38D6"/>
    <w:rsid w:val="6CB340AD"/>
    <w:rsid w:val="6CBB5A9F"/>
    <w:rsid w:val="6CC07588"/>
    <w:rsid w:val="6CC30039"/>
    <w:rsid w:val="6CC664D5"/>
    <w:rsid w:val="6CD17614"/>
    <w:rsid w:val="6CD33D13"/>
    <w:rsid w:val="6CDF3370"/>
    <w:rsid w:val="6CE8644B"/>
    <w:rsid w:val="6CF43578"/>
    <w:rsid w:val="6D033ED9"/>
    <w:rsid w:val="6D121828"/>
    <w:rsid w:val="6D1C7EA3"/>
    <w:rsid w:val="6D1E4AAE"/>
    <w:rsid w:val="6D22413B"/>
    <w:rsid w:val="6D342B2B"/>
    <w:rsid w:val="6D3A657B"/>
    <w:rsid w:val="6D405F56"/>
    <w:rsid w:val="6D415AF3"/>
    <w:rsid w:val="6D492969"/>
    <w:rsid w:val="6D4A0EB4"/>
    <w:rsid w:val="6D5718B0"/>
    <w:rsid w:val="6D603508"/>
    <w:rsid w:val="6D7F2CE7"/>
    <w:rsid w:val="6D8141AA"/>
    <w:rsid w:val="6D8B493A"/>
    <w:rsid w:val="6D8E6E5A"/>
    <w:rsid w:val="6D964977"/>
    <w:rsid w:val="6D9C4056"/>
    <w:rsid w:val="6DA16325"/>
    <w:rsid w:val="6DAF6898"/>
    <w:rsid w:val="6DB50731"/>
    <w:rsid w:val="6DB620A5"/>
    <w:rsid w:val="6DC0370A"/>
    <w:rsid w:val="6DC338E7"/>
    <w:rsid w:val="6DD467CE"/>
    <w:rsid w:val="6DE85FD7"/>
    <w:rsid w:val="6E026D32"/>
    <w:rsid w:val="6E055E4A"/>
    <w:rsid w:val="6E0C7877"/>
    <w:rsid w:val="6E367779"/>
    <w:rsid w:val="6E441AC4"/>
    <w:rsid w:val="6E444EB0"/>
    <w:rsid w:val="6E462033"/>
    <w:rsid w:val="6E472895"/>
    <w:rsid w:val="6E4C2A0A"/>
    <w:rsid w:val="6E587499"/>
    <w:rsid w:val="6E587601"/>
    <w:rsid w:val="6E5A0C83"/>
    <w:rsid w:val="6E5B399A"/>
    <w:rsid w:val="6E6041EE"/>
    <w:rsid w:val="6E68002F"/>
    <w:rsid w:val="6E963C85"/>
    <w:rsid w:val="6E9907C3"/>
    <w:rsid w:val="6E9B10AF"/>
    <w:rsid w:val="6E9C00A8"/>
    <w:rsid w:val="6EA1025F"/>
    <w:rsid w:val="6EA168B2"/>
    <w:rsid w:val="6EAD41AC"/>
    <w:rsid w:val="6EB67CFB"/>
    <w:rsid w:val="6EBC6B96"/>
    <w:rsid w:val="6EBC6E3D"/>
    <w:rsid w:val="6EBF4F8A"/>
    <w:rsid w:val="6EBF591F"/>
    <w:rsid w:val="6EBF6D7A"/>
    <w:rsid w:val="6ECA6037"/>
    <w:rsid w:val="6EDC5B3C"/>
    <w:rsid w:val="6EDE61E5"/>
    <w:rsid w:val="6EDF387E"/>
    <w:rsid w:val="6EE43539"/>
    <w:rsid w:val="6F0038B1"/>
    <w:rsid w:val="6F060E0B"/>
    <w:rsid w:val="6F092BA0"/>
    <w:rsid w:val="6F1305D3"/>
    <w:rsid w:val="6F1356F1"/>
    <w:rsid w:val="6F143527"/>
    <w:rsid w:val="6F324ACE"/>
    <w:rsid w:val="6F3B164A"/>
    <w:rsid w:val="6F4638FD"/>
    <w:rsid w:val="6F4A3D42"/>
    <w:rsid w:val="6F4B0F13"/>
    <w:rsid w:val="6F593630"/>
    <w:rsid w:val="6F5D35C6"/>
    <w:rsid w:val="6F616041"/>
    <w:rsid w:val="6F666CBC"/>
    <w:rsid w:val="6F765F90"/>
    <w:rsid w:val="6F781EEE"/>
    <w:rsid w:val="6F787BE9"/>
    <w:rsid w:val="6F813436"/>
    <w:rsid w:val="6F8833B5"/>
    <w:rsid w:val="6F924B18"/>
    <w:rsid w:val="6F9C4C0A"/>
    <w:rsid w:val="6F9E1043"/>
    <w:rsid w:val="6FA309CA"/>
    <w:rsid w:val="6FA709EC"/>
    <w:rsid w:val="6FA861AA"/>
    <w:rsid w:val="6FAA0194"/>
    <w:rsid w:val="6FAC19B2"/>
    <w:rsid w:val="6FAC79D8"/>
    <w:rsid w:val="6FAD7DCF"/>
    <w:rsid w:val="6FB16FC8"/>
    <w:rsid w:val="6FB50CE1"/>
    <w:rsid w:val="6FC30AAA"/>
    <w:rsid w:val="6FD76303"/>
    <w:rsid w:val="6FD809F9"/>
    <w:rsid w:val="6FD928E3"/>
    <w:rsid w:val="6FDB2F5C"/>
    <w:rsid w:val="6FE34A1C"/>
    <w:rsid w:val="6FEC4340"/>
    <w:rsid w:val="6FF15617"/>
    <w:rsid w:val="6FFB0243"/>
    <w:rsid w:val="6FFD045F"/>
    <w:rsid w:val="70027824"/>
    <w:rsid w:val="700A0D4E"/>
    <w:rsid w:val="700D11BF"/>
    <w:rsid w:val="700F5AEA"/>
    <w:rsid w:val="701127EE"/>
    <w:rsid w:val="70147557"/>
    <w:rsid w:val="70152E99"/>
    <w:rsid w:val="70156C2F"/>
    <w:rsid w:val="70180DF5"/>
    <w:rsid w:val="70225164"/>
    <w:rsid w:val="70400D71"/>
    <w:rsid w:val="704240C4"/>
    <w:rsid w:val="704C6CF1"/>
    <w:rsid w:val="705363EE"/>
    <w:rsid w:val="70553DF8"/>
    <w:rsid w:val="70564052"/>
    <w:rsid w:val="70606CEB"/>
    <w:rsid w:val="70653C60"/>
    <w:rsid w:val="70653E44"/>
    <w:rsid w:val="70671D7D"/>
    <w:rsid w:val="706B7C67"/>
    <w:rsid w:val="70763D6E"/>
    <w:rsid w:val="70830C64"/>
    <w:rsid w:val="70871AD7"/>
    <w:rsid w:val="70882A3D"/>
    <w:rsid w:val="70903082"/>
    <w:rsid w:val="70A26911"/>
    <w:rsid w:val="70A408DB"/>
    <w:rsid w:val="70A61026"/>
    <w:rsid w:val="70AF5C38"/>
    <w:rsid w:val="70B07280"/>
    <w:rsid w:val="70B935BF"/>
    <w:rsid w:val="70CD0D49"/>
    <w:rsid w:val="70D70CB1"/>
    <w:rsid w:val="70E138DD"/>
    <w:rsid w:val="70E231B1"/>
    <w:rsid w:val="70E73320"/>
    <w:rsid w:val="70EB650A"/>
    <w:rsid w:val="70F353BF"/>
    <w:rsid w:val="70FB334B"/>
    <w:rsid w:val="70FD13AF"/>
    <w:rsid w:val="710031D9"/>
    <w:rsid w:val="710C022E"/>
    <w:rsid w:val="710E21F8"/>
    <w:rsid w:val="712437CA"/>
    <w:rsid w:val="71270871"/>
    <w:rsid w:val="71285AAC"/>
    <w:rsid w:val="712B1982"/>
    <w:rsid w:val="712F340C"/>
    <w:rsid w:val="71390865"/>
    <w:rsid w:val="7139112A"/>
    <w:rsid w:val="713C4FB8"/>
    <w:rsid w:val="714D0F73"/>
    <w:rsid w:val="717000A5"/>
    <w:rsid w:val="717007BD"/>
    <w:rsid w:val="71716AEB"/>
    <w:rsid w:val="71904817"/>
    <w:rsid w:val="719162B4"/>
    <w:rsid w:val="719520E0"/>
    <w:rsid w:val="71996C3F"/>
    <w:rsid w:val="719D0485"/>
    <w:rsid w:val="719D6659"/>
    <w:rsid w:val="71A10A53"/>
    <w:rsid w:val="71A52B5D"/>
    <w:rsid w:val="71B12B4D"/>
    <w:rsid w:val="71B52674"/>
    <w:rsid w:val="71C15D3A"/>
    <w:rsid w:val="71C76C8E"/>
    <w:rsid w:val="71CA69B3"/>
    <w:rsid w:val="71DC40A5"/>
    <w:rsid w:val="71E35541"/>
    <w:rsid w:val="71E73175"/>
    <w:rsid w:val="71EA367F"/>
    <w:rsid w:val="71EC2132"/>
    <w:rsid w:val="71F118FE"/>
    <w:rsid w:val="71F248CB"/>
    <w:rsid w:val="71F25676"/>
    <w:rsid w:val="71F66F14"/>
    <w:rsid w:val="71F94C57"/>
    <w:rsid w:val="72027359"/>
    <w:rsid w:val="7205470F"/>
    <w:rsid w:val="720553A9"/>
    <w:rsid w:val="720930EC"/>
    <w:rsid w:val="72155C4C"/>
    <w:rsid w:val="723D615D"/>
    <w:rsid w:val="723E7FDC"/>
    <w:rsid w:val="72416C8A"/>
    <w:rsid w:val="724F4761"/>
    <w:rsid w:val="72554EEA"/>
    <w:rsid w:val="72606A84"/>
    <w:rsid w:val="726641DE"/>
    <w:rsid w:val="727367B7"/>
    <w:rsid w:val="7278568E"/>
    <w:rsid w:val="727A7B45"/>
    <w:rsid w:val="727D3192"/>
    <w:rsid w:val="727F44D1"/>
    <w:rsid w:val="728707E0"/>
    <w:rsid w:val="72871D01"/>
    <w:rsid w:val="72902C94"/>
    <w:rsid w:val="72A246F9"/>
    <w:rsid w:val="72A95EDE"/>
    <w:rsid w:val="72B01DA8"/>
    <w:rsid w:val="72BA0D43"/>
    <w:rsid w:val="72BD5C84"/>
    <w:rsid w:val="72C33C8E"/>
    <w:rsid w:val="72CE7E91"/>
    <w:rsid w:val="72D336FA"/>
    <w:rsid w:val="72D54D7C"/>
    <w:rsid w:val="72DC25AE"/>
    <w:rsid w:val="72DF209E"/>
    <w:rsid w:val="72EA2AE2"/>
    <w:rsid w:val="72FD6764"/>
    <w:rsid w:val="72FF004B"/>
    <w:rsid w:val="73027AB5"/>
    <w:rsid w:val="73103C3D"/>
    <w:rsid w:val="73211962"/>
    <w:rsid w:val="73224B3F"/>
    <w:rsid w:val="732B7092"/>
    <w:rsid w:val="734D50D9"/>
    <w:rsid w:val="734E386E"/>
    <w:rsid w:val="73517DDA"/>
    <w:rsid w:val="73532145"/>
    <w:rsid w:val="73567CCC"/>
    <w:rsid w:val="735D0BC8"/>
    <w:rsid w:val="73634A7D"/>
    <w:rsid w:val="7363682B"/>
    <w:rsid w:val="73702CF6"/>
    <w:rsid w:val="73753E35"/>
    <w:rsid w:val="73792573"/>
    <w:rsid w:val="737C611E"/>
    <w:rsid w:val="73884CA8"/>
    <w:rsid w:val="73942E89"/>
    <w:rsid w:val="73957A98"/>
    <w:rsid w:val="73A6496A"/>
    <w:rsid w:val="73B7180D"/>
    <w:rsid w:val="73B928EF"/>
    <w:rsid w:val="73BC4178"/>
    <w:rsid w:val="73BC5F3C"/>
    <w:rsid w:val="73BE3A62"/>
    <w:rsid w:val="73C8509B"/>
    <w:rsid w:val="73CB7E2A"/>
    <w:rsid w:val="73CE731E"/>
    <w:rsid w:val="73D468D7"/>
    <w:rsid w:val="73EB6D56"/>
    <w:rsid w:val="73F2195D"/>
    <w:rsid w:val="73F27BAF"/>
    <w:rsid w:val="74035919"/>
    <w:rsid w:val="74231273"/>
    <w:rsid w:val="74233331"/>
    <w:rsid w:val="74253AE1"/>
    <w:rsid w:val="74280B97"/>
    <w:rsid w:val="742835D1"/>
    <w:rsid w:val="742F6809"/>
    <w:rsid w:val="74315E33"/>
    <w:rsid w:val="743D640F"/>
    <w:rsid w:val="746A5998"/>
    <w:rsid w:val="746B4E07"/>
    <w:rsid w:val="747F52D4"/>
    <w:rsid w:val="7480340D"/>
    <w:rsid w:val="748B3900"/>
    <w:rsid w:val="749761DB"/>
    <w:rsid w:val="749B1FF5"/>
    <w:rsid w:val="749E0BEA"/>
    <w:rsid w:val="74A31EF7"/>
    <w:rsid w:val="74A40EAA"/>
    <w:rsid w:val="74A83C63"/>
    <w:rsid w:val="74AA7569"/>
    <w:rsid w:val="74BA0B23"/>
    <w:rsid w:val="74C21678"/>
    <w:rsid w:val="74C341AC"/>
    <w:rsid w:val="74C60712"/>
    <w:rsid w:val="74C61430"/>
    <w:rsid w:val="74C74B98"/>
    <w:rsid w:val="74CB6584"/>
    <w:rsid w:val="74CC21AE"/>
    <w:rsid w:val="74CF2458"/>
    <w:rsid w:val="74DD510F"/>
    <w:rsid w:val="74F0649D"/>
    <w:rsid w:val="74F4415E"/>
    <w:rsid w:val="75026A98"/>
    <w:rsid w:val="750708F0"/>
    <w:rsid w:val="750771D7"/>
    <w:rsid w:val="75083944"/>
    <w:rsid w:val="750B1140"/>
    <w:rsid w:val="751C330D"/>
    <w:rsid w:val="75263FB5"/>
    <w:rsid w:val="7545744E"/>
    <w:rsid w:val="7547144E"/>
    <w:rsid w:val="75564DCB"/>
    <w:rsid w:val="75596147"/>
    <w:rsid w:val="755A1EB0"/>
    <w:rsid w:val="756845CD"/>
    <w:rsid w:val="756A6B09"/>
    <w:rsid w:val="75707F11"/>
    <w:rsid w:val="75751EF2"/>
    <w:rsid w:val="75760BA4"/>
    <w:rsid w:val="757C5983"/>
    <w:rsid w:val="757C6343"/>
    <w:rsid w:val="757C6D66"/>
    <w:rsid w:val="758E6522"/>
    <w:rsid w:val="7590480A"/>
    <w:rsid w:val="7592164A"/>
    <w:rsid w:val="75986535"/>
    <w:rsid w:val="75AB2FF1"/>
    <w:rsid w:val="75AD3D8E"/>
    <w:rsid w:val="75DC08B7"/>
    <w:rsid w:val="75E35A02"/>
    <w:rsid w:val="75E56A5E"/>
    <w:rsid w:val="75EA77B8"/>
    <w:rsid w:val="75F11D4D"/>
    <w:rsid w:val="75F1356E"/>
    <w:rsid w:val="75F527C7"/>
    <w:rsid w:val="75F55735"/>
    <w:rsid w:val="7608190C"/>
    <w:rsid w:val="76211CFF"/>
    <w:rsid w:val="7629769D"/>
    <w:rsid w:val="762F46D0"/>
    <w:rsid w:val="763149BF"/>
    <w:rsid w:val="763C256B"/>
    <w:rsid w:val="7642085C"/>
    <w:rsid w:val="76490B84"/>
    <w:rsid w:val="764B1F66"/>
    <w:rsid w:val="765734C1"/>
    <w:rsid w:val="765E4E3A"/>
    <w:rsid w:val="766C7898"/>
    <w:rsid w:val="76720736"/>
    <w:rsid w:val="76805EF2"/>
    <w:rsid w:val="76866143"/>
    <w:rsid w:val="769D070C"/>
    <w:rsid w:val="76A1074A"/>
    <w:rsid w:val="76A5031F"/>
    <w:rsid w:val="76AE6010"/>
    <w:rsid w:val="76BF5C97"/>
    <w:rsid w:val="76BF646F"/>
    <w:rsid w:val="76C47493"/>
    <w:rsid w:val="76C76A55"/>
    <w:rsid w:val="76D12FF8"/>
    <w:rsid w:val="76D31F1A"/>
    <w:rsid w:val="76D979F0"/>
    <w:rsid w:val="76EB6204"/>
    <w:rsid w:val="76EE4CD7"/>
    <w:rsid w:val="76F425EF"/>
    <w:rsid w:val="76FA74A7"/>
    <w:rsid w:val="77022DEF"/>
    <w:rsid w:val="77113A94"/>
    <w:rsid w:val="771A5C18"/>
    <w:rsid w:val="77224259"/>
    <w:rsid w:val="77266369"/>
    <w:rsid w:val="773A34FC"/>
    <w:rsid w:val="773E0DCD"/>
    <w:rsid w:val="774769F5"/>
    <w:rsid w:val="77565084"/>
    <w:rsid w:val="775D3592"/>
    <w:rsid w:val="776C3B0B"/>
    <w:rsid w:val="776D7528"/>
    <w:rsid w:val="7790081C"/>
    <w:rsid w:val="779A2A38"/>
    <w:rsid w:val="779F7AB9"/>
    <w:rsid w:val="77A60685"/>
    <w:rsid w:val="77AE3DED"/>
    <w:rsid w:val="77AF733A"/>
    <w:rsid w:val="77B444A1"/>
    <w:rsid w:val="77C35AEB"/>
    <w:rsid w:val="77C60CC0"/>
    <w:rsid w:val="77C63D61"/>
    <w:rsid w:val="77C81353"/>
    <w:rsid w:val="77C90C27"/>
    <w:rsid w:val="77CB1471"/>
    <w:rsid w:val="77DB3A38"/>
    <w:rsid w:val="77E12415"/>
    <w:rsid w:val="77E218CA"/>
    <w:rsid w:val="77E872FF"/>
    <w:rsid w:val="77EF25FC"/>
    <w:rsid w:val="77F66832"/>
    <w:rsid w:val="77F959B0"/>
    <w:rsid w:val="78003B51"/>
    <w:rsid w:val="780472F7"/>
    <w:rsid w:val="78096FFF"/>
    <w:rsid w:val="780A2B96"/>
    <w:rsid w:val="780F71B0"/>
    <w:rsid w:val="78126667"/>
    <w:rsid w:val="78137124"/>
    <w:rsid w:val="78142E4E"/>
    <w:rsid w:val="781906BF"/>
    <w:rsid w:val="781E440A"/>
    <w:rsid w:val="781E71C5"/>
    <w:rsid w:val="78213109"/>
    <w:rsid w:val="78300AFF"/>
    <w:rsid w:val="78307524"/>
    <w:rsid w:val="784C3D32"/>
    <w:rsid w:val="78564BB1"/>
    <w:rsid w:val="78591FAB"/>
    <w:rsid w:val="785B3F75"/>
    <w:rsid w:val="78654DF4"/>
    <w:rsid w:val="7866291A"/>
    <w:rsid w:val="78680440"/>
    <w:rsid w:val="786A0ACB"/>
    <w:rsid w:val="787259C9"/>
    <w:rsid w:val="78760DAF"/>
    <w:rsid w:val="78812890"/>
    <w:rsid w:val="78844474"/>
    <w:rsid w:val="78855767"/>
    <w:rsid w:val="78A05E2C"/>
    <w:rsid w:val="78AA2F01"/>
    <w:rsid w:val="78B10A76"/>
    <w:rsid w:val="78B24F5D"/>
    <w:rsid w:val="78B86532"/>
    <w:rsid w:val="78BD078C"/>
    <w:rsid w:val="78D41F79"/>
    <w:rsid w:val="78D750CC"/>
    <w:rsid w:val="78DF4BA6"/>
    <w:rsid w:val="78E079FD"/>
    <w:rsid w:val="78E24696"/>
    <w:rsid w:val="78E42DFC"/>
    <w:rsid w:val="78E71CAD"/>
    <w:rsid w:val="78EE6B97"/>
    <w:rsid w:val="78FF01BA"/>
    <w:rsid w:val="78FF3583"/>
    <w:rsid w:val="79013D99"/>
    <w:rsid w:val="791153F3"/>
    <w:rsid w:val="79144124"/>
    <w:rsid w:val="791505C8"/>
    <w:rsid w:val="791D105C"/>
    <w:rsid w:val="79224350"/>
    <w:rsid w:val="792A3948"/>
    <w:rsid w:val="79322A31"/>
    <w:rsid w:val="795310F0"/>
    <w:rsid w:val="795A247F"/>
    <w:rsid w:val="796F75E5"/>
    <w:rsid w:val="797057FE"/>
    <w:rsid w:val="797C5659"/>
    <w:rsid w:val="798346A1"/>
    <w:rsid w:val="79A17A3F"/>
    <w:rsid w:val="79A547A8"/>
    <w:rsid w:val="79A6217C"/>
    <w:rsid w:val="79B15DCD"/>
    <w:rsid w:val="79B25E17"/>
    <w:rsid w:val="79C124FE"/>
    <w:rsid w:val="79CD7DFE"/>
    <w:rsid w:val="79D35D8D"/>
    <w:rsid w:val="79DD5A42"/>
    <w:rsid w:val="79DE66A2"/>
    <w:rsid w:val="79DF5394"/>
    <w:rsid w:val="79E0799C"/>
    <w:rsid w:val="79E81839"/>
    <w:rsid w:val="79EB1962"/>
    <w:rsid w:val="79EF706B"/>
    <w:rsid w:val="79F418F0"/>
    <w:rsid w:val="79F85706"/>
    <w:rsid w:val="79FC1BC6"/>
    <w:rsid w:val="7A0C3F2B"/>
    <w:rsid w:val="7A0C5BE6"/>
    <w:rsid w:val="7A1D2AB6"/>
    <w:rsid w:val="7A1E465B"/>
    <w:rsid w:val="7A2103B1"/>
    <w:rsid w:val="7A28319F"/>
    <w:rsid w:val="7A330110"/>
    <w:rsid w:val="7A365C8F"/>
    <w:rsid w:val="7A397C47"/>
    <w:rsid w:val="7A454EDD"/>
    <w:rsid w:val="7A532C8C"/>
    <w:rsid w:val="7A6861C1"/>
    <w:rsid w:val="7A711DFE"/>
    <w:rsid w:val="7A7816D7"/>
    <w:rsid w:val="7A867B5A"/>
    <w:rsid w:val="7A8E0BF3"/>
    <w:rsid w:val="7A8F7F06"/>
    <w:rsid w:val="7A9325F7"/>
    <w:rsid w:val="7A9B48B4"/>
    <w:rsid w:val="7A9D4194"/>
    <w:rsid w:val="7AAD4830"/>
    <w:rsid w:val="7AAD65DE"/>
    <w:rsid w:val="7ABD293A"/>
    <w:rsid w:val="7AC758F2"/>
    <w:rsid w:val="7AD350DF"/>
    <w:rsid w:val="7AD667EC"/>
    <w:rsid w:val="7ADA542E"/>
    <w:rsid w:val="7ADB139D"/>
    <w:rsid w:val="7ADC0DB5"/>
    <w:rsid w:val="7AEC4B63"/>
    <w:rsid w:val="7AED10D1"/>
    <w:rsid w:val="7AF33058"/>
    <w:rsid w:val="7AF519FE"/>
    <w:rsid w:val="7AFC276D"/>
    <w:rsid w:val="7B046B46"/>
    <w:rsid w:val="7B05641A"/>
    <w:rsid w:val="7B092BE4"/>
    <w:rsid w:val="7B1448AF"/>
    <w:rsid w:val="7B1C13F3"/>
    <w:rsid w:val="7B1C4716"/>
    <w:rsid w:val="7B1E52D0"/>
    <w:rsid w:val="7B2F3497"/>
    <w:rsid w:val="7B3974C5"/>
    <w:rsid w:val="7B3C654E"/>
    <w:rsid w:val="7B3D1E17"/>
    <w:rsid w:val="7B424F78"/>
    <w:rsid w:val="7B516A7D"/>
    <w:rsid w:val="7B590491"/>
    <w:rsid w:val="7B5C1154"/>
    <w:rsid w:val="7B644B3D"/>
    <w:rsid w:val="7B670E83"/>
    <w:rsid w:val="7B672C31"/>
    <w:rsid w:val="7B6F2534"/>
    <w:rsid w:val="7B765CA2"/>
    <w:rsid w:val="7B7A6E08"/>
    <w:rsid w:val="7B7B6206"/>
    <w:rsid w:val="7B8732D3"/>
    <w:rsid w:val="7B917CAE"/>
    <w:rsid w:val="7B933A26"/>
    <w:rsid w:val="7B987D01"/>
    <w:rsid w:val="7B987F84"/>
    <w:rsid w:val="7B9E4D3F"/>
    <w:rsid w:val="7BB10FBE"/>
    <w:rsid w:val="7BBD3757"/>
    <w:rsid w:val="7BC138F6"/>
    <w:rsid w:val="7BC4153D"/>
    <w:rsid w:val="7BCD1B08"/>
    <w:rsid w:val="7BCF0242"/>
    <w:rsid w:val="7BD007D6"/>
    <w:rsid w:val="7BD91DC6"/>
    <w:rsid w:val="7BE06D02"/>
    <w:rsid w:val="7BED71D8"/>
    <w:rsid w:val="7BF31168"/>
    <w:rsid w:val="7C0C1A0E"/>
    <w:rsid w:val="7C0D710F"/>
    <w:rsid w:val="7C1070ED"/>
    <w:rsid w:val="7C1E1DF8"/>
    <w:rsid w:val="7C1E3C37"/>
    <w:rsid w:val="7C2E19A1"/>
    <w:rsid w:val="7C2E3F7F"/>
    <w:rsid w:val="7C3945CD"/>
    <w:rsid w:val="7C39497A"/>
    <w:rsid w:val="7C4F6F5B"/>
    <w:rsid w:val="7C507B9A"/>
    <w:rsid w:val="7C5A3D17"/>
    <w:rsid w:val="7C5C4FAC"/>
    <w:rsid w:val="7C6453C2"/>
    <w:rsid w:val="7C662EE9"/>
    <w:rsid w:val="7C692AEC"/>
    <w:rsid w:val="7C7028A1"/>
    <w:rsid w:val="7C755728"/>
    <w:rsid w:val="7C7A5CFD"/>
    <w:rsid w:val="7C855A65"/>
    <w:rsid w:val="7C8D2B6B"/>
    <w:rsid w:val="7C8F10FB"/>
    <w:rsid w:val="7C955E36"/>
    <w:rsid w:val="7CA3413D"/>
    <w:rsid w:val="7CB50EE6"/>
    <w:rsid w:val="7CB75A1F"/>
    <w:rsid w:val="7CBA64E2"/>
    <w:rsid w:val="7CC77E2B"/>
    <w:rsid w:val="7CCA7987"/>
    <w:rsid w:val="7CCF6CE0"/>
    <w:rsid w:val="7CD213CD"/>
    <w:rsid w:val="7CD418CD"/>
    <w:rsid w:val="7CE85FF3"/>
    <w:rsid w:val="7CEA1D3D"/>
    <w:rsid w:val="7CEA786F"/>
    <w:rsid w:val="7CEF7382"/>
    <w:rsid w:val="7CF46746"/>
    <w:rsid w:val="7CF96730"/>
    <w:rsid w:val="7CFC4B68"/>
    <w:rsid w:val="7D0A7D18"/>
    <w:rsid w:val="7D0B475F"/>
    <w:rsid w:val="7D0E594C"/>
    <w:rsid w:val="7D19439F"/>
    <w:rsid w:val="7D2708CA"/>
    <w:rsid w:val="7D2D3A06"/>
    <w:rsid w:val="7D392CCE"/>
    <w:rsid w:val="7D3A18A2"/>
    <w:rsid w:val="7D3F1C6A"/>
    <w:rsid w:val="7D454697"/>
    <w:rsid w:val="7D511CA3"/>
    <w:rsid w:val="7D542A93"/>
    <w:rsid w:val="7D5B4A17"/>
    <w:rsid w:val="7D5B5BD9"/>
    <w:rsid w:val="7D6531A0"/>
    <w:rsid w:val="7D67516A"/>
    <w:rsid w:val="7D6F4641"/>
    <w:rsid w:val="7D770817"/>
    <w:rsid w:val="7D8555F0"/>
    <w:rsid w:val="7D937F94"/>
    <w:rsid w:val="7D965A4F"/>
    <w:rsid w:val="7D9B3066"/>
    <w:rsid w:val="7D9D293A"/>
    <w:rsid w:val="7DAC2AED"/>
    <w:rsid w:val="7DB732BA"/>
    <w:rsid w:val="7DBE2677"/>
    <w:rsid w:val="7DC72BB8"/>
    <w:rsid w:val="7DDE70E8"/>
    <w:rsid w:val="7DDF73F6"/>
    <w:rsid w:val="7DE44A0D"/>
    <w:rsid w:val="7DE908CD"/>
    <w:rsid w:val="7DEC1DDE"/>
    <w:rsid w:val="7DEE4FF8"/>
    <w:rsid w:val="7DF32EA2"/>
    <w:rsid w:val="7DFE3B85"/>
    <w:rsid w:val="7E0A115A"/>
    <w:rsid w:val="7E0B01EB"/>
    <w:rsid w:val="7E0D57CE"/>
    <w:rsid w:val="7E1015BB"/>
    <w:rsid w:val="7E140D4C"/>
    <w:rsid w:val="7E146B55"/>
    <w:rsid w:val="7E180FFF"/>
    <w:rsid w:val="7E1D2AC2"/>
    <w:rsid w:val="7E277393"/>
    <w:rsid w:val="7E33504C"/>
    <w:rsid w:val="7E3F20CE"/>
    <w:rsid w:val="7E457663"/>
    <w:rsid w:val="7E467CC4"/>
    <w:rsid w:val="7E4B0813"/>
    <w:rsid w:val="7E5216E4"/>
    <w:rsid w:val="7E527BC8"/>
    <w:rsid w:val="7E5751DF"/>
    <w:rsid w:val="7E5763FC"/>
    <w:rsid w:val="7E5A6A7D"/>
    <w:rsid w:val="7E5D7A10"/>
    <w:rsid w:val="7E663674"/>
    <w:rsid w:val="7E695079"/>
    <w:rsid w:val="7E6D4E94"/>
    <w:rsid w:val="7E716F1A"/>
    <w:rsid w:val="7E751C87"/>
    <w:rsid w:val="7E8B30DA"/>
    <w:rsid w:val="7E8F48C3"/>
    <w:rsid w:val="7EA76C96"/>
    <w:rsid w:val="7EAA44A4"/>
    <w:rsid w:val="7EB608B2"/>
    <w:rsid w:val="7EC107E4"/>
    <w:rsid w:val="7EC2646F"/>
    <w:rsid w:val="7ED24DE9"/>
    <w:rsid w:val="7ED90726"/>
    <w:rsid w:val="7EE72B87"/>
    <w:rsid w:val="7EF45F68"/>
    <w:rsid w:val="7EFD472C"/>
    <w:rsid w:val="7F005342"/>
    <w:rsid w:val="7F132D96"/>
    <w:rsid w:val="7F2030B5"/>
    <w:rsid w:val="7F213A0D"/>
    <w:rsid w:val="7F2309D4"/>
    <w:rsid w:val="7F2D7CEE"/>
    <w:rsid w:val="7F2E23E3"/>
    <w:rsid w:val="7F380309"/>
    <w:rsid w:val="7F385010"/>
    <w:rsid w:val="7F3D06A0"/>
    <w:rsid w:val="7F463FCD"/>
    <w:rsid w:val="7F547970"/>
    <w:rsid w:val="7F5A40CF"/>
    <w:rsid w:val="7F6000C3"/>
    <w:rsid w:val="7F7115CB"/>
    <w:rsid w:val="7F8863E6"/>
    <w:rsid w:val="7F89408F"/>
    <w:rsid w:val="7F930498"/>
    <w:rsid w:val="7F9F0A9A"/>
    <w:rsid w:val="7FAB02E5"/>
    <w:rsid w:val="7FAC5AC6"/>
    <w:rsid w:val="7FAF4BA7"/>
    <w:rsid w:val="7FB161ED"/>
    <w:rsid w:val="7FBC2AD0"/>
    <w:rsid w:val="7FC354B8"/>
    <w:rsid w:val="7FD47BC6"/>
    <w:rsid w:val="7FE9483A"/>
    <w:rsid w:val="7FF310B8"/>
    <w:rsid w:val="7FFB7DEC"/>
    <w:rsid w:val="7FFE7B7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qFormat="1" w:unhideWhenUsed="0" w:uiPriority="0" w:semiHidden="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0" w:name="macro"/>
    <w:lsdException w:uiPriority="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qFormat="1" w:unhideWhenUsed="0"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宋体"/>
      <w:sz w:val="22"/>
      <w:szCs w:val="22"/>
      <w:lang w:val="en-US" w:eastAsia="zh-CN" w:bidi="ar-SA"/>
    </w:rPr>
  </w:style>
  <w:style w:type="paragraph" w:styleId="2">
    <w:name w:val="heading 1"/>
    <w:basedOn w:val="1"/>
    <w:next w:val="1"/>
    <w:link w:val="78"/>
    <w:qFormat/>
    <w:uiPriority w:val="0"/>
    <w:pPr>
      <w:keepNext/>
      <w:keepLines/>
      <w:widowControl w:val="0"/>
      <w:adjustRightInd/>
      <w:snapToGrid/>
      <w:spacing w:after="0" w:line="360" w:lineRule="auto"/>
      <w:jc w:val="both"/>
      <w:outlineLvl w:val="0"/>
    </w:pPr>
    <w:rPr>
      <w:rFonts w:ascii="Times New Roman" w:hAnsi="Times New Roman" w:eastAsia="宋体" w:cs="Times New Roman"/>
      <w:b/>
      <w:bCs/>
      <w:kern w:val="44"/>
      <w:sz w:val="32"/>
      <w:szCs w:val="44"/>
    </w:rPr>
  </w:style>
  <w:style w:type="paragraph" w:styleId="3">
    <w:name w:val="heading 2"/>
    <w:basedOn w:val="1"/>
    <w:next w:val="1"/>
    <w:link w:val="79"/>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paragraph" w:styleId="4">
    <w:name w:val="heading 3"/>
    <w:basedOn w:val="1"/>
    <w:next w:val="1"/>
    <w:link w:val="80"/>
    <w:qFormat/>
    <w:uiPriority w:val="0"/>
    <w:pPr>
      <w:keepNext/>
      <w:keepLines/>
      <w:widowControl w:val="0"/>
      <w:adjustRightInd/>
      <w:snapToGrid/>
      <w:spacing w:after="0" w:line="360" w:lineRule="auto"/>
      <w:jc w:val="both"/>
      <w:outlineLvl w:val="2"/>
    </w:pPr>
    <w:rPr>
      <w:rFonts w:ascii="Times New Roman" w:hAnsi="Times New Roman" w:eastAsia="宋体" w:cs="Times New Roman"/>
      <w:b/>
      <w:bCs/>
      <w:kern w:val="2"/>
      <w:sz w:val="24"/>
      <w:szCs w:val="32"/>
    </w:rPr>
  </w:style>
  <w:style w:type="paragraph" w:styleId="5">
    <w:name w:val="heading 4"/>
    <w:basedOn w:val="1"/>
    <w:next w:val="1"/>
    <w:link w:val="81"/>
    <w:qFormat/>
    <w:uiPriority w:val="0"/>
    <w:pPr>
      <w:keepNext/>
      <w:keepLines/>
      <w:widowControl w:val="0"/>
      <w:adjustRightInd/>
      <w:snapToGrid/>
      <w:spacing w:after="0" w:line="360" w:lineRule="auto"/>
      <w:jc w:val="both"/>
      <w:outlineLvl w:val="3"/>
    </w:pPr>
    <w:rPr>
      <w:rFonts w:ascii="Arial" w:hAnsi="Arial" w:eastAsia="宋体" w:cs="Times New Roman"/>
      <w:b/>
      <w:bCs/>
      <w:kern w:val="2"/>
      <w:sz w:val="21"/>
      <w:szCs w:val="28"/>
    </w:rPr>
  </w:style>
  <w:style w:type="paragraph" w:styleId="6">
    <w:name w:val="heading 5"/>
    <w:basedOn w:val="1"/>
    <w:next w:val="1"/>
    <w:link w:val="82"/>
    <w:qFormat/>
    <w:uiPriority w:val="0"/>
    <w:pPr>
      <w:keepNext/>
      <w:keepLines/>
      <w:widowControl w:val="0"/>
      <w:adjustRightInd/>
      <w:snapToGrid/>
      <w:spacing w:before="280" w:after="290" w:line="372" w:lineRule="auto"/>
      <w:jc w:val="both"/>
      <w:outlineLvl w:val="4"/>
    </w:pPr>
    <w:rPr>
      <w:rFonts w:ascii="Times New Roman" w:hAnsi="Times New Roman" w:eastAsia="宋体" w:cs="Times New Roman"/>
      <w:b/>
      <w:bCs/>
      <w:kern w:val="2"/>
      <w:sz w:val="28"/>
      <w:szCs w:val="28"/>
    </w:rPr>
  </w:style>
  <w:style w:type="paragraph" w:styleId="7">
    <w:name w:val="heading 6"/>
    <w:basedOn w:val="1"/>
    <w:next w:val="1"/>
    <w:link w:val="133"/>
    <w:qFormat/>
    <w:uiPriority w:val="0"/>
    <w:pPr>
      <w:keepNext/>
      <w:keepLines/>
      <w:widowControl w:val="0"/>
      <w:adjustRightInd/>
      <w:snapToGrid/>
      <w:spacing w:before="240" w:after="64" w:line="317" w:lineRule="auto"/>
      <w:jc w:val="both"/>
      <w:outlineLvl w:val="5"/>
    </w:pPr>
    <w:rPr>
      <w:rFonts w:ascii="Cambria" w:hAnsi="Cambria" w:eastAsia="宋体" w:cs="Times New Roman"/>
      <w:b/>
      <w:bCs/>
      <w:kern w:val="2"/>
      <w:sz w:val="24"/>
      <w:szCs w:val="24"/>
    </w:rPr>
  </w:style>
  <w:style w:type="paragraph" w:styleId="8">
    <w:name w:val="heading 7"/>
    <w:basedOn w:val="1"/>
    <w:next w:val="1"/>
    <w:link w:val="134"/>
    <w:qFormat/>
    <w:uiPriority w:val="0"/>
    <w:pPr>
      <w:keepNext/>
      <w:keepLines/>
      <w:widowControl w:val="0"/>
      <w:adjustRightInd/>
      <w:snapToGrid/>
      <w:spacing w:before="240" w:after="64" w:line="317" w:lineRule="auto"/>
      <w:jc w:val="both"/>
      <w:outlineLvl w:val="6"/>
    </w:pPr>
    <w:rPr>
      <w:rFonts w:ascii="Calibri" w:hAnsi="Calibri" w:eastAsia="宋体" w:cs="Times New Roman"/>
      <w:b/>
      <w:bCs/>
      <w:kern w:val="2"/>
      <w:sz w:val="24"/>
      <w:szCs w:val="24"/>
    </w:rPr>
  </w:style>
  <w:style w:type="paragraph" w:styleId="9">
    <w:name w:val="heading 8"/>
    <w:basedOn w:val="1"/>
    <w:next w:val="1"/>
    <w:link w:val="135"/>
    <w:qFormat/>
    <w:uiPriority w:val="0"/>
    <w:pPr>
      <w:keepNext/>
      <w:keepLines/>
      <w:widowControl w:val="0"/>
      <w:adjustRightInd/>
      <w:snapToGrid/>
      <w:spacing w:before="240" w:after="64" w:line="317" w:lineRule="auto"/>
      <w:jc w:val="both"/>
      <w:outlineLvl w:val="7"/>
    </w:pPr>
    <w:rPr>
      <w:rFonts w:ascii="Cambria" w:hAnsi="Cambria" w:eastAsia="宋体" w:cs="Times New Roman"/>
      <w:kern w:val="2"/>
      <w:sz w:val="24"/>
      <w:szCs w:val="24"/>
    </w:rPr>
  </w:style>
  <w:style w:type="paragraph" w:styleId="10">
    <w:name w:val="heading 9"/>
    <w:basedOn w:val="1"/>
    <w:next w:val="1"/>
    <w:link w:val="136"/>
    <w:qFormat/>
    <w:uiPriority w:val="0"/>
    <w:pPr>
      <w:keepNext/>
      <w:keepLines/>
      <w:widowControl w:val="0"/>
      <w:adjustRightInd/>
      <w:snapToGrid/>
      <w:spacing w:before="240" w:after="64" w:line="317" w:lineRule="auto"/>
      <w:jc w:val="both"/>
      <w:outlineLvl w:val="8"/>
    </w:pPr>
    <w:rPr>
      <w:rFonts w:ascii="Cambria" w:hAnsi="Cambria" w:eastAsia="宋体" w:cs="Times New Roman"/>
      <w:kern w:val="2"/>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widowControl w:val="0"/>
      <w:adjustRightInd/>
      <w:snapToGrid/>
      <w:spacing w:after="0"/>
      <w:ind w:left="2520" w:leftChars="1200"/>
      <w:jc w:val="both"/>
    </w:pPr>
    <w:rPr>
      <w:rFonts w:ascii="Calibri" w:hAnsi="Calibri" w:eastAsia="宋体"/>
      <w:kern w:val="2"/>
      <w:sz w:val="21"/>
    </w:rPr>
  </w:style>
  <w:style w:type="paragraph" w:styleId="12">
    <w:name w:val="List Number 2"/>
    <w:basedOn w:val="13"/>
    <w:qFormat/>
    <w:uiPriority w:val="0"/>
    <w:pPr>
      <w:tabs>
        <w:tab w:val="left" w:pos="360"/>
        <w:tab w:val="left" w:pos="851"/>
      </w:tabs>
      <w:spacing w:before="120"/>
    </w:pPr>
  </w:style>
  <w:style w:type="paragraph" w:styleId="13">
    <w:name w:val="List Number"/>
    <w:basedOn w:val="14"/>
    <w:qFormat/>
    <w:uiPriority w:val="0"/>
    <w:pPr>
      <w:keepLines/>
      <w:widowControl/>
      <w:tabs>
        <w:tab w:val="left" w:pos="851"/>
      </w:tabs>
      <w:spacing w:before="50" w:after="0" w:line="280" w:lineRule="atLeast"/>
      <w:ind w:left="851" w:hanging="426"/>
    </w:pPr>
    <w:rPr>
      <w:rFonts w:ascii="Calibri" w:hAnsi="Calibri"/>
      <w:kern w:val="0"/>
      <w:sz w:val="22"/>
      <w:szCs w:val="20"/>
      <w:lang w:val="en-GB"/>
    </w:rPr>
  </w:style>
  <w:style w:type="paragraph" w:styleId="14">
    <w:name w:val="Body Text"/>
    <w:basedOn w:val="1"/>
    <w:next w:val="1"/>
    <w:link w:val="91"/>
    <w:qFormat/>
    <w:uiPriority w:val="0"/>
    <w:pPr>
      <w:widowControl w:val="0"/>
      <w:adjustRightInd/>
      <w:snapToGrid/>
      <w:spacing w:after="120"/>
      <w:jc w:val="both"/>
    </w:pPr>
    <w:rPr>
      <w:rFonts w:ascii="Times New Roman" w:hAnsi="Times New Roman" w:eastAsia="宋体" w:cs="Times New Roman"/>
      <w:kern w:val="2"/>
      <w:sz w:val="21"/>
      <w:szCs w:val="24"/>
    </w:rPr>
  </w:style>
  <w:style w:type="paragraph" w:styleId="15">
    <w:name w:val="table of authorities"/>
    <w:basedOn w:val="1"/>
    <w:next w:val="1"/>
    <w:qFormat/>
    <w:uiPriority w:val="0"/>
    <w:pPr>
      <w:widowControl w:val="0"/>
      <w:adjustRightInd/>
      <w:snapToGrid/>
      <w:spacing w:after="0"/>
      <w:ind w:left="420" w:leftChars="200"/>
      <w:jc w:val="both"/>
    </w:pPr>
    <w:rPr>
      <w:rFonts w:ascii="Times New Roman" w:hAnsi="Times New Roman" w:eastAsia="宋体" w:cs="Times New Roman"/>
      <w:kern w:val="2"/>
      <w:sz w:val="21"/>
      <w:szCs w:val="24"/>
    </w:rPr>
  </w:style>
  <w:style w:type="paragraph" w:styleId="16">
    <w:name w:val="Normal Indent"/>
    <w:basedOn w:val="1"/>
    <w:next w:val="1"/>
    <w:link w:val="102"/>
    <w:qFormat/>
    <w:uiPriority w:val="0"/>
    <w:pPr>
      <w:adjustRightInd/>
      <w:snapToGrid/>
      <w:spacing w:after="0"/>
      <w:ind w:firstLine="420"/>
    </w:pPr>
    <w:rPr>
      <w:rFonts w:ascii="Times New Roman" w:hAnsi="Times New Roman" w:eastAsia="宋体" w:cs="Times New Roman"/>
      <w:sz w:val="20"/>
      <w:szCs w:val="20"/>
    </w:rPr>
  </w:style>
  <w:style w:type="paragraph" w:styleId="17">
    <w:name w:val="caption"/>
    <w:basedOn w:val="1"/>
    <w:next w:val="1"/>
    <w:qFormat/>
    <w:uiPriority w:val="0"/>
    <w:pPr>
      <w:widowControl w:val="0"/>
      <w:adjustRightInd/>
      <w:snapToGrid/>
      <w:spacing w:after="0"/>
      <w:jc w:val="both"/>
    </w:pPr>
    <w:rPr>
      <w:rFonts w:ascii="Cambria" w:hAnsi="Cambria" w:eastAsia="黑体" w:cs="Times New Roman"/>
      <w:kern w:val="2"/>
      <w:sz w:val="20"/>
      <w:szCs w:val="20"/>
    </w:rPr>
  </w:style>
  <w:style w:type="paragraph" w:styleId="18">
    <w:name w:val="List Bullet"/>
    <w:basedOn w:val="14"/>
    <w:qFormat/>
    <w:uiPriority w:val="0"/>
    <w:pPr>
      <w:keepLines/>
      <w:widowControl/>
      <w:spacing w:after="0" w:line="360" w:lineRule="auto"/>
    </w:pPr>
    <w:rPr>
      <w:rFonts w:ascii="Calibri" w:hAnsi="Calibri"/>
      <w:color w:val="000000"/>
      <w:kern w:val="0"/>
      <w:sz w:val="20"/>
      <w:szCs w:val="20"/>
      <w:lang w:val="en-GB"/>
    </w:rPr>
  </w:style>
  <w:style w:type="paragraph" w:styleId="19">
    <w:name w:val="Document Map"/>
    <w:basedOn w:val="1"/>
    <w:link w:val="107"/>
    <w:qFormat/>
    <w:uiPriority w:val="0"/>
    <w:rPr>
      <w:rFonts w:ascii="宋体" w:eastAsia="宋体"/>
      <w:sz w:val="18"/>
      <w:szCs w:val="18"/>
    </w:rPr>
  </w:style>
  <w:style w:type="paragraph" w:styleId="20">
    <w:name w:val="annotation text"/>
    <w:basedOn w:val="1"/>
    <w:link w:val="260"/>
    <w:qFormat/>
    <w:uiPriority w:val="0"/>
  </w:style>
  <w:style w:type="paragraph" w:styleId="21">
    <w:name w:val="Body Text 3"/>
    <w:basedOn w:val="1"/>
    <w:link w:val="93"/>
    <w:qFormat/>
    <w:uiPriority w:val="0"/>
    <w:pPr>
      <w:widowControl w:val="0"/>
      <w:adjustRightInd/>
      <w:snapToGrid/>
      <w:spacing w:after="120"/>
      <w:jc w:val="both"/>
    </w:pPr>
    <w:rPr>
      <w:rFonts w:ascii="Times New Roman" w:hAnsi="Times New Roman" w:eastAsia="宋体" w:cs="Times New Roman"/>
      <w:kern w:val="2"/>
      <w:sz w:val="16"/>
      <w:szCs w:val="16"/>
    </w:rPr>
  </w:style>
  <w:style w:type="paragraph" w:styleId="22">
    <w:name w:val="List Bullet 3"/>
    <w:basedOn w:val="14"/>
    <w:qFormat/>
    <w:uiPriority w:val="0"/>
    <w:pPr>
      <w:widowControl/>
      <w:tabs>
        <w:tab w:val="left" w:pos="1276"/>
      </w:tabs>
      <w:spacing w:line="280" w:lineRule="atLeast"/>
      <w:ind w:left="1276" w:hanging="425"/>
    </w:pPr>
    <w:rPr>
      <w:rFonts w:ascii="Calibri" w:hAnsi="Calibri"/>
      <w:kern w:val="0"/>
      <w:sz w:val="22"/>
      <w:szCs w:val="20"/>
      <w:lang w:val="en-GB"/>
    </w:rPr>
  </w:style>
  <w:style w:type="paragraph" w:styleId="23">
    <w:name w:val="Body Text Indent"/>
    <w:basedOn w:val="1"/>
    <w:next w:val="24"/>
    <w:link w:val="92"/>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styleId="24">
    <w:name w:val="envelope return"/>
    <w:basedOn w:val="1"/>
    <w:qFormat/>
    <w:uiPriority w:val="0"/>
    <w:rPr>
      <w:rFonts w:ascii="Arial" w:hAnsi="Arial"/>
    </w:rPr>
  </w:style>
  <w:style w:type="paragraph" w:styleId="25">
    <w:name w:val="List 2"/>
    <w:basedOn w:val="1"/>
    <w:qFormat/>
    <w:uiPriority w:val="0"/>
    <w:pPr>
      <w:widowControl w:val="0"/>
      <w:adjustRightInd/>
      <w:snapToGrid/>
      <w:spacing w:after="0"/>
      <w:ind w:left="200" w:leftChars="200" w:hanging="200" w:hangingChars="200"/>
      <w:jc w:val="both"/>
    </w:pPr>
    <w:rPr>
      <w:rFonts w:ascii="Times New Roman" w:hAnsi="Times New Roman" w:eastAsia="宋体" w:cs="Times New Roman"/>
      <w:kern w:val="2"/>
      <w:sz w:val="21"/>
      <w:szCs w:val="24"/>
    </w:rPr>
  </w:style>
  <w:style w:type="paragraph" w:styleId="26">
    <w:name w:val="Block Text"/>
    <w:basedOn w:val="1"/>
    <w:next w:val="1"/>
    <w:qFormat/>
    <w:uiPriority w:val="0"/>
    <w:pPr>
      <w:widowControl w:val="0"/>
      <w:tabs>
        <w:tab w:val="left" w:pos="900"/>
      </w:tabs>
      <w:spacing w:beforeLines="50" w:afterLines="50" w:line="400" w:lineRule="atLeast"/>
      <w:ind w:left="901" w:leftChars="428" w:right="32" w:hanging="2"/>
      <w:jc w:val="both"/>
    </w:pPr>
    <w:rPr>
      <w:rFonts w:ascii="Times New Roman" w:hAnsi="Times New Roman" w:eastAsia="宋体" w:cs="Times New Roman"/>
      <w:kern w:val="2"/>
      <w:sz w:val="24"/>
      <w:szCs w:val="24"/>
    </w:rPr>
  </w:style>
  <w:style w:type="paragraph" w:styleId="27">
    <w:name w:val="List Bullet 2"/>
    <w:basedOn w:val="18"/>
    <w:qFormat/>
    <w:uiPriority w:val="0"/>
    <w:pPr>
      <w:tabs>
        <w:tab w:val="left" w:pos="780"/>
      </w:tabs>
      <w:spacing w:before="120"/>
      <w:ind w:left="780" w:hanging="360"/>
    </w:pPr>
  </w:style>
  <w:style w:type="paragraph" w:styleId="28">
    <w:name w:val="index 4"/>
    <w:basedOn w:val="1"/>
    <w:next w:val="1"/>
    <w:qFormat/>
    <w:uiPriority w:val="0"/>
    <w:pPr>
      <w:widowControl w:val="0"/>
      <w:adjustRightInd/>
      <w:snapToGrid/>
      <w:spacing w:after="0"/>
      <w:ind w:left="600" w:leftChars="600"/>
      <w:jc w:val="both"/>
    </w:pPr>
    <w:rPr>
      <w:rFonts w:ascii="Times New Roman" w:hAnsi="Times New Roman" w:eastAsia="宋体" w:cs="Times New Roman"/>
      <w:kern w:val="2"/>
      <w:sz w:val="21"/>
      <w:szCs w:val="24"/>
    </w:rPr>
  </w:style>
  <w:style w:type="paragraph" w:styleId="29">
    <w:name w:val="toc 5"/>
    <w:basedOn w:val="1"/>
    <w:next w:val="1"/>
    <w:qFormat/>
    <w:uiPriority w:val="39"/>
    <w:pPr>
      <w:widowControl w:val="0"/>
      <w:adjustRightInd/>
      <w:snapToGrid/>
      <w:spacing w:after="0"/>
      <w:ind w:left="1680" w:leftChars="800"/>
      <w:jc w:val="both"/>
    </w:pPr>
    <w:rPr>
      <w:rFonts w:ascii="Calibri" w:hAnsi="Calibri" w:eastAsia="宋体"/>
      <w:kern w:val="2"/>
      <w:sz w:val="21"/>
    </w:rPr>
  </w:style>
  <w:style w:type="paragraph" w:styleId="30">
    <w:name w:val="toc 3"/>
    <w:basedOn w:val="1"/>
    <w:next w:val="1"/>
    <w:qFormat/>
    <w:uiPriority w:val="39"/>
    <w:pPr>
      <w:widowControl w:val="0"/>
      <w:adjustRightInd/>
      <w:snapToGrid/>
      <w:spacing w:after="0"/>
      <w:ind w:left="420"/>
    </w:pPr>
    <w:rPr>
      <w:rFonts w:ascii="Times New Roman" w:hAnsi="Times New Roman" w:eastAsia="宋体" w:cs="Times New Roman"/>
      <w:i/>
      <w:iCs/>
      <w:kern w:val="2"/>
      <w:sz w:val="20"/>
      <w:szCs w:val="20"/>
    </w:rPr>
  </w:style>
  <w:style w:type="paragraph" w:styleId="31">
    <w:name w:val="Plain Text"/>
    <w:basedOn w:val="1"/>
    <w:link w:val="129"/>
    <w:qFormat/>
    <w:uiPriority w:val="0"/>
    <w:pPr>
      <w:widowControl w:val="0"/>
      <w:adjustRightInd/>
      <w:snapToGrid/>
      <w:spacing w:after="0"/>
      <w:jc w:val="both"/>
    </w:pPr>
    <w:rPr>
      <w:rFonts w:ascii="宋体" w:hAnsi="Courier New" w:eastAsia="宋体" w:cs="Times New Roman"/>
      <w:kern w:val="2"/>
      <w:sz w:val="21"/>
      <w:szCs w:val="20"/>
    </w:rPr>
  </w:style>
  <w:style w:type="paragraph" w:styleId="32">
    <w:name w:val="toc 8"/>
    <w:basedOn w:val="1"/>
    <w:next w:val="1"/>
    <w:qFormat/>
    <w:uiPriority w:val="39"/>
    <w:pPr>
      <w:widowControl w:val="0"/>
      <w:adjustRightInd/>
      <w:snapToGrid/>
      <w:spacing w:after="0"/>
      <w:ind w:left="2940" w:leftChars="1400"/>
      <w:jc w:val="both"/>
    </w:pPr>
    <w:rPr>
      <w:rFonts w:ascii="Calibri" w:hAnsi="Calibri" w:eastAsia="宋体"/>
      <w:kern w:val="2"/>
      <w:sz w:val="21"/>
    </w:rPr>
  </w:style>
  <w:style w:type="paragraph" w:styleId="33">
    <w:name w:val="index 3"/>
    <w:basedOn w:val="1"/>
    <w:next w:val="1"/>
    <w:qFormat/>
    <w:uiPriority w:val="0"/>
    <w:pPr>
      <w:widowControl w:val="0"/>
      <w:adjustRightInd/>
      <w:snapToGrid/>
      <w:spacing w:after="0"/>
      <w:ind w:left="400" w:leftChars="400"/>
      <w:jc w:val="both"/>
    </w:pPr>
    <w:rPr>
      <w:rFonts w:ascii="Times New Roman" w:hAnsi="Times New Roman" w:eastAsia="宋体" w:cs="Times New Roman"/>
      <w:kern w:val="2"/>
      <w:sz w:val="21"/>
      <w:szCs w:val="24"/>
    </w:rPr>
  </w:style>
  <w:style w:type="paragraph" w:styleId="34">
    <w:name w:val="Date"/>
    <w:basedOn w:val="1"/>
    <w:next w:val="1"/>
    <w:link w:val="90"/>
    <w:qFormat/>
    <w:uiPriority w:val="0"/>
    <w:pPr>
      <w:widowControl w:val="0"/>
      <w:adjustRightInd/>
      <w:snapToGrid/>
      <w:spacing w:after="0"/>
      <w:ind w:left="100" w:leftChars="2500"/>
      <w:jc w:val="both"/>
    </w:pPr>
    <w:rPr>
      <w:rFonts w:ascii="Times New Roman" w:hAnsi="Times New Roman" w:eastAsia="宋体" w:cs="Times New Roman"/>
      <w:kern w:val="2"/>
      <w:sz w:val="21"/>
      <w:szCs w:val="24"/>
    </w:rPr>
  </w:style>
  <w:style w:type="paragraph" w:styleId="35">
    <w:name w:val="Body Text Indent 2"/>
    <w:basedOn w:val="1"/>
    <w:link w:val="163"/>
    <w:qFormat/>
    <w:uiPriority w:val="0"/>
    <w:pPr>
      <w:widowControl w:val="0"/>
      <w:adjustRightInd/>
      <w:snapToGrid/>
      <w:spacing w:after="120" w:line="480" w:lineRule="auto"/>
      <w:ind w:left="420" w:leftChars="200"/>
      <w:jc w:val="both"/>
    </w:pPr>
    <w:rPr>
      <w:rFonts w:ascii="Times New Roman" w:hAnsi="Times New Roman" w:eastAsia="宋体" w:cs="Times New Roman"/>
      <w:sz w:val="20"/>
      <w:szCs w:val="24"/>
    </w:rPr>
  </w:style>
  <w:style w:type="paragraph" w:styleId="36">
    <w:name w:val="endnote text"/>
    <w:basedOn w:val="1"/>
    <w:link w:val="244"/>
    <w:qFormat/>
    <w:uiPriority w:val="0"/>
    <w:pPr>
      <w:widowControl w:val="0"/>
      <w:adjustRightInd/>
      <w:spacing w:after="0"/>
    </w:pPr>
    <w:rPr>
      <w:rFonts w:ascii="Times New Roman" w:hAnsi="Times New Roman" w:eastAsia="宋体" w:cs="Times New Roman"/>
      <w:kern w:val="2"/>
      <w:sz w:val="21"/>
      <w:szCs w:val="24"/>
    </w:rPr>
  </w:style>
  <w:style w:type="paragraph" w:styleId="37">
    <w:name w:val="Balloon Text"/>
    <w:basedOn w:val="1"/>
    <w:link w:val="89"/>
    <w:qFormat/>
    <w:uiPriority w:val="0"/>
    <w:pPr>
      <w:widowControl w:val="0"/>
      <w:adjustRightInd/>
      <w:snapToGrid/>
      <w:spacing w:after="0"/>
      <w:jc w:val="both"/>
    </w:pPr>
    <w:rPr>
      <w:rFonts w:ascii="Times New Roman" w:hAnsi="Times New Roman" w:eastAsia="宋体" w:cs="Times New Roman"/>
      <w:kern w:val="2"/>
      <w:sz w:val="18"/>
      <w:szCs w:val="18"/>
    </w:rPr>
  </w:style>
  <w:style w:type="paragraph" w:styleId="38">
    <w:name w:val="footer"/>
    <w:basedOn w:val="1"/>
    <w:link w:val="84"/>
    <w:qFormat/>
    <w:uiPriority w:val="99"/>
    <w:pPr>
      <w:tabs>
        <w:tab w:val="center" w:pos="4153"/>
        <w:tab w:val="right" w:pos="8306"/>
      </w:tabs>
    </w:pPr>
    <w:rPr>
      <w:sz w:val="18"/>
      <w:szCs w:val="18"/>
    </w:rPr>
  </w:style>
  <w:style w:type="paragraph" w:styleId="39">
    <w:name w:val="header"/>
    <w:basedOn w:val="1"/>
    <w:link w:val="83"/>
    <w:qFormat/>
    <w:uiPriority w:val="99"/>
    <w:pPr>
      <w:pBdr>
        <w:bottom w:val="single" w:color="auto" w:sz="6" w:space="1"/>
      </w:pBdr>
      <w:tabs>
        <w:tab w:val="center" w:pos="4153"/>
        <w:tab w:val="right" w:pos="8306"/>
      </w:tabs>
      <w:jc w:val="center"/>
    </w:pPr>
    <w:rPr>
      <w:sz w:val="18"/>
      <w:szCs w:val="18"/>
    </w:rPr>
  </w:style>
  <w:style w:type="paragraph" w:styleId="40">
    <w:name w:val="toc 1"/>
    <w:basedOn w:val="1"/>
    <w:next w:val="1"/>
    <w:qFormat/>
    <w:uiPriority w:val="39"/>
    <w:pPr>
      <w:widowControl w:val="0"/>
      <w:tabs>
        <w:tab w:val="right" w:leader="dot" w:pos="9540"/>
      </w:tabs>
      <w:adjustRightInd/>
      <w:snapToGrid/>
      <w:spacing w:before="120" w:after="120"/>
    </w:pPr>
    <w:rPr>
      <w:rFonts w:ascii="黑体" w:hAnsi="黑体" w:eastAsia="黑体" w:cs="Times New Roman"/>
      <w:bCs/>
      <w:caps/>
      <w:kern w:val="2"/>
      <w:sz w:val="20"/>
      <w:szCs w:val="20"/>
    </w:rPr>
  </w:style>
  <w:style w:type="paragraph" w:styleId="41">
    <w:name w:val="toc 4"/>
    <w:basedOn w:val="1"/>
    <w:next w:val="1"/>
    <w:qFormat/>
    <w:uiPriority w:val="39"/>
    <w:pPr>
      <w:widowControl w:val="0"/>
      <w:adjustRightInd/>
      <w:snapToGrid/>
      <w:spacing w:after="0"/>
      <w:ind w:left="1260" w:leftChars="600"/>
      <w:jc w:val="both"/>
    </w:pPr>
    <w:rPr>
      <w:rFonts w:ascii="Calibri" w:hAnsi="Calibri" w:eastAsia="宋体"/>
      <w:kern w:val="2"/>
      <w:sz w:val="21"/>
    </w:rPr>
  </w:style>
  <w:style w:type="paragraph" w:styleId="42">
    <w:name w:val="Subtitle"/>
    <w:basedOn w:val="1"/>
    <w:next w:val="1"/>
    <w:link w:val="203"/>
    <w:qFormat/>
    <w:uiPriority w:val="0"/>
    <w:pPr>
      <w:widowControl w:val="0"/>
      <w:adjustRightInd/>
      <w:snapToGrid/>
      <w:spacing w:before="240" w:after="60" w:line="312" w:lineRule="auto"/>
      <w:jc w:val="center"/>
      <w:outlineLvl w:val="1"/>
    </w:pPr>
    <w:rPr>
      <w:rFonts w:ascii="Cambria" w:hAnsi="Cambria" w:eastAsia="宋体" w:cs="Times New Roman"/>
      <w:b/>
      <w:bCs/>
      <w:kern w:val="28"/>
      <w:sz w:val="32"/>
      <w:szCs w:val="32"/>
    </w:rPr>
  </w:style>
  <w:style w:type="paragraph" w:styleId="43">
    <w:name w:val="List"/>
    <w:basedOn w:val="1"/>
    <w:qFormat/>
    <w:uiPriority w:val="0"/>
    <w:pPr>
      <w:widowControl w:val="0"/>
      <w:adjustRightInd/>
      <w:snapToGrid/>
      <w:spacing w:before="120" w:after="120" w:line="360" w:lineRule="exact"/>
      <w:ind w:firstLine="454"/>
      <w:jc w:val="center"/>
    </w:pPr>
    <w:rPr>
      <w:rFonts w:ascii="Times New Roman" w:hAnsi="Times New Roman" w:eastAsia="宋体" w:cs="Times New Roman"/>
      <w:b/>
      <w:kern w:val="2"/>
      <w:sz w:val="24"/>
      <w:szCs w:val="20"/>
    </w:rPr>
  </w:style>
  <w:style w:type="paragraph" w:styleId="44">
    <w:name w:val="footnote text"/>
    <w:basedOn w:val="1"/>
    <w:link w:val="196"/>
    <w:qFormat/>
    <w:uiPriority w:val="0"/>
    <w:pPr>
      <w:widowControl w:val="0"/>
      <w:adjustRightInd/>
      <w:spacing w:after="0"/>
    </w:pPr>
    <w:rPr>
      <w:rFonts w:ascii="Times New Roman" w:hAnsi="Times New Roman" w:eastAsia="宋体" w:cs="Times New Roman"/>
      <w:kern w:val="2"/>
      <w:sz w:val="18"/>
      <w:szCs w:val="18"/>
    </w:rPr>
  </w:style>
  <w:style w:type="paragraph" w:styleId="45">
    <w:name w:val="toc 6"/>
    <w:basedOn w:val="1"/>
    <w:next w:val="1"/>
    <w:qFormat/>
    <w:uiPriority w:val="39"/>
    <w:pPr>
      <w:widowControl w:val="0"/>
      <w:adjustRightInd/>
      <w:snapToGrid/>
      <w:spacing w:after="0"/>
      <w:ind w:left="2100" w:leftChars="1000"/>
      <w:jc w:val="both"/>
    </w:pPr>
    <w:rPr>
      <w:rFonts w:ascii="Calibri" w:hAnsi="Calibri" w:eastAsia="宋体"/>
      <w:kern w:val="2"/>
      <w:sz w:val="21"/>
    </w:rPr>
  </w:style>
  <w:style w:type="paragraph" w:styleId="46">
    <w:name w:val="List 5"/>
    <w:basedOn w:val="1"/>
    <w:qFormat/>
    <w:uiPriority w:val="0"/>
    <w:pPr>
      <w:widowControl w:val="0"/>
      <w:adjustRightInd/>
      <w:snapToGrid/>
      <w:spacing w:after="0"/>
      <w:ind w:left="2100" w:hanging="420"/>
      <w:jc w:val="both"/>
    </w:pPr>
    <w:rPr>
      <w:rFonts w:ascii="Times New Roman" w:hAnsi="Times New Roman" w:eastAsia="宋体" w:cs="Times New Roman"/>
      <w:kern w:val="2"/>
      <w:sz w:val="21"/>
      <w:szCs w:val="20"/>
    </w:rPr>
  </w:style>
  <w:style w:type="paragraph" w:styleId="47">
    <w:name w:val="Body Text Indent 3"/>
    <w:basedOn w:val="1"/>
    <w:link w:val="128"/>
    <w:qFormat/>
    <w:uiPriority w:val="0"/>
    <w:pPr>
      <w:spacing w:after="120"/>
      <w:ind w:left="420" w:leftChars="200"/>
    </w:pPr>
    <w:rPr>
      <w:sz w:val="16"/>
      <w:szCs w:val="16"/>
    </w:rPr>
  </w:style>
  <w:style w:type="paragraph" w:styleId="48">
    <w:name w:val="table of figures"/>
    <w:basedOn w:val="1"/>
    <w:next w:val="1"/>
    <w:qFormat/>
    <w:uiPriority w:val="0"/>
    <w:pPr>
      <w:widowControl w:val="0"/>
      <w:adjustRightInd/>
      <w:snapToGrid/>
      <w:spacing w:after="0" w:line="360" w:lineRule="auto"/>
      <w:ind w:left="840" w:hanging="420"/>
      <w:jc w:val="both"/>
    </w:pPr>
    <w:rPr>
      <w:rFonts w:ascii="Arial" w:hAnsi="Arial" w:eastAsia="宋体" w:cs="Times New Roman"/>
      <w:kern w:val="2"/>
      <w:sz w:val="24"/>
      <w:szCs w:val="20"/>
    </w:rPr>
  </w:style>
  <w:style w:type="paragraph" w:styleId="49">
    <w:name w:val="toc 2"/>
    <w:basedOn w:val="1"/>
    <w:next w:val="1"/>
    <w:qFormat/>
    <w:uiPriority w:val="39"/>
    <w:pPr>
      <w:widowControl w:val="0"/>
      <w:adjustRightInd/>
      <w:snapToGrid/>
      <w:spacing w:after="0"/>
      <w:ind w:left="210"/>
    </w:pPr>
    <w:rPr>
      <w:rFonts w:ascii="Times New Roman" w:hAnsi="Times New Roman" w:eastAsia="宋体" w:cs="Times New Roman"/>
      <w:smallCaps/>
      <w:kern w:val="2"/>
      <w:sz w:val="20"/>
      <w:szCs w:val="20"/>
    </w:rPr>
  </w:style>
  <w:style w:type="paragraph" w:styleId="50">
    <w:name w:val="toc 9"/>
    <w:basedOn w:val="1"/>
    <w:next w:val="1"/>
    <w:qFormat/>
    <w:uiPriority w:val="39"/>
    <w:pPr>
      <w:widowControl w:val="0"/>
      <w:adjustRightInd/>
      <w:snapToGrid/>
      <w:spacing w:after="0"/>
      <w:ind w:left="3360" w:leftChars="1600"/>
      <w:jc w:val="both"/>
    </w:pPr>
    <w:rPr>
      <w:rFonts w:ascii="Calibri" w:hAnsi="Calibri" w:eastAsia="宋体"/>
      <w:kern w:val="2"/>
      <w:sz w:val="21"/>
    </w:rPr>
  </w:style>
  <w:style w:type="paragraph" w:styleId="51">
    <w:name w:val="Body Text 2"/>
    <w:basedOn w:val="1"/>
    <w:link w:val="247"/>
    <w:qFormat/>
    <w:uiPriority w:val="0"/>
    <w:pPr>
      <w:widowControl w:val="0"/>
      <w:adjustRightInd/>
      <w:snapToGrid/>
      <w:spacing w:after="120" w:line="480" w:lineRule="auto"/>
      <w:jc w:val="both"/>
    </w:pPr>
    <w:rPr>
      <w:rFonts w:ascii="Times New Roman" w:hAnsi="Times New Roman" w:eastAsia="宋体" w:cs="Times New Roman"/>
      <w:sz w:val="20"/>
      <w:szCs w:val="20"/>
    </w:rPr>
  </w:style>
  <w:style w:type="paragraph" w:styleId="52">
    <w:name w:val="List 4"/>
    <w:basedOn w:val="1"/>
    <w:qFormat/>
    <w:uiPriority w:val="0"/>
    <w:pPr>
      <w:widowControl w:val="0"/>
      <w:tabs>
        <w:tab w:val="left" w:pos="420"/>
      </w:tabs>
      <w:adjustRightInd/>
      <w:snapToGrid/>
      <w:spacing w:after="0" w:line="420" w:lineRule="exact"/>
      <w:ind w:left="100" w:leftChars="600" w:hanging="200" w:hangingChars="200"/>
      <w:jc w:val="both"/>
    </w:pPr>
    <w:rPr>
      <w:rFonts w:ascii="Times New Roman" w:hAnsi="Times New Roman" w:eastAsia="宋体" w:cs="Times New Roman"/>
      <w:kern w:val="2"/>
      <w:sz w:val="24"/>
      <w:szCs w:val="24"/>
    </w:rPr>
  </w:style>
  <w:style w:type="paragraph" w:styleId="53">
    <w:name w:val="List Continue 2"/>
    <w:basedOn w:val="1"/>
    <w:qFormat/>
    <w:uiPriority w:val="0"/>
    <w:pPr>
      <w:widowControl w:val="0"/>
      <w:adjustRightInd/>
      <w:snapToGrid/>
      <w:spacing w:after="120"/>
      <w:ind w:left="840" w:leftChars="400"/>
      <w:jc w:val="both"/>
    </w:pPr>
    <w:rPr>
      <w:rFonts w:ascii="Times New Roman" w:hAnsi="Times New Roman" w:eastAsia="宋体" w:cs="Times New Roman"/>
      <w:kern w:val="2"/>
      <w:sz w:val="21"/>
      <w:szCs w:val="24"/>
    </w:rPr>
  </w:style>
  <w:style w:type="paragraph" w:styleId="54">
    <w:name w:val="HTML Preformatted"/>
    <w:basedOn w:val="1"/>
    <w:link w:val="200"/>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0"/>
    </w:pPr>
    <w:rPr>
      <w:rFonts w:ascii="宋体" w:hAnsi="宋体" w:eastAsia="宋体"/>
      <w:sz w:val="24"/>
      <w:szCs w:val="24"/>
    </w:rPr>
  </w:style>
  <w:style w:type="paragraph" w:styleId="55">
    <w:name w:val="Normal (Web)"/>
    <w:basedOn w:val="1"/>
    <w:link w:val="106"/>
    <w:qFormat/>
    <w:uiPriority w:val="0"/>
    <w:pPr>
      <w:adjustRightInd/>
      <w:snapToGrid/>
      <w:spacing w:before="100" w:beforeAutospacing="1" w:after="100" w:afterAutospacing="1"/>
    </w:pPr>
    <w:rPr>
      <w:rFonts w:ascii="宋体" w:hAnsi="宋体" w:eastAsia="宋体"/>
      <w:sz w:val="24"/>
      <w:szCs w:val="24"/>
    </w:rPr>
  </w:style>
  <w:style w:type="paragraph" w:styleId="56">
    <w:name w:val="index 1"/>
    <w:basedOn w:val="1"/>
    <w:next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styleId="57">
    <w:name w:val="Title"/>
    <w:basedOn w:val="1"/>
    <w:next w:val="1"/>
    <w:link w:val="125"/>
    <w:qFormat/>
    <w:uiPriority w:val="0"/>
    <w:pPr>
      <w:widowControl w:val="0"/>
      <w:adjustRightInd/>
      <w:snapToGrid/>
      <w:spacing w:before="240" w:after="60"/>
      <w:jc w:val="center"/>
      <w:outlineLvl w:val="0"/>
    </w:pPr>
    <w:rPr>
      <w:rFonts w:ascii="Cambria" w:hAnsi="Cambria" w:eastAsia="宋体" w:cs="Cambria"/>
      <w:b/>
      <w:bCs/>
      <w:kern w:val="2"/>
      <w:sz w:val="32"/>
      <w:szCs w:val="32"/>
    </w:rPr>
  </w:style>
  <w:style w:type="paragraph" w:styleId="58">
    <w:name w:val="annotation subject"/>
    <w:basedOn w:val="20"/>
    <w:next w:val="20"/>
    <w:link w:val="224"/>
    <w:qFormat/>
    <w:uiPriority w:val="0"/>
    <w:pPr>
      <w:widowControl w:val="0"/>
      <w:adjustRightInd/>
      <w:snapToGrid/>
      <w:spacing w:after="0"/>
    </w:pPr>
    <w:rPr>
      <w:rFonts w:ascii="Times New Roman" w:hAnsi="Times New Roman" w:eastAsia="宋体" w:cs="Times New Roman"/>
      <w:b/>
      <w:bCs/>
      <w:sz w:val="20"/>
      <w:szCs w:val="24"/>
    </w:rPr>
  </w:style>
  <w:style w:type="paragraph" w:styleId="59">
    <w:name w:val="Body Text First Indent"/>
    <w:basedOn w:val="14"/>
    <w:next w:val="1"/>
    <w:qFormat/>
    <w:uiPriority w:val="0"/>
    <w:pPr>
      <w:tabs>
        <w:tab w:val="left" w:pos="567"/>
      </w:tabs>
      <w:spacing w:line="312" w:lineRule="auto"/>
      <w:ind w:firstLine="420"/>
    </w:pPr>
    <w:rPr>
      <w:rFonts w:eastAsia="仿宋_GB2312"/>
    </w:rPr>
  </w:style>
  <w:style w:type="paragraph" w:styleId="60">
    <w:name w:val="Body Text First Indent 2"/>
    <w:basedOn w:val="16"/>
    <w:next w:val="61"/>
    <w:qFormat/>
    <w:uiPriority w:val="99"/>
  </w:style>
  <w:style w:type="paragraph" w:customStyle="1" w:styleId="61">
    <w:name w:val="正文内容"/>
    <w:basedOn w:val="1"/>
    <w:qFormat/>
    <w:uiPriority w:val="0"/>
    <w:pPr>
      <w:ind w:firstLine="200" w:firstLineChars="200"/>
    </w:pPr>
    <w:rPr>
      <w:rFonts w:eastAsia="仿宋_GB2312"/>
      <w:sz w:val="24"/>
    </w:rPr>
  </w:style>
  <w:style w:type="table" w:styleId="63">
    <w:name w:val="Table Grid"/>
    <w:basedOn w:val="6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basedOn w:val="64"/>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rPr>
      <w:rFonts w:hint="default" w:ascii="Times New Roman" w:hAnsi="Times New Roman" w:cs="Times New Roman"/>
    </w:rPr>
  </w:style>
  <w:style w:type="character" w:styleId="68">
    <w:name w:val="FollowedHyperlink"/>
    <w:basedOn w:val="64"/>
    <w:qFormat/>
    <w:uiPriority w:val="0"/>
    <w:rPr>
      <w:color w:val="337AB7"/>
      <w:u w:val="single"/>
    </w:rPr>
  </w:style>
  <w:style w:type="character" w:styleId="69">
    <w:name w:val="Emphasis"/>
    <w:qFormat/>
    <w:uiPriority w:val="0"/>
    <w:rPr>
      <w:i/>
      <w:iCs/>
    </w:rPr>
  </w:style>
  <w:style w:type="character" w:styleId="70">
    <w:name w:val="HTML Definition"/>
    <w:basedOn w:val="64"/>
    <w:qFormat/>
    <w:uiPriority w:val="99"/>
    <w:rPr>
      <w:i/>
    </w:rPr>
  </w:style>
  <w:style w:type="character" w:styleId="71">
    <w:name w:val="Hyperlink"/>
    <w:basedOn w:val="64"/>
    <w:qFormat/>
    <w:uiPriority w:val="99"/>
    <w:rPr>
      <w:rFonts w:hint="eastAsia" w:ascii="宋体" w:hAnsi="宋体" w:eastAsia="宋体" w:cs="宋体"/>
      <w:color w:val="0033CC"/>
      <w:sz w:val="18"/>
      <w:szCs w:val="18"/>
      <w:u w:val="none"/>
    </w:rPr>
  </w:style>
  <w:style w:type="character" w:styleId="72">
    <w:name w:val="HTML Code"/>
    <w:basedOn w:val="64"/>
    <w:qFormat/>
    <w:uiPriority w:val="99"/>
    <w:rPr>
      <w:rFonts w:ascii="Consolas" w:hAnsi="Consolas" w:eastAsia="Consolas" w:cs="Consolas"/>
      <w:color w:val="C7254E"/>
      <w:sz w:val="21"/>
      <w:szCs w:val="21"/>
      <w:shd w:val="clear" w:color="auto" w:fill="F9F2F4"/>
    </w:rPr>
  </w:style>
  <w:style w:type="character" w:styleId="73">
    <w:name w:val="annotation reference"/>
    <w:qFormat/>
    <w:uiPriority w:val="0"/>
    <w:rPr>
      <w:sz w:val="21"/>
      <w:szCs w:val="21"/>
    </w:rPr>
  </w:style>
  <w:style w:type="character" w:styleId="74">
    <w:name w:val="footnote reference"/>
    <w:qFormat/>
    <w:uiPriority w:val="0"/>
    <w:rPr>
      <w:vertAlign w:val="superscript"/>
    </w:rPr>
  </w:style>
  <w:style w:type="character" w:styleId="75">
    <w:name w:val="HTML Keyboard"/>
    <w:basedOn w:val="64"/>
    <w:qFormat/>
    <w:uiPriority w:val="99"/>
    <w:rPr>
      <w:rFonts w:hint="default" w:ascii="Consolas" w:hAnsi="Consolas" w:eastAsia="Consolas" w:cs="Consolas"/>
      <w:color w:val="FFFFFF"/>
      <w:sz w:val="21"/>
      <w:szCs w:val="21"/>
      <w:shd w:val="clear" w:color="auto" w:fill="333333"/>
    </w:rPr>
  </w:style>
  <w:style w:type="character" w:styleId="76">
    <w:name w:val="HTML Sample"/>
    <w:basedOn w:val="64"/>
    <w:qFormat/>
    <w:uiPriority w:val="99"/>
    <w:rPr>
      <w:rFonts w:hint="default" w:ascii="Consolas" w:hAnsi="Consolas" w:eastAsia="Consolas" w:cs="Consolas"/>
      <w:sz w:val="21"/>
      <w:szCs w:val="21"/>
    </w:rPr>
  </w:style>
  <w:style w:type="paragraph" w:customStyle="1" w:styleId="77">
    <w:name w:val="正文缩进1"/>
    <w:basedOn w:val="1"/>
    <w:qFormat/>
    <w:uiPriority w:val="0"/>
    <w:pPr>
      <w:widowControl/>
      <w:ind w:firstLine="420"/>
      <w:jc w:val="left"/>
    </w:pPr>
    <w:rPr>
      <w:kern w:val="0"/>
      <w:sz w:val="20"/>
      <w:szCs w:val="20"/>
    </w:rPr>
  </w:style>
  <w:style w:type="character" w:customStyle="1" w:styleId="78">
    <w:name w:val="标题 1 Char"/>
    <w:basedOn w:val="64"/>
    <w:link w:val="2"/>
    <w:qFormat/>
    <w:uiPriority w:val="1"/>
    <w:rPr>
      <w:rFonts w:ascii="Times New Roman" w:hAnsi="Times New Roman" w:eastAsia="宋体" w:cs="Times New Roman"/>
      <w:b/>
      <w:bCs/>
      <w:kern w:val="44"/>
      <w:sz w:val="32"/>
      <w:szCs w:val="44"/>
    </w:rPr>
  </w:style>
  <w:style w:type="character" w:customStyle="1" w:styleId="79">
    <w:name w:val="标题 2 Char"/>
    <w:basedOn w:val="64"/>
    <w:link w:val="3"/>
    <w:qFormat/>
    <w:uiPriority w:val="0"/>
    <w:rPr>
      <w:rFonts w:ascii="Arial" w:hAnsi="Arial" w:eastAsia="黑体" w:cs="Times New Roman"/>
      <w:b/>
      <w:bCs/>
      <w:kern w:val="2"/>
      <w:sz w:val="32"/>
      <w:szCs w:val="32"/>
    </w:rPr>
  </w:style>
  <w:style w:type="character" w:customStyle="1" w:styleId="80">
    <w:name w:val="标题 3 Char"/>
    <w:basedOn w:val="64"/>
    <w:link w:val="4"/>
    <w:qFormat/>
    <w:uiPriority w:val="0"/>
    <w:rPr>
      <w:rFonts w:ascii="Times New Roman" w:hAnsi="Times New Roman" w:eastAsia="宋体" w:cs="Times New Roman"/>
      <w:b/>
      <w:bCs/>
      <w:kern w:val="2"/>
      <w:sz w:val="24"/>
      <w:szCs w:val="32"/>
    </w:rPr>
  </w:style>
  <w:style w:type="character" w:customStyle="1" w:styleId="81">
    <w:name w:val="标题 4 Char"/>
    <w:basedOn w:val="64"/>
    <w:link w:val="5"/>
    <w:qFormat/>
    <w:uiPriority w:val="0"/>
    <w:rPr>
      <w:rFonts w:ascii="Arial" w:hAnsi="Arial" w:eastAsia="宋体" w:cs="Times New Roman"/>
      <w:b/>
      <w:bCs/>
      <w:kern w:val="2"/>
      <w:sz w:val="21"/>
      <w:szCs w:val="28"/>
    </w:rPr>
  </w:style>
  <w:style w:type="character" w:customStyle="1" w:styleId="82">
    <w:name w:val="标题 5 Char"/>
    <w:basedOn w:val="64"/>
    <w:link w:val="6"/>
    <w:qFormat/>
    <w:uiPriority w:val="0"/>
    <w:rPr>
      <w:rFonts w:ascii="Times New Roman" w:hAnsi="Times New Roman" w:eastAsia="宋体" w:cs="Times New Roman"/>
      <w:b/>
      <w:bCs/>
      <w:kern w:val="2"/>
      <w:sz w:val="28"/>
      <w:szCs w:val="28"/>
    </w:rPr>
  </w:style>
  <w:style w:type="character" w:customStyle="1" w:styleId="83">
    <w:name w:val="页眉 Char"/>
    <w:basedOn w:val="64"/>
    <w:link w:val="39"/>
    <w:qFormat/>
    <w:uiPriority w:val="99"/>
    <w:rPr>
      <w:rFonts w:ascii="Tahoma" w:hAnsi="Tahoma"/>
      <w:sz w:val="18"/>
      <w:szCs w:val="18"/>
    </w:rPr>
  </w:style>
  <w:style w:type="character" w:customStyle="1" w:styleId="84">
    <w:name w:val="页脚 Char"/>
    <w:basedOn w:val="64"/>
    <w:link w:val="38"/>
    <w:qFormat/>
    <w:uiPriority w:val="99"/>
    <w:rPr>
      <w:rFonts w:ascii="Tahoma" w:hAnsi="Tahoma"/>
      <w:sz w:val="18"/>
      <w:szCs w:val="18"/>
    </w:rPr>
  </w:style>
  <w:style w:type="character" w:customStyle="1" w:styleId="85">
    <w:name w:val="black1"/>
    <w:basedOn w:val="64"/>
    <w:qFormat/>
    <w:uiPriority w:val="0"/>
    <w:rPr>
      <w:rFonts w:hint="eastAsia" w:ascii="宋体" w:hAnsi="宋体" w:eastAsia="宋体" w:cs="宋体"/>
      <w:color w:val="333333"/>
      <w:sz w:val="18"/>
      <w:szCs w:val="18"/>
      <w:u w:val="none"/>
    </w:rPr>
  </w:style>
  <w:style w:type="character" w:customStyle="1" w:styleId="86">
    <w:name w:val="正文文本缩进 Char1 Char"/>
    <w:basedOn w:val="64"/>
    <w:qFormat/>
    <w:uiPriority w:val="0"/>
    <w:rPr>
      <w:rFonts w:eastAsia="宋体"/>
      <w:kern w:val="2"/>
      <w:sz w:val="28"/>
      <w:szCs w:val="24"/>
      <w:lang w:val="en-US" w:eastAsia="zh-CN" w:bidi="ar-SA"/>
    </w:rPr>
  </w:style>
  <w:style w:type="character" w:customStyle="1" w:styleId="87">
    <w:name w:val="无间隔 Char"/>
    <w:basedOn w:val="64"/>
    <w:link w:val="88"/>
    <w:qFormat/>
    <w:uiPriority w:val="0"/>
    <w:rPr>
      <w:rFonts w:ascii="Calibri" w:hAnsi="Calibri"/>
    </w:rPr>
  </w:style>
  <w:style w:type="paragraph" w:customStyle="1" w:styleId="88">
    <w:name w:val="无间隔1"/>
    <w:link w:val="87"/>
    <w:qFormat/>
    <w:uiPriority w:val="0"/>
    <w:rPr>
      <w:rFonts w:ascii="Calibri" w:hAnsi="Calibri" w:eastAsia="微软雅黑" w:cs="宋体"/>
      <w:sz w:val="22"/>
      <w:szCs w:val="22"/>
      <w:lang w:val="en-US" w:eastAsia="zh-CN" w:bidi="ar-SA"/>
    </w:rPr>
  </w:style>
  <w:style w:type="character" w:customStyle="1" w:styleId="89">
    <w:name w:val="批注框文本 Char"/>
    <w:basedOn w:val="64"/>
    <w:link w:val="37"/>
    <w:qFormat/>
    <w:uiPriority w:val="0"/>
    <w:rPr>
      <w:rFonts w:ascii="Times New Roman" w:hAnsi="Times New Roman" w:eastAsia="宋体" w:cs="Times New Roman"/>
      <w:kern w:val="2"/>
      <w:sz w:val="18"/>
      <w:szCs w:val="18"/>
    </w:rPr>
  </w:style>
  <w:style w:type="character" w:customStyle="1" w:styleId="90">
    <w:name w:val="日期 Char"/>
    <w:basedOn w:val="64"/>
    <w:link w:val="34"/>
    <w:qFormat/>
    <w:uiPriority w:val="0"/>
    <w:rPr>
      <w:rFonts w:ascii="Times New Roman" w:hAnsi="Times New Roman" w:eastAsia="宋体" w:cs="Times New Roman"/>
      <w:kern w:val="2"/>
      <w:sz w:val="21"/>
      <w:szCs w:val="24"/>
    </w:rPr>
  </w:style>
  <w:style w:type="character" w:customStyle="1" w:styleId="91">
    <w:name w:val="正文文本 Char"/>
    <w:basedOn w:val="64"/>
    <w:link w:val="14"/>
    <w:qFormat/>
    <w:uiPriority w:val="0"/>
    <w:rPr>
      <w:rFonts w:ascii="Times New Roman" w:hAnsi="Times New Roman" w:eastAsia="宋体" w:cs="Times New Roman"/>
      <w:kern w:val="2"/>
      <w:sz w:val="21"/>
      <w:szCs w:val="24"/>
    </w:rPr>
  </w:style>
  <w:style w:type="character" w:customStyle="1" w:styleId="92">
    <w:name w:val="正文文本缩进 Char"/>
    <w:basedOn w:val="64"/>
    <w:link w:val="23"/>
    <w:qFormat/>
    <w:uiPriority w:val="0"/>
    <w:rPr>
      <w:rFonts w:ascii="Times New Roman" w:hAnsi="Times New Roman" w:eastAsia="宋体" w:cs="Times New Roman"/>
      <w:kern w:val="2"/>
      <w:sz w:val="21"/>
      <w:szCs w:val="24"/>
    </w:rPr>
  </w:style>
  <w:style w:type="character" w:customStyle="1" w:styleId="93">
    <w:name w:val="正文文本 3 Char"/>
    <w:basedOn w:val="64"/>
    <w:link w:val="21"/>
    <w:qFormat/>
    <w:uiPriority w:val="0"/>
    <w:rPr>
      <w:rFonts w:ascii="Times New Roman" w:hAnsi="Times New Roman" w:eastAsia="宋体" w:cs="Times New Roman"/>
      <w:kern w:val="2"/>
      <w:sz w:val="16"/>
      <w:szCs w:val="16"/>
    </w:rPr>
  </w:style>
  <w:style w:type="paragraph" w:customStyle="1" w:styleId="94">
    <w:name w:val="Char Char Char Char"/>
    <w:basedOn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95">
    <w:name w:val="Char"/>
    <w:basedOn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96">
    <w:name w:val="Char Char Char"/>
    <w:basedOn w:val="1"/>
    <w:qFormat/>
    <w:uiPriority w:val="0"/>
    <w:pPr>
      <w:widowControl w:val="0"/>
      <w:adjustRightInd/>
      <w:snapToGrid/>
      <w:spacing w:after="0"/>
      <w:jc w:val="both"/>
    </w:pPr>
    <w:rPr>
      <w:rFonts w:eastAsia="宋体" w:cs="Times New Roman"/>
      <w:kern w:val="2"/>
      <w:sz w:val="24"/>
      <w:szCs w:val="20"/>
    </w:rPr>
  </w:style>
  <w:style w:type="paragraph" w:customStyle="1" w:styleId="97">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98">
    <w:name w:val="Char1"/>
    <w:basedOn w:val="1"/>
    <w:qFormat/>
    <w:uiPriority w:val="0"/>
    <w:pPr>
      <w:widowControl w:val="0"/>
      <w:adjustRightInd/>
      <w:snapToGrid/>
      <w:spacing w:after="0"/>
      <w:jc w:val="both"/>
    </w:pPr>
    <w:rPr>
      <w:rFonts w:eastAsia="宋体" w:cs="Times New Roman"/>
      <w:kern w:val="2"/>
      <w:sz w:val="24"/>
      <w:szCs w:val="20"/>
    </w:rPr>
  </w:style>
  <w:style w:type="paragraph" w:customStyle="1" w:styleId="99">
    <w:name w:val="标题 2 + 黑体"/>
    <w:basedOn w:val="1"/>
    <w:qFormat/>
    <w:uiPriority w:val="0"/>
    <w:pPr>
      <w:widowControl w:val="0"/>
      <w:adjustRightInd/>
      <w:snapToGrid/>
      <w:spacing w:afterLines="50" w:line="460" w:lineRule="exact"/>
      <w:jc w:val="both"/>
    </w:pPr>
    <w:rPr>
      <w:rFonts w:ascii="黑体" w:hAnsi="宋体" w:eastAsia="黑体" w:cs="Times New Roman"/>
      <w:kern w:val="2"/>
      <w:sz w:val="36"/>
      <w:szCs w:val="32"/>
    </w:rPr>
  </w:style>
  <w:style w:type="paragraph" w:customStyle="1" w:styleId="100">
    <w:name w:val="样式 标题 3 + (中文) 黑体 小四 非加粗 段前: 7.8 磅 段后: 0 磅 行距: 固定值 20 磅"/>
    <w:basedOn w:val="4"/>
    <w:qFormat/>
    <w:uiPriority w:val="0"/>
    <w:pPr>
      <w:spacing w:line="400" w:lineRule="exact"/>
    </w:pPr>
    <w:rPr>
      <w:rFonts w:eastAsia="黑体" w:cs="宋体"/>
      <w:b w:val="0"/>
      <w:bCs w:val="0"/>
      <w:szCs w:val="20"/>
    </w:rPr>
  </w:style>
  <w:style w:type="paragraph" w:customStyle="1" w:styleId="101">
    <w:name w:val="Char Char Char1"/>
    <w:basedOn w:val="1"/>
    <w:qFormat/>
    <w:uiPriority w:val="0"/>
    <w:pPr>
      <w:widowControl w:val="0"/>
      <w:adjustRightInd/>
      <w:snapToGrid/>
      <w:spacing w:after="0"/>
      <w:jc w:val="both"/>
    </w:pPr>
    <w:rPr>
      <w:rFonts w:eastAsia="宋体" w:cs="Times New Roman"/>
      <w:kern w:val="2"/>
      <w:sz w:val="24"/>
      <w:szCs w:val="20"/>
    </w:rPr>
  </w:style>
  <w:style w:type="character" w:customStyle="1" w:styleId="102">
    <w:name w:val="正文缩进 Char"/>
    <w:link w:val="16"/>
    <w:qFormat/>
    <w:uiPriority w:val="0"/>
    <w:rPr>
      <w:rFonts w:ascii="Times New Roman" w:hAnsi="Times New Roman" w:eastAsia="宋体" w:cs="Times New Roman"/>
      <w:sz w:val="20"/>
      <w:szCs w:val="20"/>
    </w:rPr>
  </w:style>
  <w:style w:type="paragraph" w:customStyle="1" w:styleId="103">
    <w:name w:val="TOC 标题1"/>
    <w:basedOn w:val="2"/>
    <w:next w:val="1"/>
    <w:qFormat/>
    <w:uiPriority w:val="39"/>
    <w:pPr>
      <w:widowControl/>
      <w:spacing w:before="480" w:line="276" w:lineRule="auto"/>
      <w:jc w:val="left"/>
      <w:outlineLvl w:val="9"/>
    </w:pPr>
    <w:rPr>
      <w:rFonts w:ascii="Cambria" w:hAnsi="Cambria" w:cs="宋体"/>
      <w:color w:val="376092"/>
      <w:kern w:val="0"/>
      <w:sz w:val="28"/>
      <w:szCs w:val="28"/>
    </w:rPr>
  </w:style>
  <w:style w:type="character" w:customStyle="1" w:styleId="104">
    <w:name w:val="apple-converted-space"/>
    <w:basedOn w:val="64"/>
    <w:qFormat/>
    <w:uiPriority w:val="0"/>
  </w:style>
  <w:style w:type="paragraph" w:customStyle="1" w:styleId="105">
    <w:name w:val="列出段落1"/>
    <w:basedOn w:val="1"/>
    <w:qFormat/>
    <w:uiPriority w:val="34"/>
    <w:pPr>
      <w:ind w:firstLine="420" w:firstLineChars="200"/>
    </w:pPr>
  </w:style>
  <w:style w:type="character" w:customStyle="1" w:styleId="106">
    <w:name w:val="普通(网站) Char"/>
    <w:link w:val="55"/>
    <w:qFormat/>
    <w:uiPriority w:val="0"/>
    <w:rPr>
      <w:rFonts w:ascii="宋体" w:hAnsi="宋体" w:eastAsia="宋体" w:cs="宋体"/>
      <w:sz w:val="24"/>
      <w:szCs w:val="24"/>
    </w:rPr>
  </w:style>
  <w:style w:type="character" w:customStyle="1" w:styleId="107">
    <w:name w:val="文档结构图 Char"/>
    <w:basedOn w:val="64"/>
    <w:link w:val="19"/>
    <w:qFormat/>
    <w:uiPriority w:val="0"/>
    <w:rPr>
      <w:rFonts w:ascii="宋体" w:hAnsi="Tahoma" w:eastAsia="宋体"/>
      <w:sz w:val="18"/>
      <w:szCs w:val="18"/>
    </w:rPr>
  </w:style>
  <w:style w:type="paragraph" w:customStyle="1" w:styleId="108">
    <w:name w:val="TOC 标题2"/>
    <w:basedOn w:val="2"/>
    <w:next w:val="1"/>
    <w:qFormat/>
    <w:uiPriority w:val="39"/>
    <w:pPr>
      <w:widowControl/>
      <w:spacing w:before="480" w:line="276" w:lineRule="auto"/>
      <w:jc w:val="left"/>
      <w:outlineLvl w:val="9"/>
    </w:pPr>
    <w:rPr>
      <w:rFonts w:ascii="Cambria" w:hAnsi="Cambria" w:cs="宋体"/>
      <w:color w:val="376092"/>
      <w:kern w:val="0"/>
      <w:sz w:val="28"/>
      <w:szCs w:val="28"/>
    </w:rPr>
  </w:style>
  <w:style w:type="paragraph" w:customStyle="1" w:styleId="109">
    <w:name w:val="列出段落2"/>
    <w:basedOn w:val="1"/>
    <w:qFormat/>
    <w:uiPriority w:val="34"/>
    <w:pPr>
      <w:widowControl w:val="0"/>
      <w:autoSpaceDE w:val="0"/>
      <w:autoSpaceDN w:val="0"/>
      <w:adjustRightInd/>
      <w:snapToGrid/>
      <w:spacing w:after="0"/>
      <w:ind w:left="761" w:hanging="424"/>
    </w:pPr>
    <w:rPr>
      <w:rFonts w:ascii="宋体" w:hAnsi="宋体" w:eastAsia="宋体"/>
      <w:lang w:val="zh-CN" w:bidi="zh-CN"/>
    </w:rPr>
  </w:style>
  <w:style w:type="table" w:customStyle="1" w:styleId="110">
    <w:name w:val="Table Normal"/>
    <w:qFormat/>
    <w:uiPriority w:val="2"/>
    <w:tblPr>
      <w:tblCellMar>
        <w:top w:w="0" w:type="dxa"/>
        <w:left w:w="0" w:type="dxa"/>
        <w:bottom w:w="0" w:type="dxa"/>
        <w:right w:w="0" w:type="dxa"/>
      </w:tblCellMar>
    </w:tblPr>
  </w:style>
  <w:style w:type="paragraph" w:customStyle="1" w:styleId="111">
    <w:name w:val="Table Paragraph"/>
    <w:basedOn w:val="1"/>
    <w:qFormat/>
    <w:uiPriority w:val="1"/>
    <w:pPr>
      <w:widowControl w:val="0"/>
      <w:autoSpaceDE w:val="0"/>
      <w:autoSpaceDN w:val="0"/>
      <w:adjustRightInd/>
      <w:snapToGrid/>
      <w:spacing w:after="0"/>
    </w:pPr>
    <w:rPr>
      <w:rFonts w:ascii="宋体" w:hAnsi="宋体" w:eastAsia="宋体"/>
      <w:lang w:val="zh-CN" w:bidi="zh-CN"/>
    </w:rPr>
  </w:style>
  <w:style w:type="character" w:customStyle="1" w:styleId="112">
    <w:name w:val="hour_pm"/>
    <w:basedOn w:val="64"/>
    <w:qFormat/>
    <w:uiPriority w:val="0"/>
  </w:style>
  <w:style w:type="character" w:customStyle="1" w:styleId="113">
    <w:name w:val="old"/>
    <w:basedOn w:val="64"/>
    <w:qFormat/>
    <w:uiPriority w:val="0"/>
    <w:rPr>
      <w:color w:val="999999"/>
    </w:rPr>
  </w:style>
  <w:style w:type="character" w:customStyle="1" w:styleId="114">
    <w:name w:val="hover1"/>
    <w:basedOn w:val="64"/>
    <w:qFormat/>
    <w:uiPriority w:val="0"/>
    <w:rPr>
      <w:shd w:val="clear" w:color="auto" w:fill="EEEEEE"/>
    </w:rPr>
  </w:style>
  <w:style w:type="character" w:customStyle="1" w:styleId="115">
    <w:name w:val="glyphicon6"/>
    <w:basedOn w:val="64"/>
    <w:qFormat/>
    <w:uiPriority w:val="0"/>
  </w:style>
  <w:style w:type="character" w:customStyle="1" w:styleId="116">
    <w:name w:val="hour_am"/>
    <w:basedOn w:val="64"/>
    <w:qFormat/>
    <w:uiPriority w:val="0"/>
  </w:style>
  <w:style w:type="character" w:customStyle="1" w:styleId="117">
    <w:name w:val="indent"/>
    <w:basedOn w:val="64"/>
    <w:qFormat/>
    <w:uiPriority w:val="0"/>
  </w:style>
  <w:style w:type="character" w:customStyle="1" w:styleId="118">
    <w:name w:val="icon"/>
    <w:basedOn w:val="64"/>
    <w:qFormat/>
    <w:uiPriority w:val="0"/>
  </w:style>
  <w:style w:type="paragraph" w:customStyle="1" w:styleId="119">
    <w:name w:val="_Style 79"/>
    <w:basedOn w:val="1"/>
    <w:next w:val="1"/>
    <w:qFormat/>
    <w:uiPriority w:val="0"/>
    <w:pPr>
      <w:pBdr>
        <w:bottom w:val="single" w:color="auto" w:sz="6" w:space="1"/>
      </w:pBdr>
      <w:jc w:val="center"/>
    </w:pPr>
    <w:rPr>
      <w:rFonts w:ascii="Arial" w:eastAsia="宋体"/>
      <w:vanish/>
      <w:sz w:val="16"/>
    </w:rPr>
  </w:style>
  <w:style w:type="paragraph" w:customStyle="1" w:styleId="120">
    <w:name w:val="_Style 80"/>
    <w:basedOn w:val="1"/>
    <w:next w:val="1"/>
    <w:qFormat/>
    <w:uiPriority w:val="0"/>
    <w:pPr>
      <w:pBdr>
        <w:top w:val="single" w:color="auto" w:sz="6" w:space="1"/>
      </w:pBdr>
      <w:jc w:val="center"/>
    </w:pPr>
    <w:rPr>
      <w:rFonts w:ascii="Arial" w:eastAsia="宋体"/>
      <w:vanish/>
      <w:sz w:val="16"/>
    </w:rPr>
  </w:style>
  <w:style w:type="character" w:customStyle="1" w:styleId="121">
    <w:name w:val="glyphicon"/>
    <w:basedOn w:val="64"/>
    <w:qFormat/>
    <w:uiPriority w:val="0"/>
  </w:style>
  <w:style w:type="character" w:customStyle="1" w:styleId="122">
    <w:name w:val="hover"/>
    <w:basedOn w:val="64"/>
    <w:qFormat/>
    <w:uiPriority w:val="0"/>
    <w:rPr>
      <w:shd w:val="clear" w:color="auto" w:fill="EEEEEE"/>
    </w:rPr>
  </w:style>
  <w:style w:type="paragraph" w:customStyle="1" w:styleId="123">
    <w:name w:val="_Style 1"/>
    <w:basedOn w:val="1"/>
    <w:next w:val="1"/>
    <w:qFormat/>
    <w:uiPriority w:val="0"/>
    <w:pPr>
      <w:pBdr>
        <w:bottom w:val="single" w:color="auto" w:sz="6" w:space="1"/>
      </w:pBdr>
      <w:jc w:val="center"/>
    </w:pPr>
    <w:rPr>
      <w:rFonts w:ascii="Arial" w:eastAsia="宋体"/>
      <w:vanish/>
      <w:sz w:val="16"/>
    </w:rPr>
  </w:style>
  <w:style w:type="character" w:customStyle="1" w:styleId="124">
    <w:name w:val="标题 Char"/>
    <w:basedOn w:val="64"/>
    <w:qFormat/>
    <w:uiPriority w:val="0"/>
    <w:rPr>
      <w:rFonts w:ascii="Cambria" w:hAnsi="Cambria" w:cs="宋体"/>
      <w:b/>
      <w:bCs/>
      <w:sz w:val="32"/>
      <w:szCs w:val="32"/>
    </w:rPr>
  </w:style>
  <w:style w:type="character" w:customStyle="1" w:styleId="125">
    <w:name w:val="标题 Char1"/>
    <w:basedOn w:val="64"/>
    <w:link w:val="57"/>
    <w:qFormat/>
    <w:uiPriority w:val="0"/>
    <w:rPr>
      <w:rFonts w:ascii="Cambria" w:hAnsi="Cambria" w:cs="Cambria"/>
      <w:b/>
      <w:bCs/>
      <w:kern w:val="2"/>
      <w:sz w:val="32"/>
      <w:szCs w:val="32"/>
    </w:rPr>
  </w:style>
  <w:style w:type="character" w:customStyle="1" w:styleId="126">
    <w:name w:val="font31"/>
    <w:basedOn w:val="64"/>
    <w:qFormat/>
    <w:uiPriority w:val="0"/>
    <w:rPr>
      <w:rFonts w:hint="eastAsia" w:ascii="宋体" w:hAnsi="宋体" w:eastAsia="宋体" w:cs="宋体"/>
      <w:color w:val="000000"/>
      <w:sz w:val="18"/>
      <w:szCs w:val="18"/>
      <w:u w:val="none"/>
    </w:rPr>
  </w:style>
  <w:style w:type="character" w:customStyle="1" w:styleId="127">
    <w:name w:val="font41"/>
    <w:qFormat/>
    <w:uiPriority w:val="0"/>
    <w:rPr>
      <w:rFonts w:hint="eastAsia" w:ascii="宋体" w:hAnsi="宋体" w:eastAsia="宋体" w:cs="宋体"/>
      <w:b/>
      <w:color w:val="000000"/>
      <w:sz w:val="18"/>
      <w:szCs w:val="18"/>
      <w:u w:val="none"/>
    </w:rPr>
  </w:style>
  <w:style w:type="character" w:customStyle="1" w:styleId="128">
    <w:name w:val="正文文本缩进 3 Char"/>
    <w:basedOn w:val="64"/>
    <w:link w:val="47"/>
    <w:qFormat/>
    <w:uiPriority w:val="0"/>
    <w:rPr>
      <w:rFonts w:ascii="Tahoma" w:hAnsi="Tahoma" w:eastAsia="微软雅黑" w:cs="宋体"/>
      <w:sz w:val="16"/>
      <w:szCs w:val="16"/>
    </w:rPr>
  </w:style>
  <w:style w:type="character" w:customStyle="1" w:styleId="129">
    <w:name w:val="纯文本 Char"/>
    <w:link w:val="31"/>
    <w:qFormat/>
    <w:uiPriority w:val="0"/>
    <w:rPr>
      <w:rFonts w:ascii="宋体" w:hAnsi="Courier New"/>
      <w:kern w:val="2"/>
      <w:sz w:val="21"/>
    </w:rPr>
  </w:style>
  <w:style w:type="character" w:customStyle="1" w:styleId="130">
    <w:name w:val="纯文本 Char1"/>
    <w:basedOn w:val="64"/>
    <w:qFormat/>
    <w:uiPriority w:val="0"/>
    <w:rPr>
      <w:rFonts w:ascii="宋体" w:hAnsi="Courier New" w:cs="Courier New"/>
      <w:sz w:val="21"/>
      <w:szCs w:val="21"/>
    </w:rPr>
  </w:style>
  <w:style w:type="paragraph" w:customStyle="1" w:styleId="131">
    <w:name w:val="Body text|21"/>
    <w:basedOn w:val="1"/>
    <w:link w:val="132"/>
    <w:qFormat/>
    <w:uiPriority w:val="0"/>
    <w:pPr>
      <w:widowControl w:val="0"/>
      <w:shd w:val="clear" w:color="auto" w:fill="FFFFFF"/>
      <w:snapToGrid/>
      <w:spacing w:after="1000" w:line="300" w:lineRule="exact"/>
      <w:jc w:val="center"/>
      <w:textAlignment w:val="baseline"/>
    </w:pPr>
    <w:rPr>
      <w:rFonts w:ascii="PMingLiU" w:hAnsi="PMingLiU" w:eastAsia="PMingLiU" w:cs="PMingLiU"/>
      <w:spacing w:val="30"/>
      <w:sz w:val="30"/>
      <w:szCs w:val="30"/>
    </w:rPr>
  </w:style>
  <w:style w:type="character" w:customStyle="1" w:styleId="132">
    <w:name w:val="Body text|2_"/>
    <w:basedOn w:val="64"/>
    <w:link w:val="131"/>
    <w:qFormat/>
    <w:uiPriority w:val="0"/>
    <w:rPr>
      <w:rFonts w:ascii="PMingLiU" w:hAnsi="PMingLiU" w:eastAsia="PMingLiU" w:cs="PMingLiU"/>
      <w:spacing w:val="30"/>
      <w:sz w:val="30"/>
      <w:szCs w:val="30"/>
      <w:shd w:val="clear" w:color="auto" w:fill="FFFFFF"/>
    </w:rPr>
  </w:style>
  <w:style w:type="character" w:customStyle="1" w:styleId="133">
    <w:name w:val="标题 6 Char"/>
    <w:basedOn w:val="64"/>
    <w:link w:val="7"/>
    <w:qFormat/>
    <w:uiPriority w:val="0"/>
    <w:rPr>
      <w:rFonts w:ascii="Cambria" w:hAnsi="Cambria"/>
      <w:b/>
      <w:bCs/>
      <w:kern w:val="2"/>
      <w:sz w:val="24"/>
      <w:szCs w:val="24"/>
    </w:rPr>
  </w:style>
  <w:style w:type="character" w:customStyle="1" w:styleId="134">
    <w:name w:val="标题 7 Char"/>
    <w:basedOn w:val="64"/>
    <w:link w:val="8"/>
    <w:qFormat/>
    <w:uiPriority w:val="0"/>
    <w:rPr>
      <w:rFonts w:ascii="Calibri" w:hAnsi="Calibri"/>
      <w:b/>
      <w:bCs/>
      <w:kern w:val="2"/>
      <w:sz w:val="24"/>
      <w:szCs w:val="24"/>
    </w:rPr>
  </w:style>
  <w:style w:type="character" w:customStyle="1" w:styleId="135">
    <w:name w:val="标题 8 Char"/>
    <w:basedOn w:val="64"/>
    <w:link w:val="9"/>
    <w:qFormat/>
    <w:uiPriority w:val="0"/>
    <w:rPr>
      <w:rFonts w:ascii="Cambria" w:hAnsi="Cambria"/>
      <w:kern w:val="2"/>
      <w:sz w:val="24"/>
      <w:szCs w:val="24"/>
    </w:rPr>
  </w:style>
  <w:style w:type="character" w:customStyle="1" w:styleId="136">
    <w:name w:val="标题 9 Char"/>
    <w:basedOn w:val="64"/>
    <w:link w:val="10"/>
    <w:qFormat/>
    <w:uiPriority w:val="0"/>
    <w:rPr>
      <w:rFonts w:ascii="Cambria" w:hAnsi="Cambria"/>
      <w:kern w:val="2"/>
      <w:sz w:val="21"/>
      <w:szCs w:val="21"/>
    </w:rPr>
  </w:style>
  <w:style w:type="character" w:customStyle="1" w:styleId="137">
    <w:name w:val="正文文本缩进 Char1"/>
    <w:basedOn w:val="64"/>
    <w:qFormat/>
    <w:uiPriority w:val="99"/>
  </w:style>
  <w:style w:type="character" w:customStyle="1" w:styleId="138">
    <w:name w:val="书籍标题1"/>
    <w:qFormat/>
    <w:uiPriority w:val="0"/>
    <w:rPr>
      <w:b/>
      <w:bCs/>
      <w:smallCaps/>
      <w:spacing w:val="5"/>
    </w:rPr>
  </w:style>
  <w:style w:type="character" w:customStyle="1" w:styleId="139">
    <w:name w:val="H29 Char"/>
    <w:qFormat/>
    <w:uiPriority w:val="0"/>
    <w:rPr>
      <w:rFonts w:ascii="宋体" w:hAnsi="宋体" w:eastAsia="宋体"/>
      <w:b/>
      <w:kern w:val="2"/>
      <w:sz w:val="28"/>
      <w:szCs w:val="28"/>
      <w:lang w:val="en-US" w:eastAsia="zh-CN" w:bidi="ar-SA"/>
    </w:rPr>
  </w:style>
  <w:style w:type="character" w:customStyle="1" w:styleId="140">
    <w:name w:val="正文文本缩进 2 Char1"/>
    <w:basedOn w:val="64"/>
    <w:qFormat/>
    <w:uiPriority w:val="99"/>
  </w:style>
  <w:style w:type="character" w:customStyle="1" w:styleId="141">
    <w:name w:val="Í· Char"/>
    <w:qFormat/>
    <w:uiPriority w:val="0"/>
    <w:rPr>
      <w:rFonts w:ascii="宋体" w:hAnsi="宋体" w:eastAsia="宋体"/>
      <w:b/>
      <w:kern w:val="2"/>
      <w:sz w:val="24"/>
      <w:szCs w:val="24"/>
      <w:lang w:val="en-US" w:eastAsia="zh-CN" w:bidi="ar-SA"/>
    </w:rPr>
  </w:style>
  <w:style w:type="character" w:customStyle="1" w:styleId="142">
    <w:name w:val="Char Char5"/>
    <w:qFormat/>
    <w:uiPriority w:val="0"/>
    <w:rPr>
      <w:rFonts w:ascii="宋体" w:hAnsi="宋体" w:eastAsia="宋体"/>
      <w:kern w:val="2"/>
      <w:sz w:val="28"/>
      <w:szCs w:val="24"/>
      <w:lang w:val="en-US" w:eastAsia="zh-CN" w:bidi="ar-SA"/>
    </w:rPr>
  </w:style>
  <w:style w:type="character" w:customStyle="1" w:styleId="143">
    <w:name w:val="Char Char9"/>
    <w:qFormat/>
    <w:uiPriority w:val="0"/>
    <w:rPr>
      <w:rFonts w:eastAsia="宋体"/>
      <w:color w:val="000000"/>
      <w:sz w:val="21"/>
      <w:u w:color="000000"/>
      <w:lang w:val="en-US" w:eastAsia="zh-CN" w:bidi="ar-SA"/>
    </w:rPr>
  </w:style>
  <w:style w:type="character" w:customStyle="1" w:styleId="144">
    <w:name w:val="标题 3 Char Char Char"/>
    <w:qFormat/>
    <w:uiPriority w:val="0"/>
    <w:rPr>
      <w:rFonts w:ascii="宋体" w:hAnsi="宋体" w:eastAsia="宋体"/>
      <w:b/>
      <w:kern w:val="2"/>
      <w:sz w:val="24"/>
      <w:szCs w:val="24"/>
      <w:lang w:val="en-US" w:eastAsia="zh-CN" w:bidi="ar-SA"/>
    </w:rPr>
  </w:style>
  <w:style w:type="character" w:customStyle="1" w:styleId="145">
    <w:name w:val="正文文本缩进 3 Char1"/>
    <w:qFormat/>
    <w:uiPriority w:val="99"/>
    <w:rPr>
      <w:sz w:val="16"/>
      <w:szCs w:val="16"/>
    </w:rPr>
  </w:style>
  <w:style w:type="character" w:customStyle="1" w:styleId="146">
    <w:name w:val="Blockquote Char"/>
    <w:link w:val="147"/>
    <w:qFormat/>
    <w:uiPriority w:val="0"/>
    <w:rPr>
      <w:sz w:val="24"/>
    </w:rPr>
  </w:style>
  <w:style w:type="paragraph" w:customStyle="1" w:styleId="147">
    <w:name w:val="Blockquote"/>
    <w:basedOn w:val="1"/>
    <w:link w:val="146"/>
    <w:qFormat/>
    <w:uiPriority w:val="0"/>
    <w:pPr>
      <w:widowControl w:val="0"/>
      <w:autoSpaceDE w:val="0"/>
      <w:autoSpaceDN w:val="0"/>
      <w:snapToGrid/>
      <w:spacing w:before="100" w:after="100"/>
      <w:ind w:left="360" w:right="360"/>
    </w:pPr>
    <w:rPr>
      <w:rFonts w:ascii="Times New Roman" w:hAnsi="Times New Roman" w:eastAsia="宋体" w:cs="Times New Roman"/>
      <w:sz w:val="24"/>
      <w:szCs w:val="20"/>
    </w:rPr>
  </w:style>
  <w:style w:type="character" w:customStyle="1" w:styleId="148">
    <w:name w:val="+正文 Char Char3 Char Char Char Char Char Char Char Char"/>
    <w:link w:val="149"/>
    <w:qFormat/>
    <w:uiPriority w:val="0"/>
    <w:rPr>
      <w:sz w:val="24"/>
      <w:szCs w:val="24"/>
    </w:rPr>
  </w:style>
  <w:style w:type="paragraph" w:customStyle="1" w:styleId="149">
    <w:name w:val="+正文 Char Char3 Char Char Char Char Char Char"/>
    <w:basedOn w:val="1"/>
    <w:link w:val="148"/>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50">
    <w:name w:val="+正文 Char Char Char Char Char Char Char Char Char"/>
    <w:link w:val="151"/>
    <w:qFormat/>
    <w:uiPriority w:val="0"/>
    <w:rPr>
      <w:sz w:val="24"/>
      <w:szCs w:val="28"/>
    </w:rPr>
  </w:style>
  <w:style w:type="paragraph" w:customStyle="1" w:styleId="151">
    <w:name w:val="+正文 Char Char Char Char Char Char Char"/>
    <w:basedOn w:val="1"/>
    <w:link w:val="150"/>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8"/>
    </w:rPr>
  </w:style>
  <w:style w:type="character" w:customStyle="1" w:styleId="152">
    <w:name w:val="正文文本 3 Char1"/>
    <w:qFormat/>
    <w:uiPriority w:val="99"/>
    <w:rPr>
      <w:sz w:val="16"/>
      <w:szCs w:val="16"/>
    </w:rPr>
  </w:style>
  <w:style w:type="character" w:customStyle="1" w:styleId="153">
    <w:name w:val="四1"/>
    <w:qFormat/>
    <w:uiPriority w:val="0"/>
    <w:rPr>
      <w:rFonts w:eastAsia="宋体"/>
      <w:b/>
      <w:kern w:val="2"/>
      <w:sz w:val="24"/>
      <w:szCs w:val="24"/>
      <w:lang w:val="en-US" w:eastAsia="zh-CN" w:bidi="ar-SA"/>
    </w:rPr>
  </w:style>
  <w:style w:type="character" w:customStyle="1" w:styleId="154">
    <w:name w:val="Í Char"/>
    <w:qFormat/>
    <w:uiPriority w:val="0"/>
    <w:rPr>
      <w:rFonts w:ascii="宋体" w:hAnsi="宋体"/>
      <w:b/>
      <w:kern w:val="2"/>
      <w:sz w:val="24"/>
      <w:szCs w:val="24"/>
    </w:rPr>
  </w:style>
  <w:style w:type="character" w:customStyle="1" w:styleId="155">
    <w:name w:val="+列表编号 Char Char"/>
    <w:qFormat/>
    <w:uiPriority w:val="0"/>
    <w:rPr>
      <w:rFonts w:eastAsia="宋体"/>
      <w:b/>
      <w:kern w:val="2"/>
      <w:sz w:val="24"/>
      <w:szCs w:val="28"/>
      <w:lang w:val="en-US" w:eastAsia="zh-CN" w:bidi="ar-SA"/>
    </w:rPr>
  </w:style>
  <w:style w:type="character" w:customStyle="1" w:styleId="156">
    <w:name w:val="+正文 Char Char2 Char Char Char Char Char Char Char Char"/>
    <w:link w:val="157"/>
    <w:qFormat/>
    <w:uiPriority w:val="0"/>
    <w:rPr>
      <w:sz w:val="24"/>
      <w:szCs w:val="28"/>
    </w:rPr>
  </w:style>
  <w:style w:type="paragraph" w:customStyle="1" w:styleId="157">
    <w:name w:val="+正文 Char Char2 Char Char Char Char Char Char"/>
    <w:basedOn w:val="1"/>
    <w:link w:val="156"/>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8"/>
    </w:rPr>
  </w:style>
  <w:style w:type="character" w:customStyle="1" w:styleId="158">
    <w:name w:val="文档结构图 Char2"/>
    <w:qFormat/>
    <w:uiPriority w:val="99"/>
    <w:rPr>
      <w:rFonts w:ascii="宋体" w:eastAsia="宋体"/>
      <w:sz w:val="18"/>
      <w:szCs w:val="18"/>
    </w:rPr>
  </w:style>
  <w:style w:type="character" w:customStyle="1" w:styleId="159">
    <w:name w:val="+正文 Char Char Char4"/>
    <w:qFormat/>
    <w:uiPriority w:val="0"/>
    <w:rPr>
      <w:rFonts w:eastAsia="宋体"/>
      <w:kern w:val="2"/>
      <w:sz w:val="24"/>
      <w:szCs w:val="24"/>
      <w:lang w:val="en-US" w:eastAsia="zh-CN" w:bidi="ar-SA"/>
    </w:rPr>
  </w:style>
  <w:style w:type="character" w:customStyle="1" w:styleId="160">
    <w:name w:val="H210 Char"/>
    <w:qFormat/>
    <w:uiPriority w:val="0"/>
    <w:rPr>
      <w:rFonts w:ascii="宋体" w:hAnsi="宋体" w:eastAsia="宋体"/>
      <w:b/>
      <w:kern w:val="2"/>
      <w:sz w:val="28"/>
      <w:szCs w:val="28"/>
      <w:lang w:val="en-US" w:eastAsia="zh-CN" w:bidi="ar-SA"/>
    </w:rPr>
  </w:style>
  <w:style w:type="character" w:customStyle="1" w:styleId="161">
    <w:name w:val="标题5 Char Char"/>
    <w:link w:val="162"/>
    <w:qFormat/>
    <w:uiPriority w:val="0"/>
    <w:rPr>
      <w:rFonts w:ascii="Arial" w:hAnsi="Arial"/>
      <w:b/>
      <w:bCs/>
      <w:sz w:val="24"/>
      <w:szCs w:val="32"/>
    </w:rPr>
  </w:style>
  <w:style w:type="paragraph" w:customStyle="1" w:styleId="162">
    <w:name w:val="标题5"/>
    <w:basedOn w:val="4"/>
    <w:link w:val="161"/>
    <w:qFormat/>
    <w:uiPriority w:val="0"/>
    <w:pPr>
      <w:spacing w:before="260" w:after="260" w:line="413" w:lineRule="auto"/>
    </w:pPr>
    <w:rPr>
      <w:rFonts w:ascii="Arial" w:hAnsi="Arial"/>
      <w:kern w:val="0"/>
    </w:rPr>
  </w:style>
  <w:style w:type="character" w:customStyle="1" w:styleId="163">
    <w:name w:val="正文文本缩进 2 Char"/>
    <w:link w:val="35"/>
    <w:qFormat/>
    <w:uiPriority w:val="0"/>
    <w:rPr>
      <w:szCs w:val="24"/>
    </w:rPr>
  </w:style>
  <w:style w:type="character" w:customStyle="1" w:styleId="164">
    <w:name w:val="Ü5 + Nr1"/>
    <w:qFormat/>
    <w:uiPriority w:val="0"/>
    <w:rPr>
      <w:rFonts w:eastAsia="宋体"/>
      <w:b/>
      <w:bCs/>
      <w:kern w:val="2"/>
      <w:sz w:val="28"/>
      <w:szCs w:val="28"/>
      <w:lang w:val="en-US" w:eastAsia="zh-CN" w:bidi="ar-SA"/>
    </w:rPr>
  </w:style>
  <w:style w:type="character" w:customStyle="1" w:styleId="165">
    <w:name w:val="+正文 Char Char1 Char Char Char Char Char Char Char"/>
    <w:link w:val="166"/>
    <w:qFormat/>
    <w:uiPriority w:val="0"/>
    <w:rPr>
      <w:sz w:val="24"/>
      <w:szCs w:val="24"/>
    </w:rPr>
  </w:style>
  <w:style w:type="paragraph" w:customStyle="1" w:styleId="166">
    <w:name w:val="+正文 Char Char1 Char Char Char Char Char"/>
    <w:basedOn w:val="1"/>
    <w:link w:val="165"/>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67">
    <w:name w:val="Char Char20"/>
    <w:qFormat/>
    <w:uiPriority w:val="0"/>
    <w:rPr>
      <w:rFonts w:ascii="宋体" w:hAnsi="宋体" w:eastAsia="宋体"/>
      <w:b/>
      <w:kern w:val="2"/>
      <w:sz w:val="28"/>
      <w:szCs w:val="28"/>
      <w:lang w:val="en-US" w:eastAsia="zh-CN" w:bidi="ar-SA"/>
    </w:rPr>
  </w:style>
  <w:style w:type="character" w:customStyle="1" w:styleId="168">
    <w:name w:val="引用 Char1"/>
    <w:qFormat/>
    <w:uiPriority w:val="29"/>
    <w:rPr>
      <w:i/>
      <w:iCs/>
      <w:color w:val="000000"/>
    </w:rPr>
  </w:style>
  <w:style w:type="character" w:customStyle="1" w:styleId="169">
    <w:name w:val="不明显强调1"/>
    <w:qFormat/>
    <w:uiPriority w:val="0"/>
    <w:rPr>
      <w:i/>
      <w:iCs/>
      <w:color w:val="808080"/>
    </w:rPr>
  </w:style>
  <w:style w:type="character" w:customStyle="1" w:styleId="170">
    <w:name w:val="样式 样式 宋体 四号 + Times New Roman 小三 加粗"/>
    <w:qFormat/>
    <w:uiPriority w:val="0"/>
    <w:rPr>
      <w:rFonts w:ascii="Times New Roman" w:hAnsi="Times New Roman" w:eastAsia="黑体"/>
      <w:bCs/>
      <w:spacing w:val="2"/>
      <w:sz w:val="28"/>
      <w:szCs w:val="28"/>
    </w:rPr>
  </w:style>
  <w:style w:type="character" w:customStyle="1" w:styleId="171">
    <w:name w:val="标准正文 Char Char Char Char Char Char Char Char Char"/>
    <w:link w:val="172"/>
    <w:qFormat/>
    <w:uiPriority w:val="0"/>
    <w:rPr>
      <w:rFonts w:cs="宋体"/>
      <w:sz w:val="24"/>
      <w:szCs w:val="24"/>
    </w:rPr>
  </w:style>
  <w:style w:type="paragraph" w:customStyle="1" w:styleId="172">
    <w:name w:val="标准正文 Char Char Char Char Char Char Char"/>
    <w:basedOn w:val="1"/>
    <w:link w:val="171"/>
    <w:qFormat/>
    <w:uiPriority w:val="0"/>
    <w:pPr>
      <w:widowControl w:val="0"/>
      <w:adjustRightInd/>
      <w:snapToGrid/>
      <w:spacing w:after="0" w:line="360" w:lineRule="auto"/>
      <w:ind w:left="840" w:leftChars="400" w:firstLine="480" w:firstLineChars="200"/>
      <w:jc w:val="both"/>
    </w:pPr>
    <w:rPr>
      <w:rFonts w:ascii="Times New Roman" w:hAnsi="Times New Roman" w:eastAsia="宋体"/>
      <w:sz w:val="24"/>
      <w:szCs w:val="24"/>
    </w:rPr>
  </w:style>
  <w:style w:type="character" w:customStyle="1" w:styleId="173">
    <w:name w:val="正文文本 2 Char1"/>
    <w:basedOn w:val="64"/>
    <w:qFormat/>
    <w:uiPriority w:val="99"/>
  </w:style>
  <w:style w:type="character" w:customStyle="1" w:styleId="174">
    <w:name w:val="Char Char6"/>
    <w:qFormat/>
    <w:uiPriority w:val="0"/>
    <w:rPr>
      <w:rFonts w:eastAsia="宋体"/>
      <w:b/>
      <w:bCs/>
      <w:kern w:val="2"/>
      <w:sz w:val="24"/>
      <w:szCs w:val="32"/>
      <w:lang w:val="en-US" w:eastAsia="zh-CN" w:bidi="ar-SA"/>
    </w:rPr>
  </w:style>
  <w:style w:type="character" w:customStyle="1" w:styleId="175">
    <w:name w:val="+正文 Char4"/>
    <w:qFormat/>
    <w:uiPriority w:val="0"/>
    <w:rPr>
      <w:rFonts w:eastAsia="宋体"/>
      <w:kern w:val="2"/>
      <w:sz w:val="24"/>
      <w:szCs w:val="28"/>
      <w:lang w:val="en-US" w:eastAsia="zh-CN" w:bidi="ar-SA"/>
    </w:rPr>
  </w:style>
  <w:style w:type="character" w:customStyle="1" w:styleId="176">
    <w:name w:val="H210 Char1"/>
    <w:qFormat/>
    <w:uiPriority w:val="0"/>
    <w:rPr>
      <w:rFonts w:ascii="宋体" w:hAnsi="宋体" w:eastAsia="宋体"/>
      <w:b/>
      <w:kern w:val="2"/>
      <w:sz w:val="28"/>
      <w:szCs w:val="28"/>
      <w:lang w:val="en-US" w:eastAsia="zh-CN" w:bidi="ar-SA"/>
    </w:rPr>
  </w:style>
  <w:style w:type="character" w:customStyle="1" w:styleId="177">
    <w:name w:val="Char Char18"/>
    <w:qFormat/>
    <w:uiPriority w:val="0"/>
    <w:rPr>
      <w:b/>
      <w:bCs/>
      <w:kern w:val="44"/>
      <w:sz w:val="44"/>
      <w:szCs w:val="44"/>
    </w:rPr>
  </w:style>
  <w:style w:type="character" w:customStyle="1" w:styleId="178">
    <w:name w:val="明显引用 Char1"/>
    <w:qFormat/>
    <w:uiPriority w:val="30"/>
    <w:rPr>
      <w:b/>
      <w:bCs/>
      <w:i/>
      <w:iCs/>
      <w:color w:val="4F81BD"/>
    </w:rPr>
  </w:style>
  <w:style w:type="character" w:customStyle="1" w:styleId="179">
    <w:name w:val="标题4 Char Char"/>
    <w:link w:val="180"/>
    <w:qFormat/>
    <w:uiPriority w:val="0"/>
    <w:rPr>
      <w:rFonts w:ascii="Arial" w:hAnsi="Arial"/>
      <w:b/>
      <w:bCs/>
      <w:sz w:val="24"/>
      <w:szCs w:val="32"/>
    </w:rPr>
  </w:style>
  <w:style w:type="paragraph" w:customStyle="1" w:styleId="180">
    <w:name w:val="标题4"/>
    <w:basedOn w:val="3"/>
    <w:next w:val="28"/>
    <w:link w:val="179"/>
    <w:qFormat/>
    <w:uiPriority w:val="0"/>
    <w:rPr>
      <w:rFonts w:eastAsia="宋体"/>
      <w:kern w:val="0"/>
      <w:sz w:val="24"/>
    </w:rPr>
  </w:style>
  <w:style w:type="character" w:customStyle="1" w:styleId="181">
    <w:name w:val="副标题 Char1"/>
    <w:qFormat/>
    <w:uiPriority w:val="11"/>
    <w:rPr>
      <w:rFonts w:ascii="Cambria" w:hAnsi="Cambria" w:eastAsia="宋体" w:cs="Times New Roman"/>
      <w:b/>
      <w:bCs/>
      <w:kern w:val="28"/>
      <w:sz w:val="32"/>
      <w:szCs w:val="32"/>
    </w:rPr>
  </w:style>
  <w:style w:type="character" w:customStyle="1" w:styleId="182">
    <w:name w:val="+正文 Char Char Char Char Char Char"/>
    <w:qFormat/>
    <w:uiPriority w:val="0"/>
    <w:rPr>
      <w:rFonts w:ascii="楷体_GB2312" w:eastAsia="宋体"/>
      <w:kern w:val="2"/>
      <w:sz w:val="24"/>
      <w:szCs w:val="28"/>
      <w:lang w:val="en-US" w:eastAsia="zh-CN" w:bidi="ar-SA"/>
    </w:rPr>
  </w:style>
  <w:style w:type="character" w:customStyle="1" w:styleId="183">
    <w:name w:val="头1"/>
    <w:qFormat/>
    <w:uiPriority w:val="0"/>
    <w:rPr>
      <w:rFonts w:ascii="宋体" w:hAnsi="宋体" w:eastAsia="宋体"/>
      <w:b/>
      <w:kern w:val="2"/>
      <w:sz w:val="24"/>
      <w:szCs w:val="24"/>
      <w:lang w:val="en-US" w:eastAsia="zh-CN" w:bidi="ar-SA"/>
    </w:rPr>
  </w:style>
  <w:style w:type="character" w:customStyle="1" w:styleId="184">
    <w:name w:val="明显引用 Char"/>
    <w:link w:val="185"/>
    <w:qFormat/>
    <w:uiPriority w:val="0"/>
    <w:rPr>
      <w:b/>
      <w:bCs/>
      <w:i/>
      <w:iCs/>
      <w:color w:val="4F81BD"/>
    </w:rPr>
  </w:style>
  <w:style w:type="paragraph" w:customStyle="1" w:styleId="185">
    <w:name w:val="明显引用1"/>
    <w:basedOn w:val="1"/>
    <w:next w:val="1"/>
    <w:link w:val="184"/>
    <w:qFormat/>
    <w:uiPriority w:val="0"/>
    <w:pPr>
      <w:widowControl w:val="0"/>
      <w:pBdr>
        <w:bottom w:val="single" w:color="4F81BD" w:sz="4" w:space="4"/>
      </w:pBdr>
      <w:adjustRightInd/>
      <w:snapToGrid/>
      <w:spacing w:before="200" w:after="280"/>
      <w:ind w:left="936" w:right="936"/>
      <w:jc w:val="both"/>
    </w:pPr>
    <w:rPr>
      <w:rFonts w:ascii="Times New Roman" w:hAnsi="Times New Roman" w:eastAsia="宋体" w:cs="Times New Roman"/>
      <w:b/>
      <w:bCs/>
      <w:i/>
      <w:iCs/>
      <w:color w:val="4F81BD"/>
      <w:sz w:val="20"/>
      <w:szCs w:val="20"/>
    </w:rPr>
  </w:style>
  <w:style w:type="character" w:customStyle="1" w:styleId="186">
    <w:name w:val="m2"/>
    <w:qFormat/>
    <w:uiPriority w:val="0"/>
    <w:rPr>
      <w:rFonts w:hint="default" w:ascii="ˎ̥" w:hAnsi="ˎ̥"/>
      <w:sz w:val="21"/>
      <w:szCs w:val="21"/>
    </w:rPr>
  </w:style>
  <w:style w:type="character" w:customStyle="1" w:styleId="187">
    <w:name w:val="样式 样式 样式 标题 3 + 首行缩进:  2 字符 + 首行缩进:  2 字符 + 首行缩进:  2 字符 Char Char Char Char Char Char"/>
    <w:qFormat/>
    <w:uiPriority w:val="0"/>
    <w:rPr>
      <w:rFonts w:eastAsia="黑体" w:cs="宋体"/>
      <w:kern w:val="2"/>
      <w:sz w:val="24"/>
      <w:szCs w:val="24"/>
      <w:lang w:val="en-US" w:eastAsia="zh-CN" w:bidi="ar-SA"/>
    </w:rPr>
  </w:style>
  <w:style w:type="character" w:customStyle="1" w:styleId="188">
    <w:name w:val="标准正文 Char Char Char Char"/>
    <w:link w:val="189"/>
    <w:qFormat/>
    <w:uiPriority w:val="0"/>
    <w:rPr>
      <w:rFonts w:cs="宋体"/>
      <w:sz w:val="24"/>
      <w:szCs w:val="24"/>
    </w:rPr>
  </w:style>
  <w:style w:type="paragraph" w:customStyle="1" w:styleId="189">
    <w:name w:val="标准正文 Char"/>
    <w:basedOn w:val="1"/>
    <w:link w:val="188"/>
    <w:qFormat/>
    <w:uiPriority w:val="0"/>
    <w:pPr>
      <w:widowControl w:val="0"/>
      <w:adjustRightInd/>
      <w:snapToGrid/>
      <w:spacing w:after="0" w:line="360" w:lineRule="auto"/>
      <w:ind w:left="840" w:leftChars="400" w:firstLine="480" w:firstLineChars="200"/>
      <w:jc w:val="both"/>
    </w:pPr>
    <w:rPr>
      <w:rFonts w:ascii="Times New Roman" w:hAnsi="Times New Roman" w:eastAsia="宋体"/>
      <w:sz w:val="24"/>
      <w:szCs w:val="24"/>
    </w:rPr>
  </w:style>
  <w:style w:type="character" w:customStyle="1" w:styleId="190">
    <w:name w:val="+正文 Char Char5 Char Char Char Char Char Char"/>
    <w:link w:val="191"/>
    <w:qFormat/>
    <w:uiPriority w:val="0"/>
    <w:rPr>
      <w:sz w:val="24"/>
      <w:szCs w:val="24"/>
    </w:rPr>
  </w:style>
  <w:style w:type="paragraph" w:customStyle="1" w:styleId="191">
    <w:name w:val="+正文 Char Char5 Char Char Char Char"/>
    <w:basedOn w:val="1"/>
    <w:link w:val="190"/>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92">
    <w:name w:val="标题 6 Char Char Char"/>
    <w:qFormat/>
    <w:uiPriority w:val="0"/>
    <w:rPr>
      <w:rFonts w:ascii="Arial" w:hAnsi="Arial" w:eastAsia="宋体"/>
      <w:b/>
      <w:snapToGrid w:val="0"/>
      <w:sz w:val="26"/>
      <w:lang w:val="en-GB" w:eastAsia="zh-CN" w:bidi="ar-SA"/>
    </w:rPr>
  </w:style>
  <w:style w:type="character" w:customStyle="1" w:styleId="193">
    <w:name w:val="批注框文本 Char1"/>
    <w:qFormat/>
    <w:uiPriority w:val="0"/>
    <w:rPr>
      <w:kern w:val="2"/>
      <w:sz w:val="18"/>
      <w:szCs w:val="18"/>
    </w:rPr>
  </w:style>
  <w:style w:type="character" w:customStyle="1" w:styleId="194">
    <w:name w:val="textorange"/>
    <w:qFormat/>
    <w:uiPriority w:val="0"/>
    <w:rPr>
      <w:rFonts w:eastAsia="宋体"/>
      <w:kern w:val="2"/>
      <w:sz w:val="21"/>
      <w:szCs w:val="24"/>
      <w:lang w:val="en-US" w:eastAsia="zh-CN" w:bidi="ar-SA"/>
    </w:rPr>
  </w:style>
  <w:style w:type="character" w:customStyle="1" w:styleId="195">
    <w:name w:val="themebody1"/>
    <w:qFormat/>
    <w:uiPriority w:val="0"/>
    <w:rPr>
      <w:color w:val="FFFFFF"/>
    </w:rPr>
  </w:style>
  <w:style w:type="character" w:customStyle="1" w:styleId="196">
    <w:name w:val="脚注文本 Char"/>
    <w:link w:val="44"/>
    <w:qFormat/>
    <w:uiPriority w:val="0"/>
    <w:rPr>
      <w:kern w:val="2"/>
      <w:sz w:val="18"/>
      <w:szCs w:val="18"/>
    </w:rPr>
  </w:style>
  <w:style w:type="character" w:customStyle="1" w:styleId="197">
    <w:name w:val="批注文字 Char"/>
    <w:qFormat/>
    <w:uiPriority w:val="0"/>
    <w:rPr>
      <w:rFonts w:eastAsia="宋体"/>
      <w:color w:val="000000"/>
      <w:sz w:val="21"/>
      <w:u w:color="000000"/>
      <w:lang w:val="en-US" w:eastAsia="zh-CN" w:bidi="ar-SA"/>
    </w:rPr>
  </w:style>
  <w:style w:type="character" w:customStyle="1" w:styleId="198">
    <w:name w:val="批注文字 Char Char"/>
    <w:qFormat/>
    <w:uiPriority w:val="0"/>
    <w:rPr>
      <w:rFonts w:ascii="宋体" w:hAnsi="Times New Roman" w:eastAsia="宋体" w:cs="Times New Roman"/>
      <w:sz w:val="28"/>
      <w:szCs w:val="20"/>
    </w:rPr>
  </w:style>
  <w:style w:type="character" w:customStyle="1" w:styleId="199">
    <w:name w:val="标题 9 Char Char Char"/>
    <w:qFormat/>
    <w:uiPriority w:val="0"/>
    <w:rPr>
      <w:rFonts w:ascii="Arial" w:hAnsi="Arial" w:eastAsia="宋体"/>
      <w:b/>
      <w:sz w:val="22"/>
      <w:lang w:val="en-GB" w:eastAsia="zh-CN" w:bidi="ar-SA"/>
    </w:rPr>
  </w:style>
  <w:style w:type="character" w:customStyle="1" w:styleId="200">
    <w:name w:val="HTML 预设格式 Char"/>
    <w:link w:val="54"/>
    <w:qFormat/>
    <w:uiPriority w:val="0"/>
    <w:rPr>
      <w:rFonts w:ascii="宋体" w:hAnsi="宋体" w:cs="宋体"/>
      <w:sz w:val="24"/>
      <w:szCs w:val="24"/>
    </w:rPr>
  </w:style>
  <w:style w:type="character" w:customStyle="1" w:styleId="201">
    <w:name w:val="引用 Char"/>
    <w:link w:val="202"/>
    <w:qFormat/>
    <w:uiPriority w:val="0"/>
    <w:rPr>
      <w:i/>
      <w:iCs/>
      <w:color w:val="000000"/>
    </w:rPr>
  </w:style>
  <w:style w:type="paragraph" w:customStyle="1" w:styleId="202">
    <w:name w:val="引用1"/>
    <w:basedOn w:val="1"/>
    <w:next w:val="1"/>
    <w:link w:val="201"/>
    <w:qFormat/>
    <w:uiPriority w:val="0"/>
    <w:pPr>
      <w:widowControl w:val="0"/>
      <w:adjustRightInd/>
      <w:snapToGrid/>
      <w:spacing w:after="0"/>
      <w:jc w:val="both"/>
    </w:pPr>
    <w:rPr>
      <w:rFonts w:ascii="Times New Roman" w:hAnsi="Times New Roman" w:eastAsia="宋体" w:cs="Times New Roman"/>
      <w:i/>
      <w:iCs/>
      <w:color w:val="000000"/>
      <w:sz w:val="20"/>
      <w:szCs w:val="20"/>
    </w:rPr>
  </w:style>
  <w:style w:type="character" w:customStyle="1" w:styleId="203">
    <w:name w:val="副标题 Char"/>
    <w:link w:val="42"/>
    <w:qFormat/>
    <w:uiPriority w:val="0"/>
    <w:rPr>
      <w:rFonts w:ascii="Cambria" w:hAnsi="Cambria"/>
      <w:b/>
      <w:bCs/>
      <w:kern w:val="28"/>
      <w:sz w:val="32"/>
      <w:szCs w:val="32"/>
    </w:rPr>
  </w:style>
  <w:style w:type="character" w:customStyle="1" w:styleId="204">
    <w:name w:val="明显强调1"/>
    <w:qFormat/>
    <w:uiPriority w:val="0"/>
    <w:rPr>
      <w:b/>
      <w:bCs/>
      <w:i/>
      <w:iCs/>
      <w:color w:val="4F81BD"/>
    </w:rPr>
  </w:style>
  <w:style w:type="character" w:customStyle="1" w:styleId="205">
    <w:name w:val="正文文本 Char2"/>
    <w:basedOn w:val="64"/>
    <w:qFormat/>
    <w:uiPriority w:val="99"/>
  </w:style>
  <w:style w:type="character" w:customStyle="1" w:styleId="206">
    <w:name w:val="标题 7 Char Char Char"/>
    <w:qFormat/>
    <w:uiPriority w:val="0"/>
    <w:rPr>
      <w:rFonts w:ascii="Arial" w:hAnsi="Arial" w:eastAsia="宋体"/>
      <w:b/>
      <w:sz w:val="22"/>
      <w:lang w:val="en-GB" w:eastAsia="zh-CN" w:bidi="ar-SA"/>
    </w:rPr>
  </w:style>
  <w:style w:type="character" w:customStyle="1" w:styleId="207">
    <w:name w:val="Blockquote Char Char"/>
    <w:qFormat/>
    <w:uiPriority w:val="0"/>
    <w:rPr>
      <w:rFonts w:eastAsia="宋体"/>
      <w:sz w:val="24"/>
      <w:lang w:val="en-US" w:eastAsia="zh-CN" w:bidi="ar-SA"/>
    </w:rPr>
  </w:style>
  <w:style w:type="character" w:customStyle="1" w:styleId="208">
    <w:name w:val="Heading 1 Char_f306e33e-e0f1-4de0-bb8b-e2deed7dc861"/>
    <w:qFormat/>
    <w:uiPriority w:val="0"/>
    <w:rPr>
      <w:rFonts w:cs="Times New Roman"/>
      <w:b/>
      <w:bCs/>
      <w:kern w:val="44"/>
      <w:sz w:val="44"/>
      <w:szCs w:val="44"/>
    </w:rPr>
  </w:style>
  <w:style w:type="character" w:customStyle="1" w:styleId="209">
    <w:name w:val="正文文本 Char1"/>
    <w:qFormat/>
    <w:uiPriority w:val="0"/>
    <w:rPr>
      <w:kern w:val="2"/>
      <w:sz w:val="21"/>
      <w:szCs w:val="22"/>
    </w:rPr>
  </w:style>
  <w:style w:type="character" w:customStyle="1" w:styleId="210">
    <w:name w:val="Ü6 + Nr1"/>
    <w:qFormat/>
    <w:uiPriority w:val="0"/>
    <w:rPr>
      <w:rFonts w:ascii="Arial" w:hAnsi="Arial" w:eastAsia="宋体"/>
      <w:b/>
      <w:snapToGrid w:val="0"/>
      <w:kern w:val="2"/>
      <w:sz w:val="26"/>
      <w:szCs w:val="24"/>
      <w:lang w:val="en-GB" w:eastAsia="zh-CN" w:bidi="ar-SA"/>
    </w:rPr>
  </w:style>
  <w:style w:type="character" w:customStyle="1" w:styleId="211">
    <w:name w:val="heading 42 Char"/>
    <w:qFormat/>
    <w:uiPriority w:val="0"/>
    <w:rPr>
      <w:b/>
      <w:kern w:val="2"/>
      <w:sz w:val="24"/>
    </w:rPr>
  </w:style>
  <w:style w:type="character" w:customStyle="1" w:styleId="212">
    <w:name w:val="正文文本 Char Char Char"/>
    <w:qFormat/>
    <w:uiPriority w:val="0"/>
    <w:rPr>
      <w:rFonts w:eastAsia="宋体"/>
      <w:kern w:val="2"/>
      <w:sz w:val="21"/>
      <w:szCs w:val="24"/>
      <w:lang w:val="en-US" w:eastAsia="zh-CN" w:bidi="ar-SA"/>
    </w:rPr>
  </w:style>
  <w:style w:type="character" w:customStyle="1" w:styleId="213">
    <w:name w:val="标题 2 Char Char Char"/>
    <w:qFormat/>
    <w:uiPriority w:val="0"/>
    <w:rPr>
      <w:rFonts w:ascii="宋体" w:hAnsi="宋体" w:eastAsia="宋体"/>
      <w:b/>
      <w:kern w:val="2"/>
      <w:sz w:val="28"/>
      <w:szCs w:val="28"/>
      <w:lang w:val="en-US" w:eastAsia="zh-CN" w:bidi="ar-SA"/>
    </w:rPr>
  </w:style>
  <w:style w:type="character" w:customStyle="1" w:styleId="214">
    <w:name w:val="textcontents"/>
    <w:qFormat/>
    <w:uiPriority w:val="0"/>
    <w:rPr>
      <w:rFonts w:cs="Times New Roman"/>
    </w:rPr>
  </w:style>
  <w:style w:type="character" w:customStyle="1" w:styleId="215">
    <w:name w:val="Gerenal"/>
    <w:qFormat/>
    <w:uiPriority w:val="0"/>
    <w:rPr>
      <w:rFonts w:ascii="RomanD" w:hAnsi="RomanD" w:eastAsia="宋体"/>
      <w:b/>
      <w:i/>
      <w:sz w:val="24"/>
      <w:szCs w:val="24"/>
      <w:u w:val="none"/>
    </w:rPr>
  </w:style>
  <w:style w:type="character" w:customStyle="1" w:styleId="216">
    <w:name w:val="font161"/>
    <w:qFormat/>
    <w:uiPriority w:val="0"/>
    <w:rPr>
      <w:b/>
      <w:bCs/>
      <w:sz w:val="32"/>
      <w:szCs w:val="32"/>
    </w:rPr>
  </w:style>
  <w:style w:type="character" w:customStyle="1" w:styleId="217">
    <w:name w:val="+列表编号 Char1"/>
    <w:qFormat/>
    <w:uiPriority w:val="0"/>
    <w:rPr>
      <w:rFonts w:eastAsia="宋体"/>
      <w:b/>
      <w:kern w:val="2"/>
      <w:sz w:val="24"/>
      <w:szCs w:val="28"/>
      <w:lang w:val="en-US" w:eastAsia="zh-CN" w:bidi="ar-SA"/>
    </w:rPr>
  </w:style>
  <w:style w:type="character" w:customStyle="1" w:styleId="218">
    <w:name w:val="批注主题 Char1"/>
    <w:qFormat/>
    <w:uiPriority w:val="0"/>
    <w:rPr>
      <w:b/>
      <w:bCs/>
      <w:kern w:val="2"/>
      <w:sz w:val="21"/>
      <w:szCs w:val="22"/>
    </w:rPr>
  </w:style>
  <w:style w:type="character" w:customStyle="1" w:styleId="219">
    <w:name w:val="文档结构图 Char1"/>
    <w:qFormat/>
    <w:uiPriority w:val="0"/>
    <w:rPr>
      <w:rFonts w:ascii="宋体"/>
      <w:kern w:val="2"/>
      <w:sz w:val="18"/>
      <w:szCs w:val="18"/>
    </w:rPr>
  </w:style>
  <w:style w:type="character" w:customStyle="1" w:styleId="220">
    <w:name w:val="标题 1 Char1"/>
    <w:qFormat/>
    <w:uiPriority w:val="0"/>
    <w:rPr>
      <w:rFonts w:eastAsia="宋体"/>
      <w:b/>
      <w:bCs/>
      <w:kern w:val="44"/>
      <w:sz w:val="32"/>
      <w:szCs w:val="44"/>
      <w:lang w:val="en-US" w:eastAsia="zh-CN" w:bidi="ar-SA"/>
    </w:rPr>
  </w:style>
  <w:style w:type="character" w:customStyle="1" w:styleId="221">
    <w:name w:val="Char Char17"/>
    <w:qFormat/>
    <w:uiPriority w:val="0"/>
    <w:rPr>
      <w:rFonts w:ascii="Cambria" w:hAnsi="Cambria" w:eastAsia="宋体" w:cs="Times New Roman"/>
      <w:b/>
      <w:bCs/>
      <w:kern w:val="2"/>
      <w:sz w:val="32"/>
      <w:szCs w:val="32"/>
    </w:rPr>
  </w:style>
  <w:style w:type="character" w:customStyle="1" w:styleId="222">
    <w:name w:val="批注文字 Char1"/>
    <w:basedOn w:val="64"/>
    <w:qFormat/>
    <w:uiPriority w:val="99"/>
  </w:style>
  <w:style w:type="character" w:customStyle="1" w:styleId="223">
    <w:name w:val="text4"/>
    <w:qFormat/>
    <w:uiPriority w:val="0"/>
    <w:rPr>
      <w:rFonts w:eastAsia="宋体"/>
      <w:kern w:val="2"/>
      <w:sz w:val="21"/>
      <w:szCs w:val="24"/>
      <w:lang w:val="en-US" w:eastAsia="zh-CN" w:bidi="ar-SA"/>
    </w:rPr>
  </w:style>
  <w:style w:type="character" w:customStyle="1" w:styleId="224">
    <w:name w:val="批注主题 Char"/>
    <w:link w:val="58"/>
    <w:qFormat/>
    <w:uiPriority w:val="0"/>
    <w:rPr>
      <w:b/>
      <w:bCs/>
      <w:szCs w:val="24"/>
    </w:rPr>
  </w:style>
  <w:style w:type="character" w:customStyle="1" w:styleId="225">
    <w:name w:val="标题 8 Char Char Char"/>
    <w:qFormat/>
    <w:uiPriority w:val="0"/>
    <w:rPr>
      <w:rFonts w:ascii="Arial" w:hAnsi="Arial" w:eastAsia="宋体"/>
      <w:b/>
      <w:sz w:val="22"/>
      <w:lang w:val="en-GB" w:eastAsia="zh-CN" w:bidi="ar-SA"/>
    </w:rPr>
  </w:style>
  <w:style w:type="character" w:customStyle="1" w:styleId="226">
    <w:name w:val="+正文 Char Char7 Char Char Char Char"/>
    <w:link w:val="227"/>
    <w:qFormat/>
    <w:uiPriority w:val="0"/>
    <w:rPr>
      <w:sz w:val="24"/>
      <w:szCs w:val="24"/>
    </w:rPr>
  </w:style>
  <w:style w:type="paragraph" w:customStyle="1" w:styleId="227">
    <w:name w:val="+正文 Char Char7 Char"/>
    <w:basedOn w:val="1"/>
    <w:link w:val="226"/>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228">
    <w:name w:val="标题 4 Char Char Char"/>
    <w:qFormat/>
    <w:uiPriority w:val="0"/>
    <w:rPr>
      <w:rFonts w:eastAsia="宋体"/>
      <w:b/>
      <w:kern w:val="2"/>
      <w:sz w:val="24"/>
      <w:lang w:val="en-US" w:eastAsia="zh-CN" w:bidi="ar-SA"/>
    </w:rPr>
  </w:style>
  <w:style w:type="character" w:customStyle="1" w:styleId="229">
    <w:name w:val="样式 宋体 四号"/>
    <w:qFormat/>
    <w:uiPriority w:val="0"/>
    <w:rPr>
      <w:rFonts w:ascii="Times New Roman" w:hAnsi="Times New Roman" w:eastAsia="黑体"/>
      <w:spacing w:val="2"/>
      <w:sz w:val="28"/>
      <w:szCs w:val="28"/>
    </w:rPr>
  </w:style>
  <w:style w:type="character" w:customStyle="1" w:styleId="230">
    <w:name w:val="正文1 Char"/>
    <w:qFormat/>
    <w:uiPriority w:val="0"/>
    <w:rPr>
      <w:rFonts w:ascii="Arial" w:hAnsi="Arial"/>
      <w:b/>
      <w:snapToGrid w:val="0"/>
      <w:sz w:val="26"/>
      <w:lang w:val="en-GB"/>
    </w:rPr>
  </w:style>
  <w:style w:type="character" w:customStyle="1" w:styleId="231">
    <w:name w:val="样式 样式 标题 2 + 小二 Char + (中文) 黑体 非加粗"/>
    <w:qFormat/>
    <w:uiPriority w:val="0"/>
    <w:rPr>
      <w:rFonts w:eastAsia="黑体"/>
      <w:b/>
      <w:bCs/>
      <w:kern w:val="2"/>
      <w:sz w:val="28"/>
      <w:szCs w:val="32"/>
      <w:lang w:val="en-US" w:eastAsia="zh-CN" w:bidi="ar-SA"/>
    </w:rPr>
  </w:style>
  <w:style w:type="character" w:customStyle="1" w:styleId="232">
    <w:name w:val="批注框文本 Char Char Char"/>
    <w:qFormat/>
    <w:uiPriority w:val="0"/>
    <w:rPr>
      <w:rFonts w:ascii="宋体" w:hAnsi="Courier New" w:eastAsia="宋体" w:cs="Courier New"/>
      <w:kern w:val="2"/>
      <w:sz w:val="21"/>
      <w:szCs w:val="21"/>
      <w:lang w:val="en-US" w:eastAsia="zh-CN" w:bidi="ar-SA"/>
    </w:rPr>
  </w:style>
  <w:style w:type="character" w:customStyle="1" w:styleId="233">
    <w:name w:val="Char Char8"/>
    <w:qFormat/>
    <w:uiPriority w:val="0"/>
    <w:rPr>
      <w:rFonts w:eastAsia="宋体"/>
      <w:b/>
      <w:bCs/>
      <w:kern w:val="44"/>
      <w:sz w:val="32"/>
      <w:szCs w:val="44"/>
      <w:lang w:val="en-US" w:eastAsia="zh-CN" w:bidi="ar-SA"/>
    </w:rPr>
  </w:style>
  <w:style w:type="character" w:customStyle="1" w:styleId="234">
    <w:name w:val="日期 Char1"/>
    <w:qFormat/>
    <w:uiPriority w:val="0"/>
    <w:rPr>
      <w:kern w:val="2"/>
      <w:sz w:val="21"/>
      <w:szCs w:val="22"/>
    </w:rPr>
  </w:style>
  <w:style w:type="character" w:customStyle="1" w:styleId="235">
    <w:name w:val="表格内文字 Char1"/>
    <w:link w:val="236"/>
    <w:qFormat/>
    <w:uiPriority w:val="0"/>
    <w:rPr>
      <w:rFonts w:ascii="宋体" w:hAnsi="宋体"/>
      <w:snapToGrid w:val="0"/>
      <w:sz w:val="24"/>
      <w:szCs w:val="24"/>
    </w:rPr>
  </w:style>
  <w:style w:type="paragraph" w:customStyle="1" w:styleId="236">
    <w:name w:val="表格内文字"/>
    <w:basedOn w:val="1"/>
    <w:link w:val="235"/>
    <w:qFormat/>
    <w:uiPriority w:val="0"/>
    <w:pPr>
      <w:widowControl w:val="0"/>
      <w:spacing w:after="0" w:line="320" w:lineRule="exact"/>
      <w:ind w:firstLine="200" w:firstLineChars="200"/>
      <w:jc w:val="center"/>
    </w:pPr>
    <w:rPr>
      <w:rFonts w:ascii="宋体" w:hAnsi="宋体" w:eastAsia="宋体" w:cs="Times New Roman"/>
      <w:snapToGrid w:val="0"/>
      <w:sz w:val="24"/>
      <w:szCs w:val="24"/>
    </w:rPr>
  </w:style>
  <w:style w:type="character" w:customStyle="1" w:styleId="237">
    <w:name w:val="日期 Char2"/>
    <w:basedOn w:val="64"/>
    <w:qFormat/>
    <w:uiPriority w:val="99"/>
  </w:style>
  <w:style w:type="character" w:customStyle="1" w:styleId="238">
    <w:name w:val="正文文本缩进 2 Char Char Char"/>
    <w:qFormat/>
    <w:uiPriority w:val="0"/>
    <w:rPr>
      <w:rFonts w:eastAsia="宋体"/>
      <w:kern w:val="2"/>
      <w:sz w:val="21"/>
      <w:szCs w:val="24"/>
      <w:lang w:val="en-US" w:eastAsia="zh-CN" w:bidi="ar-SA"/>
    </w:rPr>
  </w:style>
  <w:style w:type="character" w:customStyle="1" w:styleId="239">
    <w:name w:val="明显参考1"/>
    <w:qFormat/>
    <w:uiPriority w:val="0"/>
    <w:rPr>
      <w:b/>
      <w:bCs/>
      <w:smallCaps/>
      <w:color w:val="C0504D"/>
      <w:spacing w:val="5"/>
      <w:u w:val="single"/>
    </w:rPr>
  </w:style>
  <w:style w:type="character" w:customStyle="1" w:styleId="240">
    <w:name w:val="链接"/>
    <w:qFormat/>
    <w:uiPriority w:val="0"/>
    <w:rPr>
      <w:rFonts w:ascii="Times New Roman" w:eastAsia="宋体"/>
      <w:color w:val="0000FF"/>
      <w:sz w:val="21"/>
      <w:u w:val="single" w:color="0000FF"/>
      <w:vertAlign w:val="baseline"/>
      <w:lang w:val="en-US" w:eastAsia="zh-CN"/>
    </w:rPr>
  </w:style>
  <w:style w:type="character" w:customStyle="1" w:styleId="241">
    <w:name w:val="样式4 Char Char Char Char Char Char Char"/>
    <w:link w:val="242"/>
    <w:qFormat/>
    <w:uiPriority w:val="0"/>
    <w:rPr>
      <w:spacing w:val="-10"/>
      <w:sz w:val="28"/>
      <w:szCs w:val="24"/>
    </w:rPr>
  </w:style>
  <w:style w:type="paragraph" w:customStyle="1" w:styleId="242">
    <w:name w:val="样式4 Char Char Char Char Char"/>
    <w:basedOn w:val="1"/>
    <w:next w:val="1"/>
    <w:link w:val="241"/>
    <w:qFormat/>
    <w:uiPriority w:val="0"/>
    <w:pPr>
      <w:widowControl w:val="0"/>
      <w:tabs>
        <w:tab w:val="left" w:pos="1784"/>
      </w:tabs>
      <w:adjustRightInd/>
      <w:spacing w:after="0" w:line="360" w:lineRule="auto"/>
      <w:ind w:left="1784" w:hanging="1260"/>
      <w:jc w:val="both"/>
    </w:pPr>
    <w:rPr>
      <w:rFonts w:ascii="Times New Roman" w:hAnsi="Times New Roman" w:eastAsia="宋体" w:cs="Times New Roman"/>
      <w:spacing w:val="-10"/>
      <w:sz w:val="28"/>
      <w:szCs w:val="24"/>
    </w:rPr>
  </w:style>
  <w:style w:type="character" w:customStyle="1" w:styleId="243">
    <w:name w:val="标题 5 Char Char Char"/>
    <w:qFormat/>
    <w:uiPriority w:val="0"/>
    <w:rPr>
      <w:rFonts w:eastAsia="宋体"/>
      <w:b/>
      <w:bCs/>
      <w:kern w:val="2"/>
      <w:sz w:val="28"/>
      <w:szCs w:val="28"/>
      <w:lang w:val="en-US" w:eastAsia="zh-CN" w:bidi="ar-SA"/>
    </w:rPr>
  </w:style>
  <w:style w:type="character" w:customStyle="1" w:styleId="244">
    <w:name w:val="尾注文本 Char"/>
    <w:link w:val="36"/>
    <w:qFormat/>
    <w:uiPriority w:val="0"/>
    <w:rPr>
      <w:kern w:val="2"/>
      <w:sz w:val="21"/>
      <w:szCs w:val="24"/>
    </w:rPr>
  </w:style>
  <w:style w:type="character" w:customStyle="1" w:styleId="245">
    <w:name w:val="不明显参考1"/>
    <w:qFormat/>
    <w:uiPriority w:val="0"/>
    <w:rPr>
      <w:smallCaps/>
      <w:color w:val="C0504D"/>
      <w:u w:val="single"/>
    </w:rPr>
  </w:style>
  <w:style w:type="character" w:customStyle="1" w:styleId="246">
    <w:name w:val="Í Char1"/>
    <w:qFormat/>
    <w:uiPriority w:val="0"/>
    <w:rPr>
      <w:rFonts w:ascii="宋体" w:hAnsi="宋体"/>
      <w:b/>
      <w:kern w:val="2"/>
      <w:sz w:val="24"/>
      <w:szCs w:val="24"/>
    </w:rPr>
  </w:style>
  <w:style w:type="character" w:customStyle="1" w:styleId="247">
    <w:name w:val="正文文本 2 Char"/>
    <w:link w:val="51"/>
    <w:qFormat/>
    <w:uiPriority w:val="0"/>
  </w:style>
  <w:style w:type="character" w:customStyle="1" w:styleId="248">
    <w:name w:val="正文文本缩进 2 Char2"/>
    <w:basedOn w:val="64"/>
    <w:qFormat/>
    <w:uiPriority w:val="99"/>
    <w:rPr>
      <w:rFonts w:ascii="Tahoma" w:hAnsi="Tahoma" w:eastAsia="微软雅黑" w:cs="宋体"/>
      <w:sz w:val="22"/>
      <w:szCs w:val="22"/>
    </w:rPr>
  </w:style>
  <w:style w:type="paragraph" w:customStyle="1" w:styleId="249">
    <w:name w:val="Char Char Char11"/>
    <w:basedOn w:val="1"/>
    <w:qFormat/>
    <w:uiPriority w:val="0"/>
    <w:pPr>
      <w:widowControl w:val="0"/>
      <w:adjustRightInd/>
      <w:snapToGrid/>
      <w:spacing w:after="0"/>
      <w:jc w:val="both"/>
    </w:pPr>
    <w:rPr>
      <w:rFonts w:eastAsia="宋体" w:cs="Times New Roman"/>
      <w:kern w:val="2"/>
      <w:sz w:val="24"/>
      <w:szCs w:val="20"/>
    </w:rPr>
  </w:style>
  <w:style w:type="paragraph" w:customStyle="1" w:styleId="250">
    <w:name w:val="样式 标题 1标题 1 Char Char标题 1 Char章 + 小三 居中1"/>
    <w:basedOn w:val="1"/>
    <w:qFormat/>
    <w:uiPriority w:val="0"/>
    <w:pPr>
      <w:widowControl w:val="0"/>
      <w:tabs>
        <w:tab w:val="left" w:pos="420"/>
      </w:tabs>
      <w:adjustRightInd/>
      <w:spacing w:after="0" w:line="360" w:lineRule="auto"/>
      <w:ind w:left="420" w:hanging="420"/>
      <w:jc w:val="both"/>
    </w:pPr>
    <w:rPr>
      <w:rFonts w:ascii="Times New Roman" w:hAnsi="Times New Roman" w:eastAsia="宋体" w:cs="Times New Roman"/>
      <w:spacing w:val="-10"/>
      <w:kern w:val="2"/>
      <w:sz w:val="21"/>
      <w:szCs w:val="24"/>
    </w:rPr>
  </w:style>
  <w:style w:type="paragraph" w:customStyle="1" w:styleId="251">
    <w:name w:val="节标题"/>
    <w:basedOn w:val="1"/>
    <w:next w:val="252"/>
    <w:qFormat/>
    <w:uiPriority w:val="0"/>
    <w:pPr>
      <w:adjustRightInd/>
      <w:snapToGrid/>
      <w:spacing w:after="0" w:line="289" w:lineRule="atLeast"/>
      <w:jc w:val="center"/>
      <w:textAlignment w:val="baseline"/>
    </w:pPr>
    <w:rPr>
      <w:rFonts w:ascii="Times New Roman" w:hAnsi="Times New Roman" w:eastAsia="宋体" w:cs="Times New Roman"/>
      <w:color w:val="000000"/>
      <w:sz w:val="28"/>
      <w:szCs w:val="20"/>
      <w:u w:color="000000"/>
    </w:rPr>
  </w:style>
  <w:style w:type="paragraph" w:customStyle="1" w:styleId="252">
    <w:name w:val="小节标题"/>
    <w:basedOn w:val="1"/>
    <w:next w:val="1"/>
    <w:qFormat/>
    <w:uiPriority w:val="0"/>
    <w:pPr>
      <w:adjustRightInd/>
      <w:snapToGrid/>
      <w:spacing w:before="175" w:after="102" w:line="351" w:lineRule="atLeast"/>
      <w:jc w:val="both"/>
      <w:textAlignment w:val="baseline"/>
    </w:pPr>
    <w:rPr>
      <w:rFonts w:ascii="Times New Roman" w:hAnsi="Times New Roman" w:eastAsia="黑体" w:cs="Times New Roman"/>
      <w:color w:val="000000"/>
      <w:sz w:val="21"/>
      <w:szCs w:val="20"/>
      <w:u w:color="000000"/>
    </w:rPr>
  </w:style>
  <w:style w:type="character" w:customStyle="1" w:styleId="253">
    <w:name w:val="脚注文本 Char1"/>
    <w:basedOn w:val="64"/>
    <w:qFormat/>
    <w:uiPriority w:val="99"/>
    <w:rPr>
      <w:rFonts w:ascii="Tahoma" w:hAnsi="Tahoma" w:eastAsia="微软雅黑" w:cs="宋体"/>
      <w:sz w:val="18"/>
      <w:szCs w:val="18"/>
    </w:rPr>
  </w:style>
  <w:style w:type="paragraph" w:customStyle="1" w:styleId="254">
    <w:name w:val="用户标题2"/>
    <w:basedOn w:val="3"/>
    <w:qFormat/>
    <w:uiPriority w:val="0"/>
    <w:pPr>
      <w:adjustRightInd w:val="0"/>
      <w:spacing w:before="240" w:after="120" w:line="400" w:lineRule="atLeast"/>
      <w:ind w:left="150" w:leftChars="50" w:right="150"/>
      <w:jc w:val="left"/>
      <w:textAlignment w:val="baseline"/>
      <w:outlineLvl w:val="9"/>
    </w:pPr>
    <w:rPr>
      <w:rFonts w:ascii="Times New Roman" w:hAnsi="Times New Roman" w:eastAsia="宋体"/>
      <w:kern w:val="0"/>
      <w:szCs w:val="20"/>
    </w:rPr>
  </w:style>
  <w:style w:type="paragraph" w:customStyle="1" w:styleId="255">
    <w:name w:val="Char Char Char Char1"/>
    <w:basedOn w:val="1"/>
    <w:qFormat/>
    <w:uiPriority w:val="0"/>
    <w:pPr>
      <w:widowControl w:val="0"/>
      <w:adjustRightInd/>
      <w:snapToGrid/>
      <w:spacing w:after="0"/>
      <w:jc w:val="both"/>
    </w:pPr>
    <w:rPr>
      <w:rFonts w:eastAsia="宋体" w:cs="Times New Roman"/>
      <w:kern w:val="2"/>
      <w:sz w:val="24"/>
      <w:szCs w:val="20"/>
    </w:rPr>
  </w:style>
  <w:style w:type="paragraph" w:customStyle="1" w:styleId="256">
    <w:name w:val="！正文 Alt+0"/>
    <w:basedOn w:val="1"/>
    <w:qFormat/>
    <w:uiPriority w:val="0"/>
    <w:pPr>
      <w:widowControl w:val="0"/>
      <w:adjustRightInd/>
      <w:snapToGrid/>
      <w:spacing w:beforeLines="50" w:after="0" w:line="360" w:lineRule="auto"/>
      <w:ind w:firstLine="200" w:firstLineChars="200"/>
      <w:jc w:val="both"/>
    </w:pPr>
    <w:rPr>
      <w:rFonts w:ascii="Times New Roman" w:hAnsi="Times New Roman" w:eastAsia="宋体" w:cs="Times New Roman"/>
      <w:kern w:val="2"/>
      <w:sz w:val="28"/>
      <w:szCs w:val="28"/>
    </w:rPr>
  </w:style>
  <w:style w:type="paragraph" w:customStyle="1" w:styleId="257">
    <w:name w:val="样式 样式 标题 + 段前: 1 行 段后: 0.5 行"/>
    <w:basedOn w:val="258"/>
    <w:qFormat/>
    <w:uiPriority w:val="0"/>
    <w:pPr>
      <w:spacing w:beforeLines="200"/>
    </w:pPr>
    <w:rPr>
      <w:bCs w:val="0"/>
      <w:szCs w:val="20"/>
    </w:rPr>
  </w:style>
  <w:style w:type="paragraph" w:customStyle="1" w:styleId="258">
    <w:name w:val="样式 标题"/>
    <w:basedOn w:val="1"/>
    <w:qFormat/>
    <w:uiPriority w:val="0"/>
    <w:pPr>
      <w:widowControl w:val="0"/>
      <w:autoSpaceDE w:val="0"/>
      <w:autoSpaceDN w:val="0"/>
      <w:spacing w:beforeLines="100" w:afterLines="50" w:line="360" w:lineRule="auto"/>
      <w:jc w:val="center"/>
      <w:outlineLvl w:val="0"/>
    </w:pPr>
    <w:rPr>
      <w:rFonts w:ascii="黑体" w:hAnsi="Times New Roman" w:eastAsia="黑体"/>
      <w:bCs/>
      <w:kern w:val="2"/>
      <w:sz w:val="32"/>
      <w:szCs w:val="32"/>
    </w:rPr>
  </w:style>
  <w:style w:type="paragraph" w:customStyle="1" w:styleId="259">
    <w:name w:val="样式3"/>
    <w:basedOn w:val="3"/>
    <w:qFormat/>
    <w:uiPriority w:val="0"/>
    <w:pPr>
      <w:keepNext w:val="0"/>
      <w:keepLines w:val="0"/>
      <w:widowControl/>
      <w:tabs>
        <w:tab w:val="left" w:pos="576"/>
      </w:tabs>
      <w:spacing w:before="200" w:after="60" w:line="460" w:lineRule="exact"/>
      <w:ind w:left="576" w:hanging="576"/>
      <w:contextualSpacing/>
      <w:jc w:val="left"/>
    </w:pPr>
    <w:rPr>
      <w:rFonts w:ascii="Times New Roman" w:hAnsi="Times New Roman"/>
      <w:b w:val="0"/>
      <w:bCs w:val="0"/>
      <w:kern w:val="0"/>
      <w:sz w:val="24"/>
      <w:szCs w:val="24"/>
    </w:rPr>
  </w:style>
  <w:style w:type="character" w:customStyle="1" w:styleId="260">
    <w:name w:val="批注文字 Char2"/>
    <w:basedOn w:val="64"/>
    <w:link w:val="20"/>
    <w:qFormat/>
    <w:uiPriority w:val="99"/>
    <w:rPr>
      <w:rFonts w:ascii="Tahoma" w:hAnsi="Tahoma" w:eastAsia="微软雅黑" w:cs="宋体"/>
      <w:sz w:val="22"/>
      <w:szCs w:val="22"/>
    </w:rPr>
  </w:style>
  <w:style w:type="character" w:customStyle="1" w:styleId="261">
    <w:name w:val="批注主题 Char2"/>
    <w:basedOn w:val="260"/>
    <w:qFormat/>
    <w:uiPriority w:val="99"/>
    <w:rPr>
      <w:rFonts w:ascii="Tahoma" w:hAnsi="Tahoma" w:eastAsia="微软雅黑" w:cs="宋体"/>
      <w:b/>
      <w:bCs/>
      <w:sz w:val="22"/>
      <w:szCs w:val="22"/>
    </w:rPr>
  </w:style>
  <w:style w:type="paragraph" w:customStyle="1" w:styleId="262">
    <w:name w:val="正文1"/>
    <w:qFormat/>
    <w:uiPriority w:val="0"/>
    <w:pPr>
      <w:widowControl w:val="0"/>
      <w:adjustRightInd w:val="0"/>
      <w:spacing w:line="312" w:lineRule="atLeast"/>
      <w:jc w:val="both"/>
      <w:textAlignment w:val="baseline"/>
    </w:pPr>
    <w:rPr>
      <w:rFonts w:ascii="Times New Roman" w:hAnsi="Times New Roman" w:eastAsia="宋体" w:cs="Times New Roman"/>
      <w:sz w:val="24"/>
      <w:lang w:val="en-US" w:eastAsia="zh-CN" w:bidi="ar-SA"/>
    </w:rPr>
  </w:style>
  <w:style w:type="character" w:customStyle="1" w:styleId="263">
    <w:name w:val="HTML 预设格式 Char1"/>
    <w:basedOn w:val="64"/>
    <w:qFormat/>
    <w:uiPriority w:val="99"/>
    <w:rPr>
      <w:rFonts w:ascii="Courier New" w:hAnsi="Courier New" w:eastAsia="微软雅黑" w:cs="Courier New"/>
    </w:rPr>
  </w:style>
  <w:style w:type="paragraph" w:customStyle="1" w:styleId="264">
    <w:name w:val="目录1"/>
    <w:basedOn w:val="1"/>
    <w:next w:val="1"/>
    <w:qFormat/>
    <w:uiPriority w:val="0"/>
    <w:pPr>
      <w:tabs>
        <w:tab w:val="left" w:leader="dot" w:pos="8503"/>
      </w:tabs>
      <w:adjustRightInd/>
      <w:snapToGrid/>
      <w:spacing w:after="102" w:line="215" w:lineRule="atLeast"/>
      <w:ind w:firstLine="419"/>
      <w:textAlignment w:val="baseline"/>
    </w:pPr>
    <w:rPr>
      <w:rFonts w:ascii="Times New Roman" w:hAnsi="Times New Roman" w:eastAsia="宋体" w:cs="Times New Roman"/>
      <w:color w:val="000000"/>
      <w:sz w:val="21"/>
      <w:szCs w:val="20"/>
      <w:u w:color="000000"/>
    </w:rPr>
  </w:style>
  <w:style w:type="character" w:customStyle="1" w:styleId="265">
    <w:name w:val="正文文本 2 Char2"/>
    <w:basedOn w:val="64"/>
    <w:qFormat/>
    <w:uiPriority w:val="99"/>
    <w:rPr>
      <w:rFonts w:ascii="Tahoma" w:hAnsi="Tahoma" w:eastAsia="微软雅黑" w:cs="宋体"/>
      <w:sz w:val="22"/>
      <w:szCs w:val="22"/>
    </w:rPr>
  </w:style>
  <w:style w:type="paragraph" w:customStyle="1" w:styleId="266">
    <w:name w:val="样式 加粗 行距: 单倍行距"/>
    <w:basedOn w:val="1"/>
    <w:qFormat/>
    <w:uiPriority w:val="0"/>
    <w:pPr>
      <w:widowControl w:val="0"/>
      <w:adjustRightInd/>
      <w:snapToGrid/>
      <w:spacing w:after="0"/>
      <w:ind w:firstLine="200" w:firstLineChars="200"/>
      <w:jc w:val="both"/>
      <w:outlineLvl w:val="3"/>
    </w:pPr>
    <w:rPr>
      <w:rFonts w:ascii="Arial" w:hAnsi="Arial" w:eastAsia="宋体" w:cs="Times New Roman"/>
      <w:b/>
      <w:bCs/>
      <w:kern w:val="2"/>
      <w:sz w:val="24"/>
      <w:szCs w:val="20"/>
    </w:rPr>
  </w:style>
  <w:style w:type="character" w:customStyle="1" w:styleId="267">
    <w:name w:val="副标题 Char2"/>
    <w:basedOn w:val="64"/>
    <w:qFormat/>
    <w:uiPriority w:val="11"/>
    <w:rPr>
      <w:rFonts w:ascii="Cambria" w:hAnsi="Cambria" w:cs="宋体"/>
      <w:b/>
      <w:bCs/>
      <w:kern w:val="28"/>
      <w:sz w:val="32"/>
      <w:szCs w:val="32"/>
    </w:rPr>
  </w:style>
  <w:style w:type="character" w:customStyle="1" w:styleId="268">
    <w:name w:val="尾注文本 Char1"/>
    <w:basedOn w:val="64"/>
    <w:qFormat/>
    <w:uiPriority w:val="99"/>
    <w:rPr>
      <w:rFonts w:ascii="Tahoma" w:hAnsi="Tahoma" w:eastAsia="微软雅黑" w:cs="宋体"/>
      <w:sz w:val="22"/>
      <w:szCs w:val="22"/>
    </w:rPr>
  </w:style>
  <w:style w:type="paragraph" w:customStyle="1" w:styleId="269">
    <w:name w:val="_Style 21"/>
    <w:basedOn w:val="1"/>
    <w:next w:val="31"/>
    <w:qFormat/>
    <w:uiPriority w:val="0"/>
    <w:pPr>
      <w:widowControl w:val="0"/>
      <w:adjustRightInd/>
      <w:snapToGrid/>
      <w:spacing w:after="0"/>
      <w:jc w:val="both"/>
    </w:pPr>
    <w:rPr>
      <w:rFonts w:ascii="宋体" w:hAnsi="Courier New" w:eastAsia="宋体" w:cs="华文中宋"/>
      <w:kern w:val="2"/>
      <w:sz w:val="24"/>
      <w:szCs w:val="21"/>
    </w:rPr>
  </w:style>
  <w:style w:type="paragraph" w:customStyle="1" w:styleId="270">
    <w:name w:val="z-窗体顶端1"/>
    <w:basedOn w:val="1"/>
    <w:next w:val="1"/>
    <w:link w:val="271"/>
    <w:qFormat/>
    <w:uiPriority w:val="0"/>
    <w:pPr>
      <w:widowControl w:val="0"/>
      <w:pBdr>
        <w:bottom w:val="single" w:color="auto" w:sz="6" w:space="1"/>
      </w:pBdr>
      <w:adjustRightInd/>
      <w:snapToGrid/>
      <w:spacing w:after="0"/>
      <w:jc w:val="center"/>
    </w:pPr>
    <w:rPr>
      <w:rFonts w:ascii="Arial" w:hAnsi="Calibri" w:eastAsia="宋体" w:cs="Times New Roman"/>
      <w:vanish/>
      <w:kern w:val="2"/>
      <w:sz w:val="16"/>
    </w:rPr>
  </w:style>
  <w:style w:type="character" w:customStyle="1" w:styleId="271">
    <w:name w:val="z-窗体顶端 Char"/>
    <w:basedOn w:val="64"/>
    <w:link w:val="270"/>
    <w:qFormat/>
    <w:uiPriority w:val="0"/>
    <w:rPr>
      <w:rFonts w:ascii="Arial" w:hAnsi="Calibri"/>
      <w:vanish/>
      <w:kern w:val="2"/>
      <w:sz w:val="16"/>
      <w:szCs w:val="22"/>
    </w:rPr>
  </w:style>
  <w:style w:type="paragraph" w:customStyle="1" w:styleId="272">
    <w:name w:val="段落编号new"/>
    <w:basedOn w:val="1"/>
    <w:qFormat/>
    <w:uiPriority w:val="0"/>
    <w:pPr>
      <w:widowControl w:val="0"/>
      <w:tabs>
        <w:tab w:val="left" w:pos="840"/>
      </w:tabs>
      <w:adjustRightInd/>
      <w:snapToGrid/>
      <w:spacing w:before="120" w:after="120"/>
      <w:jc w:val="center"/>
      <w:outlineLvl w:val="8"/>
    </w:pPr>
    <w:rPr>
      <w:rFonts w:ascii="Times New Roman" w:hAnsi="Times New Roman" w:eastAsia="宋体" w:cs="Times New Roman"/>
      <w:b/>
      <w:kern w:val="2"/>
      <w:sz w:val="24"/>
      <w:szCs w:val="24"/>
    </w:rPr>
  </w:style>
  <w:style w:type="paragraph" w:customStyle="1" w:styleId="273">
    <w:name w:val="12"/>
    <w:basedOn w:val="1"/>
    <w:next w:val="31"/>
    <w:qFormat/>
    <w:uiPriority w:val="0"/>
    <w:pPr>
      <w:widowControl w:val="0"/>
      <w:adjustRightInd/>
      <w:snapToGrid/>
      <w:spacing w:after="0"/>
      <w:jc w:val="both"/>
    </w:pPr>
    <w:rPr>
      <w:rFonts w:ascii="宋体" w:hAnsi="Courier New" w:eastAsia="宋体" w:cs="华文中宋"/>
      <w:kern w:val="2"/>
      <w:sz w:val="24"/>
      <w:szCs w:val="21"/>
    </w:rPr>
  </w:style>
  <w:style w:type="paragraph" w:customStyle="1" w:styleId="274">
    <w:name w:val="_Style 141"/>
    <w:basedOn w:val="1"/>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275">
    <w:name w:val="样式4 Char Char Char"/>
    <w:basedOn w:val="1"/>
    <w:next w:val="1"/>
    <w:qFormat/>
    <w:uiPriority w:val="0"/>
    <w:pPr>
      <w:widowControl w:val="0"/>
      <w:tabs>
        <w:tab w:val="left" w:pos="1784"/>
      </w:tabs>
      <w:adjustRightInd/>
      <w:spacing w:after="0" w:line="360" w:lineRule="auto"/>
      <w:ind w:left="1784" w:hanging="1260"/>
      <w:jc w:val="both"/>
    </w:pPr>
    <w:rPr>
      <w:rFonts w:ascii="Times New Roman" w:hAnsi="Times New Roman" w:eastAsia="宋体" w:cs="Times New Roman"/>
      <w:spacing w:val="-10"/>
      <w:kern w:val="2"/>
      <w:sz w:val="28"/>
      <w:szCs w:val="24"/>
    </w:rPr>
  </w:style>
  <w:style w:type="paragraph" w:customStyle="1" w:styleId="276">
    <w:name w:val="T0105"/>
    <w:basedOn w:val="1"/>
    <w:qFormat/>
    <w:uiPriority w:val="0"/>
    <w:pPr>
      <w:widowControl w:val="0"/>
      <w:adjustRightInd/>
      <w:snapToGrid/>
      <w:spacing w:before="120" w:after="0" w:line="340" w:lineRule="atLeast"/>
      <w:ind w:firstLine="480"/>
      <w:jc w:val="both"/>
    </w:pPr>
    <w:rPr>
      <w:rFonts w:ascii="Times New Roman" w:hAnsi="Times New Roman" w:eastAsia="仿宋_GB2312" w:cs="Times New Roman"/>
      <w:kern w:val="2"/>
      <w:sz w:val="24"/>
      <w:szCs w:val="20"/>
    </w:rPr>
  </w:style>
  <w:style w:type="paragraph" w:customStyle="1" w:styleId="277">
    <w:name w:val="标准正文 Char Char Char Char Char"/>
    <w:basedOn w:val="1"/>
    <w:qFormat/>
    <w:uiPriority w:val="0"/>
    <w:pPr>
      <w:widowControl w:val="0"/>
      <w:adjustRightInd/>
      <w:snapToGrid/>
      <w:spacing w:after="0" w:line="360" w:lineRule="auto"/>
      <w:ind w:left="840" w:leftChars="400" w:firstLine="480" w:firstLineChars="200"/>
      <w:jc w:val="both"/>
    </w:pPr>
    <w:rPr>
      <w:rFonts w:ascii="Times New Roman" w:hAnsi="Times New Roman" w:eastAsia="宋体"/>
      <w:kern w:val="2"/>
      <w:sz w:val="24"/>
      <w:szCs w:val="24"/>
    </w:rPr>
  </w:style>
  <w:style w:type="paragraph" w:customStyle="1" w:styleId="278">
    <w:name w:val="文章附标题"/>
    <w:basedOn w:val="1"/>
    <w:next w:val="279"/>
    <w:qFormat/>
    <w:uiPriority w:val="0"/>
    <w:pPr>
      <w:adjustRightInd/>
      <w:snapToGrid/>
      <w:spacing w:before="187" w:after="175" w:line="374" w:lineRule="atLeast"/>
      <w:jc w:val="center"/>
      <w:textAlignment w:val="baseline"/>
    </w:pPr>
    <w:rPr>
      <w:rFonts w:ascii="Times New Roman" w:hAnsi="Times New Roman" w:eastAsia="宋体" w:cs="Times New Roman"/>
      <w:color w:val="000000"/>
      <w:sz w:val="36"/>
      <w:szCs w:val="20"/>
      <w:u w:color="000000"/>
    </w:rPr>
  </w:style>
  <w:style w:type="paragraph" w:customStyle="1" w:styleId="279">
    <w:name w:val="章标题"/>
    <w:basedOn w:val="1"/>
    <w:next w:val="251"/>
    <w:qFormat/>
    <w:uiPriority w:val="0"/>
    <w:pPr>
      <w:adjustRightInd/>
      <w:snapToGrid/>
      <w:spacing w:before="158" w:after="153" w:line="323" w:lineRule="atLeast"/>
      <w:jc w:val="center"/>
      <w:textAlignment w:val="baseline"/>
    </w:pPr>
    <w:rPr>
      <w:rFonts w:ascii="Arial" w:hAnsi="Times New Roman" w:eastAsia="黑体" w:cs="Times New Roman"/>
      <w:color w:val="000000"/>
      <w:sz w:val="31"/>
      <w:szCs w:val="20"/>
      <w:u w:color="000000"/>
    </w:rPr>
  </w:style>
  <w:style w:type="paragraph" w:customStyle="1" w:styleId="280">
    <w:name w:val="+正文 Char Char7"/>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81">
    <w:name w:val="1.1.1.1"/>
    <w:basedOn w:val="1"/>
    <w:qFormat/>
    <w:uiPriority w:val="0"/>
    <w:pPr>
      <w:widowControl w:val="0"/>
      <w:tabs>
        <w:tab w:val="left" w:pos="900"/>
        <w:tab w:val="left" w:pos="1134"/>
      </w:tabs>
      <w:spacing w:beforeLines="50" w:afterLines="50" w:line="400" w:lineRule="atLeast"/>
      <w:ind w:left="869" w:leftChars="50" w:right="200" w:rightChars="200"/>
      <w:jc w:val="both"/>
      <w:textAlignment w:val="baseline"/>
    </w:pPr>
    <w:rPr>
      <w:rFonts w:ascii="Arial" w:hAnsi="Arial" w:eastAsia="宋体" w:cs="Times New Roman"/>
      <w:sz w:val="24"/>
      <w:szCs w:val="20"/>
    </w:rPr>
  </w:style>
  <w:style w:type="paragraph" w:customStyle="1" w:styleId="282">
    <w:name w:val="正文4 Char"/>
    <w:basedOn w:val="1"/>
    <w:qFormat/>
    <w:uiPriority w:val="0"/>
    <w:pPr>
      <w:widowControl w:val="0"/>
      <w:adjustRightInd/>
      <w:snapToGrid/>
      <w:spacing w:after="0" w:line="360" w:lineRule="auto"/>
      <w:ind w:left="400" w:leftChars="400"/>
      <w:jc w:val="both"/>
    </w:pPr>
    <w:rPr>
      <w:rFonts w:ascii="宋体" w:hAnsi="Times New Roman" w:eastAsia="宋体" w:cs="Times New Roman"/>
      <w:kern w:val="2"/>
      <w:sz w:val="24"/>
      <w:szCs w:val="24"/>
    </w:rPr>
  </w:style>
  <w:style w:type="paragraph" w:customStyle="1" w:styleId="283">
    <w:name w:val="xl24"/>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28"/>
      <w:szCs w:val="28"/>
    </w:rPr>
  </w:style>
  <w:style w:type="paragraph" w:customStyle="1" w:styleId="284">
    <w:name w:val="Text"/>
    <w:basedOn w:val="1"/>
    <w:qFormat/>
    <w:uiPriority w:val="0"/>
    <w:pPr>
      <w:adjustRightInd/>
      <w:snapToGrid/>
      <w:spacing w:after="0" w:line="288" w:lineRule="auto"/>
      <w:ind w:left="2552"/>
    </w:pPr>
    <w:rPr>
      <w:rFonts w:ascii="Univers" w:hAnsi="Univers" w:eastAsia="宋体" w:cs="Times New Roman"/>
      <w:szCs w:val="20"/>
      <w:lang w:val="en-GB"/>
    </w:rPr>
  </w:style>
  <w:style w:type="paragraph" w:customStyle="1" w:styleId="285">
    <w:name w:val="10"/>
    <w:basedOn w:val="1"/>
    <w:next w:val="55"/>
    <w:qFormat/>
    <w:uiPriority w:val="0"/>
    <w:pPr>
      <w:adjustRightInd/>
      <w:snapToGrid/>
      <w:spacing w:before="100" w:beforeAutospacing="1" w:after="100" w:afterAutospacing="1"/>
    </w:pPr>
    <w:rPr>
      <w:rFonts w:ascii="宋体" w:hAnsi="宋体" w:eastAsia="宋体" w:cs="Times New Roman"/>
      <w:sz w:val="24"/>
      <w:szCs w:val="24"/>
    </w:rPr>
  </w:style>
  <w:style w:type="character" w:customStyle="1" w:styleId="286">
    <w:name w:val="引用 Char2"/>
    <w:basedOn w:val="64"/>
    <w:qFormat/>
    <w:uiPriority w:val="99"/>
    <w:rPr>
      <w:rFonts w:ascii="Tahoma" w:hAnsi="Tahoma" w:eastAsia="微软雅黑" w:cs="宋体"/>
      <w:i/>
      <w:iCs/>
      <w:color w:val="000000"/>
      <w:sz w:val="22"/>
      <w:szCs w:val="22"/>
    </w:rPr>
  </w:style>
  <w:style w:type="paragraph" w:customStyle="1" w:styleId="287">
    <w:name w:val="SuepSubHead"/>
    <w:basedOn w:val="1"/>
    <w:qFormat/>
    <w:uiPriority w:val="0"/>
    <w:pPr>
      <w:tabs>
        <w:tab w:val="left" w:pos="720"/>
      </w:tabs>
      <w:adjustRightInd/>
      <w:snapToGrid/>
      <w:spacing w:after="0"/>
      <w:ind w:left="720" w:hanging="720"/>
    </w:pPr>
    <w:rPr>
      <w:rFonts w:ascii="Times New Roman" w:hAnsi="Times New Roman" w:eastAsia="宋体" w:cs="Times New Roman"/>
      <w:b/>
      <w:szCs w:val="20"/>
    </w:rPr>
  </w:style>
  <w:style w:type="paragraph" w:customStyle="1" w:styleId="288">
    <w:name w:val="_Style 234"/>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89">
    <w:name w:val="+正文 Char Char5 Char Char"/>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90">
    <w:name w:val="SuepHeading"/>
    <w:basedOn w:val="1"/>
    <w:qFormat/>
    <w:uiPriority w:val="0"/>
    <w:pPr>
      <w:tabs>
        <w:tab w:val="left" w:pos="720"/>
        <w:tab w:val="left" w:pos="828"/>
        <w:tab w:val="left" w:pos="1394"/>
        <w:tab w:val="left" w:pos="2245"/>
        <w:tab w:val="left" w:pos="3094"/>
        <w:tab w:val="left" w:pos="3945"/>
        <w:tab w:val="left" w:pos="5079"/>
        <w:tab w:val="left" w:pos="6496"/>
        <w:tab w:val="left" w:pos="7630"/>
      </w:tabs>
      <w:suppressAutoHyphens/>
      <w:adjustRightInd/>
      <w:snapToGrid/>
      <w:spacing w:after="0"/>
      <w:ind w:left="720" w:hanging="720"/>
      <w:jc w:val="both"/>
    </w:pPr>
    <w:rPr>
      <w:rFonts w:ascii="Times New Roman" w:hAnsi="Times New Roman" w:eastAsia="宋体" w:cs="Times New Roman"/>
      <w:b/>
      <w:spacing w:val="-2"/>
      <w:szCs w:val="20"/>
      <w:lang w:val="en-GB"/>
    </w:rPr>
  </w:style>
  <w:style w:type="paragraph" w:customStyle="1" w:styleId="291">
    <w:name w:val="样式 样式 普通文字表格文字 + 四号 居中 行距: 固定值 12 磅 + (中文) 黑体 小四 首行缩进:  2 字符"/>
    <w:basedOn w:val="1"/>
    <w:qFormat/>
    <w:uiPriority w:val="0"/>
    <w:pPr>
      <w:widowControl w:val="0"/>
      <w:adjustRightInd/>
      <w:snapToGrid/>
      <w:spacing w:beforeLines="150" w:after="0" w:line="300" w:lineRule="exact"/>
      <w:jc w:val="center"/>
    </w:pPr>
    <w:rPr>
      <w:rFonts w:ascii="Times New Roman" w:hAnsi="Times New Roman" w:eastAsia="黑体"/>
      <w:sz w:val="24"/>
      <w:szCs w:val="24"/>
    </w:rPr>
  </w:style>
  <w:style w:type="paragraph" w:customStyle="1" w:styleId="292">
    <w:name w:val="+正文 Char Char1 Char Char Char"/>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93">
    <w:name w:val="TabC"/>
    <w:basedOn w:val="1"/>
    <w:qFormat/>
    <w:uiPriority w:val="0"/>
    <w:pPr>
      <w:keepLines/>
      <w:adjustRightInd/>
      <w:snapToGrid/>
      <w:spacing w:before="120" w:after="120"/>
      <w:jc w:val="center"/>
    </w:pPr>
    <w:rPr>
      <w:rFonts w:ascii="Times New Roman" w:hAnsi="Times New Roman" w:eastAsia="宋体" w:cs="Times New Roman"/>
      <w:sz w:val="24"/>
      <w:szCs w:val="20"/>
      <w:lang w:val="fr-FR"/>
    </w:rPr>
  </w:style>
  <w:style w:type="paragraph" w:customStyle="1" w:styleId="294">
    <w:name w:val="！表格"/>
    <w:basedOn w:val="1"/>
    <w:qFormat/>
    <w:uiPriority w:val="0"/>
    <w:pPr>
      <w:widowControl w:val="0"/>
      <w:adjustRightInd/>
      <w:snapToGrid/>
      <w:spacing w:after="0"/>
      <w:jc w:val="center"/>
    </w:pPr>
    <w:rPr>
      <w:rFonts w:ascii="Times New Roman" w:hAnsi="Times New Roman" w:eastAsia="楷体_GB2312" w:cs="Times New Roman"/>
      <w:kern w:val="2"/>
      <w:sz w:val="24"/>
      <w:szCs w:val="24"/>
    </w:rPr>
  </w:style>
  <w:style w:type="paragraph" w:customStyle="1" w:styleId="295">
    <w:name w:val="Char Char Char Char1 Char Char Char"/>
    <w:basedOn w:val="1"/>
    <w:qFormat/>
    <w:uiPriority w:val="0"/>
    <w:pPr>
      <w:widowControl w:val="0"/>
      <w:adjustRightInd/>
      <w:snapToGrid/>
      <w:spacing w:after="0" w:line="240" w:lineRule="atLeast"/>
      <w:ind w:left="420" w:firstLine="420"/>
      <w:jc w:val="both"/>
    </w:pPr>
    <w:rPr>
      <w:rFonts w:ascii="Times New Roman" w:hAnsi="Times New Roman" w:eastAsia="宋体" w:cs="Times New Roman"/>
      <w:sz w:val="21"/>
      <w:szCs w:val="21"/>
    </w:rPr>
  </w:style>
  <w:style w:type="paragraph" w:customStyle="1" w:styleId="296">
    <w:name w:val="+列表编号"/>
    <w:basedOn w:val="1"/>
    <w:qFormat/>
    <w:uiPriority w:val="0"/>
    <w:pPr>
      <w:widowControl w:val="0"/>
      <w:tabs>
        <w:tab w:val="center" w:pos="4200"/>
        <w:tab w:val="right" w:pos="8400"/>
      </w:tabs>
      <w:adjustRightInd/>
      <w:snapToGrid/>
      <w:spacing w:before="120" w:after="120"/>
      <w:jc w:val="center"/>
    </w:pPr>
    <w:rPr>
      <w:rFonts w:ascii="Times New Roman" w:hAnsi="Times New Roman" w:eastAsia="宋体" w:cs="Times New Roman"/>
      <w:b/>
      <w:kern w:val="2"/>
      <w:sz w:val="24"/>
      <w:szCs w:val="28"/>
    </w:rPr>
  </w:style>
  <w:style w:type="paragraph" w:customStyle="1" w:styleId="297">
    <w:name w:val="样式 样式3 + 首行缩进:  2 字符"/>
    <w:basedOn w:val="1"/>
    <w:qFormat/>
    <w:uiPriority w:val="0"/>
    <w:pPr>
      <w:widowControl w:val="0"/>
      <w:adjustRightInd/>
      <w:snapToGrid/>
      <w:spacing w:after="0" w:line="360" w:lineRule="auto"/>
      <w:ind w:firstLine="360" w:firstLineChars="200"/>
      <w:jc w:val="both"/>
    </w:pPr>
    <w:rPr>
      <w:rFonts w:ascii="Times New Roman" w:hAnsi="Times New Roman" w:eastAsia="黑体"/>
      <w:kern w:val="2"/>
      <w:sz w:val="28"/>
      <w:szCs w:val="28"/>
    </w:rPr>
  </w:style>
  <w:style w:type="paragraph" w:customStyle="1" w:styleId="298">
    <w:name w:val="text"/>
    <w:basedOn w:val="1"/>
    <w:qFormat/>
    <w:uiPriority w:val="0"/>
    <w:pPr>
      <w:tabs>
        <w:tab w:val="left" w:pos="1050"/>
      </w:tabs>
      <w:overflowPunct w:val="0"/>
      <w:autoSpaceDE w:val="0"/>
      <w:autoSpaceDN w:val="0"/>
      <w:snapToGrid/>
      <w:spacing w:before="240" w:after="0"/>
      <w:ind w:left="1049"/>
      <w:jc w:val="both"/>
      <w:textAlignment w:val="baseline"/>
    </w:pPr>
    <w:rPr>
      <w:rFonts w:ascii="Times New Roman" w:hAnsi="Times New Roman" w:eastAsia="宋体" w:cs="Times New Roman"/>
      <w:sz w:val="24"/>
      <w:szCs w:val="20"/>
    </w:rPr>
  </w:style>
  <w:style w:type="paragraph" w:customStyle="1" w:styleId="299">
    <w:name w:val="样式1"/>
    <w:basedOn w:val="1"/>
    <w:next w:val="5"/>
    <w:qFormat/>
    <w:uiPriority w:val="0"/>
    <w:pPr>
      <w:widowControl w:val="0"/>
      <w:adjustRightInd/>
      <w:snapToGrid/>
      <w:spacing w:after="0" w:line="360" w:lineRule="auto"/>
      <w:ind w:firstLine="420" w:firstLineChars="200"/>
      <w:jc w:val="both"/>
    </w:pPr>
    <w:rPr>
      <w:rFonts w:ascii="宋体" w:hAnsi="宋体" w:eastAsia="宋体" w:cs="Times New Roman"/>
      <w:kern w:val="2"/>
      <w:sz w:val="21"/>
      <w:szCs w:val="21"/>
    </w:rPr>
  </w:style>
  <w:style w:type="paragraph" w:customStyle="1" w:styleId="300">
    <w:name w:val="+A."/>
    <w:basedOn w:val="301"/>
    <w:qFormat/>
    <w:uiPriority w:val="0"/>
    <w:pPr>
      <w:tabs>
        <w:tab w:val="left" w:pos="3827"/>
      </w:tabs>
      <w:ind w:left="3402" w:firstLine="0" w:firstLineChars="0"/>
    </w:pPr>
  </w:style>
  <w:style w:type="paragraph" w:customStyle="1" w:styleId="301">
    <w:name w:val="+正文"/>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8"/>
    </w:rPr>
  </w:style>
  <w:style w:type="paragraph" w:customStyle="1" w:styleId="302">
    <w:name w:val="样式 宋体 行距: 固定值 18 磅"/>
    <w:basedOn w:val="1"/>
    <w:qFormat/>
    <w:uiPriority w:val="0"/>
    <w:pPr>
      <w:widowControl w:val="0"/>
      <w:adjustRightInd/>
      <w:snapToGrid/>
      <w:spacing w:beforeLines="30" w:after="0" w:line="360" w:lineRule="exact"/>
      <w:jc w:val="both"/>
    </w:pPr>
    <w:rPr>
      <w:rFonts w:ascii="宋体" w:hAnsi="宋体" w:eastAsia="宋体" w:cs="Times New Roman"/>
      <w:kern w:val="2"/>
      <w:sz w:val="21"/>
      <w:szCs w:val="20"/>
    </w:rPr>
  </w:style>
  <w:style w:type="paragraph" w:customStyle="1" w:styleId="303">
    <w:name w:val="中文正文1"/>
    <w:basedOn w:val="1"/>
    <w:qFormat/>
    <w:uiPriority w:val="0"/>
    <w:pPr>
      <w:widowControl w:val="0"/>
      <w:tabs>
        <w:tab w:val="left" w:pos="735"/>
      </w:tabs>
      <w:snapToGrid/>
      <w:spacing w:after="0" w:line="312" w:lineRule="atLeast"/>
      <w:ind w:left="735" w:firstLine="525"/>
      <w:jc w:val="both"/>
      <w:textAlignment w:val="baseline"/>
    </w:pPr>
    <w:rPr>
      <w:rFonts w:ascii="宋体" w:hAnsi="Arial" w:eastAsia="宋体" w:cs="Times New Roman"/>
      <w:sz w:val="24"/>
      <w:szCs w:val="20"/>
    </w:rPr>
  </w:style>
  <w:style w:type="paragraph" w:customStyle="1" w:styleId="304">
    <w:name w:val="正文1.2"/>
    <w:basedOn w:val="1"/>
    <w:qFormat/>
    <w:uiPriority w:val="0"/>
    <w:pPr>
      <w:widowControl w:val="0"/>
      <w:adjustRightInd/>
      <w:snapToGrid/>
      <w:spacing w:after="0" w:line="288" w:lineRule="auto"/>
    </w:pPr>
    <w:rPr>
      <w:rFonts w:ascii="宋体" w:hAnsi="Times New Roman" w:eastAsia="宋体" w:cs="Times New Roman"/>
      <w:sz w:val="28"/>
      <w:szCs w:val="20"/>
      <w:lang w:eastAsia="en-US"/>
    </w:rPr>
  </w:style>
  <w:style w:type="paragraph" w:customStyle="1" w:styleId="305">
    <w:name w:val="flNote"/>
    <w:basedOn w:val="1"/>
    <w:qFormat/>
    <w:uiPriority w:val="0"/>
    <w:pPr>
      <w:widowControl w:val="0"/>
      <w:snapToGrid/>
      <w:spacing w:before="320" w:after="160" w:line="360" w:lineRule="atLeast"/>
      <w:jc w:val="center"/>
      <w:textAlignment w:val="baseline"/>
    </w:pPr>
    <w:rPr>
      <w:rFonts w:ascii="Arial" w:hAnsi="Times New Roman" w:eastAsia="黑体" w:cs="Times New Roman"/>
      <w:sz w:val="30"/>
      <w:szCs w:val="20"/>
    </w:rPr>
  </w:style>
  <w:style w:type="paragraph" w:customStyle="1" w:styleId="306">
    <w:name w:val="B"/>
    <w:basedOn w:val="1"/>
    <w:qFormat/>
    <w:uiPriority w:val="0"/>
    <w:pPr>
      <w:tabs>
        <w:tab w:val="left" w:pos="1200"/>
      </w:tabs>
      <w:adjustRightInd/>
      <w:snapToGrid/>
      <w:spacing w:before="240" w:after="0" w:line="240" w:lineRule="atLeast"/>
      <w:jc w:val="both"/>
    </w:pPr>
    <w:rPr>
      <w:rFonts w:ascii="Times New Roman" w:hAnsi="Times New Roman" w:eastAsia="宋体" w:cs="Times New Roman"/>
      <w:kern w:val="2"/>
      <w:sz w:val="24"/>
      <w:szCs w:val="24"/>
    </w:rPr>
  </w:style>
  <w:style w:type="paragraph" w:customStyle="1" w:styleId="307">
    <w:name w:val="ST20_12"/>
    <w:basedOn w:val="1"/>
    <w:qFormat/>
    <w:uiPriority w:val="0"/>
    <w:pPr>
      <w:widowControl w:val="0"/>
      <w:autoSpaceDE w:val="0"/>
      <w:autoSpaceDN w:val="0"/>
      <w:snapToGrid/>
      <w:spacing w:after="120"/>
      <w:ind w:left="426" w:firstLine="425"/>
      <w:jc w:val="both"/>
    </w:pPr>
    <w:rPr>
      <w:rFonts w:ascii="宋体" w:hAnsi="Tms Rmn" w:eastAsia="宋体" w:cs="Times New Roman"/>
      <w:sz w:val="24"/>
      <w:szCs w:val="20"/>
    </w:rPr>
  </w:style>
  <w:style w:type="paragraph" w:customStyle="1" w:styleId="308">
    <w:name w:val="1"/>
    <w:basedOn w:val="1"/>
    <w:next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309">
    <w:name w:val="font6"/>
    <w:basedOn w:val="1"/>
    <w:qFormat/>
    <w:uiPriority w:val="0"/>
    <w:pPr>
      <w:adjustRightInd/>
      <w:snapToGrid/>
      <w:spacing w:before="100" w:beforeAutospacing="1" w:after="100" w:afterAutospacing="1"/>
    </w:pPr>
    <w:rPr>
      <w:rFonts w:hint="eastAsia" w:ascii="宋体" w:hAnsi="宋体" w:eastAsia="宋体" w:cs="Arial Unicode MS"/>
    </w:rPr>
  </w:style>
  <w:style w:type="paragraph" w:customStyle="1" w:styleId="310">
    <w:name w:val="样式 样式 样式 样式 标题 3 + + 段前: 1.5 行 段后: 1.5 行 + 段前: 1.5 行 段后: 1.5 行 +..."/>
    <w:basedOn w:val="311"/>
    <w:qFormat/>
    <w:uiPriority w:val="0"/>
    <w:pPr>
      <w:spacing w:afterLines="80"/>
    </w:pPr>
  </w:style>
  <w:style w:type="paragraph" w:customStyle="1" w:styleId="311">
    <w:name w:val="样式 样式 样式 标题 3 + + 段前: 1.5 行 段后: 1.5 行 + 段前: 1.5 行 段后: 1.5 行"/>
    <w:basedOn w:val="312"/>
    <w:qFormat/>
    <w:uiPriority w:val="0"/>
    <w:rPr>
      <w:bCs w:val="0"/>
      <w:szCs w:val="20"/>
    </w:rPr>
  </w:style>
  <w:style w:type="paragraph" w:customStyle="1" w:styleId="312">
    <w:name w:val="样式 样式 标题 3 + + 段前: 1.5 行 段后: 1.5 行"/>
    <w:basedOn w:val="1"/>
    <w:qFormat/>
    <w:uiPriority w:val="0"/>
    <w:pPr>
      <w:keepNext/>
      <w:keepLines/>
      <w:widowControl w:val="0"/>
      <w:adjustRightInd/>
      <w:snapToGrid/>
      <w:spacing w:beforeLines="150" w:afterLines="150" w:line="360" w:lineRule="auto"/>
      <w:jc w:val="both"/>
      <w:outlineLvl w:val="2"/>
    </w:pPr>
    <w:rPr>
      <w:rFonts w:ascii="Times New Roman" w:hAnsi="Times New Roman" w:eastAsia="黑体"/>
      <w:bCs/>
      <w:kern w:val="2"/>
      <w:sz w:val="28"/>
      <w:szCs w:val="28"/>
    </w:rPr>
  </w:style>
  <w:style w:type="paragraph" w:customStyle="1" w:styleId="313">
    <w:name w:val="标题３"/>
    <w:basedOn w:val="4"/>
    <w:qFormat/>
    <w:uiPriority w:val="0"/>
    <w:pPr>
      <w:keepNext w:val="0"/>
      <w:keepLines w:val="0"/>
      <w:tabs>
        <w:tab w:val="left" w:pos="1054"/>
      </w:tabs>
      <w:autoSpaceDE w:val="0"/>
      <w:autoSpaceDN w:val="0"/>
      <w:adjustRightInd w:val="0"/>
      <w:snapToGrid w:val="0"/>
      <w:spacing w:beforeLines="10" w:afterLines="10" w:line="240" w:lineRule="auto"/>
      <w:outlineLvl w:val="9"/>
    </w:pPr>
    <w:rPr>
      <w:rFonts w:ascii="宋体" w:hAnsi="宋体"/>
      <w:b w:val="0"/>
      <w:bCs w:val="0"/>
      <w:szCs w:val="24"/>
    </w:rPr>
  </w:style>
  <w:style w:type="paragraph" w:customStyle="1" w:styleId="314">
    <w:name w:val="样式 首行缩进:  2 字符"/>
    <w:basedOn w:val="1"/>
    <w:qFormat/>
    <w:uiPriority w:val="0"/>
    <w:pPr>
      <w:widowControl w:val="0"/>
      <w:adjustRightInd/>
      <w:snapToGrid/>
      <w:spacing w:after="0" w:line="500" w:lineRule="exact"/>
      <w:ind w:firstLine="480" w:firstLineChars="200"/>
      <w:jc w:val="both"/>
    </w:pPr>
    <w:rPr>
      <w:rFonts w:ascii="宋体" w:hAnsi="宋体" w:eastAsia="宋体"/>
      <w:color w:val="000000"/>
      <w:kern w:val="2"/>
      <w:sz w:val="24"/>
      <w:szCs w:val="24"/>
    </w:rPr>
  </w:style>
  <w:style w:type="paragraph" w:customStyle="1" w:styleId="315">
    <w:name w:val="xl25"/>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eastAsia="Arial Unicode MS" w:cs="Times New Roman"/>
    </w:rPr>
  </w:style>
  <w:style w:type="paragraph" w:customStyle="1" w:styleId="316">
    <w:name w:val="1.1.1"/>
    <w:basedOn w:val="1"/>
    <w:qFormat/>
    <w:uiPriority w:val="0"/>
    <w:pPr>
      <w:widowControl w:val="0"/>
      <w:tabs>
        <w:tab w:val="left" w:pos="0"/>
        <w:tab w:val="left" w:pos="900"/>
        <w:tab w:val="left" w:pos="1134"/>
        <w:tab w:val="left" w:pos="8505"/>
      </w:tabs>
      <w:spacing w:beforeLines="50" w:afterLines="50" w:line="360" w:lineRule="atLeast"/>
      <w:ind w:left="869" w:leftChars="50" w:right="200" w:rightChars="200"/>
      <w:jc w:val="both"/>
      <w:textAlignment w:val="baseline"/>
    </w:pPr>
    <w:rPr>
      <w:rFonts w:ascii="Times New Roman" w:hAnsi="Arial" w:eastAsia="宋体" w:cs="Times New Roman"/>
      <w:b/>
      <w:sz w:val="28"/>
      <w:szCs w:val="20"/>
    </w:rPr>
  </w:style>
  <w:style w:type="paragraph" w:customStyle="1" w:styleId="317">
    <w:name w:val="表格"/>
    <w:basedOn w:val="1"/>
    <w:qFormat/>
    <w:uiPriority w:val="0"/>
    <w:pPr>
      <w:widowControl w:val="0"/>
      <w:snapToGrid/>
      <w:spacing w:after="0" w:line="264" w:lineRule="auto"/>
      <w:jc w:val="center"/>
      <w:textAlignment w:val="baseline"/>
    </w:pPr>
    <w:rPr>
      <w:rFonts w:ascii="宋体" w:hAnsi="宋体" w:eastAsia="宋体" w:cs="Times New Roman"/>
      <w:sz w:val="24"/>
      <w:szCs w:val="20"/>
    </w:rPr>
  </w:style>
  <w:style w:type="paragraph" w:customStyle="1" w:styleId="318">
    <w:name w:val="+注："/>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1"/>
      <w:szCs w:val="21"/>
    </w:rPr>
  </w:style>
  <w:style w:type="paragraph" w:customStyle="1" w:styleId="319">
    <w:name w:val="Char2 Char Char Char Char Char Char Char"/>
    <w:basedOn w:val="1"/>
    <w:qFormat/>
    <w:uiPriority w:val="0"/>
    <w:pPr>
      <w:widowControl w:val="0"/>
      <w:tabs>
        <w:tab w:val="left" w:pos="360"/>
      </w:tabs>
      <w:adjustRightInd/>
      <w:snapToGrid/>
      <w:spacing w:after="0" w:line="360" w:lineRule="auto"/>
      <w:ind w:left="482" w:firstLine="200" w:firstLineChars="200"/>
      <w:jc w:val="both"/>
    </w:pPr>
    <w:rPr>
      <w:rFonts w:ascii="宋体" w:hAnsi="Times New Roman" w:eastAsia="宋体" w:cs="Times New Roman"/>
      <w:kern w:val="2"/>
      <w:sz w:val="24"/>
      <w:szCs w:val="24"/>
    </w:rPr>
  </w:style>
  <w:style w:type="paragraph" w:customStyle="1" w:styleId="320">
    <w:name w:val="1.1"/>
    <w:basedOn w:val="1"/>
    <w:qFormat/>
    <w:uiPriority w:val="0"/>
    <w:pPr>
      <w:keepNext/>
      <w:widowControl w:val="0"/>
      <w:overflowPunct w:val="0"/>
      <w:autoSpaceDE w:val="0"/>
      <w:autoSpaceDN w:val="0"/>
      <w:snapToGrid/>
      <w:spacing w:before="240" w:after="0"/>
      <w:textAlignment w:val="baseline"/>
    </w:pPr>
    <w:rPr>
      <w:rFonts w:ascii="宋体" w:hAnsi="Times New Roman" w:eastAsia="宋体" w:cs="Times New Roman"/>
      <w:b/>
      <w:sz w:val="24"/>
      <w:szCs w:val="20"/>
    </w:rPr>
  </w:style>
  <w:style w:type="paragraph" w:customStyle="1" w:styleId="321">
    <w:name w:val="注1"/>
    <w:basedOn w:val="1"/>
    <w:qFormat/>
    <w:uiPriority w:val="0"/>
    <w:pPr>
      <w:widowControl w:val="0"/>
      <w:adjustRightInd/>
      <w:snapToGrid/>
      <w:spacing w:after="0" w:line="360" w:lineRule="auto"/>
      <w:jc w:val="both"/>
    </w:pPr>
    <w:rPr>
      <w:rFonts w:ascii="宋体" w:hAnsi="Times New Roman" w:eastAsia="宋体" w:cs="Times New Roman"/>
      <w:bCs/>
      <w:kern w:val="2"/>
      <w:sz w:val="21"/>
      <w:szCs w:val="21"/>
    </w:rPr>
  </w:style>
  <w:style w:type="paragraph" w:customStyle="1" w:styleId="322">
    <w:name w:val="正文21"/>
    <w:basedOn w:val="1"/>
    <w:next w:val="323"/>
    <w:qFormat/>
    <w:uiPriority w:val="0"/>
    <w:pPr>
      <w:adjustRightInd/>
      <w:snapToGrid/>
      <w:spacing w:after="0" w:line="500" w:lineRule="exact"/>
      <w:ind w:firstLine="480" w:firstLineChars="200"/>
      <w:jc w:val="both"/>
    </w:pPr>
    <w:rPr>
      <w:rFonts w:ascii="Times New Roman" w:hAnsi="Times New Roman" w:eastAsia="宋体" w:cs="Times New Roman"/>
      <w:sz w:val="24"/>
      <w:szCs w:val="24"/>
      <w:lang w:eastAsia="en-US"/>
    </w:rPr>
  </w:style>
  <w:style w:type="paragraph" w:customStyle="1" w:styleId="323">
    <w:name w:val="正文2"/>
    <w:basedOn w:val="1"/>
    <w:qFormat/>
    <w:uiPriority w:val="0"/>
    <w:pPr>
      <w:adjustRightInd/>
      <w:snapToGrid/>
      <w:spacing w:after="0" w:line="500" w:lineRule="exact"/>
      <w:ind w:firstLine="482" w:firstLineChars="200"/>
    </w:pPr>
    <w:rPr>
      <w:rFonts w:ascii="Times New Roman" w:hAnsi="Times New Roman" w:eastAsia="宋体" w:cs="Times New Roman"/>
      <w:b/>
      <w:sz w:val="24"/>
      <w:szCs w:val="24"/>
    </w:rPr>
  </w:style>
  <w:style w:type="paragraph" w:customStyle="1" w:styleId="324">
    <w:name w:val="项目符号_“-”"/>
    <w:basedOn w:val="1"/>
    <w:qFormat/>
    <w:uiPriority w:val="0"/>
    <w:pPr>
      <w:widowControl w:val="0"/>
      <w:tabs>
        <w:tab w:val="left" w:pos="420"/>
      </w:tabs>
      <w:adjustRightInd/>
      <w:snapToGrid/>
      <w:spacing w:before="78" w:after="0"/>
      <w:ind w:left="820" w:leftChars="400" w:hanging="420"/>
      <w:jc w:val="both"/>
    </w:pPr>
    <w:rPr>
      <w:rFonts w:ascii="Times New Roman" w:hAnsi="Times New Roman" w:eastAsia="宋体" w:cs="Times New Roman"/>
      <w:kern w:val="2"/>
      <w:sz w:val="21"/>
      <w:szCs w:val="20"/>
    </w:rPr>
  </w:style>
  <w:style w:type="paragraph" w:customStyle="1" w:styleId="325">
    <w:name w:val="Char Char Char Char Char Char"/>
    <w:basedOn w:val="1"/>
    <w:qFormat/>
    <w:uiPriority w:val="0"/>
    <w:pPr>
      <w:widowControl w:val="0"/>
      <w:adjustRightInd/>
      <w:snapToGrid/>
      <w:spacing w:after="0"/>
      <w:jc w:val="both"/>
    </w:pPr>
    <w:rPr>
      <w:rFonts w:eastAsia="宋体" w:cs="Times New Roman"/>
      <w:kern w:val="2"/>
      <w:sz w:val="24"/>
      <w:szCs w:val="20"/>
    </w:rPr>
  </w:style>
  <w:style w:type="paragraph" w:customStyle="1" w:styleId="326">
    <w:name w:val="列表项目编号"/>
    <w:basedOn w:val="1"/>
    <w:qFormat/>
    <w:uiPriority w:val="0"/>
    <w:pPr>
      <w:widowControl w:val="0"/>
      <w:snapToGrid/>
      <w:spacing w:after="0" w:line="360" w:lineRule="auto"/>
      <w:jc w:val="both"/>
    </w:pPr>
    <w:rPr>
      <w:rFonts w:ascii="Times New Roman" w:hAnsi="Times New Roman" w:eastAsia="宋体" w:cs="Times New Roman"/>
      <w:sz w:val="28"/>
      <w:szCs w:val="20"/>
    </w:rPr>
  </w:style>
  <w:style w:type="paragraph" w:customStyle="1" w:styleId="327">
    <w:name w:val="xl27"/>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28">
    <w:name w:val="样式 样式 样式 样式 标题 3 + + 段前: 1.5 行 段后: 1.5 行 + 段前: 1.5 行 段后: 1.5 行 +...1"/>
    <w:basedOn w:val="311"/>
    <w:qFormat/>
    <w:uiPriority w:val="0"/>
    <w:pPr>
      <w:spacing w:afterLines="80"/>
    </w:pPr>
  </w:style>
  <w:style w:type="paragraph" w:customStyle="1" w:styleId="329">
    <w:name w:val="样式 样式 样式3 + 首行缩进:  2 字符 + 首行缩进:  2 字符"/>
    <w:basedOn w:val="297"/>
    <w:qFormat/>
    <w:uiPriority w:val="0"/>
    <w:pPr>
      <w:spacing w:before="360" w:after="240"/>
      <w:ind w:firstLine="0" w:firstLineChars="0"/>
      <w:outlineLvl w:val="2"/>
    </w:pPr>
    <w:rPr>
      <w:szCs w:val="20"/>
    </w:rPr>
  </w:style>
  <w:style w:type="paragraph" w:customStyle="1" w:styleId="330">
    <w:name w:val="表格文字居中"/>
    <w:basedOn w:val="1"/>
    <w:next w:val="1"/>
    <w:qFormat/>
    <w:uiPriority w:val="0"/>
    <w:pPr>
      <w:widowControl w:val="0"/>
      <w:tabs>
        <w:tab w:val="left" w:pos="720"/>
        <w:tab w:val="left" w:pos="900"/>
      </w:tabs>
      <w:spacing w:beforeLines="20" w:afterLines="20" w:line="360" w:lineRule="auto"/>
      <w:jc w:val="center"/>
    </w:pPr>
    <w:rPr>
      <w:rFonts w:ascii="宋体" w:hAnsi="Arial" w:eastAsia="宋体" w:cs="Times New Roman"/>
      <w:sz w:val="18"/>
      <w:szCs w:val="20"/>
    </w:rPr>
  </w:style>
  <w:style w:type="paragraph" w:customStyle="1" w:styleId="331">
    <w:name w:val="11"/>
    <w:basedOn w:val="1"/>
    <w:next w:val="31"/>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332">
    <w:name w:val="用户标题3"/>
    <w:basedOn w:val="4"/>
    <w:qFormat/>
    <w:uiPriority w:val="0"/>
    <w:pPr>
      <w:tabs>
        <w:tab w:val="left" w:pos="284"/>
        <w:tab w:val="left" w:pos="567"/>
      </w:tabs>
      <w:adjustRightInd w:val="0"/>
      <w:spacing w:before="360" w:after="120" w:line="400" w:lineRule="atLeast"/>
      <w:ind w:left="300" w:firstLine="142"/>
      <w:jc w:val="left"/>
      <w:textAlignment w:val="baseline"/>
      <w:outlineLvl w:val="9"/>
    </w:pPr>
    <w:rPr>
      <w:kern w:val="0"/>
      <w:sz w:val="30"/>
      <w:szCs w:val="20"/>
    </w:rPr>
  </w:style>
  <w:style w:type="paragraph" w:customStyle="1" w:styleId="333">
    <w:name w:val="标书正文"/>
    <w:basedOn w:val="14"/>
    <w:qFormat/>
    <w:uiPriority w:val="0"/>
    <w:pPr>
      <w:snapToGrid w:val="0"/>
      <w:spacing w:before="50" w:after="0" w:line="460" w:lineRule="exact"/>
      <w:ind w:firstLine="360" w:firstLineChars="150"/>
    </w:pPr>
    <w:rPr>
      <w:rFonts w:ascii="Calibri" w:hAnsi="Calibri"/>
      <w:kern w:val="0"/>
      <w:sz w:val="24"/>
      <w:szCs w:val="20"/>
      <w:lang w:eastAsia="en-US"/>
    </w:rPr>
  </w:style>
  <w:style w:type="paragraph" w:customStyle="1" w:styleId="334">
    <w:name w:val="样式 样式 样式 标题 3 + + 段前: 1.5 行 段后: 1.5 行 + 段前: 1.5 行 段后: 1.5 行1"/>
    <w:basedOn w:val="312"/>
    <w:qFormat/>
    <w:uiPriority w:val="0"/>
    <w:rPr>
      <w:bCs w:val="0"/>
    </w:rPr>
  </w:style>
  <w:style w:type="paragraph" w:customStyle="1" w:styleId="335">
    <w:name w:val="样式 (西文) 仿宋_GB2312 (中文) 仿宋_GB2312 小四 黑色 行距: 固定值 18 磅"/>
    <w:basedOn w:val="1"/>
    <w:qFormat/>
    <w:uiPriority w:val="0"/>
    <w:pPr>
      <w:widowControl w:val="0"/>
      <w:adjustRightInd/>
      <w:snapToGrid/>
      <w:spacing w:beforeLines="30" w:after="0" w:line="360" w:lineRule="exact"/>
      <w:jc w:val="both"/>
    </w:pPr>
    <w:rPr>
      <w:rFonts w:ascii="宋体" w:hAnsi="Times New Roman" w:eastAsia="宋体" w:cs="Times New Roman"/>
      <w:color w:val="000000"/>
      <w:kern w:val="2"/>
      <w:sz w:val="24"/>
      <w:szCs w:val="21"/>
    </w:rPr>
  </w:style>
  <w:style w:type="paragraph" w:customStyle="1" w:styleId="336">
    <w:name w:val="肖正"/>
    <w:basedOn w:val="1"/>
    <w:qFormat/>
    <w:uiPriority w:val="0"/>
    <w:pPr>
      <w:widowControl w:val="0"/>
      <w:adjustRightInd/>
      <w:snapToGrid/>
      <w:spacing w:after="0"/>
      <w:ind w:firstLine="567"/>
      <w:jc w:val="both"/>
    </w:pPr>
    <w:rPr>
      <w:rFonts w:ascii="Times New Roman" w:hAnsi="Times New Roman" w:eastAsia="宋体" w:cs="Times New Roman"/>
      <w:kern w:val="2"/>
      <w:sz w:val="24"/>
      <w:szCs w:val="18"/>
    </w:rPr>
  </w:style>
  <w:style w:type="paragraph" w:customStyle="1" w:styleId="337">
    <w:name w:val="样式 样式 样式 样式 首行缩进:  0.74 厘米 行距: 固定值 29 磅 + 首行缩进:  2 字符 + (西文) Ari..."/>
    <w:basedOn w:val="1"/>
    <w:qFormat/>
    <w:uiPriority w:val="0"/>
    <w:pPr>
      <w:widowControl w:val="0"/>
      <w:tabs>
        <w:tab w:val="left" w:pos="1320"/>
      </w:tabs>
      <w:adjustRightInd/>
      <w:snapToGrid/>
      <w:spacing w:after="0" w:line="360" w:lineRule="auto"/>
      <w:ind w:firstLine="200" w:firstLineChars="200"/>
      <w:jc w:val="both"/>
    </w:pPr>
    <w:rPr>
      <w:rFonts w:ascii="Times New Roman" w:hAnsi="Times New Roman" w:eastAsia="宋体" w:cs="Times New Roman"/>
      <w:spacing w:val="2"/>
      <w:kern w:val="2"/>
      <w:sz w:val="24"/>
      <w:szCs w:val="24"/>
    </w:rPr>
  </w:style>
  <w:style w:type="paragraph" w:customStyle="1" w:styleId="338">
    <w:name w:val="6'"/>
    <w:basedOn w:val="1"/>
    <w:qFormat/>
    <w:uiPriority w:val="0"/>
    <w:pPr>
      <w:widowControl w:val="0"/>
      <w:autoSpaceDE w:val="0"/>
      <w:autoSpaceDN w:val="0"/>
      <w:spacing w:after="0" w:line="320" w:lineRule="exact"/>
      <w:jc w:val="center"/>
      <w:textAlignment w:val="baseline"/>
    </w:pPr>
    <w:rPr>
      <w:rFonts w:ascii="Times New Roman" w:hAnsi="Times New Roman" w:eastAsia="宋体" w:cs="Times New Roman"/>
      <w:spacing w:val="20"/>
      <w:kern w:val="28"/>
      <w:sz w:val="21"/>
      <w:szCs w:val="20"/>
    </w:rPr>
  </w:style>
  <w:style w:type="paragraph" w:customStyle="1" w:styleId="339">
    <w:name w:val="Default"/>
    <w:qFormat/>
    <w:uiPriority w:val="0"/>
    <w:pPr>
      <w:widowControl w:val="0"/>
      <w:autoSpaceDE w:val="0"/>
      <w:autoSpaceDN w:val="0"/>
      <w:adjustRightInd w:val="0"/>
    </w:pPr>
    <w:rPr>
      <w:rFonts w:ascii="Sim Sun+ 2" w:hAnsi="Times New Roman" w:eastAsia="Sim Sun+ 2" w:cs="Times New Roman"/>
      <w:color w:val="000000"/>
      <w:sz w:val="24"/>
      <w:szCs w:val="24"/>
      <w:lang w:val="en-US" w:eastAsia="zh-CN" w:bidi="ar-SA"/>
    </w:rPr>
  </w:style>
  <w:style w:type="paragraph" w:customStyle="1" w:styleId="340">
    <w:name w:val="font5"/>
    <w:basedOn w:val="1"/>
    <w:qFormat/>
    <w:uiPriority w:val="0"/>
    <w:pPr>
      <w:adjustRightInd/>
      <w:snapToGrid/>
      <w:spacing w:before="100" w:beforeAutospacing="1" w:after="100" w:afterAutospacing="1"/>
    </w:pPr>
    <w:rPr>
      <w:rFonts w:hint="eastAsia" w:ascii="宋体" w:hAnsi="宋体" w:eastAsia="宋体" w:cs="Arial Unicode MS"/>
      <w:sz w:val="18"/>
      <w:szCs w:val="18"/>
    </w:rPr>
  </w:style>
  <w:style w:type="paragraph" w:customStyle="1" w:styleId="341">
    <w:name w:val="font7"/>
    <w:basedOn w:val="1"/>
    <w:qFormat/>
    <w:uiPriority w:val="0"/>
    <w:pPr>
      <w:adjustRightInd/>
      <w:snapToGrid/>
      <w:spacing w:before="100" w:beforeAutospacing="1" w:after="100" w:afterAutospacing="1"/>
    </w:pPr>
    <w:rPr>
      <w:rFonts w:ascii="Times New Roman" w:hAnsi="Times New Roman" w:eastAsia="Arial Unicode MS" w:cs="Times New Roman"/>
    </w:rPr>
  </w:style>
  <w:style w:type="paragraph" w:customStyle="1" w:styleId="342">
    <w:name w:val="+正文 Char Char Char Char"/>
    <w:basedOn w:val="1"/>
    <w:qFormat/>
    <w:uiPriority w:val="0"/>
    <w:pPr>
      <w:widowControl w:val="0"/>
      <w:adjustRightInd/>
      <w:snapToGrid/>
      <w:spacing w:after="0" w:line="360" w:lineRule="auto"/>
      <w:ind w:firstLine="200" w:firstLineChars="200"/>
      <w:jc w:val="both"/>
    </w:pPr>
    <w:rPr>
      <w:rFonts w:ascii="楷体_GB2312" w:hAnsi="Times New Roman" w:eastAsia="宋体" w:cs="Times New Roman"/>
      <w:kern w:val="2"/>
      <w:sz w:val="24"/>
      <w:szCs w:val="24"/>
    </w:rPr>
  </w:style>
  <w:style w:type="paragraph" w:customStyle="1" w:styleId="343">
    <w:name w:val="Char2 Char Char"/>
    <w:basedOn w:val="1"/>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344">
    <w:name w:val="样式 样式 样式 样式 样式 标题 3 + + 段前: 1.5 行 段后: 1.5 行 + 段前: 1.5 行 段后: 1.5 ..."/>
    <w:basedOn w:val="310"/>
    <w:qFormat/>
    <w:uiPriority w:val="0"/>
  </w:style>
  <w:style w:type="paragraph" w:customStyle="1" w:styleId="345">
    <w:name w:val="Char Char Char Char Char Char1 Char"/>
    <w:basedOn w:val="1"/>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346">
    <w:name w:val="样式 样式 样式 样式 首行缩进:  2 字符 + 首行缩进:  2 字符 + 首行缩进:  2 字符 + 首行缩进:  2 字..."/>
    <w:basedOn w:val="1"/>
    <w:qFormat/>
    <w:uiPriority w:val="0"/>
    <w:pPr>
      <w:widowControl w:val="0"/>
      <w:adjustRightInd/>
      <w:snapToGrid/>
      <w:spacing w:beforeLines="25" w:afterLines="25" w:line="360" w:lineRule="auto"/>
      <w:ind w:firstLine="200" w:firstLineChars="200"/>
      <w:jc w:val="both"/>
    </w:pPr>
    <w:rPr>
      <w:rFonts w:ascii="Times New Roman" w:hAnsi="Times New Roman" w:eastAsia="宋体"/>
      <w:spacing w:val="6"/>
      <w:kern w:val="2"/>
      <w:sz w:val="28"/>
      <w:szCs w:val="20"/>
    </w:rPr>
  </w:style>
  <w:style w:type="paragraph" w:customStyle="1" w:styleId="347">
    <w:name w:val="Char Char Char Char Char Char Char Char Char Char"/>
    <w:basedOn w:val="1"/>
    <w:qFormat/>
    <w:uiPriority w:val="0"/>
    <w:pPr>
      <w:widowControl w:val="0"/>
      <w:adjustRightInd/>
      <w:snapToGrid/>
      <w:spacing w:after="0"/>
      <w:jc w:val="both"/>
    </w:pPr>
    <w:rPr>
      <w:rFonts w:eastAsia="宋体" w:cs="Times New Roman"/>
      <w:kern w:val="2"/>
      <w:sz w:val="24"/>
      <w:szCs w:val="20"/>
    </w:rPr>
  </w:style>
  <w:style w:type="paragraph" w:customStyle="1" w:styleId="348">
    <w:name w:val="+▲"/>
    <w:basedOn w:val="301"/>
    <w:qFormat/>
    <w:uiPriority w:val="0"/>
    <w:pPr>
      <w:tabs>
        <w:tab w:val="left" w:pos="900"/>
      </w:tabs>
      <w:ind w:left="1080" w:firstLine="0" w:firstLineChars="0"/>
    </w:pPr>
  </w:style>
  <w:style w:type="paragraph" w:customStyle="1" w:styleId="349">
    <w:name w:val="_Style 100"/>
    <w:basedOn w:val="1"/>
    <w:next w:val="55"/>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350">
    <w:name w:val="+正文 Char Char3 Char Char Char Char"/>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351">
    <w:name w:val="样式 样式 样式 标题 3 + 首行缩进:  2 字符 + 首行缩进:  2 字符 + 首行缩进:  2 字符 Char Char"/>
    <w:basedOn w:val="1"/>
    <w:qFormat/>
    <w:uiPriority w:val="0"/>
    <w:pPr>
      <w:keepNext/>
      <w:keepLines/>
      <w:widowControl w:val="0"/>
      <w:tabs>
        <w:tab w:val="left" w:pos="600"/>
      </w:tabs>
      <w:spacing w:before="160" w:after="120" w:line="520" w:lineRule="exact"/>
      <w:ind w:left="300"/>
      <w:jc w:val="both"/>
      <w:textAlignment w:val="baseline"/>
      <w:outlineLvl w:val="2"/>
    </w:pPr>
    <w:rPr>
      <w:rFonts w:ascii="Times New Roman" w:hAnsi="Times New Roman" w:eastAsia="黑体"/>
      <w:sz w:val="24"/>
      <w:szCs w:val="24"/>
    </w:rPr>
  </w:style>
  <w:style w:type="paragraph" w:customStyle="1" w:styleId="352">
    <w:name w:val="标题1.1"/>
    <w:basedOn w:val="7"/>
    <w:qFormat/>
    <w:uiPriority w:val="0"/>
    <w:pPr>
      <w:tabs>
        <w:tab w:val="left" w:pos="1701"/>
      </w:tabs>
      <w:spacing w:line="320" w:lineRule="auto"/>
      <w:ind w:left="360" w:hanging="360"/>
    </w:pPr>
    <w:rPr>
      <w:rFonts w:ascii="Arial" w:hAnsi="Arial" w:eastAsia="黑体"/>
      <w:bCs w:val="0"/>
      <w:szCs w:val="20"/>
    </w:rPr>
  </w:style>
  <w:style w:type="paragraph" w:customStyle="1" w:styleId="353">
    <w:name w:val="样式 标题 1 + 两端对齐 左侧:  0 厘米"/>
    <w:basedOn w:val="2"/>
    <w:qFormat/>
    <w:uiPriority w:val="0"/>
    <w:pPr>
      <w:tabs>
        <w:tab w:val="left" w:pos="660"/>
        <w:tab w:val="left" w:pos="3575"/>
      </w:tabs>
      <w:adjustRightInd w:val="0"/>
      <w:spacing w:before="240" w:after="240" w:line="240" w:lineRule="auto"/>
      <w:jc w:val="center"/>
      <w:textAlignment w:val="baseline"/>
    </w:pPr>
    <w:rPr>
      <w:rFonts w:ascii="宋体" w:hAnsi="宋体" w:eastAsia="黑体" w:cs="宋体"/>
      <w:b w:val="0"/>
      <w:bCs w:val="0"/>
      <w:sz w:val="30"/>
      <w:szCs w:val="30"/>
    </w:rPr>
  </w:style>
  <w:style w:type="paragraph" w:customStyle="1" w:styleId="354">
    <w:name w:val="正文首缩"/>
    <w:basedOn w:val="1"/>
    <w:next w:val="5"/>
    <w:qFormat/>
    <w:uiPriority w:val="0"/>
    <w:pPr>
      <w:widowControl w:val="0"/>
      <w:snapToGrid/>
      <w:spacing w:after="0" w:line="324" w:lineRule="auto"/>
      <w:ind w:firstLine="425"/>
      <w:jc w:val="both"/>
      <w:textAlignment w:val="baseline"/>
    </w:pPr>
    <w:rPr>
      <w:rFonts w:ascii="Times New Roman" w:hAnsi="Times New Roman" w:eastAsia="宋体" w:cs="Times New Roman"/>
      <w:sz w:val="28"/>
      <w:szCs w:val="20"/>
    </w:rPr>
  </w:style>
  <w:style w:type="paragraph" w:customStyle="1" w:styleId="355">
    <w:name w:val="TOC 标题3"/>
    <w:basedOn w:val="2"/>
    <w:next w:val="1"/>
    <w:qFormat/>
    <w:uiPriority w:val="39"/>
    <w:pPr>
      <w:spacing w:before="340" w:after="330" w:line="576" w:lineRule="auto"/>
      <w:outlineLvl w:val="9"/>
    </w:pPr>
    <w:rPr>
      <w:rFonts w:ascii="Calibri" w:hAnsi="Calibri"/>
      <w:sz w:val="44"/>
    </w:rPr>
  </w:style>
  <w:style w:type="paragraph" w:customStyle="1" w:styleId="356">
    <w:name w:val="目录标题"/>
    <w:basedOn w:val="1"/>
    <w:next w:val="1"/>
    <w:qFormat/>
    <w:uiPriority w:val="0"/>
    <w:pPr>
      <w:adjustRightInd/>
      <w:snapToGrid/>
      <w:spacing w:before="215" w:after="419" w:line="436" w:lineRule="atLeast"/>
      <w:ind w:firstLine="419"/>
      <w:jc w:val="center"/>
      <w:textAlignment w:val="baseline"/>
    </w:pPr>
    <w:rPr>
      <w:rFonts w:ascii="Arial" w:hAnsi="Times New Roman" w:eastAsia="黑体" w:cs="Times New Roman"/>
      <w:color w:val="000000"/>
      <w:spacing w:val="283"/>
      <w:sz w:val="42"/>
      <w:szCs w:val="20"/>
      <w:u w:color="000000"/>
    </w:rPr>
  </w:style>
  <w:style w:type="paragraph" w:customStyle="1" w:styleId="357">
    <w:name w:val="用户标题4"/>
    <w:basedOn w:val="5"/>
    <w:qFormat/>
    <w:uiPriority w:val="0"/>
    <w:pPr>
      <w:adjustRightInd w:val="0"/>
      <w:spacing w:before="240" w:after="120" w:line="376" w:lineRule="atLeast"/>
      <w:ind w:left="450" w:leftChars="150" w:firstLine="284"/>
      <w:jc w:val="left"/>
      <w:textAlignment w:val="baseline"/>
      <w:outlineLvl w:val="9"/>
    </w:pPr>
    <w:rPr>
      <w:rFonts w:ascii="Times New Roman" w:hAnsi="Times New Roman"/>
      <w:bCs w:val="0"/>
      <w:kern w:val="0"/>
      <w:sz w:val="28"/>
      <w:szCs w:val="20"/>
    </w:rPr>
  </w:style>
  <w:style w:type="paragraph" w:customStyle="1" w:styleId="358">
    <w:name w:val="+标题3"/>
    <w:basedOn w:val="4"/>
    <w:qFormat/>
    <w:uiPriority w:val="0"/>
    <w:pPr>
      <w:tabs>
        <w:tab w:val="left" w:pos="1260"/>
      </w:tabs>
      <w:spacing w:before="120" w:after="120"/>
      <w:ind w:left="1260" w:hanging="420"/>
    </w:pPr>
    <w:rPr>
      <w:szCs w:val="28"/>
    </w:rPr>
  </w:style>
  <w:style w:type="paragraph" w:customStyle="1" w:styleId="359">
    <w:name w:val="Char Char1 Char Char Char Char Char Char Char Char Char Char Char Char Char Char Char"/>
    <w:basedOn w:val="1"/>
    <w:qFormat/>
    <w:uiPriority w:val="0"/>
    <w:pPr>
      <w:adjustRightInd/>
      <w:snapToGrid/>
      <w:spacing w:after="160" w:line="240" w:lineRule="exact"/>
    </w:pPr>
    <w:rPr>
      <w:rFonts w:ascii="Verdana" w:hAnsi="Verdana" w:eastAsia="宋体" w:cs="Times New Roman"/>
      <w:sz w:val="20"/>
      <w:szCs w:val="20"/>
      <w:lang w:eastAsia="en-US"/>
    </w:rPr>
  </w:style>
  <w:style w:type="paragraph" w:customStyle="1" w:styleId="360">
    <w:name w:val="文章总标题"/>
    <w:basedOn w:val="1"/>
    <w:next w:val="278"/>
    <w:qFormat/>
    <w:uiPriority w:val="0"/>
    <w:pPr>
      <w:adjustRightInd/>
      <w:snapToGrid/>
      <w:spacing w:before="566" w:after="544" w:line="566" w:lineRule="atLeast"/>
      <w:jc w:val="center"/>
      <w:textAlignment w:val="baseline"/>
    </w:pPr>
    <w:rPr>
      <w:rFonts w:ascii="Arial" w:hAnsi="Times New Roman" w:eastAsia="黑体" w:cs="Times New Roman"/>
      <w:color w:val="000000"/>
      <w:sz w:val="54"/>
      <w:szCs w:val="20"/>
      <w:u w:color="000000"/>
    </w:rPr>
  </w:style>
  <w:style w:type="paragraph" w:customStyle="1" w:styleId="361">
    <w:name w:val="Style1"/>
    <w:basedOn w:val="1"/>
    <w:qFormat/>
    <w:uiPriority w:val="0"/>
    <w:pPr>
      <w:overflowPunct w:val="0"/>
      <w:autoSpaceDE w:val="0"/>
      <w:autoSpaceDN w:val="0"/>
      <w:snapToGrid/>
      <w:spacing w:before="240" w:after="0"/>
      <w:ind w:left="851"/>
      <w:jc w:val="both"/>
      <w:textAlignment w:val="baseline"/>
    </w:pPr>
    <w:rPr>
      <w:rFonts w:ascii="Times New Roman" w:hAnsi="Times New Roman" w:eastAsia="宋体" w:cs="Times New Roman"/>
      <w:b/>
      <w:bCs/>
      <w:sz w:val="24"/>
      <w:szCs w:val="20"/>
    </w:rPr>
  </w:style>
  <w:style w:type="paragraph" w:customStyle="1" w:styleId="362">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Cs w:val="20"/>
    </w:rPr>
  </w:style>
  <w:style w:type="paragraph" w:customStyle="1" w:styleId="363">
    <w:name w:val="ST20_2"/>
    <w:basedOn w:val="1"/>
    <w:qFormat/>
    <w:uiPriority w:val="0"/>
    <w:pPr>
      <w:widowControl w:val="0"/>
      <w:autoSpaceDE w:val="0"/>
      <w:autoSpaceDN w:val="0"/>
      <w:snapToGrid/>
      <w:spacing w:after="0"/>
      <w:ind w:left="840" w:hanging="420"/>
    </w:pPr>
    <w:rPr>
      <w:rFonts w:ascii="宋体" w:hAnsi="Tms Rmn" w:eastAsia="宋体" w:cs="Times New Roman"/>
      <w:sz w:val="24"/>
      <w:szCs w:val="20"/>
    </w:rPr>
  </w:style>
  <w:style w:type="paragraph" w:customStyle="1" w:styleId="364">
    <w:name w:val="样式 样式 行距: 1.5 倍行距 + 首行缩进:  2 字符"/>
    <w:basedOn w:val="1"/>
    <w:qFormat/>
    <w:uiPriority w:val="0"/>
    <w:pPr>
      <w:widowControl w:val="0"/>
      <w:adjustRightInd/>
      <w:snapToGrid/>
      <w:spacing w:after="0" w:line="500" w:lineRule="exact"/>
      <w:ind w:firstLine="480" w:firstLineChars="200"/>
      <w:jc w:val="both"/>
    </w:pPr>
    <w:rPr>
      <w:rFonts w:ascii="Times New Roman" w:hAnsi="Times New Roman" w:eastAsia="宋体"/>
      <w:kern w:val="2"/>
      <w:sz w:val="24"/>
      <w:szCs w:val="20"/>
    </w:rPr>
  </w:style>
  <w:style w:type="paragraph" w:customStyle="1" w:styleId="365">
    <w:name w:val="用户段落(标书)"/>
    <w:basedOn w:val="1"/>
    <w:qFormat/>
    <w:uiPriority w:val="0"/>
    <w:pPr>
      <w:widowControl w:val="0"/>
      <w:snapToGrid/>
      <w:spacing w:after="0" w:line="420" w:lineRule="exact"/>
      <w:ind w:firstLine="482"/>
      <w:textAlignment w:val="baseline"/>
    </w:pPr>
    <w:rPr>
      <w:rFonts w:ascii="Times New Roman" w:hAnsi="Times New Roman" w:eastAsia="宋体" w:cs="Times New Roman"/>
      <w:sz w:val="24"/>
      <w:szCs w:val="20"/>
    </w:rPr>
  </w:style>
  <w:style w:type="paragraph" w:customStyle="1" w:styleId="366">
    <w:name w:val="目录3"/>
    <w:basedOn w:val="1"/>
    <w:next w:val="1"/>
    <w:qFormat/>
    <w:uiPriority w:val="0"/>
    <w:pPr>
      <w:tabs>
        <w:tab w:val="left" w:leader="dot" w:pos="8503"/>
      </w:tabs>
      <w:adjustRightInd/>
      <w:snapToGrid/>
      <w:spacing w:after="0" w:line="317" w:lineRule="atLeast"/>
      <w:ind w:left="419" w:firstLine="419"/>
      <w:jc w:val="both"/>
      <w:textAlignment w:val="baseline"/>
    </w:pPr>
    <w:rPr>
      <w:rFonts w:ascii="Times New Roman" w:hAnsi="Times New Roman" w:eastAsia="宋体" w:cs="Times New Roman"/>
      <w:color w:val="000000"/>
      <w:sz w:val="21"/>
      <w:szCs w:val="20"/>
      <w:u w:color="000000"/>
    </w:rPr>
  </w:style>
  <w:style w:type="paragraph" w:customStyle="1" w:styleId="367">
    <w:name w:val="样式 样式 样式 标题 2 + 段前: 1 行 段后: 0.5 行 + 段前: 1 行 段后: 0.5 行 + 段前: 1 行..."/>
    <w:basedOn w:val="1"/>
    <w:qFormat/>
    <w:uiPriority w:val="0"/>
    <w:pPr>
      <w:keepNext/>
      <w:keepLines/>
      <w:widowControl w:val="0"/>
      <w:tabs>
        <w:tab w:val="left" w:pos="567"/>
      </w:tabs>
      <w:adjustRightInd/>
      <w:snapToGrid/>
      <w:spacing w:beforeLines="50" w:afterLines="30" w:line="500" w:lineRule="exact"/>
      <w:ind w:left="567" w:hanging="567"/>
      <w:jc w:val="both"/>
      <w:outlineLvl w:val="1"/>
    </w:pPr>
    <w:rPr>
      <w:rFonts w:ascii="宋体" w:hAnsi="宋体" w:eastAsia="黑体"/>
      <w:kern w:val="2"/>
      <w:sz w:val="30"/>
      <w:szCs w:val="30"/>
    </w:rPr>
  </w:style>
  <w:style w:type="paragraph" w:customStyle="1" w:styleId="368">
    <w:name w:val="1."/>
    <w:basedOn w:val="1"/>
    <w:qFormat/>
    <w:uiPriority w:val="0"/>
    <w:pPr>
      <w:tabs>
        <w:tab w:val="left" w:pos="1134"/>
        <w:tab w:val="left" w:pos="1200"/>
      </w:tabs>
      <w:adjustRightInd/>
      <w:snapToGrid/>
      <w:spacing w:before="240" w:after="0"/>
      <w:ind w:left="1134" w:hanging="454"/>
      <w:jc w:val="both"/>
    </w:pPr>
    <w:rPr>
      <w:rFonts w:ascii="Times New Roman" w:hAnsi="Times New Roman" w:eastAsia="宋体" w:cs="Times New Roman"/>
      <w:kern w:val="2"/>
      <w:sz w:val="24"/>
      <w:szCs w:val="20"/>
    </w:rPr>
  </w:style>
  <w:style w:type="paragraph" w:customStyle="1" w:styleId="369">
    <w:name w:val="样式 样式 样式 标题 3 + 段前: 0.5 行 段后: 0.5 行 + 段前: 0.5 行 段后: 0.25 行 + 段前:..."/>
    <w:basedOn w:val="1"/>
    <w:qFormat/>
    <w:uiPriority w:val="0"/>
    <w:pPr>
      <w:keepNext/>
      <w:keepLines/>
      <w:widowControl w:val="0"/>
      <w:tabs>
        <w:tab w:val="left" w:pos="1260"/>
      </w:tabs>
      <w:adjustRightInd/>
      <w:snapToGrid/>
      <w:spacing w:beforeLines="60" w:afterLines="50" w:line="520" w:lineRule="exact"/>
      <w:ind w:left="889" w:hanging="709"/>
      <w:jc w:val="both"/>
      <w:outlineLvl w:val="2"/>
    </w:pPr>
    <w:rPr>
      <w:rFonts w:ascii="宋体" w:hAnsi="宋体" w:eastAsia="黑体"/>
      <w:color w:val="000000"/>
      <w:kern w:val="2"/>
      <w:sz w:val="28"/>
      <w:szCs w:val="28"/>
    </w:rPr>
  </w:style>
  <w:style w:type="paragraph" w:customStyle="1" w:styleId="370">
    <w:name w:val="xl26"/>
    <w:basedOn w:val="1"/>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20"/>
      <w:szCs w:val="20"/>
    </w:rPr>
  </w:style>
  <w:style w:type="paragraph" w:customStyle="1" w:styleId="371">
    <w:name w:val="_Style 96"/>
    <w:basedOn w:val="1"/>
    <w:next w:val="55"/>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372">
    <w:name w:val="Fließtext"/>
    <w:basedOn w:val="1"/>
    <w:qFormat/>
    <w:uiPriority w:val="0"/>
    <w:pPr>
      <w:shd w:val="clear" w:color="auto" w:fill="FFFFFF"/>
      <w:tabs>
        <w:tab w:val="left" w:pos="567"/>
        <w:tab w:val="left" w:pos="851"/>
        <w:tab w:val="left" w:pos="1134"/>
      </w:tabs>
      <w:adjustRightInd/>
      <w:snapToGrid/>
      <w:spacing w:before="120" w:after="60" w:line="276" w:lineRule="auto"/>
      <w:ind w:left="567" w:right="284"/>
      <w:jc w:val="both"/>
    </w:pPr>
    <w:rPr>
      <w:rFonts w:ascii="Arial" w:hAnsi="Arial" w:eastAsia="宋体" w:cs="Arial"/>
      <w:color w:val="000000"/>
      <w:szCs w:val="20"/>
      <w:lang w:val="en-GB" w:eastAsia="de-DE"/>
    </w:rPr>
  </w:style>
  <w:style w:type="paragraph" w:customStyle="1" w:styleId="373">
    <w:name w:val="+列表1"/>
    <w:basedOn w:val="1"/>
    <w:qFormat/>
    <w:uiPriority w:val="0"/>
    <w:pPr>
      <w:widowControl w:val="0"/>
      <w:adjustRightInd/>
      <w:snapToGrid/>
      <w:spacing w:after="0"/>
      <w:jc w:val="center"/>
    </w:pPr>
    <w:rPr>
      <w:rFonts w:ascii="Times New Roman" w:hAnsi="Times New Roman" w:eastAsia="宋体" w:cs="Times New Roman"/>
      <w:kern w:val="2"/>
      <w:sz w:val="21"/>
      <w:szCs w:val="24"/>
    </w:rPr>
  </w:style>
  <w:style w:type="paragraph" w:customStyle="1" w:styleId="374">
    <w:name w:val="-正文 Char"/>
    <w:basedOn w:val="1"/>
    <w:qFormat/>
    <w:uiPriority w:val="0"/>
    <w:pPr>
      <w:overflowPunct w:val="0"/>
      <w:autoSpaceDE w:val="0"/>
      <w:autoSpaceDN w:val="0"/>
      <w:snapToGrid/>
      <w:spacing w:after="0" w:line="360" w:lineRule="auto"/>
      <w:ind w:firstLine="200" w:firstLineChars="200"/>
      <w:textAlignment w:val="baseline"/>
    </w:pPr>
    <w:rPr>
      <w:rFonts w:ascii="Arial" w:hAnsi="Arial" w:eastAsia="宋体" w:cs="Times New Roman"/>
      <w:sz w:val="24"/>
      <w:szCs w:val="24"/>
    </w:rPr>
  </w:style>
  <w:style w:type="paragraph" w:customStyle="1" w:styleId="375">
    <w:name w:val="经典样式正文"/>
    <w:basedOn w:val="51"/>
    <w:next w:val="51"/>
    <w:qFormat/>
    <w:uiPriority w:val="0"/>
    <w:pPr>
      <w:spacing w:line="360" w:lineRule="auto"/>
    </w:pPr>
  </w:style>
  <w:style w:type="paragraph" w:customStyle="1" w:styleId="376">
    <w:name w:val="项目符号_圆点"/>
    <w:basedOn w:val="1"/>
    <w:qFormat/>
    <w:uiPriority w:val="0"/>
    <w:pPr>
      <w:widowControl w:val="0"/>
      <w:tabs>
        <w:tab w:val="left" w:pos="900"/>
      </w:tabs>
      <w:adjustRightInd/>
      <w:snapToGrid/>
      <w:spacing w:before="78" w:after="0"/>
      <w:ind w:left="900" w:hanging="420"/>
      <w:jc w:val="both"/>
    </w:pPr>
    <w:rPr>
      <w:rFonts w:ascii="Times New Roman" w:hAnsi="Times New Roman" w:eastAsia="宋体" w:cs="Times New Roman"/>
      <w:kern w:val="2"/>
      <w:sz w:val="24"/>
      <w:szCs w:val="20"/>
    </w:rPr>
  </w:style>
  <w:style w:type="character" w:customStyle="1" w:styleId="377">
    <w:name w:val="明显引用 Char2"/>
    <w:basedOn w:val="64"/>
    <w:qFormat/>
    <w:uiPriority w:val="99"/>
    <w:rPr>
      <w:rFonts w:ascii="Tahoma" w:hAnsi="Tahoma" w:eastAsia="微软雅黑" w:cs="宋体"/>
      <w:b/>
      <w:bCs/>
      <w:i/>
      <w:iCs/>
      <w:color w:val="4F81BD"/>
      <w:sz w:val="22"/>
      <w:szCs w:val="22"/>
    </w:rPr>
  </w:style>
  <w:style w:type="paragraph" w:customStyle="1" w:styleId="378">
    <w:name w:val="样式 标题 2 + 行距: 固定值 23 磅"/>
    <w:basedOn w:val="3"/>
    <w:qFormat/>
    <w:uiPriority w:val="0"/>
    <w:pPr>
      <w:spacing w:before="0" w:after="0" w:line="460" w:lineRule="exact"/>
    </w:pPr>
    <w:rPr>
      <w:rFonts w:ascii="宋体" w:hAnsi="宋体" w:eastAsia="宋体" w:cs="宋体"/>
      <w:sz w:val="28"/>
      <w:szCs w:val="20"/>
    </w:rPr>
  </w:style>
  <w:style w:type="paragraph" w:customStyle="1" w:styleId="379">
    <w:name w:val="样式 标题 3 + 小四 行距: 固定值 23 磅1"/>
    <w:basedOn w:val="4"/>
    <w:next w:val="380"/>
    <w:qFormat/>
    <w:uiPriority w:val="0"/>
    <w:pPr>
      <w:spacing w:line="460" w:lineRule="exact"/>
    </w:pPr>
    <w:rPr>
      <w:rFonts w:cs="宋体"/>
      <w:szCs w:val="20"/>
    </w:rPr>
  </w:style>
  <w:style w:type="paragraph" w:customStyle="1" w:styleId="380">
    <w:name w:val="样式 标题 3 + 小四 行距: 固定值 23 磅"/>
    <w:basedOn w:val="4"/>
    <w:qFormat/>
    <w:uiPriority w:val="0"/>
    <w:pPr>
      <w:spacing w:line="460" w:lineRule="exact"/>
      <w:ind w:left="210" w:leftChars="100" w:right="100" w:rightChars="100"/>
    </w:pPr>
    <w:rPr>
      <w:rFonts w:cs="宋体"/>
      <w:szCs w:val="20"/>
    </w:rPr>
  </w:style>
  <w:style w:type="paragraph" w:customStyle="1" w:styleId="381">
    <w:name w:val="sma."/>
    <w:basedOn w:val="1"/>
    <w:qFormat/>
    <w:uiPriority w:val="0"/>
    <w:pPr>
      <w:tabs>
        <w:tab w:val="left" w:pos="1588"/>
      </w:tabs>
      <w:adjustRightInd/>
      <w:snapToGrid/>
      <w:spacing w:before="240" w:after="0" w:line="0" w:lineRule="atLeast"/>
      <w:ind w:left="1588" w:hanging="454"/>
      <w:jc w:val="both"/>
    </w:pPr>
    <w:rPr>
      <w:rFonts w:ascii="Times New Roman" w:hAnsi="Times New Roman" w:eastAsia="宋体" w:cs="Times New Roman"/>
      <w:kern w:val="2"/>
      <w:sz w:val="24"/>
      <w:szCs w:val="20"/>
    </w:rPr>
  </w:style>
  <w:style w:type="paragraph" w:customStyle="1" w:styleId="382">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3">
    <w:name w:val="+标题4"/>
    <w:basedOn w:val="5"/>
    <w:qFormat/>
    <w:uiPriority w:val="0"/>
    <w:pPr>
      <w:tabs>
        <w:tab w:val="left" w:pos="1894"/>
      </w:tabs>
      <w:spacing w:before="120" w:after="120"/>
      <w:ind w:left="1680" w:hanging="420"/>
    </w:pPr>
    <w:rPr>
      <w:rFonts w:ascii="Times New Roman" w:hAnsi="Times New Roman"/>
      <w:sz w:val="24"/>
    </w:rPr>
  </w:style>
  <w:style w:type="paragraph" w:customStyle="1" w:styleId="384">
    <w:name w:val="默认段落字体 Para Char Char Char Char"/>
    <w:basedOn w:val="1"/>
    <w:qFormat/>
    <w:uiPriority w:val="0"/>
    <w:pPr>
      <w:widowControl w:val="0"/>
      <w:tabs>
        <w:tab w:val="left" w:pos="425"/>
      </w:tabs>
      <w:adjustRightInd/>
      <w:snapToGrid/>
      <w:spacing w:after="0"/>
      <w:ind w:left="425" w:hanging="425"/>
      <w:jc w:val="both"/>
    </w:pPr>
    <w:rPr>
      <w:rFonts w:ascii="Times New Roman" w:hAnsi="Times New Roman" w:eastAsia="宋体" w:cs="Times New Roman"/>
      <w:kern w:val="2"/>
      <w:sz w:val="21"/>
      <w:szCs w:val="24"/>
    </w:rPr>
  </w:style>
  <w:style w:type="paragraph" w:customStyle="1" w:styleId="385">
    <w:name w:val="表格文字"/>
    <w:basedOn w:val="1"/>
    <w:qFormat/>
    <w:uiPriority w:val="0"/>
    <w:pPr>
      <w:widowControl w:val="0"/>
      <w:snapToGrid/>
      <w:spacing w:after="0" w:line="420" w:lineRule="atLeast"/>
      <w:textAlignment w:val="baseline"/>
    </w:pPr>
    <w:rPr>
      <w:rFonts w:ascii="Times New Roman" w:hAnsi="Times New Roman" w:eastAsia="宋体" w:cs="Times New Roman"/>
      <w:sz w:val="21"/>
      <w:szCs w:val="20"/>
    </w:rPr>
  </w:style>
  <w:style w:type="paragraph" w:customStyle="1" w:styleId="386">
    <w:name w:val="_Style 95"/>
    <w:basedOn w:val="1"/>
    <w:next w:val="31"/>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387">
    <w:name w:val="_Style 231"/>
    <w:next w:val="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8">
    <w:name w:val="Char Char Char Char Char Char Char"/>
    <w:basedOn w:val="1"/>
    <w:qFormat/>
    <w:uiPriority w:val="0"/>
    <w:pPr>
      <w:widowControl w:val="0"/>
      <w:adjustRightInd/>
      <w:snapToGrid/>
      <w:spacing w:after="0" w:line="360" w:lineRule="auto"/>
      <w:ind w:left="420" w:firstLine="420"/>
      <w:jc w:val="both"/>
    </w:pPr>
    <w:rPr>
      <w:rFonts w:ascii="Times New Roman" w:hAnsi="Times New Roman" w:eastAsia="宋体" w:cs="Times New Roman"/>
      <w:sz w:val="24"/>
      <w:szCs w:val="21"/>
    </w:rPr>
  </w:style>
  <w:style w:type="paragraph" w:customStyle="1" w:styleId="389">
    <w:name w:val="z-窗体底端1"/>
    <w:basedOn w:val="1"/>
    <w:next w:val="1"/>
    <w:link w:val="390"/>
    <w:qFormat/>
    <w:uiPriority w:val="0"/>
    <w:pPr>
      <w:widowControl w:val="0"/>
      <w:pBdr>
        <w:top w:val="single" w:color="auto" w:sz="6" w:space="1"/>
      </w:pBdr>
      <w:adjustRightInd/>
      <w:snapToGrid/>
      <w:spacing w:after="0"/>
      <w:jc w:val="center"/>
    </w:pPr>
    <w:rPr>
      <w:rFonts w:ascii="Arial" w:hAnsi="Calibri" w:eastAsia="宋体" w:cs="Times New Roman"/>
      <w:vanish/>
      <w:kern w:val="2"/>
      <w:sz w:val="16"/>
    </w:rPr>
  </w:style>
  <w:style w:type="character" w:customStyle="1" w:styleId="390">
    <w:name w:val="z-窗体底端 Char"/>
    <w:basedOn w:val="64"/>
    <w:link w:val="389"/>
    <w:qFormat/>
    <w:uiPriority w:val="0"/>
    <w:rPr>
      <w:rFonts w:ascii="Arial" w:hAnsi="Calibri"/>
      <w:vanish/>
      <w:kern w:val="2"/>
      <w:sz w:val="16"/>
      <w:szCs w:val="22"/>
    </w:rPr>
  </w:style>
  <w:style w:type="paragraph" w:customStyle="1" w:styleId="391">
    <w:name w:val="+正文标题"/>
    <w:basedOn w:val="1"/>
    <w:qFormat/>
    <w:uiPriority w:val="0"/>
    <w:pPr>
      <w:widowControl w:val="0"/>
      <w:adjustRightInd/>
      <w:snapToGrid/>
      <w:spacing w:beforeLines="100" w:afterLines="100" w:line="360" w:lineRule="auto"/>
      <w:jc w:val="center"/>
    </w:pPr>
    <w:rPr>
      <w:rFonts w:ascii="Times New Roman" w:hAnsi="Times New Roman" w:eastAsia="黑体" w:cs="Times New Roman"/>
      <w:b/>
      <w:kern w:val="2"/>
      <w:sz w:val="32"/>
      <w:szCs w:val="32"/>
    </w:rPr>
  </w:style>
  <w:style w:type="paragraph" w:customStyle="1" w:styleId="392">
    <w:name w:val="Char Char Char Char Char Char Char Char Char Char Char Char Char Char Char Char"/>
    <w:basedOn w:val="1"/>
    <w:qFormat/>
    <w:uiPriority w:val="0"/>
    <w:pPr>
      <w:widowControl w:val="0"/>
      <w:tabs>
        <w:tab w:val="left" w:pos="360"/>
      </w:tabs>
      <w:adjustRightInd/>
      <w:snapToGrid/>
      <w:spacing w:after="0" w:line="360" w:lineRule="auto"/>
      <w:ind w:left="482" w:firstLine="200" w:firstLineChars="200"/>
      <w:jc w:val="both"/>
    </w:pPr>
    <w:rPr>
      <w:rFonts w:ascii="宋体" w:hAnsi="Times New Roman" w:eastAsia="宋体" w:cs="Times New Roman"/>
      <w:kern w:val="2"/>
      <w:sz w:val="24"/>
      <w:szCs w:val="24"/>
    </w:rPr>
  </w:style>
  <w:style w:type="paragraph" w:customStyle="1" w:styleId="393">
    <w:name w:val="+正文 Char Char2 Char Char Char Char"/>
    <w:basedOn w:val="1"/>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8"/>
    </w:rPr>
  </w:style>
  <w:style w:type="paragraph" w:customStyle="1" w:styleId="394">
    <w:name w:val="Char2 Char Char Char Char Char"/>
    <w:basedOn w:val="1"/>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395">
    <w:name w:val="标准正文"/>
    <w:basedOn w:val="1"/>
    <w:qFormat/>
    <w:uiPriority w:val="0"/>
    <w:pPr>
      <w:widowControl w:val="0"/>
      <w:adjustRightInd/>
      <w:snapToGrid/>
      <w:spacing w:after="0" w:line="360" w:lineRule="auto"/>
      <w:ind w:left="840" w:leftChars="400" w:firstLine="480" w:firstLineChars="200"/>
      <w:jc w:val="both"/>
    </w:pPr>
    <w:rPr>
      <w:rFonts w:ascii="Times New Roman" w:hAnsi="Times New Roman" w:eastAsia="宋体"/>
      <w:kern w:val="2"/>
      <w:sz w:val="24"/>
      <w:szCs w:val="20"/>
    </w:rPr>
  </w:style>
  <w:style w:type="paragraph" w:customStyle="1" w:styleId="396">
    <w:name w:val="插图"/>
    <w:basedOn w:val="48"/>
    <w:next w:val="1"/>
    <w:qFormat/>
    <w:uiPriority w:val="0"/>
    <w:pPr>
      <w:tabs>
        <w:tab w:val="left" w:pos="1080"/>
      </w:tabs>
      <w:spacing w:after="360"/>
      <w:ind w:left="0" w:firstLine="0"/>
      <w:jc w:val="center"/>
    </w:pPr>
    <w:rPr>
      <w:rFonts w:ascii="仿宋_GB2312" w:eastAsia="仿宋_GB2312"/>
    </w:rPr>
  </w:style>
  <w:style w:type="paragraph" w:customStyle="1" w:styleId="397">
    <w:name w:val="样式 样式 样式 正文文本缩进 + 首行缩进:  2 字符 + 首行缩进:  2 字符 + 首行缩进:  2 字符"/>
    <w:basedOn w:val="1"/>
    <w:qFormat/>
    <w:uiPriority w:val="0"/>
    <w:pPr>
      <w:widowControl w:val="0"/>
      <w:tabs>
        <w:tab w:val="left" w:pos="9016"/>
      </w:tabs>
      <w:adjustRightInd/>
      <w:snapToGrid/>
      <w:spacing w:after="0" w:line="460" w:lineRule="exact"/>
      <w:ind w:firstLine="200" w:firstLineChars="200"/>
    </w:pPr>
    <w:rPr>
      <w:rFonts w:ascii="Times New Roman" w:hAnsi="Times New Roman" w:eastAsia="宋体"/>
      <w:sz w:val="24"/>
      <w:szCs w:val="20"/>
    </w:rPr>
  </w:style>
  <w:style w:type="paragraph" w:customStyle="1" w:styleId="398">
    <w:name w:val="经典标题"/>
    <w:basedOn w:val="2"/>
    <w:next w:val="375"/>
    <w:qFormat/>
    <w:uiPriority w:val="0"/>
    <w:pPr>
      <w:spacing w:beforeLines="100" w:afterLines="100" w:line="240" w:lineRule="auto"/>
      <w:jc w:val="center"/>
      <w:outlineLvl w:val="9"/>
    </w:pPr>
    <w:rPr>
      <w:rFonts w:eastAsia="黑体"/>
      <w:bCs w:val="0"/>
      <w:sz w:val="36"/>
      <w:szCs w:val="20"/>
    </w:rPr>
  </w:style>
  <w:style w:type="paragraph" w:customStyle="1" w:styleId="399">
    <w:name w:val="+标题2"/>
    <w:basedOn w:val="3"/>
    <w:qFormat/>
    <w:uiPriority w:val="0"/>
    <w:pPr>
      <w:tabs>
        <w:tab w:val="left" w:pos="840"/>
      </w:tabs>
      <w:spacing w:before="120" w:after="120" w:line="360" w:lineRule="auto"/>
      <w:ind w:left="840" w:hanging="420"/>
    </w:pPr>
    <w:rPr>
      <w:rFonts w:ascii="Times New Roman" w:hAnsi="Times New Roman" w:eastAsia="宋体"/>
      <w:sz w:val="24"/>
      <w:szCs w:val="28"/>
    </w:rPr>
  </w:style>
  <w:style w:type="paragraph" w:customStyle="1" w:styleId="400">
    <w:name w:val="font8"/>
    <w:basedOn w:val="1"/>
    <w:qFormat/>
    <w:uiPriority w:val="0"/>
    <w:pPr>
      <w:adjustRightInd/>
      <w:snapToGrid/>
      <w:spacing w:before="100" w:beforeAutospacing="1" w:after="100" w:afterAutospacing="1"/>
    </w:pPr>
    <w:rPr>
      <w:rFonts w:hint="eastAsia" w:ascii="宋体" w:hAnsi="宋体" w:eastAsia="宋体" w:cs="Arial Unicode MS"/>
    </w:rPr>
  </w:style>
  <w:style w:type="paragraph" w:customStyle="1" w:styleId="401">
    <w:name w:val="样式 样式 正文文本缩进正文文字( 首段缩进两字） + 段前: 0.5 行 行距: 单倍行距 + 段前: 0.5 行"/>
    <w:basedOn w:val="1"/>
    <w:qFormat/>
    <w:uiPriority w:val="0"/>
    <w:pPr>
      <w:widowControl w:val="0"/>
      <w:adjustRightInd/>
      <w:snapToGrid/>
      <w:spacing w:after="0"/>
      <w:ind w:firstLine="480" w:firstLineChars="200"/>
      <w:jc w:val="both"/>
    </w:pPr>
    <w:rPr>
      <w:rFonts w:ascii="Times New Roman" w:hAnsi="Times New Roman" w:eastAsia="宋体" w:cs="Times New Roman"/>
      <w:sz w:val="24"/>
      <w:szCs w:val="24"/>
    </w:rPr>
  </w:style>
  <w:style w:type="paragraph" w:customStyle="1" w:styleId="402">
    <w:name w:val="+标题1"/>
    <w:basedOn w:val="2"/>
    <w:qFormat/>
    <w:uiPriority w:val="0"/>
    <w:pPr>
      <w:pageBreakBefore/>
      <w:tabs>
        <w:tab w:val="left" w:pos="420"/>
      </w:tabs>
      <w:spacing w:before="240" w:after="240"/>
      <w:ind w:left="720" w:hanging="720"/>
      <w:jc w:val="center"/>
    </w:pPr>
    <w:rPr>
      <w:rFonts w:eastAsia="黑体"/>
      <w:kern w:val="32"/>
      <w:szCs w:val="32"/>
    </w:rPr>
  </w:style>
  <w:style w:type="paragraph" w:customStyle="1" w:styleId="403">
    <w:name w:val="8"/>
    <w:basedOn w:val="1"/>
    <w:next w:val="55"/>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404">
    <w:name w:val="SuepChapter"/>
    <w:basedOn w:val="1"/>
    <w:qFormat/>
    <w:uiPriority w:val="0"/>
    <w:pPr>
      <w:tabs>
        <w:tab w:val="left" w:pos="720"/>
        <w:tab w:val="center" w:pos="4513"/>
      </w:tabs>
      <w:suppressAutoHyphens/>
      <w:adjustRightInd/>
      <w:snapToGrid/>
      <w:spacing w:after="0"/>
      <w:ind w:left="720" w:hanging="720"/>
      <w:jc w:val="center"/>
    </w:pPr>
    <w:rPr>
      <w:rFonts w:ascii="Times New Roman" w:hAnsi="Times New Roman" w:eastAsia="宋体" w:cs="Times New Roman"/>
      <w:b/>
      <w:spacing w:val="-2"/>
      <w:szCs w:val="20"/>
      <w:lang w:val="en-GB"/>
    </w:rPr>
  </w:style>
  <w:style w:type="paragraph" w:customStyle="1" w:styleId="405">
    <w:name w:val="修订1"/>
    <w:qFormat/>
    <w:uiPriority w:val="0"/>
    <w:rPr>
      <w:rFonts w:ascii="Times New Roman" w:hAnsi="Times New Roman" w:eastAsia="宋体" w:cs="Times New Roman"/>
      <w:kern w:val="2"/>
      <w:sz w:val="21"/>
      <w:szCs w:val="24"/>
      <w:lang w:val="en-US" w:eastAsia="zh-CN" w:bidi="ar-SA"/>
    </w:rPr>
  </w:style>
  <w:style w:type="paragraph" w:customStyle="1" w:styleId="406">
    <w:name w:val="A."/>
    <w:basedOn w:val="1"/>
    <w:qFormat/>
    <w:uiPriority w:val="0"/>
    <w:pPr>
      <w:tabs>
        <w:tab w:val="left" w:pos="1134"/>
        <w:tab w:val="left" w:pos="1200"/>
      </w:tabs>
      <w:adjustRightInd/>
      <w:snapToGrid/>
      <w:spacing w:before="240" w:after="0" w:line="0" w:lineRule="atLeast"/>
      <w:ind w:left="1134" w:hanging="567"/>
      <w:jc w:val="both"/>
    </w:pPr>
    <w:rPr>
      <w:rFonts w:ascii="Times New Roman" w:hAnsi="Times New Roman" w:eastAsia="宋体" w:cs="Times New Roman"/>
      <w:kern w:val="2"/>
      <w:sz w:val="24"/>
      <w:szCs w:val="20"/>
    </w:rPr>
  </w:style>
  <w:style w:type="paragraph" w:customStyle="1" w:styleId="407">
    <w:name w:val="标准中文版式_正文"/>
    <w:basedOn w:val="1"/>
    <w:qFormat/>
    <w:uiPriority w:val="0"/>
    <w:pPr>
      <w:widowControl w:val="0"/>
      <w:adjustRightInd/>
      <w:snapToGrid/>
      <w:spacing w:beforeLines="30" w:after="0"/>
      <w:jc w:val="both"/>
    </w:pPr>
    <w:rPr>
      <w:rFonts w:ascii="Times New Roman" w:hAnsi="Times New Roman" w:eastAsia="宋体" w:cs="Times New Roman"/>
      <w:kern w:val="2"/>
      <w:sz w:val="21"/>
      <w:szCs w:val="21"/>
    </w:rPr>
  </w:style>
  <w:style w:type="paragraph" w:customStyle="1" w:styleId="408">
    <w:name w:val="目录2"/>
    <w:basedOn w:val="1"/>
    <w:next w:val="1"/>
    <w:qFormat/>
    <w:uiPriority w:val="0"/>
    <w:pPr>
      <w:tabs>
        <w:tab w:val="left" w:leader="dot" w:pos="8503"/>
      </w:tabs>
      <w:adjustRightInd/>
      <w:snapToGrid/>
      <w:spacing w:after="0" w:line="317" w:lineRule="atLeast"/>
      <w:ind w:left="419" w:firstLine="419"/>
      <w:jc w:val="both"/>
      <w:textAlignment w:val="baseline"/>
    </w:pPr>
    <w:rPr>
      <w:rFonts w:ascii="Times New Roman" w:hAnsi="Times New Roman" w:eastAsia="宋体" w:cs="Times New Roman"/>
      <w:color w:val="000000"/>
      <w:sz w:val="21"/>
      <w:szCs w:val="20"/>
      <w:u w:color="000000"/>
    </w:rPr>
  </w:style>
  <w:style w:type="paragraph" w:customStyle="1" w:styleId="409">
    <w:name w:val="Headings Font"/>
    <w:basedOn w:val="1"/>
    <w:next w:val="14"/>
    <w:qFormat/>
    <w:uiPriority w:val="0"/>
    <w:pPr>
      <w:keepNext/>
      <w:widowControl w:val="0"/>
      <w:adjustRightInd/>
      <w:snapToGrid/>
      <w:spacing w:after="0" w:line="280" w:lineRule="atLeast"/>
    </w:pPr>
    <w:rPr>
      <w:rFonts w:ascii="Arial" w:hAnsi="Arial" w:eastAsia="宋体" w:cs="Times New Roman"/>
      <w:szCs w:val="20"/>
      <w:lang w:val="en-GB"/>
    </w:rPr>
  </w:style>
  <w:style w:type="paragraph" w:customStyle="1" w:styleId="410">
    <w:name w:val="样式 样式 标题 2 + 左侧:  0 厘米 首行缩进:  0 厘米 + 蓝色"/>
    <w:basedOn w:val="1"/>
    <w:qFormat/>
    <w:uiPriority w:val="0"/>
    <w:pPr>
      <w:keepNext/>
      <w:keepLines/>
      <w:widowControl w:val="0"/>
      <w:tabs>
        <w:tab w:val="left" w:pos="450"/>
        <w:tab w:val="left" w:pos="567"/>
      </w:tabs>
      <w:spacing w:before="240" w:after="120" w:line="520" w:lineRule="exact"/>
      <w:textAlignment w:val="baseline"/>
      <w:outlineLvl w:val="1"/>
    </w:pPr>
    <w:rPr>
      <w:rFonts w:ascii="Times New Roman" w:hAnsi="Times New Roman" w:eastAsia="黑体"/>
      <w:spacing w:val="4"/>
      <w:sz w:val="28"/>
      <w:szCs w:val="28"/>
    </w:rPr>
  </w:style>
  <w:style w:type="paragraph" w:customStyle="1" w:styleId="411">
    <w:name w:val="point"/>
    <w:basedOn w:val="1"/>
    <w:next w:val="1"/>
    <w:qFormat/>
    <w:uiPriority w:val="0"/>
    <w:pPr>
      <w:widowControl w:val="0"/>
      <w:adjustRightInd/>
      <w:snapToGrid/>
      <w:spacing w:after="0" w:line="460" w:lineRule="exact"/>
      <w:jc w:val="both"/>
    </w:pPr>
    <w:rPr>
      <w:rFonts w:ascii="Times New Roman" w:hAnsi="Times New Roman" w:eastAsia="宋体" w:cs="Times New Roman"/>
      <w:kern w:val="2"/>
      <w:sz w:val="24"/>
      <w:szCs w:val="24"/>
    </w:rPr>
  </w:style>
  <w:style w:type="paragraph" w:customStyle="1" w:styleId="412">
    <w:name w:val="空半行"/>
    <w:basedOn w:val="1"/>
    <w:qFormat/>
    <w:uiPriority w:val="0"/>
    <w:pPr>
      <w:widowControl w:val="0"/>
      <w:snapToGrid/>
      <w:spacing w:after="0" w:line="120" w:lineRule="exact"/>
      <w:jc w:val="both"/>
      <w:textAlignment w:val="baseline"/>
    </w:pPr>
    <w:rPr>
      <w:rFonts w:ascii="Times New Roman" w:hAnsi="Times New Roman" w:eastAsia="仿宋_GB2312" w:cs="Times New Roman"/>
      <w:color w:val="FFFFFF"/>
      <w:sz w:val="30"/>
      <w:szCs w:val="20"/>
    </w:rPr>
  </w:style>
  <w:style w:type="paragraph" w:customStyle="1" w:styleId="413">
    <w:name w:val="Char2"/>
    <w:basedOn w:val="1"/>
    <w:qFormat/>
    <w:uiPriority w:val="0"/>
    <w:pPr>
      <w:widowControl w:val="0"/>
      <w:adjustRightInd/>
      <w:snapToGrid/>
      <w:spacing w:after="0"/>
      <w:ind w:left="432" w:hanging="432"/>
      <w:jc w:val="both"/>
    </w:pPr>
    <w:rPr>
      <w:rFonts w:ascii="Times New Roman" w:hAnsi="Times New Roman" w:eastAsia="宋体" w:cs="Times New Roman"/>
      <w:kern w:val="2"/>
      <w:sz w:val="24"/>
      <w:szCs w:val="24"/>
    </w:rPr>
  </w:style>
  <w:style w:type="paragraph" w:customStyle="1" w:styleId="414">
    <w:name w:val="目录4"/>
    <w:basedOn w:val="1"/>
    <w:next w:val="1"/>
    <w:qFormat/>
    <w:uiPriority w:val="0"/>
    <w:pPr>
      <w:tabs>
        <w:tab w:val="left" w:leader="dot" w:pos="8503"/>
      </w:tabs>
      <w:adjustRightInd/>
      <w:snapToGrid/>
      <w:spacing w:after="0" w:line="317" w:lineRule="atLeast"/>
      <w:ind w:left="419" w:firstLine="629"/>
      <w:jc w:val="both"/>
      <w:textAlignment w:val="baseline"/>
    </w:pPr>
    <w:rPr>
      <w:rFonts w:ascii="Times New Roman" w:hAnsi="Times New Roman" w:eastAsia="宋体" w:cs="Times New Roman"/>
      <w:color w:val="000000"/>
      <w:sz w:val="21"/>
      <w:szCs w:val="20"/>
      <w:u w:color="000000"/>
    </w:rPr>
  </w:style>
  <w:style w:type="paragraph" w:customStyle="1" w:styleId="415">
    <w:name w:val="09正文_wh"/>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416">
    <w:name w:val="样式2"/>
    <w:basedOn w:val="1"/>
    <w:qFormat/>
    <w:uiPriority w:val="0"/>
    <w:pPr>
      <w:widowControl w:val="0"/>
      <w:tabs>
        <w:tab w:val="left" w:pos="600"/>
      </w:tabs>
      <w:spacing w:after="0" w:line="360" w:lineRule="auto"/>
      <w:ind w:left="420" w:hanging="420"/>
      <w:jc w:val="both"/>
    </w:pPr>
    <w:rPr>
      <w:rFonts w:ascii="Times New Roman" w:hAnsi="Times New Roman" w:eastAsia="宋体" w:cs="Times New Roman"/>
      <w:kern w:val="2"/>
      <w:sz w:val="28"/>
      <w:szCs w:val="24"/>
    </w:rPr>
  </w:style>
  <w:style w:type="paragraph" w:customStyle="1" w:styleId="417">
    <w:name w:val="TOC 标题4"/>
    <w:basedOn w:val="2"/>
    <w:next w:val="1"/>
    <w:qFormat/>
    <w:uiPriority w:val="39"/>
    <w:pPr>
      <w:widowControl/>
      <w:spacing w:before="480" w:line="276" w:lineRule="auto"/>
      <w:jc w:val="left"/>
      <w:outlineLvl w:val="9"/>
    </w:pPr>
    <w:rPr>
      <w:rFonts w:ascii="Cambria" w:hAnsi="Cambria" w:cs="宋体"/>
      <w:color w:val="376092"/>
      <w:kern w:val="0"/>
      <w:sz w:val="28"/>
      <w:szCs w:val="28"/>
    </w:rPr>
  </w:style>
  <w:style w:type="paragraph" w:customStyle="1" w:styleId="418">
    <w:name w:val="_Style 412"/>
    <w:basedOn w:val="1"/>
    <w:next w:val="1"/>
    <w:qFormat/>
    <w:uiPriority w:val="0"/>
    <w:pPr>
      <w:pBdr>
        <w:bottom w:val="single" w:color="auto" w:sz="6" w:space="1"/>
      </w:pBdr>
      <w:jc w:val="center"/>
    </w:pPr>
    <w:rPr>
      <w:rFonts w:ascii="Arial" w:eastAsia="宋体"/>
      <w:vanish/>
      <w:sz w:val="16"/>
    </w:rPr>
  </w:style>
  <w:style w:type="paragraph" w:customStyle="1" w:styleId="419">
    <w:name w:val="_Style 413"/>
    <w:basedOn w:val="1"/>
    <w:next w:val="1"/>
    <w:qFormat/>
    <w:uiPriority w:val="0"/>
    <w:pPr>
      <w:pBdr>
        <w:top w:val="single" w:color="auto" w:sz="6" w:space="1"/>
      </w:pBdr>
      <w:jc w:val="center"/>
    </w:pPr>
    <w:rPr>
      <w:rFonts w:ascii="Arial" w:eastAsia="宋体"/>
      <w:vanish/>
      <w:sz w:val="16"/>
    </w:rPr>
  </w:style>
  <w:style w:type="paragraph" w:customStyle="1" w:styleId="420">
    <w:name w:val="列出段落3"/>
    <w:basedOn w:val="1"/>
    <w:qFormat/>
    <w:uiPriority w:val="99"/>
    <w:pPr>
      <w:ind w:firstLine="420" w:firstLineChars="200"/>
    </w:pPr>
  </w:style>
  <w:style w:type="paragraph" w:customStyle="1" w:styleId="421">
    <w:name w:val="TOC 标题5"/>
    <w:basedOn w:val="2"/>
    <w:next w:val="1"/>
    <w:qFormat/>
    <w:uiPriority w:val="0"/>
    <w:pPr>
      <w:widowControl/>
      <w:adjustRightInd w:val="0"/>
      <w:snapToGrid w:val="0"/>
      <w:spacing w:before="340" w:after="330" w:line="578" w:lineRule="auto"/>
      <w:jc w:val="left"/>
      <w:outlineLvl w:val="9"/>
    </w:pPr>
    <w:rPr>
      <w:rFonts w:ascii="Tahoma" w:hAnsi="Tahoma" w:eastAsia="微软雅黑" w:cs="宋体"/>
      <w:sz w:val="44"/>
    </w:rPr>
  </w:style>
  <w:style w:type="paragraph" w:customStyle="1" w:styleId="422">
    <w:name w:val="TOC 标题6"/>
    <w:basedOn w:val="2"/>
    <w:next w:val="1"/>
    <w:qFormat/>
    <w:uiPriority w:val="0"/>
    <w:pPr>
      <w:widowControl/>
      <w:adjustRightInd w:val="0"/>
      <w:snapToGrid w:val="0"/>
      <w:spacing w:before="340" w:after="330" w:line="578" w:lineRule="auto"/>
      <w:jc w:val="left"/>
      <w:outlineLvl w:val="9"/>
    </w:pPr>
    <w:rPr>
      <w:rFonts w:ascii="Tahoma" w:hAnsi="Tahoma" w:eastAsia="微软雅黑" w:cs="宋体"/>
      <w:sz w:val="44"/>
    </w:rPr>
  </w:style>
  <w:style w:type="paragraph" w:customStyle="1" w:styleId="423">
    <w:name w:val="Normal_1"/>
    <w:qFormat/>
    <w:uiPriority w:val="0"/>
    <w:rPr>
      <w:rFonts w:ascii="Times New Roman" w:hAnsi="Times New Roman" w:eastAsia="Times New Roman" w:cs="Times New Roman"/>
      <w:sz w:val="24"/>
      <w:szCs w:val="24"/>
      <w:lang w:val="en-US" w:eastAsia="zh-CN" w:bidi="ar-SA"/>
    </w:rPr>
  </w:style>
  <w:style w:type="character" w:customStyle="1" w:styleId="424">
    <w:name w:val="font51"/>
    <w:basedOn w:val="64"/>
    <w:qFormat/>
    <w:uiPriority w:val="0"/>
    <w:rPr>
      <w:rFonts w:hint="eastAsia" w:ascii="宋体" w:hAnsi="宋体" w:eastAsia="宋体" w:cs="宋体"/>
      <w:color w:val="000000"/>
      <w:sz w:val="18"/>
      <w:szCs w:val="18"/>
      <w:u w:val="none"/>
    </w:rPr>
  </w:style>
  <w:style w:type="character" w:customStyle="1" w:styleId="425">
    <w:name w:val="font21"/>
    <w:basedOn w:val="64"/>
    <w:qFormat/>
    <w:uiPriority w:val="0"/>
    <w:rPr>
      <w:rFonts w:ascii="等线" w:hAnsi="等线" w:eastAsia="等线" w:cs="等线"/>
      <w:color w:val="000000"/>
      <w:sz w:val="22"/>
      <w:szCs w:val="22"/>
      <w:u w:val="none"/>
    </w:rPr>
  </w:style>
  <w:style w:type="paragraph" w:customStyle="1" w:styleId="426">
    <w:name w:val="正文首行缩进（绿盟科技）"/>
    <w:basedOn w:val="427"/>
    <w:qFormat/>
    <w:uiPriority w:val="0"/>
    <w:pPr>
      <w:spacing w:after="50"/>
      <w:ind w:firstLine="200" w:firstLineChars="200"/>
    </w:pPr>
  </w:style>
  <w:style w:type="paragraph" w:customStyle="1" w:styleId="427">
    <w:name w:val="正文（绿盟科技）"/>
    <w:qFormat/>
    <w:uiPriority w:val="0"/>
    <w:pPr>
      <w:spacing w:line="300" w:lineRule="auto"/>
    </w:pPr>
    <w:rPr>
      <w:rFonts w:ascii="Arial" w:hAnsi="Arial" w:eastAsia="宋体" w:cs="Times New Roman"/>
      <w:sz w:val="21"/>
      <w:szCs w:val="21"/>
      <w:lang w:val="en-US" w:eastAsia="zh-CN" w:bidi="ar-SA"/>
    </w:rPr>
  </w:style>
  <w:style w:type="paragraph" w:styleId="428">
    <w:name w:val="List Paragraph"/>
    <w:basedOn w:val="1"/>
    <w:unhideWhenUsed/>
    <w:qFormat/>
    <w:uiPriority w:val="0"/>
    <w:pPr>
      <w:ind w:firstLine="420" w:firstLineChars="200"/>
    </w:pPr>
  </w:style>
  <w:style w:type="character" w:customStyle="1" w:styleId="429">
    <w:name w:val="font01"/>
    <w:basedOn w:val="64"/>
    <w:qFormat/>
    <w:uiPriority w:val="0"/>
    <w:rPr>
      <w:rFonts w:hint="default" w:ascii="Arial" w:hAnsi="Arial" w:cs="Arial"/>
      <w:color w:val="000000"/>
      <w:sz w:val="20"/>
      <w:szCs w:val="20"/>
      <w:u w:val="none"/>
    </w:rPr>
  </w:style>
  <w:style w:type="paragraph" w:customStyle="1" w:styleId="430">
    <w:name w:val="总标题"/>
    <w:basedOn w:val="1"/>
    <w:qFormat/>
    <w:uiPriority w:val="0"/>
    <w:pPr>
      <w:spacing w:line="560" w:lineRule="exact"/>
      <w:ind w:firstLine="880" w:firstLineChars="200"/>
    </w:pPr>
    <w:rPr>
      <w:rFonts w:ascii="Tahoma" w:hAnsi="Tahoma" w:eastAsia="方正小标宋_GBK"/>
      <w:kern w:val="0"/>
      <w:sz w:val="44"/>
      <w:szCs w:val="20"/>
    </w:rPr>
  </w:style>
  <w:style w:type="paragraph" w:customStyle="1" w:styleId="431">
    <w:name w:val="Heading 3_0"/>
    <w:basedOn w:val="432"/>
    <w:next w:val="432"/>
    <w:unhideWhenUsed/>
    <w:qFormat/>
    <w:uiPriority w:val="0"/>
    <w:pPr>
      <w:keepNext/>
      <w:keepLines/>
      <w:spacing w:beforeLines="0" w:afterLines="0" w:line="400" w:lineRule="exact"/>
      <w:jc w:val="center"/>
      <w:outlineLvl w:val="2"/>
    </w:pPr>
    <w:rPr>
      <w:rFonts w:hint="default" w:eastAsia="仿宋_GB2312"/>
      <w:b/>
      <w:sz w:val="32"/>
      <w:szCs w:val="32"/>
      <w:lang w:val="zh-CN"/>
    </w:rPr>
  </w:style>
  <w:style w:type="paragraph" w:customStyle="1" w:styleId="432">
    <w:name w:val="Normal_0"/>
    <w:unhideWhenUsed/>
    <w:qFormat/>
    <w:uiPriority w:val="0"/>
    <w:pPr>
      <w:widowControl w:val="0"/>
      <w:spacing w:beforeLines="0" w:afterLines="0"/>
      <w:jc w:val="both"/>
    </w:pPr>
    <w:rPr>
      <w:rFonts w:hint="default" w:ascii="Times New Roman" w:hAnsi="Times New Roman" w:eastAsia="宋体" w:cs="Times New Roman"/>
      <w:sz w:val="24"/>
      <w:szCs w:val="24"/>
      <w:lang w:val="en-US" w:eastAsia="zh-CN" w:bidi="ar-SA"/>
    </w:rPr>
  </w:style>
  <w:style w:type="paragraph" w:customStyle="1" w:styleId="433">
    <w:name w:val="NormalIndent"/>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5.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4.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_rels/footer10.xml.rels><?xml version="1.0" encoding="UTF-8" standalone="yes"?>
<Relationships xmlns="http://schemas.openxmlformats.org/package/2006/relationships"><Relationship Id="rId1" Type="http://schemas.openxmlformats.org/officeDocument/2006/relationships/image" Target="media/image2.png"/></Relationships>
</file>

<file path=word/_rels/footer1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Tuan</Company>
  <Pages>121</Pages>
  <Words>35237</Words>
  <Characters>37994</Characters>
  <Lines>341</Lines>
  <Paragraphs>96</Paragraphs>
  <TotalTime>0</TotalTime>
  <ScaleCrop>false</ScaleCrop>
  <LinksUpToDate>false</LinksUpToDate>
  <CharactersWithSpaces>40750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2023-02-08T02:12:00Z</dcterms:created>
  <dc:creator>Administrator.0CTUZ2DMAQRV522</dc:creator>
  <cp:lastModifiedBy>李秀梅</cp:lastModifiedBy>
  <cp:lastPrinted>2023-08-24T00:41:00Z</cp:lastPrinted>
  <dcterms:modified xsi:type="dcterms:W3CDTF">2025-03-12T10:58:58Z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8C0E7B36675E4456AF2C8AE090B7BF76_13</vt:lpwstr>
  </property>
  <property fmtid="{D5CDD505-2E9C-101B-9397-08002B2CF9AE}" pid="4" name="KSOTemplateDocerSaveRecord">
    <vt:lpwstr>eyJoZGlkIjoiYzY0MGQ0NjRjZDM2ZDUyNGY5YTE1M2YzYThlNGM0NzYiLCJ1c2VySWQiOiIxNTkyMDMwMzg1In0=</vt:lpwstr>
  </property>
</Properties>
</file>