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90B05">
      <w:pPr>
        <w:keepNext w:val="0"/>
        <w:keepLines w:val="0"/>
        <w:widowControl/>
        <w:suppressLineNumbers w:val="0"/>
        <w:jc w:val="center"/>
      </w:pPr>
      <w:r>
        <w:rPr>
          <w:rFonts w:ascii="仿宋" w:hAnsi="仿宋" w:eastAsia="仿宋" w:cs="仿宋"/>
          <w:color w:val="000000"/>
          <w:kern w:val="0"/>
          <w:sz w:val="51"/>
          <w:szCs w:val="51"/>
          <w:lang w:val="en-US" w:eastAsia="zh-CN" w:bidi="ar"/>
        </w:rPr>
        <w:t>技术和服务要求响应表</w:t>
      </w:r>
    </w:p>
    <w:p w14:paraId="52C957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投标人必须仔细阅读招标文件“第三章采购需求”要求在《技术和服务要求响应表》中需要进行响应的技术条款、商务要求，并对上述技术条款、商务要求的响应情况逐项列入该表，以及对其响应情况进行说明；未列入该表的视作投标人不响应。投标人必须根据标的的实际情况如实填写，评标委员会如发现有虚假描述的，该投标文件作无效投标文件处理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99"/>
        <w:gridCol w:w="2640"/>
        <w:gridCol w:w="2895"/>
        <w:gridCol w:w="1380"/>
        <w:gridCol w:w="750"/>
      </w:tblGrid>
      <w:tr w14:paraId="50116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64" w:hRule="atLeast"/>
        </w:trPr>
        <w:tc>
          <w:tcPr>
            <w:tcW w:w="699" w:type="dxa"/>
          </w:tcPr>
          <w:p w14:paraId="45CA11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40" w:type="dxa"/>
          </w:tcPr>
          <w:p w14:paraId="7CA16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招标文件技术条款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、商务要求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描述</w:t>
            </w:r>
          </w:p>
          <w:p w14:paraId="3E729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895" w:type="dxa"/>
          </w:tcPr>
          <w:p w14:paraId="78933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投标人技术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、商务要求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响应情况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描述</w:t>
            </w:r>
          </w:p>
        </w:tc>
        <w:tc>
          <w:tcPr>
            <w:tcW w:w="1380" w:type="dxa"/>
          </w:tcPr>
          <w:p w14:paraId="476BA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响应情况说明(+/=/-)</w:t>
            </w:r>
          </w:p>
          <w:p w14:paraId="786159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78EE2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102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99" w:type="dxa"/>
          </w:tcPr>
          <w:p w14:paraId="07F344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640" w:type="dxa"/>
          </w:tcPr>
          <w:p w14:paraId="0181A3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895" w:type="dxa"/>
          </w:tcPr>
          <w:p w14:paraId="05AA04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</w:tcPr>
          <w:p w14:paraId="5EB23D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64F161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913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99" w:type="dxa"/>
          </w:tcPr>
          <w:p w14:paraId="5A582F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640" w:type="dxa"/>
          </w:tcPr>
          <w:p w14:paraId="6B875B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895" w:type="dxa"/>
          </w:tcPr>
          <w:p w14:paraId="77A11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</w:tcPr>
          <w:p w14:paraId="586479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60B92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D57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99" w:type="dxa"/>
          </w:tcPr>
          <w:p w14:paraId="5141A9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640" w:type="dxa"/>
          </w:tcPr>
          <w:p w14:paraId="25EE7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895" w:type="dxa"/>
          </w:tcPr>
          <w:p w14:paraId="487BE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</w:tcPr>
          <w:p w14:paraId="5B5AB2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650FA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CF2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99" w:type="dxa"/>
          </w:tcPr>
          <w:p w14:paraId="480C6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640" w:type="dxa"/>
          </w:tcPr>
          <w:p w14:paraId="14BF53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895" w:type="dxa"/>
          </w:tcPr>
          <w:p w14:paraId="4F4ED7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</w:tcPr>
          <w:p w14:paraId="066864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1CB7E7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05F91C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注：1.此表为表样，行数可自行添加，但表式不变。</w:t>
      </w:r>
    </w:p>
    <w:p w14:paraId="66EF20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2.招标文件“第三章采购需求”未要求在该表中进行响应的技术条款</w:t>
      </w:r>
      <w:r>
        <w:rPr>
          <w:rFonts w:hint="eastAsia" w:ascii="宋体" w:hAnsi="宋体" w:eastAsia="宋体" w:cs="宋体"/>
          <w:sz w:val="24"/>
          <w:szCs w:val="24"/>
        </w:rPr>
        <w:t>、商务要求</w:t>
      </w:r>
      <w:r>
        <w:rPr>
          <w:rFonts w:hint="eastAsia" w:ascii="宋体" w:hAnsi="宋体" w:eastAsia="宋体" w:cs="宋体"/>
          <w:sz w:val="24"/>
          <w:szCs w:val="24"/>
        </w:rPr>
        <w:t>，投标人无需填写；可是，投标人根据项目情况需要添加的设备、材料、服务等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如有</w:t>
      </w:r>
      <w:r>
        <w:rPr>
          <w:rFonts w:hint="eastAsia" w:ascii="宋体" w:hAnsi="宋体" w:eastAsia="宋体" w:cs="宋体"/>
          <w:sz w:val="24"/>
          <w:szCs w:val="24"/>
        </w:rPr>
        <w:t>请列出，但不作为无效投标的依据。</w:t>
      </w:r>
    </w:p>
    <w:p w14:paraId="17BED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3.请在“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投标人技术</w:t>
      </w:r>
      <w:r>
        <w:rPr>
          <w:rFonts w:hint="eastAsia" w:ascii="宋体" w:hAnsi="宋体" w:eastAsia="宋体" w:cs="宋体"/>
          <w:sz w:val="24"/>
          <w:szCs w:val="24"/>
        </w:rPr>
        <w:t>、商务要求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响应情况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描述</w:t>
      </w:r>
      <w:r>
        <w:rPr>
          <w:rFonts w:hint="eastAsia" w:ascii="宋体" w:hAnsi="宋体" w:eastAsia="宋体" w:cs="宋体"/>
          <w:sz w:val="24"/>
          <w:szCs w:val="24"/>
        </w:rPr>
        <w:t>”中列出标的的详细参数情况。</w:t>
      </w:r>
    </w:p>
    <w:p w14:paraId="63AA51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4.“响应情况说明”应按下列规定填写对招标文件技术条款</w:t>
      </w:r>
      <w:r>
        <w:rPr>
          <w:rFonts w:hint="eastAsia" w:ascii="宋体" w:hAnsi="宋体" w:eastAsia="宋体" w:cs="宋体"/>
          <w:sz w:val="24"/>
          <w:szCs w:val="24"/>
        </w:rPr>
        <w:t>、商务要求</w:t>
      </w:r>
      <w:r>
        <w:rPr>
          <w:rFonts w:hint="eastAsia" w:ascii="宋体" w:hAnsi="宋体" w:eastAsia="宋体" w:cs="宋体"/>
          <w:sz w:val="24"/>
          <w:szCs w:val="24"/>
        </w:rPr>
        <w:t>的响应情况：优于的视为正偏离，填写“+”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符合的视为满足，填写“=”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低于的视为负偏离或不满足，填写“-”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如不按规定填写或不填写的，均视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为不响应。</w:t>
      </w:r>
    </w:p>
    <w:p w14:paraId="480CD9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5.招标文件有标注“★”条款的为实质性条款，若有任何一条负偏离或不满足则导致投标无效。非“★”号条款未响应或不满足(负偏离),将根据评审要求影响其得分，但不作为无效投标条款。</w:t>
      </w:r>
    </w:p>
    <w:p w14:paraId="6C7978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6BC99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CAA1F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投标人全称(公章):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*KSEZVUKUEY0_23_0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*KSWEGSBGNF1_24_0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WPWTRUDJ2_24_0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XRTWLDDM0_24_0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37F85"/>
    <w:rsid w:val="39537F85"/>
    <w:rsid w:val="696B1F82"/>
    <w:rsid w:val="6D77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outlineLvl w:val="2"/>
    </w:pPr>
    <w:rPr>
      <w:rFonts w:eastAsia="宋体" w:asciiTheme="minorAscii" w:hAnsiTheme="minorAscii"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3 Char"/>
    <w:link w:val="2"/>
    <w:qFormat/>
    <w:uiPriority w:val="0"/>
    <w:rPr>
      <w:rFonts w:eastAsia="宋体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2025-11-03T11:29:00Z</dcterms:created>
  <dc:creator>代理</dc:creator>
  <cp:lastModifiedBy>代理</cp:lastModifiedBy>
  <dcterms:modified xsi:type="dcterms:W3CDTF">2025-11-03T11:35:41Z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F1A6725FF2774CFD9F46D2CDEFF35D7F_11</vt:lpwstr>
  </property>
  <property fmtid="{D5CDD505-2E9C-101B-9397-08002B2CF9AE}" pid="4" name="KSOTemplateDocerSaveRecord">
    <vt:lpwstr>eyJoZGlkIjoiOTNkMmRjZWJmZmUzMjgwMmUxMmE2ZDQ0MzE5NjA1YmUiLCJ1c2VySWQiOiIxNjcxNzAzNDk5In0=</vt:lpwstr>
  </property>
</Properties>
</file>