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琼中黎族苗族自治县环卫设备设施更新改造项目（垃圾转运站设备采购）</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ZZZB2025-42-1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琼中黎族苗族自治县市政服务中心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海南中知项目管理有限公司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琼中黎族苗族自治县市政服务中心</w:t>
      </w:r>
      <w:r>
        <w:rPr>
          <w:rFonts w:ascii="仿宋_GB2312" w:hAnsi="仿宋_GB2312" w:cs="仿宋_GB2312" w:eastAsia="仿宋_GB2312"/>
        </w:rPr>
        <w:t xml:space="preserve"> 委托， </w:t>
      </w:r>
      <w:r>
        <w:rPr>
          <w:rFonts w:ascii="仿宋_GB2312" w:hAnsi="仿宋_GB2312" w:cs="仿宋_GB2312" w:eastAsia="仿宋_GB2312"/>
        </w:rPr>
        <w:t>海南中知项目管理有限公司</w:t>
      </w:r>
      <w:r>
        <w:rPr>
          <w:rFonts w:ascii="仿宋_GB2312" w:hAnsi="仿宋_GB2312" w:cs="仿宋_GB2312" w:eastAsia="仿宋_GB2312"/>
        </w:rPr>
        <w:t xml:space="preserve"> 对 </w:t>
      </w:r>
      <w:r>
        <w:rPr>
          <w:rFonts w:ascii="仿宋_GB2312" w:hAnsi="仿宋_GB2312" w:cs="仿宋_GB2312" w:eastAsia="仿宋_GB2312"/>
        </w:rPr>
        <w:t>琼中黎族苗族自治县环卫设备设施更新改造项目（垃圾转运站设备采购）</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ZZZB2025-42-1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琼中黎族苗族自治县环卫设备设施更新改造项目（垃圾转运站设备采购）</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12,120,000.00元</w:t>
      </w:r>
      <w:r>
        <w:rPr>
          <w:rFonts w:ascii="仿宋_GB2312" w:hAnsi="仿宋_GB2312" w:cs="仿宋_GB2312" w:eastAsia="仿宋_GB2312"/>
        </w:rPr>
        <w:t>壹仟贰佰壹拾贰万元整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自合同签订之日起90日历天</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成立不满三年的自公司成立之日起算），无环保类行政处罚记录：提供声明函（格式）：参加政府采购活动前三年内（成立不满三年的自公司成立之日起算），无环保类行政处罚记录：提供声明函（格式）</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在招标文件获取期限内，投标人（供应商）须在海南省政府采购网(https://ccgp-hainan.gov.cn/)中的海南省政府采购智慧云平台进行注册并完善信息，然后登录智慧云平台下载参与投标项目电子招标文件（数据包）及其他文件；2.电子标采用全程电子化操作，请投标人（供应商）自行在海南省政府采购智慧云平台-办事指南查看相应的系统操作指南，严格按照操作指南要求进行系统操作。投标人（供应商）使用交易系统遇到问题可致电技术支持电话：4001691288。3.本项目为远程不见面开标，投标人（供应商）无须到达开标现场，但开标前必须进入电子开标大厅在线签到（未签到视为无效投标），远程按时参加在线开标解密即可。</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琼中黎族苗族自治县市政服务中心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琼中县营根镇百花路16-12号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572923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0898-86227610</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海南中知项目管理有限公司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海南省海口市秀英区丽海二路保利中央海岸四期12号楼海境湾704室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570311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0898-68533821</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采购包1：12,120,000.00元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(1)中标供应商须在签订合同后5个工作日内支付履约保证金;(2)中标供应商可自主选择以支票、汇票、本票、保函等非现金形式缴纳或提交保证金，履约保证金为成交金额的5%，履约保证金有效期为自交纳之日起至验收通过为止。(3)履约保证期内，如中标供应商未按合同约定履行义务，给采购人造成的损失将从履约保证金中扣除，不足部分，采购人有权向中标供应商追偿。(4)履约保证期满，经采购人确认无违约情况后退还，履约保证金不计利息。(5)如果中标供应商未在规定时间内交纳履约保证金，且又无正当理由的，将视为放弃成交资格。</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从递交投标文件的截止之日起90天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代理服务费收费标准：代理服务费按照本项目政府采购委托代理合同的约定由采购人支付，金额为60000.00元。</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在开标过程中，因投标人递交的文件损坏，投标人自身终端设备软硬件驱动和网络环境存在问题，数字证书遗失、损坏、更换、过期、密码遗忘和操作不熟练等原因，导致未能在规定时间登录系统完成解密的，由投标人自行承担由此造成的不利后果。 2.开标、评标过程中，投标人的法人代表或授权委托人应参与远程音视频交互并始终为同一人，中途不得更换。投标人的操作人员均被视为法人代表或授权委托人，投标人自行承担更换人员所导致的一切后果。 3.评标方法及评标结果排列顺序规定如下：②采用综合评分法的，评标结果按评审后得分由高到低顺序排列。得分相同的，按投标报价由低到高顺序排列。得分且投标报价相同的，由评标委员会根据投标情况确定评标结果排列顺序或采取随机抽取方式确定评标结果排列顺序。 4.投标人家数的计算： ②使用综合评分法的采购项目，提供相同品牌产品（非单一产品采购项目，以核心产品为准。多个核心产品的，有一种产品品牌相同，即视为提供相同品牌产品。）且通过资格审查、符合性审查的不同投标人参加同一合同项下投标的，按一家投标人计算，评审后得分最高的同品牌投标人获得中标人推荐资格；评审得分相同的，评标委员会推选投标报价低的投标人获得中标人推荐资格；评审得分且投标报价相同的，评标委员采取随机抽取方式确定中标人推荐资格，其他同品牌投标人不作为中标候选人。 5.本项目不属于专门面向中小企业采购项目。原因：根据《政府采购促进中小企业发展管理办法》相关规定，本项目聚焦垃圾转运站设备采购，核心诉求是保障环卫作业的稳定性、安全性与长效性，对设备的技术性能、连续运行可靠性及后期运维保障能力均有较高要求。为确保项目能获得优质、合规的设备供应，同时保障采购过程中的充分竞争，实现性价比最优及项目长期稳定运行，更好地保障公共利益，本项目为非专门面向中小企业采购项目。 6.本项目采购标的对应的中小企业划分标准所属行业：工业。本项目对小、微企业的投标报价给与10%的扣除，用扣除后的价格参与价格评审</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联系人：李工</w:t>
      </w:r>
    </w:p>
    <w:p>
      <w:pPr>
        <w:pStyle w:val="null3"/>
        <w:jc w:val="left"/>
      </w:pPr>
      <w:r>
        <w:rPr>
          <w:rFonts w:ascii="仿宋_GB2312" w:hAnsi="仿宋_GB2312" w:cs="仿宋_GB2312" w:eastAsia="仿宋_GB2312"/>
        </w:rPr>
        <w:t>联系电话：0898-68533821</w:t>
      </w:r>
    </w:p>
    <w:p>
      <w:pPr>
        <w:pStyle w:val="null3"/>
        <w:jc w:val="left"/>
      </w:pPr>
      <w:r>
        <w:rPr>
          <w:rFonts w:ascii="仿宋_GB2312" w:hAnsi="仿宋_GB2312" w:cs="仿宋_GB2312" w:eastAsia="仿宋_GB2312"/>
        </w:rPr>
        <w:t>地址：海南省海口市秀英区丽海二路保利中央海岸四期12号楼海境湾704室</w:t>
      </w:r>
    </w:p>
    <w:p>
      <w:pPr>
        <w:pStyle w:val="null3"/>
        <w:jc w:val="left"/>
      </w:pPr>
      <w:r>
        <w:rPr>
          <w:rFonts w:ascii="仿宋_GB2312" w:hAnsi="仿宋_GB2312" w:cs="仿宋_GB2312" w:eastAsia="仿宋_GB2312"/>
        </w:rPr>
        <w:t>邮编：570311</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1"/>
        </w:rPr>
        <w:t>对琼中县</w:t>
      </w:r>
      <w:r>
        <w:rPr>
          <w:rFonts w:ascii="仿宋_GB2312" w:hAnsi="仿宋_GB2312" w:cs="仿宋_GB2312" w:eastAsia="仿宋_GB2312"/>
          <w:sz w:val="21"/>
        </w:rPr>
        <w:t>6座（阳江转运站、湾岭转运站、中平镇转运站、和平镇转运站、长征镇转运站、上安乡转运站）生活垃圾转运站实施升级改造，更换水平直压式压缩机、更换垃圾集装箱、更换移箱平台等设备及改造配套附属设施</w:t>
      </w:r>
      <w:r>
        <w:rPr>
          <w:rFonts w:ascii="仿宋_GB2312" w:hAnsi="仿宋_GB2312" w:cs="仿宋_GB2312" w:eastAsia="仿宋_GB2312"/>
          <w:sz w:val="21"/>
        </w:rPr>
        <w:t>。</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12,120,000.00</w:t>
      </w:r>
    </w:p>
    <w:p>
      <w:pPr>
        <w:pStyle w:val="null3"/>
        <w:jc w:val="left"/>
      </w:pPr>
      <w:r>
        <w:rPr>
          <w:rFonts w:ascii="仿宋_GB2312" w:hAnsi="仿宋_GB2312" w:cs="仿宋_GB2312" w:eastAsia="仿宋_GB2312"/>
        </w:rPr>
        <w:t>采购包最高限价（元）: 12,120,000.00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A02360300-固体废弃物处理设备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12,120,000.00</w:t>
            </w:r>
          </w:p>
        </w:tc>
        <w:tc>
          <w:tcPr>
            <w:tcW w:type="dxa" w:w="831"/>
          </w:tcPr>
          <w:p>
            <w:pPr>
              <w:pStyle w:val="null3"/>
              <w:jc w:val="left"/>
            </w:pPr>
            <w:r>
              <w:rPr>
                <w:rFonts w:ascii="仿宋_GB2312" w:hAnsi="仿宋_GB2312" w:cs="仿宋_GB2312" w:eastAsia="仿宋_GB2312"/>
              </w:rPr>
              <w:t>个（台、套、件、辆）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压缩系统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集装箱（20m3箱体）</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集装箱（17m3箱体）</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箱体移位机构</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中央控制系统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视频监控系统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除臭系统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植物喷淋系统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快速卷帘门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地磅</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交通指挥系统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高压喷淋降尘系统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高压清洗机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标的名称：A02360300-固体废弃物处理设备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详见附件采购需求技术要求</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1.合同履行期限（供货期）：自合同签订之日起90日历天。</w:t>
            </w:r>
          </w:p>
          <w:p>
            <w:pPr>
              <w:pStyle w:val="null3"/>
              <w:jc w:val="left"/>
            </w:pPr>
            <w:r>
              <w:rPr>
                <w:rFonts w:ascii="仿宋_GB2312" w:hAnsi="仿宋_GB2312" w:cs="仿宋_GB2312" w:eastAsia="仿宋_GB2312"/>
              </w:rPr>
              <w:t>2.供货地点：采购人指定地点。</w:t>
            </w:r>
          </w:p>
          <w:p>
            <w:pPr>
              <w:pStyle w:val="null3"/>
              <w:jc w:val="left"/>
            </w:pPr>
            <w:r>
              <w:rPr>
                <w:rFonts w:ascii="仿宋_GB2312" w:hAnsi="仿宋_GB2312" w:cs="仿宋_GB2312" w:eastAsia="仿宋_GB2312"/>
              </w:rPr>
              <w:t>3.付款方式：①合同签订后收到中标人开具等额的正式发票之日起3个工作日内支付至合同金额的30%作为预付款；②设备到场完成安装、调试并经采购人验收小组确认后收到中标人提供开具等额的正式发票之日起3个工作日内支付至合同金额的80%；③设备试运行3个月并通过最终验收合格后收到中标人提供开具等额的正式发票之日起3个工作日内支付至总金额100%的款项。</w:t>
            </w:r>
          </w:p>
          <w:p>
            <w:pPr>
              <w:pStyle w:val="null3"/>
              <w:jc w:val="left"/>
            </w:pPr>
            <w:r>
              <w:rPr>
                <w:rFonts w:ascii="仿宋_GB2312" w:hAnsi="仿宋_GB2312" w:cs="仿宋_GB2312" w:eastAsia="仿宋_GB2312"/>
              </w:rPr>
              <w:t>4.验收要求：①中标人已按照合同规定提供了全部产品及相关技术资料（图纸、设备清单、操作使用说明书），经采购人验收合格；②符合招标文件技术需求书的要求，经项目采购人验收通过后，并出具验收合格报告。</w:t>
            </w:r>
          </w:p>
          <w:p>
            <w:pPr>
              <w:pStyle w:val="null3"/>
              <w:jc w:val="left"/>
            </w:pPr>
            <w:r>
              <w:rPr>
                <w:rFonts w:ascii="仿宋_GB2312" w:hAnsi="仿宋_GB2312" w:cs="仿宋_GB2312" w:eastAsia="仿宋_GB2312"/>
              </w:rPr>
              <w:t>5.其他要求：</w:t>
            </w:r>
          </w:p>
          <w:p>
            <w:pPr>
              <w:pStyle w:val="null3"/>
              <w:jc w:val="left"/>
            </w:pPr>
            <w:r>
              <w:rPr>
                <w:rFonts w:ascii="仿宋_GB2312" w:hAnsi="仿宋_GB2312" w:cs="仿宋_GB2312" w:eastAsia="仿宋_GB2312"/>
              </w:rPr>
              <w:t>（1）设备要求：</w:t>
            </w:r>
          </w:p>
          <w:p>
            <w:pPr>
              <w:pStyle w:val="null3"/>
              <w:jc w:val="left"/>
            </w:pPr>
            <w:r>
              <w:rPr>
                <w:rFonts w:ascii="仿宋_GB2312" w:hAnsi="仿宋_GB2312" w:cs="仿宋_GB2312" w:eastAsia="仿宋_GB2312"/>
              </w:rPr>
              <w:t>①投标人所投货物必须是近两年生产的原厂原装，表面无划伤，无碰撞，各项技术指标符合国家标准、行业标准以及该产品的出厂标准。</w:t>
            </w:r>
          </w:p>
          <w:p>
            <w:pPr>
              <w:pStyle w:val="null3"/>
              <w:jc w:val="left"/>
            </w:pPr>
            <w:r>
              <w:rPr>
                <w:rFonts w:ascii="仿宋_GB2312" w:hAnsi="仿宋_GB2312" w:cs="仿宋_GB2312" w:eastAsia="仿宋_GB2312"/>
              </w:rPr>
              <w:t>②投标人报价应包括设备采购、运输、安装、调试、相关部门检测验收及保修期内的维护保养等所有费用，以及投标人认为必要的其他设备、材料、工程、服务；投标人应自行增加该项目产品使用所必需但招标文件没有包含的所有货物、版权、专利等一切费用，如果投标人在中标并签署合同后，在供货、安装、调试、检测等工作中出现货物的任何遗漏，均由投标人免费提供，采购人将不再支付任何费用。</w:t>
            </w:r>
          </w:p>
          <w:p>
            <w:pPr>
              <w:pStyle w:val="null3"/>
              <w:jc w:val="left"/>
            </w:pPr>
            <w:r>
              <w:rPr>
                <w:rFonts w:ascii="仿宋_GB2312" w:hAnsi="仿宋_GB2312" w:cs="仿宋_GB2312" w:eastAsia="仿宋_GB2312"/>
              </w:rPr>
              <w:t>（2）质保期及售后服务要求：</w:t>
            </w:r>
          </w:p>
          <w:p>
            <w:pPr>
              <w:pStyle w:val="null3"/>
              <w:jc w:val="left"/>
            </w:pPr>
            <w:r>
              <w:rPr>
                <w:rFonts w:ascii="仿宋_GB2312" w:hAnsi="仿宋_GB2312" w:cs="仿宋_GB2312" w:eastAsia="仿宋_GB2312"/>
              </w:rPr>
              <w:t>①本项目的质量保证期（简称“质保期”）为一年，质保期内中标人对所供货物实行包换、包维护保养，如需要更换零配件只收成本费。</w:t>
            </w:r>
          </w:p>
          <w:p>
            <w:pPr>
              <w:pStyle w:val="null3"/>
              <w:jc w:val="left"/>
            </w:pPr>
            <w:r>
              <w:rPr>
                <w:rFonts w:ascii="仿宋_GB2312" w:hAnsi="仿宋_GB2312" w:cs="仿宋_GB2312" w:eastAsia="仿宋_GB2312"/>
              </w:rPr>
              <w:t>②质保期内，如设备或部件因非人为因素出现故障而造成短期停用时，则质保期相应顺延。如停用时间累计超过60日则质保期重新计算。</w:t>
            </w:r>
          </w:p>
          <w:p>
            <w:pPr>
              <w:pStyle w:val="null3"/>
              <w:jc w:val="left"/>
            </w:pPr>
            <w:r>
              <w:rPr>
                <w:rFonts w:ascii="仿宋_GB2312" w:hAnsi="仿宋_GB2312" w:cs="仿宋_GB2312" w:eastAsia="仿宋_GB2312"/>
              </w:rPr>
              <w:t>③中标人对于所提供的货物与本项目的招标文件及合同要求不相符，中标人同意采购人拒收货物，中标人负担由此发生的一切损失和费用。包括银行利息、运输和保险费、检验费、仓储和装卸费等必要的费用。</w:t>
            </w:r>
          </w:p>
          <w:p>
            <w:pPr>
              <w:pStyle w:val="null3"/>
              <w:jc w:val="left"/>
            </w:pPr>
            <w:r>
              <w:rPr>
                <w:rFonts w:ascii="仿宋_GB2312" w:hAnsi="仿宋_GB2312" w:cs="仿宋_GB2312" w:eastAsia="仿宋_GB2312"/>
              </w:rPr>
              <w:t>④对有缺陷的零件、部件和设备，中标人同意免费更换，以达到合同规定的规格、质量和性能，中标人承担一切费用和风险并负担采购人遭受的一切损失。同时中标人相应顺延被更换货物的质保期。</w:t>
            </w:r>
          </w:p>
          <w:p>
            <w:pPr>
              <w:pStyle w:val="null3"/>
              <w:jc w:val="left"/>
            </w:pPr>
            <w:r>
              <w:rPr>
                <w:rFonts w:ascii="仿宋_GB2312" w:hAnsi="仿宋_GB2312" w:cs="仿宋_GB2312" w:eastAsia="仿宋_GB2312"/>
              </w:rPr>
              <w:t>⑤如果在采购人发出索赔通知后7天内，中标人未作答复，上述索赔应视为已被中标人接受。如中标人未能在收到索赔通知后7天内或征得甲方同意的延长期内，按照采购人选择的方法解决索赔事宜，采购人将有权从货款中扣回索赔金额，同时保留进一步要求索赔的权力。</w:t>
            </w:r>
          </w:p>
          <w:p>
            <w:pPr>
              <w:pStyle w:val="null3"/>
              <w:jc w:val="left"/>
            </w:pPr>
            <w:r>
              <w:rPr>
                <w:rFonts w:ascii="仿宋_GB2312" w:hAnsi="仿宋_GB2312" w:cs="仿宋_GB2312" w:eastAsia="仿宋_GB2312"/>
              </w:rPr>
              <w:t>⑥因设备的质量问题而发生争议，由质检部门进行质量鉴定。设备符合质量标准的，鉴定费用由采购人承担；设备不符合质量标准的，鉴定费用由中标人承担。</w:t>
            </w:r>
          </w:p>
          <w:p>
            <w:pPr>
              <w:pStyle w:val="null3"/>
              <w:jc w:val="left"/>
            </w:pPr>
            <w:r>
              <w:rPr>
                <w:rFonts w:ascii="仿宋_GB2312" w:hAnsi="仿宋_GB2312" w:cs="仿宋_GB2312" w:eastAsia="仿宋_GB2312"/>
              </w:rPr>
              <w:t>（3）其他要求：</w:t>
            </w:r>
          </w:p>
          <w:p>
            <w:pPr>
              <w:pStyle w:val="null3"/>
              <w:jc w:val="left"/>
            </w:pPr>
            <w:r>
              <w:rPr>
                <w:rFonts w:ascii="仿宋_GB2312" w:hAnsi="仿宋_GB2312" w:cs="仿宋_GB2312" w:eastAsia="仿宋_GB2312"/>
              </w:rPr>
              <w:t>①投标人应根据本项目采购需求提供项目实施计划及质量保证措施、安装、调试方案、售后服务与应急方案等，方案内容应详细具体、科学合理，符合采购需求。</w:t>
            </w:r>
          </w:p>
          <w:p>
            <w:pPr>
              <w:pStyle w:val="null3"/>
              <w:jc w:val="left"/>
            </w:pPr>
            <w:r>
              <w:rPr>
                <w:rFonts w:ascii="仿宋_GB2312" w:hAnsi="仿宋_GB2312" w:cs="仿宋_GB2312" w:eastAsia="仿宋_GB2312"/>
              </w:rPr>
              <w:t>②其他未尽事宜已双方签订的采购合同为准</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注：1.打“★”号条款为实质性条款，若有任何一条负偏离或不满足则导致投标无效。 2.打“▲”号条款为重要技术参数，若有部分“▲”条款未响应或不满足，不作为无效投标条款。</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无不良信用记录承诺函 无重大违法记录声明函 商业信誉、财务会计制度、缴纳税收和社保的承诺函 具有独立承担民事责任的能力证明文件 具备履行合同所必需设备和专业技术能力的声明函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参加政府采购活动前三年内（成立不满三年的自公司成立之日起算），无环保类行政处罚记录：提供声明函（格式）</w:t>
            </w:r>
          </w:p>
        </w:tc>
        <w:tc>
          <w:tcPr>
            <w:tcW w:type="dxa" w:w="3322"/>
          </w:tcPr>
          <w:p>
            <w:pPr>
              <w:pStyle w:val="null3"/>
              <w:jc w:val="left"/>
            </w:pPr>
            <w:r>
              <w:rPr>
                <w:rFonts w:ascii="仿宋_GB2312" w:hAnsi="仿宋_GB2312" w:cs="仿宋_GB2312" w:eastAsia="仿宋_GB2312"/>
              </w:rPr>
              <w:t>参加政府采购活动前三年内（成立不满三年的自公司成立之日起算），无环保类行政处罚记录：提供声明函（格式）</w:t>
            </w:r>
          </w:p>
        </w:tc>
        <w:tc>
          <w:tcPr>
            <w:tcW w:type="dxa" w:w="1661"/>
          </w:tcPr>
          <w:p>
            <w:pPr>
              <w:pStyle w:val="null3"/>
              <w:jc w:val="left"/>
            </w:pPr>
            <w:r>
              <w:rPr>
                <w:rFonts w:ascii="仿宋_GB2312" w:hAnsi="仿宋_GB2312" w:cs="仿宋_GB2312" w:eastAsia="仿宋_GB2312"/>
              </w:rPr>
              <w:t>政府采购活动前三年内无环保类行政处罚记录声明函</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业绩的证明文件 开标（报价）一览表 中小企业声明函 投标人应急能力的证明文件 政府采购活动前三年内无环保类行政处罚记录声明函 自觉抵制政府采购领域商业贿赂行为承诺书 封面 商业信誉、财务会计制度、缴纳税收和社保的承诺函 投标有效期响应函 具有独立承担民事责任的能力证明文件 投标人承诺函 其他材料 投标（响应）报价明细表 残疾人福利性单位声明函 供应商应提交的相关证明材料 无重大违法记录声明函 无不良信用记录承诺函 法定代表人资格证明书或法定代表人授权委托书 技术和服务要求响应表 监狱企业的证明文件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业绩的证明文件 开标（报价）一览表 中小企业声明函 投标人应急能力的证明文件 政府采购活动前三年内无环保类行政处罚记录声明函 自觉抵制政府采购领域商业贿赂行为承诺书 封面 商业信誉、财务会计制度、缴纳税收和社保的承诺函 投标有效期响应函 具有独立承担民事责任的能力证明文件 投标人承诺函 其他材料 投标（响应）报价明细表 残疾人福利性单位声明函 供应商应提交的相关证明材料 无重大违法记录声明函 无不良信用记录承诺函 法定代表人资格证明书或法定代表人授权委托书 技术和服务要求响应表 监狱企业的证明文件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业绩的证明文件 开标（报价）一览表 中小企业声明函 投标人应急能力的证明文件 政府采购活动前三年内无环保类行政处罚记录声明函 自觉抵制政府采购领域商业贿赂行为承诺书 封面 商业信誉、财务会计制度、缴纳税收和社保的承诺函 投标有效期响应函 具有独立承担民事责任的能力证明文件 投标人承诺函 其他材料 投标（响应）报价明细表 残疾人福利性单位声明函 供应商应提交的相关证明材料 无重大违法记录声明函 无不良信用记录承诺函 法定代表人资格证明书或法定代表人授权委托书 技术和服务要求响应表 监狱企业的证明文件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投标有效期响应函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技术部分32.46分</w:t>
            </w:r>
          </w:p>
          <w:p>
            <w:pPr>
              <w:pStyle w:val="null3"/>
              <w:jc w:val="both"/>
            </w:pPr>
            <w:r>
              <w:rPr>
                <w:rFonts w:ascii="仿宋_GB2312" w:hAnsi="仿宋_GB2312" w:cs="仿宋_GB2312" w:eastAsia="仿宋_GB2312"/>
              </w:rPr>
              <w:t>商务部分37.54分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技术参数响应情况</w:t>
            </w:r>
          </w:p>
        </w:tc>
        <w:tc>
          <w:tcPr>
            <w:tcW w:type="dxa" w:w="2492"/>
          </w:tcPr>
          <w:p>
            <w:pPr>
              <w:pStyle w:val="null3"/>
              <w:jc w:val="both"/>
            </w:pPr>
            <w:r>
              <w:rPr>
                <w:rFonts w:ascii="仿宋_GB2312" w:hAnsi="仿宋_GB2312" w:cs="仿宋_GB2312" w:eastAsia="仿宋_GB2312"/>
              </w:rPr>
              <w:t>根据投标人对标示“▲”符号重要技术参数的响应情况进行评分：完全响应招标文件要求的，得13.6分，标示“▲”符号技术参数总数17项的，每负偏离一项的扣0.8分,扣完为止。 注：本项最高得13.6分。投标人需在《技术和服务要求响应表》中对《采购需求》技术参数的▲条款逐项进行响应。如采购需求中要求提供证明材料的需按要求提供，否则视为不响应。</w:t>
            </w:r>
          </w:p>
        </w:tc>
        <w:tc>
          <w:tcPr>
            <w:tcW w:type="dxa" w:w="831"/>
          </w:tcPr>
          <w:p>
            <w:pPr>
              <w:pStyle w:val="null3"/>
              <w:jc w:val="right"/>
            </w:pPr>
            <w:r>
              <w:rPr>
                <w:rFonts w:ascii="仿宋_GB2312" w:hAnsi="仿宋_GB2312" w:cs="仿宋_GB2312" w:eastAsia="仿宋_GB2312"/>
              </w:rPr>
              <w:t>13.6000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技术和服务要求响应表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一般技术指标（无标识条款）响应情况</w:t>
            </w:r>
          </w:p>
        </w:tc>
        <w:tc>
          <w:tcPr>
            <w:tcW w:type="dxa" w:w="2492"/>
          </w:tcPr>
          <w:p>
            <w:pPr>
              <w:pStyle w:val="null3"/>
              <w:jc w:val="both"/>
            </w:pPr>
            <w:r>
              <w:rPr>
                <w:rFonts w:ascii="仿宋_GB2312" w:hAnsi="仿宋_GB2312" w:cs="仿宋_GB2312" w:eastAsia="仿宋_GB2312"/>
              </w:rPr>
              <w:t>根据投标人对无符号标识（即非▲和非★）的技术参数的响应情况进行评分：完全响应或优于招标文件要求得18.86分；无符号标识（即非▲和非★）的技术参数总数82项的，每出现一项负偏离扣0.23分,扣完为止。 注：本项最高得18.86分。投标人需在《技术和服务要求响应表》中对《采购需求》技术参数的无标识条款逐项进行响应。如采购需求中要求提供证明材料的需按要求提供，否则视为不响应。</w:t>
            </w:r>
          </w:p>
        </w:tc>
        <w:tc>
          <w:tcPr>
            <w:tcW w:type="dxa" w:w="831"/>
          </w:tcPr>
          <w:p>
            <w:pPr>
              <w:pStyle w:val="null3"/>
              <w:jc w:val="right"/>
            </w:pPr>
            <w:r>
              <w:rPr>
                <w:rFonts w:ascii="仿宋_GB2312" w:hAnsi="仿宋_GB2312" w:cs="仿宋_GB2312" w:eastAsia="仿宋_GB2312"/>
              </w:rPr>
              <w:t>18.8600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技术和服务要求响应表</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实施计划及质量保证措施</w:t>
            </w:r>
          </w:p>
        </w:tc>
        <w:tc>
          <w:tcPr>
            <w:tcW w:type="dxa" w:w="2492"/>
          </w:tcPr>
          <w:p>
            <w:pPr>
              <w:pStyle w:val="null3"/>
              <w:jc w:val="both"/>
            </w:pPr>
            <w:r>
              <w:rPr>
                <w:rFonts w:ascii="仿宋_GB2312" w:hAnsi="仿宋_GB2312" w:cs="仿宋_GB2312" w:eastAsia="仿宋_GB2312"/>
              </w:rPr>
              <w:t>投标人针对本项目提供实施计划及质量保证措施方案，包括但不限于：①项目实施计划安排（至少含设备到货时间、安装工期）、②设备运输方案、③质量控制机制[至少含人员分工（列明安装/监管/验收责任人]、④质量控制方法（至少含安装后试运行服务内容）、⑤验收服务方案等进行综合评审： 方案包含以上全部内容且不存在缺陷的得10分，在此基础上，每缺少一项内容扣2分，每有一处内容存在缺陷扣0.5分，扣完为止。 注：“内容存在缺陷”是指：存在不适用项目实际情况的情形或凭空编造或套用其他项目方案或内容前后不一致或前后逻辑错误或涉及的规范及标准错误或地点区域错误或内容缺失或不利于项目实施或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安装、调试方案</w:t>
            </w:r>
          </w:p>
        </w:tc>
        <w:tc>
          <w:tcPr>
            <w:tcW w:type="dxa" w:w="2492"/>
          </w:tcPr>
          <w:p>
            <w:pPr>
              <w:pStyle w:val="null3"/>
              <w:jc w:val="both"/>
            </w:pPr>
            <w:r>
              <w:rPr>
                <w:rFonts w:ascii="仿宋_GB2312" w:hAnsi="仿宋_GB2312" w:cs="仿宋_GB2312" w:eastAsia="仿宋_GB2312"/>
              </w:rPr>
              <w:t>投标人针对本项目提供安装、调试方案，包括但不限于：①安装前准备（至少含琼中转运站场地勘测计划，旧设备拆除衔接计划）、②设备安装方法及流程、③安装与调试的时间计划安排、④调试实施方案（至少含单机调试方案、联动调试方案）、⑤调试验收记录（提供可直接使用的记录表格模板）等进行综合评审： 方案包含以上全部内容且不存在缺陷的得10分，在此基础上，每缺少一项内容扣2分，每有一处内容存在缺陷扣0.5分，扣完为止。 注：“内容存在缺陷”是指：存在不适用项目实际情况的情形或凭空编造或套用其他项目方案或内容前后不一致或前后逻辑错误或涉及的规范及标准错误或地点区域错误或内容缺失或不利于项目实施或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售后服务与应急方案</w:t>
            </w:r>
          </w:p>
        </w:tc>
        <w:tc>
          <w:tcPr>
            <w:tcW w:type="dxa" w:w="2492"/>
          </w:tcPr>
          <w:p>
            <w:pPr>
              <w:pStyle w:val="null3"/>
              <w:jc w:val="both"/>
            </w:pPr>
            <w:r>
              <w:rPr>
                <w:rFonts w:ascii="仿宋_GB2312" w:hAnsi="仿宋_GB2312" w:cs="仿宋_GB2312" w:eastAsia="仿宋_GB2312"/>
              </w:rPr>
              <w:t>投标人针对本项目提供售后服务与应急方案，包括但不限于：①售后服务方案[至少含响应时效及质保期内免费维修范围，备件储备（列明备件清单）]、②应急方案[至少含设备故障处置措施，台风季防护措施，应急联系人设置（提供 24 小时畅通电话及备用联系人）]、③服务便利性保障措施、④服务承诺（含质保期、维护保养方案、应急维修时间）等进行综合评审： 方案包含以上全部内容且不存在缺陷的得8分，在此基础上，每缺少一项内容扣2分，每有一处内容存在缺陷扣0.5分，扣完为止。 注：“内容存在缺陷”是指：存在不适用项目实际情况的情形或凭空编造或套用其他项目方案或内容前后不一致或前后逻辑错误或涉及的规范及标准错误或地点区域错误或内容缺失或不利于项目实施或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业绩</w:t>
            </w:r>
          </w:p>
        </w:tc>
        <w:tc>
          <w:tcPr>
            <w:tcW w:type="dxa" w:w="2492"/>
          </w:tcPr>
          <w:p>
            <w:pPr>
              <w:pStyle w:val="null3"/>
              <w:jc w:val="both"/>
            </w:pPr>
            <w:r>
              <w:rPr>
                <w:rFonts w:ascii="仿宋_GB2312" w:hAnsi="仿宋_GB2312" w:cs="仿宋_GB2312" w:eastAsia="仿宋_GB2312"/>
              </w:rPr>
              <w:t>根据投标人（或产品制造商）自2022年1月1日起至本项目投标截止时间止（以合同签订时间为准）完成（或正在承接）同类项目（本项目采购需求同类产品类）业绩进行评分，每提供1个业绩得4分，最高得8分。 注：该项评分以投标人提供合同关键页（至少包括采购内容、签约日期、双方盖章）作为评审依据，不按要求提供或提供的不清晰导致评审无法判断的不得分。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业绩的证明文件</w:t>
            </w:r>
          </w:p>
        </w:tc>
      </w:tr>
      <w:tr>
        <w:tc>
          <w:tcPr>
            <w:tcW w:type="dxa" w:w="831"/>
            <w:vMerge/>
          </w:tcPr>
          <w:p/>
        </w:tc>
        <w:tc>
          <w:tcPr>
            <w:tcW w:type="dxa" w:w="1661"/>
          </w:tcPr>
          <w:p>
            <w:pPr>
              <w:pStyle w:val="null3"/>
              <w:jc w:val="both"/>
            </w:pPr>
            <w:r>
              <w:rPr>
                <w:rFonts w:ascii="仿宋_GB2312" w:hAnsi="仿宋_GB2312" w:cs="仿宋_GB2312" w:eastAsia="仿宋_GB2312"/>
              </w:rPr>
              <w:t>投标人应急能力</w:t>
            </w:r>
          </w:p>
        </w:tc>
        <w:tc>
          <w:tcPr>
            <w:tcW w:type="dxa" w:w="2492"/>
          </w:tcPr>
          <w:p>
            <w:pPr>
              <w:pStyle w:val="null3"/>
              <w:jc w:val="both"/>
            </w:pPr>
            <w:r>
              <w:rPr>
                <w:rFonts w:ascii="仿宋_GB2312" w:hAnsi="仿宋_GB2312" w:cs="仿宋_GB2312" w:eastAsia="仿宋_GB2312"/>
              </w:rPr>
              <w:t>投标人或投标产品制造商配备自有或租赁的备用件仓库，能保障项目顺利实施，得1.54分；未配备备用件仓库的不得分。 注：需提供产权证明或租赁证明、仓库照片以及备货清单，不提供或提供不全不得分。</w:t>
            </w:r>
          </w:p>
        </w:tc>
        <w:tc>
          <w:tcPr>
            <w:tcW w:type="dxa" w:w="831"/>
          </w:tcPr>
          <w:p>
            <w:pPr>
              <w:pStyle w:val="null3"/>
              <w:jc w:val="right"/>
            </w:pPr>
            <w:r>
              <w:rPr>
                <w:rFonts w:ascii="仿宋_GB2312" w:hAnsi="仿宋_GB2312" w:cs="仿宋_GB2312" w:eastAsia="仿宋_GB2312"/>
              </w:rPr>
              <w:t>1.5400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投标人应急能力的证明文件</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ZZZB2025-42-1</w:t>
      </w:r>
    </w:p>
    <w:p>
      <w:pPr>
        <w:pStyle w:val="null3"/>
        <w:jc w:val="left"/>
      </w:pPr>
      <w:r>
        <w:rPr>
          <w:rFonts w:ascii="仿宋_GB2312" w:hAnsi="仿宋_GB2312" w:cs="仿宋_GB2312" w:eastAsia="仿宋_GB2312"/>
        </w:rPr>
        <w:t>项目名称：</w:t>
      </w:r>
      <w:r>
        <w:rPr>
          <w:rFonts w:ascii="仿宋_GB2312" w:hAnsi="仿宋_GB2312" w:cs="仿宋_GB2312" w:eastAsia="仿宋_GB2312"/>
        </w:rPr>
        <w:t>琼中黎族苗族自治县环卫设备设施更新改造项目（垃圾转运站设备采购）</w:t>
      </w:r>
    </w:p>
    <w:p>
      <w:pPr>
        <w:pStyle w:val="null3"/>
        <w:jc w:val="left"/>
      </w:pPr>
      <w:r>
        <w:rPr>
          <w:rFonts w:ascii="仿宋_GB2312" w:hAnsi="仿宋_GB2312" w:cs="仿宋_GB2312" w:eastAsia="仿宋_GB2312"/>
        </w:rPr>
        <w:t>采购包：</w:t>
      </w:r>
      <w:r>
        <w:rPr>
          <w:rFonts w:ascii="仿宋_GB2312" w:hAnsi="仿宋_GB2312" w:cs="仿宋_GB2312" w:eastAsia="仿宋_GB2312"/>
        </w:rPr>
        <w:t>琼中黎族苗族自治县环卫设备设施更新改造项目（垃圾转运站设备采购）</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品牌（如有）</w:t>
            </w:r>
          </w:p>
        </w:tc>
        <w:tc>
          <w:tcPr>
            <w:tcW w:type="dxa" w:w="755"/>
          </w:tcPr>
          <w:p>
            <w:pPr>
              <w:pStyle w:val="null3"/>
              <w:jc w:val="left"/>
            </w:pPr>
            <w:r>
              <w:rPr>
                <w:rFonts w:ascii="仿宋_GB2312" w:hAnsi="仿宋_GB2312" w:cs="仿宋_GB2312" w:eastAsia="仿宋_GB2312"/>
              </w:rPr>
              <w:t xml:space="preserve"> 规格型号</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压缩系统</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3900000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集装箱（20m3箱体）</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760000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集装箱（17m3箱体）</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1280000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箱体移位机构</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1200000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中央控制系统</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视频监控系统</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w:t>
            </w:r>
          </w:p>
        </w:tc>
        <w:tc>
          <w:tcPr>
            <w:tcW w:type="dxa" w:w="755"/>
          </w:tcPr>
          <w:p>
            <w:pPr>
              <w:pStyle w:val="null3"/>
              <w:jc w:val="left"/>
            </w:pPr>
            <w:r>
              <w:rPr>
                <w:rFonts w:ascii="仿宋_GB2312" w:hAnsi="仿宋_GB2312" w:cs="仿宋_GB2312" w:eastAsia="仿宋_GB2312"/>
              </w:rPr>
              <w:t xml:space="preserve"> 除臭系统</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1320000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w:t>
            </w:r>
          </w:p>
        </w:tc>
        <w:tc>
          <w:tcPr>
            <w:tcW w:type="dxa" w:w="755"/>
          </w:tcPr>
          <w:p>
            <w:pPr>
              <w:pStyle w:val="null3"/>
              <w:jc w:val="left"/>
            </w:pPr>
            <w:r>
              <w:rPr>
                <w:rFonts w:ascii="仿宋_GB2312" w:hAnsi="仿宋_GB2312" w:cs="仿宋_GB2312" w:eastAsia="仿宋_GB2312"/>
              </w:rPr>
              <w:t xml:space="preserve"> 植物喷淋系统</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780000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w:t>
            </w:r>
          </w:p>
        </w:tc>
        <w:tc>
          <w:tcPr>
            <w:tcW w:type="dxa" w:w="755"/>
          </w:tcPr>
          <w:p>
            <w:pPr>
              <w:pStyle w:val="null3"/>
              <w:jc w:val="left"/>
            </w:pPr>
            <w:r>
              <w:rPr>
                <w:rFonts w:ascii="仿宋_GB2312" w:hAnsi="仿宋_GB2312" w:cs="仿宋_GB2312" w:eastAsia="仿宋_GB2312"/>
              </w:rPr>
              <w:t xml:space="preserve"> 快速卷帘门</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w:t>
            </w:r>
          </w:p>
        </w:tc>
        <w:tc>
          <w:tcPr>
            <w:tcW w:type="dxa" w:w="755"/>
          </w:tcPr>
          <w:p>
            <w:pPr>
              <w:pStyle w:val="null3"/>
              <w:jc w:val="left"/>
            </w:pPr>
            <w:r>
              <w:rPr>
                <w:rFonts w:ascii="仿宋_GB2312" w:hAnsi="仿宋_GB2312" w:cs="仿宋_GB2312" w:eastAsia="仿宋_GB2312"/>
              </w:rPr>
              <w:t xml:space="preserve"> 地磅</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720000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w:t>
            </w:r>
          </w:p>
        </w:tc>
        <w:tc>
          <w:tcPr>
            <w:tcW w:type="dxa" w:w="755"/>
          </w:tcPr>
          <w:p>
            <w:pPr>
              <w:pStyle w:val="null3"/>
              <w:jc w:val="left"/>
            </w:pPr>
            <w:r>
              <w:rPr>
                <w:rFonts w:ascii="仿宋_GB2312" w:hAnsi="仿宋_GB2312" w:cs="仿宋_GB2312" w:eastAsia="仿宋_GB2312"/>
              </w:rPr>
              <w:t xml:space="preserve"> 交通指挥系统</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w:t>
            </w:r>
          </w:p>
        </w:tc>
        <w:tc>
          <w:tcPr>
            <w:tcW w:type="dxa" w:w="755"/>
          </w:tcPr>
          <w:p>
            <w:pPr>
              <w:pStyle w:val="null3"/>
              <w:jc w:val="left"/>
            </w:pPr>
            <w:r>
              <w:rPr>
                <w:rFonts w:ascii="仿宋_GB2312" w:hAnsi="仿宋_GB2312" w:cs="仿宋_GB2312" w:eastAsia="仿宋_GB2312"/>
              </w:rPr>
              <w:t xml:space="preserve"> 高压喷淋降尘系统</w:t>
            </w:r>
          </w:p>
        </w:tc>
        <w:tc>
          <w:tcPr>
            <w:tcW w:type="dxa" w:w="755"/>
          </w:tcPr>
          <w:p>
            <w:pPr>
              <w:pStyle w:val="null3"/>
              <w:jc w:val="left"/>
            </w:pPr>
            <w:r>
              <w:rPr>
                <w:rFonts w:ascii="仿宋_GB2312" w:hAnsi="仿宋_GB2312" w:cs="仿宋_GB2312" w:eastAsia="仿宋_GB2312"/>
              </w:rPr>
              <w:t xml:space="preserve"> 12.0000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120000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w:t>
            </w:r>
          </w:p>
        </w:tc>
        <w:tc>
          <w:tcPr>
            <w:tcW w:type="dxa" w:w="755"/>
          </w:tcPr>
          <w:p>
            <w:pPr>
              <w:pStyle w:val="null3"/>
              <w:jc w:val="left"/>
            </w:pPr>
            <w:r>
              <w:rPr>
                <w:rFonts w:ascii="仿宋_GB2312" w:hAnsi="仿宋_GB2312" w:cs="仿宋_GB2312" w:eastAsia="仿宋_GB2312"/>
              </w:rPr>
              <w:t xml:space="preserve"> 高压清洗机</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备注：响应报价合计超过采购预算金额按无效投标处理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详见附件：政府采购活动前三年内无环保类行政处罚记录声明函</w:t>
      </w:r>
    </w:p>
    <w:p>
      <w:pPr>
        <w:pStyle w:val="null3"/>
        <w:ind w:firstLine="960"/>
        <w:jc w:val="left"/>
      </w:pPr>
      <w:r>
        <w:rPr>
          <w:rFonts w:ascii="仿宋_GB2312" w:hAnsi="仿宋_GB2312" w:cs="仿宋_GB2312" w:eastAsia="仿宋_GB2312"/>
        </w:rPr>
        <w:t>详见附件：投标有效期响应函</w:t>
      </w:r>
    </w:p>
    <w:p>
      <w:pPr>
        <w:pStyle w:val="null3"/>
        <w:ind w:firstLine="960"/>
        <w:jc w:val="left"/>
      </w:pPr>
      <w:r>
        <w:rPr>
          <w:rFonts w:ascii="仿宋_GB2312" w:hAnsi="仿宋_GB2312" w:cs="仿宋_GB2312" w:eastAsia="仿宋_GB2312"/>
        </w:rPr>
        <w:t>详见附件：无不良信用记录承诺函</w:t>
      </w:r>
    </w:p>
    <w:p>
      <w:pPr>
        <w:pStyle w:val="null3"/>
        <w:ind w:firstLine="960"/>
        <w:jc w:val="left"/>
      </w:pPr>
      <w:r>
        <w:rPr>
          <w:rFonts w:ascii="仿宋_GB2312" w:hAnsi="仿宋_GB2312" w:cs="仿宋_GB2312" w:eastAsia="仿宋_GB2312"/>
        </w:rPr>
        <w:t>详见附件：业绩的证明文件</w:t>
      </w:r>
    </w:p>
    <w:p>
      <w:pPr>
        <w:pStyle w:val="null3"/>
        <w:ind w:firstLine="960"/>
        <w:jc w:val="left"/>
      </w:pPr>
      <w:r>
        <w:rPr>
          <w:rFonts w:ascii="仿宋_GB2312" w:hAnsi="仿宋_GB2312" w:cs="仿宋_GB2312" w:eastAsia="仿宋_GB2312"/>
        </w:rPr>
        <w:t>详见附件：投标人应急能力的证明文件</w:t>
      </w:r>
    </w:p>
    <w:p>
      <w:pPr>
        <w:pStyle w:val="null3"/>
        <w:ind w:firstLine="960"/>
        <w:jc w:val="left"/>
      </w:pPr>
      <w:r>
        <w:rPr>
          <w:rFonts w:ascii="仿宋_GB2312" w:hAnsi="仿宋_GB2312" w:cs="仿宋_GB2312" w:eastAsia="仿宋_GB2312"/>
        </w:rPr>
        <w:t>详见附件：技术和服务要求响应表</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