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571F1">
      <w:pPr>
        <w:pStyle w:val="4"/>
        <w:jc w:val="center"/>
        <w:outlineLvl w:val="1"/>
      </w:pPr>
      <w:r>
        <w:rPr>
          <w:rFonts w:ascii="仿宋_GB2312" w:hAnsi="仿宋_GB2312" w:eastAsia="仿宋_GB2312" w:cs="仿宋_GB2312"/>
          <w:b/>
          <w:sz w:val="36"/>
        </w:rPr>
        <w:t>第三章 技术、服务及其他要求</w:t>
      </w:r>
    </w:p>
    <w:p w14:paraId="134008A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9069EA3">
      <w:pPr>
        <w:pStyle w:val="4"/>
        <w:jc w:val="left"/>
        <w:outlineLvl w:val="2"/>
      </w:pPr>
      <w:r>
        <w:rPr>
          <w:rFonts w:ascii="仿宋_GB2312" w:hAnsi="仿宋_GB2312" w:eastAsia="仿宋_GB2312" w:cs="仿宋_GB2312"/>
          <w:b/>
          <w:sz w:val="28"/>
        </w:rPr>
        <w:t>3.1.采购内容</w:t>
      </w:r>
    </w:p>
    <w:p w14:paraId="433F079C">
      <w:pPr>
        <w:pStyle w:val="4"/>
        <w:jc w:val="left"/>
      </w:pPr>
      <w:r>
        <w:rPr>
          <w:rFonts w:ascii="仿宋_GB2312" w:hAnsi="仿宋_GB2312" w:eastAsia="仿宋_GB2312" w:cs="仿宋_GB2312"/>
        </w:rPr>
        <w:t>采购包1：</w:t>
      </w:r>
    </w:p>
    <w:p w14:paraId="733C499E">
      <w:pPr>
        <w:pStyle w:val="4"/>
        <w:jc w:val="left"/>
      </w:pPr>
      <w:r>
        <w:rPr>
          <w:rFonts w:ascii="仿宋_GB2312" w:hAnsi="仿宋_GB2312" w:eastAsia="仿宋_GB2312" w:cs="仿宋_GB2312"/>
        </w:rPr>
        <w:t>采购包预算金额（元）: 600,000.00</w:t>
      </w:r>
    </w:p>
    <w:p w14:paraId="6FE8B4ED">
      <w:pPr>
        <w:pStyle w:val="4"/>
        <w:jc w:val="left"/>
      </w:pPr>
      <w:r>
        <w:rPr>
          <w:rFonts w:ascii="仿宋_GB2312" w:hAnsi="仿宋_GB2312" w:eastAsia="仿宋_GB2312" w:cs="仿宋_GB2312"/>
        </w:rPr>
        <w:t>采购包最高限价（元）: 460,000.00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0D5E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9E6F64">
            <w:pPr>
              <w:pStyle w:val="4"/>
              <w:jc w:val="center"/>
            </w:pPr>
            <w:r>
              <w:rPr>
                <w:rFonts w:ascii="仿宋_GB2312" w:hAnsi="仿宋_GB2312" w:eastAsia="仿宋_GB2312" w:cs="仿宋_GB2312"/>
              </w:rPr>
              <w:t>序号</w:t>
            </w:r>
          </w:p>
        </w:tc>
        <w:tc>
          <w:tcPr>
            <w:tcW w:w="821" w:type="dxa"/>
          </w:tcPr>
          <w:p w14:paraId="3F7E4CDE">
            <w:pPr>
              <w:pStyle w:val="4"/>
              <w:jc w:val="center"/>
            </w:pPr>
            <w:r>
              <w:rPr>
                <w:rFonts w:ascii="仿宋_GB2312" w:hAnsi="仿宋_GB2312" w:eastAsia="仿宋_GB2312" w:cs="仿宋_GB2312"/>
              </w:rPr>
              <w:t>采购品目名称</w:t>
            </w:r>
          </w:p>
        </w:tc>
        <w:tc>
          <w:tcPr>
            <w:tcW w:w="821" w:type="dxa"/>
          </w:tcPr>
          <w:p w14:paraId="1A4A41E1">
            <w:pPr>
              <w:pStyle w:val="4"/>
              <w:jc w:val="center"/>
            </w:pPr>
            <w:r>
              <w:rPr>
                <w:rFonts w:ascii="仿宋_GB2312" w:hAnsi="仿宋_GB2312" w:eastAsia="仿宋_GB2312" w:cs="仿宋_GB2312"/>
              </w:rPr>
              <w:t>标的名称</w:t>
            </w:r>
          </w:p>
        </w:tc>
        <w:tc>
          <w:tcPr>
            <w:tcW w:w="821" w:type="dxa"/>
          </w:tcPr>
          <w:p w14:paraId="5213837B">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58738C4">
            <w:pPr>
              <w:pStyle w:val="4"/>
              <w:jc w:val="center"/>
            </w:pPr>
            <w:r>
              <w:rPr>
                <w:rFonts w:ascii="仿宋_GB2312" w:hAnsi="仿宋_GB2312" w:eastAsia="仿宋_GB2312" w:cs="仿宋_GB2312"/>
              </w:rPr>
              <w:t>标的金额 （元）</w:t>
            </w:r>
          </w:p>
        </w:tc>
        <w:tc>
          <w:tcPr>
            <w:tcW w:w="821" w:type="dxa"/>
          </w:tcPr>
          <w:p w14:paraId="05B9F2EE">
            <w:pPr>
              <w:pStyle w:val="4"/>
              <w:jc w:val="center"/>
            </w:pPr>
            <w:r>
              <w:rPr>
                <w:rFonts w:ascii="仿宋_GB2312" w:hAnsi="仿宋_GB2312" w:eastAsia="仿宋_GB2312" w:cs="仿宋_GB2312"/>
              </w:rPr>
              <w:t>所属行业</w:t>
            </w:r>
          </w:p>
        </w:tc>
        <w:tc>
          <w:tcPr>
            <w:tcW w:w="821" w:type="dxa"/>
          </w:tcPr>
          <w:p w14:paraId="75D53B4F">
            <w:pPr>
              <w:pStyle w:val="4"/>
              <w:jc w:val="center"/>
            </w:pPr>
            <w:r>
              <w:rPr>
                <w:rFonts w:ascii="仿宋_GB2312" w:hAnsi="仿宋_GB2312" w:eastAsia="仿宋_GB2312" w:cs="仿宋_GB2312"/>
              </w:rPr>
              <w:t>是否涉及核心产品</w:t>
            </w:r>
          </w:p>
        </w:tc>
        <w:tc>
          <w:tcPr>
            <w:tcW w:w="821" w:type="dxa"/>
          </w:tcPr>
          <w:p w14:paraId="54936FF9">
            <w:pPr>
              <w:pStyle w:val="4"/>
              <w:jc w:val="center"/>
            </w:pPr>
            <w:r>
              <w:rPr>
                <w:rFonts w:ascii="仿宋_GB2312" w:hAnsi="仿宋_GB2312" w:eastAsia="仿宋_GB2312" w:cs="仿宋_GB2312"/>
              </w:rPr>
              <w:t>是否涉及采购进口产品</w:t>
            </w:r>
          </w:p>
        </w:tc>
        <w:tc>
          <w:tcPr>
            <w:tcW w:w="821" w:type="dxa"/>
          </w:tcPr>
          <w:p w14:paraId="2775A3C9">
            <w:pPr>
              <w:pStyle w:val="4"/>
              <w:jc w:val="center"/>
            </w:pPr>
            <w:r>
              <w:rPr>
                <w:rFonts w:ascii="仿宋_GB2312" w:hAnsi="仿宋_GB2312" w:eastAsia="仿宋_GB2312" w:cs="仿宋_GB2312"/>
              </w:rPr>
              <w:t>是否涉及强制采购节能产品</w:t>
            </w:r>
          </w:p>
        </w:tc>
        <w:tc>
          <w:tcPr>
            <w:tcW w:w="639" w:type="dxa"/>
          </w:tcPr>
          <w:p w14:paraId="3118C9E4">
            <w:pPr>
              <w:pStyle w:val="4"/>
              <w:jc w:val="center"/>
            </w:pPr>
            <w:r>
              <w:rPr>
                <w:rFonts w:ascii="仿宋_GB2312" w:hAnsi="仿宋_GB2312" w:eastAsia="仿宋_GB2312" w:cs="仿宋_GB2312"/>
              </w:rPr>
              <w:t>是否涉及优先采购节能产品</w:t>
            </w:r>
          </w:p>
        </w:tc>
        <w:tc>
          <w:tcPr>
            <w:tcW w:w="639" w:type="dxa"/>
          </w:tcPr>
          <w:p w14:paraId="55F1E964">
            <w:pPr>
              <w:pStyle w:val="4"/>
              <w:jc w:val="center"/>
            </w:pPr>
            <w:r>
              <w:rPr>
                <w:rFonts w:ascii="仿宋_GB2312" w:hAnsi="仿宋_GB2312" w:eastAsia="仿宋_GB2312" w:cs="仿宋_GB2312"/>
              </w:rPr>
              <w:t>是否涉及优先采购环境标志产品</w:t>
            </w:r>
          </w:p>
        </w:tc>
      </w:tr>
      <w:tr w14:paraId="271C8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C61B89">
            <w:pPr>
              <w:pStyle w:val="4"/>
              <w:jc w:val="left"/>
            </w:pPr>
            <w:r>
              <w:rPr>
                <w:rFonts w:ascii="仿宋_GB2312" w:hAnsi="仿宋_GB2312" w:eastAsia="仿宋_GB2312" w:cs="仿宋_GB2312"/>
              </w:rPr>
              <w:t>1</w:t>
            </w:r>
          </w:p>
        </w:tc>
        <w:tc>
          <w:tcPr>
            <w:tcW w:w="821" w:type="dxa"/>
          </w:tcPr>
          <w:p w14:paraId="7F080C68">
            <w:pPr>
              <w:pStyle w:val="4"/>
              <w:jc w:val="left"/>
            </w:pPr>
            <w:r>
              <w:rPr>
                <w:rFonts w:ascii="仿宋_GB2312" w:hAnsi="仿宋_GB2312" w:eastAsia="仿宋_GB2312" w:cs="仿宋_GB2312"/>
              </w:rPr>
              <w:t>C18040199 其他商业保险服务</w:t>
            </w:r>
          </w:p>
        </w:tc>
        <w:tc>
          <w:tcPr>
            <w:tcW w:w="821" w:type="dxa"/>
          </w:tcPr>
          <w:p w14:paraId="33F39F8E">
            <w:pPr>
              <w:pStyle w:val="4"/>
              <w:jc w:val="left"/>
            </w:pPr>
            <w:r>
              <w:rPr>
                <w:rFonts w:ascii="仿宋_GB2312" w:hAnsi="仿宋_GB2312" w:eastAsia="仿宋_GB2312" w:cs="仿宋_GB2312"/>
              </w:rPr>
              <w:t>医疗责任险采购项目</w:t>
            </w:r>
          </w:p>
        </w:tc>
        <w:tc>
          <w:tcPr>
            <w:tcW w:w="821" w:type="dxa"/>
          </w:tcPr>
          <w:p w14:paraId="0B40DDF5">
            <w:pPr>
              <w:pStyle w:val="4"/>
              <w:jc w:val="right"/>
            </w:pPr>
            <w:r>
              <w:rPr>
                <w:rFonts w:ascii="仿宋_GB2312" w:hAnsi="仿宋_GB2312" w:eastAsia="仿宋_GB2312" w:cs="仿宋_GB2312"/>
              </w:rPr>
              <w:t>1.00（项）</w:t>
            </w:r>
          </w:p>
        </w:tc>
        <w:tc>
          <w:tcPr>
            <w:tcW w:w="821" w:type="dxa"/>
          </w:tcPr>
          <w:p w14:paraId="6C9A846F">
            <w:pPr>
              <w:pStyle w:val="4"/>
              <w:jc w:val="right"/>
            </w:pPr>
            <w:r>
              <w:rPr>
                <w:rFonts w:ascii="仿宋_GB2312" w:hAnsi="仿宋_GB2312" w:eastAsia="仿宋_GB2312" w:cs="仿宋_GB2312"/>
              </w:rPr>
              <w:t>460,000.00</w:t>
            </w:r>
          </w:p>
        </w:tc>
        <w:tc>
          <w:tcPr>
            <w:tcW w:w="821" w:type="dxa"/>
          </w:tcPr>
          <w:p w14:paraId="172DD4A7">
            <w:pPr>
              <w:pStyle w:val="4"/>
              <w:jc w:val="left"/>
            </w:pPr>
            <w:r>
              <w:rPr>
                <w:rFonts w:ascii="仿宋_GB2312" w:hAnsi="仿宋_GB2312" w:eastAsia="仿宋_GB2312" w:cs="仿宋_GB2312"/>
              </w:rPr>
              <w:t>其他未列明行业</w:t>
            </w:r>
          </w:p>
        </w:tc>
        <w:tc>
          <w:tcPr>
            <w:tcW w:w="821" w:type="dxa"/>
          </w:tcPr>
          <w:p w14:paraId="2847AA54">
            <w:pPr>
              <w:pStyle w:val="4"/>
              <w:jc w:val="left"/>
            </w:pPr>
            <w:r>
              <w:rPr>
                <w:rFonts w:ascii="仿宋_GB2312" w:hAnsi="仿宋_GB2312" w:eastAsia="仿宋_GB2312" w:cs="仿宋_GB2312"/>
              </w:rPr>
              <w:t>否</w:t>
            </w:r>
          </w:p>
        </w:tc>
        <w:tc>
          <w:tcPr>
            <w:tcW w:w="821" w:type="dxa"/>
          </w:tcPr>
          <w:p w14:paraId="7C2C6CC9">
            <w:pPr>
              <w:pStyle w:val="4"/>
              <w:jc w:val="left"/>
            </w:pPr>
            <w:r>
              <w:rPr>
                <w:rFonts w:ascii="仿宋_GB2312" w:hAnsi="仿宋_GB2312" w:eastAsia="仿宋_GB2312" w:cs="仿宋_GB2312"/>
              </w:rPr>
              <w:t>否</w:t>
            </w:r>
          </w:p>
        </w:tc>
        <w:tc>
          <w:tcPr>
            <w:tcW w:w="821" w:type="dxa"/>
          </w:tcPr>
          <w:p w14:paraId="6EF7B72D">
            <w:pPr>
              <w:pStyle w:val="4"/>
              <w:jc w:val="left"/>
            </w:pPr>
            <w:r>
              <w:rPr>
                <w:rFonts w:ascii="仿宋_GB2312" w:hAnsi="仿宋_GB2312" w:eastAsia="仿宋_GB2312" w:cs="仿宋_GB2312"/>
              </w:rPr>
              <w:t>否</w:t>
            </w:r>
          </w:p>
        </w:tc>
        <w:tc>
          <w:tcPr>
            <w:tcW w:w="639" w:type="dxa"/>
          </w:tcPr>
          <w:p w14:paraId="39F46B7F">
            <w:pPr>
              <w:pStyle w:val="4"/>
              <w:jc w:val="left"/>
            </w:pPr>
            <w:r>
              <w:rPr>
                <w:rFonts w:ascii="仿宋_GB2312" w:hAnsi="仿宋_GB2312" w:eastAsia="仿宋_GB2312" w:cs="仿宋_GB2312"/>
              </w:rPr>
              <w:t>否</w:t>
            </w:r>
          </w:p>
        </w:tc>
        <w:tc>
          <w:tcPr>
            <w:tcW w:w="639" w:type="dxa"/>
          </w:tcPr>
          <w:p w14:paraId="6CB06F38">
            <w:pPr>
              <w:pStyle w:val="4"/>
              <w:jc w:val="left"/>
            </w:pPr>
            <w:r>
              <w:rPr>
                <w:rFonts w:ascii="仿宋_GB2312" w:hAnsi="仿宋_GB2312" w:eastAsia="仿宋_GB2312" w:cs="仿宋_GB2312"/>
              </w:rPr>
              <w:t>否</w:t>
            </w:r>
          </w:p>
        </w:tc>
      </w:tr>
    </w:tbl>
    <w:p w14:paraId="0CE3FC06">
      <w:pPr>
        <w:pStyle w:val="4"/>
        <w:jc w:val="left"/>
      </w:pPr>
      <w:r>
        <w:rPr>
          <w:rFonts w:ascii="仿宋_GB2312" w:hAnsi="仿宋_GB2312" w:eastAsia="仿宋_GB2312" w:cs="仿宋_GB2312"/>
        </w:rPr>
        <w:t>是否适用本国产品标准：否</w:t>
      </w:r>
    </w:p>
    <w:p w14:paraId="040032D9">
      <w:pPr>
        <w:pStyle w:val="4"/>
        <w:jc w:val="left"/>
        <w:outlineLvl w:val="3"/>
      </w:pPr>
      <w:r>
        <w:rPr>
          <w:rFonts w:ascii="仿宋_GB2312" w:hAnsi="仿宋_GB2312" w:eastAsia="仿宋_GB2312" w:cs="仿宋_GB2312"/>
          <w:b/>
          <w:sz w:val="24"/>
        </w:rPr>
        <w:t>报价要求</w:t>
      </w:r>
    </w:p>
    <w:p w14:paraId="654DD45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6384A7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78C893">
            <w:pPr>
              <w:pStyle w:val="4"/>
              <w:jc w:val="center"/>
            </w:pPr>
            <w:r>
              <w:rPr>
                <w:rFonts w:ascii="仿宋_GB2312" w:hAnsi="仿宋_GB2312" w:eastAsia="仿宋_GB2312" w:cs="仿宋_GB2312"/>
              </w:rPr>
              <w:t>序号</w:t>
            </w:r>
          </w:p>
        </w:tc>
        <w:tc>
          <w:tcPr>
            <w:tcW w:w="1707" w:type="dxa"/>
          </w:tcPr>
          <w:p w14:paraId="0A65A976">
            <w:pPr>
              <w:pStyle w:val="4"/>
              <w:jc w:val="center"/>
            </w:pPr>
            <w:r>
              <w:rPr>
                <w:rFonts w:ascii="仿宋_GB2312" w:hAnsi="仿宋_GB2312" w:eastAsia="仿宋_GB2312" w:cs="仿宋_GB2312"/>
              </w:rPr>
              <w:t>报价内容</w:t>
            </w:r>
          </w:p>
        </w:tc>
        <w:tc>
          <w:tcPr>
            <w:tcW w:w="1138" w:type="dxa"/>
          </w:tcPr>
          <w:p w14:paraId="225B04FD">
            <w:pPr>
              <w:pStyle w:val="4"/>
              <w:jc w:val="center"/>
            </w:pPr>
            <w:r>
              <w:rPr>
                <w:rFonts w:ascii="仿宋_GB2312" w:hAnsi="仿宋_GB2312" w:eastAsia="仿宋_GB2312" w:cs="仿宋_GB2312"/>
              </w:rPr>
              <w:t>数量（计量单位）</w:t>
            </w:r>
          </w:p>
        </w:tc>
        <w:tc>
          <w:tcPr>
            <w:tcW w:w="1365" w:type="dxa"/>
          </w:tcPr>
          <w:p w14:paraId="4926E81D">
            <w:pPr>
              <w:pStyle w:val="4"/>
              <w:jc w:val="center"/>
            </w:pPr>
            <w:r>
              <w:rPr>
                <w:rFonts w:ascii="仿宋_GB2312" w:hAnsi="仿宋_GB2312" w:eastAsia="仿宋_GB2312" w:cs="仿宋_GB2312"/>
              </w:rPr>
              <w:t>最高限价</w:t>
            </w:r>
          </w:p>
        </w:tc>
        <w:tc>
          <w:tcPr>
            <w:tcW w:w="1138" w:type="dxa"/>
          </w:tcPr>
          <w:p w14:paraId="6F1705E1">
            <w:pPr>
              <w:pStyle w:val="4"/>
              <w:jc w:val="center"/>
            </w:pPr>
            <w:r>
              <w:rPr>
                <w:rFonts w:ascii="仿宋_GB2312" w:hAnsi="仿宋_GB2312" w:eastAsia="仿宋_GB2312" w:cs="仿宋_GB2312"/>
              </w:rPr>
              <w:t>价款形式</w:t>
            </w:r>
          </w:p>
        </w:tc>
        <w:tc>
          <w:tcPr>
            <w:tcW w:w="1934" w:type="dxa"/>
          </w:tcPr>
          <w:p w14:paraId="7661ADBB">
            <w:pPr>
              <w:pStyle w:val="4"/>
              <w:jc w:val="center"/>
            </w:pPr>
            <w:r>
              <w:rPr>
                <w:rFonts w:ascii="仿宋_GB2312" w:hAnsi="仿宋_GB2312" w:eastAsia="仿宋_GB2312" w:cs="仿宋_GB2312"/>
              </w:rPr>
              <w:t>报价说明</w:t>
            </w:r>
          </w:p>
        </w:tc>
      </w:tr>
      <w:tr w14:paraId="52B55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5F07D5">
            <w:pPr>
              <w:pStyle w:val="4"/>
              <w:jc w:val="center"/>
            </w:pPr>
            <w:r>
              <w:rPr>
                <w:rFonts w:ascii="仿宋_GB2312" w:hAnsi="仿宋_GB2312" w:eastAsia="仿宋_GB2312" w:cs="仿宋_GB2312"/>
              </w:rPr>
              <w:t>1</w:t>
            </w:r>
          </w:p>
        </w:tc>
        <w:tc>
          <w:tcPr>
            <w:tcW w:w="1707" w:type="dxa"/>
          </w:tcPr>
          <w:p w14:paraId="3512C297">
            <w:pPr>
              <w:pStyle w:val="4"/>
              <w:jc w:val="center"/>
            </w:pPr>
            <w:r>
              <w:rPr>
                <w:rFonts w:ascii="仿宋_GB2312" w:hAnsi="仿宋_GB2312" w:eastAsia="仿宋_GB2312" w:cs="仿宋_GB2312"/>
              </w:rPr>
              <w:t>医疗责任险采购项目</w:t>
            </w:r>
          </w:p>
        </w:tc>
        <w:tc>
          <w:tcPr>
            <w:tcW w:w="1138" w:type="dxa"/>
          </w:tcPr>
          <w:p w14:paraId="1988914C">
            <w:pPr>
              <w:pStyle w:val="4"/>
              <w:jc w:val="center"/>
            </w:pPr>
            <w:r>
              <w:rPr>
                <w:rFonts w:ascii="仿宋_GB2312" w:hAnsi="仿宋_GB2312" w:eastAsia="仿宋_GB2312" w:cs="仿宋_GB2312"/>
              </w:rPr>
              <w:t>1.00（项）</w:t>
            </w:r>
          </w:p>
        </w:tc>
        <w:tc>
          <w:tcPr>
            <w:tcW w:w="1365" w:type="dxa"/>
          </w:tcPr>
          <w:p w14:paraId="747AA357">
            <w:pPr>
              <w:pStyle w:val="4"/>
              <w:jc w:val="center"/>
            </w:pPr>
            <w:r>
              <w:rPr>
                <w:rFonts w:ascii="仿宋_GB2312" w:hAnsi="仿宋_GB2312" w:eastAsia="仿宋_GB2312" w:cs="仿宋_GB2312"/>
              </w:rPr>
              <w:t>460,000.00</w:t>
            </w:r>
          </w:p>
        </w:tc>
        <w:tc>
          <w:tcPr>
            <w:tcW w:w="1138" w:type="dxa"/>
          </w:tcPr>
          <w:p w14:paraId="35076810">
            <w:pPr>
              <w:pStyle w:val="4"/>
              <w:jc w:val="center"/>
            </w:pPr>
            <w:r>
              <w:rPr>
                <w:rFonts w:ascii="仿宋_GB2312" w:hAnsi="仿宋_GB2312" w:eastAsia="仿宋_GB2312" w:cs="仿宋_GB2312"/>
              </w:rPr>
              <w:t>总价</w:t>
            </w:r>
          </w:p>
        </w:tc>
        <w:tc>
          <w:tcPr>
            <w:tcW w:w="1934" w:type="dxa"/>
          </w:tcPr>
          <w:p w14:paraId="1686E280">
            <w:pPr>
              <w:pStyle w:val="4"/>
              <w:jc w:val="left"/>
            </w:pPr>
            <w:r>
              <w:rPr>
                <w:rFonts w:ascii="仿宋_GB2312" w:hAnsi="仿宋_GB2312" w:eastAsia="仿宋_GB2312" w:cs="仿宋_GB2312"/>
              </w:rPr>
              <w:t>无</w:t>
            </w:r>
          </w:p>
        </w:tc>
      </w:tr>
    </w:tbl>
    <w:p w14:paraId="22F31DA9">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919A442">
      <w:pPr>
        <w:pStyle w:val="4"/>
        <w:jc w:val="left"/>
        <w:outlineLvl w:val="3"/>
      </w:pPr>
      <w:r>
        <w:rPr>
          <w:rFonts w:ascii="仿宋_GB2312" w:hAnsi="仿宋_GB2312" w:eastAsia="仿宋_GB2312" w:cs="仿宋_GB2312"/>
          <w:b/>
          <w:sz w:val="24"/>
        </w:rPr>
        <w:t>本项目涉及核心产品：</w:t>
      </w:r>
    </w:p>
    <w:p w14:paraId="76E40C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436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F83CF3">
            <w:pPr>
              <w:pStyle w:val="4"/>
              <w:jc w:val="center"/>
            </w:pPr>
            <w:r>
              <w:rPr>
                <w:rFonts w:ascii="仿宋_GB2312" w:hAnsi="仿宋_GB2312" w:eastAsia="仿宋_GB2312" w:cs="仿宋_GB2312"/>
              </w:rPr>
              <w:t>序号</w:t>
            </w:r>
          </w:p>
        </w:tc>
        <w:tc>
          <w:tcPr>
            <w:tcW w:w="2492" w:type="dxa"/>
          </w:tcPr>
          <w:p w14:paraId="35BD0AAB">
            <w:pPr>
              <w:pStyle w:val="4"/>
              <w:jc w:val="center"/>
            </w:pPr>
            <w:r>
              <w:rPr>
                <w:rFonts w:ascii="仿宋_GB2312" w:hAnsi="仿宋_GB2312" w:eastAsia="仿宋_GB2312" w:cs="仿宋_GB2312"/>
              </w:rPr>
              <w:t>采购品目名称</w:t>
            </w:r>
          </w:p>
        </w:tc>
        <w:tc>
          <w:tcPr>
            <w:tcW w:w="2492" w:type="dxa"/>
          </w:tcPr>
          <w:p w14:paraId="6305FF20">
            <w:pPr>
              <w:pStyle w:val="4"/>
              <w:jc w:val="center"/>
            </w:pPr>
            <w:r>
              <w:rPr>
                <w:rFonts w:ascii="仿宋_GB2312" w:hAnsi="仿宋_GB2312" w:eastAsia="仿宋_GB2312" w:cs="仿宋_GB2312"/>
              </w:rPr>
              <w:t>标的名称</w:t>
            </w:r>
          </w:p>
        </w:tc>
        <w:tc>
          <w:tcPr>
            <w:tcW w:w="2492" w:type="dxa"/>
          </w:tcPr>
          <w:p w14:paraId="74BB8C9D">
            <w:pPr>
              <w:pStyle w:val="4"/>
              <w:jc w:val="center"/>
            </w:pPr>
            <w:r>
              <w:rPr>
                <w:rFonts w:ascii="仿宋_GB2312" w:hAnsi="仿宋_GB2312" w:eastAsia="仿宋_GB2312" w:cs="仿宋_GB2312"/>
              </w:rPr>
              <w:t>产品名称</w:t>
            </w:r>
          </w:p>
        </w:tc>
      </w:tr>
      <w:tr w14:paraId="4D28A3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774383">
            <w:pPr>
              <w:pStyle w:val="4"/>
              <w:jc w:val="center"/>
            </w:pPr>
            <w:r>
              <w:rPr>
                <w:rFonts w:ascii="仿宋_GB2312" w:hAnsi="仿宋_GB2312" w:eastAsia="仿宋_GB2312" w:cs="仿宋_GB2312"/>
              </w:rPr>
              <w:t>不涉及</w:t>
            </w:r>
          </w:p>
        </w:tc>
      </w:tr>
    </w:tbl>
    <w:p w14:paraId="13665AFF">
      <w:pPr>
        <w:pStyle w:val="4"/>
        <w:ind w:firstLine="480"/>
        <w:jc w:val="left"/>
      </w:pPr>
      <w:r>
        <w:rPr>
          <w:rFonts w:ascii="仿宋_GB2312" w:hAnsi="仿宋_GB2312" w:eastAsia="仿宋_GB2312" w:cs="仿宋_GB2312"/>
        </w:rPr>
        <w:t>注：涉及核心产品的，具体评审规定见第五章。</w:t>
      </w:r>
    </w:p>
    <w:p w14:paraId="35A8E3EE">
      <w:pPr>
        <w:pStyle w:val="4"/>
        <w:jc w:val="left"/>
        <w:outlineLvl w:val="3"/>
      </w:pPr>
      <w:r>
        <w:rPr>
          <w:rFonts w:ascii="仿宋_GB2312" w:hAnsi="仿宋_GB2312" w:eastAsia="仿宋_GB2312" w:cs="仿宋_GB2312"/>
          <w:b/>
          <w:sz w:val="24"/>
        </w:rPr>
        <w:t>本项目涉及采购进口产品：</w:t>
      </w:r>
    </w:p>
    <w:p w14:paraId="3B1D56E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DA1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63AA3F">
            <w:pPr>
              <w:pStyle w:val="4"/>
              <w:jc w:val="center"/>
            </w:pPr>
            <w:r>
              <w:rPr>
                <w:rFonts w:ascii="仿宋_GB2312" w:hAnsi="仿宋_GB2312" w:eastAsia="仿宋_GB2312" w:cs="仿宋_GB2312"/>
              </w:rPr>
              <w:t>序号</w:t>
            </w:r>
          </w:p>
        </w:tc>
        <w:tc>
          <w:tcPr>
            <w:tcW w:w="2492" w:type="dxa"/>
          </w:tcPr>
          <w:p w14:paraId="1F5E3F09">
            <w:pPr>
              <w:pStyle w:val="4"/>
              <w:jc w:val="center"/>
            </w:pPr>
            <w:r>
              <w:rPr>
                <w:rFonts w:ascii="仿宋_GB2312" w:hAnsi="仿宋_GB2312" w:eastAsia="仿宋_GB2312" w:cs="仿宋_GB2312"/>
              </w:rPr>
              <w:t>采购品目名称</w:t>
            </w:r>
          </w:p>
        </w:tc>
        <w:tc>
          <w:tcPr>
            <w:tcW w:w="2492" w:type="dxa"/>
          </w:tcPr>
          <w:p w14:paraId="620E7C12">
            <w:pPr>
              <w:pStyle w:val="4"/>
              <w:jc w:val="center"/>
            </w:pPr>
            <w:r>
              <w:rPr>
                <w:rFonts w:ascii="仿宋_GB2312" w:hAnsi="仿宋_GB2312" w:eastAsia="仿宋_GB2312" w:cs="仿宋_GB2312"/>
              </w:rPr>
              <w:t>标的名称</w:t>
            </w:r>
          </w:p>
        </w:tc>
        <w:tc>
          <w:tcPr>
            <w:tcW w:w="2492" w:type="dxa"/>
          </w:tcPr>
          <w:p w14:paraId="56CD6A6F">
            <w:pPr>
              <w:pStyle w:val="4"/>
              <w:jc w:val="center"/>
            </w:pPr>
            <w:r>
              <w:rPr>
                <w:rFonts w:ascii="仿宋_GB2312" w:hAnsi="仿宋_GB2312" w:eastAsia="仿宋_GB2312" w:cs="仿宋_GB2312"/>
              </w:rPr>
              <w:t>产品名称</w:t>
            </w:r>
          </w:p>
        </w:tc>
      </w:tr>
      <w:tr w14:paraId="722788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41ABF2">
            <w:pPr>
              <w:pStyle w:val="4"/>
              <w:jc w:val="center"/>
            </w:pPr>
            <w:r>
              <w:rPr>
                <w:rFonts w:ascii="仿宋_GB2312" w:hAnsi="仿宋_GB2312" w:eastAsia="仿宋_GB2312" w:cs="仿宋_GB2312"/>
              </w:rPr>
              <w:t>不涉及</w:t>
            </w:r>
          </w:p>
        </w:tc>
      </w:tr>
    </w:tbl>
    <w:p w14:paraId="35A94C9B">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E4965D7">
      <w:pPr>
        <w:pStyle w:val="4"/>
        <w:jc w:val="left"/>
        <w:outlineLvl w:val="3"/>
      </w:pPr>
      <w:r>
        <w:rPr>
          <w:rFonts w:ascii="仿宋_GB2312" w:hAnsi="仿宋_GB2312" w:eastAsia="仿宋_GB2312" w:cs="仿宋_GB2312"/>
          <w:b/>
          <w:sz w:val="24"/>
        </w:rPr>
        <w:t>本项目涉及强制采购节能产品：</w:t>
      </w:r>
    </w:p>
    <w:p w14:paraId="33F9F00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AED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E22A36">
            <w:pPr>
              <w:pStyle w:val="4"/>
              <w:jc w:val="center"/>
            </w:pPr>
            <w:r>
              <w:rPr>
                <w:rFonts w:ascii="仿宋_GB2312" w:hAnsi="仿宋_GB2312" w:eastAsia="仿宋_GB2312" w:cs="仿宋_GB2312"/>
              </w:rPr>
              <w:t>序号</w:t>
            </w:r>
          </w:p>
        </w:tc>
        <w:tc>
          <w:tcPr>
            <w:tcW w:w="2492" w:type="dxa"/>
          </w:tcPr>
          <w:p w14:paraId="43C430DE">
            <w:pPr>
              <w:pStyle w:val="4"/>
              <w:jc w:val="center"/>
            </w:pPr>
            <w:r>
              <w:rPr>
                <w:rFonts w:ascii="仿宋_GB2312" w:hAnsi="仿宋_GB2312" w:eastAsia="仿宋_GB2312" w:cs="仿宋_GB2312"/>
              </w:rPr>
              <w:t>采购品目名称</w:t>
            </w:r>
          </w:p>
        </w:tc>
        <w:tc>
          <w:tcPr>
            <w:tcW w:w="2492" w:type="dxa"/>
          </w:tcPr>
          <w:p w14:paraId="34A70D72">
            <w:pPr>
              <w:pStyle w:val="4"/>
              <w:jc w:val="center"/>
            </w:pPr>
            <w:r>
              <w:rPr>
                <w:rFonts w:ascii="仿宋_GB2312" w:hAnsi="仿宋_GB2312" w:eastAsia="仿宋_GB2312" w:cs="仿宋_GB2312"/>
              </w:rPr>
              <w:t>标的名称</w:t>
            </w:r>
          </w:p>
        </w:tc>
        <w:tc>
          <w:tcPr>
            <w:tcW w:w="2492" w:type="dxa"/>
          </w:tcPr>
          <w:p w14:paraId="404CDE14">
            <w:pPr>
              <w:pStyle w:val="4"/>
              <w:jc w:val="center"/>
            </w:pPr>
            <w:r>
              <w:rPr>
                <w:rFonts w:ascii="仿宋_GB2312" w:hAnsi="仿宋_GB2312" w:eastAsia="仿宋_GB2312" w:cs="仿宋_GB2312"/>
              </w:rPr>
              <w:t>产品名称</w:t>
            </w:r>
          </w:p>
        </w:tc>
      </w:tr>
      <w:tr w14:paraId="49FD8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071885">
            <w:pPr>
              <w:pStyle w:val="4"/>
              <w:jc w:val="center"/>
            </w:pPr>
            <w:r>
              <w:rPr>
                <w:rFonts w:ascii="仿宋_GB2312" w:hAnsi="仿宋_GB2312" w:eastAsia="仿宋_GB2312" w:cs="仿宋_GB2312"/>
              </w:rPr>
              <w:t>不涉及</w:t>
            </w:r>
          </w:p>
        </w:tc>
      </w:tr>
    </w:tbl>
    <w:p w14:paraId="5939CDAC">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672C534">
      <w:pPr>
        <w:pStyle w:val="4"/>
        <w:jc w:val="left"/>
      </w:pPr>
      <w:r>
        <w:rPr>
          <w:rFonts w:ascii="仿宋_GB2312" w:hAnsi="仿宋_GB2312" w:eastAsia="仿宋_GB2312" w:cs="仿宋_GB2312"/>
          <w:b/>
        </w:rPr>
        <w:t>本项目涉及优先采购节能产品：</w:t>
      </w:r>
    </w:p>
    <w:p w14:paraId="494E22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489D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CF0304">
            <w:pPr>
              <w:pStyle w:val="4"/>
              <w:jc w:val="center"/>
            </w:pPr>
            <w:r>
              <w:rPr>
                <w:rFonts w:ascii="仿宋_GB2312" w:hAnsi="仿宋_GB2312" w:eastAsia="仿宋_GB2312" w:cs="仿宋_GB2312"/>
              </w:rPr>
              <w:t>序号</w:t>
            </w:r>
          </w:p>
        </w:tc>
        <w:tc>
          <w:tcPr>
            <w:tcW w:w="2492" w:type="dxa"/>
          </w:tcPr>
          <w:p w14:paraId="7D266469">
            <w:pPr>
              <w:pStyle w:val="4"/>
              <w:jc w:val="center"/>
            </w:pPr>
            <w:r>
              <w:rPr>
                <w:rFonts w:ascii="仿宋_GB2312" w:hAnsi="仿宋_GB2312" w:eastAsia="仿宋_GB2312" w:cs="仿宋_GB2312"/>
              </w:rPr>
              <w:t>采购品目名称</w:t>
            </w:r>
          </w:p>
        </w:tc>
        <w:tc>
          <w:tcPr>
            <w:tcW w:w="2492" w:type="dxa"/>
          </w:tcPr>
          <w:p w14:paraId="2EB8FC7D">
            <w:pPr>
              <w:pStyle w:val="4"/>
              <w:jc w:val="center"/>
            </w:pPr>
            <w:r>
              <w:rPr>
                <w:rFonts w:ascii="仿宋_GB2312" w:hAnsi="仿宋_GB2312" w:eastAsia="仿宋_GB2312" w:cs="仿宋_GB2312"/>
              </w:rPr>
              <w:t>标的名称</w:t>
            </w:r>
          </w:p>
        </w:tc>
        <w:tc>
          <w:tcPr>
            <w:tcW w:w="2492" w:type="dxa"/>
          </w:tcPr>
          <w:p w14:paraId="265899C4">
            <w:pPr>
              <w:pStyle w:val="4"/>
              <w:jc w:val="center"/>
            </w:pPr>
            <w:r>
              <w:rPr>
                <w:rFonts w:ascii="仿宋_GB2312" w:hAnsi="仿宋_GB2312" w:eastAsia="仿宋_GB2312" w:cs="仿宋_GB2312"/>
              </w:rPr>
              <w:t>产品名称</w:t>
            </w:r>
          </w:p>
        </w:tc>
      </w:tr>
      <w:tr w14:paraId="1D4619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F855D90">
            <w:pPr>
              <w:pStyle w:val="4"/>
              <w:jc w:val="center"/>
            </w:pPr>
            <w:r>
              <w:rPr>
                <w:rFonts w:ascii="仿宋_GB2312" w:hAnsi="仿宋_GB2312" w:eastAsia="仿宋_GB2312" w:cs="仿宋_GB2312"/>
              </w:rPr>
              <w:t>不涉及</w:t>
            </w:r>
          </w:p>
        </w:tc>
      </w:tr>
    </w:tbl>
    <w:p w14:paraId="754160E9">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12053F4">
      <w:pPr>
        <w:pStyle w:val="4"/>
        <w:jc w:val="left"/>
        <w:outlineLvl w:val="3"/>
      </w:pPr>
      <w:r>
        <w:rPr>
          <w:rFonts w:ascii="仿宋_GB2312" w:hAnsi="仿宋_GB2312" w:eastAsia="仿宋_GB2312" w:cs="仿宋_GB2312"/>
          <w:b/>
          <w:sz w:val="24"/>
        </w:rPr>
        <w:t>本项目涉及优先采购环境标志产品：</w:t>
      </w:r>
    </w:p>
    <w:p w14:paraId="15AB100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318D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EBE258">
            <w:pPr>
              <w:pStyle w:val="4"/>
              <w:jc w:val="center"/>
            </w:pPr>
            <w:r>
              <w:rPr>
                <w:rFonts w:ascii="仿宋_GB2312" w:hAnsi="仿宋_GB2312" w:eastAsia="仿宋_GB2312" w:cs="仿宋_GB2312"/>
              </w:rPr>
              <w:t>序号</w:t>
            </w:r>
          </w:p>
        </w:tc>
        <w:tc>
          <w:tcPr>
            <w:tcW w:w="2492" w:type="dxa"/>
          </w:tcPr>
          <w:p w14:paraId="512C4DC4">
            <w:pPr>
              <w:pStyle w:val="4"/>
              <w:jc w:val="center"/>
            </w:pPr>
            <w:r>
              <w:rPr>
                <w:rFonts w:ascii="仿宋_GB2312" w:hAnsi="仿宋_GB2312" w:eastAsia="仿宋_GB2312" w:cs="仿宋_GB2312"/>
              </w:rPr>
              <w:t>采购品目名称</w:t>
            </w:r>
          </w:p>
        </w:tc>
        <w:tc>
          <w:tcPr>
            <w:tcW w:w="2492" w:type="dxa"/>
          </w:tcPr>
          <w:p w14:paraId="0185007F">
            <w:pPr>
              <w:pStyle w:val="4"/>
              <w:jc w:val="center"/>
            </w:pPr>
            <w:r>
              <w:rPr>
                <w:rFonts w:ascii="仿宋_GB2312" w:hAnsi="仿宋_GB2312" w:eastAsia="仿宋_GB2312" w:cs="仿宋_GB2312"/>
              </w:rPr>
              <w:t>标的名称</w:t>
            </w:r>
          </w:p>
        </w:tc>
        <w:tc>
          <w:tcPr>
            <w:tcW w:w="2492" w:type="dxa"/>
          </w:tcPr>
          <w:p w14:paraId="46119A87">
            <w:pPr>
              <w:pStyle w:val="4"/>
              <w:jc w:val="center"/>
            </w:pPr>
            <w:r>
              <w:rPr>
                <w:rFonts w:ascii="仿宋_GB2312" w:hAnsi="仿宋_GB2312" w:eastAsia="仿宋_GB2312" w:cs="仿宋_GB2312"/>
              </w:rPr>
              <w:t>产品名称</w:t>
            </w:r>
          </w:p>
        </w:tc>
      </w:tr>
      <w:tr w14:paraId="26CCF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D3159D">
            <w:pPr>
              <w:pStyle w:val="4"/>
              <w:jc w:val="center"/>
            </w:pPr>
            <w:r>
              <w:rPr>
                <w:rFonts w:ascii="仿宋_GB2312" w:hAnsi="仿宋_GB2312" w:eastAsia="仿宋_GB2312" w:cs="仿宋_GB2312"/>
              </w:rPr>
              <w:t>不涉及</w:t>
            </w:r>
          </w:p>
        </w:tc>
      </w:tr>
    </w:tbl>
    <w:p w14:paraId="0BA34AA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CE09AC6">
      <w:pPr>
        <w:pStyle w:val="4"/>
        <w:jc w:val="left"/>
        <w:outlineLvl w:val="2"/>
      </w:pPr>
      <w:r>
        <w:rPr>
          <w:rFonts w:ascii="仿宋_GB2312" w:hAnsi="仿宋_GB2312" w:eastAsia="仿宋_GB2312" w:cs="仿宋_GB2312"/>
          <w:b/>
          <w:sz w:val="28"/>
        </w:rPr>
        <w:t>3.2.技术要求</w:t>
      </w:r>
    </w:p>
    <w:p w14:paraId="56BFC41C">
      <w:pPr>
        <w:pStyle w:val="4"/>
        <w:jc w:val="left"/>
      </w:pPr>
      <w:r>
        <w:rPr>
          <w:rFonts w:ascii="仿宋_GB2312" w:hAnsi="仿宋_GB2312" w:eastAsia="仿宋_GB2312" w:cs="仿宋_GB2312"/>
        </w:rPr>
        <w:t>采购包1：</w:t>
      </w:r>
    </w:p>
    <w:p w14:paraId="6E8DC3D1">
      <w:pPr>
        <w:pStyle w:val="4"/>
        <w:jc w:val="left"/>
      </w:pPr>
      <w:r>
        <w:rPr>
          <w:rFonts w:ascii="仿宋_GB2312" w:hAnsi="仿宋_GB2312" w:eastAsia="仿宋_GB2312" w:cs="仿宋_GB2312"/>
        </w:rPr>
        <w:t>标的名称：医疗责任险采购项目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310B4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39712E">
            <w:pPr>
              <w:pStyle w:val="4"/>
              <w:jc w:val="center"/>
            </w:pPr>
            <w:r>
              <w:rPr>
                <w:rFonts w:ascii="仿宋_GB2312" w:hAnsi="仿宋_GB2312" w:eastAsia="仿宋_GB2312" w:cs="仿宋_GB2312"/>
              </w:rPr>
              <w:t>序号</w:t>
            </w:r>
          </w:p>
        </w:tc>
        <w:tc>
          <w:tcPr>
            <w:tcW w:w="581" w:type="dxa"/>
          </w:tcPr>
          <w:p w14:paraId="45316F9D">
            <w:pPr>
              <w:pStyle w:val="4"/>
              <w:jc w:val="center"/>
            </w:pPr>
            <w:r>
              <w:rPr>
                <w:rFonts w:ascii="仿宋_GB2312" w:hAnsi="仿宋_GB2312" w:eastAsia="仿宋_GB2312" w:cs="仿宋_GB2312"/>
              </w:rPr>
              <w:t>符号标识</w:t>
            </w:r>
          </w:p>
        </w:tc>
        <w:tc>
          <w:tcPr>
            <w:tcW w:w="1495" w:type="dxa"/>
          </w:tcPr>
          <w:p w14:paraId="0FB583BC">
            <w:pPr>
              <w:pStyle w:val="4"/>
              <w:jc w:val="center"/>
            </w:pPr>
            <w:r>
              <w:rPr>
                <w:rFonts w:ascii="仿宋_GB2312" w:hAnsi="仿宋_GB2312" w:eastAsia="仿宋_GB2312" w:cs="仿宋_GB2312"/>
              </w:rPr>
              <w:t>技术要求名称</w:t>
            </w:r>
          </w:p>
        </w:tc>
        <w:tc>
          <w:tcPr>
            <w:tcW w:w="5814" w:type="dxa"/>
          </w:tcPr>
          <w:p w14:paraId="30E5B4BA">
            <w:pPr>
              <w:pStyle w:val="4"/>
              <w:jc w:val="center"/>
            </w:pPr>
            <w:r>
              <w:rPr>
                <w:rFonts w:ascii="仿宋_GB2312" w:hAnsi="仿宋_GB2312" w:eastAsia="仿宋_GB2312" w:cs="仿宋_GB2312"/>
              </w:rPr>
              <w:t>技术参数与性能指标</w:t>
            </w:r>
          </w:p>
        </w:tc>
      </w:tr>
      <w:tr w14:paraId="64DBA9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3753C3">
            <w:pPr>
              <w:pStyle w:val="4"/>
              <w:jc w:val="center"/>
            </w:pPr>
            <w:r>
              <w:rPr>
                <w:rFonts w:ascii="仿宋_GB2312" w:hAnsi="仿宋_GB2312" w:eastAsia="仿宋_GB2312" w:cs="仿宋_GB2312"/>
              </w:rPr>
              <w:t>1</w:t>
            </w:r>
          </w:p>
        </w:tc>
        <w:tc>
          <w:tcPr>
            <w:tcW w:w="581" w:type="dxa"/>
          </w:tcPr>
          <w:p w14:paraId="2D601DA8">
            <w:pPr>
              <w:pStyle w:val="4"/>
              <w:jc w:val="center"/>
            </w:pPr>
            <w:r>
              <w:rPr>
                <w:rFonts w:ascii="仿宋_GB2312" w:hAnsi="仿宋_GB2312" w:eastAsia="仿宋_GB2312" w:cs="仿宋_GB2312"/>
              </w:rPr>
              <w:t>★</w:t>
            </w:r>
          </w:p>
        </w:tc>
        <w:tc>
          <w:tcPr>
            <w:tcW w:w="1495" w:type="dxa"/>
          </w:tcPr>
          <w:p w14:paraId="6FC179C0"/>
        </w:tc>
        <w:tc>
          <w:tcPr>
            <w:tcW w:w="5814" w:type="dxa"/>
          </w:tcPr>
          <w:p w14:paraId="0EDA1E78">
            <w:pPr>
              <w:pStyle w:val="4"/>
              <w:jc w:val="left"/>
            </w:pPr>
            <w:r>
              <w:rPr>
                <w:rFonts w:ascii="仿宋_GB2312" w:hAnsi="仿宋_GB2312" w:eastAsia="仿宋_GB2312" w:cs="仿宋_GB2312"/>
                <w:b/>
              </w:rPr>
              <w:t>一、项目概述</w:t>
            </w:r>
          </w:p>
          <w:p w14:paraId="39798F25">
            <w:pPr>
              <w:pStyle w:val="4"/>
              <w:jc w:val="left"/>
            </w:pPr>
            <w:r>
              <w:rPr>
                <w:rFonts w:ascii="仿宋_GB2312" w:hAnsi="仿宋_GB2312" w:eastAsia="仿宋_GB2312" w:cs="仿宋_GB2312"/>
              </w:rPr>
              <w:t>根据《国务院关于保险业改革发展的若干意见》（国发〔2006〕23号）、《国务院关于加快发展现代保险服务业的若干意见》（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推广、市场运作、专业协助、自愿投保”的服务原则，广安市中医医院开展医疗责任保险项目采购。</w:t>
            </w:r>
          </w:p>
          <w:p w14:paraId="0586312F">
            <w:pPr>
              <w:pStyle w:val="4"/>
              <w:jc w:val="left"/>
            </w:pPr>
            <w:r>
              <w:rPr>
                <w:rFonts w:ascii="仿宋_GB2312" w:hAnsi="仿宋_GB2312" w:eastAsia="仿宋_GB2312" w:cs="仿宋_GB2312"/>
                <w:b/>
              </w:rPr>
              <w:t>二、技术要求</w:t>
            </w:r>
          </w:p>
          <w:p w14:paraId="6510F2CC">
            <w:pPr>
              <w:pStyle w:val="4"/>
              <w:jc w:val="left"/>
            </w:pPr>
            <w:r>
              <w:rPr>
                <w:rFonts w:ascii="仿宋_GB2312" w:hAnsi="仿宋_GB2312" w:eastAsia="仿宋_GB2312" w:cs="仿宋_GB2312"/>
              </w:rPr>
              <w:t>（一）服务规范及服务量：</w:t>
            </w:r>
          </w:p>
          <w:p w14:paraId="3DB1319C">
            <w:pPr>
              <w:pStyle w:val="4"/>
              <w:jc w:val="left"/>
            </w:pPr>
            <w:r>
              <w:rPr>
                <w:rFonts w:ascii="仿宋_GB2312" w:hAnsi="仿宋_GB2312" w:eastAsia="仿宋_GB2312" w:cs="仿宋_GB2312"/>
              </w:rPr>
              <w:t>1.医院基本情况：</w:t>
            </w:r>
          </w:p>
          <w:p w14:paraId="2098A771">
            <w:pPr>
              <w:pStyle w:val="4"/>
              <w:jc w:val="left"/>
            </w:pPr>
            <w:r>
              <w:rPr>
                <w:rFonts w:ascii="仿宋_GB2312" w:hAnsi="仿宋_GB2312" w:eastAsia="仿宋_GB2312" w:cs="仿宋_GB2312"/>
              </w:rPr>
              <w:t>（1）医疗类别：三级乙等医疗机构。</w:t>
            </w:r>
          </w:p>
          <w:p w14:paraId="3736E6BA">
            <w:pPr>
              <w:pStyle w:val="4"/>
              <w:jc w:val="left"/>
            </w:pPr>
            <w:r>
              <w:rPr>
                <w:rFonts w:ascii="仿宋_GB2312" w:hAnsi="仿宋_GB2312" w:eastAsia="仿宋_GB2312" w:cs="仿宋_GB2312"/>
              </w:rPr>
              <w:t>（2）医疗机构床位数：252张。</w:t>
            </w:r>
          </w:p>
          <w:p w14:paraId="62075A6D">
            <w:pPr>
              <w:pStyle w:val="4"/>
              <w:jc w:val="left"/>
            </w:pPr>
            <w:r>
              <w:rPr>
                <w:rFonts w:ascii="仿宋_GB2312" w:hAnsi="仿宋_GB2312" w:eastAsia="仿宋_GB2312" w:cs="仿宋_GB2312"/>
              </w:rPr>
              <w:t>（3）医疗机构投保医务人员数：285人。</w:t>
            </w:r>
          </w:p>
          <w:p w14:paraId="7207EDD2">
            <w:pPr>
              <w:pStyle w:val="4"/>
              <w:jc w:val="left"/>
            </w:pPr>
            <w:r>
              <w:rPr>
                <w:rFonts w:ascii="仿宋_GB2312" w:hAnsi="仿宋_GB2312" w:eastAsia="仿宋_GB2312" w:cs="仿宋_GB2312"/>
              </w:rPr>
              <w:t>（4）医疗机构门诊人次数：171778人。</w:t>
            </w:r>
          </w:p>
          <w:p w14:paraId="20E3BF89">
            <w:pPr>
              <w:pStyle w:val="4"/>
              <w:jc w:val="left"/>
            </w:pPr>
            <w:r>
              <w:rPr>
                <w:rFonts w:ascii="仿宋_GB2312" w:hAnsi="仿宋_GB2312" w:eastAsia="仿宋_GB2312" w:cs="仿宋_GB2312"/>
              </w:rPr>
              <w:t>（5）医疗机构出院人次数：10681人。</w:t>
            </w:r>
          </w:p>
          <w:p w14:paraId="2FC59C9A">
            <w:pPr>
              <w:pStyle w:val="4"/>
              <w:jc w:val="left"/>
            </w:pPr>
            <w:r>
              <w:rPr>
                <w:rFonts w:ascii="仿宋_GB2312" w:hAnsi="仿宋_GB2312" w:eastAsia="仿宋_GB2312" w:cs="仿宋_GB2312"/>
              </w:rPr>
              <w:t>（6）医疗机构住院手术人数：1366人。</w:t>
            </w:r>
          </w:p>
          <w:p w14:paraId="3F8F5E22">
            <w:pPr>
              <w:pStyle w:val="4"/>
              <w:jc w:val="left"/>
            </w:pPr>
            <w:r>
              <w:rPr>
                <w:rFonts w:ascii="仿宋_GB2312" w:hAnsi="仿宋_GB2312" w:eastAsia="仿宋_GB2312" w:cs="仿宋_GB2312"/>
              </w:rPr>
              <w:t>2.投保险种：医疗责任保险。</w:t>
            </w:r>
          </w:p>
          <w:p w14:paraId="05328BA1">
            <w:pPr>
              <w:pStyle w:val="4"/>
              <w:jc w:val="left"/>
            </w:pPr>
            <w:r>
              <w:rPr>
                <w:rFonts w:ascii="仿宋_GB2312" w:hAnsi="仿宋_GB2312" w:eastAsia="仿宋_GB2312" w:cs="仿宋_GB2312"/>
              </w:rPr>
              <w:t>3.保险责任范围。</w:t>
            </w:r>
          </w:p>
          <w:p w14:paraId="62E65347">
            <w:pPr>
              <w:pStyle w:val="4"/>
              <w:jc w:val="left"/>
            </w:pPr>
            <w:r>
              <w:rPr>
                <w:rFonts w:ascii="仿宋_GB2312" w:hAnsi="仿宋_GB2312" w:eastAsia="仿宋_GB2312" w:cs="仿宋_GB2312"/>
              </w:rPr>
              <w:t>（1）采购人从事临床、医技的一线医务人员（以采购人提供的人员名单为准，但在保险合同有效期间内，因人员外出、离职或回院、就职等，可中途删除、更换、补充。采购人书面通知保险公司采购人的医务人员更换、补充后，保险公司应在5个工作日内确认，逾期视为同意）发生的医疗纠纷责任赔偿。医疗责任保险包括：①主险：医疗责任险；②附加险：医疗机构场所责任险。</w:t>
            </w:r>
          </w:p>
          <w:p w14:paraId="38CC35CF">
            <w:pPr>
              <w:pStyle w:val="4"/>
              <w:jc w:val="left"/>
            </w:pPr>
            <w:r>
              <w:rPr>
                <w:rFonts w:ascii="仿宋_GB2312" w:hAnsi="仿宋_GB2312" w:eastAsia="仿宋_GB2312" w:cs="仿宋_GB2312"/>
              </w:rPr>
              <w:t>（2）保险责任范围内的事故发生后，事先经保险人书面同意的法律费用，包括事故鉴定费、查勘费、取证费、仲裁或诉讼费、案件受理费、律师费等，保险人按照本保险合同的约定也负责赔偿。</w:t>
            </w:r>
          </w:p>
          <w:p w14:paraId="5E9E7E72">
            <w:pPr>
              <w:pStyle w:val="4"/>
              <w:jc w:val="left"/>
            </w:pPr>
            <w:r>
              <w:rPr>
                <w:rFonts w:ascii="仿宋_GB2312" w:hAnsi="仿宋_GB2312" w:eastAsia="仿宋_GB2312" w:cs="仿宋_GB2312"/>
              </w:rPr>
              <w:t>4.医疗责任保险限额标准：</w:t>
            </w:r>
          </w:p>
          <w:p w14:paraId="53BA889F">
            <w:pPr>
              <w:pStyle w:val="4"/>
              <w:jc w:val="left"/>
            </w:pPr>
            <w:r>
              <w:rPr>
                <w:rFonts w:ascii="仿宋_GB2312" w:hAnsi="仿宋_GB2312" w:eastAsia="仿宋_GB2312" w:cs="仿宋_GB2312"/>
              </w:rPr>
              <w:t>（1）每人（患者）每次责任事故赔付限额40万元。</w:t>
            </w:r>
          </w:p>
          <w:p w14:paraId="5AC62183">
            <w:pPr>
              <w:pStyle w:val="4"/>
              <w:jc w:val="left"/>
            </w:pPr>
            <w:r>
              <w:rPr>
                <w:rFonts w:ascii="仿宋_GB2312" w:hAnsi="仿宋_GB2312" w:eastAsia="仿宋_GB2312" w:cs="仿宋_GB2312"/>
              </w:rPr>
              <w:t>（2）年度累计医疗责任保险赔付限额300万元。</w:t>
            </w:r>
          </w:p>
          <w:p w14:paraId="087BBF5C">
            <w:pPr>
              <w:pStyle w:val="4"/>
              <w:jc w:val="left"/>
            </w:pPr>
            <w:r>
              <w:rPr>
                <w:rFonts w:ascii="仿宋_GB2312" w:hAnsi="仿宋_GB2312" w:eastAsia="仿宋_GB2312" w:cs="仿宋_GB2312"/>
              </w:rPr>
              <w:t>（3）法律费用累计赔偿限额30万元，法律费用每次索赔赔偿限额不低于4万元。</w:t>
            </w:r>
          </w:p>
          <w:p w14:paraId="20BC0F8B">
            <w:pPr>
              <w:pStyle w:val="4"/>
              <w:jc w:val="left"/>
            </w:pPr>
            <w:r>
              <w:rPr>
                <w:rFonts w:ascii="仿宋_GB2312" w:hAnsi="仿宋_GB2312" w:eastAsia="仿宋_GB2312" w:cs="仿宋_GB2312"/>
              </w:rPr>
              <w:t>（4）每次责任事故赔付限额40万元。</w:t>
            </w:r>
          </w:p>
          <w:p w14:paraId="7571E4DA">
            <w:pPr>
              <w:pStyle w:val="4"/>
              <w:jc w:val="left"/>
            </w:pPr>
            <w:r>
              <w:rPr>
                <w:rFonts w:ascii="仿宋_GB2312" w:hAnsi="仿宋_GB2312" w:eastAsia="仿宋_GB2312" w:cs="仿宋_GB2312"/>
              </w:rPr>
              <w:t>（5）精神损害每人责任限额4万元。</w:t>
            </w:r>
          </w:p>
          <w:p w14:paraId="0C2EEAE1">
            <w:pPr>
              <w:pStyle w:val="4"/>
              <w:jc w:val="left"/>
            </w:pPr>
            <w:r>
              <w:rPr>
                <w:rFonts w:ascii="仿宋_GB2312" w:hAnsi="仿宋_GB2312" w:eastAsia="仿宋_GB2312" w:cs="仿宋_GB2312"/>
              </w:rPr>
              <w:t>（6）每次事故免赔额1000元或损失金额的5%，以高者为准。</w:t>
            </w:r>
          </w:p>
          <w:p w14:paraId="409421E8">
            <w:pPr>
              <w:pStyle w:val="4"/>
              <w:jc w:val="left"/>
            </w:pPr>
            <w:r>
              <w:rPr>
                <w:rFonts w:ascii="仿宋_GB2312" w:hAnsi="仿宋_GB2312" w:eastAsia="仿宋_GB2312" w:cs="仿宋_GB2312"/>
              </w:rPr>
              <w:t>（7）医疗机构场所责任险承累计赔偿限额800万元，每次事故每人责任限额 80万元，每次事故免赔额1000元或损失金额的10%，以高者为准。</w:t>
            </w:r>
          </w:p>
          <w:p w14:paraId="1427059F">
            <w:pPr>
              <w:pStyle w:val="4"/>
              <w:jc w:val="left"/>
            </w:pPr>
            <w:r>
              <w:rPr>
                <w:rFonts w:ascii="仿宋_GB2312" w:hAnsi="仿宋_GB2312" w:eastAsia="仿宋_GB2312" w:cs="仿宋_GB2312"/>
              </w:rPr>
              <w:t>5.医疗责任保险相关约定</w:t>
            </w:r>
          </w:p>
          <w:p w14:paraId="0820B48E">
            <w:pPr>
              <w:pStyle w:val="4"/>
              <w:jc w:val="left"/>
            </w:pPr>
            <w:r>
              <w:rPr>
                <w:rFonts w:ascii="仿宋_GB2312" w:hAnsi="仿宋_GB2312" w:eastAsia="仿宋_GB2312" w:cs="仿宋_GB2312"/>
              </w:rPr>
              <w:t>（1）在保险合同有效期间内，发生医疗纠纷，纠纷赔偿后由保险公司按约定向采购人赔付。适用的赔偿处理标准为《民法典》。</w:t>
            </w:r>
          </w:p>
          <w:p w14:paraId="5A979180">
            <w:pPr>
              <w:pStyle w:val="4"/>
              <w:jc w:val="left"/>
            </w:pPr>
            <w:r>
              <w:rPr>
                <w:rFonts w:ascii="仿宋_GB2312" w:hAnsi="仿宋_GB2312" w:eastAsia="仿宋_GB2312" w:cs="仿宋_GB2312"/>
              </w:rPr>
              <w:t>（2）在双方约定的每人（患者）赔偿限额内,保险公司根据相关法律规定的赔偿项目和标准计算损失,扣除每次事故免赔率/额后进行赔偿。</w:t>
            </w:r>
          </w:p>
          <w:p w14:paraId="5EE16634">
            <w:pPr>
              <w:pStyle w:val="4"/>
              <w:jc w:val="left"/>
            </w:pPr>
            <w:r>
              <w:rPr>
                <w:rFonts w:ascii="仿宋_GB2312" w:hAnsi="仿宋_GB2312" w:eastAsia="仿宋_GB2312" w:cs="仿宋_GB2312"/>
              </w:rPr>
              <w:t>（3）患者因采购人过失导致伤残的,根据《人体损伤致残程度分级》相关标准进行伤残评定。经保险公司审核，若患者的残疾程度可以被直观判断或通过病历或通过相似案例等相关资料能够明确判断伤残等级和误工期、营养期、护理期的，可以依照最高人民法院、最高人民检察院、公安部、国家安全部、司法部发布的《人体损伤致残程度分级》确定患者残疾级别，保险公司不再索要患者残疾程度证明。</w:t>
            </w:r>
          </w:p>
          <w:p w14:paraId="62558628">
            <w:pPr>
              <w:pStyle w:val="4"/>
              <w:jc w:val="left"/>
            </w:pPr>
            <w:r>
              <w:rPr>
                <w:rFonts w:ascii="仿宋_GB2312" w:hAnsi="仿宋_GB2312" w:eastAsia="仿宋_GB2312" w:cs="仿宋_GB2312"/>
              </w:rPr>
              <w:t>（二）理赔服务时效要求</w:t>
            </w:r>
          </w:p>
          <w:p w14:paraId="2770C7DF">
            <w:pPr>
              <w:pStyle w:val="4"/>
              <w:jc w:val="left"/>
            </w:pPr>
            <w:r>
              <w:rPr>
                <w:rFonts w:ascii="仿宋_GB2312" w:hAnsi="仿宋_GB2312" w:eastAsia="仿宋_GB2312" w:cs="仿宋_GB2312"/>
              </w:rPr>
              <w:t>1.供应商在接到索赔材料后，按照以下时限向被保险人、受益人或第三者支付赔款：</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2"/>
              <w:gridCol w:w="3274"/>
              <w:gridCol w:w="1887"/>
            </w:tblGrid>
            <w:tr w14:paraId="759CE3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32" w:type="dxa"/>
                  <w:tcBorders>
                    <w:top w:val="single" w:color="000000" w:sz="4" w:space="0"/>
                    <w:left w:val="single" w:color="000000" w:sz="4" w:space="0"/>
                    <w:bottom w:val="single" w:color="000000" w:sz="4" w:space="0"/>
                    <w:right w:val="single" w:color="000000" w:sz="4" w:space="0"/>
                  </w:tcBorders>
                  <w:shd w:val="clear" w:color="auto" w:fill="EBF1DE"/>
                  <w:tcMar>
                    <w:top w:w="0" w:type="dxa"/>
                    <w:left w:w="0" w:type="dxa"/>
                    <w:bottom w:w="0" w:type="dxa"/>
                    <w:right w:w="0" w:type="dxa"/>
                  </w:tcMar>
                  <w:vAlign w:val="top"/>
                </w:tcPr>
                <w:p w14:paraId="425BEF9E">
                  <w:pPr>
                    <w:pStyle w:val="4"/>
                    <w:jc w:val="left"/>
                  </w:pPr>
                  <w:r>
                    <w:rPr>
                      <w:rFonts w:ascii="仿宋_GB2312" w:hAnsi="仿宋_GB2312" w:eastAsia="仿宋_GB2312" w:cs="仿宋_GB2312"/>
                      <w:sz w:val="19"/>
                    </w:rPr>
                    <w:t>序号</w:t>
                  </w:r>
                </w:p>
              </w:tc>
              <w:tc>
                <w:tcPr>
                  <w:tcW w:w="3277" w:type="dxa"/>
                  <w:tcBorders>
                    <w:top w:val="single" w:color="000000" w:sz="4" w:space="0"/>
                    <w:left w:val="nil"/>
                    <w:bottom w:val="single" w:color="000000" w:sz="4" w:space="0"/>
                    <w:right w:val="single" w:color="000000" w:sz="4" w:space="0"/>
                  </w:tcBorders>
                  <w:shd w:val="clear" w:color="auto" w:fill="EBF1DE"/>
                  <w:tcMar>
                    <w:top w:w="0" w:type="dxa"/>
                    <w:left w:w="0" w:type="dxa"/>
                    <w:bottom w:w="0" w:type="dxa"/>
                    <w:right w:w="0" w:type="dxa"/>
                  </w:tcMar>
                  <w:vAlign w:val="top"/>
                </w:tcPr>
                <w:p w14:paraId="6B38103B">
                  <w:pPr>
                    <w:pStyle w:val="4"/>
                    <w:jc w:val="left"/>
                  </w:pPr>
                  <w:r>
                    <w:rPr>
                      <w:rFonts w:ascii="仿宋_GB2312" w:hAnsi="仿宋_GB2312" w:eastAsia="仿宋_GB2312" w:cs="仿宋_GB2312"/>
                      <w:sz w:val="19"/>
                    </w:rPr>
                    <w:t>赔款金额</w:t>
                  </w:r>
                </w:p>
              </w:tc>
              <w:tc>
                <w:tcPr>
                  <w:tcW w:w="1889" w:type="dxa"/>
                  <w:tcBorders>
                    <w:top w:val="single" w:color="000000" w:sz="4" w:space="0"/>
                    <w:left w:val="nil"/>
                    <w:bottom w:val="single" w:color="000000" w:sz="4" w:space="0"/>
                    <w:right w:val="single" w:color="000000" w:sz="4" w:space="0"/>
                  </w:tcBorders>
                  <w:shd w:val="clear" w:color="auto" w:fill="EBF1DE"/>
                  <w:tcMar>
                    <w:top w:w="0" w:type="dxa"/>
                    <w:left w:w="0" w:type="dxa"/>
                    <w:bottom w:w="0" w:type="dxa"/>
                    <w:right w:w="0" w:type="dxa"/>
                  </w:tcMar>
                  <w:vAlign w:val="top"/>
                </w:tcPr>
                <w:p w14:paraId="0C9C2AEF">
                  <w:pPr>
                    <w:pStyle w:val="4"/>
                    <w:jc w:val="left"/>
                  </w:pPr>
                  <w:r>
                    <w:rPr>
                      <w:rFonts w:ascii="仿宋_GB2312" w:hAnsi="仿宋_GB2312" w:eastAsia="仿宋_GB2312" w:cs="仿宋_GB2312"/>
                      <w:sz w:val="19"/>
                    </w:rPr>
                    <w:t>赔付时效</w:t>
                  </w:r>
                </w:p>
              </w:tc>
            </w:tr>
            <w:tr w14:paraId="0479EF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714B45">
                  <w:pPr>
                    <w:pStyle w:val="4"/>
                    <w:jc w:val="left"/>
                  </w:pPr>
                  <w:r>
                    <w:rPr>
                      <w:rFonts w:ascii="仿宋_GB2312" w:hAnsi="仿宋_GB2312" w:eastAsia="仿宋_GB2312" w:cs="仿宋_GB2312"/>
                      <w:sz w:val="19"/>
                    </w:rPr>
                    <w:t>1</w:t>
                  </w:r>
                </w:p>
              </w:tc>
              <w:tc>
                <w:tcPr>
                  <w:tcW w:w="3277" w:type="dxa"/>
                  <w:tcBorders>
                    <w:top w:val="nil"/>
                    <w:left w:val="nil"/>
                    <w:bottom w:val="single" w:color="000000" w:sz="4" w:space="0"/>
                    <w:right w:val="single" w:color="000000" w:sz="4" w:space="0"/>
                  </w:tcBorders>
                  <w:tcMar>
                    <w:top w:w="0" w:type="dxa"/>
                    <w:left w:w="0" w:type="dxa"/>
                    <w:bottom w:w="0" w:type="dxa"/>
                    <w:right w:w="0" w:type="dxa"/>
                  </w:tcMar>
                  <w:vAlign w:val="top"/>
                </w:tcPr>
                <w:p w14:paraId="3F2ACB90">
                  <w:pPr>
                    <w:pStyle w:val="4"/>
                    <w:jc w:val="left"/>
                  </w:pPr>
                  <w:r>
                    <w:rPr>
                      <w:rFonts w:ascii="仿宋_GB2312" w:hAnsi="仿宋_GB2312" w:eastAsia="仿宋_GB2312" w:cs="仿宋_GB2312"/>
                      <w:sz w:val="19"/>
                    </w:rPr>
                    <w:t>赔款金额≤RMB20000元</w:t>
                  </w:r>
                </w:p>
              </w:tc>
              <w:tc>
                <w:tcPr>
                  <w:tcW w:w="1889" w:type="dxa"/>
                  <w:tcBorders>
                    <w:top w:val="nil"/>
                    <w:left w:val="nil"/>
                    <w:bottom w:val="single" w:color="000000" w:sz="4" w:space="0"/>
                    <w:right w:val="single" w:color="000000" w:sz="4" w:space="0"/>
                  </w:tcBorders>
                  <w:tcMar>
                    <w:top w:w="0" w:type="dxa"/>
                    <w:left w:w="0" w:type="dxa"/>
                    <w:bottom w:w="0" w:type="dxa"/>
                    <w:right w:w="0" w:type="dxa"/>
                  </w:tcMar>
                  <w:vAlign w:val="top"/>
                </w:tcPr>
                <w:p w14:paraId="460EF589">
                  <w:pPr>
                    <w:pStyle w:val="4"/>
                    <w:jc w:val="left"/>
                  </w:pPr>
                  <w:r>
                    <w:rPr>
                      <w:rFonts w:ascii="仿宋_GB2312" w:hAnsi="仿宋_GB2312" w:eastAsia="仿宋_GB2312" w:cs="仿宋_GB2312"/>
                      <w:sz w:val="19"/>
                    </w:rPr>
                    <w:t>5个工作日内支付</w:t>
                  </w:r>
                </w:p>
              </w:tc>
            </w:tr>
            <w:tr w14:paraId="01E3F6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4BDE08">
                  <w:pPr>
                    <w:pStyle w:val="4"/>
                    <w:jc w:val="left"/>
                  </w:pPr>
                  <w:r>
                    <w:rPr>
                      <w:rFonts w:ascii="仿宋_GB2312" w:hAnsi="仿宋_GB2312" w:eastAsia="仿宋_GB2312" w:cs="仿宋_GB2312"/>
                      <w:sz w:val="19"/>
                    </w:rPr>
                    <w:t>2</w:t>
                  </w:r>
                </w:p>
              </w:tc>
              <w:tc>
                <w:tcPr>
                  <w:tcW w:w="3277" w:type="dxa"/>
                  <w:tcBorders>
                    <w:top w:val="nil"/>
                    <w:left w:val="nil"/>
                    <w:bottom w:val="single" w:color="000000" w:sz="4" w:space="0"/>
                    <w:right w:val="single" w:color="000000" w:sz="4" w:space="0"/>
                  </w:tcBorders>
                  <w:tcMar>
                    <w:top w:w="0" w:type="dxa"/>
                    <w:left w:w="0" w:type="dxa"/>
                    <w:bottom w:w="0" w:type="dxa"/>
                    <w:right w:w="0" w:type="dxa"/>
                  </w:tcMar>
                  <w:vAlign w:val="top"/>
                </w:tcPr>
                <w:p w14:paraId="730F83A7">
                  <w:pPr>
                    <w:pStyle w:val="4"/>
                    <w:jc w:val="left"/>
                  </w:pPr>
                  <w:r>
                    <w:rPr>
                      <w:rFonts w:ascii="仿宋_GB2312" w:hAnsi="仿宋_GB2312" w:eastAsia="仿宋_GB2312" w:cs="仿宋_GB2312"/>
                      <w:sz w:val="19"/>
                    </w:rPr>
                    <w:t>RMB20000元＜赔款金额≤RMB50000元</w:t>
                  </w:r>
                </w:p>
              </w:tc>
              <w:tc>
                <w:tcPr>
                  <w:tcW w:w="1889" w:type="dxa"/>
                  <w:tcBorders>
                    <w:top w:val="nil"/>
                    <w:left w:val="nil"/>
                    <w:bottom w:val="single" w:color="000000" w:sz="4" w:space="0"/>
                    <w:right w:val="single" w:color="000000" w:sz="4" w:space="0"/>
                  </w:tcBorders>
                  <w:tcMar>
                    <w:top w:w="0" w:type="dxa"/>
                    <w:left w:w="0" w:type="dxa"/>
                    <w:bottom w:w="0" w:type="dxa"/>
                    <w:right w:w="0" w:type="dxa"/>
                  </w:tcMar>
                  <w:vAlign w:val="top"/>
                </w:tcPr>
                <w:p w14:paraId="6A55103C">
                  <w:pPr>
                    <w:pStyle w:val="4"/>
                    <w:jc w:val="left"/>
                  </w:pPr>
                  <w:r>
                    <w:rPr>
                      <w:rFonts w:ascii="仿宋_GB2312" w:hAnsi="仿宋_GB2312" w:eastAsia="仿宋_GB2312" w:cs="仿宋_GB2312"/>
                      <w:sz w:val="19"/>
                    </w:rPr>
                    <w:t>8个工作日内支付</w:t>
                  </w:r>
                </w:p>
              </w:tc>
            </w:tr>
            <w:tr w14:paraId="21AA57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D287EA">
                  <w:pPr>
                    <w:pStyle w:val="4"/>
                    <w:jc w:val="left"/>
                  </w:pPr>
                  <w:r>
                    <w:rPr>
                      <w:rFonts w:ascii="仿宋_GB2312" w:hAnsi="仿宋_GB2312" w:eastAsia="仿宋_GB2312" w:cs="仿宋_GB2312"/>
                      <w:sz w:val="19"/>
                    </w:rPr>
                    <w:t>3</w:t>
                  </w:r>
                </w:p>
              </w:tc>
              <w:tc>
                <w:tcPr>
                  <w:tcW w:w="3277" w:type="dxa"/>
                  <w:tcBorders>
                    <w:top w:val="nil"/>
                    <w:left w:val="nil"/>
                    <w:bottom w:val="single" w:color="000000" w:sz="4" w:space="0"/>
                    <w:right w:val="single" w:color="000000" w:sz="4" w:space="0"/>
                  </w:tcBorders>
                  <w:tcMar>
                    <w:top w:w="0" w:type="dxa"/>
                    <w:left w:w="0" w:type="dxa"/>
                    <w:bottom w:w="0" w:type="dxa"/>
                    <w:right w:w="0" w:type="dxa"/>
                  </w:tcMar>
                  <w:vAlign w:val="top"/>
                </w:tcPr>
                <w:p w14:paraId="7DD34B7B">
                  <w:pPr>
                    <w:pStyle w:val="4"/>
                    <w:jc w:val="left"/>
                  </w:pPr>
                  <w:r>
                    <w:rPr>
                      <w:rFonts w:ascii="仿宋_GB2312" w:hAnsi="仿宋_GB2312" w:eastAsia="仿宋_GB2312" w:cs="仿宋_GB2312"/>
                      <w:sz w:val="19"/>
                    </w:rPr>
                    <w:t>RMB50000元＜赔款金额</w:t>
                  </w:r>
                </w:p>
              </w:tc>
              <w:tc>
                <w:tcPr>
                  <w:tcW w:w="1889" w:type="dxa"/>
                  <w:tcBorders>
                    <w:top w:val="nil"/>
                    <w:left w:val="nil"/>
                    <w:bottom w:val="single" w:color="000000" w:sz="4" w:space="0"/>
                    <w:right w:val="single" w:color="000000" w:sz="4" w:space="0"/>
                  </w:tcBorders>
                  <w:tcMar>
                    <w:top w:w="0" w:type="dxa"/>
                    <w:left w:w="0" w:type="dxa"/>
                    <w:bottom w:w="0" w:type="dxa"/>
                    <w:right w:w="0" w:type="dxa"/>
                  </w:tcMar>
                  <w:vAlign w:val="top"/>
                </w:tcPr>
                <w:p w14:paraId="69B42A76">
                  <w:pPr>
                    <w:pStyle w:val="4"/>
                    <w:jc w:val="left"/>
                  </w:pPr>
                  <w:r>
                    <w:rPr>
                      <w:rFonts w:ascii="仿宋_GB2312" w:hAnsi="仿宋_GB2312" w:eastAsia="仿宋_GB2312" w:cs="仿宋_GB2312"/>
                      <w:sz w:val="19"/>
                    </w:rPr>
                    <w:t>10个工作日内支付</w:t>
                  </w:r>
                </w:p>
              </w:tc>
            </w:tr>
          </w:tbl>
          <w:p w14:paraId="653E5B71">
            <w:pPr>
              <w:pStyle w:val="4"/>
              <w:jc w:val="left"/>
            </w:pPr>
            <w:r>
              <w:rPr>
                <w:rFonts w:ascii="仿宋_GB2312" w:hAnsi="仿宋_GB2312" w:eastAsia="仿宋_GB2312" w:cs="仿宋_GB2312"/>
              </w:rPr>
              <w:t>2.指定专人负责本项目理赔服务</w:t>
            </w:r>
          </w:p>
          <w:p w14:paraId="55DE4361">
            <w:pPr>
              <w:pStyle w:val="4"/>
              <w:jc w:val="left"/>
            </w:pPr>
            <w:r>
              <w:rPr>
                <w:rFonts w:ascii="仿宋_GB2312" w:hAnsi="仿宋_GB2312" w:eastAsia="仿宋_GB2312" w:cs="仿宋_GB2312"/>
              </w:rPr>
              <w:t>供应商应指定专人负责区域内的理赔事宜，理赔服务人员应不少于1人，如发生人员变动应在五个工作日内通知。</w:t>
            </w:r>
          </w:p>
          <w:p w14:paraId="5352B322">
            <w:pPr>
              <w:pStyle w:val="4"/>
              <w:jc w:val="left"/>
            </w:pPr>
            <w:r>
              <w:rPr>
                <w:rFonts w:ascii="仿宋_GB2312" w:hAnsi="仿宋_GB2312" w:eastAsia="仿宋_GB2312" w:cs="仿宋_GB2312"/>
              </w:rPr>
              <w:t>3.对于做销案处理的案件，如出险患方在条款规定的索赔时效期间内向被保险人提出索赔的，供应商接受重新立案。</w:t>
            </w:r>
          </w:p>
          <w:p w14:paraId="381B762D">
            <w:pPr>
              <w:pStyle w:val="4"/>
              <w:jc w:val="left"/>
            </w:pPr>
            <w:r>
              <w:rPr>
                <w:rFonts w:ascii="仿宋_GB2312" w:hAnsi="仿宋_GB2312" w:eastAsia="仿宋_GB2312" w:cs="仿宋_GB2312"/>
              </w:rPr>
              <w:t>（三）责任界定</w:t>
            </w:r>
          </w:p>
          <w:p w14:paraId="1CF20A64">
            <w:pPr>
              <w:pStyle w:val="4"/>
              <w:jc w:val="left"/>
            </w:pPr>
            <w:r>
              <w:rPr>
                <w:rFonts w:ascii="仿宋_GB2312" w:hAnsi="仿宋_GB2312" w:eastAsia="仿宋_GB2312" w:cs="仿宋_GB2312"/>
              </w:rPr>
              <w:t>经供应商事先同意的赔偿方案，采购人据此与患者达成和解、或通过第三方调解、行政调解、参与诉讼的，相关协议或司法文书可以作为赔偿依据。</w:t>
            </w:r>
          </w:p>
          <w:p w14:paraId="74873536">
            <w:pPr>
              <w:pStyle w:val="4"/>
              <w:jc w:val="left"/>
            </w:pPr>
            <w:r>
              <w:rPr>
                <w:rFonts w:ascii="仿宋_GB2312" w:hAnsi="仿宋_GB2312" w:eastAsia="仿宋_GB2312" w:cs="仿宋_GB2312"/>
              </w:rPr>
              <w:t>（四）核定损失</w:t>
            </w:r>
          </w:p>
          <w:p w14:paraId="7DA239C3">
            <w:pPr>
              <w:pStyle w:val="4"/>
              <w:jc w:val="left"/>
            </w:pPr>
            <w:r>
              <w:rPr>
                <w:rFonts w:ascii="仿宋_GB2312" w:hAnsi="仿宋_GB2312" w:eastAsia="仿宋_GB2312" w:cs="仿宋_GB2312"/>
              </w:rPr>
              <w:t>1.经供应商事先同意的赔偿方案，采购人据此与患者达成和解、或通过第三方调解、行政调解、参与诉讼的，相关协议或司法文书可以作为赔偿依据。</w:t>
            </w:r>
          </w:p>
          <w:p w14:paraId="31D0F274">
            <w:pPr>
              <w:pStyle w:val="4"/>
              <w:jc w:val="left"/>
            </w:pPr>
            <w:r>
              <w:rPr>
                <w:rFonts w:ascii="仿宋_GB2312" w:hAnsi="仿宋_GB2312" w:eastAsia="仿宋_GB2312" w:cs="仿宋_GB2312"/>
              </w:rPr>
              <w:t>2.经各级人民法院诉讼的案件，供应商应主动申请参与诉讼。</w:t>
            </w:r>
          </w:p>
          <w:p w14:paraId="7EF47452">
            <w:pPr>
              <w:pStyle w:val="4"/>
              <w:jc w:val="left"/>
            </w:pPr>
            <w:r>
              <w:rPr>
                <w:rFonts w:ascii="仿宋_GB2312" w:hAnsi="仿宋_GB2312" w:eastAsia="仿宋_GB2312" w:cs="仿宋_GB2312"/>
              </w:rPr>
              <w:t>（五）赔款支付</w:t>
            </w:r>
          </w:p>
          <w:p w14:paraId="4B513D3A">
            <w:pPr>
              <w:pStyle w:val="4"/>
              <w:jc w:val="left"/>
            </w:pPr>
            <w:r>
              <w:rPr>
                <w:rFonts w:ascii="仿宋_GB2312" w:hAnsi="仿宋_GB2312" w:eastAsia="仿宋_GB2312" w:cs="仿宋_GB2312"/>
              </w:rPr>
              <w:t>供应商同意，在收到理赔案件资料齐全，双方达成一致后2万元（含）以下赔款5个工作日内向医疗机构或者患者支付赔款，大于2万元至5万元（含）的赔款8个工作日内向医疗机构或者患者支付赔款，5万元以上的赔款10个工作日内向医疗机构或者患者支付赔款。供应商不得以需要按照供应商自身赔款支付流程为由影响支付赔款时效。</w:t>
            </w:r>
          </w:p>
          <w:p w14:paraId="54BFC94B">
            <w:pPr>
              <w:pStyle w:val="4"/>
              <w:jc w:val="left"/>
            </w:pPr>
            <w:r>
              <w:rPr>
                <w:rFonts w:ascii="仿宋_GB2312" w:hAnsi="仿宋_GB2312" w:eastAsia="仿宋_GB2312" w:cs="仿宋_GB2312"/>
              </w:rPr>
              <w:t>（六）沟通案件处理情况</w:t>
            </w:r>
          </w:p>
          <w:p w14:paraId="44D3C191">
            <w:pPr>
              <w:pStyle w:val="4"/>
              <w:jc w:val="left"/>
            </w:pPr>
            <w:r>
              <w:rPr>
                <w:rFonts w:ascii="仿宋_GB2312" w:hAnsi="仿宋_GB2312" w:eastAsia="仿宋_GB2312" w:cs="仿宋_GB2312"/>
              </w:rPr>
              <w:t>供应商每月初的前5个工作日对本保险项目的案件处理情况，就具体案件数量、已赔款金额、未决金额、索赔材料等内容进行沟通，双方以书面形式确认。供应商每周打印一次理赔计算书，并将本周结案信息汇总。</w:t>
            </w:r>
          </w:p>
          <w:p w14:paraId="0958E0CD">
            <w:pPr>
              <w:pStyle w:val="4"/>
              <w:jc w:val="left"/>
            </w:pPr>
            <w:r>
              <w:rPr>
                <w:rFonts w:ascii="仿宋_GB2312" w:hAnsi="仿宋_GB2312" w:eastAsia="仿宋_GB2312" w:cs="仿宋_GB2312"/>
              </w:rPr>
              <w:t>（七）内部培训</w:t>
            </w:r>
          </w:p>
          <w:p w14:paraId="4E69C9A1">
            <w:pPr>
              <w:pStyle w:val="4"/>
              <w:jc w:val="left"/>
            </w:pPr>
            <w:r>
              <w:rPr>
                <w:rFonts w:ascii="仿宋_GB2312" w:hAnsi="仿宋_GB2312" w:eastAsia="仿宋_GB2312" w:cs="仿宋_GB2312"/>
              </w:rPr>
              <w:t>供应商应本着更好推动本保险项目的原则，定期和不定期举办内部培训，并形成一种常态机制。</w:t>
            </w:r>
          </w:p>
          <w:p w14:paraId="3AD7A643">
            <w:pPr>
              <w:pStyle w:val="4"/>
              <w:jc w:val="left"/>
            </w:pPr>
            <w:r>
              <w:rPr>
                <w:rFonts w:ascii="仿宋_GB2312" w:hAnsi="仿宋_GB2312" w:eastAsia="仿宋_GB2312" w:cs="仿宋_GB2312"/>
              </w:rPr>
              <w:t>（八）独立核算体系</w:t>
            </w:r>
          </w:p>
          <w:p w14:paraId="25A8F932">
            <w:pPr>
              <w:pStyle w:val="4"/>
              <w:jc w:val="left"/>
            </w:pPr>
            <w:r>
              <w:rPr>
                <w:rFonts w:ascii="仿宋_GB2312" w:hAnsi="仿宋_GB2312" w:eastAsia="仿宋_GB2312" w:cs="仿宋_GB2312"/>
              </w:rPr>
              <w:t>供应商应建立本保险项目独立核算体系，实行对本保险项目的统一核算、统一考核的独立核算管理体制，以避免出现供应商因赔付率不理想而可能产生的服务不积极、甚至拒绝销售本保险项目的情况。对此供应商应提供具体的措施：</w:t>
            </w:r>
          </w:p>
          <w:p w14:paraId="79A91114">
            <w:pPr>
              <w:pStyle w:val="4"/>
              <w:jc w:val="left"/>
            </w:pPr>
            <w:r>
              <w:rPr>
                <w:rFonts w:ascii="仿宋_GB2312" w:hAnsi="仿宋_GB2312" w:eastAsia="仿宋_GB2312" w:cs="仿宋_GB2312"/>
              </w:rPr>
              <w:t>（1）对可能影响本保险项目推进积极性的业务考核体系给予最大程度的宽松政策；</w:t>
            </w:r>
          </w:p>
          <w:p w14:paraId="112CCA5F">
            <w:pPr>
              <w:pStyle w:val="4"/>
              <w:jc w:val="left"/>
            </w:pPr>
            <w:r>
              <w:rPr>
                <w:rFonts w:ascii="仿宋_GB2312" w:hAnsi="仿宋_GB2312" w:eastAsia="仿宋_GB2312" w:cs="仿宋_GB2312"/>
                <w:sz w:val="21"/>
              </w:rPr>
              <w:t>（2）提供最大程度的灵活政策和工作配合，共同推动本保险项目。</w:t>
            </w:r>
          </w:p>
        </w:tc>
      </w:tr>
    </w:tbl>
    <w:p w14:paraId="30352BAE">
      <w:pPr>
        <w:pStyle w:val="4"/>
        <w:jc w:val="left"/>
        <w:outlineLvl w:val="2"/>
      </w:pPr>
      <w:r>
        <w:rPr>
          <w:rFonts w:ascii="仿宋_GB2312" w:hAnsi="仿宋_GB2312" w:eastAsia="仿宋_GB2312" w:cs="仿宋_GB2312"/>
          <w:b/>
          <w:sz w:val="28"/>
        </w:rPr>
        <w:t>3.3.服务要求</w:t>
      </w:r>
    </w:p>
    <w:p w14:paraId="566EA59C">
      <w:pPr>
        <w:pStyle w:val="4"/>
        <w:jc w:val="left"/>
        <w:outlineLvl w:val="3"/>
      </w:pPr>
      <w:r>
        <w:rPr>
          <w:rFonts w:ascii="仿宋_GB2312" w:hAnsi="仿宋_GB2312" w:eastAsia="仿宋_GB2312" w:cs="仿宋_GB2312"/>
          <w:b/>
          <w:sz w:val="24"/>
        </w:rPr>
        <w:t>3.3.1服务内容要求</w:t>
      </w:r>
    </w:p>
    <w:p w14:paraId="457B11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2B4E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E2FA1E">
            <w:pPr>
              <w:pStyle w:val="4"/>
              <w:jc w:val="center"/>
            </w:pPr>
            <w:r>
              <w:rPr>
                <w:rFonts w:ascii="仿宋_GB2312" w:hAnsi="仿宋_GB2312" w:eastAsia="仿宋_GB2312" w:cs="仿宋_GB2312"/>
              </w:rPr>
              <w:t xml:space="preserve"> 序号</w:t>
            </w:r>
          </w:p>
        </w:tc>
        <w:tc>
          <w:tcPr>
            <w:tcW w:w="581" w:type="dxa"/>
          </w:tcPr>
          <w:p w14:paraId="01019B2A">
            <w:pPr>
              <w:pStyle w:val="4"/>
              <w:jc w:val="center"/>
            </w:pPr>
            <w:r>
              <w:rPr>
                <w:rFonts w:ascii="仿宋_GB2312" w:hAnsi="仿宋_GB2312" w:eastAsia="仿宋_GB2312" w:cs="仿宋_GB2312"/>
              </w:rPr>
              <w:t xml:space="preserve"> 符号标识</w:t>
            </w:r>
          </w:p>
        </w:tc>
        <w:tc>
          <w:tcPr>
            <w:tcW w:w="1495" w:type="dxa"/>
          </w:tcPr>
          <w:p w14:paraId="61F6D920">
            <w:pPr>
              <w:pStyle w:val="4"/>
              <w:jc w:val="center"/>
            </w:pPr>
            <w:r>
              <w:rPr>
                <w:rFonts w:ascii="仿宋_GB2312" w:hAnsi="仿宋_GB2312" w:eastAsia="仿宋_GB2312" w:cs="仿宋_GB2312"/>
              </w:rPr>
              <w:t xml:space="preserve"> 服务要求名称</w:t>
            </w:r>
          </w:p>
        </w:tc>
        <w:tc>
          <w:tcPr>
            <w:tcW w:w="5814" w:type="dxa"/>
          </w:tcPr>
          <w:p w14:paraId="1A0F063D">
            <w:pPr>
              <w:pStyle w:val="4"/>
              <w:jc w:val="center"/>
            </w:pPr>
            <w:r>
              <w:rPr>
                <w:rFonts w:ascii="仿宋_GB2312" w:hAnsi="仿宋_GB2312" w:eastAsia="仿宋_GB2312" w:cs="仿宋_GB2312"/>
              </w:rPr>
              <w:t xml:space="preserve"> 服务要求内容</w:t>
            </w:r>
          </w:p>
        </w:tc>
      </w:tr>
      <w:tr w14:paraId="37BF22D0">
        <w:tblPrEx>
          <w:tblCellMar>
            <w:top w:w="0" w:type="dxa"/>
            <w:left w:w="108" w:type="dxa"/>
            <w:bottom w:w="0" w:type="dxa"/>
            <w:right w:w="108" w:type="dxa"/>
          </w:tblCellMar>
        </w:tblPrEx>
        <w:tc>
          <w:tcPr>
            <w:tcW w:w="415" w:type="dxa"/>
          </w:tcPr>
          <w:p w14:paraId="4AFC20E6">
            <w:pPr>
              <w:pStyle w:val="4"/>
              <w:jc w:val="center"/>
            </w:pPr>
            <w:r>
              <w:rPr>
                <w:rFonts w:ascii="仿宋_GB2312" w:hAnsi="仿宋_GB2312" w:eastAsia="仿宋_GB2312" w:cs="仿宋_GB2312"/>
              </w:rPr>
              <w:t>1</w:t>
            </w:r>
          </w:p>
        </w:tc>
        <w:tc>
          <w:tcPr>
            <w:tcW w:w="581" w:type="dxa"/>
          </w:tcPr>
          <w:p w14:paraId="59645027">
            <w:pPr>
              <w:pStyle w:val="4"/>
              <w:jc w:val="center"/>
            </w:pPr>
            <w:r>
              <w:rPr>
                <w:rFonts w:ascii="仿宋_GB2312" w:hAnsi="仿宋_GB2312" w:eastAsia="仿宋_GB2312" w:cs="仿宋_GB2312"/>
              </w:rPr>
              <w:t>★</w:t>
            </w:r>
          </w:p>
        </w:tc>
        <w:tc>
          <w:tcPr>
            <w:tcW w:w="1495" w:type="dxa"/>
          </w:tcPr>
          <w:p w14:paraId="7A9C79DD">
            <w:pPr>
              <w:pStyle w:val="4"/>
              <w:jc w:val="left"/>
            </w:pPr>
            <w:r>
              <w:rPr>
                <w:rFonts w:ascii="仿宋_GB2312" w:hAnsi="仿宋_GB2312" w:eastAsia="仿宋_GB2312" w:cs="仿宋_GB2312"/>
              </w:rPr>
              <w:t>服务要求</w:t>
            </w:r>
          </w:p>
        </w:tc>
        <w:tc>
          <w:tcPr>
            <w:tcW w:w="5814" w:type="dxa"/>
          </w:tcPr>
          <w:p w14:paraId="31E38326">
            <w:pPr>
              <w:pStyle w:val="4"/>
              <w:jc w:val="left"/>
            </w:pPr>
            <w:r>
              <w:rPr>
                <w:rFonts w:ascii="仿宋_GB2312" w:hAnsi="仿宋_GB2312" w:eastAsia="仿宋_GB2312" w:cs="仿宋_GB2312"/>
              </w:rPr>
              <w:t>（一）承保服务</w:t>
            </w:r>
          </w:p>
          <w:p w14:paraId="0B4222C6">
            <w:pPr>
              <w:pStyle w:val="4"/>
              <w:jc w:val="left"/>
            </w:pPr>
            <w:r>
              <w:rPr>
                <w:rFonts w:ascii="仿宋_GB2312" w:hAnsi="仿宋_GB2312" w:eastAsia="仿宋_GB2312" w:cs="仿宋_GB2312"/>
              </w:rPr>
              <w:t>（1）供应商须为本项目组建专属承保服务小组，由分管领导牵头统筹，明确全体人员岗位职责与分工。响应文件中附《承保服务小组人员明细表》，列明每名成员的姓名、职务、职称、工作职责及联系方式。承保服务小组须至少配备一名医学背景专业人员（提供医学类专业大专及以上学历或持有执业医师证书的证明材料）。</w:t>
            </w:r>
          </w:p>
          <w:p w14:paraId="1FF93788">
            <w:pPr>
              <w:pStyle w:val="4"/>
              <w:jc w:val="left"/>
            </w:pPr>
            <w:r>
              <w:rPr>
                <w:rFonts w:ascii="仿宋_GB2312" w:hAnsi="仿宋_GB2312" w:eastAsia="仿宋_GB2312" w:cs="仿宋_GB2312"/>
              </w:rPr>
              <w:t>（2）承保服务小组人数要求：承保服务小组除主要负责人外，拟派的工作人员人数不得少于4 人。</w:t>
            </w:r>
          </w:p>
          <w:p w14:paraId="6F1DFB80">
            <w:pPr>
              <w:pStyle w:val="4"/>
              <w:jc w:val="left"/>
            </w:pPr>
            <w:r>
              <w:rPr>
                <w:rFonts w:ascii="仿宋_GB2312" w:hAnsi="仿宋_GB2312" w:eastAsia="仿宋_GB2312" w:cs="仿宋_GB2312"/>
              </w:rPr>
              <w:t>（3）服务小组工作成员能保证接到通知后 1 小时内到场,主动上门办理承保、投保手续,协助采购人对医责险理赔材料的收集、递交及理赔跟进等工作，保证采购人获得优先服务的权利。</w:t>
            </w:r>
          </w:p>
          <w:p w14:paraId="60834451">
            <w:pPr>
              <w:pStyle w:val="4"/>
              <w:jc w:val="left"/>
            </w:pPr>
            <w:r>
              <w:rPr>
                <w:rFonts w:ascii="仿宋_GB2312" w:hAnsi="仿宋_GB2312" w:eastAsia="仿宋_GB2312" w:cs="仿宋_GB2312"/>
              </w:rPr>
              <w:t>（4）设有24小时热线客户咨询服务、投诉举报电话,有专人接听、记录、受理，提供清晰的医责险理赔处理流程，并有切实可行的服务保障措施。</w:t>
            </w:r>
          </w:p>
          <w:p w14:paraId="4CE06B0C">
            <w:pPr>
              <w:pStyle w:val="4"/>
              <w:jc w:val="left"/>
            </w:pPr>
            <w:r>
              <w:rPr>
                <w:rFonts w:ascii="仿宋_GB2312" w:hAnsi="仿宋_GB2312" w:eastAsia="仿宋_GB2312" w:cs="仿宋_GB2312"/>
              </w:rPr>
              <w:t>（5）供应商每月初的前5个工作日内向采购人提供本采购年度已发生的理赔清单（含上月报案清单、未理赔案件清单、已赔付案件清单）。</w:t>
            </w:r>
          </w:p>
          <w:p w14:paraId="4C622A2B">
            <w:pPr>
              <w:pStyle w:val="4"/>
              <w:jc w:val="left"/>
            </w:pPr>
            <w:r>
              <w:rPr>
                <w:rFonts w:ascii="仿宋_GB2312" w:hAnsi="仿宋_GB2312" w:eastAsia="仿宋_GB2312" w:cs="仿宋_GB2312"/>
              </w:rPr>
              <w:t>（二）理赔服务</w:t>
            </w:r>
          </w:p>
          <w:p w14:paraId="72D0F5C4">
            <w:pPr>
              <w:pStyle w:val="4"/>
              <w:jc w:val="left"/>
            </w:pPr>
            <w:r>
              <w:rPr>
                <w:rFonts w:ascii="仿宋_GB2312" w:hAnsi="仿宋_GB2312" w:eastAsia="仿宋_GB2312" w:cs="仿宋_GB2312"/>
              </w:rPr>
              <w:t>（1）供应商须为本项目组建专属理赔服务小组，由分管领导牵头统筹，明确全体人员岗位职责与分工。响应文件中附《理赔服务小组人员明细表》，列明每名成员的姓名、职务、职称、工作职责及联系方式。理赔服务小组须至少配备一名法律背景专业人员（提供法律类专业大专及以上学历或持有律师执业资格证书的证明材料）。</w:t>
            </w:r>
          </w:p>
          <w:p w14:paraId="20B20E4C">
            <w:pPr>
              <w:pStyle w:val="4"/>
              <w:jc w:val="left"/>
            </w:pPr>
            <w:r>
              <w:rPr>
                <w:rFonts w:ascii="仿宋_GB2312" w:hAnsi="仿宋_GB2312" w:eastAsia="仿宋_GB2312" w:cs="仿宋_GB2312"/>
              </w:rPr>
              <w:t>（2）理赔服务小组人数要求：理赔服务小组除主要负责人外，拟派的工作人员人数不得少于4 人。</w:t>
            </w:r>
          </w:p>
          <w:p w14:paraId="731AED6E">
            <w:pPr>
              <w:pStyle w:val="4"/>
              <w:jc w:val="left"/>
            </w:pPr>
            <w:r>
              <w:rPr>
                <w:rFonts w:ascii="仿宋_GB2312" w:hAnsi="仿宋_GB2312" w:eastAsia="仿宋_GB2312" w:cs="仿宋_GB2312"/>
              </w:rPr>
              <w:t>（3）设有24小时报案、理赔服务电话,并设专人受理索赔接待、报案。</w:t>
            </w:r>
          </w:p>
          <w:p w14:paraId="08F9B5AC">
            <w:pPr>
              <w:pStyle w:val="4"/>
              <w:jc w:val="left"/>
            </w:pPr>
            <w:r>
              <w:rPr>
                <w:rFonts w:ascii="仿宋_GB2312" w:hAnsi="仿宋_GB2312" w:eastAsia="仿宋_GB2312" w:cs="仿宋_GB2312"/>
              </w:rPr>
              <w:t>（4）成交供应商在接到采购人的出险报案后,专业理赔人员应于半小时以内联系采购人。</w:t>
            </w:r>
          </w:p>
          <w:p w14:paraId="44D8B73E">
            <w:pPr>
              <w:pStyle w:val="4"/>
              <w:jc w:val="left"/>
            </w:pPr>
            <w:r>
              <w:rPr>
                <w:rFonts w:ascii="仿宋_GB2312" w:hAnsi="仿宋_GB2312" w:eastAsia="仿宋_GB2312" w:cs="仿宋_GB2312"/>
              </w:rPr>
              <w:t>（5）理赔时效：供应商在收到采购人索赔资料后，应在30个自然日内作出核定并将结果通知采购人。如果采购人提交的索赔资料不齐，供应商应在采购人提交后10个工作日内进行反馈，列出缺项清单，保险公司过期未反馈则视为默认索赔资料齐全。</w:t>
            </w:r>
          </w:p>
          <w:p w14:paraId="6EE4255C">
            <w:pPr>
              <w:pStyle w:val="4"/>
              <w:jc w:val="left"/>
            </w:pPr>
            <w:r>
              <w:rPr>
                <w:rFonts w:ascii="仿宋_GB2312" w:hAnsi="仿宋_GB2312" w:eastAsia="仿宋_GB2312" w:cs="仿宋_GB2312"/>
              </w:rPr>
              <w:t>（6）诉讼时效：被保险人或者受益人向保险人请求赔偿或者给付保险金的诉讼时效期间为二年，自其知道或者应当知道保险事故发生之日起计算。</w:t>
            </w:r>
          </w:p>
          <w:p w14:paraId="15EF5F5F">
            <w:pPr>
              <w:pStyle w:val="4"/>
              <w:jc w:val="left"/>
            </w:pPr>
            <w:r>
              <w:rPr>
                <w:rFonts w:ascii="仿宋_GB2312" w:hAnsi="仿宋_GB2312" w:eastAsia="仿宋_GB2312" w:cs="仿宋_GB2312"/>
              </w:rPr>
              <w:t>（三）差错赔付。成交供应商须协调好内部各部门，特别是业务经办部门与客户服务部门的关系，不得相互推诿、丢失理赔资料或拖延理赔。如造成被保险人损失，成交供应商须进行赔偿。</w:t>
            </w:r>
          </w:p>
          <w:p w14:paraId="190D460D">
            <w:pPr>
              <w:pStyle w:val="4"/>
              <w:jc w:val="left"/>
            </w:pPr>
            <w:r>
              <w:rPr>
                <w:rFonts w:ascii="仿宋_GB2312" w:hAnsi="仿宋_GB2312" w:eastAsia="仿宋_GB2312" w:cs="仿宋_GB2312"/>
              </w:rPr>
              <w:t>（四）成交供应商应当妥善保管采购方提供的参保人员资料，保守各项秘密，不得外泄，不得私自利用采购方提供的信息为自己谋利或提供给第三方。</w:t>
            </w:r>
          </w:p>
          <w:p w14:paraId="00B427F1">
            <w:pPr>
              <w:pStyle w:val="4"/>
              <w:jc w:val="left"/>
            </w:pPr>
            <w:r>
              <w:rPr>
                <w:rFonts w:ascii="仿宋_GB2312" w:hAnsi="仿宋_GB2312" w:eastAsia="仿宋_GB2312" w:cs="仿宋_GB2312"/>
                <w:sz w:val="21"/>
              </w:rPr>
              <w:t>（五）其他未尽事宜由采购人与成交供应商在采购合同中进行约定（约定的内容须符合国家相关法律法规的规定，所需费用包含在报价中）。</w:t>
            </w:r>
          </w:p>
          <w:p w14:paraId="7AA87AFE">
            <w:pPr>
              <w:pStyle w:val="4"/>
              <w:jc w:val="left"/>
            </w:pPr>
            <w:r>
              <w:rPr>
                <w:rFonts w:ascii="仿宋_GB2312" w:hAnsi="仿宋_GB2312" w:eastAsia="仿宋_GB2312" w:cs="仿宋_GB2312"/>
                <w:b/>
                <w:sz w:val="21"/>
              </w:rPr>
              <w:t>注：理赔服务小组与承保服务小组的主要负责人可以为同一人，除此之外，两个小组的所有拟派人员严禁重复配置、交叉兼职，须为独立专职人员。供应商须在响应文件中明确承诺，一经查实人员混岗、重复报备，视为未响应采购要求。</w:t>
            </w:r>
          </w:p>
        </w:tc>
      </w:tr>
    </w:tbl>
    <w:p w14:paraId="5201F817">
      <w:pPr>
        <w:pStyle w:val="4"/>
        <w:jc w:val="left"/>
        <w:outlineLvl w:val="3"/>
      </w:pPr>
      <w:r>
        <w:rPr>
          <w:rFonts w:ascii="仿宋_GB2312" w:hAnsi="仿宋_GB2312" w:eastAsia="仿宋_GB2312" w:cs="仿宋_GB2312"/>
          <w:b/>
          <w:sz w:val="24"/>
        </w:rPr>
        <w:t>3.3.2.商务要求</w:t>
      </w:r>
    </w:p>
    <w:p w14:paraId="01F42B2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9897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A15360">
            <w:pPr>
              <w:pStyle w:val="4"/>
              <w:jc w:val="left"/>
            </w:pPr>
            <w:r>
              <w:rPr>
                <w:rFonts w:ascii="仿宋_GB2312" w:hAnsi="仿宋_GB2312" w:eastAsia="仿宋_GB2312" w:cs="仿宋_GB2312"/>
              </w:rPr>
              <w:t>序号</w:t>
            </w:r>
          </w:p>
        </w:tc>
        <w:tc>
          <w:tcPr>
            <w:tcW w:w="2076" w:type="dxa"/>
          </w:tcPr>
          <w:p w14:paraId="156D8EF0">
            <w:pPr>
              <w:pStyle w:val="4"/>
              <w:jc w:val="left"/>
            </w:pPr>
            <w:r>
              <w:rPr>
                <w:rFonts w:ascii="仿宋_GB2312" w:hAnsi="仿宋_GB2312" w:eastAsia="仿宋_GB2312" w:cs="仿宋_GB2312"/>
              </w:rPr>
              <w:t>符号标识</w:t>
            </w:r>
          </w:p>
        </w:tc>
        <w:tc>
          <w:tcPr>
            <w:tcW w:w="2076" w:type="dxa"/>
          </w:tcPr>
          <w:p w14:paraId="03ED8801">
            <w:pPr>
              <w:pStyle w:val="4"/>
              <w:jc w:val="left"/>
            </w:pPr>
            <w:r>
              <w:rPr>
                <w:rFonts w:ascii="仿宋_GB2312" w:hAnsi="仿宋_GB2312" w:eastAsia="仿宋_GB2312" w:cs="仿宋_GB2312"/>
              </w:rPr>
              <w:t>商务要求名称</w:t>
            </w:r>
          </w:p>
        </w:tc>
        <w:tc>
          <w:tcPr>
            <w:tcW w:w="2076" w:type="dxa"/>
          </w:tcPr>
          <w:p w14:paraId="64FDDB04">
            <w:pPr>
              <w:pStyle w:val="4"/>
              <w:jc w:val="left"/>
            </w:pPr>
            <w:r>
              <w:rPr>
                <w:rFonts w:ascii="仿宋_GB2312" w:hAnsi="仿宋_GB2312" w:eastAsia="仿宋_GB2312" w:cs="仿宋_GB2312"/>
              </w:rPr>
              <w:t>商务要求内容</w:t>
            </w:r>
          </w:p>
        </w:tc>
      </w:tr>
      <w:tr w14:paraId="498C65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B4ED3B">
            <w:pPr>
              <w:pStyle w:val="4"/>
              <w:jc w:val="left"/>
            </w:pPr>
            <w:r>
              <w:rPr>
                <w:rFonts w:ascii="仿宋_GB2312" w:hAnsi="仿宋_GB2312" w:eastAsia="仿宋_GB2312" w:cs="仿宋_GB2312"/>
              </w:rPr>
              <w:t>1</w:t>
            </w:r>
          </w:p>
        </w:tc>
        <w:tc>
          <w:tcPr>
            <w:tcW w:w="2076" w:type="dxa"/>
          </w:tcPr>
          <w:p w14:paraId="4760ADAC">
            <w:pPr>
              <w:pStyle w:val="4"/>
              <w:jc w:val="left"/>
            </w:pPr>
            <w:r>
              <w:rPr>
                <w:rFonts w:ascii="仿宋_GB2312" w:hAnsi="仿宋_GB2312" w:eastAsia="仿宋_GB2312" w:cs="仿宋_GB2312"/>
              </w:rPr>
              <w:t>★</w:t>
            </w:r>
          </w:p>
        </w:tc>
        <w:tc>
          <w:tcPr>
            <w:tcW w:w="2076" w:type="dxa"/>
          </w:tcPr>
          <w:p w14:paraId="20424720">
            <w:pPr>
              <w:pStyle w:val="4"/>
              <w:jc w:val="left"/>
            </w:pPr>
            <w:r>
              <w:rPr>
                <w:rFonts w:ascii="仿宋_GB2312" w:hAnsi="仿宋_GB2312" w:eastAsia="仿宋_GB2312" w:cs="仿宋_GB2312"/>
              </w:rPr>
              <w:t>服务期限</w:t>
            </w:r>
          </w:p>
        </w:tc>
        <w:tc>
          <w:tcPr>
            <w:tcW w:w="2076" w:type="dxa"/>
          </w:tcPr>
          <w:p w14:paraId="763FA1D7">
            <w:pPr>
              <w:pStyle w:val="4"/>
              <w:jc w:val="left"/>
            </w:pPr>
            <w:r>
              <w:rPr>
                <w:rFonts w:ascii="仿宋_GB2312" w:hAnsi="仿宋_GB2312" w:eastAsia="仿宋_GB2312" w:cs="仿宋_GB2312"/>
              </w:rPr>
              <w:t>合同签订之日起365日（即保险期间为1年，具体起止时间以保单约定为准。追溯期是自保单生效日向前追溯的期间，本保险设定追溯期，并规定如下：如供应商为首次承保则不设追溯期；如为供应商连续承保，则保险责任追溯期为1年）。</w:t>
            </w:r>
          </w:p>
        </w:tc>
      </w:tr>
      <w:tr w14:paraId="48671C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D32B46">
            <w:pPr>
              <w:pStyle w:val="4"/>
              <w:jc w:val="left"/>
            </w:pPr>
            <w:r>
              <w:rPr>
                <w:rFonts w:ascii="仿宋_GB2312" w:hAnsi="仿宋_GB2312" w:eastAsia="仿宋_GB2312" w:cs="仿宋_GB2312"/>
              </w:rPr>
              <w:t>2</w:t>
            </w:r>
          </w:p>
        </w:tc>
        <w:tc>
          <w:tcPr>
            <w:tcW w:w="2076" w:type="dxa"/>
          </w:tcPr>
          <w:p w14:paraId="5F9053B5">
            <w:pPr>
              <w:pStyle w:val="4"/>
              <w:jc w:val="left"/>
            </w:pPr>
            <w:r>
              <w:rPr>
                <w:rFonts w:ascii="仿宋_GB2312" w:hAnsi="仿宋_GB2312" w:eastAsia="仿宋_GB2312" w:cs="仿宋_GB2312"/>
              </w:rPr>
              <w:t>★</w:t>
            </w:r>
          </w:p>
        </w:tc>
        <w:tc>
          <w:tcPr>
            <w:tcW w:w="2076" w:type="dxa"/>
          </w:tcPr>
          <w:p w14:paraId="7CBEE6FD">
            <w:pPr>
              <w:pStyle w:val="4"/>
              <w:jc w:val="left"/>
            </w:pPr>
            <w:r>
              <w:rPr>
                <w:rFonts w:ascii="仿宋_GB2312" w:hAnsi="仿宋_GB2312" w:eastAsia="仿宋_GB2312" w:cs="仿宋_GB2312"/>
              </w:rPr>
              <w:t>服务地点</w:t>
            </w:r>
          </w:p>
        </w:tc>
        <w:tc>
          <w:tcPr>
            <w:tcW w:w="2076" w:type="dxa"/>
          </w:tcPr>
          <w:p w14:paraId="5A1EBF8B">
            <w:pPr>
              <w:pStyle w:val="4"/>
              <w:jc w:val="left"/>
            </w:pPr>
            <w:r>
              <w:rPr>
                <w:rFonts w:ascii="仿宋_GB2312" w:hAnsi="仿宋_GB2312" w:eastAsia="仿宋_GB2312" w:cs="仿宋_GB2312"/>
              </w:rPr>
              <w:t>采购人指定地点</w:t>
            </w:r>
          </w:p>
        </w:tc>
      </w:tr>
      <w:tr w14:paraId="4A610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1C8462">
            <w:pPr>
              <w:pStyle w:val="4"/>
              <w:jc w:val="left"/>
            </w:pPr>
            <w:r>
              <w:rPr>
                <w:rFonts w:ascii="仿宋_GB2312" w:hAnsi="仿宋_GB2312" w:eastAsia="仿宋_GB2312" w:cs="仿宋_GB2312"/>
              </w:rPr>
              <w:t>3</w:t>
            </w:r>
          </w:p>
        </w:tc>
        <w:tc>
          <w:tcPr>
            <w:tcW w:w="2076" w:type="dxa"/>
          </w:tcPr>
          <w:p w14:paraId="6439199B">
            <w:pPr>
              <w:pStyle w:val="4"/>
              <w:jc w:val="left"/>
            </w:pPr>
            <w:r>
              <w:rPr>
                <w:rFonts w:ascii="仿宋_GB2312" w:hAnsi="仿宋_GB2312" w:eastAsia="仿宋_GB2312" w:cs="仿宋_GB2312"/>
              </w:rPr>
              <w:t>★</w:t>
            </w:r>
          </w:p>
        </w:tc>
        <w:tc>
          <w:tcPr>
            <w:tcW w:w="2076" w:type="dxa"/>
          </w:tcPr>
          <w:p w14:paraId="28873A55">
            <w:pPr>
              <w:pStyle w:val="4"/>
              <w:jc w:val="left"/>
            </w:pPr>
            <w:r>
              <w:rPr>
                <w:rFonts w:ascii="仿宋_GB2312" w:hAnsi="仿宋_GB2312" w:eastAsia="仿宋_GB2312" w:cs="仿宋_GB2312"/>
              </w:rPr>
              <w:t>验收、交付标准和方法</w:t>
            </w:r>
          </w:p>
        </w:tc>
        <w:tc>
          <w:tcPr>
            <w:tcW w:w="2076" w:type="dxa"/>
          </w:tcPr>
          <w:p w14:paraId="4EBC34BA">
            <w:pPr>
              <w:pStyle w:val="4"/>
              <w:jc w:val="left"/>
            </w:pPr>
            <w:r>
              <w:rPr>
                <w:rFonts w:ascii="仿宋_GB2312" w:hAnsi="仿宋_GB2312" w:eastAsia="仿宋_GB2312" w:cs="仿宋_GB2312"/>
              </w:rPr>
              <w:t>按照磋商文件及供应商的响应文件及《财政部关于进一步加强政府采购需求和履约验收管理的指导意见》(财库[2016]205 号)及《广安市财政局关于印发&lt;广安市政府采购项目履约验收工作规程&gt;的通知》(广市财采(2021)275)的要求以及国家行业主管部门规定的标准、方法和内容组织验收。</w:t>
            </w:r>
          </w:p>
        </w:tc>
      </w:tr>
      <w:tr w14:paraId="2A861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5DF415">
            <w:pPr>
              <w:pStyle w:val="4"/>
              <w:jc w:val="left"/>
            </w:pPr>
            <w:r>
              <w:rPr>
                <w:rFonts w:ascii="仿宋_GB2312" w:hAnsi="仿宋_GB2312" w:eastAsia="仿宋_GB2312" w:cs="仿宋_GB2312"/>
              </w:rPr>
              <w:t>4</w:t>
            </w:r>
          </w:p>
        </w:tc>
        <w:tc>
          <w:tcPr>
            <w:tcW w:w="2076" w:type="dxa"/>
          </w:tcPr>
          <w:p w14:paraId="10335094">
            <w:pPr>
              <w:pStyle w:val="4"/>
              <w:jc w:val="left"/>
            </w:pPr>
            <w:r>
              <w:rPr>
                <w:rFonts w:ascii="仿宋_GB2312" w:hAnsi="仿宋_GB2312" w:eastAsia="仿宋_GB2312" w:cs="仿宋_GB2312"/>
              </w:rPr>
              <w:t>★</w:t>
            </w:r>
          </w:p>
        </w:tc>
        <w:tc>
          <w:tcPr>
            <w:tcW w:w="2076" w:type="dxa"/>
          </w:tcPr>
          <w:p w14:paraId="7670A613">
            <w:pPr>
              <w:pStyle w:val="4"/>
              <w:jc w:val="left"/>
            </w:pPr>
            <w:r>
              <w:rPr>
                <w:rFonts w:ascii="仿宋_GB2312" w:hAnsi="仿宋_GB2312" w:eastAsia="仿宋_GB2312" w:cs="仿宋_GB2312"/>
              </w:rPr>
              <w:t>支付方式</w:t>
            </w:r>
          </w:p>
        </w:tc>
        <w:tc>
          <w:tcPr>
            <w:tcW w:w="2076" w:type="dxa"/>
          </w:tcPr>
          <w:p w14:paraId="3056DB85">
            <w:pPr>
              <w:pStyle w:val="4"/>
              <w:jc w:val="left"/>
            </w:pPr>
            <w:r>
              <w:rPr>
                <w:rFonts w:ascii="仿宋_GB2312" w:hAnsi="仿宋_GB2312" w:eastAsia="仿宋_GB2312" w:cs="仿宋_GB2312"/>
              </w:rPr>
              <w:t>一次付清</w:t>
            </w:r>
          </w:p>
        </w:tc>
      </w:tr>
      <w:tr w14:paraId="61FE88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20CE703">
            <w:pPr>
              <w:pStyle w:val="4"/>
              <w:jc w:val="left"/>
            </w:pPr>
            <w:r>
              <w:rPr>
                <w:rFonts w:ascii="仿宋_GB2312" w:hAnsi="仿宋_GB2312" w:eastAsia="仿宋_GB2312" w:cs="仿宋_GB2312"/>
              </w:rPr>
              <w:t>5</w:t>
            </w:r>
          </w:p>
        </w:tc>
        <w:tc>
          <w:tcPr>
            <w:tcW w:w="2076" w:type="dxa"/>
          </w:tcPr>
          <w:p w14:paraId="26183600">
            <w:pPr>
              <w:pStyle w:val="4"/>
              <w:jc w:val="left"/>
            </w:pPr>
            <w:r>
              <w:rPr>
                <w:rFonts w:ascii="仿宋_GB2312" w:hAnsi="仿宋_GB2312" w:eastAsia="仿宋_GB2312" w:cs="仿宋_GB2312"/>
              </w:rPr>
              <w:t>★</w:t>
            </w:r>
          </w:p>
        </w:tc>
        <w:tc>
          <w:tcPr>
            <w:tcW w:w="2076" w:type="dxa"/>
          </w:tcPr>
          <w:p w14:paraId="54833D22">
            <w:pPr>
              <w:pStyle w:val="4"/>
              <w:jc w:val="left"/>
            </w:pPr>
            <w:r>
              <w:rPr>
                <w:rFonts w:ascii="仿宋_GB2312" w:hAnsi="仿宋_GB2312" w:eastAsia="仿宋_GB2312" w:cs="仿宋_GB2312"/>
              </w:rPr>
              <w:t>付款进度安排</w:t>
            </w:r>
          </w:p>
        </w:tc>
        <w:tc>
          <w:tcPr>
            <w:tcW w:w="2076" w:type="dxa"/>
          </w:tcPr>
          <w:p w14:paraId="1ACEF629">
            <w:pPr>
              <w:pStyle w:val="4"/>
              <w:jc w:val="left"/>
            </w:pPr>
            <w:r>
              <w:rPr>
                <w:rFonts w:ascii="仿宋_GB2312" w:hAnsi="仿宋_GB2312" w:eastAsia="仿宋_GB2312" w:cs="仿宋_GB2312"/>
              </w:rPr>
              <w:t>1、合同款，按采购人要求为参保对象购买医疗责任险并出具保单，采购人在收到成交供应商提供的合法有效完整增值税发票及相关凭证资料后，达到付款条件起10个工作日内，支付合同总金额的100.0%</w:t>
            </w:r>
            <w:r>
              <w:br w:type="textWrapping"/>
            </w:r>
          </w:p>
        </w:tc>
      </w:tr>
      <w:tr w14:paraId="0C337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F67FEF">
            <w:pPr>
              <w:pStyle w:val="4"/>
              <w:jc w:val="left"/>
            </w:pPr>
            <w:r>
              <w:rPr>
                <w:rFonts w:ascii="仿宋_GB2312" w:hAnsi="仿宋_GB2312" w:eastAsia="仿宋_GB2312" w:cs="仿宋_GB2312"/>
              </w:rPr>
              <w:t>6</w:t>
            </w:r>
          </w:p>
        </w:tc>
        <w:tc>
          <w:tcPr>
            <w:tcW w:w="2076" w:type="dxa"/>
          </w:tcPr>
          <w:p w14:paraId="3FBF3EAE">
            <w:pPr>
              <w:pStyle w:val="4"/>
              <w:jc w:val="left"/>
            </w:pPr>
            <w:r>
              <w:rPr>
                <w:rFonts w:ascii="仿宋_GB2312" w:hAnsi="仿宋_GB2312" w:eastAsia="仿宋_GB2312" w:cs="仿宋_GB2312"/>
              </w:rPr>
              <w:t>★</w:t>
            </w:r>
          </w:p>
        </w:tc>
        <w:tc>
          <w:tcPr>
            <w:tcW w:w="2076" w:type="dxa"/>
          </w:tcPr>
          <w:p w14:paraId="7536E739">
            <w:pPr>
              <w:pStyle w:val="4"/>
              <w:jc w:val="left"/>
            </w:pPr>
            <w:r>
              <w:rPr>
                <w:rFonts w:ascii="仿宋_GB2312" w:hAnsi="仿宋_GB2312" w:eastAsia="仿宋_GB2312" w:cs="仿宋_GB2312"/>
              </w:rPr>
              <w:t>违约责任与解决争议的方法</w:t>
            </w:r>
          </w:p>
        </w:tc>
        <w:tc>
          <w:tcPr>
            <w:tcW w:w="2076" w:type="dxa"/>
          </w:tcPr>
          <w:p w14:paraId="69C0EA15">
            <w:pPr>
              <w:pStyle w:val="4"/>
              <w:jc w:val="left"/>
            </w:pPr>
            <w:r>
              <w:rPr>
                <w:rFonts w:ascii="仿宋_GB2312" w:hAnsi="仿宋_GB2312" w:eastAsia="仿宋_GB2312" w:cs="仿宋_GB2312"/>
              </w:rPr>
              <w:t>1、违约责任 若因保险公司违约未能按照约定提供服务，采购人有权终止协议。造成采购人不良社会影响或经济损失，则采购方有权追究保险公司责任，要求其消除影响、并作相应的经济赔偿，若损失无法进行具体测算，保险公司向采购人支付合同总金额10%的违约金。 2、解决争议的方法:（1）因合同引起的或与本合同有关的任何争议，由双方当事人协商解决:也可以向有关部门申请调解。协商或调解不成，由当事人向采购人项目所在地人民法院提起诉讼。（2）在进行法院审理期间，除提交法院审理的事项外，合同仍应继续履行。</w:t>
            </w:r>
          </w:p>
        </w:tc>
      </w:tr>
    </w:tbl>
    <w:p w14:paraId="065155FD">
      <w:pPr>
        <w:pStyle w:val="4"/>
        <w:jc w:val="left"/>
        <w:outlineLvl w:val="2"/>
      </w:pPr>
      <w:r>
        <w:rPr>
          <w:rFonts w:ascii="仿宋_GB2312" w:hAnsi="仿宋_GB2312" w:eastAsia="仿宋_GB2312" w:cs="仿宋_GB2312"/>
          <w:b/>
          <w:sz w:val="28"/>
        </w:rPr>
        <w:t>3.4.其他要求</w:t>
      </w:r>
    </w:p>
    <w:p w14:paraId="1FA2DB33">
      <w:pPr>
        <w:pStyle w:val="4"/>
        <w:ind w:firstLine="480"/>
        <w:jc w:val="left"/>
      </w:pPr>
      <w:r>
        <w:rPr>
          <w:rFonts w:ascii="仿宋_GB2312" w:hAnsi="仿宋_GB2312" w:eastAsia="仿宋_GB2312" w:cs="仿宋_GB2312"/>
        </w:rPr>
        <w:t>采购包1：</w:t>
      </w:r>
    </w:p>
    <w:p w14:paraId="4AB86E64">
      <w:pPr>
        <w:pStyle w:val="4"/>
        <w:jc w:val="left"/>
      </w:pPr>
      <w:r>
        <w:rPr>
          <w:rFonts w:ascii="仿宋_GB2312" w:hAnsi="仿宋_GB2312" w:eastAsia="仿宋_GB2312" w:cs="仿宋_GB2312"/>
        </w:rPr>
        <w:t>一、与评审标准相对应的内容：（1）承保服务方案，内容包括：①承保服务流程；②承保服务保障方案；③承保风险管理；④承保应急处理预案；⑤纠纷及风险防范方案等。（2）理赔服务方案，内容包括：①服务响应时间；②理赔措施及流程；③应急预案；④售后延续性服务；⑤理赔时间进度保障；⑥重（特）大责任事故处理流程；⑦理赔条款；⑧培训方案；⑨理赔查询服务；⑩统计分析报告服务。（3）业绩证明材料。（4）综合偿付能力证明材料。</w:t>
      </w:r>
    </w:p>
    <w:p w14:paraId="6059136C">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AD81197"/>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11211</Words>
  <Characters>11787</Characters>
  <Lines>0</Lines>
  <Paragraphs>0</Paragraphs>
  <TotalTime>2</TotalTime>
  <ScaleCrop>false</ScaleCrop>
  <LinksUpToDate>false</LinksUpToDate>
  <CharactersWithSpaces>11865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A甲醛检测治理-蒋超</cp:lastModifiedBy>
  <dcterms:modified xsi:type="dcterms:W3CDTF">2026-07-15T06:41:38Z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eyJoZGlkIjoiNmU1MmUxYWVlMmM0NDUwZDg0MWYyMGE4YzI4ZTc1ZjYiLCJ1c2VySWQiOiI2NjE1MTI2MDcifQ==</vt:lpwstr>
  </property>
  <property fmtid="{D5CDD505-2E9C-101B-9397-08002B2CF9AE}" pid="4" name="ICV">
    <vt:lpwstr>885A3FAFDEB646269ADAFFA1A818DE1F_12</vt:lpwstr>
  </property>
</Properties>
</file>