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rPr>
          <w:highlight w:val="none"/>
        </w:rPr>
      </w:pPr>
      <w:bookmarkStart w:id="0" w:name="_Hlk114888497"/>
      <w:bookmarkEnd w:id="0"/>
    </w:p>
    <w:p>
      <w:pPr>
        <w:ind w:firstLine="0" w:firstLineChars="0"/>
        <w:rPr>
          <w:highlight w:val="none"/>
        </w:rPr>
      </w:pPr>
    </w:p>
    <w:p>
      <w:pPr>
        <w:adjustRightInd w:val="0"/>
        <w:snapToGrid w:val="0"/>
        <w:ind w:firstLine="0" w:firstLineChars="0"/>
        <w:jc w:val="center"/>
        <w:textAlignment w:val="baseline"/>
        <w:rPr>
          <w:rFonts w:hint="eastAsia"/>
          <w:b/>
          <w:sz w:val="30"/>
          <w:szCs w:val="30"/>
        </w:rPr>
      </w:pPr>
    </w:p>
    <w:p>
      <w:pPr>
        <w:adjustRightInd w:val="0"/>
        <w:snapToGrid w:val="0"/>
        <w:ind w:firstLine="0" w:firstLineChars="0"/>
        <w:jc w:val="center"/>
        <w:textAlignment w:val="baseline"/>
        <w:rPr>
          <w:rFonts w:hint="eastAsia"/>
          <w:b/>
          <w:sz w:val="30"/>
          <w:szCs w:val="30"/>
        </w:rPr>
      </w:pPr>
    </w:p>
    <w:p>
      <w:pPr>
        <w:adjustRightInd w:val="0"/>
        <w:snapToGrid w:val="0"/>
        <w:ind w:firstLine="0" w:firstLineChars="0"/>
        <w:jc w:val="center"/>
        <w:textAlignment w:val="baseline"/>
        <w:rPr>
          <w:rFonts w:hint="eastAsia"/>
          <w:b/>
          <w:sz w:val="30"/>
          <w:szCs w:val="30"/>
        </w:rPr>
      </w:pPr>
    </w:p>
    <w:p>
      <w:pPr>
        <w:adjustRightInd w:val="0"/>
        <w:snapToGrid w:val="0"/>
        <w:ind w:firstLine="0" w:firstLineChars="0"/>
        <w:jc w:val="center"/>
        <w:textAlignment w:val="baseline"/>
        <w:rPr>
          <w:rFonts w:hint="eastAsia"/>
          <w:b/>
          <w:sz w:val="30"/>
          <w:szCs w:val="30"/>
          <w:lang w:val="en-US" w:eastAsia="zh-CN"/>
        </w:rPr>
      </w:pPr>
      <w:r>
        <w:rPr>
          <w:rFonts w:hint="eastAsia"/>
          <w:b/>
          <w:sz w:val="30"/>
          <w:szCs w:val="30"/>
          <w:lang w:val="en-US" w:eastAsia="zh-CN"/>
        </w:rPr>
        <w:t>珠海市斗门区市民服务中心信息化工程项目</w:t>
      </w:r>
    </w:p>
    <w:p>
      <w:pPr>
        <w:adjustRightInd w:val="0"/>
        <w:snapToGrid w:val="0"/>
        <w:ind w:firstLine="0" w:firstLineChars="0"/>
        <w:jc w:val="center"/>
        <w:textAlignment w:val="baseline"/>
        <w:rPr>
          <w:rFonts w:hint="eastAsia"/>
          <w:b/>
          <w:sz w:val="30"/>
          <w:szCs w:val="30"/>
          <w:lang w:val="en-US" w:eastAsia="zh-CN"/>
        </w:rPr>
      </w:pPr>
    </w:p>
    <w:p>
      <w:pPr>
        <w:adjustRightInd w:val="0"/>
        <w:snapToGrid w:val="0"/>
        <w:ind w:firstLine="0" w:firstLineChars="0"/>
        <w:jc w:val="center"/>
        <w:textAlignment w:val="baseline"/>
        <w:rPr>
          <w:rFonts w:hint="default"/>
          <w:b/>
          <w:sz w:val="30"/>
          <w:szCs w:val="30"/>
          <w:lang w:val="en-US" w:eastAsia="zh-CN"/>
        </w:rPr>
      </w:pPr>
      <w:r>
        <w:rPr>
          <w:rFonts w:hint="eastAsia"/>
          <w:b/>
          <w:sz w:val="30"/>
          <w:szCs w:val="30"/>
          <w:lang w:val="en-US" w:eastAsia="zh-CN"/>
        </w:rPr>
        <w:t>采购需求书</w:t>
      </w:r>
    </w:p>
    <w:p>
      <w:pPr>
        <w:ind w:firstLine="0" w:firstLineChars="0"/>
        <w:rPr>
          <w:highlight w:val="none"/>
        </w:rPr>
      </w:pPr>
    </w:p>
    <w:p>
      <w:pPr>
        <w:widowControl w:val="0"/>
        <w:snapToGrid w:val="0"/>
        <w:ind w:firstLine="0" w:firstLineChars="0"/>
        <w:textAlignment w:val="baseline"/>
        <w:rPr>
          <w:sz w:val="28"/>
          <w:szCs w:val="20"/>
          <w:highlight w:val="none"/>
        </w:rPr>
      </w:pPr>
    </w:p>
    <w:p>
      <w:pPr>
        <w:widowControl w:val="0"/>
        <w:snapToGrid w:val="0"/>
        <w:ind w:firstLine="0" w:firstLineChars="0"/>
        <w:textAlignment w:val="baseline"/>
        <w:rPr>
          <w:sz w:val="28"/>
          <w:szCs w:val="20"/>
          <w:highlight w:val="none"/>
        </w:rPr>
      </w:pPr>
    </w:p>
    <w:p>
      <w:pPr>
        <w:ind w:firstLine="0" w:firstLineChars="0"/>
        <w:rPr>
          <w:rFonts w:ascii="Calibri" w:hAnsi="Calibri"/>
          <w:highlight w:val="none"/>
        </w:rPr>
      </w:pPr>
    </w:p>
    <w:p>
      <w:pPr>
        <w:ind w:firstLine="0" w:firstLineChars="0"/>
        <w:rPr>
          <w:b/>
          <w:sz w:val="28"/>
          <w:highlight w:val="none"/>
        </w:rPr>
      </w:pPr>
    </w:p>
    <w:p>
      <w:pPr>
        <w:ind w:firstLine="0" w:firstLineChars="0"/>
        <w:rPr>
          <w:b/>
          <w:sz w:val="28"/>
          <w:highlight w:val="none"/>
        </w:rPr>
      </w:pPr>
    </w:p>
    <w:p>
      <w:pPr>
        <w:ind w:firstLine="0" w:firstLineChars="0"/>
        <w:rPr>
          <w:b/>
          <w:sz w:val="28"/>
          <w:highlight w:val="none"/>
        </w:rPr>
      </w:pPr>
    </w:p>
    <w:p>
      <w:pPr>
        <w:ind w:firstLine="0" w:firstLineChars="0"/>
        <w:rPr>
          <w:b/>
          <w:sz w:val="28"/>
          <w:highlight w:val="none"/>
        </w:rPr>
      </w:pPr>
    </w:p>
    <w:p>
      <w:pPr>
        <w:snapToGrid w:val="0"/>
        <w:jc w:val="center"/>
        <w:rPr>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18" w:right="1418" w:bottom="1418" w:left="1418" w:header="851" w:footer="363" w:gutter="0"/>
          <w:pgBorders>
            <w:top w:val="none" w:sz="0" w:space="0"/>
            <w:left w:val="none" w:sz="0" w:space="0"/>
            <w:bottom w:val="none" w:sz="0" w:space="0"/>
            <w:right w:val="none" w:sz="0" w:space="0"/>
          </w:pgBorders>
          <w:pgNumType w:fmt="upperRoman" w:start="1"/>
          <w:cols w:space="720" w:num="1"/>
          <w:docGrid w:linePitch="312" w:charSpace="0"/>
        </w:sectPr>
      </w:pPr>
    </w:p>
    <w:p>
      <w:pPr>
        <w:snapToGrid w:val="0"/>
        <w:jc w:val="center"/>
        <w:rPr>
          <w:highlight w:val="none"/>
        </w:rPr>
      </w:pPr>
    </w:p>
    <w:sdt>
      <w:sdtPr>
        <w:rPr>
          <w:rFonts w:hint="eastAsia"/>
          <w:b/>
          <w:spacing w:val="240"/>
          <w:kern w:val="0"/>
          <w:sz w:val="32"/>
          <w:szCs w:val="32"/>
          <w:highlight w:val="none"/>
          <w:lang w:val="zh-CN"/>
        </w:rPr>
        <w:id w:val="1573928812"/>
        <w:docPartObj>
          <w:docPartGallery w:val="Table of Contents"/>
          <w:docPartUnique/>
        </w:docPartObj>
      </w:sdtPr>
      <w:sdtEndPr>
        <w:rPr>
          <w:rFonts w:hint="eastAsia"/>
          <w:b/>
          <w:bCs/>
          <w:spacing w:val="240"/>
          <w:kern w:val="0"/>
          <w:sz w:val="36"/>
          <w:szCs w:val="32"/>
          <w:highlight w:val="none"/>
          <w:lang w:val="zh-CN"/>
        </w:rPr>
      </w:sdtEndPr>
      <w:sdtContent>
        <w:p>
          <w:pPr>
            <w:widowControl/>
            <w:ind w:firstLine="0" w:firstLineChars="0"/>
            <w:jc w:val="center"/>
            <w:rPr>
              <w:rFonts w:hint="eastAsia" w:eastAsia="宋体"/>
              <w:b/>
              <w:spacing w:val="240"/>
              <w:kern w:val="0"/>
              <w:sz w:val="32"/>
              <w:szCs w:val="32"/>
              <w:highlight w:val="none"/>
              <w:lang w:val="en-US" w:eastAsia="zh-CN"/>
            </w:rPr>
          </w:pPr>
          <w:r>
            <w:rPr>
              <w:rFonts w:hint="eastAsia"/>
              <w:b/>
              <w:spacing w:val="240"/>
              <w:kern w:val="0"/>
              <w:sz w:val="32"/>
              <w:szCs w:val="32"/>
              <w:highlight w:val="none"/>
              <w:lang w:val="zh-CN"/>
            </w:rPr>
            <w:t>目</w:t>
          </w:r>
          <w:r>
            <w:rPr>
              <w:rFonts w:hint="eastAsia"/>
              <w:b/>
              <w:spacing w:val="240"/>
              <w:kern w:val="0"/>
              <w:sz w:val="32"/>
              <w:szCs w:val="32"/>
              <w:highlight w:val="none"/>
              <w:lang w:val="en-US" w:eastAsia="zh-CN"/>
            </w:rPr>
            <w:t>录</w:t>
          </w:r>
        </w:p>
        <w:p>
          <w:pPr>
            <w:pStyle w:val="21"/>
            <w:tabs>
              <w:tab w:val="right" w:leader="dot" w:pos="9073"/>
            </w:tabs>
          </w:pPr>
          <w:r>
            <w:rPr>
              <w:rFonts w:hint="eastAsia"/>
              <w:bCs/>
              <w:caps/>
              <w:szCs w:val="20"/>
              <w:highlight w:val="none"/>
            </w:rPr>
            <w:fldChar w:fldCharType="begin"/>
          </w:r>
          <w:r>
            <w:rPr>
              <w:rFonts w:hint="eastAsia"/>
              <w:highlight w:val="none"/>
            </w:rPr>
            <w:instrText xml:space="preserve">TOC \o "1-4" \h \u </w:instrText>
          </w:r>
          <w:r>
            <w:rPr>
              <w:rFonts w:hint="eastAsia"/>
              <w:bCs/>
              <w:caps/>
              <w:szCs w:val="20"/>
              <w:highlight w:val="none"/>
            </w:rPr>
            <w:fldChar w:fldCharType="separate"/>
          </w:r>
          <w:r>
            <w:rPr>
              <w:rFonts w:hint="eastAsia"/>
              <w:highlight w:val="none"/>
            </w:rPr>
            <w:fldChar w:fldCharType="begin"/>
          </w:r>
          <w:r>
            <w:rPr>
              <w:rFonts w:hint="eastAsia"/>
              <w:highlight w:val="none"/>
            </w:rPr>
            <w:instrText xml:space="preserve"> HYPERLINK \l _Toc11097 </w:instrText>
          </w:r>
          <w:r>
            <w:rPr>
              <w:rFonts w:hint="eastAsia"/>
              <w:highlight w:val="none"/>
            </w:rPr>
            <w:fldChar w:fldCharType="separate"/>
          </w:r>
          <w:r>
            <w:rPr>
              <w:rFonts w:hint="default"/>
            </w:rPr>
            <w:t xml:space="preserve">1. </w:t>
          </w:r>
          <w:r>
            <w:rPr>
              <w:rFonts w:hint="eastAsia"/>
              <w:highlight w:val="none"/>
            </w:rPr>
            <w:t>项目</w:t>
          </w:r>
          <w:r>
            <w:rPr>
              <w:rFonts w:hint="eastAsia"/>
              <w:highlight w:val="none"/>
              <w:lang w:val="en-US" w:eastAsia="zh-CN"/>
            </w:rPr>
            <w:t>概述</w:t>
          </w:r>
          <w:r>
            <w:tab/>
          </w:r>
          <w:r>
            <w:fldChar w:fldCharType="begin"/>
          </w:r>
          <w:r>
            <w:instrText xml:space="preserve"> PAGEREF _Toc11097 \h </w:instrText>
          </w:r>
          <w:r>
            <w:fldChar w:fldCharType="separate"/>
          </w:r>
          <w:r>
            <w:t>5</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_Toc30458 </w:instrText>
          </w:r>
          <w:r>
            <w:rPr>
              <w:rFonts w:hint="eastAsia"/>
              <w:highlight w:val="none"/>
            </w:rPr>
            <w:fldChar w:fldCharType="separate"/>
          </w:r>
          <w:r>
            <w:rPr>
              <w:rFonts w:hint="default"/>
            </w:rPr>
            <w:t xml:space="preserve">1.1. </w:t>
          </w:r>
          <w:r>
            <w:rPr>
              <w:rFonts w:hint="eastAsia"/>
              <w:highlight w:val="none"/>
            </w:rPr>
            <w:t>项目</w:t>
          </w:r>
          <w:r>
            <w:rPr>
              <w:rFonts w:hint="eastAsia"/>
              <w:highlight w:val="none"/>
              <w:lang w:val="en-US" w:eastAsia="zh-CN"/>
            </w:rPr>
            <w:t>名称</w:t>
          </w:r>
          <w:r>
            <w:tab/>
          </w:r>
          <w:r>
            <w:fldChar w:fldCharType="begin"/>
          </w:r>
          <w:r>
            <w:instrText xml:space="preserve"> PAGEREF _Toc30458 \h </w:instrText>
          </w:r>
          <w:r>
            <w:fldChar w:fldCharType="separate"/>
          </w:r>
          <w:r>
            <w:t>5</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_Toc26924 </w:instrText>
          </w:r>
          <w:r>
            <w:rPr>
              <w:rFonts w:hint="eastAsia"/>
              <w:highlight w:val="none"/>
            </w:rPr>
            <w:fldChar w:fldCharType="separate"/>
          </w:r>
          <w:r>
            <w:rPr>
              <w:rFonts w:hint="default"/>
              <w:lang w:val="en-US" w:eastAsia="zh-CN"/>
            </w:rPr>
            <w:t xml:space="preserve">1.2. </w:t>
          </w:r>
          <w:r>
            <w:rPr>
              <w:rFonts w:hint="eastAsia"/>
              <w:highlight w:val="none"/>
              <w:lang w:val="en-US" w:eastAsia="zh-CN"/>
            </w:rPr>
            <w:t>项目建设地点</w:t>
          </w:r>
          <w:r>
            <w:tab/>
          </w:r>
          <w:r>
            <w:fldChar w:fldCharType="begin"/>
          </w:r>
          <w:r>
            <w:instrText xml:space="preserve"> PAGEREF _Toc26924 \h </w:instrText>
          </w:r>
          <w:r>
            <w:fldChar w:fldCharType="separate"/>
          </w:r>
          <w:r>
            <w:t>5</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_Toc5385 </w:instrText>
          </w:r>
          <w:r>
            <w:rPr>
              <w:rFonts w:hint="eastAsia"/>
              <w:highlight w:val="none"/>
            </w:rPr>
            <w:fldChar w:fldCharType="separate"/>
          </w:r>
          <w:r>
            <w:rPr>
              <w:rFonts w:hint="default"/>
            </w:rPr>
            <w:t xml:space="preserve">1.3. </w:t>
          </w:r>
          <w:r>
            <w:rPr>
              <w:rFonts w:hint="eastAsia"/>
              <w:highlight w:val="none"/>
              <w:lang w:val="en-US" w:eastAsia="zh-CN"/>
            </w:rPr>
            <w:t>项目建设</w:t>
          </w:r>
          <w:r>
            <w:rPr>
              <w:rFonts w:hint="eastAsia"/>
              <w:highlight w:val="none"/>
            </w:rPr>
            <w:t>背景</w:t>
          </w:r>
          <w:r>
            <w:tab/>
          </w:r>
          <w:r>
            <w:fldChar w:fldCharType="begin"/>
          </w:r>
          <w:r>
            <w:instrText xml:space="preserve"> PAGEREF _Toc5385 \h </w:instrText>
          </w:r>
          <w:r>
            <w:fldChar w:fldCharType="separate"/>
          </w:r>
          <w:r>
            <w:t>5</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_Toc17675 </w:instrText>
          </w:r>
          <w:r>
            <w:rPr>
              <w:rFonts w:hint="eastAsia"/>
              <w:highlight w:val="none"/>
            </w:rPr>
            <w:fldChar w:fldCharType="separate"/>
          </w:r>
          <w:r>
            <w:rPr>
              <w:rFonts w:hint="default"/>
            </w:rPr>
            <w:t xml:space="preserve">1.4. </w:t>
          </w:r>
          <w:r>
            <w:rPr>
              <w:rFonts w:hint="eastAsia"/>
              <w:highlight w:val="none"/>
            </w:rPr>
            <w:t>项目</w:t>
          </w:r>
          <w:r>
            <w:rPr>
              <w:rFonts w:hint="eastAsia"/>
              <w:highlight w:val="none"/>
              <w:lang w:val="en-US" w:eastAsia="zh-CN"/>
            </w:rPr>
            <w:t>建设</w:t>
          </w:r>
          <w:r>
            <w:rPr>
              <w:rFonts w:hint="eastAsia"/>
              <w:highlight w:val="none"/>
            </w:rPr>
            <w:t>目标</w:t>
          </w:r>
          <w:r>
            <w:tab/>
          </w:r>
          <w:r>
            <w:fldChar w:fldCharType="begin"/>
          </w:r>
          <w:r>
            <w:instrText xml:space="preserve"> PAGEREF _Toc17675 \h </w:instrText>
          </w:r>
          <w:r>
            <w:fldChar w:fldCharType="separate"/>
          </w:r>
          <w:r>
            <w:t>6</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_Toc10597 </w:instrText>
          </w:r>
          <w:r>
            <w:rPr>
              <w:rFonts w:hint="eastAsia"/>
              <w:highlight w:val="none"/>
            </w:rPr>
            <w:fldChar w:fldCharType="separate"/>
          </w:r>
          <w:r>
            <w:rPr>
              <w:rFonts w:hint="default"/>
              <w:lang w:val="en-US" w:eastAsia="zh-CN"/>
            </w:rPr>
            <w:t xml:space="preserve">1.5. </w:t>
          </w:r>
          <w:r>
            <w:rPr>
              <w:rFonts w:hint="eastAsia"/>
              <w:lang w:val="en-US" w:eastAsia="zh-CN"/>
            </w:rPr>
            <w:t>项目建设内容</w:t>
          </w:r>
          <w:r>
            <w:tab/>
          </w:r>
          <w:r>
            <w:fldChar w:fldCharType="begin"/>
          </w:r>
          <w:r>
            <w:instrText xml:space="preserve"> PAGEREF _Toc10597 \h </w:instrText>
          </w:r>
          <w:r>
            <w:fldChar w:fldCharType="separate"/>
          </w:r>
          <w:r>
            <w:t>6</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_Toc12706 </w:instrText>
          </w:r>
          <w:r>
            <w:rPr>
              <w:rFonts w:hint="eastAsia"/>
              <w:highlight w:val="none"/>
            </w:rPr>
            <w:fldChar w:fldCharType="separate"/>
          </w:r>
          <w:r>
            <w:rPr>
              <w:rFonts w:hint="default"/>
            </w:rPr>
            <w:t xml:space="preserve">1.6. </w:t>
          </w:r>
          <w:r>
            <w:rPr>
              <w:rFonts w:hint="eastAsia"/>
              <w:highlight w:val="none"/>
            </w:rPr>
            <w:t>建设</w:t>
          </w:r>
          <w:r>
            <w:rPr>
              <w:rFonts w:hint="eastAsia"/>
              <w:highlight w:val="none"/>
              <w:lang w:val="en-US" w:eastAsia="zh-CN"/>
            </w:rPr>
            <w:t>的</w:t>
          </w:r>
          <w:r>
            <w:rPr>
              <w:rFonts w:hint="eastAsia"/>
              <w:highlight w:val="none"/>
            </w:rPr>
            <w:t>意义</w:t>
          </w:r>
          <w:r>
            <w:tab/>
          </w:r>
          <w:r>
            <w:fldChar w:fldCharType="begin"/>
          </w:r>
          <w:r>
            <w:instrText xml:space="preserve"> PAGEREF _Toc12706 \h </w:instrText>
          </w:r>
          <w:r>
            <w:fldChar w:fldCharType="separate"/>
          </w:r>
          <w:r>
            <w:t>7</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_Toc446 </w:instrText>
          </w:r>
          <w:r>
            <w:rPr>
              <w:rFonts w:hint="eastAsia"/>
              <w:highlight w:val="none"/>
            </w:rPr>
            <w:fldChar w:fldCharType="separate"/>
          </w:r>
          <w:r>
            <w:rPr>
              <w:rFonts w:hint="default" w:ascii="黑体" w:hAnsi="黑体" w:eastAsia="黑体" w:cs="黑体"/>
            </w:rPr>
            <w:t xml:space="preserve">1.6.1. </w:t>
          </w:r>
          <w:r>
            <w:rPr>
              <w:rFonts w:hint="eastAsia"/>
              <w:highlight w:val="none"/>
            </w:rPr>
            <w:t>是落实市政府工作要求，按时按质建设好珠海市民服务中心的需要</w:t>
          </w:r>
          <w:r>
            <w:tab/>
          </w:r>
          <w:r>
            <w:fldChar w:fldCharType="begin"/>
          </w:r>
          <w:r>
            <w:instrText xml:space="preserve"> PAGEREF _Toc446 \h </w:instrText>
          </w:r>
          <w:r>
            <w:fldChar w:fldCharType="separate"/>
          </w:r>
          <w:r>
            <w:t>7</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_Toc31975 </w:instrText>
          </w:r>
          <w:r>
            <w:rPr>
              <w:rFonts w:hint="eastAsia"/>
              <w:highlight w:val="none"/>
            </w:rPr>
            <w:fldChar w:fldCharType="separate"/>
          </w:r>
          <w:r>
            <w:rPr>
              <w:rFonts w:hint="default" w:ascii="黑体" w:hAnsi="黑体" w:eastAsia="黑体" w:cs="黑体"/>
            </w:rPr>
            <w:t xml:space="preserve">1.6.2. </w:t>
          </w:r>
          <w:r>
            <w:rPr>
              <w:rFonts w:hint="eastAsia"/>
              <w:highlight w:val="none"/>
            </w:rPr>
            <w:t>是深化“放管服”改革，优化营商环境，建设人民满意的服务型政府的需要</w:t>
          </w:r>
          <w:r>
            <w:tab/>
          </w:r>
          <w:r>
            <w:fldChar w:fldCharType="begin"/>
          </w:r>
          <w:r>
            <w:instrText xml:space="preserve"> PAGEREF _Toc31975 \h </w:instrText>
          </w:r>
          <w:r>
            <w:fldChar w:fldCharType="separate"/>
          </w:r>
          <w:r>
            <w:t>7</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_Toc5923 </w:instrText>
          </w:r>
          <w:r>
            <w:rPr>
              <w:rFonts w:hint="eastAsia"/>
              <w:highlight w:val="none"/>
            </w:rPr>
            <w:fldChar w:fldCharType="separate"/>
          </w:r>
          <w:r>
            <w:rPr>
              <w:rFonts w:hint="default" w:ascii="黑体" w:hAnsi="黑体" w:eastAsia="黑体" w:cs="黑体"/>
            </w:rPr>
            <w:t xml:space="preserve">1.6.3. </w:t>
          </w:r>
          <w:r>
            <w:rPr>
              <w:rFonts w:hint="eastAsia"/>
              <w:highlight w:val="none"/>
            </w:rPr>
            <w:t>是响应国家和广东省要求加快推进政务服务标准化规范化便利化的需要</w:t>
          </w:r>
          <w:r>
            <w:tab/>
          </w:r>
          <w:r>
            <w:fldChar w:fldCharType="begin"/>
          </w:r>
          <w:r>
            <w:instrText xml:space="preserve"> PAGEREF _Toc5923 \h </w:instrText>
          </w:r>
          <w:r>
            <w:fldChar w:fldCharType="separate"/>
          </w:r>
          <w:r>
            <w:t>8</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_Toc31419 </w:instrText>
          </w:r>
          <w:r>
            <w:rPr>
              <w:rFonts w:hint="eastAsia"/>
              <w:highlight w:val="none"/>
            </w:rPr>
            <w:fldChar w:fldCharType="separate"/>
          </w:r>
          <w:r>
            <w:rPr>
              <w:rFonts w:hint="default" w:ascii="黑体" w:hAnsi="黑体" w:eastAsia="黑体" w:cs="黑体"/>
            </w:rPr>
            <w:t xml:space="preserve">1.6.4. </w:t>
          </w:r>
          <w:r>
            <w:rPr>
              <w:rFonts w:hint="eastAsia"/>
              <w:highlight w:val="none"/>
            </w:rPr>
            <w:t>是加强政府机构行政服务监督，建立阳光行政的需要</w:t>
          </w:r>
          <w:r>
            <w:tab/>
          </w:r>
          <w:r>
            <w:fldChar w:fldCharType="begin"/>
          </w:r>
          <w:r>
            <w:instrText xml:space="preserve"> PAGEREF _Toc31419 \h </w:instrText>
          </w:r>
          <w:r>
            <w:fldChar w:fldCharType="separate"/>
          </w:r>
          <w:r>
            <w:t>8</w:t>
          </w:r>
          <w:r>
            <w:fldChar w:fldCharType="end"/>
          </w:r>
          <w:r>
            <w:rPr>
              <w:rFonts w:hint="eastAsia"/>
              <w:highlight w:val="none"/>
            </w:rPr>
            <w:fldChar w:fldCharType="end"/>
          </w:r>
        </w:p>
        <w:p>
          <w:pPr>
            <w:pStyle w:val="21"/>
            <w:tabs>
              <w:tab w:val="right" w:leader="dot" w:pos="9073"/>
            </w:tabs>
          </w:pPr>
          <w:r>
            <w:rPr>
              <w:rFonts w:hint="eastAsia"/>
              <w:highlight w:val="none"/>
            </w:rPr>
            <w:fldChar w:fldCharType="begin"/>
          </w:r>
          <w:r>
            <w:rPr>
              <w:rFonts w:hint="eastAsia"/>
              <w:highlight w:val="none"/>
            </w:rPr>
            <w:instrText xml:space="preserve"> HYPERLINK \l _Toc30909 </w:instrText>
          </w:r>
          <w:r>
            <w:rPr>
              <w:rFonts w:hint="eastAsia"/>
              <w:highlight w:val="none"/>
            </w:rPr>
            <w:fldChar w:fldCharType="separate"/>
          </w:r>
          <w:r>
            <w:rPr>
              <w:rFonts w:hint="default"/>
            </w:rPr>
            <w:t xml:space="preserve">2. </w:t>
          </w:r>
          <w:r>
            <w:rPr>
              <w:rFonts w:hint="eastAsia"/>
              <w:highlight w:val="none"/>
              <w:lang w:val="en-US" w:eastAsia="zh-CN"/>
            </w:rPr>
            <w:t>项目主要建设内容</w:t>
          </w:r>
          <w:r>
            <w:tab/>
          </w:r>
          <w:r>
            <w:fldChar w:fldCharType="begin"/>
          </w:r>
          <w:r>
            <w:instrText xml:space="preserve"> PAGEREF _Toc30909 \h </w:instrText>
          </w:r>
          <w:r>
            <w:fldChar w:fldCharType="separate"/>
          </w:r>
          <w:r>
            <w:t>9</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_Toc1348 </w:instrText>
          </w:r>
          <w:r>
            <w:rPr>
              <w:rFonts w:hint="eastAsia"/>
              <w:highlight w:val="none"/>
            </w:rPr>
            <w:fldChar w:fldCharType="separate"/>
          </w:r>
          <w:r>
            <w:rPr>
              <w:rFonts w:hint="default" w:ascii="宋体" w:hAnsi="宋体" w:eastAsia="宋体"/>
            </w:rPr>
            <w:t xml:space="preserve">2.1. </w:t>
          </w:r>
          <w:r>
            <w:rPr>
              <w:rFonts w:hint="eastAsia" w:ascii="宋体" w:hAnsi="宋体" w:eastAsia="宋体"/>
              <w:highlight w:val="none"/>
              <w:lang w:val="en-US" w:eastAsia="zh-CN"/>
            </w:rPr>
            <w:t>建设原则和策略</w:t>
          </w:r>
          <w:r>
            <w:tab/>
          </w:r>
          <w:r>
            <w:fldChar w:fldCharType="begin"/>
          </w:r>
          <w:r>
            <w:instrText xml:space="preserve"> PAGEREF _Toc1348 \h </w:instrText>
          </w:r>
          <w:r>
            <w:fldChar w:fldCharType="separate"/>
          </w:r>
          <w:r>
            <w:t>9</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_Toc2359 </w:instrText>
          </w:r>
          <w:r>
            <w:rPr>
              <w:rFonts w:hint="eastAsia"/>
              <w:highlight w:val="none"/>
            </w:rPr>
            <w:fldChar w:fldCharType="separate"/>
          </w:r>
          <w:r>
            <w:rPr>
              <w:rFonts w:hint="default" w:ascii="黑体" w:hAnsi="黑体" w:eastAsia="黑体" w:cs="黑体"/>
            </w:rPr>
            <w:t xml:space="preserve">2.1.1. </w:t>
          </w:r>
          <w:r>
            <w:rPr>
              <w:rFonts w:hint="eastAsia"/>
              <w:lang w:val="en-US" w:eastAsia="zh-CN"/>
            </w:rPr>
            <w:t>建设原则</w:t>
          </w:r>
          <w:r>
            <w:tab/>
          </w:r>
          <w:r>
            <w:fldChar w:fldCharType="begin"/>
          </w:r>
          <w:r>
            <w:instrText xml:space="preserve"> PAGEREF _Toc2359 \h </w:instrText>
          </w:r>
          <w:r>
            <w:fldChar w:fldCharType="separate"/>
          </w:r>
          <w:r>
            <w:t>9</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_Toc3163 </w:instrText>
          </w:r>
          <w:r>
            <w:rPr>
              <w:rFonts w:hint="eastAsia"/>
              <w:highlight w:val="none"/>
            </w:rPr>
            <w:fldChar w:fldCharType="separate"/>
          </w:r>
          <w:r>
            <w:rPr>
              <w:rFonts w:hint="default" w:ascii="黑体" w:hAnsi="黑体" w:eastAsia="黑体" w:cs="黑体"/>
            </w:rPr>
            <w:t xml:space="preserve">2.1.1.1. </w:t>
          </w:r>
          <w:r>
            <w:rPr>
              <w:rFonts w:hint="eastAsia"/>
              <w:highlight w:val="none"/>
            </w:rPr>
            <w:t>以国产化技术路线为基本原则</w:t>
          </w:r>
          <w:r>
            <w:tab/>
          </w:r>
          <w:r>
            <w:fldChar w:fldCharType="begin"/>
          </w:r>
          <w:r>
            <w:instrText xml:space="preserve"> PAGEREF _Toc3163 \h </w:instrText>
          </w:r>
          <w:r>
            <w:fldChar w:fldCharType="separate"/>
          </w:r>
          <w:r>
            <w:t>9</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_Toc17785 </w:instrText>
          </w:r>
          <w:r>
            <w:rPr>
              <w:rFonts w:hint="eastAsia"/>
              <w:highlight w:val="none"/>
            </w:rPr>
            <w:fldChar w:fldCharType="separate"/>
          </w:r>
          <w:r>
            <w:rPr>
              <w:rFonts w:hint="default" w:ascii="黑体" w:hAnsi="黑体" w:eastAsia="黑体" w:cs="黑体"/>
            </w:rPr>
            <w:t xml:space="preserve">2.1.1.2. </w:t>
          </w:r>
          <w:r>
            <w:rPr>
              <w:rFonts w:hint="eastAsia"/>
              <w:highlight w:val="none"/>
              <w:lang w:val="en-US" w:eastAsia="zh-CN"/>
            </w:rPr>
            <w:t>集约节约建设的原则</w:t>
          </w:r>
          <w:r>
            <w:tab/>
          </w:r>
          <w:r>
            <w:fldChar w:fldCharType="begin"/>
          </w:r>
          <w:r>
            <w:instrText xml:space="preserve"> PAGEREF _Toc17785 \h </w:instrText>
          </w:r>
          <w:r>
            <w:fldChar w:fldCharType="separate"/>
          </w:r>
          <w:r>
            <w:t>9</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_Toc11954 </w:instrText>
          </w:r>
          <w:r>
            <w:rPr>
              <w:rFonts w:hint="eastAsia"/>
              <w:highlight w:val="none"/>
            </w:rPr>
            <w:fldChar w:fldCharType="separate"/>
          </w:r>
          <w:r>
            <w:rPr>
              <w:rFonts w:hint="default" w:ascii="黑体" w:hAnsi="黑体" w:eastAsia="黑体" w:cs="黑体"/>
            </w:rPr>
            <w:t xml:space="preserve">2.1.1.3. </w:t>
          </w:r>
          <w:r>
            <w:rPr>
              <w:rFonts w:hint="eastAsia"/>
              <w:highlight w:val="none"/>
            </w:rPr>
            <w:t>先进性和实用性并重原则</w:t>
          </w:r>
          <w:r>
            <w:tab/>
          </w:r>
          <w:r>
            <w:fldChar w:fldCharType="begin"/>
          </w:r>
          <w:r>
            <w:instrText xml:space="preserve"> PAGEREF _Toc11954 \h </w:instrText>
          </w:r>
          <w:r>
            <w:fldChar w:fldCharType="separate"/>
          </w:r>
          <w:r>
            <w:t>9</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_Toc24763 </w:instrText>
          </w:r>
          <w:r>
            <w:rPr>
              <w:rFonts w:hint="eastAsia"/>
              <w:highlight w:val="none"/>
            </w:rPr>
            <w:fldChar w:fldCharType="separate"/>
          </w:r>
          <w:r>
            <w:rPr>
              <w:rFonts w:hint="default" w:ascii="黑体" w:hAnsi="黑体" w:eastAsia="黑体" w:cs="黑体"/>
            </w:rPr>
            <w:t xml:space="preserve">2.1.1.4. </w:t>
          </w:r>
          <w:r>
            <w:rPr>
              <w:rFonts w:hint="eastAsia"/>
              <w:highlight w:val="none"/>
            </w:rPr>
            <w:t>标准化和规范化原则</w:t>
          </w:r>
          <w:r>
            <w:tab/>
          </w:r>
          <w:r>
            <w:fldChar w:fldCharType="begin"/>
          </w:r>
          <w:r>
            <w:instrText xml:space="preserve"> PAGEREF _Toc24763 \h </w:instrText>
          </w:r>
          <w:r>
            <w:fldChar w:fldCharType="separate"/>
          </w:r>
          <w:r>
            <w:t>9</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_Toc16179 </w:instrText>
          </w:r>
          <w:r>
            <w:rPr>
              <w:rFonts w:hint="eastAsia"/>
              <w:highlight w:val="none"/>
            </w:rPr>
            <w:fldChar w:fldCharType="separate"/>
          </w:r>
          <w:r>
            <w:rPr>
              <w:rFonts w:hint="default" w:ascii="黑体" w:hAnsi="黑体" w:eastAsia="黑体" w:cs="黑体"/>
            </w:rPr>
            <w:t xml:space="preserve">2.1.1.5. </w:t>
          </w:r>
          <w:r>
            <w:rPr>
              <w:rFonts w:hint="eastAsia"/>
              <w:highlight w:val="none"/>
            </w:rPr>
            <w:t>可伸缩性和可扩展性原则</w:t>
          </w:r>
          <w:r>
            <w:tab/>
          </w:r>
          <w:r>
            <w:fldChar w:fldCharType="begin"/>
          </w:r>
          <w:r>
            <w:instrText xml:space="preserve"> PAGEREF _Toc16179 \h </w:instrText>
          </w:r>
          <w:r>
            <w:fldChar w:fldCharType="separate"/>
          </w:r>
          <w:r>
            <w:t>9</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_Toc19709 </w:instrText>
          </w:r>
          <w:r>
            <w:rPr>
              <w:rFonts w:hint="eastAsia"/>
              <w:highlight w:val="none"/>
            </w:rPr>
            <w:fldChar w:fldCharType="separate"/>
          </w:r>
          <w:r>
            <w:rPr>
              <w:rFonts w:hint="default" w:ascii="黑体" w:hAnsi="黑体" w:eastAsia="黑体" w:cs="黑体"/>
            </w:rPr>
            <w:t xml:space="preserve">2.1.1.6. </w:t>
          </w:r>
          <w:r>
            <w:rPr>
              <w:rFonts w:hint="eastAsia"/>
              <w:highlight w:val="none"/>
            </w:rPr>
            <w:t>安全性和可靠性原则</w:t>
          </w:r>
          <w:r>
            <w:tab/>
          </w:r>
          <w:r>
            <w:fldChar w:fldCharType="begin"/>
          </w:r>
          <w:r>
            <w:instrText xml:space="preserve"> PAGEREF _Toc19709 \h </w:instrText>
          </w:r>
          <w:r>
            <w:fldChar w:fldCharType="separate"/>
          </w:r>
          <w:r>
            <w:t>9</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_Toc21308 </w:instrText>
          </w:r>
          <w:r>
            <w:rPr>
              <w:rFonts w:hint="eastAsia"/>
              <w:highlight w:val="none"/>
            </w:rPr>
            <w:fldChar w:fldCharType="separate"/>
          </w:r>
          <w:r>
            <w:rPr>
              <w:rFonts w:hint="default" w:ascii="黑体" w:hAnsi="黑体" w:eastAsia="黑体" w:cs="黑体"/>
            </w:rPr>
            <w:t xml:space="preserve">2.1.1.7. </w:t>
          </w:r>
          <w:r>
            <w:rPr>
              <w:rFonts w:hint="eastAsia"/>
              <w:highlight w:val="none"/>
            </w:rPr>
            <w:t>界面友好性和易用性原则</w:t>
          </w:r>
          <w:r>
            <w:tab/>
          </w:r>
          <w:r>
            <w:fldChar w:fldCharType="begin"/>
          </w:r>
          <w:r>
            <w:instrText xml:space="preserve"> PAGEREF _Toc21308 \h </w:instrText>
          </w:r>
          <w:r>
            <w:fldChar w:fldCharType="separate"/>
          </w:r>
          <w:r>
            <w:t>10</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_Toc28698 </w:instrText>
          </w:r>
          <w:r>
            <w:rPr>
              <w:rFonts w:hint="eastAsia"/>
              <w:highlight w:val="none"/>
            </w:rPr>
            <w:fldChar w:fldCharType="separate"/>
          </w:r>
          <w:r>
            <w:rPr>
              <w:rFonts w:hint="default" w:ascii="黑体" w:hAnsi="黑体" w:eastAsia="黑体" w:cs="黑体"/>
            </w:rPr>
            <w:t xml:space="preserve">2.1.1.8. </w:t>
          </w:r>
          <w:r>
            <w:rPr>
              <w:rFonts w:hint="eastAsia"/>
              <w:highlight w:val="none"/>
            </w:rPr>
            <w:t>可管理性和可维护性原则</w:t>
          </w:r>
          <w:r>
            <w:tab/>
          </w:r>
          <w:r>
            <w:fldChar w:fldCharType="begin"/>
          </w:r>
          <w:r>
            <w:instrText xml:space="preserve"> PAGEREF _Toc28698 \h </w:instrText>
          </w:r>
          <w:r>
            <w:fldChar w:fldCharType="separate"/>
          </w:r>
          <w:r>
            <w:t>10</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_Toc3939 </w:instrText>
          </w:r>
          <w:r>
            <w:rPr>
              <w:rFonts w:hint="eastAsia"/>
              <w:highlight w:val="none"/>
            </w:rPr>
            <w:fldChar w:fldCharType="separate"/>
          </w:r>
          <w:r>
            <w:rPr>
              <w:rFonts w:hint="default" w:ascii="黑体" w:hAnsi="黑体" w:eastAsia="黑体" w:cs="黑体"/>
              <w:lang w:val="en-US" w:eastAsia="zh-CN"/>
            </w:rPr>
            <w:t xml:space="preserve">2.1.2. </w:t>
          </w:r>
          <w:r>
            <w:rPr>
              <w:rFonts w:hint="eastAsia"/>
              <w:lang w:val="en-US" w:eastAsia="zh-CN"/>
            </w:rPr>
            <w:t>建设策略</w:t>
          </w:r>
          <w:r>
            <w:tab/>
          </w:r>
          <w:r>
            <w:fldChar w:fldCharType="begin"/>
          </w:r>
          <w:r>
            <w:instrText xml:space="preserve"> PAGEREF _Toc3939 \h </w:instrText>
          </w:r>
          <w:r>
            <w:fldChar w:fldCharType="separate"/>
          </w:r>
          <w:r>
            <w:t>10</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_Toc461 </w:instrText>
          </w:r>
          <w:r>
            <w:rPr>
              <w:rFonts w:hint="eastAsia"/>
              <w:highlight w:val="none"/>
            </w:rPr>
            <w:fldChar w:fldCharType="separate"/>
          </w:r>
          <w:r>
            <w:rPr>
              <w:rFonts w:hint="default" w:ascii="宋体" w:hAnsi="宋体" w:eastAsia="宋体"/>
              <w:kern w:val="0"/>
              <w:szCs w:val="20"/>
            </w:rPr>
            <w:t xml:space="preserve">2.2. </w:t>
          </w:r>
          <w:r>
            <w:rPr>
              <w:rFonts w:hint="eastAsia" w:ascii="宋体" w:hAnsi="宋体" w:eastAsia="宋体"/>
              <w:kern w:val="0"/>
              <w:szCs w:val="20"/>
              <w:highlight w:val="none"/>
            </w:rPr>
            <w:t>总体</w:t>
          </w:r>
          <w:r>
            <w:rPr>
              <w:rFonts w:hint="eastAsia" w:ascii="宋体" w:hAnsi="宋体" w:eastAsia="宋体"/>
              <w:kern w:val="0"/>
              <w:szCs w:val="20"/>
              <w:highlight w:val="none"/>
              <w:lang w:val="en-US" w:eastAsia="zh-CN"/>
            </w:rPr>
            <w:t>设计方案</w:t>
          </w:r>
          <w:r>
            <w:tab/>
          </w:r>
          <w:r>
            <w:fldChar w:fldCharType="begin"/>
          </w:r>
          <w:r>
            <w:instrText xml:space="preserve"> PAGEREF _Toc461 \h </w:instrText>
          </w:r>
          <w:r>
            <w:fldChar w:fldCharType="separate"/>
          </w:r>
          <w:r>
            <w:t>10</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_Toc25584 </w:instrText>
          </w:r>
          <w:r>
            <w:rPr>
              <w:rFonts w:hint="eastAsia"/>
              <w:highlight w:val="none"/>
            </w:rPr>
            <w:fldChar w:fldCharType="separate"/>
          </w:r>
          <w:r>
            <w:rPr>
              <w:rFonts w:hint="default" w:ascii="黑体" w:hAnsi="黑体" w:eastAsia="黑体" w:cs="黑体"/>
            </w:rPr>
            <w:t xml:space="preserve">2.2.1. </w:t>
          </w:r>
          <w:r>
            <w:rPr>
              <w:rFonts w:hint="eastAsia"/>
              <w:highlight w:val="none"/>
            </w:rPr>
            <w:t>总体架构</w:t>
          </w:r>
          <w:r>
            <w:tab/>
          </w:r>
          <w:r>
            <w:fldChar w:fldCharType="begin"/>
          </w:r>
          <w:r>
            <w:instrText xml:space="preserve"> PAGEREF _Toc25584 \h </w:instrText>
          </w:r>
          <w:r>
            <w:fldChar w:fldCharType="separate"/>
          </w:r>
          <w:r>
            <w:t>10</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_Toc21203 </w:instrText>
          </w:r>
          <w:r>
            <w:rPr>
              <w:rFonts w:hint="eastAsia"/>
              <w:highlight w:val="none"/>
            </w:rPr>
            <w:fldChar w:fldCharType="separate"/>
          </w:r>
          <w:r>
            <w:rPr>
              <w:rFonts w:hint="default" w:ascii="黑体" w:hAnsi="黑体" w:eastAsia="黑体" w:cs="黑体"/>
            </w:rPr>
            <w:t xml:space="preserve">2.2.2. </w:t>
          </w:r>
          <w:r>
            <w:rPr>
              <w:rFonts w:hint="eastAsia"/>
            </w:rPr>
            <w:t>数据</w:t>
          </w:r>
          <w:r>
            <w:rPr>
              <w:rFonts w:hint="eastAsia"/>
              <w:lang w:val="en-US" w:eastAsia="zh-CN"/>
            </w:rPr>
            <w:t>架构</w:t>
          </w:r>
          <w:r>
            <w:tab/>
          </w:r>
          <w:r>
            <w:fldChar w:fldCharType="begin"/>
          </w:r>
          <w:r>
            <w:instrText xml:space="preserve"> PAGEREF _Toc21203 \h </w:instrText>
          </w:r>
          <w:r>
            <w:fldChar w:fldCharType="separate"/>
          </w:r>
          <w:r>
            <w:t>11</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_Toc16888 </w:instrText>
          </w:r>
          <w:r>
            <w:rPr>
              <w:rFonts w:hint="eastAsia"/>
              <w:highlight w:val="none"/>
            </w:rPr>
            <w:fldChar w:fldCharType="separate"/>
          </w:r>
          <w:r>
            <w:rPr>
              <w:rFonts w:hint="default" w:ascii="黑体" w:hAnsi="黑体" w:eastAsia="黑体" w:cs="黑体"/>
            </w:rPr>
            <w:t xml:space="preserve">2.2.3. </w:t>
          </w:r>
          <w:r>
            <w:rPr>
              <w:rFonts w:hint="eastAsia"/>
              <w:highlight w:val="none"/>
            </w:rPr>
            <w:t>网络架构</w:t>
          </w:r>
          <w:r>
            <w:tab/>
          </w:r>
          <w:r>
            <w:fldChar w:fldCharType="begin"/>
          </w:r>
          <w:r>
            <w:instrText xml:space="preserve"> PAGEREF _Toc16888 \h </w:instrText>
          </w:r>
          <w:r>
            <w:fldChar w:fldCharType="separate"/>
          </w:r>
          <w:r>
            <w:t>12</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_Toc3598 </w:instrText>
          </w:r>
          <w:r>
            <w:rPr>
              <w:rFonts w:hint="eastAsia"/>
              <w:highlight w:val="none"/>
            </w:rPr>
            <w:fldChar w:fldCharType="separate"/>
          </w:r>
          <w:r>
            <w:rPr>
              <w:rFonts w:hint="default" w:ascii="黑体" w:hAnsi="黑体" w:eastAsia="黑体" w:cs="黑体"/>
            </w:rPr>
            <w:t xml:space="preserve">2.2.4. </w:t>
          </w:r>
          <w:r>
            <w:rPr>
              <w:rFonts w:hint="eastAsia"/>
              <w:highlight w:val="none"/>
            </w:rPr>
            <w:t>安全架构</w:t>
          </w:r>
          <w:r>
            <w:tab/>
          </w:r>
          <w:r>
            <w:fldChar w:fldCharType="begin"/>
          </w:r>
          <w:r>
            <w:instrText xml:space="preserve"> PAGEREF _Toc3598 \h </w:instrText>
          </w:r>
          <w:r>
            <w:fldChar w:fldCharType="separate"/>
          </w:r>
          <w:r>
            <w:t>13</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_Toc13933 </w:instrText>
          </w:r>
          <w:r>
            <w:rPr>
              <w:rFonts w:hint="eastAsia"/>
              <w:highlight w:val="none"/>
            </w:rPr>
            <w:fldChar w:fldCharType="separate"/>
          </w:r>
          <w:r>
            <w:rPr>
              <w:rFonts w:hint="default"/>
            </w:rPr>
            <w:t xml:space="preserve">2.3. </w:t>
          </w:r>
          <w:r>
            <w:rPr>
              <w:rFonts w:hint="eastAsia"/>
              <w:highlight w:val="none"/>
            </w:rPr>
            <w:t>配套基础设施</w:t>
          </w:r>
          <w:r>
            <w:rPr>
              <w:rFonts w:hint="eastAsia"/>
              <w:highlight w:val="none"/>
              <w:lang w:val="en-US" w:eastAsia="zh-CN"/>
            </w:rPr>
            <w:t>建设需求</w:t>
          </w:r>
          <w:r>
            <w:tab/>
          </w:r>
          <w:r>
            <w:fldChar w:fldCharType="begin"/>
          </w:r>
          <w:r>
            <w:instrText xml:space="preserve"> PAGEREF _Toc13933 \h </w:instrText>
          </w:r>
          <w:r>
            <w:fldChar w:fldCharType="separate"/>
          </w:r>
          <w:r>
            <w:t>13</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_Toc19419 </w:instrText>
          </w:r>
          <w:r>
            <w:rPr>
              <w:rFonts w:hint="eastAsia"/>
              <w:highlight w:val="none"/>
            </w:rPr>
            <w:fldChar w:fldCharType="separate"/>
          </w:r>
          <w:r>
            <w:rPr>
              <w:rFonts w:hint="default" w:ascii="黑体" w:hAnsi="黑体" w:eastAsia="黑体" w:cs="黑体"/>
            </w:rPr>
            <w:t xml:space="preserve">2.3.1. </w:t>
          </w:r>
          <w:r>
            <w:rPr>
              <w:rFonts w:hint="eastAsia"/>
            </w:rPr>
            <w:t>网络设备间</w:t>
          </w:r>
          <w:r>
            <w:tab/>
          </w:r>
          <w:r>
            <w:fldChar w:fldCharType="begin"/>
          </w:r>
          <w:r>
            <w:instrText xml:space="preserve"> PAGEREF _Toc19419 \h </w:instrText>
          </w:r>
          <w:r>
            <w:fldChar w:fldCharType="separate"/>
          </w:r>
          <w:r>
            <w:t>13</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_Toc678 </w:instrText>
          </w:r>
          <w:r>
            <w:rPr>
              <w:rFonts w:hint="eastAsia"/>
              <w:highlight w:val="none"/>
            </w:rPr>
            <w:fldChar w:fldCharType="separate"/>
          </w:r>
          <w:r>
            <w:rPr>
              <w:rFonts w:hint="default" w:ascii="黑体" w:hAnsi="黑体" w:eastAsia="黑体" w:cs="黑体"/>
            </w:rPr>
            <w:t xml:space="preserve">2.3.1.1. </w:t>
          </w:r>
          <w:r>
            <w:rPr>
              <w:rFonts w:hint="eastAsia"/>
            </w:rPr>
            <w:t>系统概述</w:t>
          </w:r>
          <w:r>
            <w:tab/>
          </w:r>
          <w:r>
            <w:fldChar w:fldCharType="begin"/>
          </w:r>
          <w:r>
            <w:instrText xml:space="preserve"> PAGEREF _Toc678 \h </w:instrText>
          </w:r>
          <w:r>
            <w:fldChar w:fldCharType="separate"/>
          </w:r>
          <w:r>
            <w:t>13</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_Toc20724 </w:instrText>
          </w:r>
          <w:r>
            <w:rPr>
              <w:rFonts w:hint="eastAsia"/>
              <w:highlight w:val="none"/>
            </w:rPr>
            <w:fldChar w:fldCharType="separate"/>
          </w:r>
          <w:r>
            <w:rPr>
              <w:rFonts w:hint="default" w:ascii="黑体" w:hAnsi="黑体" w:eastAsia="黑体" w:cs="黑体"/>
            </w:rPr>
            <w:t xml:space="preserve">2.3.1.2. </w:t>
          </w:r>
          <w:r>
            <w:rPr>
              <w:rFonts w:hint="eastAsia"/>
            </w:rPr>
            <w:t>网络设备间</w:t>
          </w:r>
          <w:r>
            <w:t>建设范围</w:t>
          </w:r>
          <w:r>
            <w:tab/>
          </w:r>
          <w:r>
            <w:fldChar w:fldCharType="begin"/>
          </w:r>
          <w:r>
            <w:instrText xml:space="preserve"> PAGEREF _Toc20724 \h </w:instrText>
          </w:r>
          <w:r>
            <w:fldChar w:fldCharType="separate"/>
          </w:r>
          <w:r>
            <w:t>13</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_Toc17961 </w:instrText>
          </w:r>
          <w:r>
            <w:rPr>
              <w:rFonts w:hint="eastAsia"/>
              <w:highlight w:val="none"/>
            </w:rPr>
            <w:fldChar w:fldCharType="separate"/>
          </w:r>
          <w:r>
            <w:rPr>
              <w:rFonts w:hint="default" w:ascii="黑体" w:hAnsi="黑体" w:eastAsia="黑体" w:cs="黑体"/>
            </w:rPr>
            <w:t xml:space="preserve">2.3.1.3. </w:t>
          </w:r>
          <w:r>
            <w:rPr>
              <w:rFonts w:hint="eastAsia"/>
            </w:rPr>
            <w:t>网络设备间平面布局</w:t>
          </w:r>
          <w:r>
            <w:tab/>
          </w:r>
          <w:r>
            <w:fldChar w:fldCharType="begin"/>
          </w:r>
          <w:r>
            <w:instrText xml:space="preserve"> PAGEREF _Toc17961 \h </w:instrText>
          </w:r>
          <w:r>
            <w:fldChar w:fldCharType="separate"/>
          </w:r>
          <w:r>
            <w:t>13</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_Toc23964 </w:instrText>
          </w:r>
          <w:r>
            <w:rPr>
              <w:rFonts w:hint="eastAsia"/>
              <w:highlight w:val="none"/>
            </w:rPr>
            <w:fldChar w:fldCharType="separate"/>
          </w:r>
          <w:r>
            <w:rPr>
              <w:rFonts w:hint="default" w:ascii="黑体" w:hAnsi="黑体" w:eastAsia="黑体" w:cs="黑体"/>
            </w:rPr>
            <w:t xml:space="preserve">2.3.1.4. </w:t>
          </w:r>
          <w:r>
            <w:rPr>
              <w:rFonts w:hint="eastAsia"/>
            </w:rPr>
            <w:t>网络设备间装修方案</w:t>
          </w:r>
          <w:r>
            <w:tab/>
          </w:r>
          <w:r>
            <w:fldChar w:fldCharType="begin"/>
          </w:r>
          <w:r>
            <w:instrText xml:space="preserve"> PAGEREF _Toc23964 \h </w:instrText>
          </w:r>
          <w:r>
            <w:fldChar w:fldCharType="separate"/>
          </w:r>
          <w:r>
            <w:t>16</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_Toc11197 </w:instrText>
          </w:r>
          <w:r>
            <w:rPr>
              <w:rFonts w:hint="eastAsia"/>
              <w:highlight w:val="none"/>
            </w:rPr>
            <w:fldChar w:fldCharType="separate"/>
          </w:r>
          <w:r>
            <w:rPr>
              <w:rFonts w:hint="default" w:ascii="黑体" w:hAnsi="黑体" w:eastAsia="黑体" w:cs="黑体"/>
            </w:rPr>
            <w:t xml:space="preserve">2.3.1.5. </w:t>
          </w:r>
          <w:r>
            <w:rPr>
              <w:rFonts w:hint="eastAsia"/>
            </w:rPr>
            <w:t>网络设备间防雷接地方案</w:t>
          </w:r>
          <w:r>
            <w:tab/>
          </w:r>
          <w:r>
            <w:fldChar w:fldCharType="begin"/>
          </w:r>
          <w:r>
            <w:instrText xml:space="preserve"> PAGEREF _Toc11197 \h </w:instrText>
          </w:r>
          <w:r>
            <w:fldChar w:fldCharType="separate"/>
          </w:r>
          <w:r>
            <w:t>18</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_Toc22242 </w:instrText>
          </w:r>
          <w:r>
            <w:rPr>
              <w:rFonts w:hint="eastAsia"/>
              <w:highlight w:val="none"/>
            </w:rPr>
            <w:fldChar w:fldCharType="separate"/>
          </w:r>
          <w:r>
            <w:rPr>
              <w:rFonts w:hint="default" w:ascii="黑体" w:hAnsi="黑体" w:eastAsia="黑体" w:cs="黑体"/>
            </w:rPr>
            <w:t xml:space="preserve">2.3.2. </w:t>
          </w:r>
          <w:r>
            <w:rPr>
              <w:rFonts w:hint="eastAsia"/>
            </w:rPr>
            <w:t>计算机网络系统</w:t>
          </w:r>
          <w:r>
            <w:tab/>
          </w:r>
          <w:r>
            <w:fldChar w:fldCharType="begin"/>
          </w:r>
          <w:r>
            <w:instrText xml:space="preserve"> PAGEREF _Toc22242 \h </w:instrText>
          </w:r>
          <w:r>
            <w:fldChar w:fldCharType="separate"/>
          </w:r>
          <w:r>
            <w:t>18</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_Toc23561 </w:instrText>
          </w:r>
          <w:r>
            <w:rPr>
              <w:rFonts w:hint="eastAsia"/>
              <w:highlight w:val="none"/>
            </w:rPr>
            <w:fldChar w:fldCharType="separate"/>
          </w:r>
          <w:r>
            <w:rPr>
              <w:rFonts w:hint="default" w:ascii="黑体" w:hAnsi="黑体" w:eastAsia="黑体" w:cs="黑体"/>
            </w:rPr>
            <w:t xml:space="preserve">2.3.2.1. </w:t>
          </w:r>
          <w:r>
            <w:rPr>
              <w:rFonts w:hint="eastAsia"/>
            </w:rPr>
            <w:t>系统概述</w:t>
          </w:r>
          <w:r>
            <w:tab/>
          </w:r>
          <w:r>
            <w:fldChar w:fldCharType="begin"/>
          </w:r>
          <w:r>
            <w:instrText xml:space="preserve"> PAGEREF _Toc23561 \h </w:instrText>
          </w:r>
          <w:r>
            <w:fldChar w:fldCharType="separate"/>
          </w:r>
          <w:r>
            <w:t>18</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_Toc9021 </w:instrText>
          </w:r>
          <w:r>
            <w:rPr>
              <w:rFonts w:hint="eastAsia"/>
              <w:highlight w:val="none"/>
            </w:rPr>
            <w:fldChar w:fldCharType="separate"/>
          </w:r>
          <w:r>
            <w:rPr>
              <w:rFonts w:hint="default" w:ascii="黑体" w:hAnsi="黑体" w:eastAsia="黑体" w:cs="黑体"/>
            </w:rPr>
            <w:t xml:space="preserve">2.3.2.2. </w:t>
          </w:r>
          <w:r>
            <w:rPr>
              <w:rFonts w:hint="eastAsia"/>
              <w:lang w:val="en-US" w:eastAsia="zh-CN"/>
            </w:rPr>
            <w:t>建设</w:t>
          </w:r>
          <w:r>
            <w:rPr>
              <w:rFonts w:hint="eastAsia"/>
            </w:rPr>
            <w:t>原则</w:t>
          </w:r>
          <w:r>
            <w:tab/>
          </w:r>
          <w:r>
            <w:fldChar w:fldCharType="begin"/>
          </w:r>
          <w:r>
            <w:instrText xml:space="preserve"> PAGEREF _Toc9021 \h </w:instrText>
          </w:r>
          <w:r>
            <w:fldChar w:fldCharType="separate"/>
          </w:r>
          <w:r>
            <w:t>18</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_Toc7379 </w:instrText>
          </w:r>
          <w:r>
            <w:rPr>
              <w:rFonts w:hint="eastAsia"/>
              <w:highlight w:val="none"/>
            </w:rPr>
            <w:fldChar w:fldCharType="separate"/>
          </w:r>
          <w:r>
            <w:rPr>
              <w:rFonts w:hint="default" w:ascii="黑体" w:hAnsi="黑体" w:eastAsia="黑体" w:cs="黑体"/>
            </w:rPr>
            <w:t xml:space="preserve">2.3.2.3. </w:t>
          </w:r>
          <w:r>
            <w:rPr>
              <w:rFonts w:hint="eastAsia"/>
            </w:rPr>
            <w:t>计算机网络整体架构规划</w:t>
          </w:r>
          <w:r>
            <w:tab/>
          </w:r>
          <w:r>
            <w:fldChar w:fldCharType="begin"/>
          </w:r>
          <w:r>
            <w:instrText xml:space="preserve"> PAGEREF _Toc7379 \h </w:instrText>
          </w:r>
          <w:r>
            <w:fldChar w:fldCharType="separate"/>
          </w:r>
          <w:r>
            <w:t>19</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_Toc21551 </w:instrText>
          </w:r>
          <w:r>
            <w:rPr>
              <w:rFonts w:hint="eastAsia"/>
              <w:highlight w:val="none"/>
            </w:rPr>
            <w:fldChar w:fldCharType="separate"/>
          </w:r>
          <w:r>
            <w:rPr>
              <w:rFonts w:hint="default" w:ascii="黑体" w:hAnsi="黑体" w:eastAsia="黑体" w:cs="黑体"/>
              <w:lang w:eastAsia="zh-Hans"/>
            </w:rPr>
            <w:t xml:space="preserve">2.3.2.4. </w:t>
          </w:r>
          <w:r>
            <w:rPr>
              <w:rFonts w:hint="eastAsia"/>
            </w:rPr>
            <w:t>IPv6地址协议支持</w:t>
          </w:r>
          <w:r>
            <w:tab/>
          </w:r>
          <w:r>
            <w:fldChar w:fldCharType="begin"/>
          </w:r>
          <w:r>
            <w:instrText xml:space="preserve"> PAGEREF _Toc21551 \h </w:instrText>
          </w:r>
          <w:r>
            <w:fldChar w:fldCharType="separate"/>
          </w:r>
          <w:r>
            <w:t>30</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_Toc20260 </w:instrText>
          </w:r>
          <w:r>
            <w:rPr>
              <w:rFonts w:hint="eastAsia"/>
              <w:highlight w:val="none"/>
            </w:rPr>
            <w:fldChar w:fldCharType="separate"/>
          </w:r>
          <w:r>
            <w:rPr>
              <w:rFonts w:hint="default" w:ascii="黑体" w:hAnsi="黑体" w:eastAsia="黑体" w:cs="黑体"/>
            </w:rPr>
            <w:t xml:space="preserve">2.3.2.5. </w:t>
          </w:r>
          <w:r>
            <w:rPr>
              <w:rFonts w:hint="eastAsia"/>
            </w:rPr>
            <w:t>IP地址设计</w:t>
          </w:r>
          <w:r>
            <w:tab/>
          </w:r>
          <w:r>
            <w:fldChar w:fldCharType="begin"/>
          </w:r>
          <w:r>
            <w:instrText xml:space="preserve"> PAGEREF _Toc20260 \h </w:instrText>
          </w:r>
          <w:r>
            <w:fldChar w:fldCharType="separate"/>
          </w:r>
          <w:r>
            <w:t>30</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_Toc13015 </w:instrText>
          </w:r>
          <w:r>
            <w:rPr>
              <w:rFonts w:hint="eastAsia"/>
              <w:highlight w:val="none"/>
            </w:rPr>
            <w:fldChar w:fldCharType="separate"/>
          </w:r>
          <w:r>
            <w:rPr>
              <w:rFonts w:hint="default"/>
            </w:rPr>
            <w:t xml:space="preserve">2.4. </w:t>
          </w:r>
          <w:r>
            <w:rPr>
              <w:rFonts w:hint="eastAsia"/>
              <w:highlight w:val="none"/>
            </w:rPr>
            <w:t>业务运行设备</w:t>
          </w:r>
          <w:r>
            <w:tab/>
          </w:r>
          <w:r>
            <w:fldChar w:fldCharType="begin"/>
          </w:r>
          <w:r>
            <w:instrText xml:space="preserve"> PAGEREF _Toc13015 \h </w:instrText>
          </w:r>
          <w:r>
            <w:fldChar w:fldCharType="separate"/>
          </w:r>
          <w:r>
            <w:t>30</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_Toc8952 </w:instrText>
          </w:r>
          <w:r>
            <w:rPr>
              <w:rFonts w:hint="eastAsia"/>
              <w:highlight w:val="none"/>
            </w:rPr>
            <w:fldChar w:fldCharType="separate"/>
          </w:r>
          <w:r>
            <w:rPr>
              <w:rFonts w:hint="default" w:ascii="黑体" w:hAnsi="黑体" w:eastAsia="黑体" w:cs="黑体"/>
            </w:rPr>
            <w:t xml:space="preserve">2.4.1. </w:t>
          </w:r>
          <w:r>
            <w:rPr>
              <w:rFonts w:hint="eastAsia"/>
            </w:rPr>
            <w:t>大厅业务运行设备</w:t>
          </w:r>
          <w:r>
            <w:tab/>
          </w:r>
          <w:r>
            <w:fldChar w:fldCharType="begin"/>
          </w:r>
          <w:r>
            <w:instrText xml:space="preserve"> PAGEREF _Toc8952 \h </w:instrText>
          </w:r>
          <w:r>
            <w:fldChar w:fldCharType="separate"/>
          </w:r>
          <w:r>
            <w:t>30</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_Toc30228 </w:instrText>
          </w:r>
          <w:r>
            <w:rPr>
              <w:rFonts w:hint="eastAsia"/>
              <w:highlight w:val="none"/>
            </w:rPr>
            <w:fldChar w:fldCharType="separate"/>
          </w:r>
          <w:r>
            <w:rPr>
              <w:rFonts w:hint="default" w:ascii="黑体" w:hAnsi="黑体" w:eastAsia="黑体" w:cs="黑体"/>
            </w:rPr>
            <w:t xml:space="preserve">2.4.1.1. </w:t>
          </w:r>
          <w:r>
            <w:rPr>
              <w:rFonts w:hint="eastAsia"/>
              <w:highlight w:val="none"/>
            </w:rPr>
            <w:t>咨询导办区设备</w:t>
          </w:r>
          <w:r>
            <w:tab/>
          </w:r>
          <w:r>
            <w:fldChar w:fldCharType="begin"/>
          </w:r>
          <w:r>
            <w:instrText xml:space="preserve"> PAGEREF _Toc30228 \h </w:instrText>
          </w:r>
          <w:r>
            <w:fldChar w:fldCharType="separate"/>
          </w:r>
          <w:r>
            <w:t>31</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_Toc29369 </w:instrText>
          </w:r>
          <w:r>
            <w:rPr>
              <w:rFonts w:hint="eastAsia"/>
              <w:highlight w:val="none"/>
            </w:rPr>
            <w:fldChar w:fldCharType="separate"/>
          </w:r>
          <w:r>
            <w:rPr>
              <w:rFonts w:hint="default" w:ascii="黑体" w:hAnsi="黑体" w:eastAsia="黑体" w:cs="黑体"/>
            </w:rPr>
            <w:t xml:space="preserve">2.4.1.2. </w:t>
          </w:r>
          <w:r>
            <w:rPr>
              <w:rFonts w:hint="eastAsia"/>
              <w:highlight w:val="none"/>
            </w:rPr>
            <w:t>休息等候区</w:t>
          </w:r>
          <w:r>
            <w:tab/>
          </w:r>
          <w:r>
            <w:fldChar w:fldCharType="begin"/>
          </w:r>
          <w:r>
            <w:instrText xml:space="preserve"> PAGEREF _Toc29369 \h </w:instrText>
          </w:r>
          <w:r>
            <w:fldChar w:fldCharType="separate"/>
          </w:r>
          <w:r>
            <w:t>32</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_Toc14736 </w:instrText>
          </w:r>
          <w:r>
            <w:rPr>
              <w:rFonts w:hint="eastAsia"/>
              <w:highlight w:val="none"/>
            </w:rPr>
            <w:fldChar w:fldCharType="separate"/>
          </w:r>
          <w:r>
            <w:rPr>
              <w:rFonts w:hint="default" w:ascii="黑体" w:hAnsi="黑体" w:eastAsia="黑体" w:cs="黑体"/>
            </w:rPr>
            <w:t xml:space="preserve">2.4.1.3. </w:t>
          </w:r>
          <w:r>
            <w:rPr>
              <w:rFonts w:hint="eastAsia"/>
              <w:highlight w:val="none"/>
            </w:rPr>
            <w:t>窗口服务区</w:t>
          </w:r>
          <w:r>
            <w:tab/>
          </w:r>
          <w:r>
            <w:fldChar w:fldCharType="begin"/>
          </w:r>
          <w:r>
            <w:instrText xml:space="preserve"> PAGEREF _Toc14736 \h </w:instrText>
          </w:r>
          <w:r>
            <w:fldChar w:fldCharType="separate"/>
          </w:r>
          <w:r>
            <w:t>34</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_Toc4770 </w:instrText>
          </w:r>
          <w:r>
            <w:rPr>
              <w:rFonts w:hint="eastAsia"/>
              <w:highlight w:val="none"/>
            </w:rPr>
            <w:fldChar w:fldCharType="separate"/>
          </w:r>
          <w:r>
            <w:rPr>
              <w:rFonts w:hint="default" w:ascii="黑体" w:hAnsi="黑体" w:eastAsia="黑体" w:cs="黑体"/>
            </w:rPr>
            <w:t xml:space="preserve">2.4.1.4. </w:t>
          </w:r>
          <w:r>
            <w:rPr>
              <w:rFonts w:hint="eastAsia"/>
              <w:highlight w:val="none"/>
            </w:rPr>
            <w:t>公共区域</w:t>
          </w:r>
          <w:r>
            <w:tab/>
          </w:r>
          <w:r>
            <w:fldChar w:fldCharType="begin"/>
          </w:r>
          <w:r>
            <w:instrText xml:space="preserve"> PAGEREF _Toc4770 \h </w:instrText>
          </w:r>
          <w:r>
            <w:fldChar w:fldCharType="separate"/>
          </w:r>
          <w:r>
            <w:t>36</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_Toc4822 </w:instrText>
          </w:r>
          <w:r>
            <w:rPr>
              <w:rFonts w:hint="eastAsia"/>
              <w:highlight w:val="none"/>
            </w:rPr>
            <w:fldChar w:fldCharType="separate"/>
          </w:r>
          <w:r>
            <w:rPr>
              <w:rFonts w:hint="default" w:ascii="黑体" w:hAnsi="黑体" w:eastAsia="黑体" w:cs="黑体"/>
            </w:rPr>
            <w:t xml:space="preserve">2.4.2. </w:t>
          </w:r>
          <w:r>
            <w:rPr>
              <w:rFonts w:hint="eastAsia"/>
              <w:highlight w:val="none"/>
              <w:lang w:val="en-US" w:eastAsia="zh-CN"/>
            </w:rPr>
            <w:t>7</w:t>
          </w:r>
          <w:r>
            <w:rPr>
              <w:rFonts w:hint="eastAsia"/>
            </w:rPr>
            <w:t>大厅业务监控</w:t>
          </w:r>
          <w:r>
            <w:tab/>
          </w:r>
          <w:r>
            <w:fldChar w:fldCharType="begin"/>
          </w:r>
          <w:r>
            <w:instrText xml:space="preserve"> PAGEREF _Toc4822 \h </w:instrText>
          </w:r>
          <w:r>
            <w:fldChar w:fldCharType="separate"/>
          </w:r>
          <w:r>
            <w:t>36</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_Toc29549 </w:instrText>
          </w:r>
          <w:r>
            <w:rPr>
              <w:rFonts w:hint="eastAsia"/>
              <w:highlight w:val="none"/>
            </w:rPr>
            <w:fldChar w:fldCharType="separate"/>
          </w:r>
          <w:r>
            <w:rPr>
              <w:rFonts w:hint="default" w:ascii="黑体" w:hAnsi="黑体" w:eastAsia="黑体" w:cs="黑体"/>
            </w:rPr>
            <w:t xml:space="preserve">2.4.2.1. </w:t>
          </w:r>
          <w:r>
            <w:rPr>
              <w:rFonts w:hint="eastAsia"/>
              <w:highlight w:val="none"/>
            </w:rPr>
            <w:t>系统概述</w:t>
          </w:r>
          <w:r>
            <w:tab/>
          </w:r>
          <w:r>
            <w:fldChar w:fldCharType="begin"/>
          </w:r>
          <w:r>
            <w:instrText xml:space="preserve"> PAGEREF _Toc29549 \h </w:instrText>
          </w:r>
          <w:r>
            <w:fldChar w:fldCharType="separate"/>
          </w:r>
          <w:r>
            <w:t>36</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_Toc25538 </w:instrText>
          </w:r>
          <w:r>
            <w:rPr>
              <w:rFonts w:hint="eastAsia"/>
              <w:highlight w:val="none"/>
            </w:rPr>
            <w:fldChar w:fldCharType="separate"/>
          </w:r>
          <w:r>
            <w:rPr>
              <w:rFonts w:hint="default" w:ascii="黑体" w:hAnsi="黑体" w:eastAsia="黑体" w:cs="黑体"/>
            </w:rPr>
            <w:t xml:space="preserve">2.4.2.2. </w:t>
          </w:r>
          <w:r>
            <w:rPr>
              <w:rFonts w:hint="eastAsia"/>
              <w:highlight w:val="none"/>
            </w:rPr>
            <w:t>系统架构</w:t>
          </w:r>
          <w:r>
            <w:tab/>
          </w:r>
          <w:r>
            <w:fldChar w:fldCharType="begin"/>
          </w:r>
          <w:r>
            <w:instrText xml:space="preserve"> PAGEREF _Toc25538 \h </w:instrText>
          </w:r>
          <w:r>
            <w:fldChar w:fldCharType="separate"/>
          </w:r>
          <w:r>
            <w:t>37</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_Toc31587 </w:instrText>
          </w:r>
          <w:r>
            <w:rPr>
              <w:rFonts w:hint="eastAsia"/>
              <w:highlight w:val="none"/>
            </w:rPr>
            <w:fldChar w:fldCharType="separate"/>
          </w:r>
          <w:r>
            <w:rPr>
              <w:rFonts w:hint="default" w:ascii="黑体" w:hAnsi="黑体" w:eastAsia="黑体" w:cs="黑体"/>
            </w:rPr>
            <w:t xml:space="preserve">2.4.2.3. </w:t>
          </w:r>
          <w:r>
            <w:rPr>
              <w:rFonts w:hint="eastAsia"/>
              <w:highlight w:val="none"/>
            </w:rPr>
            <w:t>系统</w:t>
          </w:r>
          <w:r>
            <w:rPr>
              <w:rFonts w:hint="eastAsia"/>
              <w:highlight w:val="none"/>
              <w:lang w:val="en-US" w:eastAsia="zh-CN"/>
            </w:rPr>
            <w:t>要求</w:t>
          </w:r>
          <w:r>
            <w:tab/>
          </w:r>
          <w:r>
            <w:fldChar w:fldCharType="begin"/>
          </w:r>
          <w:r>
            <w:instrText xml:space="preserve"> PAGEREF _Toc31587 \h </w:instrText>
          </w:r>
          <w:r>
            <w:fldChar w:fldCharType="separate"/>
          </w:r>
          <w:r>
            <w:t>37</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_Toc24019 </w:instrText>
          </w:r>
          <w:r>
            <w:rPr>
              <w:rFonts w:hint="eastAsia"/>
              <w:highlight w:val="none"/>
            </w:rPr>
            <w:fldChar w:fldCharType="separate"/>
          </w:r>
          <w:r>
            <w:rPr>
              <w:rFonts w:hint="default" w:ascii="黑体" w:hAnsi="黑体" w:eastAsia="黑体" w:cs="黑体"/>
            </w:rPr>
            <w:t xml:space="preserve">2.4.2.4. </w:t>
          </w:r>
          <w:r>
            <w:rPr>
              <w:rFonts w:hint="eastAsia"/>
              <w:highlight w:val="none"/>
            </w:rPr>
            <w:t>前端布点</w:t>
          </w:r>
          <w:r>
            <w:rPr>
              <w:rFonts w:hint="eastAsia"/>
              <w:highlight w:val="none"/>
              <w:lang w:val="en-US" w:eastAsia="zh-CN"/>
            </w:rPr>
            <w:t>规划</w:t>
          </w:r>
          <w:r>
            <w:tab/>
          </w:r>
          <w:r>
            <w:fldChar w:fldCharType="begin"/>
          </w:r>
          <w:r>
            <w:instrText xml:space="preserve"> PAGEREF _Toc24019 \h </w:instrText>
          </w:r>
          <w:r>
            <w:fldChar w:fldCharType="separate"/>
          </w:r>
          <w:r>
            <w:t>38</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_Toc20732 </w:instrText>
          </w:r>
          <w:r>
            <w:rPr>
              <w:rFonts w:hint="eastAsia"/>
              <w:highlight w:val="none"/>
            </w:rPr>
            <w:fldChar w:fldCharType="separate"/>
          </w:r>
          <w:r>
            <w:rPr>
              <w:rFonts w:hint="default" w:ascii="黑体" w:hAnsi="黑体" w:eastAsia="黑体" w:cs="黑体"/>
            </w:rPr>
            <w:t xml:space="preserve">2.4.2.5. </w:t>
          </w:r>
          <w:r>
            <w:rPr>
              <w:rFonts w:hint="eastAsia"/>
              <w:highlight w:val="none"/>
            </w:rPr>
            <w:t>视频存储</w:t>
          </w:r>
          <w:r>
            <w:rPr>
              <w:rFonts w:hint="eastAsia"/>
              <w:highlight w:val="none"/>
              <w:lang w:val="en-US" w:eastAsia="zh-CN"/>
            </w:rPr>
            <w:t>规划</w:t>
          </w:r>
          <w:r>
            <w:tab/>
          </w:r>
          <w:r>
            <w:fldChar w:fldCharType="begin"/>
          </w:r>
          <w:r>
            <w:instrText xml:space="preserve"> PAGEREF _Toc20732 \h </w:instrText>
          </w:r>
          <w:r>
            <w:fldChar w:fldCharType="separate"/>
          </w:r>
          <w:r>
            <w:t>47</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_Toc9418 </w:instrText>
          </w:r>
          <w:r>
            <w:rPr>
              <w:rFonts w:hint="eastAsia"/>
              <w:highlight w:val="none"/>
            </w:rPr>
            <w:fldChar w:fldCharType="separate"/>
          </w:r>
          <w:r>
            <w:rPr>
              <w:rFonts w:hint="default" w:ascii="黑体" w:hAnsi="黑体" w:eastAsia="黑体" w:cs="黑体"/>
            </w:rPr>
            <w:t xml:space="preserve">2.4.2.6. </w:t>
          </w:r>
          <w:r>
            <w:rPr>
              <w:rFonts w:hint="eastAsia"/>
              <w:highlight w:val="none"/>
            </w:rPr>
            <w:t>市民服务中心视频管理平台</w:t>
          </w:r>
          <w:r>
            <w:tab/>
          </w:r>
          <w:r>
            <w:fldChar w:fldCharType="begin"/>
          </w:r>
          <w:r>
            <w:instrText xml:space="preserve"> PAGEREF _Toc9418 \h </w:instrText>
          </w:r>
          <w:r>
            <w:fldChar w:fldCharType="separate"/>
          </w:r>
          <w:r>
            <w:t>47</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_Toc27504 </w:instrText>
          </w:r>
          <w:r>
            <w:rPr>
              <w:rFonts w:hint="eastAsia"/>
              <w:highlight w:val="none"/>
            </w:rPr>
            <w:fldChar w:fldCharType="separate"/>
          </w:r>
          <w:r>
            <w:rPr>
              <w:rFonts w:hint="default" w:ascii="黑体" w:hAnsi="黑体" w:eastAsia="黑体" w:cs="黑体"/>
            </w:rPr>
            <w:t xml:space="preserve">2.4.3. </w:t>
          </w:r>
          <w:r>
            <w:rPr>
              <w:rFonts w:hint="eastAsia"/>
              <w:lang w:val="en-US" w:eastAsia="zh-CN"/>
            </w:rPr>
            <w:t>公用会议室</w:t>
          </w:r>
          <w:r>
            <w:tab/>
          </w:r>
          <w:r>
            <w:fldChar w:fldCharType="begin"/>
          </w:r>
          <w:r>
            <w:instrText xml:space="preserve"> PAGEREF _Toc27504 \h </w:instrText>
          </w:r>
          <w:r>
            <w:fldChar w:fldCharType="separate"/>
          </w:r>
          <w:r>
            <w:t>51</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_Toc13174 </w:instrText>
          </w:r>
          <w:r>
            <w:rPr>
              <w:rFonts w:hint="eastAsia"/>
              <w:highlight w:val="none"/>
            </w:rPr>
            <w:fldChar w:fldCharType="separate"/>
          </w:r>
          <w:r>
            <w:rPr>
              <w:rFonts w:hint="default" w:ascii="黑体" w:hAnsi="黑体" w:eastAsia="黑体" w:cs="黑体"/>
            </w:rPr>
            <w:t xml:space="preserve">2.4.3.1. </w:t>
          </w:r>
          <w:r>
            <w:rPr>
              <w:rFonts w:hint="eastAsia"/>
              <w:highlight w:val="none"/>
              <w:lang w:val="en-US" w:eastAsia="zh-CN"/>
            </w:rPr>
            <w:t>系统</w:t>
          </w:r>
          <w:r>
            <w:rPr>
              <w:rFonts w:hint="eastAsia"/>
              <w:highlight w:val="none"/>
            </w:rPr>
            <w:t>概述</w:t>
          </w:r>
          <w:r>
            <w:tab/>
          </w:r>
          <w:r>
            <w:fldChar w:fldCharType="begin"/>
          </w:r>
          <w:r>
            <w:instrText xml:space="preserve"> PAGEREF _Toc13174 \h </w:instrText>
          </w:r>
          <w:r>
            <w:fldChar w:fldCharType="separate"/>
          </w:r>
          <w:r>
            <w:t>51</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_Toc8430 </w:instrText>
          </w:r>
          <w:r>
            <w:rPr>
              <w:rFonts w:hint="eastAsia"/>
              <w:highlight w:val="none"/>
            </w:rPr>
            <w:fldChar w:fldCharType="separate"/>
          </w:r>
          <w:r>
            <w:rPr>
              <w:rFonts w:hint="default" w:ascii="黑体" w:hAnsi="黑体" w:eastAsia="黑体" w:cs="黑体"/>
            </w:rPr>
            <w:t xml:space="preserve">2.4.3.2. </w:t>
          </w:r>
          <w:r>
            <w:rPr>
              <w:rFonts w:hint="eastAsia"/>
              <w:highlight w:val="none"/>
            </w:rPr>
            <w:t>功能配置</w:t>
          </w:r>
          <w:r>
            <w:tab/>
          </w:r>
          <w:r>
            <w:fldChar w:fldCharType="begin"/>
          </w:r>
          <w:r>
            <w:instrText xml:space="preserve"> PAGEREF _Toc8430 \h </w:instrText>
          </w:r>
          <w:r>
            <w:fldChar w:fldCharType="separate"/>
          </w:r>
          <w:r>
            <w:t>51</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_Toc31642 </w:instrText>
          </w:r>
          <w:r>
            <w:rPr>
              <w:rFonts w:hint="eastAsia"/>
              <w:highlight w:val="none"/>
            </w:rPr>
            <w:fldChar w:fldCharType="separate"/>
          </w:r>
          <w:r>
            <w:rPr>
              <w:rFonts w:hint="default" w:ascii="黑体" w:hAnsi="黑体" w:eastAsia="黑体" w:cs="黑体"/>
              <w:lang w:val="en-US" w:eastAsia="zh-CN"/>
            </w:rPr>
            <w:t xml:space="preserve">2.4.4. </w:t>
          </w:r>
          <w:r>
            <w:rPr>
              <w:rFonts w:hint="eastAsia"/>
              <w:lang w:val="en-US" w:eastAsia="zh-CN"/>
            </w:rPr>
            <w:t>紧急求助系统</w:t>
          </w:r>
          <w:r>
            <w:tab/>
          </w:r>
          <w:r>
            <w:fldChar w:fldCharType="begin"/>
          </w:r>
          <w:r>
            <w:instrText xml:space="preserve"> PAGEREF _Toc31642 \h </w:instrText>
          </w:r>
          <w:r>
            <w:fldChar w:fldCharType="separate"/>
          </w:r>
          <w:r>
            <w:t>55</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_Toc26442 </w:instrText>
          </w:r>
          <w:r>
            <w:rPr>
              <w:rFonts w:hint="eastAsia"/>
              <w:highlight w:val="none"/>
            </w:rPr>
            <w:fldChar w:fldCharType="separate"/>
          </w:r>
          <w:r>
            <w:rPr>
              <w:rFonts w:hint="default" w:ascii="黑体" w:hAnsi="黑体" w:eastAsia="黑体" w:cs="黑体"/>
              <w:lang w:val="en-US" w:eastAsia="zh-CN"/>
            </w:rPr>
            <w:t xml:space="preserve">2.4.4.1. </w:t>
          </w:r>
          <w:r>
            <w:rPr>
              <w:rFonts w:hint="eastAsia"/>
              <w:lang w:val="en-US" w:eastAsia="zh-CN"/>
            </w:rPr>
            <w:t>系统概述</w:t>
          </w:r>
          <w:r>
            <w:tab/>
          </w:r>
          <w:r>
            <w:fldChar w:fldCharType="begin"/>
          </w:r>
          <w:r>
            <w:instrText xml:space="preserve"> PAGEREF _Toc26442 \h </w:instrText>
          </w:r>
          <w:r>
            <w:fldChar w:fldCharType="separate"/>
          </w:r>
          <w:r>
            <w:t>55</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_Toc16977 </w:instrText>
          </w:r>
          <w:r>
            <w:rPr>
              <w:rFonts w:hint="eastAsia"/>
              <w:highlight w:val="none"/>
            </w:rPr>
            <w:fldChar w:fldCharType="separate"/>
          </w:r>
          <w:r>
            <w:rPr>
              <w:rFonts w:hint="default" w:ascii="黑体" w:hAnsi="黑体" w:eastAsia="黑体" w:cs="黑体"/>
              <w:lang w:val="en-US" w:eastAsia="zh-CN"/>
            </w:rPr>
            <w:t xml:space="preserve">2.4.4.2. </w:t>
          </w:r>
          <w:r>
            <w:rPr>
              <w:rFonts w:hint="eastAsia"/>
              <w:lang w:val="en-US" w:eastAsia="zh-CN"/>
            </w:rPr>
            <w:t>系统组成</w:t>
          </w:r>
          <w:r>
            <w:tab/>
          </w:r>
          <w:r>
            <w:fldChar w:fldCharType="begin"/>
          </w:r>
          <w:r>
            <w:instrText xml:space="preserve"> PAGEREF _Toc16977 \h </w:instrText>
          </w:r>
          <w:r>
            <w:fldChar w:fldCharType="separate"/>
          </w:r>
          <w:r>
            <w:t>55</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_Toc25444 </w:instrText>
          </w:r>
          <w:r>
            <w:rPr>
              <w:rFonts w:hint="eastAsia"/>
              <w:highlight w:val="none"/>
            </w:rPr>
            <w:fldChar w:fldCharType="separate"/>
          </w:r>
          <w:r>
            <w:rPr>
              <w:rFonts w:hint="default" w:ascii="黑体" w:hAnsi="黑体" w:eastAsia="黑体" w:cs="黑体"/>
              <w:lang w:val="en-US" w:eastAsia="zh-CN"/>
            </w:rPr>
            <w:t xml:space="preserve">2.4.4.3. </w:t>
          </w:r>
          <w:r>
            <w:rPr>
              <w:rFonts w:hint="eastAsia"/>
              <w:lang w:val="en-US" w:eastAsia="zh-CN"/>
            </w:rPr>
            <w:t>系统功能</w:t>
          </w:r>
          <w:r>
            <w:tab/>
          </w:r>
          <w:r>
            <w:fldChar w:fldCharType="begin"/>
          </w:r>
          <w:r>
            <w:instrText xml:space="preserve"> PAGEREF _Toc25444 \h </w:instrText>
          </w:r>
          <w:r>
            <w:fldChar w:fldCharType="separate"/>
          </w:r>
          <w:r>
            <w:t>56</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_Toc1126 </w:instrText>
          </w:r>
          <w:r>
            <w:rPr>
              <w:rFonts w:hint="eastAsia"/>
              <w:highlight w:val="none"/>
            </w:rPr>
            <w:fldChar w:fldCharType="separate"/>
          </w:r>
          <w:r>
            <w:rPr>
              <w:rFonts w:hint="default"/>
            </w:rPr>
            <w:t xml:space="preserve">2.5. </w:t>
          </w:r>
          <w:r>
            <w:rPr>
              <w:rFonts w:hint="eastAsia"/>
              <w:highlight w:val="none"/>
              <w:lang w:val="en-US" w:eastAsia="zh-CN"/>
            </w:rPr>
            <w:t>智能转单服务</w:t>
          </w:r>
          <w:r>
            <w:tab/>
          </w:r>
          <w:r>
            <w:fldChar w:fldCharType="begin"/>
          </w:r>
          <w:r>
            <w:instrText xml:space="preserve"> PAGEREF _Toc1126 \h </w:instrText>
          </w:r>
          <w:r>
            <w:fldChar w:fldCharType="separate"/>
          </w:r>
          <w:r>
            <w:t>57</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_Toc1182 </w:instrText>
          </w:r>
          <w:r>
            <w:rPr>
              <w:rFonts w:hint="eastAsia"/>
              <w:highlight w:val="none"/>
            </w:rPr>
            <w:fldChar w:fldCharType="separate"/>
          </w:r>
          <w:r>
            <w:rPr>
              <w:rFonts w:hint="default" w:ascii="黑体" w:hAnsi="黑体" w:eastAsia="黑体" w:cs="黑体"/>
              <w:lang w:val="en-US" w:eastAsia="zh-CN"/>
            </w:rPr>
            <w:t xml:space="preserve">2.5.1. </w:t>
          </w:r>
          <w:r>
            <w:rPr>
              <w:rFonts w:hint="eastAsia"/>
              <w:lang w:val="en-US" w:eastAsia="zh-CN"/>
            </w:rPr>
            <w:t>业务流程</w:t>
          </w:r>
          <w:r>
            <w:tab/>
          </w:r>
          <w:r>
            <w:fldChar w:fldCharType="begin"/>
          </w:r>
          <w:r>
            <w:instrText xml:space="preserve"> PAGEREF _Toc1182 \h </w:instrText>
          </w:r>
          <w:r>
            <w:fldChar w:fldCharType="separate"/>
          </w:r>
          <w:r>
            <w:t>57</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_Toc19052 </w:instrText>
          </w:r>
          <w:r>
            <w:rPr>
              <w:rFonts w:hint="eastAsia"/>
              <w:highlight w:val="none"/>
            </w:rPr>
            <w:fldChar w:fldCharType="separate"/>
          </w:r>
          <w:r>
            <w:rPr>
              <w:rFonts w:hint="default" w:ascii="黑体" w:hAnsi="黑体" w:eastAsia="黑体" w:cs="黑体"/>
              <w:lang w:val="en-US" w:eastAsia="zh-CN"/>
            </w:rPr>
            <w:t xml:space="preserve">2.5.2. </w:t>
          </w:r>
          <w:r>
            <w:rPr>
              <w:rFonts w:hint="eastAsia"/>
              <w:lang w:val="en-US" w:eastAsia="zh-CN"/>
            </w:rPr>
            <w:t>功能要求</w:t>
          </w:r>
          <w:r>
            <w:tab/>
          </w:r>
          <w:r>
            <w:fldChar w:fldCharType="begin"/>
          </w:r>
          <w:r>
            <w:instrText xml:space="preserve"> PAGEREF _Toc19052 \h </w:instrText>
          </w:r>
          <w:r>
            <w:fldChar w:fldCharType="separate"/>
          </w:r>
          <w:r>
            <w:t>57</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_Toc5393 </w:instrText>
          </w:r>
          <w:r>
            <w:rPr>
              <w:rFonts w:hint="eastAsia"/>
              <w:highlight w:val="none"/>
            </w:rPr>
            <w:fldChar w:fldCharType="separate"/>
          </w:r>
          <w:r>
            <w:rPr>
              <w:rFonts w:hint="default" w:ascii="黑体" w:hAnsi="黑体" w:eastAsia="黑体" w:cs="黑体"/>
              <w:lang w:val="en-US" w:eastAsia="zh-CN"/>
            </w:rPr>
            <w:t xml:space="preserve">2.5.2.1. </w:t>
          </w:r>
          <w:r>
            <w:rPr>
              <w:rFonts w:hint="eastAsia"/>
              <w:lang w:val="en-US" w:eastAsia="zh-CN"/>
            </w:rPr>
            <w:t>工单数据获取</w:t>
          </w:r>
          <w:r>
            <w:tab/>
          </w:r>
          <w:r>
            <w:fldChar w:fldCharType="begin"/>
          </w:r>
          <w:r>
            <w:instrText xml:space="preserve"> PAGEREF _Toc5393 \h </w:instrText>
          </w:r>
          <w:r>
            <w:fldChar w:fldCharType="separate"/>
          </w:r>
          <w:r>
            <w:t>57</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_Toc21152 </w:instrText>
          </w:r>
          <w:r>
            <w:rPr>
              <w:rFonts w:hint="eastAsia"/>
              <w:highlight w:val="none"/>
            </w:rPr>
            <w:fldChar w:fldCharType="separate"/>
          </w:r>
          <w:r>
            <w:rPr>
              <w:rFonts w:hint="default" w:ascii="黑体" w:hAnsi="黑体" w:eastAsia="黑体" w:cs="黑体"/>
              <w:lang w:val="en-US" w:eastAsia="zh-CN"/>
            </w:rPr>
            <w:t xml:space="preserve">2.5.2.2. </w:t>
          </w:r>
          <w:r>
            <w:rPr>
              <w:rFonts w:hint="eastAsia"/>
              <w:lang w:val="en-US" w:eastAsia="zh-CN"/>
            </w:rPr>
            <w:t>数据清洗整理</w:t>
          </w:r>
          <w:r>
            <w:tab/>
          </w:r>
          <w:r>
            <w:fldChar w:fldCharType="begin"/>
          </w:r>
          <w:r>
            <w:instrText xml:space="preserve"> PAGEREF _Toc21152 \h </w:instrText>
          </w:r>
          <w:r>
            <w:fldChar w:fldCharType="separate"/>
          </w:r>
          <w:r>
            <w:t>58</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_Toc11369 </w:instrText>
          </w:r>
          <w:r>
            <w:rPr>
              <w:rFonts w:hint="eastAsia"/>
              <w:highlight w:val="none"/>
            </w:rPr>
            <w:fldChar w:fldCharType="separate"/>
          </w:r>
          <w:r>
            <w:rPr>
              <w:rFonts w:hint="default" w:ascii="黑体" w:hAnsi="黑体" w:eastAsia="黑体" w:cs="黑体"/>
              <w:lang w:val="en-US" w:eastAsia="zh-CN"/>
            </w:rPr>
            <w:t xml:space="preserve">2.5.2.3. </w:t>
          </w:r>
          <w:r>
            <w:rPr>
              <w:rFonts w:hint="eastAsia"/>
              <w:lang w:val="en-US" w:eastAsia="zh-CN"/>
            </w:rPr>
            <w:t>推理模型训练</w:t>
          </w:r>
          <w:r>
            <w:tab/>
          </w:r>
          <w:r>
            <w:fldChar w:fldCharType="begin"/>
          </w:r>
          <w:r>
            <w:instrText xml:space="preserve"> PAGEREF _Toc11369 \h </w:instrText>
          </w:r>
          <w:r>
            <w:fldChar w:fldCharType="separate"/>
          </w:r>
          <w:r>
            <w:t>58</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_Toc26333 </w:instrText>
          </w:r>
          <w:r>
            <w:rPr>
              <w:rFonts w:hint="eastAsia"/>
              <w:highlight w:val="none"/>
            </w:rPr>
            <w:fldChar w:fldCharType="separate"/>
          </w:r>
          <w:r>
            <w:rPr>
              <w:rFonts w:hint="default" w:ascii="黑体" w:hAnsi="黑体" w:eastAsia="黑体" w:cs="黑体"/>
              <w:lang w:val="en-US" w:eastAsia="zh-CN"/>
            </w:rPr>
            <w:t xml:space="preserve">2.5.2.4. </w:t>
          </w:r>
          <w:r>
            <w:rPr>
              <w:rFonts w:hint="eastAsia" w:ascii="Cambria" w:hAnsi="Cambria" w:eastAsia="黑体"/>
              <w:lang w:val="en-US" w:eastAsia="zh-CN"/>
            </w:rPr>
            <w:t>策略及规则知识库</w:t>
          </w:r>
          <w:r>
            <w:tab/>
          </w:r>
          <w:r>
            <w:fldChar w:fldCharType="begin"/>
          </w:r>
          <w:r>
            <w:instrText xml:space="preserve"> PAGEREF _Toc26333 \h </w:instrText>
          </w:r>
          <w:r>
            <w:fldChar w:fldCharType="separate"/>
          </w:r>
          <w:r>
            <w:t>58</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_Toc8839 </w:instrText>
          </w:r>
          <w:r>
            <w:rPr>
              <w:rFonts w:hint="eastAsia"/>
              <w:highlight w:val="none"/>
            </w:rPr>
            <w:fldChar w:fldCharType="separate"/>
          </w:r>
          <w:r>
            <w:rPr>
              <w:rFonts w:hint="default" w:ascii="黑体" w:hAnsi="黑体" w:eastAsia="黑体" w:cs="黑体"/>
              <w:lang w:val="en-US" w:eastAsia="zh-CN"/>
            </w:rPr>
            <w:t xml:space="preserve">2.5.2.5. </w:t>
          </w:r>
          <w:r>
            <w:rPr>
              <w:rFonts w:hint="eastAsia"/>
              <w:lang w:val="en-US" w:eastAsia="zh-CN"/>
            </w:rPr>
            <w:t>智能接单</w:t>
          </w:r>
          <w:r>
            <w:tab/>
          </w:r>
          <w:r>
            <w:fldChar w:fldCharType="begin"/>
          </w:r>
          <w:r>
            <w:instrText xml:space="preserve"> PAGEREF _Toc8839 \h </w:instrText>
          </w:r>
          <w:r>
            <w:fldChar w:fldCharType="separate"/>
          </w:r>
          <w:r>
            <w:t>58</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_Toc10023 </w:instrText>
          </w:r>
          <w:r>
            <w:rPr>
              <w:rFonts w:hint="eastAsia"/>
              <w:highlight w:val="none"/>
            </w:rPr>
            <w:fldChar w:fldCharType="separate"/>
          </w:r>
          <w:r>
            <w:rPr>
              <w:rFonts w:hint="default" w:ascii="黑体" w:hAnsi="黑体" w:eastAsia="黑体" w:cs="黑体"/>
              <w:lang w:val="en-US" w:eastAsia="zh-CN"/>
            </w:rPr>
            <w:t xml:space="preserve">2.5.2.6. </w:t>
          </w:r>
          <w:r>
            <w:rPr>
              <w:rFonts w:hint="eastAsia" w:ascii="Cambria" w:hAnsi="Cambria" w:eastAsia="黑体"/>
              <w:lang w:val="en-US" w:eastAsia="zh-CN"/>
            </w:rPr>
            <w:t>智能部署Agent</w:t>
          </w:r>
          <w:r>
            <w:tab/>
          </w:r>
          <w:r>
            <w:fldChar w:fldCharType="begin"/>
          </w:r>
          <w:r>
            <w:instrText xml:space="preserve"> PAGEREF _Toc10023 \h </w:instrText>
          </w:r>
          <w:r>
            <w:fldChar w:fldCharType="separate"/>
          </w:r>
          <w:r>
            <w:t>58</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_Toc18527 </w:instrText>
          </w:r>
          <w:r>
            <w:rPr>
              <w:rFonts w:hint="eastAsia"/>
              <w:highlight w:val="none"/>
            </w:rPr>
            <w:fldChar w:fldCharType="separate"/>
          </w:r>
          <w:r>
            <w:rPr>
              <w:rFonts w:hint="default" w:ascii="黑体" w:hAnsi="黑体" w:eastAsia="黑体" w:cs="黑体"/>
              <w:lang w:val="en-US" w:eastAsia="zh-CN"/>
            </w:rPr>
            <w:t xml:space="preserve">2.5.2.7. </w:t>
          </w:r>
          <w:r>
            <w:rPr>
              <w:rFonts w:hint="eastAsia" w:ascii="Cambria" w:hAnsi="Cambria" w:eastAsia="黑体"/>
              <w:lang w:val="en-US" w:eastAsia="zh-CN"/>
            </w:rPr>
            <w:t>数据分析与报告</w:t>
          </w:r>
          <w:r>
            <w:tab/>
          </w:r>
          <w:r>
            <w:fldChar w:fldCharType="begin"/>
          </w:r>
          <w:r>
            <w:instrText xml:space="preserve"> PAGEREF _Toc18527 \h </w:instrText>
          </w:r>
          <w:r>
            <w:fldChar w:fldCharType="separate"/>
          </w:r>
          <w:r>
            <w:t>58</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_Toc5529 </w:instrText>
          </w:r>
          <w:r>
            <w:rPr>
              <w:rFonts w:hint="eastAsia"/>
              <w:highlight w:val="none"/>
            </w:rPr>
            <w:fldChar w:fldCharType="separate"/>
          </w:r>
          <w:r>
            <w:rPr>
              <w:rFonts w:hint="default" w:ascii="黑体" w:hAnsi="黑体" w:eastAsia="黑体" w:cs="黑体"/>
              <w:lang w:val="en-US" w:eastAsia="zh-CN"/>
            </w:rPr>
            <w:t xml:space="preserve">2.5.2.8. </w:t>
          </w:r>
          <w:r>
            <w:rPr>
              <w:rFonts w:hint="eastAsia" w:ascii="Cambria" w:hAnsi="Cambria" w:eastAsia="黑体"/>
              <w:lang w:val="en-US" w:eastAsia="zh-CN"/>
            </w:rPr>
            <w:t>策略管理</w:t>
          </w:r>
          <w:r>
            <w:tab/>
          </w:r>
          <w:r>
            <w:fldChar w:fldCharType="begin"/>
          </w:r>
          <w:r>
            <w:instrText xml:space="preserve"> PAGEREF _Toc5529 \h </w:instrText>
          </w:r>
          <w:r>
            <w:fldChar w:fldCharType="separate"/>
          </w:r>
          <w:r>
            <w:t>58</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_Toc8372 </w:instrText>
          </w:r>
          <w:r>
            <w:rPr>
              <w:rFonts w:hint="eastAsia"/>
              <w:highlight w:val="none"/>
            </w:rPr>
            <w:fldChar w:fldCharType="separate"/>
          </w:r>
          <w:r>
            <w:rPr>
              <w:rFonts w:hint="default" w:ascii="黑体" w:hAnsi="黑体" w:eastAsia="黑体" w:cs="黑体"/>
              <w:lang w:val="en-US" w:eastAsia="zh-CN"/>
            </w:rPr>
            <w:t xml:space="preserve">2.5.2.9. </w:t>
          </w:r>
          <w:r>
            <w:rPr>
              <w:rFonts w:hint="eastAsia" w:ascii="Cambria" w:hAnsi="Cambria" w:eastAsia="黑体"/>
              <w:lang w:val="en-US" w:eastAsia="zh-CN"/>
            </w:rPr>
            <w:t>系统管理</w:t>
          </w:r>
          <w:r>
            <w:tab/>
          </w:r>
          <w:r>
            <w:fldChar w:fldCharType="begin"/>
          </w:r>
          <w:r>
            <w:instrText xml:space="preserve"> PAGEREF _Toc8372 \h </w:instrText>
          </w:r>
          <w:r>
            <w:fldChar w:fldCharType="separate"/>
          </w:r>
          <w:r>
            <w:t>59</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_Toc22204 </w:instrText>
          </w:r>
          <w:r>
            <w:rPr>
              <w:rFonts w:hint="eastAsia"/>
              <w:highlight w:val="none"/>
            </w:rPr>
            <w:fldChar w:fldCharType="separate"/>
          </w:r>
          <w:r>
            <w:rPr>
              <w:rFonts w:hint="default" w:ascii="黑体" w:hAnsi="黑体" w:eastAsia="黑体" w:cs="黑体"/>
              <w:lang w:val="en-US" w:eastAsia="zh-CN"/>
            </w:rPr>
            <w:t xml:space="preserve">2.5.2.10. </w:t>
          </w:r>
          <w:r>
            <w:rPr>
              <w:rFonts w:hint="eastAsia"/>
              <w:lang w:val="en-US" w:eastAsia="zh-CN"/>
            </w:rPr>
            <w:t>智能部署评估</w:t>
          </w:r>
          <w:r>
            <w:tab/>
          </w:r>
          <w:r>
            <w:fldChar w:fldCharType="begin"/>
          </w:r>
          <w:r>
            <w:instrText xml:space="preserve"> PAGEREF _Toc22204 \h </w:instrText>
          </w:r>
          <w:r>
            <w:fldChar w:fldCharType="separate"/>
          </w:r>
          <w:r>
            <w:t>59</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_Toc24462 </w:instrText>
          </w:r>
          <w:r>
            <w:rPr>
              <w:rFonts w:hint="eastAsia"/>
              <w:highlight w:val="none"/>
            </w:rPr>
            <w:fldChar w:fldCharType="separate"/>
          </w:r>
          <w:r>
            <w:rPr>
              <w:rFonts w:hint="default" w:ascii="黑体" w:hAnsi="黑体" w:eastAsia="黑体" w:cs="黑体"/>
              <w:lang w:val="en-US" w:eastAsia="zh-CN"/>
            </w:rPr>
            <w:t xml:space="preserve">2.5.3. </w:t>
          </w:r>
          <w:r>
            <w:rPr>
              <w:rFonts w:hint="eastAsia"/>
              <w:lang w:val="en-US" w:eastAsia="zh-CN"/>
            </w:rPr>
            <w:t>部署环境</w:t>
          </w:r>
          <w:r>
            <w:tab/>
          </w:r>
          <w:r>
            <w:fldChar w:fldCharType="begin"/>
          </w:r>
          <w:r>
            <w:instrText xml:space="preserve"> PAGEREF _Toc24462 \h </w:instrText>
          </w:r>
          <w:r>
            <w:fldChar w:fldCharType="separate"/>
          </w:r>
          <w:r>
            <w:t>59</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_Toc29066 </w:instrText>
          </w:r>
          <w:r>
            <w:rPr>
              <w:rFonts w:hint="eastAsia"/>
              <w:highlight w:val="none"/>
            </w:rPr>
            <w:fldChar w:fldCharType="separate"/>
          </w:r>
          <w:r>
            <w:rPr>
              <w:rFonts w:hint="default" w:ascii="黑体" w:hAnsi="黑体" w:eastAsia="黑体" w:cs="黑体"/>
              <w:lang w:val="en-US" w:eastAsia="zh-CN"/>
            </w:rPr>
            <w:t xml:space="preserve">2.5.4. </w:t>
          </w:r>
          <w:r>
            <w:rPr>
              <w:rFonts w:hint="eastAsia"/>
              <w:szCs w:val="22"/>
              <w:lang w:val="en-US" w:eastAsia="zh-CN"/>
            </w:rPr>
            <w:t>服务内容</w:t>
          </w:r>
          <w:r>
            <w:tab/>
          </w:r>
          <w:r>
            <w:fldChar w:fldCharType="begin"/>
          </w:r>
          <w:r>
            <w:instrText xml:space="preserve"> PAGEREF _Toc29066 \h </w:instrText>
          </w:r>
          <w:r>
            <w:fldChar w:fldCharType="separate"/>
          </w:r>
          <w:r>
            <w:t>60</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_Toc28332 </w:instrText>
          </w:r>
          <w:r>
            <w:rPr>
              <w:rFonts w:hint="eastAsia"/>
              <w:highlight w:val="none"/>
            </w:rPr>
            <w:fldChar w:fldCharType="separate"/>
          </w:r>
          <w:r>
            <w:rPr>
              <w:rFonts w:hint="default" w:ascii="黑体" w:hAnsi="黑体" w:eastAsia="黑体" w:cs="黑体"/>
              <w:lang w:val="en-US" w:eastAsia="zh-CN"/>
            </w:rPr>
            <w:t xml:space="preserve">2.5.4.1. </w:t>
          </w:r>
          <w:r>
            <w:rPr>
              <w:rFonts w:hint="eastAsia"/>
              <w:lang w:val="en-US" w:eastAsia="zh-CN"/>
            </w:rPr>
            <w:t>智能派单服务</w:t>
          </w:r>
          <w:r>
            <w:tab/>
          </w:r>
          <w:r>
            <w:fldChar w:fldCharType="begin"/>
          </w:r>
          <w:r>
            <w:instrText xml:space="preserve"> PAGEREF _Toc28332 \h </w:instrText>
          </w:r>
          <w:r>
            <w:fldChar w:fldCharType="separate"/>
          </w:r>
          <w:r>
            <w:t>60</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_Toc29877 </w:instrText>
          </w:r>
          <w:r>
            <w:rPr>
              <w:rFonts w:hint="eastAsia"/>
              <w:highlight w:val="none"/>
            </w:rPr>
            <w:fldChar w:fldCharType="separate"/>
          </w:r>
          <w:r>
            <w:rPr>
              <w:rFonts w:hint="default" w:ascii="黑体" w:hAnsi="黑体" w:eastAsia="黑体" w:cs="黑体"/>
              <w:lang w:val="en-US" w:eastAsia="zh-CN"/>
            </w:rPr>
            <w:t xml:space="preserve">2.5.4.2. </w:t>
          </w:r>
          <w:r>
            <w:rPr>
              <w:rFonts w:hint="eastAsia" w:ascii="Cambria" w:hAnsi="Cambria" w:eastAsia="黑体"/>
              <w:lang w:val="en-US" w:eastAsia="zh-CN"/>
            </w:rPr>
            <w:t>数据分析和智能报告</w:t>
          </w:r>
          <w:r>
            <w:rPr>
              <w:rFonts w:hint="eastAsia"/>
              <w:lang w:val="en-US" w:eastAsia="zh-CN"/>
            </w:rPr>
            <w:t>服务</w:t>
          </w:r>
          <w:r>
            <w:tab/>
          </w:r>
          <w:r>
            <w:fldChar w:fldCharType="begin"/>
          </w:r>
          <w:r>
            <w:instrText xml:space="preserve"> PAGEREF _Toc29877 \h </w:instrText>
          </w:r>
          <w:r>
            <w:fldChar w:fldCharType="separate"/>
          </w:r>
          <w:r>
            <w:t>60</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_Toc26175 </w:instrText>
          </w:r>
          <w:r>
            <w:rPr>
              <w:rFonts w:hint="eastAsia"/>
              <w:highlight w:val="none"/>
            </w:rPr>
            <w:fldChar w:fldCharType="separate"/>
          </w:r>
          <w:r>
            <w:rPr>
              <w:rFonts w:hint="default" w:ascii="黑体" w:hAnsi="黑体" w:eastAsia="黑体" w:cs="黑体"/>
              <w:lang w:val="en-US" w:eastAsia="zh-CN"/>
            </w:rPr>
            <w:t xml:space="preserve">2.5.4.3. </w:t>
          </w:r>
          <w:r>
            <w:rPr>
              <w:rFonts w:hint="eastAsia"/>
              <w:szCs w:val="22"/>
              <w:lang w:val="en-US" w:eastAsia="zh-CN"/>
            </w:rPr>
            <w:t>大模型服务</w:t>
          </w:r>
          <w:r>
            <w:tab/>
          </w:r>
          <w:r>
            <w:fldChar w:fldCharType="begin"/>
          </w:r>
          <w:r>
            <w:instrText xml:space="preserve"> PAGEREF _Toc26175 \h </w:instrText>
          </w:r>
          <w:r>
            <w:fldChar w:fldCharType="separate"/>
          </w:r>
          <w:r>
            <w:t>60</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_Toc21218 </w:instrText>
          </w:r>
          <w:r>
            <w:rPr>
              <w:rFonts w:hint="eastAsia"/>
              <w:highlight w:val="none"/>
            </w:rPr>
            <w:fldChar w:fldCharType="separate"/>
          </w:r>
          <w:r>
            <w:rPr>
              <w:rFonts w:hint="default" w:ascii="黑体" w:hAnsi="黑体" w:eastAsia="黑体" w:cs="黑体"/>
              <w:lang w:val="en-US" w:eastAsia="zh-CN"/>
            </w:rPr>
            <w:t xml:space="preserve">2.5.4.4. </w:t>
          </w:r>
          <w:r>
            <w:rPr>
              <w:rFonts w:hint="eastAsia"/>
              <w:szCs w:val="22"/>
              <w:lang w:val="en-US" w:eastAsia="zh-CN"/>
            </w:rPr>
            <w:t>运维服务</w:t>
          </w:r>
          <w:r>
            <w:tab/>
          </w:r>
          <w:r>
            <w:fldChar w:fldCharType="begin"/>
          </w:r>
          <w:r>
            <w:instrText xml:space="preserve"> PAGEREF _Toc21218 \h </w:instrText>
          </w:r>
          <w:r>
            <w:fldChar w:fldCharType="separate"/>
          </w:r>
          <w:r>
            <w:t>60</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_Toc9385 </w:instrText>
          </w:r>
          <w:r>
            <w:rPr>
              <w:rFonts w:hint="eastAsia"/>
              <w:highlight w:val="none"/>
            </w:rPr>
            <w:fldChar w:fldCharType="separate"/>
          </w:r>
          <w:r>
            <w:rPr>
              <w:rFonts w:hint="default"/>
            </w:rPr>
            <w:t xml:space="preserve">2.6. </w:t>
          </w:r>
          <w:r>
            <w:rPr>
              <w:rFonts w:hint="eastAsia"/>
              <w:highlight w:val="none"/>
              <w:lang w:val="en-US" w:eastAsia="zh-CN"/>
            </w:rPr>
            <w:t>统一申办受理平台专区建设</w:t>
          </w:r>
          <w:r>
            <w:tab/>
          </w:r>
          <w:r>
            <w:fldChar w:fldCharType="begin"/>
          </w:r>
          <w:r>
            <w:instrText xml:space="preserve"> PAGEREF _Toc9385 \h </w:instrText>
          </w:r>
          <w:r>
            <w:fldChar w:fldCharType="separate"/>
          </w:r>
          <w:r>
            <w:t>60</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_Toc5621 </w:instrText>
          </w:r>
          <w:r>
            <w:rPr>
              <w:rFonts w:hint="eastAsia"/>
              <w:highlight w:val="none"/>
            </w:rPr>
            <w:fldChar w:fldCharType="separate"/>
          </w:r>
          <w:r>
            <w:rPr>
              <w:rFonts w:hint="default" w:ascii="黑体" w:hAnsi="黑体" w:eastAsia="黑体" w:cs="黑体"/>
              <w:lang w:val="en-US" w:eastAsia="zh-CN"/>
            </w:rPr>
            <w:t xml:space="preserve">2.6.1. </w:t>
          </w:r>
          <w:r>
            <w:rPr>
              <w:rFonts w:hint="eastAsia"/>
              <w:lang w:val="en-US" w:eastAsia="zh-CN"/>
            </w:rPr>
            <w:t>一件事专区建设</w:t>
          </w:r>
          <w:r>
            <w:tab/>
          </w:r>
          <w:r>
            <w:fldChar w:fldCharType="begin"/>
          </w:r>
          <w:r>
            <w:instrText xml:space="preserve"> PAGEREF _Toc5621 \h </w:instrText>
          </w:r>
          <w:r>
            <w:fldChar w:fldCharType="separate"/>
          </w:r>
          <w:r>
            <w:t>60</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_Toc17693 </w:instrText>
          </w:r>
          <w:r>
            <w:rPr>
              <w:rFonts w:hint="eastAsia"/>
              <w:highlight w:val="none"/>
            </w:rPr>
            <w:fldChar w:fldCharType="separate"/>
          </w:r>
          <w:r>
            <w:rPr>
              <w:rFonts w:hint="default" w:ascii="黑体" w:hAnsi="黑体" w:eastAsia="黑体" w:cs="黑体"/>
              <w:lang w:val="en-US" w:eastAsia="zh-CN"/>
            </w:rPr>
            <w:t xml:space="preserve">2.6.1.1. </w:t>
          </w:r>
          <w:r>
            <w:rPr>
              <w:rFonts w:hint="eastAsia"/>
              <w:lang w:val="en-US" w:eastAsia="zh-CN"/>
            </w:rPr>
            <w:t>一件事专区</w:t>
          </w:r>
          <w:r>
            <w:tab/>
          </w:r>
          <w:r>
            <w:fldChar w:fldCharType="begin"/>
          </w:r>
          <w:r>
            <w:instrText xml:space="preserve"> PAGEREF _Toc17693 \h </w:instrText>
          </w:r>
          <w:r>
            <w:fldChar w:fldCharType="separate"/>
          </w:r>
          <w:r>
            <w:t>60</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_Toc18862 </w:instrText>
          </w:r>
          <w:r>
            <w:rPr>
              <w:rFonts w:hint="eastAsia"/>
              <w:highlight w:val="none"/>
            </w:rPr>
            <w:fldChar w:fldCharType="separate"/>
          </w:r>
          <w:r>
            <w:rPr>
              <w:rFonts w:hint="default" w:ascii="黑体" w:hAnsi="黑体" w:eastAsia="黑体" w:cs="黑体"/>
              <w:lang w:val="en-US" w:eastAsia="zh-CN"/>
            </w:rPr>
            <w:t xml:space="preserve">2.6.1.2. </w:t>
          </w:r>
          <w:r>
            <w:rPr>
              <w:rFonts w:hint="eastAsia"/>
              <w:lang w:val="en-US" w:eastAsia="zh-CN"/>
            </w:rPr>
            <w:t>一件事专区管理</w:t>
          </w:r>
          <w:r>
            <w:tab/>
          </w:r>
          <w:r>
            <w:fldChar w:fldCharType="begin"/>
          </w:r>
          <w:r>
            <w:instrText xml:space="preserve"> PAGEREF _Toc18862 \h </w:instrText>
          </w:r>
          <w:r>
            <w:fldChar w:fldCharType="separate"/>
          </w:r>
          <w:r>
            <w:t>61</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_Toc29775 </w:instrText>
          </w:r>
          <w:r>
            <w:rPr>
              <w:rFonts w:hint="eastAsia"/>
              <w:highlight w:val="none"/>
            </w:rPr>
            <w:fldChar w:fldCharType="separate"/>
          </w:r>
          <w:r>
            <w:rPr>
              <w:rFonts w:hint="default" w:ascii="黑体" w:hAnsi="黑体" w:eastAsia="黑体" w:cs="黑体"/>
              <w:lang w:val="en-US" w:eastAsia="zh-CN"/>
            </w:rPr>
            <w:t xml:space="preserve">2.6.2. </w:t>
          </w:r>
          <w:r>
            <w:rPr>
              <w:rFonts w:hint="eastAsia"/>
              <w:lang w:val="en-US" w:eastAsia="zh-CN"/>
            </w:rPr>
            <w:t>跨域通办专区建设</w:t>
          </w:r>
          <w:r>
            <w:tab/>
          </w:r>
          <w:r>
            <w:fldChar w:fldCharType="begin"/>
          </w:r>
          <w:r>
            <w:instrText xml:space="preserve"> PAGEREF _Toc29775 \h </w:instrText>
          </w:r>
          <w:r>
            <w:fldChar w:fldCharType="separate"/>
          </w:r>
          <w:r>
            <w:t>61</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_Toc16411 </w:instrText>
          </w:r>
          <w:r>
            <w:rPr>
              <w:rFonts w:hint="eastAsia"/>
              <w:highlight w:val="none"/>
            </w:rPr>
            <w:fldChar w:fldCharType="separate"/>
          </w:r>
          <w:r>
            <w:rPr>
              <w:rFonts w:hint="default" w:ascii="黑体" w:hAnsi="黑体" w:eastAsia="黑体" w:cs="黑体"/>
              <w:lang w:val="en-US" w:eastAsia="zh-CN"/>
            </w:rPr>
            <w:t xml:space="preserve">2.6.2.1. </w:t>
          </w:r>
          <w:r>
            <w:rPr>
              <w:rFonts w:hint="eastAsia"/>
              <w:lang w:val="en-US" w:eastAsia="zh-CN"/>
            </w:rPr>
            <w:t>跨域通办专区</w:t>
          </w:r>
          <w:r>
            <w:tab/>
          </w:r>
          <w:r>
            <w:fldChar w:fldCharType="begin"/>
          </w:r>
          <w:r>
            <w:instrText xml:space="preserve"> PAGEREF _Toc16411 \h </w:instrText>
          </w:r>
          <w:r>
            <w:fldChar w:fldCharType="separate"/>
          </w:r>
          <w:r>
            <w:t>61</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_Toc23449 </w:instrText>
          </w:r>
          <w:r>
            <w:rPr>
              <w:rFonts w:hint="eastAsia"/>
              <w:highlight w:val="none"/>
            </w:rPr>
            <w:fldChar w:fldCharType="separate"/>
          </w:r>
          <w:r>
            <w:rPr>
              <w:rFonts w:hint="default" w:ascii="黑体" w:hAnsi="黑体" w:eastAsia="黑体" w:cs="黑体"/>
              <w:lang w:val="en-US" w:eastAsia="zh-CN"/>
            </w:rPr>
            <w:t xml:space="preserve">2.6.2.2. </w:t>
          </w:r>
          <w:r>
            <w:rPr>
              <w:rFonts w:hint="default"/>
              <w:lang w:val="en-US" w:eastAsia="zh-CN"/>
            </w:rPr>
            <w:t>跨域事项管理</w:t>
          </w:r>
          <w:r>
            <w:tab/>
          </w:r>
          <w:r>
            <w:fldChar w:fldCharType="begin"/>
          </w:r>
          <w:r>
            <w:instrText xml:space="preserve"> PAGEREF _Toc23449 \h </w:instrText>
          </w:r>
          <w:r>
            <w:fldChar w:fldCharType="separate"/>
          </w:r>
          <w:r>
            <w:t>61</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_Toc9902 </w:instrText>
          </w:r>
          <w:r>
            <w:rPr>
              <w:rFonts w:hint="eastAsia"/>
              <w:highlight w:val="none"/>
            </w:rPr>
            <w:fldChar w:fldCharType="separate"/>
          </w:r>
          <w:r>
            <w:rPr>
              <w:rFonts w:hint="default" w:ascii="黑体" w:hAnsi="黑体" w:eastAsia="黑体" w:cs="黑体"/>
              <w:lang w:val="en-US" w:eastAsia="zh-CN"/>
            </w:rPr>
            <w:t xml:space="preserve">2.6.2.3. </w:t>
          </w:r>
          <w:r>
            <w:rPr>
              <w:rFonts w:hint="default"/>
              <w:lang w:val="en-US" w:eastAsia="zh-CN"/>
            </w:rPr>
            <w:t>跨域通办专区管理</w:t>
          </w:r>
          <w:r>
            <w:tab/>
          </w:r>
          <w:r>
            <w:fldChar w:fldCharType="begin"/>
          </w:r>
          <w:r>
            <w:instrText xml:space="preserve"> PAGEREF _Toc9902 \h </w:instrText>
          </w:r>
          <w:r>
            <w:fldChar w:fldCharType="separate"/>
          </w:r>
          <w:r>
            <w:t>62</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_Toc22778 </w:instrText>
          </w:r>
          <w:r>
            <w:rPr>
              <w:rFonts w:hint="eastAsia"/>
              <w:highlight w:val="none"/>
            </w:rPr>
            <w:fldChar w:fldCharType="separate"/>
          </w:r>
          <w:r>
            <w:rPr>
              <w:rFonts w:hint="default" w:ascii="黑体" w:hAnsi="黑体" w:eastAsia="黑体" w:cs="黑体"/>
              <w:lang w:val="en-US" w:eastAsia="zh-CN"/>
            </w:rPr>
            <w:t xml:space="preserve">2.6.3. </w:t>
          </w:r>
          <w:r>
            <w:rPr>
              <w:rFonts w:hint="eastAsia"/>
              <w:lang w:val="en-US" w:eastAsia="zh-CN"/>
            </w:rPr>
            <w:t>助残专区建设</w:t>
          </w:r>
          <w:r>
            <w:tab/>
          </w:r>
          <w:r>
            <w:fldChar w:fldCharType="begin"/>
          </w:r>
          <w:r>
            <w:instrText xml:space="preserve"> PAGEREF _Toc22778 \h </w:instrText>
          </w:r>
          <w:r>
            <w:fldChar w:fldCharType="separate"/>
          </w:r>
          <w:r>
            <w:t>62</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_Toc396 </w:instrText>
          </w:r>
          <w:r>
            <w:rPr>
              <w:rFonts w:hint="eastAsia"/>
              <w:highlight w:val="none"/>
            </w:rPr>
            <w:fldChar w:fldCharType="separate"/>
          </w:r>
          <w:r>
            <w:rPr>
              <w:rFonts w:hint="default" w:ascii="黑体" w:hAnsi="黑体" w:eastAsia="黑体" w:cs="黑体"/>
              <w:lang w:val="en-US" w:eastAsia="zh-CN"/>
            </w:rPr>
            <w:t xml:space="preserve">2.6.3.1. </w:t>
          </w:r>
          <w:r>
            <w:rPr>
              <w:rFonts w:hint="eastAsia"/>
              <w:lang w:val="en-US" w:eastAsia="zh-CN"/>
            </w:rPr>
            <w:t>助残专区</w:t>
          </w:r>
          <w:r>
            <w:tab/>
          </w:r>
          <w:r>
            <w:fldChar w:fldCharType="begin"/>
          </w:r>
          <w:r>
            <w:instrText xml:space="preserve"> PAGEREF _Toc396 \h </w:instrText>
          </w:r>
          <w:r>
            <w:fldChar w:fldCharType="separate"/>
          </w:r>
          <w:r>
            <w:t>62</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_Toc1636 </w:instrText>
          </w:r>
          <w:r>
            <w:rPr>
              <w:rFonts w:hint="eastAsia"/>
              <w:highlight w:val="none"/>
            </w:rPr>
            <w:fldChar w:fldCharType="separate"/>
          </w:r>
          <w:r>
            <w:rPr>
              <w:rFonts w:hint="default" w:ascii="黑体" w:hAnsi="黑体" w:eastAsia="黑体" w:cs="黑体"/>
              <w:lang w:val="en-US" w:eastAsia="zh-CN"/>
            </w:rPr>
            <w:t xml:space="preserve">2.6.3.2. </w:t>
          </w:r>
          <w:r>
            <w:rPr>
              <w:rFonts w:hint="default"/>
              <w:lang w:val="en-US" w:eastAsia="zh-CN"/>
            </w:rPr>
            <w:t>事项进驻配置管理</w:t>
          </w:r>
          <w:r>
            <w:tab/>
          </w:r>
          <w:r>
            <w:fldChar w:fldCharType="begin"/>
          </w:r>
          <w:r>
            <w:instrText xml:space="preserve"> PAGEREF _Toc1636 \h </w:instrText>
          </w:r>
          <w:r>
            <w:fldChar w:fldCharType="separate"/>
          </w:r>
          <w:r>
            <w:t>62</w:t>
          </w:r>
          <w:r>
            <w:fldChar w:fldCharType="end"/>
          </w:r>
          <w:r>
            <w:rPr>
              <w:rFonts w:hint="eastAsia"/>
              <w:highlight w:val="none"/>
            </w:rPr>
            <w:fldChar w:fldCharType="end"/>
          </w:r>
        </w:p>
        <w:p>
          <w:pPr>
            <w:pStyle w:val="21"/>
            <w:tabs>
              <w:tab w:val="right" w:leader="dot" w:pos="9073"/>
            </w:tabs>
          </w:pPr>
          <w:r>
            <w:rPr>
              <w:rFonts w:hint="eastAsia"/>
              <w:highlight w:val="none"/>
            </w:rPr>
            <w:fldChar w:fldCharType="begin"/>
          </w:r>
          <w:r>
            <w:rPr>
              <w:rFonts w:hint="eastAsia"/>
              <w:highlight w:val="none"/>
            </w:rPr>
            <w:instrText xml:space="preserve"> HYPERLINK \l _Toc24738 </w:instrText>
          </w:r>
          <w:r>
            <w:rPr>
              <w:rFonts w:hint="eastAsia"/>
              <w:highlight w:val="none"/>
            </w:rPr>
            <w:fldChar w:fldCharType="separate"/>
          </w:r>
          <w:r>
            <w:rPr>
              <w:rFonts w:hint="default"/>
            </w:rPr>
            <w:t xml:space="preserve">3. </w:t>
          </w:r>
          <w:r>
            <w:rPr>
              <w:rFonts w:hint="eastAsia"/>
              <w:highlight w:val="none"/>
            </w:rPr>
            <w:t>验收要求及标准</w:t>
          </w:r>
          <w:r>
            <w:tab/>
          </w:r>
          <w:r>
            <w:fldChar w:fldCharType="begin"/>
          </w:r>
          <w:r>
            <w:instrText xml:space="preserve"> PAGEREF _Toc24738 \h </w:instrText>
          </w:r>
          <w:r>
            <w:fldChar w:fldCharType="separate"/>
          </w:r>
          <w:r>
            <w:t>63</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_Toc10826 </w:instrText>
          </w:r>
          <w:r>
            <w:rPr>
              <w:rFonts w:hint="eastAsia"/>
              <w:highlight w:val="none"/>
            </w:rPr>
            <w:fldChar w:fldCharType="separate"/>
          </w:r>
          <w:r>
            <w:rPr>
              <w:rFonts w:hint="default"/>
            </w:rPr>
            <w:t xml:space="preserve">3.1. </w:t>
          </w:r>
          <w:r>
            <w:rPr>
              <w:rFonts w:hint="eastAsia"/>
            </w:rPr>
            <w:t>验收要求及标准</w:t>
          </w:r>
          <w:r>
            <w:tab/>
          </w:r>
          <w:r>
            <w:fldChar w:fldCharType="begin"/>
          </w:r>
          <w:r>
            <w:instrText xml:space="preserve"> PAGEREF _Toc10826 \h </w:instrText>
          </w:r>
          <w:r>
            <w:fldChar w:fldCharType="separate"/>
          </w:r>
          <w:r>
            <w:t>63</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_Toc19486 </w:instrText>
          </w:r>
          <w:r>
            <w:rPr>
              <w:rFonts w:hint="eastAsia"/>
              <w:highlight w:val="none"/>
            </w:rPr>
            <w:fldChar w:fldCharType="separate"/>
          </w:r>
          <w:r>
            <w:rPr>
              <w:rFonts w:hint="default"/>
            </w:rPr>
            <w:t xml:space="preserve">3.2. </w:t>
          </w:r>
          <w:r>
            <w:rPr>
              <w:rFonts w:hint="eastAsia"/>
            </w:rPr>
            <w:t>验收前提条件</w:t>
          </w:r>
          <w:r>
            <w:tab/>
          </w:r>
          <w:r>
            <w:fldChar w:fldCharType="begin"/>
          </w:r>
          <w:r>
            <w:instrText xml:space="preserve"> PAGEREF _Toc19486 \h </w:instrText>
          </w:r>
          <w:r>
            <w:fldChar w:fldCharType="separate"/>
          </w:r>
          <w:r>
            <w:t>65</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_Toc4715 </w:instrText>
          </w:r>
          <w:r>
            <w:rPr>
              <w:rFonts w:hint="eastAsia"/>
              <w:highlight w:val="none"/>
            </w:rPr>
            <w:fldChar w:fldCharType="separate"/>
          </w:r>
          <w:r>
            <w:rPr>
              <w:rFonts w:hint="default"/>
            </w:rPr>
            <w:t xml:space="preserve">3.3. </w:t>
          </w:r>
          <w:r>
            <w:rPr>
              <w:rFonts w:hint="eastAsia"/>
            </w:rPr>
            <w:t>验收准备</w:t>
          </w:r>
          <w:r>
            <w:tab/>
          </w:r>
          <w:r>
            <w:fldChar w:fldCharType="begin"/>
          </w:r>
          <w:r>
            <w:instrText xml:space="preserve"> PAGEREF _Toc4715 \h </w:instrText>
          </w:r>
          <w:r>
            <w:fldChar w:fldCharType="separate"/>
          </w:r>
          <w:r>
            <w:t>65</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_Toc916 </w:instrText>
          </w:r>
          <w:r>
            <w:rPr>
              <w:rFonts w:hint="eastAsia"/>
              <w:highlight w:val="none"/>
            </w:rPr>
            <w:fldChar w:fldCharType="separate"/>
          </w:r>
          <w:r>
            <w:rPr>
              <w:rFonts w:hint="default"/>
            </w:rPr>
            <w:t xml:space="preserve">3.4. </w:t>
          </w:r>
          <w:r>
            <w:rPr>
              <w:rFonts w:hint="eastAsia"/>
              <w:lang w:val="en-US" w:eastAsia="zh-CN"/>
            </w:rPr>
            <w:t>验收方法</w:t>
          </w:r>
          <w:r>
            <w:tab/>
          </w:r>
          <w:r>
            <w:fldChar w:fldCharType="begin"/>
          </w:r>
          <w:r>
            <w:instrText xml:space="preserve"> PAGEREF _Toc916 \h </w:instrText>
          </w:r>
          <w:r>
            <w:fldChar w:fldCharType="separate"/>
          </w:r>
          <w:r>
            <w:t>65</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_Toc19868 </w:instrText>
          </w:r>
          <w:r>
            <w:rPr>
              <w:rFonts w:hint="eastAsia"/>
              <w:highlight w:val="none"/>
            </w:rPr>
            <w:fldChar w:fldCharType="separate"/>
          </w:r>
          <w:r>
            <w:rPr>
              <w:rFonts w:hint="default"/>
            </w:rPr>
            <w:t xml:space="preserve">3.5. </w:t>
          </w:r>
          <w:r>
            <w:rPr>
              <w:rFonts w:hint="eastAsia"/>
            </w:rPr>
            <w:t>验收流程</w:t>
          </w:r>
          <w:r>
            <w:tab/>
          </w:r>
          <w:r>
            <w:fldChar w:fldCharType="begin"/>
          </w:r>
          <w:r>
            <w:instrText xml:space="preserve"> PAGEREF _Toc19868 \h </w:instrText>
          </w:r>
          <w:r>
            <w:fldChar w:fldCharType="separate"/>
          </w:r>
          <w:r>
            <w:t>66</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_Toc6632 </w:instrText>
          </w:r>
          <w:r>
            <w:rPr>
              <w:rFonts w:hint="eastAsia"/>
              <w:highlight w:val="none"/>
            </w:rPr>
            <w:fldChar w:fldCharType="separate"/>
          </w:r>
          <w:r>
            <w:rPr>
              <w:rFonts w:hint="default"/>
            </w:rPr>
            <w:t xml:space="preserve">3.6. </w:t>
          </w:r>
          <w:r>
            <w:rPr>
              <w:rFonts w:hint="eastAsia"/>
            </w:rPr>
            <w:t>项目验收</w:t>
          </w:r>
          <w:r>
            <w:rPr>
              <w:rFonts w:hint="eastAsia"/>
              <w:lang w:val="en-US" w:eastAsia="zh-CN"/>
            </w:rPr>
            <w:t>文档要求</w:t>
          </w:r>
          <w:r>
            <w:tab/>
          </w:r>
          <w:r>
            <w:fldChar w:fldCharType="begin"/>
          </w:r>
          <w:r>
            <w:instrText xml:space="preserve"> PAGEREF _Toc6632 \h </w:instrText>
          </w:r>
          <w:r>
            <w:fldChar w:fldCharType="separate"/>
          </w:r>
          <w:r>
            <w:t>66</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_Toc27914 </w:instrText>
          </w:r>
          <w:r>
            <w:rPr>
              <w:rFonts w:hint="eastAsia"/>
              <w:highlight w:val="none"/>
            </w:rPr>
            <w:fldChar w:fldCharType="separate"/>
          </w:r>
          <w:r>
            <w:rPr>
              <w:rFonts w:hint="default" w:ascii="黑体" w:hAnsi="黑体" w:eastAsia="黑体" w:cs="黑体"/>
            </w:rPr>
            <w:t xml:space="preserve">3.6.1. </w:t>
          </w:r>
          <w:r>
            <w:rPr>
              <w:rFonts w:hint="eastAsia"/>
            </w:rPr>
            <w:t>项目验收材料清单</w:t>
          </w:r>
          <w:r>
            <w:tab/>
          </w:r>
          <w:r>
            <w:fldChar w:fldCharType="begin"/>
          </w:r>
          <w:r>
            <w:instrText xml:space="preserve"> PAGEREF _Toc27914 \h </w:instrText>
          </w:r>
          <w:r>
            <w:fldChar w:fldCharType="separate"/>
          </w:r>
          <w:r>
            <w:t>66</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_Toc26119 </w:instrText>
          </w:r>
          <w:r>
            <w:rPr>
              <w:rFonts w:hint="eastAsia"/>
              <w:highlight w:val="none"/>
            </w:rPr>
            <w:fldChar w:fldCharType="separate"/>
          </w:r>
          <w:r>
            <w:rPr>
              <w:rFonts w:hint="default" w:ascii="黑体" w:hAnsi="黑体" w:eastAsia="黑体" w:cs="黑体"/>
              <w:lang w:val="en-US" w:eastAsia="zh-CN"/>
            </w:rPr>
            <w:t xml:space="preserve">3.6.2. </w:t>
          </w:r>
          <w:r>
            <w:rPr>
              <w:rFonts w:hint="eastAsia"/>
              <w:lang w:val="en-US" w:eastAsia="zh-CN"/>
            </w:rPr>
            <w:t>项目终验材料</w:t>
          </w:r>
          <w:r>
            <w:tab/>
          </w:r>
          <w:r>
            <w:fldChar w:fldCharType="begin"/>
          </w:r>
          <w:r>
            <w:instrText xml:space="preserve"> PAGEREF _Toc26119 \h </w:instrText>
          </w:r>
          <w:r>
            <w:fldChar w:fldCharType="separate"/>
          </w:r>
          <w:r>
            <w:t>67</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_Toc5268 </w:instrText>
          </w:r>
          <w:r>
            <w:rPr>
              <w:rFonts w:hint="eastAsia"/>
              <w:highlight w:val="none"/>
            </w:rPr>
            <w:fldChar w:fldCharType="separate"/>
          </w:r>
          <w:r>
            <w:rPr>
              <w:rFonts w:hint="default"/>
              <w:lang w:val="en-US" w:eastAsia="zh-CN"/>
            </w:rPr>
            <w:t xml:space="preserve">3.7. </w:t>
          </w:r>
          <w:r>
            <w:rPr>
              <w:rFonts w:hint="eastAsia"/>
              <w:lang w:val="en-US" w:eastAsia="zh-CN"/>
            </w:rPr>
            <w:t>验收标准</w:t>
          </w:r>
          <w:r>
            <w:tab/>
          </w:r>
          <w:r>
            <w:fldChar w:fldCharType="begin"/>
          </w:r>
          <w:r>
            <w:instrText xml:space="preserve"> PAGEREF _Toc5268 \h </w:instrText>
          </w:r>
          <w:r>
            <w:fldChar w:fldCharType="separate"/>
          </w:r>
          <w:r>
            <w:t>69</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_Toc10837 </w:instrText>
          </w:r>
          <w:r>
            <w:rPr>
              <w:rFonts w:hint="eastAsia"/>
              <w:highlight w:val="none"/>
            </w:rPr>
            <w:fldChar w:fldCharType="separate"/>
          </w:r>
          <w:r>
            <w:rPr>
              <w:rFonts w:hint="default"/>
              <w:lang w:val="en-US" w:eastAsia="zh-CN"/>
            </w:rPr>
            <w:t xml:space="preserve">3.8. </w:t>
          </w:r>
          <w:r>
            <w:rPr>
              <w:rFonts w:hint="eastAsia"/>
              <w:lang w:val="en-US" w:eastAsia="zh-CN"/>
            </w:rPr>
            <w:t>项目交付</w:t>
          </w:r>
          <w:r>
            <w:tab/>
          </w:r>
          <w:r>
            <w:fldChar w:fldCharType="begin"/>
          </w:r>
          <w:r>
            <w:instrText xml:space="preserve"> PAGEREF _Toc10837 \h </w:instrText>
          </w:r>
          <w:r>
            <w:fldChar w:fldCharType="separate"/>
          </w:r>
          <w:r>
            <w:t>69</w:t>
          </w:r>
          <w:r>
            <w:fldChar w:fldCharType="end"/>
          </w:r>
          <w:r>
            <w:rPr>
              <w:rFonts w:hint="eastAsia"/>
              <w:highlight w:val="none"/>
            </w:rPr>
            <w:fldChar w:fldCharType="end"/>
          </w:r>
        </w:p>
        <w:p>
          <w:pPr>
            <w:pStyle w:val="21"/>
            <w:tabs>
              <w:tab w:val="right" w:leader="dot" w:pos="9073"/>
            </w:tabs>
          </w:pPr>
          <w:r>
            <w:rPr>
              <w:rFonts w:hint="eastAsia"/>
              <w:highlight w:val="none"/>
            </w:rPr>
            <w:fldChar w:fldCharType="begin"/>
          </w:r>
          <w:r>
            <w:rPr>
              <w:rFonts w:hint="eastAsia"/>
              <w:highlight w:val="none"/>
            </w:rPr>
            <w:instrText xml:space="preserve"> HYPERLINK \l _Toc31497 </w:instrText>
          </w:r>
          <w:r>
            <w:rPr>
              <w:rFonts w:hint="eastAsia"/>
              <w:highlight w:val="none"/>
            </w:rPr>
            <w:fldChar w:fldCharType="separate"/>
          </w:r>
          <w:r>
            <w:rPr>
              <w:rFonts w:hint="default"/>
            </w:rPr>
            <w:t xml:space="preserve">4. </w:t>
          </w:r>
          <w:r>
            <w:rPr>
              <w:rFonts w:hint="eastAsia"/>
              <w:highlight w:val="none"/>
              <w:lang w:val="en-US" w:eastAsia="zh-CN"/>
            </w:rPr>
            <w:t>项目运维与售后服务要求</w:t>
          </w:r>
          <w:r>
            <w:tab/>
          </w:r>
          <w:r>
            <w:fldChar w:fldCharType="begin"/>
          </w:r>
          <w:r>
            <w:instrText xml:space="preserve"> PAGEREF _Toc31497 \h </w:instrText>
          </w:r>
          <w:r>
            <w:fldChar w:fldCharType="separate"/>
          </w:r>
          <w:r>
            <w:t>72</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_Toc12403 </w:instrText>
          </w:r>
          <w:r>
            <w:rPr>
              <w:rFonts w:hint="eastAsia"/>
              <w:highlight w:val="none"/>
            </w:rPr>
            <w:fldChar w:fldCharType="separate"/>
          </w:r>
          <w:r>
            <w:rPr>
              <w:rFonts w:hint="default"/>
            </w:rPr>
            <w:t xml:space="preserve">4.1. </w:t>
          </w:r>
          <w:r>
            <w:t>技术支持与售后服务</w:t>
          </w:r>
          <w:r>
            <w:tab/>
          </w:r>
          <w:r>
            <w:fldChar w:fldCharType="begin"/>
          </w:r>
          <w:r>
            <w:instrText xml:space="preserve"> PAGEREF _Toc12403 \h </w:instrText>
          </w:r>
          <w:r>
            <w:fldChar w:fldCharType="separate"/>
          </w:r>
          <w:r>
            <w:t>72</w:t>
          </w:r>
          <w:r>
            <w:fldChar w:fldCharType="end"/>
          </w:r>
          <w:r>
            <w:rPr>
              <w:rFonts w:hint="eastAsia"/>
              <w:highlight w:val="none"/>
            </w:rPr>
            <w:fldChar w:fldCharType="end"/>
          </w:r>
        </w:p>
        <w:p>
          <w:pPr>
            <w:pStyle w:val="17"/>
            <w:tabs>
              <w:tab w:val="right" w:leader="dot" w:pos="9073"/>
            </w:tabs>
          </w:pPr>
          <w:r>
            <w:rPr>
              <w:rFonts w:hint="eastAsia"/>
              <w:highlight w:val="none"/>
            </w:rPr>
            <w:fldChar w:fldCharType="begin"/>
          </w:r>
          <w:r>
            <w:rPr>
              <w:rFonts w:hint="eastAsia"/>
              <w:highlight w:val="none"/>
            </w:rPr>
            <w:instrText xml:space="preserve"> HYPERLINK \l _Toc16722 </w:instrText>
          </w:r>
          <w:r>
            <w:rPr>
              <w:rFonts w:hint="eastAsia"/>
              <w:highlight w:val="none"/>
            </w:rPr>
            <w:fldChar w:fldCharType="separate"/>
          </w:r>
          <w:r>
            <w:rPr>
              <w:rFonts w:hint="default" w:ascii="黑体" w:hAnsi="黑体" w:eastAsia="黑体" w:cs="黑体"/>
            </w:rPr>
            <w:t xml:space="preserve">4.1.1. </w:t>
          </w:r>
          <w:r>
            <w:t>技术后援支持</w:t>
          </w:r>
          <w:r>
            <w:tab/>
          </w:r>
          <w:r>
            <w:fldChar w:fldCharType="begin"/>
          </w:r>
          <w:r>
            <w:instrText xml:space="preserve"> PAGEREF _Toc16722 \h </w:instrText>
          </w:r>
          <w:r>
            <w:fldChar w:fldCharType="separate"/>
          </w:r>
          <w:r>
            <w:t>72</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_Toc17486 </w:instrText>
          </w:r>
          <w:r>
            <w:rPr>
              <w:rFonts w:hint="eastAsia"/>
              <w:highlight w:val="none"/>
            </w:rPr>
            <w:fldChar w:fldCharType="separate"/>
          </w:r>
          <w:r>
            <w:rPr>
              <w:rFonts w:hint="default" w:ascii="黑体" w:hAnsi="黑体" w:eastAsia="黑体" w:cs="黑体"/>
            </w:rPr>
            <w:t xml:space="preserve">4.1.1.1. </w:t>
          </w:r>
          <w:r>
            <w:t>技术后援支持方式</w:t>
          </w:r>
          <w:r>
            <w:tab/>
          </w:r>
          <w:r>
            <w:fldChar w:fldCharType="begin"/>
          </w:r>
          <w:r>
            <w:instrText xml:space="preserve"> PAGEREF _Toc17486 \h </w:instrText>
          </w:r>
          <w:r>
            <w:fldChar w:fldCharType="separate"/>
          </w:r>
          <w:r>
            <w:t>73</w:t>
          </w:r>
          <w:r>
            <w:fldChar w:fldCharType="end"/>
          </w:r>
          <w:r>
            <w:rPr>
              <w:rFonts w:hint="eastAsia"/>
              <w:highlight w:val="none"/>
            </w:rPr>
            <w:fldChar w:fldCharType="end"/>
          </w:r>
        </w:p>
        <w:p>
          <w:pPr>
            <w:pStyle w:val="22"/>
            <w:tabs>
              <w:tab w:val="right" w:leader="dot" w:pos="9073"/>
            </w:tabs>
          </w:pPr>
          <w:r>
            <w:rPr>
              <w:rFonts w:hint="eastAsia"/>
              <w:highlight w:val="none"/>
            </w:rPr>
            <w:fldChar w:fldCharType="begin"/>
          </w:r>
          <w:r>
            <w:rPr>
              <w:rFonts w:hint="eastAsia"/>
              <w:highlight w:val="none"/>
            </w:rPr>
            <w:instrText xml:space="preserve"> HYPERLINK \l _Toc32707 </w:instrText>
          </w:r>
          <w:r>
            <w:rPr>
              <w:rFonts w:hint="eastAsia"/>
              <w:highlight w:val="none"/>
            </w:rPr>
            <w:fldChar w:fldCharType="separate"/>
          </w:r>
          <w:r>
            <w:rPr>
              <w:rFonts w:hint="default" w:ascii="黑体" w:hAnsi="黑体" w:eastAsia="黑体" w:cs="黑体"/>
            </w:rPr>
            <w:t xml:space="preserve">4.1.1.2. </w:t>
          </w:r>
          <w:r>
            <w:t>保修及系统维护服务</w:t>
          </w:r>
          <w:r>
            <w:tab/>
          </w:r>
          <w:r>
            <w:fldChar w:fldCharType="begin"/>
          </w:r>
          <w:r>
            <w:instrText xml:space="preserve"> PAGEREF _Toc32707 \h </w:instrText>
          </w:r>
          <w:r>
            <w:fldChar w:fldCharType="separate"/>
          </w:r>
          <w:r>
            <w:t>73</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_Toc4247 </w:instrText>
          </w:r>
          <w:r>
            <w:rPr>
              <w:rFonts w:hint="eastAsia"/>
              <w:highlight w:val="none"/>
            </w:rPr>
            <w:fldChar w:fldCharType="separate"/>
          </w:r>
          <w:r>
            <w:rPr>
              <w:rFonts w:hint="default"/>
            </w:rPr>
            <w:t xml:space="preserve">4.2. </w:t>
          </w:r>
          <w:r>
            <w:rPr>
              <w:rFonts w:hint="eastAsia"/>
            </w:rPr>
            <w:t>运维服务人员要求</w:t>
          </w:r>
          <w:r>
            <w:tab/>
          </w:r>
          <w:r>
            <w:fldChar w:fldCharType="begin"/>
          </w:r>
          <w:r>
            <w:instrText xml:space="preserve"> PAGEREF _Toc4247 \h </w:instrText>
          </w:r>
          <w:r>
            <w:fldChar w:fldCharType="separate"/>
          </w:r>
          <w:r>
            <w:t>74</w:t>
          </w:r>
          <w:r>
            <w:fldChar w:fldCharType="end"/>
          </w:r>
          <w:r>
            <w:rPr>
              <w:rFonts w:hint="eastAsia"/>
              <w:highlight w:val="none"/>
            </w:rPr>
            <w:fldChar w:fldCharType="end"/>
          </w:r>
        </w:p>
        <w:p>
          <w:pPr>
            <w:pStyle w:val="23"/>
            <w:tabs>
              <w:tab w:val="right" w:leader="dot" w:pos="9073"/>
            </w:tabs>
          </w:pPr>
          <w:r>
            <w:rPr>
              <w:rFonts w:hint="eastAsia"/>
              <w:highlight w:val="none"/>
            </w:rPr>
            <w:fldChar w:fldCharType="begin"/>
          </w:r>
          <w:r>
            <w:rPr>
              <w:rFonts w:hint="eastAsia"/>
              <w:highlight w:val="none"/>
            </w:rPr>
            <w:instrText xml:space="preserve"> HYPERLINK \l _Toc9009 </w:instrText>
          </w:r>
          <w:r>
            <w:rPr>
              <w:rFonts w:hint="eastAsia"/>
              <w:highlight w:val="none"/>
            </w:rPr>
            <w:fldChar w:fldCharType="separate"/>
          </w:r>
          <w:r>
            <w:rPr>
              <w:rFonts w:hint="default"/>
            </w:rPr>
            <w:t xml:space="preserve">4.3. </w:t>
          </w:r>
          <w:r>
            <w:t>故障响应时间</w:t>
          </w:r>
          <w:r>
            <w:tab/>
          </w:r>
          <w:r>
            <w:fldChar w:fldCharType="begin"/>
          </w:r>
          <w:r>
            <w:instrText xml:space="preserve"> PAGEREF _Toc9009 \h </w:instrText>
          </w:r>
          <w:r>
            <w:fldChar w:fldCharType="separate"/>
          </w:r>
          <w:r>
            <w:t>75</w:t>
          </w:r>
          <w:r>
            <w:fldChar w:fldCharType="end"/>
          </w:r>
          <w:r>
            <w:rPr>
              <w:rFonts w:hint="eastAsia"/>
              <w:highlight w:val="none"/>
            </w:rPr>
            <w:fldChar w:fldCharType="end"/>
          </w:r>
        </w:p>
        <w:p>
          <w:pPr>
            <w:ind w:firstLine="480"/>
            <w:rPr>
              <w:szCs w:val="24"/>
              <w:highlight w:val="none"/>
            </w:rPr>
            <w:sectPr>
              <w:headerReference r:id="rId11" w:type="default"/>
              <w:footerReference r:id="rId12" w:type="default"/>
              <w:pgSz w:w="11907" w:h="16840"/>
              <w:pgMar w:top="1417" w:right="1417" w:bottom="1417" w:left="1417" w:header="851" w:footer="992" w:gutter="0"/>
              <w:pgBorders>
                <w:top w:val="none" w:sz="0" w:space="0"/>
                <w:left w:val="none" w:sz="0" w:space="0"/>
                <w:bottom w:val="none" w:sz="0" w:space="0"/>
                <w:right w:val="none" w:sz="0" w:space="0"/>
              </w:pgBorders>
              <w:pgNumType w:fmt="upperRoman" w:start="1"/>
              <w:cols w:space="720" w:num="1"/>
              <w:docGrid w:linePitch="312" w:charSpace="0"/>
            </w:sectPr>
          </w:pPr>
          <w:r>
            <w:rPr>
              <w:rFonts w:hint="eastAsia"/>
              <w:highlight w:val="none"/>
            </w:rPr>
            <w:fldChar w:fldCharType="end"/>
          </w:r>
        </w:p>
      </w:sdtContent>
    </w:sdt>
    <w:p>
      <w:pPr>
        <w:pStyle w:val="2"/>
        <w:rPr>
          <w:highlight w:val="none"/>
        </w:rPr>
      </w:pPr>
      <w:bookmarkStart w:id="1" w:name="_Toc1812"/>
      <w:bookmarkStart w:id="2" w:name="_Toc25364"/>
      <w:bookmarkStart w:id="3" w:name="_Toc21949"/>
      <w:bookmarkStart w:id="4" w:name="_Toc3798"/>
      <w:bookmarkStart w:id="5" w:name="_Toc27516"/>
      <w:bookmarkStart w:id="6" w:name="_Toc11845"/>
      <w:bookmarkStart w:id="7" w:name="_Toc5995"/>
      <w:bookmarkStart w:id="8" w:name="_Toc9584"/>
      <w:bookmarkStart w:id="9" w:name="_Toc13420"/>
      <w:bookmarkStart w:id="10" w:name="_Toc14165"/>
      <w:bookmarkStart w:id="11" w:name="_Toc31982"/>
      <w:bookmarkStart w:id="12" w:name="_Toc14277"/>
      <w:bookmarkStart w:id="13" w:name="_Toc21685"/>
      <w:bookmarkStart w:id="14" w:name="_Toc29030"/>
      <w:bookmarkStart w:id="15" w:name="_Toc32049"/>
      <w:bookmarkStart w:id="16" w:name="_Toc5355"/>
      <w:bookmarkStart w:id="17" w:name="_Toc23975"/>
      <w:bookmarkStart w:id="18" w:name="_Toc11097"/>
      <w:bookmarkStart w:id="19" w:name="_Toc30357"/>
      <w:bookmarkStart w:id="20" w:name="_Toc15258"/>
      <w:r>
        <w:rPr>
          <w:rFonts w:hint="eastAsia"/>
          <w:highlight w:val="none"/>
        </w:rPr>
        <w:t>项目</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Pr>
          <w:rFonts w:hint="eastAsia"/>
          <w:highlight w:val="none"/>
          <w:lang w:val="en-US" w:eastAsia="zh-CN"/>
        </w:rPr>
        <w:t>概述</w:t>
      </w:r>
      <w:bookmarkEnd w:id="18"/>
      <w:bookmarkEnd w:id="19"/>
      <w:bookmarkEnd w:id="20"/>
    </w:p>
    <w:p>
      <w:pPr>
        <w:pStyle w:val="3"/>
        <w:rPr>
          <w:highlight w:val="none"/>
        </w:rPr>
      </w:pPr>
      <w:bookmarkStart w:id="21" w:name="_Toc20230"/>
      <w:bookmarkStart w:id="22" w:name="_Toc8"/>
      <w:bookmarkStart w:id="23" w:name="_Toc12076"/>
      <w:bookmarkStart w:id="24" w:name="_Toc30458"/>
      <w:bookmarkStart w:id="25" w:name="_Toc5710"/>
      <w:bookmarkStart w:id="26" w:name="_Toc23256"/>
      <w:bookmarkStart w:id="27" w:name="_Toc1535"/>
      <w:bookmarkStart w:id="28" w:name="_Toc25446"/>
      <w:bookmarkStart w:id="29" w:name="_Toc9013"/>
      <w:bookmarkStart w:id="30" w:name="_Toc28752"/>
      <w:bookmarkStart w:id="31" w:name="_Toc8067"/>
      <w:bookmarkStart w:id="32" w:name="_Toc26326"/>
      <w:bookmarkStart w:id="33" w:name="_Toc16013"/>
      <w:bookmarkStart w:id="34" w:name="_Toc20376"/>
      <w:bookmarkStart w:id="35" w:name="_Toc29896"/>
      <w:bookmarkStart w:id="36" w:name="_Toc31924"/>
      <w:bookmarkStart w:id="37" w:name="_Toc15593"/>
      <w:bookmarkStart w:id="38" w:name="_Toc14715"/>
      <w:bookmarkStart w:id="39" w:name="_Toc18220"/>
      <w:bookmarkStart w:id="40" w:name="_Toc15953"/>
      <w:r>
        <w:rPr>
          <w:rFonts w:hint="eastAsia"/>
          <w:highlight w:val="none"/>
        </w:rPr>
        <w:t>项目</w:t>
      </w:r>
      <w:bookmarkEnd w:id="21"/>
      <w:r>
        <w:rPr>
          <w:rFonts w:hint="eastAsia"/>
          <w:highlight w:val="none"/>
          <w:lang w:val="en-US" w:eastAsia="zh-CN"/>
        </w:rPr>
        <w:t>名称</w:t>
      </w:r>
      <w:bookmarkEnd w:id="22"/>
      <w:bookmarkEnd w:id="23"/>
      <w:bookmarkEnd w:id="24"/>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Pr>
        <w:ind w:firstLine="480"/>
        <w:rPr>
          <w:rFonts w:hint="eastAsia"/>
          <w:highlight w:val="none"/>
          <w:lang w:eastAsia="zh-CN"/>
        </w:rPr>
      </w:pPr>
      <w:r>
        <w:rPr>
          <w:rFonts w:hint="eastAsia"/>
          <w:highlight w:val="none"/>
        </w:rPr>
        <w:t>项目名称：</w:t>
      </w:r>
      <w:r>
        <w:rPr>
          <w:rFonts w:hint="eastAsia"/>
          <w:highlight w:val="none"/>
          <w:lang w:val="en-US" w:eastAsia="zh-CN"/>
        </w:rPr>
        <w:t>珠海市</w:t>
      </w:r>
      <w:r>
        <w:rPr>
          <w:rFonts w:hint="eastAsia"/>
          <w:highlight w:val="none"/>
          <w:lang w:eastAsia="zh-CN"/>
        </w:rPr>
        <w:t>斗门区市民服务中心信息化工程项目。</w:t>
      </w:r>
    </w:p>
    <w:p>
      <w:pPr>
        <w:pStyle w:val="3"/>
        <w:rPr>
          <w:rFonts w:hint="default"/>
          <w:highlight w:val="none"/>
          <w:lang w:val="en-US" w:eastAsia="zh-CN"/>
        </w:rPr>
      </w:pPr>
      <w:bookmarkStart w:id="41" w:name="_Toc32018"/>
      <w:bookmarkStart w:id="42" w:name="_Toc26924"/>
      <w:bookmarkStart w:id="43" w:name="_Toc1549"/>
      <w:r>
        <w:rPr>
          <w:rFonts w:hint="eastAsia"/>
          <w:highlight w:val="none"/>
          <w:lang w:val="en-US" w:eastAsia="zh-CN"/>
        </w:rPr>
        <w:t>项目建设地点</w:t>
      </w:r>
      <w:bookmarkEnd w:id="41"/>
      <w:bookmarkEnd w:id="42"/>
      <w:bookmarkEnd w:id="43"/>
    </w:p>
    <w:p>
      <w:pPr>
        <w:rPr>
          <w:rFonts w:hint="default"/>
          <w:lang w:val="en-US" w:eastAsia="zh-CN"/>
        </w:rPr>
      </w:pPr>
      <w:r>
        <w:rPr>
          <w:rFonts w:hint="eastAsia"/>
          <w:highlight w:val="none"/>
          <w:lang w:val="en-US" w:eastAsia="zh-CN"/>
        </w:rPr>
        <w:t>珠海市斗门区。</w:t>
      </w:r>
    </w:p>
    <w:p>
      <w:pPr>
        <w:pStyle w:val="3"/>
        <w:rPr>
          <w:highlight w:val="none"/>
        </w:rPr>
      </w:pPr>
      <w:bookmarkStart w:id="44" w:name="_Toc17343"/>
      <w:bookmarkStart w:id="45" w:name="_Toc2075"/>
      <w:bookmarkStart w:id="46" w:name="_Toc21441"/>
      <w:bookmarkStart w:id="47" w:name="_Toc29692"/>
      <w:bookmarkStart w:id="48" w:name="_Toc15808"/>
      <w:bookmarkStart w:id="49" w:name="_Toc21758"/>
      <w:bookmarkStart w:id="50" w:name="_Toc31740"/>
      <w:bookmarkStart w:id="51" w:name="_Toc14418"/>
      <w:bookmarkStart w:id="52" w:name="_Toc8697"/>
      <w:bookmarkStart w:id="53" w:name="_Toc23072"/>
      <w:bookmarkStart w:id="54" w:name="_Toc23117"/>
      <w:bookmarkStart w:id="55" w:name="_Toc3393"/>
      <w:bookmarkStart w:id="56" w:name="_Toc13722"/>
      <w:bookmarkStart w:id="57" w:name="_Toc5385"/>
      <w:bookmarkStart w:id="58" w:name="_Toc254"/>
      <w:bookmarkStart w:id="59" w:name="_Toc27614"/>
      <w:bookmarkStart w:id="60" w:name="_Toc17265"/>
      <w:bookmarkStart w:id="61" w:name="_Toc27990"/>
      <w:bookmarkStart w:id="62" w:name="_Toc2284"/>
      <w:bookmarkStart w:id="63" w:name="_Toc26844"/>
      <w:bookmarkStart w:id="64" w:name="_Toc23914"/>
      <w:bookmarkStart w:id="65" w:name="_Toc20111"/>
      <w:bookmarkStart w:id="66" w:name="_Toc10315"/>
      <w:bookmarkStart w:id="67" w:name="_Toc5312"/>
      <w:bookmarkStart w:id="68" w:name="_Toc11644"/>
      <w:bookmarkStart w:id="69" w:name="_Toc24744"/>
      <w:bookmarkStart w:id="70" w:name="_Toc25899"/>
      <w:bookmarkStart w:id="71" w:name="_Toc31283"/>
      <w:bookmarkStart w:id="72" w:name="_Toc18221"/>
      <w:bookmarkStart w:id="73" w:name="_Toc22233"/>
      <w:bookmarkStart w:id="74" w:name="_Toc3568"/>
      <w:bookmarkStart w:id="75" w:name="_Toc14252"/>
      <w:bookmarkStart w:id="76" w:name="_Toc11854"/>
      <w:bookmarkStart w:id="77" w:name="_Toc19455"/>
      <w:bookmarkStart w:id="78" w:name="_Toc23144"/>
      <w:bookmarkStart w:id="79" w:name="_Toc17258"/>
      <w:bookmarkStart w:id="80" w:name="_Toc12278"/>
      <w:r>
        <w:rPr>
          <w:rFonts w:hint="eastAsia"/>
          <w:highlight w:val="none"/>
          <w:lang w:val="en-US" w:eastAsia="zh-CN"/>
        </w:rPr>
        <w:t>项目建设</w:t>
      </w:r>
      <w:r>
        <w:rPr>
          <w:rFonts w:hint="eastAsia"/>
          <w:highlight w:val="none"/>
        </w:rPr>
        <w:t>背景</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pPr>
        <w:ind w:firstLine="480"/>
        <w:rPr>
          <w:highlight w:val="none"/>
        </w:rPr>
      </w:pPr>
      <w:r>
        <w:rPr>
          <w:rFonts w:hint="eastAsia"/>
          <w:szCs w:val="21"/>
          <w:highlight w:val="none"/>
        </w:rPr>
        <w:t>《国务院关于加快推进政务服务标准化规范化便利化的指导意见》（国发〔2022〕5号）文中指出，持续优化政务服务是便利企业和群众生产经营与办事创业、畅通国民经济循环、加快构建新发展格局的重要支撑，是建设人民满意的服务型政府、推进国家治理体系和治理能力现代化的内在要求。按照党中央、国务院决策部署，立足新发展阶段，完整、准确、全面贯彻新发展理念，构建新发展格局，加快转变政府职能、深化“放管服”改革、持续优化营商环境，加强跨层级、跨地域、跨系统、跨部门、跨业务协同管理和服务，充分发挥全国</w:t>
      </w:r>
      <w:r>
        <w:rPr>
          <w:rFonts w:hint="eastAsia"/>
          <w:color w:val="333333"/>
          <w:szCs w:val="24"/>
          <w:highlight w:val="none"/>
          <w:shd w:val="clear" w:color="auto" w:fill="FFFFFF"/>
        </w:rPr>
        <w:t>一体化政务服务平台</w:t>
      </w:r>
      <w:r>
        <w:rPr>
          <w:rFonts w:hint="eastAsia"/>
          <w:szCs w:val="21"/>
          <w:highlight w:val="none"/>
        </w:rPr>
        <w:t>“一网通办”支撑作用，进一步推进政务服务运行标准化、服务供给规范化、企业和群众办事便利化，有效服务生产要素自由流动和畅通国民经济循环，更好满足人民日益增长的美好生活需要，为推动高质量发展、创造高品质生活、推进国家治理体系和治理能力现代化提供有力支撑。</w:t>
      </w:r>
    </w:p>
    <w:p>
      <w:pPr>
        <w:ind w:firstLine="480"/>
        <w:rPr>
          <w:rFonts w:hint="eastAsia"/>
          <w:highlight w:val="none"/>
          <w:lang w:eastAsia="zh-CN"/>
        </w:rPr>
      </w:pPr>
      <w:r>
        <w:rPr>
          <w:rFonts w:hint="eastAsia"/>
          <w:highlight w:val="none"/>
        </w:rPr>
        <w:t>斗门区市民服务中心建设项目作为斗门区2021年十大基础设施建设项目之一，是落实国家深化政务服务改革要求，加强斗门区数字政府建设、提升政务服务效能的重要举措。斗门区市民服务中心作为斗门区政务服务的新窗口、城市升级的新起点、产城融合的新链接，斗门区市民服务中心将力争建设成为审批流程最优、办事手续最简、行政效能最高、服务水平最佳的政务服务大厅</w:t>
      </w:r>
      <w:r>
        <w:rPr>
          <w:rFonts w:hint="eastAsia"/>
          <w:highlight w:val="none"/>
          <w:lang w:eastAsia="zh-CN"/>
        </w:rPr>
        <w:t>。</w:t>
      </w:r>
    </w:p>
    <w:p>
      <w:pPr>
        <w:ind w:firstLine="480"/>
        <w:rPr>
          <w:highlight w:val="none"/>
        </w:rPr>
      </w:pPr>
      <w:r>
        <w:rPr>
          <w:rFonts w:hint="eastAsia"/>
          <w:highlight w:val="none"/>
          <w:lang w:eastAsia="zh-CN"/>
        </w:rPr>
        <w:t>斗门区市民服务中心信息化工程项目</w:t>
      </w:r>
      <w:r>
        <w:rPr>
          <w:rFonts w:hint="eastAsia"/>
          <w:highlight w:val="none"/>
        </w:rPr>
        <w:t>是</w:t>
      </w:r>
      <w:r>
        <w:rPr>
          <w:rFonts w:hint="eastAsia"/>
          <w:highlight w:val="none"/>
          <w:lang w:val="en-US" w:eastAsia="zh-CN"/>
        </w:rPr>
        <w:t>推动斗门区政务服务转型升级</w:t>
      </w:r>
      <w:r>
        <w:rPr>
          <w:rFonts w:hint="eastAsia"/>
          <w:highlight w:val="none"/>
        </w:rPr>
        <w:t>工作的关键环节之一，是有力推动各项工作按时间节点落地落实的重要保障，项目的完成将进一步增强</w:t>
      </w:r>
      <w:r>
        <w:rPr>
          <w:rFonts w:hint="eastAsia"/>
          <w:highlight w:val="none"/>
          <w:lang w:val="en-US" w:eastAsia="zh-CN"/>
        </w:rPr>
        <w:t>斗门区市民服务中心</w:t>
      </w:r>
      <w:r>
        <w:rPr>
          <w:rFonts w:hint="eastAsia"/>
          <w:highlight w:val="none"/>
        </w:rPr>
        <w:t>业务应用流畅联动，优化前端资源配置与调度，通过集成</w:t>
      </w:r>
      <w:r>
        <w:rPr>
          <w:rFonts w:hint="eastAsia"/>
          <w:highlight w:val="none"/>
          <w:lang w:val="en-US" w:eastAsia="zh-CN"/>
        </w:rPr>
        <w:t>排队叫号、自助办理、信息展示</w:t>
      </w:r>
      <w:r>
        <w:rPr>
          <w:rFonts w:hint="eastAsia"/>
          <w:highlight w:val="none"/>
        </w:rPr>
        <w:t>等功能，提升</w:t>
      </w:r>
      <w:r>
        <w:rPr>
          <w:rFonts w:hint="eastAsia"/>
          <w:highlight w:val="none"/>
          <w:lang w:val="en-US" w:eastAsia="zh-CN"/>
        </w:rPr>
        <w:t>斗门区市民服务中心的服务</w:t>
      </w:r>
      <w:r>
        <w:rPr>
          <w:rFonts w:hint="eastAsia"/>
          <w:highlight w:val="none"/>
        </w:rPr>
        <w:t>水平和</w:t>
      </w:r>
      <w:r>
        <w:rPr>
          <w:rFonts w:hint="eastAsia"/>
          <w:highlight w:val="none"/>
          <w:lang w:val="en-US" w:eastAsia="zh-CN"/>
        </w:rPr>
        <w:t>管理水平</w:t>
      </w:r>
      <w:r>
        <w:rPr>
          <w:rFonts w:hint="eastAsia"/>
          <w:highlight w:val="none"/>
        </w:rPr>
        <w:t>，</w:t>
      </w:r>
      <w:r>
        <w:rPr>
          <w:rFonts w:hint="eastAsia"/>
          <w:highlight w:val="none"/>
          <w:lang w:val="en-US" w:eastAsia="zh-CN"/>
        </w:rPr>
        <w:t>将斗门区市民服务中心</w:t>
      </w:r>
      <w:r>
        <w:rPr>
          <w:rFonts w:hint="eastAsia"/>
          <w:highlight w:val="none"/>
        </w:rPr>
        <w:t>打造成为粤港澳大湾区青年创业中心、珠海西部产业服务综合平台、县区级政务服务新标杆。</w:t>
      </w:r>
    </w:p>
    <w:p>
      <w:pPr>
        <w:pStyle w:val="3"/>
        <w:rPr>
          <w:highlight w:val="none"/>
        </w:rPr>
      </w:pPr>
      <w:bookmarkStart w:id="81" w:name="_Toc27169"/>
      <w:bookmarkStart w:id="82" w:name="_Toc20492"/>
      <w:bookmarkStart w:id="83" w:name="_Toc17675"/>
      <w:r>
        <w:rPr>
          <w:rFonts w:hint="eastAsia"/>
          <w:highlight w:val="none"/>
        </w:rPr>
        <w:t>项目</w:t>
      </w:r>
      <w:r>
        <w:rPr>
          <w:rFonts w:hint="eastAsia"/>
          <w:highlight w:val="none"/>
          <w:lang w:val="en-US" w:eastAsia="zh-CN"/>
        </w:rPr>
        <w:t>建设</w:t>
      </w:r>
      <w:r>
        <w:rPr>
          <w:rFonts w:hint="eastAsia"/>
          <w:highlight w:val="none"/>
        </w:rPr>
        <w:t>目标</w:t>
      </w:r>
      <w:bookmarkEnd w:id="64"/>
      <w:bookmarkEnd w:id="81"/>
      <w:bookmarkEnd w:id="82"/>
      <w:bookmarkEnd w:id="83"/>
    </w:p>
    <w:p>
      <w:pPr>
        <w:autoSpaceDE w:val="0"/>
        <w:ind w:firstLine="480"/>
        <w:rPr>
          <w:highlight w:val="none"/>
        </w:rPr>
      </w:pPr>
      <w:r>
        <w:rPr>
          <w:rFonts w:hint="eastAsia"/>
          <w:highlight w:val="none"/>
        </w:rPr>
        <w:t>为深入贯彻落实国务院、广东省、珠海市</w:t>
      </w:r>
      <w:r>
        <w:rPr>
          <w:rFonts w:hint="eastAsia"/>
          <w:highlight w:val="none"/>
          <w:lang w:eastAsia="zh-CN"/>
        </w:rPr>
        <w:t>、斗门区</w:t>
      </w:r>
      <w:r>
        <w:rPr>
          <w:rFonts w:hint="eastAsia"/>
          <w:highlight w:val="none"/>
        </w:rPr>
        <w:t>关于进一步深化“互联网+政务服务”，推进政务服务“一网、一门、一次”改革要求，项目秉持以人为本、服务为先的设计理念，遵循“经济实用，安全可控，运行智能，共享便民”的原则，高标准创建“政务事项集中、部门进驻到位、服务过程高效、评价覆盖广泛、办事环境舒心”的</w:t>
      </w:r>
      <w:r>
        <w:rPr>
          <w:rFonts w:hint="eastAsia"/>
          <w:highlight w:val="none"/>
          <w:lang w:val="en-US" w:eastAsia="zh-CN"/>
        </w:rPr>
        <w:t>区</w:t>
      </w:r>
      <w:r>
        <w:rPr>
          <w:rFonts w:hint="eastAsia"/>
          <w:highlight w:val="none"/>
        </w:rPr>
        <w:t>级政务服务中心，依托政务服务中心全力打造耗时少、流程短、成本低、服务优的政务服务，推动事项办理“少填、少报、少跑、快办”，努力建设人民满意的服务型政府。</w:t>
      </w:r>
    </w:p>
    <w:p>
      <w:pPr>
        <w:ind w:firstLine="480"/>
        <w:rPr>
          <w:highlight w:val="none"/>
        </w:rPr>
      </w:pPr>
      <w:r>
        <w:rPr>
          <w:rFonts w:hint="eastAsia"/>
          <w:highlight w:val="none"/>
        </w:rPr>
        <w:t>作为斗门区政务服务的新窗口、城市升级的新起点、产城融合的新链接，斗门区市民服务中心将力争建设成为审批流程优、办事手续简、行政效能高、服务水平佳的政务服务大厅</w:t>
      </w:r>
      <w:r>
        <w:rPr>
          <w:rFonts w:hint="eastAsia"/>
          <w:highlight w:val="none"/>
          <w:lang w:eastAsia="zh-CN"/>
        </w:rPr>
        <w:t>。</w:t>
      </w:r>
      <w:r>
        <w:rPr>
          <w:rFonts w:hint="eastAsia"/>
          <w:highlight w:val="none"/>
          <w:lang w:val="en-US" w:eastAsia="zh-CN"/>
        </w:rPr>
        <w:t>通过珠</w:t>
      </w:r>
      <w:r>
        <w:rPr>
          <w:rFonts w:hint="eastAsia"/>
          <w:highlight w:val="none"/>
        </w:rPr>
        <w:t>海市斗门区市民服务中心信息化建设</w:t>
      </w:r>
      <w:r>
        <w:rPr>
          <w:rFonts w:hint="eastAsia"/>
          <w:highlight w:val="none"/>
          <w:lang w:eastAsia="zh-CN"/>
        </w:rPr>
        <w:t>，</w:t>
      </w:r>
      <w:r>
        <w:rPr>
          <w:rFonts w:hint="eastAsia"/>
          <w:highlight w:val="none"/>
          <w:lang w:val="en-US" w:eastAsia="zh-CN"/>
        </w:rPr>
        <w:t>完善斗门区市民服务中心基础设施设备建设，</w:t>
      </w:r>
      <w:r>
        <w:rPr>
          <w:rFonts w:hint="eastAsia"/>
          <w:highlight w:val="none"/>
        </w:rPr>
        <w:t>为珠海市斗门区民众提供一座亲民便民的科技创新型办事大厅，为珠海西部产业提供一个服务综合平台</w:t>
      </w:r>
      <w:r>
        <w:rPr>
          <w:rFonts w:hint="eastAsia"/>
          <w:highlight w:val="none"/>
          <w:lang w:eastAsia="zh-CN"/>
        </w:rPr>
        <w:t>，</w:t>
      </w:r>
      <w:r>
        <w:rPr>
          <w:rFonts w:hint="eastAsia"/>
          <w:highlight w:val="none"/>
        </w:rPr>
        <w:t>全面实现“推开一扇门，办成一揽子事”的政务服务新格局，进一步推动数字政府建设，最大限度减少企业和民众办事“跑多次、跑多地”的现象，</w:t>
      </w:r>
      <w:r>
        <w:rPr>
          <w:rFonts w:hint="eastAsia"/>
          <w:highlight w:val="none"/>
          <w:lang w:val="en-US" w:eastAsia="zh-CN"/>
        </w:rPr>
        <w:t>为斗门乃至</w:t>
      </w:r>
      <w:r>
        <w:rPr>
          <w:rFonts w:hint="eastAsia"/>
          <w:highlight w:val="none"/>
        </w:rPr>
        <w:t>珠海产业发展</w:t>
      </w:r>
      <w:r>
        <w:rPr>
          <w:rFonts w:hint="eastAsia"/>
          <w:highlight w:val="none"/>
          <w:lang w:val="en-US" w:eastAsia="zh-CN"/>
        </w:rPr>
        <w:t>贡献力量</w:t>
      </w:r>
      <w:r>
        <w:rPr>
          <w:rFonts w:hint="eastAsia"/>
          <w:highlight w:val="none"/>
        </w:rPr>
        <w:t>。</w:t>
      </w:r>
    </w:p>
    <w:p>
      <w:pPr>
        <w:pStyle w:val="3"/>
        <w:bidi w:val="0"/>
        <w:rPr>
          <w:rFonts w:hint="eastAsia"/>
          <w:lang w:val="en-US" w:eastAsia="zh-CN"/>
        </w:rPr>
      </w:pPr>
      <w:bookmarkStart w:id="84" w:name="_Toc32460"/>
      <w:bookmarkStart w:id="85" w:name="_Toc16311"/>
      <w:bookmarkStart w:id="86" w:name="_Toc10597"/>
      <w:bookmarkStart w:id="87" w:name="_Toc25046"/>
      <w:r>
        <w:rPr>
          <w:rFonts w:hint="eastAsia"/>
          <w:lang w:val="en-US" w:eastAsia="zh-CN"/>
        </w:rPr>
        <w:t>项目</w:t>
      </w:r>
      <w:bookmarkEnd w:id="84"/>
      <w:r>
        <w:rPr>
          <w:rFonts w:hint="eastAsia"/>
          <w:lang w:val="en-US" w:eastAsia="zh-CN"/>
        </w:rPr>
        <w:t>建设内容</w:t>
      </w:r>
      <w:bookmarkEnd w:id="85"/>
      <w:bookmarkEnd w:id="86"/>
      <w:bookmarkEnd w:id="87"/>
    </w:p>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Pr>
        <w:ind w:firstLine="480"/>
        <w:rPr>
          <w:rFonts w:hint="eastAsia"/>
          <w:highlight w:val="none"/>
          <w:lang w:eastAsia="zh-CN"/>
        </w:rPr>
      </w:pPr>
      <w:bookmarkStart w:id="88" w:name="_Toc5279"/>
      <w:bookmarkStart w:id="89" w:name="_Toc18764"/>
      <w:bookmarkStart w:id="90" w:name="_Toc19834"/>
      <w:bookmarkStart w:id="91" w:name="_Toc18272"/>
      <w:bookmarkStart w:id="92" w:name="_Toc22514"/>
      <w:bookmarkStart w:id="93" w:name="_Toc10241"/>
      <w:bookmarkStart w:id="94" w:name="_Toc6949"/>
      <w:bookmarkStart w:id="95" w:name="_Toc26951"/>
      <w:bookmarkStart w:id="96" w:name="_Toc1975"/>
      <w:bookmarkStart w:id="97" w:name="_Toc18887"/>
      <w:bookmarkStart w:id="98" w:name="_Toc14733"/>
      <w:bookmarkStart w:id="99" w:name="_Toc7410"/>
      <w:bookmarkStart w:id="100" w:name="_Toc2827"/>
      <w:bookmarkStart w:id="101" w:name="_Toc5834"/>
      <w:bookmarkStart w:id="102" w:name="_Toc12038"/>
      <w:bookmarkStart w:id="103" w:name="_Toc19252"/>
      <w:bookmarkStart w:id="104" w:name="_Toc17869"/>
      <w:r>
        <w:rPr>
          <w:rFonts w:hint="eastAsia"/>
          <w:highlight w:val="none"/>
          <w:lang w:eastAsia="zh-CN"/>
        </w:rPr>
        <w:t>本项目从建设标准化市民服务中心实际需求出发，在充分利用市政务和数据局已建统一申办受理平台能力的基础上，围绕“配套基础设施、大厅业务运行设备”等主要建设内容，以信息化技术手段为抓手，为建设一个“服务高质化、运行高效化、管理精细化、决策智慧化”政务服务中心提供基础支撑，促进政务服务标准化、规范化、便利化，进一步提升政务服务效率、优化营商环境，为企业和群众提供更便捷、优质、高效的服务，将市民服务中心打造成为县区级政务服务新标杆。</w:t>
      </w:r>
    </w:p>
    <w:p>
      <w:pPr>
        <w:ind w:firstLine="480"/>
        <w:rPr>
          <w:rFonts w:hint="default"/>
          <w:highlight w:val="none"/>
          <w:lang w:val="en-US" w:eastAsia="zh-CN"/>
        </w:rPr>
      </w:pPr>
      <w:r>
        <w:rPr>
          <w:rFonts w:hint="eastAsia"/>
          <w:highlight w:val="none"/>
          <w:lang w:eastAsia="zh-CN"/>
        </w:rPr>
        <w:t>一、建设配套基础设施，</w:t>
      </w:r>
      <w:r>
        <w:rPr>
          <w:rFonts w:hint="eastAsia"/>
          <w:highlight w:val="none"/>
          <w:lang w:val="en-US" w:eastAsia="zh-CN"/>
        </w:rPr>
        <w:t>夯实市民服务中心基础</w:t>
      </w:r>
    </w:p>
    <w:p>
      <w:pPr>
        <w:ind w:firstLine="480"/>
        <w:rPr>
          <w:rFonts w:hint="eastAsia"/>
          <w:highlight w:val="none"/>
          <w:lang w:eastAsia="zh-CN"/>
        </w:rPr>
      </w:pPr>
      <w:r>
        <w:rPr>
          <w:rFonts w:hint="eastAsia"/>
          <w:highlight w:val="none"/>
          <w:lang w:eastAsia="zh-CN"/>
        </w:rPr>
        <w:t>遵循稳定、高效、安全可靠、高可扩展性原则，建设网络设备间、计算机网络系统、综合布线系统、信息安全系统等基础设施，为各类应用服务器、网络设备、存储设备、安全设备提供高效稳定的运行环境，为各类政务服务终端、监控终端、办公终端等提供网络接入能力，为各类服务器、终端以及局域网提供安全防护能力。</w:t>
      </w:r>
    </w:p>
    <w:p>
      <w:pPr>
        <w:ind w:firstLine="480"/>
        <w:rPr>
          <w:rFonts w:hint="default"/>
          <w:highlight w:val="none"/>
          <w:lang w:val="en-US" w:eastAsia="zh-CN"/>
        </w:rPr>
      </w:pPr>
      <w:r>
        <w:rPr>
          <w:rFonts w:hint="eastAsia"/>
          <w:highlight w:val="none"/>
          <w:lang w:eastAsia="zh-CN"/>
        </w:rPr>
        <w:t>二、</w:t>
      </w:r>
      <w:r>
        <w:rPr>
          <w:rFonts w:hint="eastAsia"/>
          <w:highlight w:val="none"/>
          <w:lang w:val="en-US" w:eastAsia="zh-CN"/>
        </w:rPr>
        <w:t>建设</w:t>
      </w:r>
      <w:r>
        <w:rPr>
          <w:rFonts w:hint="eastAsia"/>
          <w:highlight w:val="none"/>
          <w:lang w:eastAsia="zh-CN"/>
        </w:rPr>
        <w:t>业务运行设备，</w:t>
      </w:r>
      <w:r>
        <w:rPr>
          <w:rFonts w:hint="eastAsia"/>
          <w:highlight w:val="none"/>
          <w:lang w:val="en-US" w:eastAsia="zh-CN"/>
        </w:rPr>
        <w:t>提高服务水平</w:t>
      </w:r>
    </w:p>
    <w:p>
      <w:pPr>
        <w:ind w:firstLine="480"/>
        <w:rPr>
          <w:rFonts w:hint="eastAsia"/>
          <w:highlight w:val="none"/>
          <w:lang w:eastAsia="zh-CN"/>
        </w:rPr>
      </w:pPr>
      <w:r>
        <w:rPr>
          <w:rFonts w:hint="eastAsia"/>
          <w:highlight w:val="none"/>
          <w:lang w:eastAsia="zh-CN"/>
        </w:rPr>
        <w:t>建设标准化大厅业务运行设备，包括涵盖预约、咨询、导办、取号、叫号、受理、取件等环节配套的大厅业务运行设备、视频监控系统、会议室配套、自助设备、信息发布设备，一是为更好地服务企业和群众，为实体大厅的高效、稳定运行提供基础保障能力，提升实体政务服务中心的服务能力，进一步优化政务服务，提高政务服务效率，二是为更好地保障进驻的部门和人员，通过信息化建设为各进驻部门开展业务提供基础保障能力，提高工作效率。</w:t>
      </w:r>
    </w:p>
    <w:p>
      <w:pPr>
        <w:ind w:firstLine="480"/>
        <w:rPr>
          <w:rFonts w:hint="default"/>
          <w:highlight w:val="none"/>
          <w:lang w:val="en-US" w:eastAsia="zh-CN"/>
        </w:rPr>
      </w:pPr>
      <w:r>
        <w:rPr>
          <w:rFonts w:hint="eastAsia"/>
          <w:highlight w:val="none"/>
          <w:lang w:eastAsia="zh-CN"/>
        </w:rPr>
        <w:t>三、智能工单转派系统，</w:t>
      </w:r>
      <w:r>
        <w:rPr>
          <w:rFonts w:hint="eastAsia"/>
          <w:highlight w:val="none"/>
          <w:lang w:val="en-US" w:eastAsia="zh-CN"/>
        </w:rPr>
        <w:t>提高工作效率</w:t>
      </w:r>
    </w:p>
    <w:p>
      <w:pPr>
        <w:ind w:firstLine="480"/>
        <w:rPr>
          <w:rFonts w:hint="eastAsia"/>
          <w:highlight w:val="none"/>
          <w:lang w:val="en-US" w:eastAsia="zh-CN"/>
        </w:rPr>
      </w:pPr>
      <w:r>
        <w:rPr>
          <w:rFonts w:hint="eastAsia"/>
          <w:highlight w:val="none"/>
          <w:lang w:eastAsia="zh-CN"/>
        </w:rPr>
        <w:t>以市民问政、领导邮箱、12345工单业务流程为主线，以用户为中心，重点突出政务公开、民问政、网上办事等核心思想，对部门和</w:t>
      </w:r>
      <w:r>
        <w:rPr>
          <w:rFonts w:hint="eastAsia"/>
          <w:highlight w:val="none"/>
          <w:lang w:val="en-US" w:eastAsia="zh-CN"/>
        </w:rPr>
        <w:t>镇村</w:t>
      </w:r>
      <w:r>
        <w:rPr>
          <w:rFonts w:hint="eastAsia"/>
          <w:highlight w:val="none"/>
          <w:lang w:eastAsia="zh-CN"/>
        </w:rPr>
        <w:t>信息资源进行有效合，</w:t>
      </w:r>
      <w:r>
        <w:rPr>
          <w:rFonts w:hint="eastAsia"/>
          <w:highlight w:val="none"/>
          <w:lang w:val="en-US" w:eastAsia="zh-CN"/>
        </w:rPr>
        <w:t>基于智能转单服务，通过大数据分析和人工智能技术，实现工单的智能识别、分类、转派和跟踪，提高工单处理效率和质量，提升政务服务的响应速度和满意度。</w:t>
      </w:r>
    </w:p>
    <w:p>
      <w:pPr>
        <w:numPr>
          <w:ilvl w:val="0"/>
          <w:numId w:val="0"/>
        </w:numPr>
        <w:ind w:firstLine="480" w:firstLineChars="200"/>
        <w:rPr>
          <w:rFonts w:hint="eastAsia"/>
          <w:highlight w:val="none"/>
          <w:lang w:val="en-US" w:eastAsia="zh-CN"/>
        </w:rPr>
      </w:pPr>
      <w:r>
        <w:rPr>
          <w:rFonts w:hint="eastAsia" w:ascii="宋体" w:hAnsi="宋体" w:eastAsia="宋体" w:cs="宋体"/>
          <w:kern w:val="2"/>
          <w:sz w:val="24"/>
          <w:szCs w:val="22"/>
          <w:lang w:val="en-US" w:eastAsia="zh-CN" w:bidi="ar-SA"/>
        </w:rPr>
        <w:t>四、</w:t>
      </w:r>
      <w:r>
        <w:rPr>
          <w:rFonts w:hint="eastAsia"/>
          <w:highlight w:val="none"/>
          <w:lang w:val="en-US" w:eastAsia="zh-CN"/>
        </w:rPr>
        <w:t>建设政务服务专区，提供斗门特色服务</w:t>
      </w:r>
    </w:p>
    <w:p>
      <w:r>
        <w:rPr>
          <w:rFonts w:hint="eastAsia"/>
          <w:lang w:val="en-US" w:eastAsia="zh-CN"/>
        </w:rPr>
        <w:t>基于珠海市统一申办受理平台已有功能模块增加斗门特色功能，建设斗门一件事专区、跨域通办专区、助残专区，提供斗门特色服务。</w:t>
      </w:r>
    </w:p>
    <w:p>
      <w:pPr>
        <w:pStyle w:val="3"/>
        <w:rPr>
          <w:highlight w:val="none"/>
        </w:rPr>
      </w:pPr>
      <w:bookmarkStart w:id="105" w:name="_Toc16729"/>
      <w:bookmarkStart w:id="106" w:name="_Toc12706"/>
      <w:bookmarkStart w:id="107" w:name="_Toc31"/>
      <w:bookmarkStart w:id="108" w:name="_Toc28480"/>
      <w:r>
        <w:rPr>
          <w:rFonts w:hint="eastAsia"/>
          <w:highlight w:val="none"/>
        </w:rPr>
        <w:t>建设</w:t>
      </w:r>
      <w:r>
        <w:rPr>
          <w:rFonts w:hint="eastAsia"/>
          <w:highlight w:val="none"/>
          <w:lang w:val="en-US" w:eastAsia="zh-CN"/>
        </w:rPr>
        <w:t>的</w:t>
      </w:r>
      <w:r>
        <w:rPr>
          <w:rFonts w:hint="eastAsia"/>
          <w:highlight w:val="none"/>
        </w:rPr>
        <w:t>意义</w:t>
      </w:r>
      <w:bookmarkEnd w:id="105"/>
      <w:bookmarkEnd w:id="106"/>
      <w:bookmarkEnd w:id="107"/>
      <w:bookmarkEnd w:id="108"/>
    </w:p>
    <w:p>
      <w:pPr>
        <w:pStyle w:val="4"/>
        <w:rPr>
          <w:highlight w:val="none"/>
        </w:rPr>
      </w:pPr>
      <w:bookmarkStart w:id="109" w:name="_Toc5721"/>
      <w:bookmarkStart w:id="110" w:name="_Toc21313"/>
      <w:bookmarkStart w:id="111" w:name="_Toc22361"/>
      <w:bookmarkStart w:id="112" w:name="_Toc446"/>
      <w:bookmarkStart w:id="113" w:name="_Toc31490"/>
      <w:bookmarkStart w:id="114" w:name="_Toc8979"/>
      <w:bookmarkStart w:id="115" w:name="_Toc21304"/>
      <w:bookmarkStart w:id="116" w:name="_Toc14258"/>
      <w:bookmarkStart w:id="117" w:name="_Toc18616"/>
      <w:bookmarkStart w:id="118" w:name="_Toc1997"/>
      <w:bookmarkStart w:id="119" w:name="_Toc10913"/>
      <w:r>
        <w:rPr>
          <w:rFonts w:hint="eastAsia"/>
          <w:highlight w:val="none"/>
        </w:rPr>
        <w:t>是落实市政府工作要求，按时按质建设好珠海市民服务中心的需要</w:t>
      </w:r>
      <w:bookmarkEnd w:id="109"/>
      <w:bookmarkEnd w:id="110"/>
      <w:bookmarkEnd w:id="111"/>
      <w:bookmarkEnd w:id="112"/>
      <w:bookmarkEnd w:id="113"/>
      <w:bookmarkEnd w:id="114"/>
      <w:bookmarkEnd w:id="115"/>
      <w:bookmarkEnd w:id="116"/>
      <w:bookmarkEnd w:id="117"/>
      <w:bookmarkEnd w:id="118"/>
      <w:bookmarkEnd w:id="119"/>
    </w:p>
    <w:p>
      <w:pPr>
        <w:ind w:firstLine="480"/>
        <w:rPr>
          <w:highlight w:val="none"/>
        </w:rPr>
      </w:pPr>
      <w:r>
        <w:rPr>
          <w:rFonts w:hint="eastAsia"/>
          <w:sz w:val="24"/>
          <w:szCs w:val="22"/>
          <w:highlight w:val="none"/>
        </w:rPr>
        <w:t>建设</w:t>
      </w:r>
      <w:r>
        <w:rPr>
          <w:rFonts w:hint="eastAsia"/>
          <w:sz w:val="24"/>
          <w:szCs w:val="22"/>
          <w:highlight w:val="none"/>
          <w:lang w:val="en-US" w:eastAsia="zh-CN"/>
        </w:rPr>
        <w:t>斗门区市民服务中心</w:t>
      </w:r>
      <w:r>
        <w:rPr>
          <w:rFonts w:hint="eastAsia"/>
          <w:sz w:val="24"/>
          <w:szCs w:val="22"/>
          <w:highlight w:val="none"/>
        </w:rPr>
        <w:t>是贯彻落实习近平总书记“努力让人民群众的获得感成色更足、幸福感更可持续、安全感更有保障”重要论述的具体举措，是实现国家、省关于政务服务事项集中办理要求的关键环节，是一项重大的民生工程，建成后</w:t>
      </w:r>
      <w:r>
        <w:rPr>
          <w:rFonts w:hint="eastAsia"/>
          <w:sz w:val="24"/>
          <w:szCs w:val="22"/>
          <w:highlight w:val="none"/>
          <w:lang w:val="en-US" w:eastAsia="zh-CN"/>
        </w:rPr>
        <w:t>区</w:t>
      </w:r>
      <w:r>
        <w:rPr>
          <w:rFonts w:hint="eastAsia"/>
          <w:sz w:val="24"/>
          <w:szCs w:val="22"/>
          <w:highlight w:val="none"/>
        </w:rPr>
        <w:t>级所有政务服务事项实现应进必进，一站式办理，企业群众进一扇门即可办成所有事，本项目是</w:t>
      </w:r>
      <w:r>
        <w:rPr>
          <w:rFonts w:hint="eastAsia"/>
          <w:sz w:val="24"/>
          <w:szCs w:val="22"/>
          <w:highlight w:val="none"/>
          <w:lang w:val="en-US" w:eastAsia="zh-CN"/>
        </w:rPr>
        <w:t>斗门区市民服务中心</w:t>
      </w:r>
      <w:r>
        <w:rPr>
          <w:rFonts w:hint="eastAsia"/>
          <w:sz w:val="24"/>
          <w:szCs w:val="22"/>
          <w:highlight w:val="none"/>
        </w:rPr>
        <w:t>配套信息化建设，是满足</w:t>
      </w:r>
      <w:r>
        <w:rPr>
          <w:rFonts w:hint="eastAsia"/>
          <w:sz w:val="24"/>
          <w:szCs w:val="22"/>
          <w:highlight w:val="none"/>
          <w:lang w:val="en-US" w:eastAsia="zh-CN"/>
        </w:rPr>
        <w:t>斗门区</w:t>
      </w:r>
      <w:r>
        <w:rPr>
          <w:rFonts w:hint="eastAsia"/>
          <w:sz w:val="24"/>
          <w:szCs w:val="22"/>
          <w:highlight w:val="none"/>
        </w:rPr>
        <w:t>市民服务中心进驻启用的基础条件，是满足政务</w:t>
      </w:r>
      <w:r>
        <w:rPr>
          <w:rFonts w:hint="eastAsia"/>
          <w:highlight w:val="none"/>
        </w:rPr>
        <w:t>服务线上线下融合的重要支撑，是按时按质建设好</w:t>
      </w:r>
      <w:r>
        <w:rPr>
          <w:rFonts w:hint="eastAsia"/>
          <w:highlight w:val="none"/>
          <w:lang w:val="en-US" w:eastAsia="zh-CN"/>
        </w:rPr>
        <w:t>区</w:t>
      </w:r>
      <w:r>
        <w:rPr>
          <w:rFonts w:hint="eastAsia"/>
          <w:highlight w:val="none"/>
        </w:rPr>
        <w:t>级市民服务中心的重要保障。</w:t>
      </w:r>
    </w:p>
    <w:p>
      <w:pPr>
        <w:pStyle w:val="4"/>
        <w:rPr>
          <w:highlight w:val="none"/>
        </w:rPr>
      </w:pPr>
      <w:bookmarkStart w:id="120" w:name="_Toc1353"/>
      <w:bookmarkStart w:id="121" w:name="_Toc16356"/>
      <w:bookmarkStart w:id="122" w:name="_Toc13698"/>
      <w:bookmarkStart w:id="123" w:name="_Toc2456"/>
      <w:bookmarkStart w:id="124" w:name="_Toc22758"/>
      <w:bookmarkStart w:id="125" w:name="_Toc17467"/>
      <w:bookmarkStart w:id="126" w:name="_Toc23445"/>
      <w:bookmarkStart w:id="127" w:name="_Toc31975"/>
      <w:bookmarkStart w:id="128" w:name="_Toc9062"/>
      <w:bookmarkStart w:id="129" w:name="_Toc11050"/>
      <w:bookmarkStart w:id="130" w:name="_Toc24117"/>
      <w:r>
        <w:rPr>
          <w:rFonts w:hint="eastAsia"/>
          <w:highlight w:val="none"/>
        </w:rPr>
        <w:t>是深化“放管服”改革，优化营商环境，建设人民满意的服务型政府的需要</w:t>
      </w:r>
      <w:bookmarkEnd w:id="120"/>
      <w:bookmarkEnd w:id="121"/>
      <w:bookmarkEnd w:id="122"/>
      <w:bookmarkEnd w:id="123"/>
      <w:bookmarkEnd w:id="124"/>
      <w:bookmarkEnd w:id="125"/>
      <w:bookmarkEnd w:id="126"/>
      <w:bookmarkEnd w:id="127"/>
      <w:bookmarkEnd w:id="128"/>
      <w:bookmarkEnd w:id="129"/>
      <w:bookmarkEnd w:id="130"/>
    </w:p>
    <w:p>
      <w:pPr>
        <w:ind w:firstLine="480"/>
        <w:rPr>
          <w:highlight w:val="none"/>
        </w:rPr>
      </w:pPr>
      <w:r>
        <w:rPr>
          <w:rFonts w:hint="eastAsia"/>
          <w:highlight w:val="none"/>
        </w:rPr>
        <w:t>党的十九大报告要求，转变政府职能，深化简政放权，创新监管方式，增强政府公信力和执行力，建设人民满意的服务型政府。深化“放管服”改革，助力市场主体进一步恢复元气，通过固本培元、稳定预期，着力培育和激发市场主体活力，不仅对当下稳住就业和经济基本盘形成有力支撑，也为进入新发展阶段、贯彻新发展理念、构建新发展格局、推动高质量发展打下坚实基础。</w:t>
      </w:r>
    </w:p>
    <w:p>
      <w:pPr>
        <w:ind w:firstLine="480"/>
        <w:rPr>
          <w:highlight w:val="none"/>
        </w:rPr>
      </w:pPr>
      <w:r>
        <w:rPr>
          <w:rFonts w:hint="eastAsia"/>
          <w:highlight w:val="none"/>
        </w:rPr>
        <w:t>通过大力推进“互联网+政务服务”，加快构建线上线下融合的一体化政务服务体系，是深入推进“放管服”改革的关键举措。项目重点从解决企业和群众业务痛点出发，以业务汇聚、数据汇聚、服务优化为切入点，巩固现有政务服务优势，补齐政务服务短板，有利于进一步优化营商环境，进一步降低制度性交易成本，为企业和群众创业营造更好的环境，进一步激发社会和市场活力，为经济社会发展注入新的动能。</w:t>
      </w:r>
    </w:p>
    <w:p>
      <w:pPr>
        <w:pStyle w:val="4"/>
        <w:rPr>
          <w:highlight w:val="none"/>
        </w:rPr>
      </w:pPr>
      <w:bookmarkStart w:id="131" w:name="_Toc29719"/>
      <w:bookmarkStart w:id="132" w:name="_Toc31678"/>
      <w:bookmarkStart w:id="133" w:name="_Toc16756"/>
      <w:bookmarkStart w:id="134" w:name="_Toc2499"/>
      <w:bookmarkStart w:id="135" w:name="_Toc7714"/>
      <w:bookmarkStart w:id="136" w:name="_Toc8968"/>
      <w:bookmarkStart w:id="137" w:name="_Toc23638"/>
      <w:bookmarkStart w:id="138" w:name="_Toc17083"/>
      <w:bookmarkStart w:id="139" w:name="_Toc3458"/>
      <w:bookmarkStart w:id="140" w:name="_Toc31271"/>
      <w:bookmarkStart w:id="141" w:name="_Toc5923"/>
      <w:r>
        <w:rPr>
          <w:rFonts w:hint="eastAsia"/>
          <w:highlight w:val="none"/>
        </w:rPr>
        <w:t>是响应国家和广东省要求加快推进政务服务标准化规范化便利化的需要</w:t>
      </w:r>
      <w:bookmarkEnd w:id="131"/>
      <w:bookmarkEnd w:id="132"/>
      <w:bookmarkEnd w:id="133"/>
      <w:bookmarkEnd w:id="134"/>
      <w:bookmarkEnd w:id="135"/>
      <w:bookmarkEnd w:id="136"/>
      <w:bookmarkEnd w:id="137"/>
      <w:bookmarkEnd w:id="138"/>
      <w:bookmarkEnd w:id="139"/>
      <w:bookmarkEnd w:id="140"/>
      <w:bookmarkEnd w:id="141"/>
    </w:p>
    <w:p>
      <w:pPr>
        <w:ind w:firstLine="480"/>
        <w:rPr>
          <w:highlight w:val="none"/>
        </w:rPr>
      </w:pPr>
      <w:r>
        <w:rPr>
          <w:rFonts w:hint="eastAsia"/>
          <w:highlight w:val="none"/>
        </w:rPr>
        <w:t>根据《国</w:t>
      </w:r>
      <w:r>
        <w:rPr>
          <w:highlight w:val="none"/>
        </w:rPr>
        <w:t>务院关于加快推进政务服务标准化规范化便利化的指导意见</w:t>
      </w:r>
      <w:r>
        <w:rPr>
          <w:rFonts w:hint="eastAsia"/>
          <w:highlight w:val="none"/>
        </w:rPr>
        <w:t>》（</w:t>
      </w:r>
      <w:r>
        <w:rPr>
          <w:highlight w:val="none"/>
        </w:rPr>
        <w:t>国发〔2022〕5号</w:t>
      </w:r>
      <w:r>
        <w:rPr>
          <w:rFonts w:hint="eastAsia"/>
          <w:highlight w:val="none"/>
        </w:rPr>
        <w:t>）和《广东省人民政府关于印发广东省加快推进政务服务标准化规范化便利化工作实施方案的通知》（粤府函〔2022〕290号），要求推进政务服务标准化、政务服务规范化、政务服务便利化、全面提升统一申办受理平台服务能力。本项目的建设是积极响应落实国家和省的工作部署，有利于加快推进珠海市政务服务标准化、规范化、便利化水平大幅提升，</w:t>
      </w:r>
      <w:r>
        <w:rPr>
          <w:rFonts w:hint="eastAsia"/>
          <w:highlight w:val="none"/>
          <w:lang w:val="en-US" w:eastAsia="zh-CN"/>
        </w:rPr>
        <w:t>通过建设市民服务中心基础配套设施设备，为实现</w:t>
      </w:r>
      <w:r>
        <w:rPr>
          <w:rFonts w:hint="eastAsia"/>
          <w:highlight w:val="none"/>
        </w:rPr>
        <w:t>政务服务线上线下深度融合</w:t>
      </w:r>
      <w:r>
        <w:rPr>
          <w:rFonts w:hint="eastAsia"/>
          <w:highlight w:val="none"/>
          <w:lang w:eastAsia="zh-CN"/>
        </w:rPr>
        <w:t>，</w:t>
      </w:r>
      <w:r>
        <w:rPr>
          <w:rFonts w:hint="eastAsia"/>
          <w:highlight w:val="none"/>
          <w:lang w:val="en-US" w:eastAsia="zh-CN"/>
        </w:rPr>
        <w:t>建设</w:t>
      </w:r>
      <w:r>
        <w:rPr>
          <w:rFonts w:hint="eastAsia"/>
          <w:highlight w:val="none"/>
        </w:rPr>
        <w:t>协调发展，方便快捷、公平普惠、优质高效的政务服务体系</w:t>
      </w:r>
      <w:r>
        <w:rPr>
          <w:rFonts w:hint="eastAsia"/>
          <w:highlight w:val="none"/>
          <w:lang w:val="en-US" w:eastAsia="zh-CN"/>
        </w:rPr>
        <w:t>提供必要的支撑</w:t>
      </w:r>
      <w:r>
        <w:rPr>
          <w:rFonts w:hint="eastAsia"/>
          <w:highlight w:val="none"/>
        </w:rPr>
        <w:t>。</w:t>
      </w:r>
    </w:p>
    <w:p>
      <w:pPr>
        <w:pStyle w:val="4"/>
        <w:rPr>
          <w:highlight w:val="none"/>
        </w:rPr>
      </w:pPr>
      <w:bookmarkStart w:id="142" w:name="_Toc5249"/>
      <w:bookmarkStart w:id="143" w:name="_Toc31711"/>
      <w:bookmarkStart w:id="144" w:name="_Toc26338"/>
      <w:bookmarkStart w:id="145" w:name="_Toc22822"/>
      <w:bookmarkStart w:id="146" w:name="_Toc31419"/>
      <w:bookmarkStart w:id="147" w:name="_Toc17754"/>
      <w:bookmarkStart w:id="148" w:name="_Toc8485"/>
      <w:bookmarkStart w:id="149" w:name="_Toc32647"/>
      <w:bookmarkStart w:id="150" w:name="_Toc9912"/>
      <w:bookmarkStart w:id="151" w:name="_Toc22528"/>
      <w:bookmarkStart w:id="152" w:name="_Toc31197"/>
      <w:r>
        <w:rPr>
          <w:rFonts w:hint="eastAsia"/>
          <w:highlight w:val="none"/>
        </w:rPr>
        <w:t>是加强政府机构行政服务监督，建立阳光行政的需要</w:t>
      </w:r>
      <w:bookmarkEnd w:id="142"/>
      <w:bookmarkEnd w:id="143"/>
      <w:bookmarkEnd w:id="144"/>
      <w:bookmarkEnd w:id="145"/>
      <w:bookmarkEnd w:id="146"/>
      <w:bookmarkEnd w:id="147"/>
      <w:bookmarkEnd w:id="148"/>
      <w:bookmarkEnd w:id="149"/>
      <w:bookmarkEnd w:id="150"/>
      <w:bookmarkEnd w:id="151"/>
      <w:bookmarkEnd w:id="152"/>
    </w:p>
    <w:p>
      <w:pPr>
        <w:ind w:firstLine="480"/>
        <w:rPr>
          <w:highlight w:val="none"/>
        </w:rPr>
      </w:pPr>
      <w:r>
        <w:rPr>
          <w:rFonts w:hint="eastAsia"/>
          <w:highlight w:val="none"/>
        </w:rPr>
        <w:t>《“互联网+政务服务”技术体系建设指南》（国办〔2016〕108号）明确提出了评价考核体系的建设内容，这是促进政务服务运行规范、程序严密、过程透明、结果公开、监督有力目标的重要环节。通过</w:t>
      </w:r>
      <w:r>
        <w:rPr>
          <w:rFonts w:hint="eastAsia"/>
          <w:highlight w:val="none"/>
          <w:lang w:val="en-US" w:eastAsia="zh-CN"/>
        </w:rPr>
        <w:t>视频监控</w:t>
      </w:r>
      <w:r>
        <w:rPr>
          <w:rFonts w:hint="eastAsia"/>
          <w:highlight w:val="none"/>
        </w:rPr>
        <w:t>系统的建设，加强政务服务全流程电子监察，实现对所有运行过程实时监测，提升窗口人员精细化管理，实现对权力运行的制约和监督，促使行政权力在阳光下运行，提高公共服务的效率，提升政府机构服务形象。</w:t>
      </w:r>
    </w:p>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Pr>
        <w:pStyle w:val="2"/>
        <w:rPr>
          <w:highlight w:val="none"/>
        </w:rPr>
      </w:pPr>
      <w:bookmarkStart w:id="153" w:name="_Toc3381"/>
      <w:bookmarkStart w:id="154" w:name="_Toc32351"/>
      <w:bookmarkStart w:id="155" w:name="_Toc30909"/>
      <w:bookmarkStart w:id="156" w:name="_Toc21978"/>
      <w:bookmarkStart w:id="157" w:name="_Toc12272"/>
      <w:bookmarkStart w:id="158" w:name="_Toc19017"/>
      <w:bookmarkStart w:id="159" w:name="_Toc26087"/>
      <w:bookmarkStart w:id="160" w:name="_Toc4245"/>
      <w:bookmarkStart w:id="161" w:name="_Toc31662"/>
      <w:bookmarkStart w:id="162" w:name="_Toc25623"/>
      <w:bookmarkStart w:id="163" w:name="_Toc27749"/>
      <w:bookmarkStart w:id="164" w:name="_Toc528"/>
      <w:bookmarkStart w:id="165" w:name="_Toc2951"/>
      <w:bookmarkStart w:id="166" w:name="_Toc7424"/>
      <w:bookmarkStart w:id="167" w:name="_Toc9592"/>
      <w:bookmarkStart w:id="168" w:name="_Toc31730"/>
      <w:bookmarkStart w:id="169" w:name="_Toc10"/>
      <w:bookmarkStart w:id="170" w:name="_Toc6584"/>
      <w:bookmarkStart w:id="171" w:name="_Toc9195"/>
      <w:bookmarkStart w:id="172" w:name="_Toc24701"/>
      <w:bookmarkStart w:id="173" w:name="_Toc10439"/>
      <w:r>
        <w:rPr>
          <w:rFonts w:hint="eastAsia"/>
          <w:highlight w:val="none"/>
          <w:lang w:val="en-US" w:eastAsia="zh-CN"/>
        </w:rPr>
        <w:t>项目主要建设内容</w:t>
      </w:r>
      <w:bookmarkEnd w:id="153"/>
      <w:bookmarkEnd w:id="154"/>
      <w:bookmarkEnd w:id="155"/>
      <w:bookmarkEnd w:id="156"/>
    </w:p>
    <w:p>
      <w:pPr>
        <w:pStyle w:val="3"/>
        <w:rPr>
          <w:rFonts w:ascii="宋体" w:hAnsi="宋体" w:eastAsia="宋体"/>
          <w:highlight w:val="none"/>
        </w:rPr>
      </w:pPr>
      <w:bookmarkStart w:id="174" w:name="_Toc3308"/>
      <w:bookmarkStart w:id="175" w:name="_Toc9737"/>
      <w:bookmarkStart w:id="176" w:name="_Toc1348"/>
      <w:bookmarkStart w:id="177" w:name="_Toc7888"/>
      <w:bookmarkStart w:id="178" w:name="_Toc12622"/>
      <w:bookmarkStart w:id="179" w:name="_Toc12598"/>
      <w:bookmarkStart w:id="180" w:name="_Toc29083"/>
      <w:bookmarkStart w:id="181" w:name="_Toc22283"/>
      <w:bookmarkStart w:id="182" w:name="_Toc7415"/>
      <w:bookmarkStart w:id="183" w:name="_Toc27824"/>
      <w:bookmarkStart w:id="184" w:name="_Toc7631"/>
      <w:bookmarkStart w:id="185" w:name="_Toc89"/>
      <w:bookmarkStart w:id="186" w:name="_Toc30954"/>
      <w:bookmarkStart w:id="187" w:name="_Toc26280"/>
      <w:bookmarkStart w:id="188" w:name="_Toc28944"/>
      <w:bookmarkStart w:id="189" w:name="_Toc8842"/>
      <w:bookmarkStart w:id="190" w:name="_Toc6164"/>
      <w:r>
        <w:rPr>
          <w:rFonts w:hint="eastAsia" w:ascii="宋体" w:hAnsi="宋体" w:eastAsia="宋体"/>
          <w:highlight w:val="none"/>
          <w:lang w:val="en-US" w:eastAsia="zh-CN"/>
        </w:rPr>
        <w:t>建设原则和策略</w:t>
      </w:r>
      <w:bookmarkEnd w:id="174"/>
      <w:bookmarkEnd w:id="175"/>
      <w:bookmarkEnd w:id="176"/>
      <w:bookmarkEnd w:id="177"/>
    </w:p>
    <w:p>
      <w:pPr>
        <w:pStyle w:val="4"/>
        <w:bidi w:val="0"/>
      </w:pPr>
      <w:bookmarkStart w:id="191" w:name="_Toc30703"/>
      <w:bookmarkStart w:id="192" w:name="_Toc4777"/>
      <w:bookmarkStart w:id="193" w:name="_Toc2359"/>
      <w:bookmarkStart w:id="194" w:name="_Toc27518"/>
      <w:r>
        <w:rPr>
          <w:rFonts w:hint="eastAsia"/>
          <w:lang w:val="en-US" w:eastAsia="zh-CN"/>
        </w:rPr>
        <w:t>建设原则</w:t>
      </w:r>
      <w:bookmarkEnd w:id="178"/>
      <w:bookmarkEnd w:id="179"/>
      <w:bookmarkEnd w:id="180"/>
      <w:bookmarkEnd w:id="181"/>
      <w:bookmarkEnd w:id="182"/>
      <w:bookmarkEnd w:id="183"/>
      <w:bookmarkEnd w:id="184"/>
      <w:bookmarkEnd w:id="185"/>
      <w:bookmarkEnd w:id="186"/>
      <w:bookmarkEnd w:id="187"/>
      <w:bookmarkEnd w:id="188"/>
      <w:bookmarkEnd w:id="191"/>
      <w:bookmarkEnd w:id="192"/>
      <w:bookmarkEnd w:id="193"/>
      <w:bookmarkEnd w:id="194"/>
    </w:p>
    <w:p>
      <w:pPr>
        <w:pStyle w:val="5"/>
        <w:spacing w:before="0"/>
        <w:rPr>
          <w:highlight w:val="none"/>
        </w:rPr>
      </w:pPr>
      <w:bookmarkStart w:id="195" w:name="_Toc12382"/>
      <w:bookmarkStart w:id="196" w:name="_Toc19078"/>
      <w:bookmarkStart w:id="197" w:name="_Toc3163"/>
      <w:bookmarkStart w:id="198" w:name="_Toc1514"/>
      <w:bookmarkStart w:id="199" w:name="_Toc11612"/>
      <w:bookmarkStart w:id="200" w:name="_Toc18423"/>
      <w:bookmarkStart w:id="201" w:name="_Toc25300"/>
      <w:bookmarkStart w:id="202" w:name="_Toc16201"/>
      <w:bookmarkStart w:id="203" w:name="_Toc10590"/>
      <w:bookmarkStart w:id="204" w:name="_Toc17175"/>
      <w:bookmarkStart w:id="205" w:name="_Toc27103"/>
      <w:bookmarkStart w:id="206" w:name="_Toc10234"/>
      <w:bookmarkStart w:id="207" w:name="_Toc8570"/>
      <w:bookmarkStart w:id="208" w:name="_Toc3368"/>
      <w:bookmarkStart w:id="209" w:name="_Toc8275"/>
      <w:r>
        <w:rPr>
          <w:rFonts w:hint="eastAsia"/>
          <w:highlight w:val="none"/>
        </w:rPr>
        <w:t>以国产化技术路线为基本原则</w:t>
      </w:r>
      <w:bookmarkEnd w:id="195"/>
      <w:bookmarkEnd w:id="196"/>
      <w:bookmarkEnd w:id="197"/>
      <w:bookmarkEnd w:id="198"/>
      <w:bookmarkEnd w:id="199"/>
      <w:bookmarkEnd w:id="200"/>
    </w:p>
    <w:p>
      <w:pPr>
        <w:ind w:firstLine="480"/>
        <w:rPr>
          <w:highlight w:val="none"/>
        </w:rPr>
      </w:pPr>
      <w:r>
        <w:rPr>
          <w:rFonts w:hint="eastAsia"/>
          <w:highlight w:val="none"/>
        </w:rPr>
        <w:t>项目建设过程中应坚持以国产化技术路线为基本的原则。核心设备如交换机、网络安全设备、服务器等硬件优先采购以国产化芯片为核心的设备，应采用配套的国产化操作系统、浏览器。</w:t>
      </w:r>
      <w:r>
        <w:rPr>
          <w:rFonts w:hint="eastAsia"/>
          <w:highlight w:val="none"/>
          <w:lang w:val="en-US" w:eastAsia="zh-CN"/>
        </w:rPr>
        <w:t>涉及到</w:t>
      </w:r>
      <w:r>
        <w:rPr>
          <w:rFonts w:hint="eastAsia"/>
          <w:highlight w:val="none"/>
        </w:rPr>
        <w:t>新开发的应用系统应部署到国产化云环境上，基于国产化数据库、中间件、服务器操作系统进行开发部署，基于国产化密码设备或云服务进行开发部署。</w:t>
      </w:r>
    </w:p>
    <w:p>
      <w:pPr>
        <w:pStyle w:val="5"/>
        <w:spacing w:before="0"/>
        <w:rPr>
          <w:highlight w:val="none"/>
        </w:rPr>
      </w:pPr>
      <w:bookmarkStart w:id="210" w:name="_Toc17785"/>
      <w:bookmarkStart w:id="211" w:name="_Toc17780"/>
      <w:bookmarkStart w:id="212" w:name="_Toc19170"/>
      <w:bookmarkStart w:id="213" w:name="_Toc31535"/>
      <w:bookmarkStart w:id="214" w:name="_Toc20457"/>
      <w:bookmarkStart w:id="215" w:name="_Toc59"/>
      <w:r>
        <w:rPr>
          <w:rFonts w:hint="eastAsia"/>
          <w:highlight w:val="none"/>
          <w:lang w:val="en-US" w:eastAsia="zh-CN"/>
        </w:rPr>
        <w:t>集约节约建设的原则</w:t>
      </w:r>
      <w:bookmarkEnd w:id="210"/>
      <w:bookmarkEnd w:id="211"/>
      <w:bookmarkEnd w:id="212"/>
      <w:bookmarkEnd w:id="213"/>
    </w:p>
    <w:p>
      <w:pPr>
        <w:rPr>
          <w:rFonts w:hint="default"/>
          <w:lang w:val="en-US"/>
        </w:rPr>
      </w:pPr>
      <w:r>
        <w:rPr>
          <w:rFonts w:hint="eastAsia"/>
          <w:highlight w:val="none"/>
          <w:lang w:val="en-US" w:eastAsia="zh-CN"/>
        </w:rPr>
        <w:t>项目在建设的过程中，应遵循集约节约建设的原则，充分考虑已建设软硬件情况，充分利用省、市已建功能能力平台和数据资源，充分利旧现有信息化设备，</w:t>
      </w:r>
      <w:r>
        <w:rPr>
          <w:rFonts w:hint="eastAsia"/>
          <w:highlight w:val="none"/>
        </w:rPr>
        <w:t>预留与现有系统升级对接的接口</w:t>
      </w:r>
      <w:r>
        <w:rPr>
          <w:rFonts w:hint="eastAsia"/>
          <w:highlight w:val="none"/>
          <w:lang w:eastAsia="zh-CN"/>
        </w:rPr>
        <w:t>，</w:t>
      </w:r>
      <w:r>
        <w:rPr>
          <w:rFonts w:hint="eastAsia"/>
          <w:highlight w:val="none"/>
          <w:lang w:val="en-US" w:eastAsia="zh-CN"/>
        </w:rPr>
        <w:t>避免重复建设，高效节约使用政府资金。</w:t>
      </w:r>
    </w:p>
    <w:p>
      <w:pPr>
        <w:pStyle w:val="5"/>
        <w:spacing w:before="0"/>
        <w:rPr>
          <w:highlight w:val="none"/>
        </w:rPr>
      </w:pPr>
      <w:bookmarkStart w:id="216" w:name="_Toc5468"/>
      <w:bookmarkStart w:id="217" w:name="_Toc2034"/>
      <w:bookmarkStart w:id="218" w:name="_Toc11954"/>
      <w:bookmarkStart w:id="219" w:name="_Toc16350"/>
      <w:r>
        <w:rPr>
          <w:rFonts w:hint="eastAsia"/>
          <w:highlight w:val="none"/>
        </w:rPr>
        <w:t>先进性和实用性并重原则</w:t>
      </w:r>
      <w:bookmarkEnd w:id="201"/>
      <w:bookmarkEnd w:id="202"/>
      <w:bookmarkEnd w:id="203"/>
      <w:bookmarkEnd w:id="204"/>
      <w:bookmarkEnd w:id="205"/>
      <w:bookmarkEnd w:id="206"/>
      <w:bookmarkEnd w:id="207"/>
      <w:bookmarkEnd w:id="208"/>
      <w:bookmarkEnd w:id="209"/>
      <w:bookmarkEnd w:id="214"/>
      <w:bookmarkEnd w:id="215"/>
      <w:bookmarkEnd w:id="216"/>
      <w:bookmarkEnd w:id="217"/>
      <w:bookmarkEnd w:id="218"/>
      <w:bookmarkEnd w:id="219"/>
    </w:p>
    <w:p>
      <w:pPr>
        <w:ind w:firstLine="480"/>
        <w:rPr>
          <w:highlight w:val="none"/>
        </w:rPr>
      </w:pPr>
      <w:r>
        <w:rPr>
          <w:rFonts w:hint="eastAsia"/>
          <w:highlight w:val="none"/>
        </w:rPr>
        <w:t>应用系统设计坚持采用先进的技术，以提高整体效率。同时，在兼顾技术先进性的基础上，坚持以需求为导向，讲求实际应用效果，不片面追求高、尖技术的尝试，尽可能采用成熟技术，以保证架构设计的可靠性和稳定性。</w:t>
      </w:r>
    </w:p>
    <w:p>
      <w:pPr>
        <w:pStyle w:val="5"/>
        <w:spacing w:before="0"/>
        <w:rPr>
          <w:highlight w:val="none"/>
        </w:rPr>
      </w:pPr>
      <w:bookmarkStart w:id="220" w:name="_Toc17480"/>
      <w:bookmarkStart w:id="221" w:name="_Toc30257"/>
      <w:bookmarkStart w:id="222" w:name="_Toc13001"/>
      <w:bookmarkStart w:id="223" w:name="_Toc9095"/>
      <w:bookmarkStart w:id="224" w:name="_Toc1905"/>
      <w:bookmarkStart w:id="225" w:name="_Toc24763"/>
      <w:bookmarkStart w:id="226" w:name="_Toc28806"/>
      <w:bookmarkStart w:id="227" w:name="_Toc3997"/>
      <w:bookmarkStart w:id="228" w:name="_Toc15385"/>
      <w:bookmarkStart w:id="229" w:name="_Toc31409"/>
      <w:bookmarkStart w:id="230" w:name="_Toc19230"/>
      <w:bookmarkStart w:id="231" w:name="_Toc13235"/>
      <w:bookmarkStart w:id="232" w:name="_Toc30589"/>
      <w:bookmarkStart w:id="233" w:name="_Toc29835"/>
      <w:bookmarkStart w:id="234" w:name="_Toc17381"/>
      <w:r>
        <w:rPr>
          <w:rFonts w:hint="eastAsia"/>
          <w:highlight w:val="none"/>
        </w:rPr>
        <w:t>标准化和规范化原则</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pPr>
        <w:ind w:firstLine="480"/>
        <w:rPr>
          <w:highlight w:val="none"/>
        </w:rPr>
      </w:pPr>
      <w:r>
        <w:rPr>
          <w:rFonts w:hint="eastAsia"/>
          <w:highlight w:val="none"/>
        </w:rPr>
        <w:t>应用系统设计工作要严格遵循国家、行业的有关技术标准和规范，在统一的标准和规范条件下进行建设，以确保建成的系统具有开放性、兼容性和可扩展性，为各个业务应用系统在应用和数据方面的集成提供前提条件，实现信息资源的共享和利用。</w:t>
      </w:r>
    </w:p>
    <w:p>
      <w:pPr>
        <w:pStyle w:val="5"/>
        <w:spacing w:before="0"/>
        <w:rPr>
          <w:highlight w:val="none"/>
        </w:rPr>
      </w:pPr>
      <w:bookmarkStart w:id="235" w:name="_Toc23732"/>
      <w:bookmarkStart w:id="236" w:name="_Toc24430"/>
      <w:bookmarkStart w:id="237" w:name="_Toc16641"/>
      <w:bookmarkStart w:id="238" w:name="_Toc9145"/>
      <w:bookmarkStart w:id="239" w:name="_Toc19550"/>
      <w:bookmarkStart w:id="240" w:name="_Toc24950"/>
      <w:bookmarkStart w:id="241" w:name="_Toc12047"/>
      <w:bookmarkStart w:id="242" w:name="_Toc16179"/>
      <w:bookmarkStart w:id="243" w:name="_Toc3319"/>
      <w:bookmarkStart w:id="244" w:name="_Toc15405"/>
      <w:bookmarkStart w:id="245" w:name="_Toc12471"/>
      <w:bookmarkStart w:id="246" w:name="_Toc31288"/>
      <w:bookmarkStart w:id="247" w:name="_Toc26261"/>
      <w:bookmarkStart w:id="248" w:name="_Toc14429"/>
      <w:bookmarkStart w:id="249" w:name="_Toc17687"/>
      <w:r>
        <w:rPr>
          <w:rFonts w:hint="eastAsia"/>
          <w:highlight w:val="none"/>
        </w:rPr>
        <w:t>可伸缩性和可扩展性原则</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pPr>
        <w:ind w:firstLine="480"/>
        <w:rPr>
          <w:highlight w:val="none"/>
        </w:rPr>
      </w:pPr>
      <w:r>
        <w:rPr>
          <w:rFonts w:hint="eastAsia"/>
          <w:highlight w:val="none"/>
        </w:rPr>
        <w:t>架构设计应充分考虑将来的扩展需要，保证未来业务发展的空间。功能设计应尽可能采用模块化并预留适当的接口。由于管理业务可能经常发生变化，因此在组件的建设过程中应结合分布式应用的特点，增加组件的伸缩性和可重用性，以方便维护。</w:t>
      </w:r>
    </w:p>
    <w:p>
      <w:pPr>
        <w:pStyle w:val="5"/>
        <w:spacing w:before="0"/>
        <w:rPr>
          <w:highlight w:val="none"/>
        </w:rPr>
      </w:pPr>
      <w:bookmarkStart w:id="250" w:name="_Toc21278"/>
      <w:bookmarkStart w:id="251" w:name="_Toc4062"/>
      <w:bookmarkStart w:id="252" w:name="_Toc19709"/>
      <w:bookmarkStart w:id="253" w:name="_Toc18124"/>
      <w:bookmarkStart w:id="254" w:name="_Toc19366"/>
      <w:bookmarkStart w:id="255" w:name="_Toc3625"/>
      <w:bookmarkStart w:id="256" w:name="_Toc17333"/>
      <w:bookmarkStart w:id="257" w:name="_Toc10623"/>
      <w:bookmarkStart w:id="258" w:name="_Toc23588"/>
      <w:bookmarkStart w:id="259" w:name="_Toc27127"/>
      <w:bookmarkStart w:id="260" w:name="_Toc17809"/>
      <w:bookmarkStart w:id="261" w:name="_Toc21170"/>
      <w:bookmarkStart w:id="262" w:name="_Toc13923"/>
      <w:bookmarkStart w:id="263" w:name="_Toc20142"/>
      <w:bookmarkStart w:id="264" w:name="_Toc5882"/>
      <w:r>
        <w:rPr>
          <w:rFonts w:hint="eastAsia"/>
          <w:highlight w:val="none"/>
        </w:rPr>
        <w:t>安全性和可靠性原则</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pPr>
        <w:ind w:firstLine="480"/>
        <w:rPr>
          <w:highlight w:val="none"/>
        </w:rPr>
      </w:pPr>
      <w:r>
        <w:rPr>
          <w:rFonts w:hint="eastAsia"/>
          <w:highlight w:val="none"/>
        </w:rPr>
        <w:t>系统建设要充分考虑系统各个层面的安全隐患，针对安全隐患要设计相应的安全措施，既能保证系统的安全运行；在系统运行时既要保证合法用户能访问其所需的信息，又要屏蔽和禁止非法用户的访问。在设计上采用恰当的技术手段为系统提供保护、监视、审计等手段。</w:t>
      </w:r>
    </w:p>
    <w:p>
      <w:pPr>
        <w:pStyle w:val="5"/>
        <w:spacing w:before="0"/>
        <w:rPr>
          <w:highlight w:val="none"/>
        </w:rPr>
      </w:pPr>
      <w:bookmarkStart w:id="265" w:name="_Toc29948"/>
      <w:bookmarkStart w:id="266" w:name="_Toc16646"/>
      <w:bookmarkStart w:id="267" w:name="_Toc30170"/>
      <w:bookmarkStart w:id="268" w:name="_Toc31402"/>
      <w:bookmarkStart w:id="269" w:name="_Toc20657"/>
      <w:bookmarkStart w:id="270" w:name="_Toc1217"/>
      <w:bookmarkStart w:id="271" w:name="_Toc11894"/>
      <w:bookmarkStart w:id="272" w:name="_Toc21308"/>
      <w:bookmarkStart w:id="273" w:name="_Toc32477"/>
      <w:bookmarkStart w:id="274" w:name="_Toc17394"/>
      <w:bookmarkStart w:id="275" w:name="_Toc22942"/>
      <w:bookmarkStart w:id="276" w:name="_Toc17115"/>
      <w:bookmarkStart w:id="277" w:name="_Toc21493"/>
      <w:bookmarkStart w:id="278" w:name="_Toc19812"/>
      <w:bookmarkStart w:id="279" w:name="_Toc22313"/>
      <w:r>
        <w:rPr>
          <w:rFonts w:hint="eastAsia"/>
          <w:highlight w:val="none"/>
        </w:rPr>
        <w:t>界面友好性和易用性原则</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pPr>
        <w:ind w:firstLine="480"/>
        <w:rPr>
          <w:highlight w:val="none"/>
        </w:rPr>
      </w:pPr>
      <w:r>
        <w:rPr>
          <w:rFonts w:hint="eastAsia"/>
          <w:highlight w:val="none"/>
        </w:rPr>
        <w:t>本项目中应用系统界面设计不仅遵循软件工程质量标准中对软件界面设计的要求，而且从用户体验出发，使界面设计满足用户通常的操作习惯。最终实现系统界面整齐简洁、层次清晰、一目了然，达到易用、好用的目的。</w:t>
      </w:r>
    </w:p>
    <w:p>
      <w:pPr>
        <w:pStyle w:val="5"/>
        <w:spacing w:before="0"/>
        <w:rPr>
          <w:highlight w:val="none"/>
        </w:rPr>
      </w:pPr>
      <w:bookmarkStart w:id="280" w:name="_Toc22023"/>
      <w:bookmarkStart w:id="281" w:name="_Toc29490"/>
      <w:bookmarkStart w:id="282" w:name="_Toc492"/>
      <w:bookmarkStart w:id="283" w:name="_Toc15204"/>
      <w:bookmarkStart w:id="284" w:name="_Toc27443"/>
      <w:bookmarkStart w:id="285" w:name="_Toc11360"/>
      <w:bookmarkStart w:id="286" w:name="_Toc2800"/>
      <w:bookmarkStart w:id="287" w:name="_Toc9537"/>
      <w:bookmarkStart w:id="288" w:name="_Toc21443"/>
      <w:bookmarkStart w:id="289" w:name="_Toc16805"/>
      <w:bookmarkStart w:id="290" w:name="_Toc30530"/>
      <w:bookmarkStart w:id="291" w:name="_Toc6411"/>
      <w:bookmarkStart w:id="292" w:name="_Toc31824"/>
      <w:bookmarkStart w:id="293" w:name="_Toc28698"/>
      <w:bookmarkStart w:id="294" w:name="_Toc22386"/>
      <w:r>
        <w:rPr>
          <w:rFonts w:hint="eastAsia"/>
          <w:highlight w:val="none"/>
        </w:rPr>
        <w:t>可管理性和可维护性原则</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pPr>
        <w:ind w:firstLine="480"/>
        <w:rPr>
          <w:rFonts w:hint="eastAsia"/>
          <w:highlight w:val="none"/>
        </w:rPr>
      </w:pPr>
      <w:r>
        <w:rPr>
          <w:rFonts w:hint="eastAsia"/>
          <w:highlight w:val="none"/>
        </w:rPr>
        <w:t>本项目是一个跨部门、跨区域的覆盖面比较广、涉及部门比较多的系统。系统对不同性质用户、系统运行状态、数据资源等应具有良好的可管理性和可维护性。</w:t>
      </w:r>
    </w:p>
    <w:p>
      <w:pPr>
        <w:pStyle w:val="4"/>
        <w:bidi w:val="0"/>
        <w:rPr>
          <w:rFonts w:hint="default"/>
          <w:lang w:val="en-US" w:eastAsia="zh-CN"/>
        </w:rPr>
      </w:pPr>
      <w:bookmarkStart w:id="295" w:name="_Toc1700"/>
      <w:bookmarkStart w:id="296" w:name="_Toc32742"/>
      <w:bookmarkStart w:id="297" w:name="_Toc3939"/>
      <w:bookmarkStart w:id="298" w:name="_Toc29388"/>
      <w:r>
        <w:rPr>
          <w:rFonts w:hint="eastAsia"/>
          <w:lang w:val="en-US" w:eastAsia="zh-CN"/>
        </w:rPr>
        <w:t>建设策略</w:t>
      </w:r>
      <w:bookmarkEnd w:id="295"/>
      <w:bookmarkEnd w:id="296"/>
      <w:bookmarkEnd w:id="297"/>
      <w:bookmarkEnd w:id="298"/>
    </w:p>
    <w:p>
      <w:pPr>
        <w:ind w:firstLine="480"/>
        <w:rPr>
          <w:rFonts w:hint="eastAsia"/>
          <w:highlight w:val="none"/>
          <w:lang w:val="en-US" w:eastAsia="zh-CN"/>
        </w:rPr>
      </w:pPr>
      <w:r>
        <w:rPr>
          <w:rFonts w:hint="eastAsia"/>
          <w:highlight w:val="none"/>
          <w:lang w:val="en-US" w:eastAsia="zh-CN"/>
        </w:rPr>
        <w:t>珠海市统一申办受理平台整合了预约、排队、叫号、受理、评价等功能，构建了市、区、镇、村四级统一政务服务体系，提高了政务服务标准化、规范化和便利性，更好的满足企业和群众多层次多样化的服务需求。建设模块有“统一预约、统一取号叫号、统一办件、统一评价、统一监管”。市统一申办受理平台提供标准的对接规范，自建系统需按规范进行对接开发，以实现全市数据按统一标准进行沉淀管理。</w:t>
      </w:r>
    </w:p>
    <w:p>
      <w:pPr>
        <w:widowControl w:val="0"/>
        <w:spacing w:line="360" w:lineRule="auto"/>
        <w:ind w:firstLine="480" w:firstLineChars="200"/>
        <w:jc w:val="both"/>
        <w:rPr>
          <w:rFonts w:hint="default" w:ascii="宋体" w:hAnsi="宋体" w:eastAsia="宋体" w:cs="宋体"/>
          <w:kern w:val="2"/>
          <w:sz w:val="24"/>
          <w:szCs w:val="22"/>
          <w:lang w:val="en-US" w:eastAsia="zh-CN" w:bidi="ar-SA"/>
        </w:rPr>
      </w:pPr>
      <w:r>
        <w:rPr>
          <w:rFonts w:hint="eastAsia"/>
          <w:highlight w:val="none"/>
          <w:lang w:val="en-US" w:eastAsia="zh-CN"/>
        </w:rPr>
        <w:t>斗门区市民服务中心在建设过程中，应遵循市政务和数据局“四级五统一”的要求，充分利用市统一申办受理平台已建设能力，避免重复建设。结合斗门区各部门信息化建设现状和需求，计划进驻后利用市统一申办受理平台的统一预约、统一取号叫号、统一评价、统一监管模块，统一办件沿用各部门现有系统。并结合斗门区市民服务中心部门窗口、等候区、后台办公区空间布局，按市统一申办受理平台设备接入标准，统一规划公共区域的取号机、排队叫号系统、自助办理设备、视频监控等设施设备。</w:t>
      </w:r>
      <w:r>
        <w:rPr>
          <w:rFonts w:ascii="宋体" w:hAnsi="宋体" w:eastAsia="宋体" w:cs="宋体"/>
          <w:b/>
          <w:bCs/>
          <w:kern w:val="2"/>
          <w:sz w:val="24"/>
          <w:szCs w:val="22"/>
          <w:lang w:bidi="ar-SA"/>
        </w:rPr>
        <w:t>本期新购置的设备必须确保与珠海市统一申办受理平台兼容。</w:t>
      </w:r>
    </w:p>
    <w:p>
      <w:pPr>
        <w:pStyle w:val="3"/>
        <w:rPr>
          <w:rFonts w:ascii="宋体" w:hAnsi="宋体" w:eastAsia="宋体"/>
          <w:kern w:val="0"/>
          <w:szCs w:val="20"/>
          <w:highlight w:val="none"/>
        </w:rPr>
      </w:pPr>
      <w:bookmarkStart w:id="299" w:name="_Toc7818"/>
      <w:bookmarkStart w:id="300" w:name="_Toc32360"/>
      <w:bookmarkStart w:id="301" w:name="_Toc16924"/>
      <w:bookmarkStart w:id="302" w:name="_Toc13049"/>
      <w:bookmarkStart w:id="303" w:name="_Toc1630"/>
      <w:bookmarkStart w:id="304" w:name="_Toc26738"/>
      <w:bookmarkStart w:id="305" w:name="_Toc16303"/>
      <w:bookmarkStart w:id="306" w:name="_Toc14181"/>
      <w:bookmarkStart w:id="307" w:name="_Toc8700"/>
      <w:bookmarkStart w:id="308" w:name="_Toc27"/>
      <w:bookmarkStart w:id="309" w:name="_Toc29900"/>
      <w:bookmarkStart w:id="310" w:name="_Toc19993"/>
      <w:bookmarkStart w:id="311" w:name="_Toc6736"/>
      <w:bookmarkStart w:id="312" w:name="_Toc461"/>
      <w:bookmarkStart w:id="313" w:name="_Toc2809"/>
      <w:bookmarkStart w:id="314" w:name="_Toc21132"/>
      <w:bookmarkStart w:id="315" w:name="_Toc19636"/>
      <w:r>
        <w:rPr>
          <w:rFonts w:hint="eastAsia" w:ascii="宋体" w:hAnsi="宋体" w:eastAsia="宋体"/>
          <w:kern w:val="0"/>
          <w:szCs w:val="20"/>
          <w:highlight w:val="none"/>
        </w:rPr>
        <w:t>总体</w:t>
      </w:r>
      <w:bookmarkEnd w:id="299"/>
      <w:bookmarkEnd w:id="300"/>
      <w:bookmarkEnd w:id="301"/>
      <w:bookmarkEnd w:id="302"/>
      <w:bookmarkEnd w:id="303"/>
      <w:bookmarkEnd w:id="304"/>
      <w:bookmarkEnd w:id="305"/>
      <w:bookmarkEnd w:id="306"/>
      <w:bookmarkEnd w:id="307"/>
      <w:bookmarkEnd w:id="308"/>
      <w:bookmarkEnd w:id="309"/>
      <w:bookmarkEnd w:id="310"/>
      <w:bookmarkEnd w:id="311"/>
      <w:r>
        <w:rPr>
          <w:rFonts w:hint="eastAsia" w:ascii="宋体" w:hAnsi="宋体" w:eastAsia="宋体"/>
          <w:kern w:val="0"/>
          <w:szCs w:val="20"/>
          <w:highlight w:val="none"/>
          <w:lang w:val="en-US" w:eastAsia="zh-CN"/>
        </w:rPr>
        <w:t>设计方案</w:t>
      </w:r>
      <w:bookmarkEnd w:id="312"/>
      <w:bookmarkEnd w:id="313"/>
      <w:bookmarkEnd w:id="314"/>
      <w:bookmarkEnd w:id="315"/>
    </w:p>
    <w:p>
      <w:pPr>
        <w:pStyle w:val="4"/>
        <w:rPr>
          <w:highlight w:val="none"/>
        </w:rPr>
      </w:pPr>
      <w:bookmarkStart w:id="316" w:name="_Toc5297"/>
      <w:bookmarkStart w:id="317" w:name="_Toc20852"/>
      <w:bookmarkStart w:id="318" w:name="_Toc25345"/>
      <w:bookmarkStart w:id="319" w:name="_Toc20502"/>
      <w:bookmarkStart w:id="320" w:name="_Toc351"/>
      <w:bookmarkStart w:id="321" w:name="_Toc21192"/>
      <w:bookmarkStart w:id="322" w:name="_Toc7894"/>
      <w:bookmarkStart w:id="323" w:name="_Toc15587"/>
      <w:bookmarkStart w:id="324" w:name="_Toc17362"/>
      <w:bookmarkStart w:id="325" w:name="_Toc25584"/>
      <w:bookmarkStart w:id="326" w:name="_Toc2309"/>
      <w:bookmarkStart w:id="327" w:name="_Toc1059"/>
      <w:bookmarkStart w:id="328" w:name="_Toc13328"/>
      <w:r>
        <w:rPr>
          <w:rFonts w:hint="eastAsia"/>
          <w:highlight w:val="none"/>
        </w:rPr>
        <w:t>总体架构</w:t>
      </w:r>
      <w:bookmarkEnd w:id="316"/>
      <w:bookmarkEnd w:id="317"/>
      <w:bookmarkEnd w:id="318"/>
      <w:bookmarkEnd w:id="319"/>
      <w:bookmarkEnd w:id="320"/>
      <w:bookmarkEnd w:id="321"/>
      <w:bookmarkEnd w:id="322"/>
      <w:bookmarkEnd w:id="323"/>
      <w:bookmarkEnd w:id="324"/>
      <w:bookmarkEnd w:id="325"/>
      <w:bookmarkEnd w:id="326"/>
      <w:bookmarkEnd w:id="327"/>
      <w:bookmarkEnd w:id="328"/>
    </w:p>
    <w:p>
      <w:pPr>
        <w:ind w:firstLine="480"/>
        <w:rPr>
          <w:highlight w:val="none"/>
        </w:rPr>
      </w:pPr>
      <w:r>
        <w:rPr>
          <w:rFonts w:hint="eastAsia"/>
          <w:highlight w:val="none"/>
        </w:rPr>
        <w:t>斗门区市民服务中心信息化工程项目是实现政务服务中心建设目标及任务的基本保障</w:t>
      </w:r>
      <w:r>
        <w:rPr>
          <w:rFonts w:hint="eastAsia"/>
          <w:highlight w:val="none"/>
          <w:lang w:eastAsia="zh-CN"/>
        </w:rPr>
        <w:t>，</w:t>
      </w:r>
      <w:r>
        <w:rPr>
          <w:rFonts w:hint="eastAsia"/>
          <w:highlight w:val="none"/>
        </w:rPr>
        <w:t>必须以信息化技术为手段着力解决企业和百姓办事的堵点、痛点、难点问题，</w:t>
      </w:r>
      <w:r>
        <w:rPr>
          <w:rFonts w:hint="eastAsia"/>
          <w:highlight w:val="none"/>
          <w:lang w:val="en-US" w:eastAsia="zh-CN"/>
        </w:rPr>
        <w:t>以信息化为支撑，进一步完善斗门区市民服务中心的信息化建设，提升政务服务水平和市民办事体验感</w:t>
      </w:r>
      <w:r>
        <w:rPr>
          <w:rFonts w:hint="eastAsia"/>
          <w:highlight w:val="none"/>
        </w:rPr>
        <w:t>。本项目在学习借鉴省内外先行地市经验的基础上，</w:t>
      </w:r>
      <w:r>
        <w:rPr>
          <w:rFonts w:hint="eastAsia"/>
          <w:highlight w:val="none"/>
          <w:lang w:val="en-US" w:eastAsia="zh-CN"/>
        </w:rPr>
        <w:t>在充分利用市统一申办受理平台能力基础上，遵循市相关平台接口规范</w:t>
      </w:r>
      <w:r>
        <w:rPr>
          <w:rFonts w:hint="eastAsia"/>
          <w:highlight w:val="none"/>
        </w:rPr>
        <w:t>，</w:t>
      </w:r>
      <w:r>
        <w:rPr>
          <w:rFonts w:hint="eastAsia"/>
          <w:highlight w:val="none"/>
          <w:lang w:val="en-US" w:eastAsia="zh-CN"/>
        </w:rPr>
        <w:t>完善斗门区市民服务中心办事窗口、等候区、公共区域、自助区等区域的设施设备。</w:t>
      </w:r>
      <w:r>
        <w:rPr>
          <w:rFonts w:hint="eastAsia"/>
          <w:highlight w:val="none"/>
        </w:rPr>
        <w:t>本项目系统的总体架构图如下：</w:t>
      </w:r>
    </w:p>
    <w:p>
      <w:pPr>
        <w:ind w:firstLine="0" w:firstLineChars="0"/>
        <w:rPr>
          <w:highlight w:val="none"/>
        </w:rPr>
      </w:pPr>
      <w:r>
        <w:drawing>
          <wp:inline distT="0" distB="0" distL="114300" distR="114300">
            <wp:extent cx="5753735" cy="3062605"/>
            <wp:effectExtent l="0" t="0" r="6985" b="635"/>
            <wp:docPr id="4"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true"/>
                    </pic:cNvPicPr>
                  </pic:nvPicPr>
                  <pic:blipFill>
                    <a:blip r:embed="rId17"/>
                    <a:stretch>
                      <a:fillRect/>
                    </a:stretch>
                  </pic:blipFill>
                  <pic:spPr>
                    <a:xfrm>
                      <a:off x="0" y="0"/>
                      <a:ext cx="5753735" cy="3062605"/>
                    </a:xfrm>
                    <a:prstGeom prst="rect">
                      <a:avLst/>
                    </a:prstGeom>
                    <a:noFill/>
                    <a:ln>
                      <a:noFill/>
                    </a:ln>
                  </pic:spPr>
                </pic:pic>
              </a:graphicData>
            </a:graphic>
          </wp:inline>
        </w:drawing>
      </w:r>
    </w:p>
    <w:p>
      <w:pPr>
        <w:keepNext/>
        <w:ind w:firstLine="420"/>
        <w:jc w:val="center"/>
        <w:rPr>
          <w:rFonts w:ascii="黑体" w:hAnsi="黑体" w:eastAsia="黑体" w:cs="黑体"/>
          <w:sz w:val="21"/>
          <w:szCs w:val="20"/>
          <w:highlight w:val="none"/>
        </w:rPr>
      </w:pPr>
      <w:r>
        <w:rPr>
          <w:rFonts w:hint="eastAsia" w:ascii="黑体" w:hAnsi="黑体" w:eastAsia="黑体" w:cs="黑体"/>
          <w:sz w:val="21"/>
          <w:szCs w:val="20"/>
          <w:highlight w:val="none"/>
        </w:rPr>
        <w:t>图</w:t>
      </w:r>
      <w:r>
        <w:rPr>
          <w:rFonts w:hint="eastAsia" w:ascii="黑体" w:hAnsi="黑体" w:eastAsia="黑体" w:cs="黑体"/>
          <w:sz w:val="21"/>
          <w:szCs w:val="20"/>
          <w:highlight w:val="none"/>
          <w:lang w:val="en-US" w:eastAsia="zh-CN"/>
        </w:rPr>
        <w:t>2.2</w:t>
      </w:r>
      <w:r>
        <w:rPr>
          <w:rFonts w:hint="eastAsia" w:ascii="黑体" w:hAnsi="黑体" w:eastAsia="黑体" w:cs="黑体"/>
          <w:sz w:val="21"/>
          <w:szCs w:val="20"/>
          <w:highlight w:val="none"/>
        </w:rPr>
        <w:noBreakHyphen/>
      </w:r>
      <w:r>
        <w:rPr>
          <w:rFonts w:hint="eastAsia" w:ascii="黑体" w:hAnsi="黑体" w:eastAsia="黑体" w:cs="黑体"/>
          <w:sz w:val="21"/>
          <w:szCs w:val="20"/>
          <w:highlight w:val="none"/>
        </w:rPr>
        <w:fldChar w:fldCharType="begin"/>
      </w:r>
      <w:r>
        <w:rPr>
          <w:rFonts w:hint="eastAsia" w:ascii="黑体" w:hAnsi="黑体" w:eastAsia="黑体" w:cs="黑体"/>
          <w:sz w:val="21"/>
          <w:szCs w:val="20"/>
          <w:highlight w:val="none"/>
        </w:rPr>
        <w:instrText xml:space="preserve"> SEQ 图 \* ARABIC \s 2 </w:instrText>
      </w:r>
      <w:r>
        <w:rPr>
          <w:rFonts w:hint="eastAsia" w:ascii="黑体" w:hAnsi="黑体" w:eastAsia="黑体" w:cs="黑体"/>
          <w:sz w:val="21"/>
          <w:szCs w:val="20"/>
          <w:highlight w:val="none"/>
        </w:rPr>
        <w:fldChar w:fldCharType="separate"/>
      </w:r>
      <w:r>
        <w:rPr>
          <w:rFonts w:hint="eastAsia" w:ascii="黑体" w:hAnsi="黑体" w:eastAsia="黑体" w:cs="黑体"/>
          <w:sz w:val="21"/>
          <w:szCs w:val="20"/>
          <w:highlight w:val="none"/>
        </w:rPr>
        <w:t>1</w:t>
      </w:r>
      <w:r>
        <w:rPr>
          <w:rFonts w:hint="eastAsia" w:ascii="黑体" w:hAnsi="黑体" w:eastAsia="黑体" w:cs="黑体"/>
          <w:sz w:val="21"/>
          <w:szCs w:val="20"/>
          <w:highlight w:val="none"/>
        </w:rPr>
        <w:fldChar w:fldCharType="end"/>
      </w:r>
      <w:r>
        <w:rPr>
          <w:rFonts w:hint="eastAsia" w:ascii="黑体" w:hAnsi="黑体" w:eastAsia="黑体" w:cs="黑体"/>
          <w:sz w:val="21"/>
          <w:szCs w:val="20"/>
          <w:highlight w:val="none"/>
        </w:rPr>
        <w:t>总体架构图</w:t>
      </w:r>
    </w:p>
    <w:p>
      <w:pPr>
        <w:pStyle w:val="4"/>
      </w:pPr>
      <w:bookmarkStart w:id="329" w:name="_Toc14421"/>
      <w:bookmarkStart w:id="330" w:name="_Toc11028"/>
      <w:bookmarkStart w:id="331" w:name="_Toc1754"/>
      <w:bookmarkStart w:id="332" w:name="_Toc29446"/>
      <w:bookmarkStart w:id="333" w:name="_Toc16775"/>
      <w:bookmarkStart w:id="334" w:name="_Toc21911"/>
      <w:bookmarkStart w:id="335" w:name="_Toc8258"/>
      <w:bookmarkStart w:id="336" w:name="_Toc21203"/>
      <w:bookmarkStart w:id="337" w:name="_Toc25355"/>
      <w:bookmarkStart w:id="338" w:name="_Toc29"/>
      <w:bookmarkStart w:id="339" w:name="_Toc13037"/>
      <w:r>
        <w:rPr>
          <w:rFonts w:hint="eastAsia"/>
        </w:rPr>
        <w:t>数据</w:t>
      </w:r>
      <w:bookmarkEnd w:id="329"/>
      <w:bookmarkEnd w:id="330"/>
      <w:bookmarkEnd w:id="331"/>
      <w:bookmarkEnd w:id="332"/>
      <w:bookmarkEnd w:id="333"/>
      <w:bookmarkEnd w:id="334"/>
      <w:bookmarkEnd w:id="335"/>
      <w:r>
        <w:rPr>
          <w:rFonts w:hint="eastAsia"/>
          <w:lang w:val="en-US" w:eastAsia="zh-CN"/>
        </w:rPr>
        <w:t>架构</w:t>
      </w:r>
      <w:bookmarkEnd w:id="336"/>
      <w:bookmarkEnd w:id="337"/>
      <w:bookmarkEnd w:id="338"/>
      <w:bookmarkEnd w:id="339"/>
    </w:p>
    <w:p>
      <w:pPr>
        <w:pStyle w:val="14"/>
      </w:pPr>
      <w:r>
        <w:rPr>
          <w:rFonts w:hint="eastAsia"/>
        </w:rPr>
        <w:drawing>
          <wp:inline distT="0" distB="0" distL="114300" distR="114300">
            <wp:extent cx="5754370" cy="3529965"/>
            <wp:effectExtent l="0" t="0" r="6350" b="5715"/>
            <wp:docPr id="30" name="图片 30" descr="市民服务中心数据流图 v2023062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 name="图片 30" descr="市民服务中心数据流图 v20230620(1)"/>
                    <pic:cNvPicPr>
                      <a:picLocks noChangeAspect="true"/>
                    </pic:cNvPicPr>
                  </pic:nvPicPr>
                  <pic:blipFill>
                    <a:blip r:embed="rId18"/>
                    <a:srcRect t="750"/>
                    <a:stretch>
                      <a:fillRect/>
                    </a:stretch>
                  </pic:blipFill>
                  <pic:spPr>
                    <a:xfrm>
                      <a:off x="0" y="0"/>
                      <a:ext cx="5754370" cy="3529965"/>
                    </a:xfrm>
                    <a:prstGeom prst="rect">
                      <a:avLst/>
                    </a:prstGeom>
                  </pic:spPr>
                </pic:pic>
              </a:graphicData>
            </a:graphic>
          </wp:inline>
        </w:drawing>
      </w:r>
    </w:p>
    <w:p>
      <w:pPr>
        <w:ind w:firstLine="0" w:firstLineChars="0"/>
        <w:jc w:val="center"/>
        <w:rPr>
          <w:rFonts w:ascii="黑体" w:hAnsi="黑体" w:eastAsia="黑体" w:cs="黑体"/>
          <w:sz w:val="21"/>
          <w:szCs w:val="20"/>
        </w:rPr>
      </w:pPr>
      <w:r>
        <w:rPr>
          <w:rFonts w:hint="eastAsia" w:ascii="黑体" w:hAnsi="黑体" w:eastAsia="黑体" w:cs="黑体"/>
          <w:sz w:val="21"/>
          <w:szCs w:val="20"/>
        </w:rPr>
        <w:t xml:space="preserve">图 </w:t>
      </w:r>
      <w:r>
        <w:rPr>
          <w:rFonts w:hint="eastAsia" w:ascii="黑体" w:hAnsi="黑体" w:eastAsia="黑体" w:cs="黑体"/>
          <w:sz w:val="21"/>
          <w:szCs w:val="20"/>
          <w:lang w:val="en-US" w:eastAsia="zh-CN"/>
        </w:rPr>
        <w:t>2.2</w:t>
      </w:r>
      <w:r>
        <w:rPr>
          <w:rFonts w:hint="eastAsia" w:ascii="黑体" w:hAnsi="黑体" w:eastAsia="黑体" w:cs="黑体"/>
          <w:sz w:val="21"/>
          <w:szCs w:val="20"/>
        </w:rPr>
        <w:noBreakHyphen/>
      </w:r>
      <w:r>
        <w:rPr>
          <w:rFonts w:hint="eastAsia" w:ascii="黑体" w:hAnsi="黑体" w:eastAsia="黑体" w:cs="黑体"/>
          <w:sz w:val="21"/>
          <w:szCs w:val="20"/>
          <w:lang w:val="en-US" w:eastAsia="zh-CN"/>
        </w:rPr>
        <w:t>2</w:t>
      </w:r>
      <w:r>
        <w:rPr>
          <w:rFonts w:hint="eastAsia" w:ascii="黑体" w:hAnsi="黑体" w:eastAsia="黑体" w:cs="黑体"/>
          <w:sz w:val="21"/>
          <w:szCs w:val="20"/>
        </w:rPr>
        <w:t>数据流向图</w:t>
      </w:r>
    </w:p>
    <w:p>
      <w:pPr>
        <w:pStyle w:val="4"/>
        <w:spacing w:before="0"/>
        <w:rPr>
          <w:highlight w:val="none"/>
        </w:rPr>
      </w:pPr>
      <w:bookmarkStart w:id="340" w:name="_Toc16888"/>
      <w:bookmarkStart w:id="341" w:name="_Toc2508"/>
      <w:bookmarkStart w:id="342" w:name="_Toc24074"/>
      <w:bookmarkStart w:id="343" w:name="_Toc7446"/>
      <w:bookmarkStart w:id="344" w:name="_Toc32182"/>
      <w:bookmarkStart w:id="345" w:name="_Toc662"/>
      <w:bookmarkStart w:id="346" w:name="_Toc25996"/>
      <w:bookmarkStart w:id="347" w:name="_Toc3990"/>
      <w:bookmarkStart w:id="348" w:name="_Toc5608"/>
      <w:bookmarkStart w:id="349" w:name="_Toc19492"/>
      <w:bookmarkStart w:id="350" w:name="_Toc11989"/>
      <w:bookmarkStart w:id="351" w:name="_Toc11862"/>
      <w:r>
        <w:rPr>
          <w:rFonts w:hint="eastAsia"/>
          <w:highlight w:val="none"/>
        </w:rPr>
        <w:t>网络架构</w:t>
      </w:r>
      <w:bookmarkEnd w:id="340"/>
      <w:bookmarkEnd w:id="341"/>
      <w:bookmarkEnd w:id="342"/>
      <w:bookmarkEnd w:id="343"/>
      <w:bookmarkEnd w:id="344"/>
      <w:bookmarkEnd w:id="345"/>
      <w:bookmarkEnd w:id="346"/>
      <w:bookmarkEnd w:id="347"/>
      <w:bookmarkEnd w:id="348"/>
      <w:bookmarkEnd w:id="349"/>
      <w:bookmarkEnd w:id="350"/>
      <w:bookmarkEnd w:id="351"/>
    </w:p>
    <w:p>
      <w:pPr>
        <w:ind w:firstLine="0" w:firstLineChars="0"/>
        <w:jc w:val="center"/>
        <w:rPr>
          <w:highlight w:val="none"/>
        </w:rPr>
      </w:pPr>
      <w:r>
        <w:drawing>
          <wp:inline distT="0" distB="0" distL="114300" distR="114300">
            <wp:extent cx="4946015" cy="5165090"/>
            <wp:effectExtent l="0" t="0" r="6985" b="1270"/>
            <wp:docPr id="1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true"/>
                    </pic:cNvPicPr>
                  </pic:nvPicPr>
                  <pic:blipFill>
                    <a:blip r:embed="rId19"/>
                    <a:stretch>
                      <a:fillRect/>
                    </a:stretch>
                  </pic:blipFill>
                  <pic:spPr>
                    <a:xfrm>
                      <a:off x="0" y="0"/>
                      <a:ext cx="4946015" cy="5165090"/>
                    </a:xfrm>
                    <a:prstGeom prst="rect">
                      <a:avLst/>
                    </a:prstGeom>
                    <a:noFill/>
                    <a:ln>
                      <a:noFill/>
                    </a:ln>
                  </pic:spPr>
                </pic:pic>
              </a:graphicData>
            </a:graphic>
          </wp:inline>
        </w:drawing>
      </w:r>
    </w:p>
    <w:p>
      <w:pPr>
        <w:ind w:firstLine="0" w:firstLineChars="0"/>
        <w:jc w:val="center"/>
        <w:rPr>
          <w:rFonts w:ascii="黑体" w:hAnsi="黑体" w:eastAsia="黑体" w:cs="黑体"/>
          <w:sz w:val="21"/>
          <w:szCs w:val="20"/>
          <w:highlight w:val="none"/>
        </w:rPr>
      </w:pPr>
      <w:r>
        <w:rPr>
          <w:rFonts w:hint="eastAsia" w:ascii="黑体" w:hAnsi="黑体" w:eastAsia="黑体" w:cs="黑体"/>
          <w:sz w:val="21"/>
          <w:szCs w:val="20"/>
          <w:highlight w:val="none"/>
        </w:rPr>
        <w:t xml:space="preserve">图 </w:t>
      </w:r>
      <w:r>
        <w:rPr>
          <w:rFonts w:hint="eastAsia" w:ascii="黑体" w:hAnsi="黑体" w:eastAsia="黑体" w:cs="黑体"/>
          <w:sz w:val="21"/>
          <w:szCs w:val="20"/>
          <w:highlight w:val="none"/>
          <w:lang w:val="en-US" w:eastAsia="zh-CN"/>
        </w:rPr>
        <w:t>2.2</w:t>
      </w:r>
      <w:r>
        <w:rPr>
          <w:rFonts w:hint="eastAsia" w:ascii="黑体" w:hAnsi="黑体" w:eastAsia="黑体" w:cs="黑体"/>
          <w:sz w:val="21"/>
          <w:szCs w:val="20"/>
          <w:highlight w:val="none"/>
        </w:rPr>
        <w:noBreakHyphen/>
      </w:r>
      <w:r>
        <w:rPr>
          <w:rFonts w:hint="eastAsia" w:ascii="黑体" w:hAnsi="黑体" w:eastAsia="黑体" w:cs="黑体"/>
          <w:sz w:val="21"/>
          <w:szCs w:val="20"/>
          <w:highlight w:val="none"/>
          <w:lang w:val="en-US" w:eastAsia="zh-CN"/>
        </w:rPr>
        <w:t>3</w:t>
      </w:r>
      <w:r>
        <w:rPr>
          <w:rFonts w:hint="eastAsia" w:ascii="黑体" w:hAnsi="黑体" w:eastAsia="黑体" w:cs="黑体"/>
          <w:sz w:val="21"/>
          <w:szCs w:val="20"/>
          <w:highlight w:val="none"/>
        </w:rPr>
        <w:t>网络架构图</w:t>
      </w:r>
    </w:p>
    <w:p>
      <w:pPr>
        <w:pStyle w:val="4"/>
        <w:ind w:firstLine="482"/>
        <w:rPr>
          <w:highlight w:val="none"/>
        </w:rPr>
      </w:pPr>
      <w:bookmarkStart w:id="352" w:name="_Toc1113"/>
      <w:bookmarkStart w:id="353" w:name="_Toc26956"/>
      <w:bookmarkStart w:id="354" w:name="_Toc15364"/>
      <w:bookmarkStart w:id="355" w:name="_Toc22957"/>
      <w:bookmarkStart w:id="356" w:name="_Toc3598"/>
      <w:bookmarkStart w:id="357" w:name="_Toc17437"/>
      <w:bookmarkStart w:id="358" w:name="_Toc29686"/>
      <w:bookmarkStart w:id="359" w:name="_Toc14062"/>
      <w:bookmarkStart w:id="360" w:name="_Toc13327"/>
      <w:bookmarkStart w:id="361" w:name="_Toc18039"/>
      <w:bookmarkStart w:id="362" w:name="_Toc731"/>
      <w:bookmarkStart w:id="363" w:name="_Toc32734"/>
      <w:bookmarkStart w:id="364" w:name="_Toc5885"/>
      <w:r>
        <w:rPr>
          <w:rFonts w:hint="eastAsia"/>
          <w:highlight w:val="none"/>
        </w:rPr>
        <w:t>安全架构</w:t>
      </w:r>
      <w:bookmarkEnd w:id="352"/>
      <w:bookmarkEnd w:id="353"/>
      <w:bookmarkEnd w:id="354"/>
      <w:bookmarkEnd w:id="355"/>
      <w:bookmarkEnd w:id="356"/>
      <w:bookmarkEnd w:id="357"/>
      <w:bookmarkEnd w:id="358"/>
      <w:bookmarkEnd w:id="359"/>
      <w:bookmarkEnd w:id="360"/>
      <w:bookmarkEnd w:id="361"/>
      <w:bookmarkEnd w:id="362"/>
      <w:bookmarkEnd w:id="363"/>
      <w:bookmarkEnd w:id="364"/>
    </w:p>
    <w:p>
      <w:pPr>
        <w:ind w:firstLine="480"/>
        <w:rPr>
          <w:highlight w:val="none"/>
        </w:rPr>
      </w:pPr>
      <w:r>
        <w:rPr>
          <w:rFonts w:hint="eastAsia"/>
          <w:highlight w:val="none"/>
        </w:rPr>
        <w:drawing>
          <wp:inline distT="0" distB="0" distL="114300" distR="114300">
            <wp:extent cx="5065395" cy="3168015"/>
            <wp:effectExtent l="0" t="0" r="9525" b="1905"/>
            <wp:docPr id="143" name="图片 143" descr="市民服务中心安全架构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3" name="图片 143" descr="市民服务中心安全架构_01"/>
                    <pic:cNvPicPr>
                      <a:picLocks noChangeAspect="true"/>
                    </pic:cNvPicPr>
                  </pic:nvPicPr>
                  <pic:blipFill>
                    <a:blip r:embed="rId20"/>
                    <a:srcRect l="16597" t="14202" r="17281" b="12279"/>
                    <a:stretch>
                      <a:fillRect/>
                    </a:stretch>
                  </pic:blipFill>
                  <pic:spPr>
                    <a:xfrm>
                      <a:off x="0" y="0"/>
                      <a:ext cx="5065395" cy="3168015"/>
                    </a:xfrm>
                    <a:prstGeom prst="rect">
                      <a:avLst/>
                    </a:prstGeom>
                  </pic:spPr>
                </pic:pic>
              </a:graphicData>
            </a:graphic>
          </wp:inline>
        </w:drawing>
      </w:r>
    </w:p>
    <w:p>
      <w:pPr>
        <w:ind w:firstLine="0" w:firstLineChars="0"/>
        <w:jc w:val="center"/>
        <w:rPr>
          <w:rFonts w:ascii="黑体" w:hAnsi="黑体" w:eastAsia="黑体" w:cs="黑体"/>
          <w:sz w:val="21"/>
          <w:szCs w:val="20"/>
          <w:highlight w:val="none"/>
        </w:rPr>
      </w:pPr>
      <w:r>
        <w:rPr>
          <w:rFonts w:hint="eastAsia" w:ascii="黑体" w:hAnsi="黑体" w:eastAsia="黑体" w:cs="黑体"/>
          <w:sz w:val="21"/>
          <w:szCs w:val="20"/>
          <w:highlight w:val="none"/>
        </w:rPr>
        <w:t xml:space="preserve">图 </w:t>
      </w:r>
      <w:r>
        <w:rPr>
          <w:rFonts w:hint="eastAsia" w:ascii="黑体" w:hAnsi="黑体" w:eastAsia="黑体" w:cs="黑体"/>
          <w:sz w:val="21"/>
          <w:szCs w:val="20"/>
          <w:highlight w:val="none"/>
          <w:lang w:val="en-US" w:eastAsia="zh-CN"/>
        </w:rPr>
        <w:t>2.2</w:t>
      </w:r>
      <w:r>
        <w:rPr>
          <w:rFonts w:hint="eastAsia" w:ascii="黑体" w:hAnsi="黑体" w:eastAsia="黑体" w:cs="黑体"/>
          <w:sz w:val="21"/>
          <w:szCs w:val="20"/>
          <w:highlight w:val="none"/>
        </w:rPr>
        <w:noBreakHyphen/>
      </w:r>
      <w:r>
        <w:rPr>
          <w:rFonts w:hint="eastAsia" w:ascii="黑体" w:hAnsi="黑体" w:eastAsia="黑体" w:cs="黑体"/>
          <w:sz w:val="21"/>
          <w:szCs w:val="20"/>
          <w:highlight w:val="none"/>
          <w:lang w:val="en-US" w:eastAsia="zh-CN"/>
        </w:rPr>
        <w:t>4</w:t>
      </w:r>
      <w:r>
        <w:rPr>
          <w:rFonts w:hint="eastAsia" w:ascii="黑体" w:hAnsi="黑体" w:eastAsia="黑体" w:cs="黑体"/>
          <w:sz w:val="21"/>
          <w:szCs w:val="20"/>
          <w:highlight w:val="none"/>
        </w:rPr>
        <w:t>安全架构图</w:t>
      </w:r>
    </w:p>
    <w:bookmarkEnd w:id="189"/>
    <w:bookmarkEnd w:id="190"/>
    <w:p>
      <w:pPr>
        <w:pStyle w:val="3"/>
        <w:rPr>
          <w:highlight w:val="none"/>
        </w:rPr>
      </w:pPr>
      <w:bookmarkStart w:id="365" w:name="_Toc21753"/>
      <w:bookmarkStart w:id="366" w:name="_Toc5801"/>
      <w:bookmarkStart w:id="367" w:name="_Toc9463"/>
      <w:bookmarkStart w:id="368" w:name="_Toc16731"/>
      <w:bookmarkStart w:id="369" w:name="_Toc11025"/>
      <w:bookmarkStart w:id="370" w:name="_Toc8585"/>
      <w:bookmarkStart w:id="371" w:name="_Toc8436"/>
      <w:bookmarkStart w:id="372" w:name="_Toc27026"/>
      <w:bookmarkStart w:id="373" w:name="_Toc26173"/>
      <w:bookmarkStart w:id="374" w:name="_Toc28427"/>
      <w:bookmarkStart w:id="375" w:name="_Toc22129"/>
      <w:bookmarkStart w:id="376" w:name="_Toc9560"/>
      <w:bookmarkStart w:id="377" w:name="_Toc14998"/>
      <w:bookmarkStart w:id="378" w:name="_Toc13933"/>
      <w:r>
        <w:rPr>
          <w:rFonts w:hint="eastAsia"/>
          <w:highlight w:val="none"/>
        </w:rPr>
        <w:t>配套基础设施</w:t>
      </w:r>
      <w:bookmarkEnd w:id="365"/>
      <w:bookmarkEnd w:id="366"/>
      <w:bookmarkEnd w:id="367"/>
      <w:bookmarkEnd w:id="368"/>
      <w:bookmarkEnd w:id="369"/>
      <w:bookmarkEnd w:id="370"/>
      <w:bookmarkEnd w:id="371"/>
      <w:bookmarkEnd w:id="372"/>
      <w:bookmarkEnd w:id="373"/>
      <w:bookmarkEnd w:id="374"/>
      <w:bookmarkEnd w:id="375"/>
      <w:r>
        <w:rPr>
          <w:rFonts w:hint="eastAsia"/>
          <w:highlight w:val="none"/>
          <w:lang w:val="en-US" w:eastAsia="zh-CN"/>
        </w:rPr>
        <w:t>建设需求</w:t>
      </w:r>
      <w:bookmarkEnd w:id="376"/>
      <w:bookmarkEnd w:id="377"/>
      <w:bookmarkEnd w:id="378"/>
    </w:p>
    <w:p>
      <w:pPr>
        <w:pStyle w:val="4"/>
        <w:bidi w:val="0"/>
      </w:pPr>
      <w:bookmarkStart w:id="379" w:name="_Toc19419"/>
      <w:bookmarkStart w:id="380" w:name="_Toc7975"/>
      <w:bookmarkStart w:id="381" w:name="_Toc26382"/>
      <w:bookmarkStart w:id="382" w:name="_Toc30245"/>
      <w:bookmarkStart w:id="383" w:name="_Toc26502"/>
      <w:bookmarkStart w:id="384" w:name="_Toc2916"/>
      <w:bookmarkStart w:id="385" w:name="_Toc3317"/>
      <w:bookmarkStart w:id="386" w:name="_Toc7282"/>
      <w:bookmarkStart w:id="387" w:name="_Toc15253"/>
      <w:r>
        <w:rPr>
          <w:rFonts w:hint="eastAsia"/>
        </w:rPr>
        <w:t>网络设备间</w:t>
      </w:r>
      <w:bookmarkEnd w:id="379"/>
      <w:bookmarkEnd w:id="380"/>
      <w:bookmarkEnd w:id="381"/>
      <w:bookmarkEnd w:id="382"/>
      <w:bookmarkEnd w:id="383"/>
      <w:bookmarkEnd w:id="384"/>
      <w:bookmarkEnd w:id="385"/>
      <w:bookmarkEnd w:id="386"/>
      <w:bookmarkEnd w:id="387"/>
    </w:p>
    <w:p>
      <w:pPr>
        <w:pStyle w:val="5"/>
      </w:pPr>
      <w:bookmarkStart w:id="388" w:name="_Toc4769"/>
      <w:bookmarkStart w:id="389" w:name="_Toc678"/>
      <w:bookmarkStart w:id="390" w:name="_Toc18468"/>
      <w:bookmarkStart w:id="391" w:name="_Toc13862"/>
      <w:bookmarkStart w:id="392" w:name="_Toc29601"/>
      <w:r>
        <w:rPr>
          <w:rFonts w:hint="eastAsia"/>
        </w:rPr>
        <w:t>系统概述</w:t>
      </w:r>
      <w:bookmarkEnd w:id="388"/>
      <w:bookmarkEnd w:id="389"/>
      <w:bookmarkEnd w:id="390"/>
      <w:bookmarkEnd w:id="391"/>
    </w:p>
    <w:p>
      <w:pPr>
        <w:ind w:firstLine="480"/>
      </w:pPr>
      <w:r>
        <w:rPr>
          <w:rFonts w:hint="eastAsia"/>
        </w:rPr>
        <w:t>本项目所建设的网络设备间主要用于部署计算机网络设备、安全设备及视频存储设备，本期建设的网络设备间共</w:t>
      </w:r>
      <w:r>
        <w:t>11</w:t>
      </w:r>
      <w:r>
        <w:rPr>
          <w:rFonts w:hint="eastAsia"/>
        </w:rPr>
        <w:t>个，总面积约为</w:t>
      </w:r>
      <w:r>
        <w:t>180</w:t>
      </w:r>
      <w:r>
        <w:rPr>
          <w:rFonts w:hint="eastAsia"/>
        </w:rPr>
        <w:t>m</w:t>
      </w:r>
      <w:r>
        <w:rPr>
          <w:rFonts w:hint="eastAsia"/>
          <w:vertAlign w:val="superscript"/>
        </w:rPr>
        <w:t>2</w:t>
      </w:r>
      <w:r>
        <w:rPr>
          <w:rFonts w:hint="eastAsia"/>
        </w:rPr>
        <w:t>。</w:t>
      </w:r>
    </w:p>
    <w:p>
      <w:pPr>
        <w:widowControl/>
        <w:spacing w:after="120"/>
        <w:ind w:firstLine="424" w:firstLineChars="177"/>
      </w:pPr>
      <w:r>
        <w:t>总体建设目标</w:t>
      </w:r>
      <w:r>
        <w:rPr>
          <w:rFonts w:hint="eastAsia"/>
        </w:rPr>
        <w:t>：满足基础线路汇聚、设备运行对基础环境要求，并建设成为适应未来业务发展变化及智慧应用基础配套功能需求的，具备扩展性、通用性特性的网络设备间。</w:t>
      </w:r>
    </w:p>
    <w:p>
      <w:pPr>
        <w:pStyle w:val="5"/>
      </w:pPr>
      <w:bookmarkStart w:id="393" w:name="_Toc17830"/>
      <w:bookmarkStart w:id="394" w:name="_Toc20724"/>
      <w:bookmarkStart w:id="395" w:name="_Toc2336"/>
      <w:bookmarkStart w:id="396" w:name="_Toc23370"/>
      <w:r>
        <w:rPr>
          <w:rFonts w:hint="eastAsia"/>
        </w:rPr>
        <w:t>网络设备间</w:t>
      </w:r>
      <w:r>
        <w:t>建设范围</w:t>
      </w:r>
      <w:bookmarkEnd w:id="393"/>
      <w:bookmarkEnd w:id="394"/>
      <w:bookmarkEnd w:id="395"/>
      <w:bookmarkEnd w:id="396"/>
    </w:p>
    <w:p>
      <w:pPr>
        <w:ind w:firstLine="480"/>
        <w:rPr>
          <w:rFonts w:hint="eastAsia"/>
        </w:rPr>
      </w:pPr>
      <w:r>
        <w:t>本项目负责</w:t>
      </w:r>
      <w:r>
        <w:rPr>
          <w:rFonts w:hint="eastAsia"/>
        </w:rPr>
        <w:t>：</w:t>
      </w:r>
    </w:p>
    <w:p>
      <w:pPr>
        <w:ind w:firstLine="480"/>
        <w:rPr>
          <w:rFonts w:hint="eastAsia"/>
        </w:rPr>
      </w:pPr>
      <w:r>
        <w:rPr>
          <w:rFonts w:hint="eastAsia"/>
          <w:lang w:val="en-US" w:eastAsia="zh-CN"/>
        </w:rPr>
        <w:t>一层主设备间的</w:t>
      </w:r>
      <w:r>
        <w:rPr>
          <w:rFonts w:hint="eastAsia"/>
        </w:rPr>
        <w:t>网络设备间装修工程、防雷接地工程、机柜工程、视频监控工程。</w:t>
      </w:r>
    </w:p>
    <w:p>
      <w:pPr>
        <w:ind w:firstLine="480"/>
        <w:rPr>
          <w:rFonts w:hint="default" w:eastAsia="宋体"/>
          <w:lang w:val="en-US" w:eastAsia="zh-CN"/>
        </w:rPr>
      </w:pPr>
      <w:r>
        <w:rPr>
          <w:rFonts w:hint="eastAsia"/>
          <w:lang w:val="en-US" w:eastAsia="zh-CN"/>
        </w:rPr>
        <w:t>二至9层设备间的机柜工程。</w:t>
      </w:r>
    </w:p>
    <w:p>
      <w:pPr>
        <w:pStyle w:val="5"/>
      </w:pPr>
      <w:bookmarkStart w:id="397" w:name="_Toc17961"/>
      <w:bookmarkStart w:id="398" w:name="_Toc17623"/>
      <w:bookmarkStart w:id="399" w:name="_Toc13262"/>
      <w:bookmarkStart w:id="400" w:name="_Toc28486"/>
      <w:r>
        <w:rPr>
          <w:rFonts w:hint="eastAsia"/>
        </w:rPr>
        <w:t>网络设备间平面布局</w:t>
      </w:r>
      <w:bookmarkEnd w:id="397"/>
      <w:bookmarkEnd w:id="398"/>
      <w:bookmarkEnd w:id="399"/>
      <w:bookmarkEnd w:id="400"/>
    </w:p>
    <w:p>
      <w:pPr>
        <w:ind w:firstLine="480"/>
      </w:pPr>
      <w:r>
        <w:rPr>
          <w:rFonts w:hint="eastAsia"/>
        </w:rPr>
        <w:t>依据《数据中心设计规范》GB50174-2017标准，一层弱电设备间配置设备机柜、配电系统、空调系统等。网络设备间</w:t>
      </w:r>
      <w:r>
        <w:t>平面布局图如下</w:t>
      </w:r>
      <w:r>
        <w:rPr>
          <w:rFonts w:hint="eastAsia"/>
        </w:rPr>
        <w:t>：</w:t>
      </w:r>
    </w:p>
    <w:p>
      <w:pPr>
        <w:ind w:firstLine="0" w:firstLineChars="0"/>
        <w:jc w:val="center"/>
      </w:pPr>
      <w:r>
        <w:drawing>
          <wp:inline distT="0" distB="0" distL="0" distR="0">
            <wp:extent cx="4966335" cy="3088640"/>
            <wp:effectExtent l="0" t="0" r="1905" b="5080"/>
            <wp:docPr id="14" name="图片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true"/>
                    </pic:cNvPicPr>
                  </pic:nvPicPr>
                  <pic:blipFill>
                    <a:blip r:embed="rId21"/>
                    <a:stretch>
                      <a:fillRect/>
                    </a:stretch>
                  </pic:blipFill>
                  <pic:spPr>
                    <a:xfrm>
                      <a:off x="0" y="0"/>
                      <a:ext cx="4981587" cy="3097974"/>
                    </a:xfrm>
                    <a:prstGeom prst="rect">
                      <a:avLst/>
                    </a:prstGeom>
                  </pic:spPr>
                </pic:pic>
              </a:graphicData>
            </a:graphic>
          </wp:inline>
        </w:drawing>
      </w:r>
    </w:p>
    <w:p>
      <w:pPr>
        <w:ind w:firstLine="420"/>
        <w:jc w:val="center"/>
        <w:rPr>
          <w:rFonts w:ascii="黑体" w:hAnsi="黑体" w:eastAsia="黑体" w:cs="黑体"/>
          <w:sz w:val="21"/>
          <w:szCs w:val="21"/>
        </w:rPr>
      </w:pPr>
      <w:r>
        <w:rPr>
          <w:rFonts w:hint="eastAsia" w:ascii="黑体" w:hAnsi="黑体" w:eastAsia="黑体" w:cs="黑体"/>
          <w:sz w:val="21"/>
          <w:szCs w:val="21"/>
        </w:rPr>
        <w:t xml:space="preserve">图 </w:t>
      </w:r>
      <w:r>
        <w:rPr>
          <w:rFonts w:hint="eastAsia" w:ascii="黑体" w:hAnsi="黑体" w:eastAsia="黑体" w:cs="黑体"/>
          <w:sz w:val="21"/>
          <w:szCs w:val="21"/>
          <w:lang w:val="en-US" w:eastAsia="zh-CN"/>
        </w:rPr>
        <w:t>2.3</w:t>
      </w:r>
      <w:r>
        <w:rPr>
          <w:rFonts w:hint="eastAsia" w:ascii="黑体" w:hAnsi="黑体" w:eastAsia="黑体" w:cs="黑体"/>
          <w:sz w:val="21"/>
          <w:szCs w:val="21"/>
        </w:rPr>
        <w:noBreakHyphen/>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SEQ 图 \* ARABIC \s 2 </w:instrText>
      </w:r>
      <w:r>
        <w:rPr>
          <w:rFonts w:hint="eastAsia" w:ascii="黑体" w:hAnsi="黑体" w:eastAsia="黑体" w:cs="黑体"/>
          <w:sz w:val="21"/>
          <w:szCs w:val="21"/>
        </w:rPr>
        <w:fldChar w:fldCharType="separate"/>
      </w:r>
      <w:r>
        <w:rPr>
          <w:rFonts w:hint="eastAsia" w:ascii="黑体" w:hAnsi="黑体" w:eastAsia="黑体" w:cs="黑体"/>
          <w:sz w:val="21"/>
          <w:szCs w:val="21"/>
        </w:rPr>
        <w:t>1</w:t>
      </w:r>
      <w:r>
        <w:rPr>
          <w:rFonts w:hint="eastAsia" w:ascii="黑体" w:hAnsi="黑体" w:eastAsia="黑体" w:cs="黑体"/>
          <w:sz w:val="21"/>
          <w:szCs w:val="21"/>
        </w:rPr>
        <w:fldChar w:fldCharType="end"/>
      </w:r>
      <w:r>
        <w:rPr>
          <w:rFonts w:hint="eastAsia" w:ascii="黑体" w:hAnsi="黑体" w:eastAsia="黑体" w:cs="黑体"/>
          <w:sz w:val="21"/>
          <w:szCs w:val="21"/>
        </w:rPr>
        <w:t>一层弱电设备间平面布局图</w:t>
      </w:r>
    </w:p>
    <w:p>
      <w:pPr>
        <w:ind w:firstLine="480"/>
        <w:jc w:val="center"/>
        <w:rPr>
          <w:rFonts w:ascii="黑体" w:hAnsi="黑体" w:eastAsia="黑体" w:cs="黑体"/>
          <w:sz w:val="21"/>
          <w:szCs w:val="21"/>
        </w:rPr>
      </w:pPr>
      <w:r>
        <w:drawing>
          <wp:inline distT="0" distB="0" distL="0" distR="0">
            <wp:extent cx="4576445" cy="3263900"/>
            <wp:effectExtent l="0" t="0" r="10795" b="12700"/>
            <wp:docPr id="18" name="图片 1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true"/>
                    </pic:cNvPicPr>
                  </pic:nvPicPr>
                  <pic:blipFill>
                    <a:blip r:embed="rId22"/>
                    <a:stretch>
                      <a:fillRect/>
                    </a:stretch>
                  </pic:blipFill>
                  <pic:spPr>
                    <a:xfrm>
                      <a:off x="0" y="0"/>
                      <a:ext cx="4595714" cy="3277910"/>
                    </a:xfrm>
                    <a:prstGeom prst="rect">
                      <a:avLst/>
                    </a:prstGeom>
                  </pic:spPr>
                </pic:pic>
              </a:graphicData>
            </a:graphic>
          </wp:inline>
        </w:drawing>
      </w:r>
    </w:p>
    <w:p>
      <w:pPr>
        <w:ind w:firstLine="420"/>
        <w:jc w:val="center"/>
        <w:rPr>
          <w:rFonts w:ascii="黑体" w:hAnsi="黑体" w:eastAsia="黑体" w:cs="黑体"/>
          <w:sz w:val="21"/>
          <w:szCs w:val="21"/>
        </w:rPr>
      </w:pPr>
      <w:r>
        <w:rPr>
          <w:rFonts w:hint="eastAsia" w:ascii="黑体" w:hAnsi="黑体" w:eastAsia="黑体" w:cs="黑体"/>
          <w:sz w:val="21"/>
          <w:szCs w:val="21"/>
        </w:rPr>
        <w:t xml:space="preserve">图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STYLEREF 2 \s </w:instrText>
      </w:r>
      <w:r>
        <w:rPr>
          <w:rFonts w:hint="eastAsia" w:ascii="黑体" w:hAnsi="黑体" w:eastAsia="黑体" w:cs="黑体"/>
          <w:sz w:val="21"/>
          <w:szCs w:val="21"/>
        </w:rPr>
        <w:fldChar w:fldCharType="separate"/>
      </w:r>
      <w:r>
        <w:rPr>
          <w:rFonts w:hint="eastAsia" w:ascii="黑体" w:hAnsi="黑体" w:eastAsia="黑体" w:cs="黑体"/>
          <w:sz w:val="21"/>
          <w:szCs w:val="21"/>
          <w:lang w:val="en-US" w:eastAsia="zh-CN"/>
        </w:rPr>
        <w:t>2</w:t>
      </w:r>
      <w:r>
        <w:rPr>
          <w:rFonts w:hint="eastAsia" w:ascii="黑体" w:hAnsi="黑体" w:eastAsia="黑体" w:cs="黑体"/>
          <w:sz w:val="21"/>
          <w:szCs w:val="21"/>
        </w:rPr>
        <w:t>.3</w:t>
      </w:r>
      <w:r>
        <w:rPr>
          <w:rFonts w:hint="eastAsia" w:ascii="黑体" w:hAnsi="黑体" w:eastAsia="黑体" w:cs="黑体"/>
          <w:sz w:val="21"/>
          <w:szCs w:val="21"/>
        </w:rPr>
        <w:fldChar w:fldCharType="end"/>
      </w:r>
      <w:r>
        <w:rPr>
          <w:rFonts w:hint="eastAsia" w:ascii="黑体" w:hAnsi="黑体" w:eastAsia="黑体" w:cs="黑体"/>
          <w:sz w:val="21"/>
          <w:szCs w:val="21"/>
        </w:rPr>
        <w:noBreakHyphen/>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SEQ 图 \* ARABIC \s 2 </w:instrText>
      </w:r>
      <w:r>
        <w:rPr>
          <w:rFonts w:hint="eastAsia" w:ascii="黑体" w:hAnsi="黑体" w:eastAsia="黑体" w:cs="黑体"/>
          <w:sz w:val="21"/>
          <w:szCs w:val="21"/>
        </w:rPr>
        <w:fldChar w:fldCharType="separate"/>
      </w:r>
      <w:r>
        <w:rPr>
          <w:rFonts w:ascii="黑体" w:hAnsi="黑体" w:eastAsia="黑体" w:cs="黑体"/>
          <w:sz w:val="21"/>
          <w:szCs w:val="21"/>
        </w:rPr>
        <w:t>2</w:t>
      </w:r>
      <w:r>
        <w:rPr>
          <w:rFonts w:hint="eastAsia" w:ascii="黑体" w:hAnsi="黑体" w:eastAsia="黑体" w:cs="黑体"/>
          <w:sz w:val="21"/>
          <w:szCs w:val="21"/>
        </w:rPr>
        <w:fldChar w:fldCharType="end"/>
      </w:r>
      <w:r>
        <w:rPr>
          <w:rFonts w:hint="eastAsia" w:ascii="黑体" w:hAnsi="黑体" w:eastAsia="黑体" w:cs="黑体"/>
          <w:sz w:val="21"/>
          <w:szCs w:val="21"/>
        </w:rPr>
        <w:t>一层司法设备间平面布局图</w:t>
      </w:r>
    </w:p>
    <w:p>
      <w:pPr>
        <w:ind w:firstLine="480"/>
        <w:jc w:val="center"/>
        <w:rPr>
          <w:rFonts w:ascii="黑体" w:hAnsi="黑体" w:eastAsia="黑体" w:cs="黑体"/>
          <w:sz w:val="21"/>
          <w:szCs w:val="21"/>
        </w:rPr>
      </w:pPr>
      <w:r>
        <w:drawing>
          <wp:inline distT="0" distB="0" distL="0" distR="0">
            <wp:extent cx="4476115" cy="3214370"/>
            <wp:effectExtent l="0" t="0" r="4445" b="1270"/>
            <wp:docPr id="19" name="图片 1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true"/>
                    </pic:cNvPicPr>
                  </pic:nvPicPr>
                  <pic:blipFill>
                    <a:blip r:embed="rId23"/>
                    <a:stretch>
                      <a:fillRect/>
                    </a:stretch>
                  </pic:blipFill>
                  <pic:spPr>
                    <a:xfrm>
                      <a:off x="0" y="0"/>
                      <a:ext cx="4485505" cy="3221443"/>
                    </a:xfrm>
                    <a:prstGeom prst="rect">
                      <a:avLst/>
                    </a:prstGeom>
                  </pic:spPr>
                </pic:pic>
              </a:graphicData>
            </a:graphic>
          </wp:inline>
        </w:drawing>
      </w:r>
    </w:p>
    <w:p>
      <w:pPr>
        <w:ind w:firstLine="420"/>
        <w:jc w:val="center"/>
        <w:rPr>
          <w:rFonts w:ascii="黑体" w:hAnsi="黑体" w:eastAsia="黑体" w:cs="黑体"/>
          <w:sz w:val="21"/>
          <w:szCs w:val="21"/>
        </w:rPr>
      </w:pPr>
      <w:r>
        <w:rPr>
          <w:rFonts w:hint="eastAsia" w:ascii="黑体" w:hAnsi="黑体" w:eastAsia="黑体" w:cs="黑体"/>
          <w:sz w:val="21"/>
          <w:szCs w:val="21"/>
        </w:rPr>
        <w:t xml:space="preserve">图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STYLEREF 2 \s </w:instrText>
      </w:r>
      <w:r>
        <w:rPr>
          <w:rFonts w:hint="eastAsia" w:ascii="黑体" w:hAnsi="黑体" w:eastAsia="黑体" w:cs="黑体"/>
          <w:sz w:val="21"/>
          <w:szCs w:val="21"/>
        </w:rPr>
        <w:fldChar w:fldCharType="separate"/>
      </w:r>
      <w:r>
        <w:rPr>
          <w:rFonts w:hint="eastAsia" w:ascii="黑体" w:hAnsi="黑体" w:eastAsia="黑体" w:cs="黑体"/>
          <w:sz w:val="21"/>
          <w:szCs w:val="21"/>
          <w:lang w:val="en-US" w:eastAsia="zh-CN"/>
        </w:rPr>
        <w:t>2</w:t>
      </w:r>
      <w:r>
        <w:rPr>
          <w:rFonts w:hint="eastAsia" w:ascii="黑体" w:hAnsi="黑体" w:eastAsia="黑体" w:cs="黑体"/>
          <w:sz w:val="21"/>
          <w:szCs w:val="21"/>
        </w:rPr>
        <w:t>.3</w:t>
      </w:r>
      <w:r>
        <w:rPr>
          <w:rFonts w:hint="eastAsia" w:ascii="黑体" w:hAnsi="黑体" w:eastAsia="黑体" w:cs="黑体"/>
          <w:sz w:val="21"/>
          <w:szCs w:val="21"/>
        </w:rPr>
        <w:fldChar w:fldCharType="end"/>
      </w:r>
      <w:r>
        <w:rPr>
          <w:rFonts w:hint="eastAsia" w:ascii="黑体" w:hAnsi="黑体" w:eastAsia="黑体" w:cs="黑体"/>
          <w:sz w:val="21"/>
          <w:szCs w:val="21"/>
        </w:rPr>
        <w:noBreakHyphen/>
      </w:r>
      <w:r>
        <w:rPr>
          <w:rFonts w:hint="eastAsia" w:ascii="黑体" w:hAnsi="黑体" w:eastAsia="黑体" w:cs="黑体"/>
          <w:sz w:val="21"/>
          <w:szCs w:val="21"/>
          <w:lang w:val="en-US" w:eastAsia="zh-CN"/>
        </w:rPr>
        <w:t>3</w:t>
      </w:r>
      <w:r>
        <w:rPr>
          <w:rFonts w:hint="eastAsia" w:ascii="黑体" w:hAnsi="黑体" w:eastAsia="黑体" w:cs="黑体"/>
          <w:sz w:val="21"/>
          <w:szCs w:val="21"/>
        </w:rPr>
        <w:t>二层公安设备间、二层设备间平面布局图</w:t>
      </w:r>
    </w:p>
    <w:p>
      <w:pPr>
        <w:ind w:firstLine="480"/>
        <w:jc w:val="center"/>
        <w:rPr>
          <w:rFonts w:ascii="黑体" w:hAnsi="黑体" w:eastAsia="黑体" w:cs="黑体"/>
          <w:sz w:val="21"/>
          <w:szCs w:val="21"/>
        </w:rPr>
      </w:pPr>
      <w:r>
        <w:drawing>
          <wp:inline distT="0" distB="0" distL="0" distR="0">
            <wp:extent cx="4583430" cy="3447415"/>
            <wp:effectExtent l="0" t="0" r="3810" b="12065"/>
            <wp:docPr id="24" name="图片 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true"/>
                    </pic:cNvPicPr>
                  </pic:nvPicPr>
                  <pic:blipFill>
                    <a:blip r:embed="rId24"/>
                    <a:stretch>
                      <a:fillRect/>
                    </a:stretch>
                  </pic:blipFill>
                  <pic:spPr>
                    <a:xfrm>
                      <a:off x="0" y="0"/>
                      <a:ext cx="4591424" cy="3453378"/>
                    </a:xfrm>
                    <a:prstGeom prst="rect">
                      <a:avLst/>
                    </a:prstGeom>
                  </pic:spPr>
                </pic:pic>
              </a:graphicData>
            </a:graphic>
          </wp:inline>
        </w:drawing>
      </w:r>
    </w:p>
    <w:p>
      <w:pPr>
        <w:ind w:firstLine="420"/>
        <w:jc w:val="center"/>
        <w:rPr>
          <w:rFonts w:ascii="黑体" w:hAnsi="黑体" w:eastAsia="黑体" w:cs="黑体"/>
          <w:sz w:val="21"/>
          <w:szCs w:val="21"/>
        </w:rPr>
      </w:pPr>
      <w:r>
        <w:rPr>
          <w:rFonts w:hint="eastAsia" w:ascii="黑体" w:hAnsi="黑体" w:eastAsia="黑体" w:cs="黑体"/>
          <w:sz w:val="21"/>
          <w:szCs w:val="21"/>
        </w:rPr>
        <w:t xml:space="preserve">图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STYLEREF 2 \s </w:instrText>
      </w:r>
      <w:r>
        <w:rPr>
          <w:rFonts w:hint="eastAsia" w:ascii="黑体" w:hAnsi="黑体" w:eastAsia="黑体" w:cs="黑体"/>
          <w:sz w:val="21"/>
          <w:szCs w:val="21"/>
        </w:rPr>
        <w:fldChar w:fldCharType="separate"/>
      </w:r>
      <w:r>
        <w:rPr>
          <w:rFonts w:hint="eastAsia" w:ascii="黑体" w:hAnsi="黑体" w:eastAsia="黑体" w:cs="黑体"/>
          <w:sz w:val="21"/>
          <w:szCs w:val="21"/>
          <w:lang w:val="en-US" w:eastAsia="zh-CN"/>
        </w:rPr>
        <w:t>2</w:t>
      </w:r>
      <w:r>
        <w:rPr>
          <w:rFonts w:hint="eastAsia" w:ascii="黑体" w:hAnsi="黑体" w:eastAsia="黑体" w:cs="黑体"/>
          <w:sz w:val="21"/>
          <w:szCs w:val="21"/>
        </w:rPr>
        <w:t>.3</w:t>
      </w:r>
      <w:r>
        <w:rPr>
          <w:rFonts w:hint="eastAsia" w:ascii="黑体" w:hAnsi="黑体" w:eastAsia="黑体" w:cs="黑体"/>
          <w:sz w:val="21"/>
          <w:szCs w:val="21"/>
        </w:rPr>
        <w:fldChar w:fldCharType="end"/>
      </w:r>
      <w:r>
        <w:rPr>
          <w:rFonts w:hint="eastAsia" w:ascii="黑体" w:hAnsi="黑体" w:eastAsia="黑体" w:cs="黑体"/>
          <w:sz w:val="21"/>
          <w:szCs w:val="21"/>
        </w:rPr>
        <w:noBreakHyphen/>
      </w:r>
      <w:r>
        <w:rPr>
          <w:rFonts w:hint="eastAsia" w:ascii="黑体" w:hAnsi="黑体" w:eastAsia="黑体" w:cs="黑体"/>
          <w:sz w:val="21"/>
          <w:szCs w:val="21"/>
          <w:lang w:val="en-US" w:eastAsia="zh-CN"/>
        </w:rPr>
        <w:t>4</w:t>
      </w:r>
      <w:r>
        <w:rPr>
          <w:rFonts w:hint="eastAsia" w:ascii="黑体" w:hAnsi="黑体" w:eastAsia="黑体" w:cs="黑体"/>
          <w:sz w:val="21"/>
          <w:szCs w:val="21"/>
        </w:rPr>
        <w:t>三层税务设备间、三层设备间平面布局图</w:t>
      </w:r>
    </w:p>
    <w:p>
      <w:pPr>
        <w:ind w:firstLine="480"/>
        <w:jc w:val="center"/>
        <w:rPr>
          <w:rFonts w:ascii="黑体" w:hAnsi="黑体" w:eastAsia="黑体" w:cs="黑体"/>
          <w:sz w:val="21"/>
          <w:szCs w:val="21"/>
        </w:rPr>
      </w:pPr>
      <w:r>
        <w:drawing>
          <wp:inline distT="0" distB="0" distL="0" distR="0">
            <wp:extent cx="3795395" cy="3680460"/>
            <wp:effectExtent l="0" t="0" r="14605" b="7620"/>
            <wp:docPr id="25" name="图片 2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true"/>
                    </pic:cNvPicPr>
                  </pic:nvPicPr>
                  <pic:blipFill>
                    <a:blip r:embed="rId25"/>
                    <a:stretch>
                      <a:fillRect/>
                    </a:stretch>
                  </pic:blipFill>
                  <pic:spPr>
                    <a:xfrm>
                      <a:off x="0" y="0"/>
                      <a:ext cx="3800727" cy="3685553"/>
                    </a:xfrm>
                    <a:prstGeom prst="rect">
                      <a:avLst/>
                    </a:prstGeom>
                  </pic:spPr>
                </pic:pic>
              </a:graphicData>
            </a:graphic>
          </wp:inline>
        </w:drawing>
      </w:r>
    </w:p>
    <w:p>
      <w:pPr>
        <w:ind w:firstLine="420"/>
        <w:jc w:val="center"/>
        <w:rPr>
          <w:rFonts w:ascii="黑体" w:hAnsi="黑体" w:eastAsia="黑体" w:cs="黑体"/>
          <w:sz w:val="21"/>
          <w:szCs w:val="21"/>
        </w:rPr>
      </w:pPr>
      <w:r>
        <w:rPr>
          <w:rFonts w:hint="eastAsia" w:ascii="黑体" w:hAnsi="黑体" w:eastAsia="黑体" w:cs="黑体"/>
          <w:sz w:val="21"/>
          <w:szCs w:val="21"/>
        </w:rPr>
        <w:t xml:space="preserve">图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STYLEREF 2 \s </w:instrText>
      </w:r>
      <w:r>
        <w:rPr>
          <w:rFonts w:hint="eastAsia" w:ascii="黑体" w:hAnsi="黑体" w:eastAsia="黑体" w:cs="黑体"/>
          <w:sz w:val="21"/>
          <w:szCs w:val="21"/>
        </w:rPr>
        <w:fldChar w:fldCharType="separate"/>
      </w:r>
      <w:r>
        <w:rPr>
          <w:rFonts w:hint="eastAsia" w:ascii="黑体" w:hAnsi="黑体" w:eastAsia="黑体" w:cs="黑体"/>
          <w:sz w:val="21"/>
          <w:szCs w:val="21"/>
          <w:lang w:val="en-US" w:eastAsia="zh-CN"/>
        </w:rPr>
        <w:t>2</w:t>
      </w:r>
      <w:r>
        <w:rPr>
          <w:rFonts w:hint="eastAsia" w:ascii="黑体" w:hAnsi="黑体" w:eastAsia="黑体" w:cs="黑体"/>
          <w:sz w:val="21"/>
          <w:szCs w:val="21"/>
        </w:rPr>
        <w:t>.3</w:t>
      </w:r>
      <w:r>
        <w:rPr>
          <w:rFonts w:hint="eastAsia" w:ascii="黑体" w:hAnsi="黑体" w:eastAsia="黑体" w:cs="黑体"/>
          <w:sz w:val="21"/>
          <w:szCs w:val="21"/>
        </w:rPr>
        <w:fldChar w:fldCharType="end"/>
      </w:r>
      <w:r>
        <w:rPr>
          <w:rFonts w:hint="eastAsia" w:ascii="黑体" w:hAnsi="黑体" w:eastAsia="黑体" w:cs="黑体"/>
          <w:sz w:val="21"/>
          <w:szCs w:val="21"/>
        </w:rPr>
        <w:noBreakHyphen/>
      </w:r>
      <w:r>
        <w:rPr>
          <w:rFonts w:hint="eastAsia" w:ascii="黑体" w:hAnsi="黑体" w:eastAsia="黑体" w:cs="黑体"/>
          <w:sz w:val="21"/>
          <w:szCs w:val="21"/>
          <w:lang w:val="en-US" w:eastAsia="zh-CN"/>
        </w:rPr>
        <w:t>5</w:t>
      </w:r>
      <w:r>
        <w:rPr>
          <w:rFonts w:hint="eastAsia" w:ascii="黑体" w:hAnsi="黑体" w:eastAsia="黑体" w:cs="黑体"/>
          <w:sz w:val="21"/>
          <w:szCs w:val="21"/>
        </w:rPr>
        <w:t>五至九层设备间平面布局图</w:t>
      </w:r>
    </w:p>
    <w:p>
      <w:pPr>
        <w:ind w:firstLine="420"/>
        <w:jc w:val="center"/>
        <w:rPr>
          <w:rFonts w:hint="eastAsia" w:ascii="黑体" w:hAnsi="黑体" w:eastAsia="黑体" w:cs="黑体"/>
          <w:sz w:val="21"/>
          <w:szCs w:val="21"/>
        </w:rPr>
      </w:pPr>
    </w:p>
    <w:p>
      <w:pPr>
        <w:pStyle w:val="5"/>
      </w:pPr>
      <w:bookmarkStart w:id="401" w:name="_Toc1183"/>
      <w:bookmarkStart w:id="402" w:name="_Toc27322"/>
      <w:bookmarkStart w:id="403" w:name="_Toc23964"/>
      <w:bookmarkStart w:id="404" w:name="_Toc9202"/>
      <w:r>
        <w:rPr>
          <w:rFonts w:hint="eastAsia"/>
        </w:rPr>
        <w:t>网络设备间装修方案</w:t>
      </w:r>
      <w:bookmarkEnd w:id="401"/>
      <w:bookmarkEnd w:id="402"/>
      <w:bookmarkEnd w:id="403"/>
      <w:bookmarkEnd w:id="404"/>
    </w:p>
    <w:p>
      <w:pPr>
        <w:numPr>
          <w:ilvl w:val="0"/>
          <w:numId w:val="2"/>
        </w:numPr>
        <w:ind w:firstLineChars="0"/>
        <w:rPr>
          <w:bCs/>
          <w:kern w:val="0"/>
        </w:rPr>
      </w:pPr>
      <w:r>
        <w:rPr>
          <w:rFonts w:hint="eastAsia"/>
          <w:bCs/>
          <w:kern w:val="0"/>
        </w:rPr>
        <w:t>对土建结构方面的要求</w:t>
      </w:r>
    </w:p>
    <w:p>
      <w:pPr>
        <w:widowControl/>
        <w:spacing w:after="120"/>
        <w:ind w:firstLine="454" w:firstLineChars="0"/>
        <w:rPr>
          <w:rFonts w:cs="Times New Roman"/>
          <w:kern w:val="0"/>
          <w:szCs w:val="21"/>
        </w:rPr>
      </w:pPr>
      <w:r>
        <w:rPr>
          <w:rFonts w:hint="eastAsia" w:cs="Times New Roman"/>
          <w:kern w:val="0"/>
          <w:szCs w:val="21"/>
        </w:rPr>
        <w:t>1.</w:t>
      </w:r>
      <w:r>
        <w:rPr>
          <w:rFonts w:hint="eastAsia"/>
        </w:rPr>
        <w:t>网络设备间</w:t>
      </w:r>
      <w:r>
        <w:rPr>
          <w:rFonts w:hint="eastAsia" w:cs="Times New Roman"/>
          <w:kern w:val="0"/>
          <w:szCs w:val="21"/>
        </w:rPr>
        <w:t>的建筑平面和空间布局应具有适当的灵活性，主体结构宜彩大开间大跨度的柱网，内隔墙宜具有一定的可变性。</w:t>
      </w:r>
    </w:p>
    <w:p>
      <w:pPr>
        <w:widowControl/>
        <w:spacing w:after="120"/>
        <w:ind w:firstLine="454" w:firstLineChars="0"/>
        <w:rPr>
          <w:rFonts w:cs="Times New Roman"/>
          <w:kern w:val="0"/>
          <w:szCs w:val="21"/>
        </w:rPr>
      </w:pPr>
      <w:r>
        <w:rPr>
          <w:rFonts w:hint="eastAsia" w:cs="Times New Roman"/>
          <w:kern w:val="0"/>
          <w:szCs w:val="21"/>
        </w:rPr>
        <w:t>2.</w:t>
      </w:r>
      <w:r>
        <w:rPr>
          <w:rFonts w:hint="eastAsia"/>
        </w:rPr>
        <w:t>网络设备间</w:t>
      </w:r>
      <w:r>
        <w:rPr>
          <w:rFonts w:hint="eastAsia" w:cs="Times New Roman"/>
          <w:kern w:val="0"/>
          <w:szCs w:val="21"/>
        </w:rPr>
        <w:t>净高，应按机械高度和通风要求确定，宜为2.4～3.0M。</w:t>
      </w:r>
    </w:p>
    <w:p>
      <w:pPr>
        <w:widowControl/>
        <w:spacing w:after="120"/>
        <w:ind w:firstLine="454" w:firstLineChars="0"/>
        <w:rPr>
          <w:rFonts w:cs="Times New Roman"/>
          <w:kern w:val="0"/>
          <w:szCs w:val="21"/>
        </w:rPr>
      </w:pPr>
      <w:r>
        <w:rPr>
          <w:rFonts w:hint="eastAsia" w:cs="Times New Roman"/>
          <w:kern w:val="0"/>
          <w:szCs w:val="21"/>
        </w:rPr>
        <w:t>3.</w:t>
      </w:r>
      <w:r>
        <w:rPr>
          <w:rFonts w:hint="eastAsia"/>
        </w:rPr>
        <w:t>网络设备间</w:t>
      </w:r>
      <w:r>
        <w:rPr>
          <w:rFonts w:hint="eastAsia" w:cs="Times New Roman"/>
          <w:kern w:val="0"/>
          <w:szCs w:val="21"/>
        </w:rPr>
        <w:t>的楼板荷载可按5.0～7.5KN/M2设计。UPS电源处的楼板荷载可按8.0～12KN/M2设计。蓄电池区域的楼板荷载可按1</w:t>
      </w:r>
      <w:r>
        <w:rPr>
          <w:rFonts w:cs="Times New Roman"/>
          <w:kern w:val="0"/>
          <w:szCs w:val="21"/>
        </w:rPr>
        <w:t>6</w:t>
      </w:r>
      <w:r>
        <w:rPr>
          <w:rFonts w:hint="eastAsia" w:cs="Times New Roman"/>
          <w:kern w:val="0"/>
          <w:szCs w:val="21"/>
        </w:rPr>
        <w:t>KN/M2设计。</w:t>
      </w:r>
    </w:p>
    <w:p>
      <w:pPr>
        <w:widowControl/>
        <w:spacing w:after="120"/>
        <w:ind w:firstLine="454" w:firstLineChars="0"/>
        <w:rPr>
          <w:rFonts w:cs="Times New Roman"/>
          <w:kern w:val="0"/>
          <w:szCs w:val="21"/>
        </w:rPr>
      </w:pPr>
      <w:r>
        <w:rPr>
          <w:rFonts w:hint="eastAsia" w:cs="Times New Roman"/>
          <w:kern w:val="0"/>
          <w:szCs w:val="21"/>
        </w:rPr>
        <w:t>4.</w:t>
      </w:r>
      <w:r>
        <w:rPr>
          <w:rFonts w:hint="eastAsia"/>
        </w:rPr>
        <w:t>网络设备间</w:t>
      </w:r>
      <w:r>
        <w:rPr>
          <w:rFonts w:hint="eastAsia" w:cs="Times New Roman"/>
          <w:kern w:val="0"/>
          <w:szCs w:val="21"/>
        </w:rPr>
        <w:t>主体结构应具有耐久、抗震、防火、防止不均匀沉陷等性能。变形缝和伸缩缝不应穿过主设备间。</w:t>
      </w:r>
    </w:p>
    <w:p>
      <w:pPr>
        <w:widowControl/>
        <w:spacing w:after="120"/>
        <w:ind w:firstLine="454" w:firstLineChars="0"/>
        <w:rPr>
          <w:rFonts w:cs="Times New Roman"/>
          <w:kern w:val="0"/>
          <w:szCs w:val="21"/>
        </w:rPr>
      </w:pPr>
      <w:r>
        <w:rPr>
          <w:rFonts w:hint="eastAsia" w:cs="Times New Roman"/>
          <w:kern w:val="0"/>
          <w:szCs w:val="21"/>
        </w:rPr>
        <w:t>5.</w:t>
      </w:r>
      <w:r>
        <w:rPr>
          <w:rFonts w:hint="eastAsia"/>
        </w:rPr>
        <w:t>网络设备间</w:t>
      </w:r>
      <w:r>
        <w:rPr>
          <w:rFonts w:hint="eastAsia" w:cs="Times New Roman"/>
          <w:kern w:val="0"/>
          <w:szCs w:val="21"/>
        </w:rPr>
        <w:t>中各类管线宜暗敷，当管线需穿楼层时，宜设技术竖井。</w:t>
      </w:r>
    </w:p>
    <w:p>
      <w:pPr>
        <w:widowControl/>
        <w:spacing w:after="120"/>
        <w:ind w:firstLine="454" w:firstLineChars="0"/>
        <w:rPr>
          <w:rFonts w:cs="Times New Roman"/>
          <w:kern w:val="0"/>
          <w:szCs w:val="21"/>
        </w:rPr>
      </w:pPr>
      <w:r>
        <w:rPr>
          <w:rFonts w:hint="eastAsia" w:cs="Times New Roman"/>
          <w:kern w:val="0"/>
          <w:szCs w:val="21"/>
        </w:rPr>
        <w:t>6.室内顶棚上安装的灯具、风口、火灾探测器及喷嘴等应协调布置，并应满足各专业的技术要求。</w:t>
      </w:r>
    </w:p>
    <w:p>
      <w:pPr>
        <w:widowControl/>
        <w:spacing w:after="120"/>
        <w:ind w:firstLine="454" w:firstLineChars="0"/>
        <w:rPr>
          <w:rFonts w:cs="Times New Roman"/>
          <w:kern w:val="0"/>
          <w:szCs w:val="21"/>
        </w:rPr>
      </w:pPr>
      <w:r>
        <w:rPr>
          <w:rFonts w:hint="eastAsia" w:cs="Times New Roman"/>
          <w:kern w:val="0"/>
          <w:szCs w:val="21"/>
        </w:rPr>
        <w:t>7.网络设备间围护结构的构造和材料应满足保温、隔热、防火等要求。</w:t>
      </w:r>
    </w:p>
    <w:p>
      <w:pPr>
        <w:widowControl/>
        <w:spacing w:after="120"/>
        <w:ind w:firstLine="454" w:firstLineChars="0"/>
        <w:rPr>
          <w:rFonts w:cs="Times New Roman"/>
          <w:kern w:val="0"/>
          <w:szCs w:val="21"/>
        </w:rPr>
      </w:pPr>
      <w:r>
        <w:rPr>
          <w:rFonts w:hint="eastAsia" w:cs="Times New Roman"/>
          <w:kern w:val="0"/>
          <w:szCs w:val="21"/>
        </w:rPr>
        <w:t>8.网络设备间各门的尺寸均应保证设备运输方便。</w:t>
      </w:r>
    </w:p>
    <w:p>
      <w:pPr>
        <w:widowControl/>
        <w:numPr>
          <w:ilvl w:val="0"/>
          <w:numId w:val="2"/>
        </w:numPr>
        <w:spacing w:after="120" w:line="240" w:lineRule="atLeast"/>
        <w:ind w:firstLineChars="0"/>
        <w:rPr>
          <w:rFonts w:cs="Times New Roman"/>
          <w:kern w:val="0"/>
          <w:szCs w:val="21"/>
        </w:rPr>
      </w:pPr>
      <w:r>
        <w:rPr>
          <w:rFonts w:hint="eastAsia" w:cs="Times New Roman"/>
          <w:kern w:val="0"/>
          <w:szCs w:val="21"/>
        </w:rPr>
        <w:t>地面工程</w:t>
      </w:r>
    </w:p>
    <w:p>
      <w:pPr>
        <w:ind w:firstLine="480"/>
      </w:pPr>
      <w:r>
        <w:rPr>
          <w:rFonts w:hint="eastAsia"/>
        </w:rPr>
        <w:t>网络设备间</w:t>
      </w:r>
      <w:r>
        <w:t>地面采用架空防静电地板</w:t>
      </w:r>
      <w:r>
        <w:rPr>
          <w:rFonts w:hint="eastAsia"/>
        </w:rPr>
        <w:t>。为使水泥砂浆地面达到不起尘、不产尘、保证空调送风系统的空气洁净度，地面需要先涮防尘漆做防尘处理。活动地板的种类较多，根据基板材料可分为：铝合金、全钢、中密度刨花板。建议设备间选用全钢防静电活动地板，在保证耐用度的基础上实现协调的装饰效果。</w:t>
      </w:r>
    </w:p>
    <w:p>
      <w:pPr>
        <w:widowControl/>
        <w:numPr>
          <w:ilvl w:val="0"/>
          <w:numId w:val="2"/>
        </w:numPr>
        <w:spacing w:after="120" w:line="240" w:lineRule="atLeast"/>
        <w:ind w:firstLineChars="0"/>
        <w:rPr>
          <w:rFonts w:cs="Times New Roman"/>
          <w:kern w:val="0"/>
          <w:szCs w:val="21"/>
        </w:rPr>
      </w:pPr>
      <w:r>
        <w:rPr>
          <w:rFonts w:hint="eastAsia" w:cs="Times New Roman"/>
          <w:kern w:val="0"/>
          <w:szCs w:val="21"/>
        </w:rPr>
        <w:t>墙面工程</w:t>
      </w:r>
    </w:p>
    <w:p>
      <w:pPr>
        <w:ind w:firstLine="480"/>
      </w:pPr>
      <w:r>
        <w:rPr>
          <w:rFonts w:hint="eastAsia"/>
        </w:rPr>
        <w:t>墙面处理是指采用在设备间建筑物的墙面、柱面上进行防尘、防潮、防水、保温处理，同时使房屋内部平整、光滑，清洁美观，改善采光条件，增强保温、隔热、隔音、防尘等性能从而改善环境条件。设备间墙面、地面及梁面上刷防霉、防潮漆，涂防水油膏，进行防尘处理、确保洁净度高、不产生粉尘、耐久性高、不产生龟裂、眩光，同时起到防水、防潮、防霉的效果。</w:t>
      </w:r>
    </w:p>
    <w:p>
      <w:pPr>
        <w:widowControl/>
        <w:numPr>
          <w:ilvl w:val="0"/>
          <w:numId w:val="2"/>
        </w:numPr>
        <w:spacing w:after="120" w:line="240" w:lineRule="atLeast"/>
        <w:ind w:firstLineChars="0"/>
        <w:rPr>
          <w:rFonts w:cs="Times New Roman"/>
          <w:kern w:val="0"/>
          <w:szCs w:val="21"/>
        </w:rPr>
      </w:pPr>
      <w:r>
        <w:rPr>
          <w:rFonts w:hint="eastAsia" w:cs="Times New Roman"/>
          <w:kern w:val="0"/>
          <w:szCs w:val="21"/>
        </w:rPr>
        <w:t>天花吊顶工程</w:t>
      </w:r>
    </w:p>
    <w:p>
      <w:pPr>
        <w:ind w:firstLine="480"/>
      </w:pPr>
      <w:r>
        <w:rPr>
          <w:rFonts w:hint="eastAsia"/>
        </w:rPr>
        <w:t>根据网络设备间的具体建筑结构情况，整个网络设备间为了确保保温和消防需要；全部采用规格为600×600×0.8mm的微孔铝制天花板进行铺设，天花板美观、耐用，防火、防潮，同时与设备间屏蔽网一起组成一个完整的屏蔽系统，具抗静电、抗干扰的作用。</w:t>
      </w:r>
    </w:p>
    <w:p>
      <w:pPr>
        <w:ind w:firstLine="480"/>
      </w:pPr>
      <w:r>
        <w:rPr>
          <w:rFonts w:hint="eastAsia"/>
        </w:rPr>
        <w:t>为保持网络设备间环境洁净度和保持网络设备间温度均衡，建议采用铝泊制保温棉作天花、墙面、地面保温使设备间具有防潮、防尘、保温的性能。</w:t>
      </w:r>
    </w:p>
    <w:p>
      <w:pPr>
        <w:widowControl/>
        <w:numPr>
          <w:ilvl w:val="0"/>
          <w:numId w:val="2"/>
        </w:numPr>
        <w:spacing w:after="120" w:line="240" w:lineRule="atLeast"/>
        <w:ind w:firstLineChars="0"/>
        <w:rPr>
          <w:rFonts w:cs="Times New Roman"/>
          <w:kern w:val="0"/>
          <w:szCs w:val="21"/>
        </w:rPr>
      </w:pPr>
      <w:r>
        <w:rPr>
          <w:rFonts w:cs="Times New Roman"/>
          <w:kern w:val="0"/>
          <w:szCs w:val="21"/>
        </w:rPr>
        <w:t>照明工程</w:t>
      </w:r>
    </w:p>
    <w:p>
      <w:pPr>
        <w:ind w:firstLine="480"/>
      </w:pPr>
      <w:r>
        <w:rPr>
          <w:rFonts w:hint="eastAsia"/>
        </w:rPr>
        <w:t>照明灯具采用嵌入式安装。事故照明用备用电源自投自复配电箱，市电与UPS电源自动切换。灯具内部配线采用多股铜芯导线，灯具的软线两端接入灯口之前均应压扁并搪锡，使软线与固定螺丝接触良好。灯具的接地线或接零线，必须用灯具专用接地螺丝并加垫圈和弹簧垫圈压紧。在网络设备间内安装嵌装灯具固定在吊顶板预留洞孔内专设的框架上。灯上边框外缘紧贴在吊顶板上，并与吊顶金属明龙骨平行。在设备间内所有照明线都必须穿钢管或者金属软管并留有余量。电源线应通过绝缘垫圈进入灯具，不应贴近灯具外壳。灯具正常照明电源由市电供给，由市电柜中的断路器、房间区域安装于墙面上的跷板开关控制。</w:t>
      </w:r>
    </w:p>
    <w:p>
      <w:pPr>
        <w:widowControl/>
        <w:spacing w:after="120"/>
        <w:ind w:firstLine="424" w:firstLineChars="177"/>
      </w:pPr>
      <w:r>
        <w:rPr>
          <w:rFonts w:hint="eastAsia"/>
        </w:rPr>
        <w:t>网络设备间的照明光源一般采用LED灯作为主要光源，设备间内0.8m水平面照度为75～100lx。设备间内安装带有保护接地的三孔插座（每个按220V/10A考虑），其电源与照明电源独立，安装高度距防静电地板0.3m。设备间照明、应急照明和插座电源线均采用ZR-BVV-2.5mm2阻燃电力线。</w:t>
      </w:r>
    </w:p>
    <w:p>
      <w:pPr>
        <w:pStyle w:val="5"/>
      </w:pPr>
      <w:bookmarkStart w:id="405" w:name="_Toc32587"/>
      <w:bookmarkStart w:id="406" w:name="_Toc13083"/>
      <w:bookmarkStart w:id="407" w:name="_Toc11197"/>
      <w:bookmarkStart w:id="408" w:name="_Toc28032"/>
      <w:r>
        <w:rPr>
          <w:rFonts w:hint="eastAsia"/>
        </w:rPr>
        <w:t>网络设备间防雷接地方案</w:t>
      </w:r>
      <w:bookmarkEnd w:id="405"/>
      <w:bookmarkEnd w:id="406"/>
      <w:bookmarkEnd w:id="407"/>
      <w:bookmarkEnd w:id="408"/>
    </w:p>
    <w:p>
      <w:pPr>
        <w:ind w:firstLine="480"/>
      </w:pPr>
      <w:r>
        <w:rPr>
          <w:rFonts w:hint="eastAsia"/>
        </w:rPr>
        <w:t>网络设备间的防雷和接地设计，应满足人身安全及电子信息系统正常运行的要求，并应符合现行国家标准《建筑物防雷设计规范》GB50057和《建筑物电子信息系统防雷技术规范》GB50343的有关规定。</w:t>
      </w:r>
    </w:p>
    <w:p>
      <w:pPr>
        <w:ind w:firstLine="480"/>
      </w:pPr>
      <w:r>
        <w:rPr>
          <w:rFonts w:hint="eastAsia"/>
        </w:rPr>
        <w:t>保护性接地和功能性接地宜共用一组接地装置，</w:t>
      </w:r>
      <w:r>
        <w:rPr>
          <w:rFonts w:hint="eastAsia"/>
          <w:szCs w:val="24"/>
        </w:rPr>
        <w:t>接地系统采用联合接地方式，在室内采用紫铜带与楼柱钢筋连接，制作少于1欧姆的接地极。</w:t>
      </w:r>
    </w:p>
    <w:p>
      <w:pPr>
        <w:ind w:firstLine="480"/>
      </w:pPr>
      <w:r>
        <w:rPr>
          <w:rFonts w:hint="eastAsia"/>
        </w:rPr>
        <w:t>网络设备间内所有设备的金属外壳、各类金属管道、金属线槽、建筑物金属结构等必须进行等电位联结并接地。网络设备间设置等电位联结网格，网格四周应设置等电位联结带，并应通过等电位联结导体将等电位联结带就近与接地汇流排、各类金属管道、金属线槽、建筑物金属结构等进行连接。每台电子信息设备（机柜）应采用两根不同长度的等电位联结导体就近与等电位联结网格连接。等电位联结网格应采用截面积不小于25mm2的铜带或裸铜线，并应在防静电活动地板下构成边长为0.6m～3m的矩形网格。</w:t>
      </w:r>
    </w:p>
    <w:p>
      <w:pPr>
        <w:pStyle w:val="4"/>
        <w:bidi w:val="0"/>
      </w:pPr>
      <w:bookmarkStart w:id="409" w:name="_Toc14635"/>
      <w:bookmarkStart w:id="410" w:name="_Toc246"/>
      <w:bookmarkStart w:id="411" w:name="_Toc5071"/>
      <w:bookmarkStart w:id="412" w:name="_Toc22242"/>
      <w:r>
        <w:rPr>
          <w:rFonts w:hint="eastAsia"/>
        </w:rPr>
        <w:t>计算机网络系统</w:t>
      </w:r>
      <w:bookmarkEnd w:id="392"/>
      <w:bookmarkEnd w:id="409"/>
      <w:bookmarkEnd w:id="410"/>
      <w:bookmarkEnd w:id="411"/>
      <w:bookmarkEnd w:id="412"/>
    </w:p>
    <w:p>
      <w:pPr>
        <w:pStyle w:val="5"/>
      </w:pPr>
      <w:bookmarkStart w:id="413" w:name="_Toc31240"/>
      <w:bookmarkStart w:id="414" w:name="_Toc23561"/>
      <w:bookmarkStart w:id="415" w:name="_Toc13808"/>
      <w:bookmarkStart w:id="416" w:name="_Toc11173"/>
      <w:bookmarkStart w:id="417" w:name="_Toc168"/>
      <w:bookmarkStart w:id="418" w:name="_Toc5650"/>
      <w:bookmarkStart w:id="419" w:name="_Toc31539"/>
      <w:bookmarkStart w:id="420" w:name="_Toc5388"/>
      <w:bookmarkStart w:id="421" w:name="_Toc25602"/>
      <w:bookmarkStart w:id="422" w:name="_Toc29434"/>
      <w:bookmarkStart w:id="423" w:name="_Toc17357"/>
      <w:bookmarkStart w:id="424" w:name="_Toc864"/>
      <w:bookmarkStart w:id="425" w:name="_Toc877"/>
      <w:bookmarkStart w:id="426" w:name="_Toc27617"/>
      <w:r>
        <w:rPr>
          <w:rFonts w:hint="eastAsia"/>
        </w:rPr>
        <w:t>系统概述</w:t>
      </w:r>
      <w:bookmarkEnd w:id="413"/>
      <w:bookmarkEnd w:id="414"/>
      <w:bookmarkEnd w:id="415"/>
      <w:bookmarkEnd w:id="416"/>
    </w:p>
    <w:p>
      <w:pPr>
        <w:ind w:firstLine="480"/>
      </w:pPr>
      <w:r>
        <w:rPr>
          <w:rFonts w:hint="eastAsia"/>
        </w:rPr>
        <w:t>计算机网络系统需满足进驻市民服务中心所有部门对网络的使用要求，根据市民服务中心建成后入驻部门分析，结合各部门业务需求，规划建设政务外网局域网（政数办公、服务大厅、业务监控），满足市民服务中心所有窗口办公、后台办公人员作业需求、业务系统数据传输需求等。承载接入业务终端、办公终端、自助终端、信息发布、讨论室及多功能厅、各类信息化终端等。</w:t>
      </w:r>
    </w:p>
    <w:p>
      <w:pPr>
        <w:pStyle w:val="5"/>
      </w:pPr>
      <w:bookmarkStart w:id="427" w:name="_Toc27224"/>
      <w:bookmarkStart w:id="428" w:name="_Toc9021"/>
      <w:bookmarkStart w:id="429" w:name="_Toc16984"/>
      <w:bookmarkStart w:id="430" w:name="_Toc6366"/>
      <w:r>
        <w:rPr>
          <w:rFonts w:hint="eastAsia"/>
          <w:lang w:val="en-US" w:eastAsia="zh-CN"/>
        </w:rPr>
        <w:t>建设</w:t>
      </w:r>
      <w:r>
        <w:rPr>
          <w:rFonts w:hint="eastAsia"/>
        </w:rPr>
        <w:t>原则</w:t>
      </w:r>
      <w:bookmarkEnd w:id="427"/>
      <w:bookmarkEnd w:id="428"/>
      <w:bookmarkEnd w:id="429"/>
      <w:bookmarkEnd w:id="430"/>
    </w:p>
    <w:p>
      <w:pPr>
        <w:ind w:firstLine="480"/>
        <w:rPr>
          <w:szCs w:val="24"/>
        </w:rPr>
      </w:pPr>
      <w:r>
        <w:rPr>
          <w:rFonts w:hint="eastAsia"/>
          <w:szCs w:val="24"/>
        </w:rPr>
        <w:t>本次网络系统在方案设计时充分考虑以下几点：</w:t>
      </w:r>
    </w:p>
    <w:p>
      <w:pPr>
        <w:numPr>
          <w:ilvl w:val="0"/>
          <w:numId w:val="3"/>
        </w:numPr>
        <w:autoSpaceDE w:val="0"/>
        <w:autoSpaceDN w:val="0"/>
        <w:adjustRightInd w:val="0"/>
        <w:ind w:firstLineChars="0"/>
      </w:pPr>
      <w:r>
        <w:rPr>
          <w:rFonts w:hint="eastAsia"/>
          <w:szCs w:val="24"/>
        </w:rPr>
        <w:t>可靠性及强大的多级容错能力，保证信息的稳定传输、统计、发布。</w:t>
      </w:r>
    </w:p>
    <w:p>
      <w:pPr>
        <w:numPr>
          <w:ilvl w:val="0"/>
          <w:numId w:val="3"/>
        </w:numPr>
        <w:autoSpaceDE w:val="0"/>
        <w:autoSpaceDN w:val="0"/>
        <w:adjustRightInd w:val="0"/>
        <w:ind w:firstLineChars="0"/>
      </w:pPr>
      <w:r>
        <w:rPr>
          <w:rFonts w:hint="eastAsia"/>
          <w:szCs w:val="24"/>
        </w:rPr>
        <w:t>强大的安全防护能力，最大限度保证信息数据的安全性。</w:t>
      </w:r>
    </w:p>
    <w:p>
      <w:pPr>
        <w:numPr>
          <w:ilvl w:val="0"/>
          <w:numId w:val="3"/>
        </w:numPr>
        <w:autoSpaceDE w:val="0"/>
        <w:autoSpaceDN w:val="0"/>
        <w:adjustRightInd w:val="0"/>
        <w:ind w:firstLineChars="0"/>
      </w:pPr>
      <w:r>
        <w:rPr>
          <w:rFonts w:hint="eastAsia"/>
          <w:szCs w:val="24"/>
        </w:rPr>
        <w:t>高带宽、大容量，满足用户所需要的信息传输、发布的容量需要。</w:t>
      </w:r>
    </w:p>
    <w:p>
      <w:pPr>
        <w:numPr>
          <w:ilvl w:val="0"/>
          <w:numId w:val="3"/>
        </w:numPr>
        <w:autoSpaceDE w:val="0"/>
        <w:autoSpaceDN w:val="0"/>
        <w:adjustRightInd w:val="0"/>
        <w:ind w:firstLineChars="0"/>
      </w:pPr>
      <w:r>
        <w:rPr>
          <w:rFonts w:hint="eastAsia"/>
          <w:szCs w:val="24"/>
        </w:rPr>
        <w:t>易管理，易维护，系统管理的工作应尽可能的集中、简化。</w:t>
      </w:r>
    </w:p>
    <w:p>
      <w:pPr>
        <w:numPr>
          <w:ilvl w:val="0"/>
          <w:numId w:val="3"/>
        </w:numPr>
        <w:autoSpaceDE w:val="0"/>
        <w:autoSpaceDN w:val="0"/>
        <w:adjustRightInd w:val="0"/>
        <w:ind w:firstLineChars="0"/>
      </w:pPr>
      <w:r>
        <w:rPr>
          <w:rFonts w:hint="eastAsia"/>
          <w:szCs w:val="24"/>
        </w:rPr>
        <w:t>扩充性强，可与新技术衔接和升级。</w:t>
      </w:r>
    </w:p>
    <w:p>
      <w:pPr>
        <w:numPr>
          <w:ilvl w:val="0"/>
          <w:numId w:val="3"/>
        </w:numPr>
        <w:autoSpaceDE w:val="0"/>
        <w:autoSpaceDN w:val="0"/>
        <w:adjustRightInd w:val="0"/>
        <w:ind w:firstLineChars="0"/>
      </w:pPr>
      <w:r>
        <w:rPr>
          <w:rFonts w:hint="eastAsia"/>
          <w:szCs w:val="24"/>
        </w:rPr>
        <w:t>支持国际标准和工业标准的网络通信协议，支持与异种网络的互连能力。</w:t>
      </w:r>
    </w:p>
    <w:p>
      <w:pPr>
        <w:pStyle w:val="5"/>
      </w:pPr>
      <w:bookmarkStart w:id="431" w:name="_Toc18253"/>
      <w:bookmarkStart w:id="432" w:name="_Toc16210"/>
      <w:bookmarkStart w:id="433" w:name="_Toc6274"/>
      <w:bookmarkStart w:id="434" w:name="_Toc7379"/>
      <w:r>
        <w:rPr>
          <w:rFonts w:hint="eastAsia"/>
        </w:rPr>
        <w:t>计算机网络整体架构规划</w:t>
      </w:r>
      <w:bookmarkEnd w:id="431"/>
      <w:bookmarkEnd w:id="432"/>
      <w:bookmarkEnd w:id="433"/>
      <w:bookmarkEnd w:id="434"/>
    </w:p>
    <w:p>
      <w:pPr>
        <w:widowControl/>
        <w:ind w:firstLine="480"/>
      </w:pPr>
      <w:r>
        <w:rPr>
          <w:rFonts w:hint="eastAsia"/>
        </w:rPr>
        <w:t>根据网络实际需求情况（网络信息点分布、上网信息流量分析、业务信息需求）采用合适的网络技术进行合理的设备选型，在网络的性能、可靠性、扩展能力方面进行优化组合和综合平衡，既作到拓扑层次清晰、管理方便、扩展灵活、可靠性高，又不能盲目追求设备档次，造成投资浪费。</w:t>
      </w:r>
    </w:p>
    <w:p>
      <w:pPr>
        <w:widowControl/>
        <w:ind w:firstLine="480"/>
        <w:rPr>
          <w:snapToGrid w:val="0"/>
          <w:kern w:val="0"/>
          <w:szCs w:val="24"/>
        </w:rPr>
      </w:pPr>
      <w:r>
        <w:rPr>
          <w:rFonts w:hint="eastAsia"/>
        </w:rPr>
        <w:t>本</w:t>
      </w:r>
      <w:r>
        <w:rPr>
          <w:rFonts w:hint="eastAsia"/>
          <w:lang w:val="en-US" w:eastAsia="zh-CN"/>
        </w:rPr>
        <w:t>项目</w:t>
      </w:r>
      <w:r>
        <w:rPr>
          <w:rFonts w:hint="eastAsia"/>
        </w:rPr>
        <w:t>有线网络采用三层组网设计，即核心层、汇聚层、接入层三个部分，</w:t>
      </w:r>
      <w:r>
        <w:rPr>
          <w:rFonts w:hint="eastAsia"/>
          <w:snapToGrid w:val="0"/>
          <w:kern w:val="0"/>
          <w:szCs w:val="24"/>
        </w:rPr>
        <w:t>接入层采用千兆电链路到电脑、叫号设备、摄像头等终端，千兆光链路连接至汇聚交换机，汇聚采用万兆光链路上行至核心交换机。</w:t>
      </w:r>
    </w:p>
    <w:p>
      <w:pPr>
        <w:pStyle w:val="6"/>
        <w:tabs>
          <w:tab w:val="left" w:pos="0"/>
        </w:tabs>
      </w:pPr>
      <w:r>
        <w:rPr>
          <w:rFonts w:hint="eastAsia"/>
        </w:rPr>
        <w:t>核心层规划</w:t>
      </w:r>
    </w:p>
    <w:p>
      <w:pPr>
        <w:ind w:firstLine="480"/>
        <w:rPr>
          <w:snapToGrid w:val="0"/>
          <w:kern w:val="0"/>
          <w:szCs w:val="24"/>
        </w:rPr>
      </w:pPr>
      <w:r>
        <w:rPr>
          <w:rFonts w:hint="eastAsia"/>
          <w:snapToGrid w:val="0"/>
          <w:kern w:val="0"/>
          <w:szCs w:val="24"/>
          <w:lang w:val="en-US" w:eastAsia="zh-CN"/>
        </w:rPr>
        <w:t>本项目计划利旧原有核心交换机，市民服务中心的局域网设备通过租用运营商光纤链路上联至原有核心交换机</w:t>
      </w:r>
      <w:r>
        <w:rPr>
          <w:rFonts w:hint="eastAsia"/>
          <w:snapToGrid w:val="0"/>
          <w:kern w:val="0"/>
          <w:szCs w:val="24"/>
        </w:rPr>
        <w:t>。</w:t>
      </w:r>
    </w:p>
    <w:p>
      <w:pPr>
        <w:pStyle w:val="6"/>
        <w:tabs>
          <w:tab w:val="left" w:pos="0"/>
        </w:tabs>
      </w:pPr>
      <w:r>
        <w:rPr>
          <w:rFonts w:hint="eastAsia"/>
        </w:rPr>
        <w:t>汇聚层规划</w:t>
      </w:r>
    </w:p>
    <w:p>
      <w:pPr>
        <w:ind w:firstLine="480"/>
      </w:pPr>
      <w:r>
        <w:rPr>
          <w:rFonts w:hint="eastAsia"/>
        </w:rPr>
        <w:t>汇聚层是每个区域的汇聚点，汇聚层的设备用来转发本区域用户到其他区域用户的横向流量，同时发送本区域用户流量到核心层。汇聚层将大量用户接入到互联的网络中，模块化扩展接入核心层设备的用户数量，需具有高带宽、高端口密度、高转发性能等特点，用于支撑该汇聚层下各业务部门之间的流量。</w:t>
      </w:r>
    </w:p>
    <w:p>
      <w:pPr>
        <w:ind w:firstLine="480"/>
      </w:pPr>
      <w:r>
        <w:rPr>
          <w:rFonts w:hint="eastAsia"/>
        </w:rPr>
        <w:t>本次方案在一层弱电设备间部署全光汇聚交换机，通过千兆光链路联接所属区域的接入交换机，采用万兆光链路上行联接至政务外网核心交换机上，实现业务数据转发处理。</w:t>
      </w:r>
    </w:p>
    <w:p>
      <w:pPr>
        <w:ind w:firstLine="480"/>
      </w:pPr>
      <w:r>
        <w:rPr>
          <w:rFonts w:hint="eastAsia"/>
        </w:rPr>
        <w:t>其中设备分布如下：</w:t>
      </w:r>
    </w:p>
    <w:p>
      <w:pPr>
        <w:ind w:firstLine="0" w:firstLineChars="0"/>
        <w:jc w:val="center"/>
        <w:rPr>
          <w:rFonts w:ascii="黑体" w:hAnsi="黑体" w:eastAsia="黑体" w:cs="黑体"/>
          <w:sz w:val="21"/>
          <w:szCs w:val="21"/>
        </w:rPr>
      </w:pPr>
      <w:r>
        <w:rPr>
          <w:rFonts w:hint="eastAsia" w:ascii="黑体" w:hAnsi="黑体" w:eastAsia="黑体" w:cs="黑体"/>
          <w:sz w:val="21"/>
          <w:szCs w:val="21"/>
        </w:rPr>
        <w:t xml:space="preserve">表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STYLEREF 2 \s </w:instrText>
      </w:r>
      <w:r>
        <w:rPr>
          <w:rFonts w:hint="eastAsia" w:ascii="黑体" w:hAnsi="黑体" w:eastAsia="黑体" w:cs="黑体"/>
          <w:sz w:val="21"/>
          <w:szCs w:val="21"/>
        </w:rPr>
        <w:fldChar w:fldCharType="separate"/>
      </w:r>
      <w:r>
        <w:rPr>
          <w:rFonts w:hint="eastAsia" w:ascii="黑体" w:hAnsi="黑体" w:eastAsia="黑体" w:cs="黑体"/>
          <w:sz w:val="21"/>
          <w:szCs w:val="21"/>
          <w:lang w:val="en-US" w:eastAsia="zh-CN"/>
        </w:rPr>
        <w:t>2</w:t>
      </w:r>
      <w:r>
        <w:rPr>
          <w:rFonts w:ascii="黑体" w:hAnsi="黑体" w:eastAsia="黑体" w:cs="黑体"/>
          <w:sz w:val="21"/>
          <w:szCs w:val="21"/>
        </w:rPr>
        <w:t>.3</w:t>
      </w:r>
      <w:r>
        <w:rPr>
          <w:rFonts w:hint="eastAsia" w:ascii="黑体" w:hAnsi="黑体" w:eastAsia="黑体" w:cs="黑体"/>
          <w:sz w:val="21"/>
          <w:szCs w:val="21"/>
        </w:rPr>
        <w:fldChar w:fldCharType="end"/>
      </w:r>
      <w:r>
        <w:rPr>
          <w:rFonts w:hint="eastAsia" w:ascii="黑体" w:hAnsi="黑体" w:eastAsia="黑体" w:cs="黑体"/>
          <w:sz w:val="21"/>
          <w:szCs w:val="21"/>
        </w:rPr>
        <w:noBreakHyphen/>
      </w:r>
      <w:r>
        <w:rPr>
          <w:rFonts w:hint="eastAsia" w:ascii="黑体" w:hAnsi="黑体" w:eastAsia="黑体" w:cs="黑体"/>
          <w:sz w:val="21"/>
          <w:szCs w:val="21"/>
          <w:lang w:val="en-US" w:eastAsia="zh-CN"/>
        </w:rPr>
        <w:t>1</w:t>
      </w:r>
      <w:r>
        <w:rPr>
          <w:rFonts w:hint="eastAsia" w:ascii="黑体" w:hAnsi="黑体" w:eastAsia="黑体" w:cs="黑体"/>
          <w:sz w:val="21"/>
          <w:szCs w:val="21"/>
        </w:rPr>
        <w:t>汇聚交换机安装位置</w:t>
      </w:r>
    </w:p>
    <w:tbl>
      <w:tblPr>
        <w:tblStyle w:val="28"/>
        <w:tblW w:w="4781" w:type="pct"/>
        <w:tblInd w:w="0" w:type="dxa"/>
        <w:tblLayout w:type="autofit"/>
        <w:tblCellMar>
          <w:top w:w="0" w:type="dxa"/>
          <w:left w:w="108" w:type="dxa"/>
          <w:bottom w:w="0" w:type="dxa"/>
          <w:right w:w="108" w:type="dxa"/>
        </w:tblCellMar>
      </w:tblPr>
      <w:tblGrid>
        <w:gridCol w:w="638"/>
        <w:gridCol w:w="2689"/>
        <w:gridCol w:w="2222"/>
        <w:gridCol w:w="2062"/>
        <w:gridCol w:w="1271"/>
      </w:tblGrid>
      <w:tr>
        <w:tblPrEx>
          <w:tblCellMar>
            <w:top w:w="0" w:type="dxa"/>
            <w:left w:w="108" w:type="dxa"/>
            <w:bottom w:w="0" w:type="dxa"/>
            <w:right w:w="108" w:type="dxa"/>
          </w:tblCellMar>
        </w:tblPrEx>
        <w:trPr>
          <w:trHeight w:val="570"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sz w:val="21"/>
                <w:szCs w:val="21"/>
              </w:rPr>
            </w:pPr>
            <w:r>
              <w:rPr>
                <w:rFonts w:hint="eastAsia"/>
                <w:b/>
                <w:bCs/>
                <w:kern w:val="0"/>
                <w:sz w:val="21"/>
                <w:szCs w:val="21"/>
                <w:lang w:bidi="ar"/>
              </w:rPr>
              <w:t>序号</w:t>
            </w:r>
          </w:p>
        </w:tc>
        <w:tc>
          <w:tcPr>
            <w:tcW w:w="15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kern w:val="0"/>
                <w:sz w:val="21"/>
                <w:szCs w:val="21"/>
                <w:lang w:bidi="ar"/>
              </w:rPr>
            </w:pPr>
            <w:r>
              <w:rPr>
                <w:rFonts w:hint="eastAsia"/>
                <w:b/>
                <w:bCs/>
                <w:kern w:val="0"/>
                <w:sz w:val="21"/>
                <w:szCs w:val="21"/>
                <w:lang w:bidi="ar"/>
              </w:rPr>
              <w:t>汇聚交换机安装位置</w:t>
            </w:r>
          </w:p>
        </w:tc>
        <w:tc>
          <w:tcPr>
            <w:tcW w:w="1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kern w:val="0"/>
                <w:sz w:val="21"/>
                <w:szCs w:val="21"/>
                <w:lang w:bidi="ar"/>
              </w:rPr>
            </w:pPr>
            <w:r>
              <w:rPr>
                <w:rFonts w:hint="eastAsia"/>
                <w:b/>
                <w:bCs/>
                <w:kern w:val="0"/>
                <w:sz w:val="21"/>
                <w:szCs w:val="21"/>
                <w:lang w:bidi="ar"/>
              </w:rPr>
              <w:t>汇聚交换机（计算机网络）</w:t>
            </w:r>
          </w:p>
        </w:tc>
        <w:tc>
          <w:tcPr>
            <w:tcW w:w="11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kern w:val="0"/>
                <w:sz w:val="21"/>
                <w:szCs w:val="21"/>
                <w:lang w:bidi="ar"/>
              </w:rPr>
            </w:pPr>
            <w:r>
              <w:rPr>
                <w:rFonts w:hint="eastAsia"/>
                <w:b/>
                <w:bCs/>
                <w:kern w:val="0"/>
                <w:sz w:val="21"/>
                <w:szCs w:val="21"/>
                <w:lang w:bidi="ar"/>
              </w:rPr>
              <w:t>汇聚交换机（视频监控）</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kern w:val="0"/>
                <w:sz w:val="21"/>
                <w:szCs w:val="21"/>
                <w:lang w:bidi="ar"/>
              </w:rPr>
            </w:pPr>
            <w:r>
              <w:rPr>
                <w:rFonts w:hint="eastAsia"/>
                <w:b/>
                <w:bCs/>
                <w:kern w:val="0"/>
                <w:sz w:val="21"/>
                <w:szCs w:val="21"/>
                <w:lang w:bidi="ar"/>
              </w:rPr>
              <w:t>备注</w:t>
            </w:r>
          </w:p>
        </w:tc>
      </w:tr>
      <w:tr>
        <w:tblPrEx>
          <w:tblCellMar>
            <w:top w:w="0" w:type="dxa"/>
            <w:left w:w="108" w:type="dxa"/>
            <w:bottom w:w="0" w:type="dxa"/>
            <w:right w:w="108" w:type="dxa"/>
          </w:tblCellMar>
        </w:tblPrEx>
        <w:trPr>
          <w:trHeight w:val="385"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kern w:val="0"/>
                <w:sz w:val="21"/>
                <w:szCs w:val="21"/>
                <w:lang w:bidi="ar"/>
              </w:rPr>
            </w:pPr>
            <w:r>
              <w:rPr>
                <w:rFonts w:hint="eastAsia"/>
                <w:kern w:val="0"/>
                <w:sz w:val="21"/>
                <w:szCs w:val="21"/>
                <w:lang w:bidi="ar"/>
              </w:rPr>
              <w:t>1</w:t>
            </w: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kern w:val="0"/>
                <w:sz w:val="21"/>
                <w:szCs w:val="21"/>
                <w:lang w:bidi="ar"/>
              </w:rPr>
            </w:pPr>
            <w:r>
              <w:rPr>
                <w:rFonts w:hint="eastAsia"/>
                <w:kern w:val="0"/>
                <w:sz w:val="21"/>
                <w:szCs w:val="21"/>
                <w:lang w:bidi="ar"/>
              </w:rPr>
              <w:t>一层弱电设备间</w:t>
            </w:r>
          </w:p>
        </w:tc>
        <w:tc>
          <w:tcPr>
            <w:tcW w:w="1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kern w:val="0"/>
                <w:sz w:val="21"/>
                <w:szCs w:val="21"/>
                <w:lang w:bidi="ar"/>
              </w:rPr>
            </w:pPr>
            <w:r>
              <w:rPr>
                <w:rFonts w:hint="eastAsia"/>
                <w:kern w:val="0"/>
                <w:sz w:val="21"/>
                <w:szCs w:val="21"/>
                <w:lang w:bidi="ar"/>
              </w:rPr>
              <w:t>2</w:t>
            </w:r>
          </w:p>
        </w:tc>
        <w:tc>
          <w:tcPr>
            <w:tcW w:w="11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kern w:val="0"/>
                <w:sz w:val="21"/>
                <w:szCs w:val="21"/>
                <w:lang w:bidi="ar"/>
              </w:rPr>
            </w:pPr>
            <w:r>
              <w:rPr>
                <w:rFonts w:hint="default"/>
                <w:kern w:val="0"/>
                <w:sz w:val="21"/>
                <w:szCs w:val="21"/>
                <w:lang w:bidi="ar"/>
              </w:rPr>
              <w:t>2</w:t>
            </w:r>
          </w:p>
        </w:tc>
        <w:tc>
          <w:tcPr>
            <w:tcW w:w="7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kern w:val="0"/>
                <w:sz w:val="21"/>
                <w:szCs w:val="21"/>
                <w:lang w:bidi="ar"/>
              </w:rPr>
            </w:pPr>
          </w:p>
        </w:tc>
      </w:tr>
      <w:tr>
        <w:tblPrEx>
          <w:tblCellMar>
            <w:top w:w="0" w:type="dxa"/>
            <w:left w:w="108" w:type="dxa"/>
            <w:bottom w:w="0" w:type="dxa"/>
            <w:right w:w="108" w:type="dxa"/>
          </w:tblCellMar>
        </w:tblPrEx>
        <w:trPr>
          <w:trHeight w:val="285" w:hRule="atLeast"/>
        </w:trPr>
        <w:tc>
          <w:tcPr>
            <w:tcW w:w="3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kern w:val="0"/>
                <w:sz w:val="21"/>
                <w:szCs w:val="21"/>
                <w:lang w:bidi="ar"/>
              </w:rPr>
            </w:pPr>
            <w:r>
              <w:rPr>
                <w:rFonts w:hint="eastAsia"/>
                <w:b/>
                <w:bCs/>
                <w:kern w:val="0"/>
                <w:sz w:val="21"/>
                <w:szCs w:val="21"/>
                <w:lang w:bidi="ar"/>
              </w:rPr>
              <w:t>合计</w:t>
            </w:r>
          </w:p>
        </w:tc>
        <w:tc>
          <w:tcPr>
            <w:tcW w:w="12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kern w:val="0"/>
                <w:sz w:val="21"/>
                <w:szCs w:val="21"/>
                <w:lang w:bidi="ar"/>
              </w:rPr>
            </w:pPr>
            <w:r>
              <w:rPr>
                <w:rFonts w:hint="eastAsia"/>
                <w:b/>
                <w:bCs/>
                <w:kern w:val="0"/>
                <w:sz w:val="21"/>
                <w:szCs w:val="21"/>
                <w:lang w:bidi="ar"/>
              </w:rPr>
              <w:t>2</w:t>
            </w:r>
          </w:p>
        </w:tc>
        <w:tc>
          <w:tcPr>
            <w:tcW w:w="11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kern w:val="0"/>
                <w:sz w:val="21"/>
                <w:szCs w:val="21"/>
                <w:lang w:bidi="ar"/>
              </w:rPr>
            </w:pPr>
            <w:r>
              <w:rPr>
                <w:rFonts w:hint="default"/>
                <w:b/>
                <w:bCs/>
                <w:kern w:val="0"/>
                <w:sz w:val="21"/>
                <w:szCs w:val="21"/>
                <w:lang w:bidi="ar"/>
              </w:rPr>
              <w:t>2</w:t>
            </w:r>
          </w:p>
        </w:tc>
        <w:tc>
          <w:tcPr>
            <w:tcW w:w="7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kern w:val="0"/>
                <w:sz w:val="21"/>
                <w:szCs w:val="21"/>
                <w:lang w:bidi="ar"/>
              </w:rPr>
            </w:pPr>
          </w:p>
        </w:tc>
      </w:tr>
    </w:tbl>
    <w:p>
      <w:pPr>
        <w:ind w:firstLine="480"/>
      </w:pPr>
    </w:p>
    <w:p>
      <w:pPr>
        <w:pStyle w:val="6"/>
        <w:tabs>
          <w:tab w:val="left" w:pos="0"/>
        </w:tabs>
      </w:pPr>
      <w:r>
        <w:rPr>
          <w:rFonts w:hint="eastAsia"/>
        </w:rPr>
        <w:t>接入层规划</w:t>
      </w:r>
    </w:p>
    <w:p>
      <w:pPr>
        <w:ind w:firstLine="480"/>
      </w:pPr>
      <w:r>
        <w:rPr>
          <w:rFonts w:hint="eastAsia"/>
        </w:rPr>
        <w:t>接入层是最靠近终端用户的网络，为用户提供各种接入方式、摄像头等提供POE供电。接入层除了需要部署丰富的三层特性外，还需要部署安全、可靠性等相关功能；接入层需要具有高密度、高速率的端口，以支持更多的终端接入服务中心网络。</w:t>
      </w:r>
    </w:p>
    <w:p>
      <w:pPr>
        <w:ind w:firstLine="480"/>
      </w:pPr>
      <w:r>
        <w:rPr>
          <w:rFonts w:hint="eastAsia"/>
        </w:rPr>
        <w:t>本项目接入层根据市民服务中心网络信息点位规划清单进行设计，接入交换机按每台交换机10%的端口冗余进行配置。</w:t>
      </w:r>
    </w:p>
    <w:p>
      <w:pPr>
        <w:numPr>
          <w:ilvl w:val="0"/>
          <w:numId w:val="4"/>
        </w:numPr>
        <w:ind w:firstLine="482"/>
        <w:rPr>
          <w:b/>
          <w:bCs/>
        </w:rPr>
      </w:pPr>
      <w:r>
        <w:rPr>
          <w:rFonts w:hint="eastAsia"/>
          <w:b/>
          <w:bCs/>
        </w:rPr>
        <w:t>政务外网有线网：</w:t>
      </w:r>
    </w:p>
    <w:p>
      <w:pPr>
        <w:ind w:firstLine="480"/>
      </w:pPr>
      <w:r>
        <w:rPr>
          <w:rFonts w:hint="eastAsia"/>
        </w:rPr>
        <w:t>在政务外网终端接入区域部署</w:t>
      </w:r>
      <w:r>
        <w:t>5</w:t>
      </w:r>
      <w:r>
        <w:rPr>
          <w:rFonts w:hint="eastAsia"/>
          <w:lang w:val="en-US" w:eastAsia="zh-CN"/>
        </w:rPr>
        <w:t>6</w:t>
      </w:r>
      <w:r>
        <w:rPr>
          <w:rFonts w:hint="eastAsia"/>
        </w:rPr>
        <w:t>台48口千兆接入交换机，通过千兆电链路连接至政务外网区域的办公电脑、自助终端、叫号机、打印机等联网终端；其中设备分布如下：</w:t>
      </w:r>
    </w:p>
    <w:p>
      <w:pPr>
        <w:ind w:firstLine="0" w:firstLineChars="0"/>
        <w:jc w:val="center"/>
        <w:rPr>
          <w:rFonts w:ascii="黑体" w:hAnsi="黑体" w:eastAsia="黑体" w:cs="黑体"/>
          <w:sz w:val="21"/>
          <w:szCs w:val="21"/>
        </w:rPr>
      </w:pPr>
      <w:r>
        <w:rPr>
          <w:rFonts w:hint="eastAsia" w:ascii="黑体" w:hAnsi="黑体" w:eastAsia="黑体" w:cs="黑体"/>
          <w:sz w:val="21"/>
          <w:szCs w:val="21"/>
        </w:rPr>
        <w:t xml:space="preserve">表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STYLEREF 2 \s </w:instrText>
      </w:r>
      <w:r>
        <w:rPr>
          <w:rFonts w:hint="eastAsia" w:ascii="黑体" w:hAnsi="黑体" w:eastAsia="黑体" w:cs="黑体"/>
          <w:sz w:val="21"/>
          <w:szCs w:val="21"/>
        </w:rPr>
        <w:fldChar w:fldCharType="separate"/>
      </w:r>
      <w:r>
        <w:rPr>
          <w:rFonts w:hint="eastAsia" w:ascii="黑体" w:hAnsi="黑体" w:eastAsia="黑体" w:cs="黑体"/>
          <w:sz w:val="21"/>
          <w:szCs w:val="21"/>
          <w:lang w:val="en-US" w:eastAsia="zh-CN"/>
        </w:rPr>
        <w:t>2</w:t>
      </w:r>
      <w:r>
        <w:rPr>
          <w:rFonts w:ascii="黑体" w:hAnsi="黑体" w:eastAsia="黑体" w:cs="黑体"/>
          <w:sz w:val="21"/>
          <w:szCs w:val="21"/>
        </w:rPr>
        <w:t>.3</w:t>
      </w:r>
      <w:r>
        <w:rPr>
          <w:rFonts w:hint="eastAsia" w:ascii="黑体" w:hAnsi="黑体" w:eastAsia="黑体" w:cs="黑体"/>
          <w:sz w:val="21"/>
          <w:szCs w:val="21"/>
        </w:rPr>
        <w:fldChar w:fldCharType="end"/>
      </w:r>
      <w:r>
        <w:rPr>
          <w:rFonts w:hint="eastAsia" w:ascii="黑体" w:hAnsi="黑体" w:eastAsia="黑体" w:cs="黑体"/>
          <w:sz w:val="21"/>
          <w:szCs w:val="21"/>
        </w:rPr>
        <w:noBreakHyphen/>
      </w:r>
      <w:r>
        <w:rPr>
          <w:rFonts w:hint="eastAsia" w:ascii="黑体" w:hAnsi="黑体" w:eastAsia="黑体" w:cs="黑体"/>
          <w:sz w:val="21"/>
          <w:szCs w:val="21"/>
          <w:lang w:val="en-US" w:eastAsia="zh-CN"/>
        </w:rPr>
        <w:t>2</w:t>
      </w:r>
      <w:r>
        <w:rPr>
          <w:rFonts w:hint="eastAsia" w:ascii="黑体" w:hAnsi="黑体" w:eastAsia="黑体" w:cs="黑体"/>
          <w:sz w:val="21"/>
          <w:szCs w:val="21"/>
        </w:rPr>
        <w:t>接入交换机安装位置</w:t>
      </w:r>
    </w:p>
    <w:tbl>
      <w:tblPr>
        <w:tblStyle w:val="28"/>
        <w:tblW w:w="7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0"/>
        <w:gridCol w:w="2743"/>
        <w:gridCol w:w="1701"/>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序号</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b/>
                <w:bCs/>
                <w:color w:val="000000"/>
                <w:kern w:val="0"/>
                <w:sz w:val="22"/>
              </w:rPr>
            </w:pPr>
            <w:r>
              <w:rPr>
                <w:rFonts w:hint="eastAsia"/>
                <w:b/>
                <w:bCs/>
                <w:color w:val="000000"/>
                <w:kern w:val="0"/>
                <w:sz w:val="22"/>
              </w:rPr>
              <w:t>安装位置</w:t>
            </w:r>
          </w:p>
        </w:tc>
        <w:tc>
          <w:tcPr>
            <w:tcW w:w="1701" w:type="dxa"/>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b/>
                <w:bCs/>
                <w:kern w:val="0"/>
                <w:sz w:val="20"/>
                <w:szCs w:val="20"/>
              </w:rPr>
            </w:pPr>
            <w:r>
              <w:rPr>
                <w:rFonts w:hint="eastAsia"/>
                <w:b/>
                <w:bCs/>
                <w:kern w:val="0"/>
                <w:sz w:val="20"/>
                <w:szCs w:val="20"/>
              </w:rPr>
              <w:t>政务网</w:t>
            </w:r>
            <w:r>
              <w:rPr>
                <w:rFonts w:hint="eastAsia"/>
                <w:b/>
                <w:bCs/>
                <w:kern w:val="0"/>
                <w:sz w:val="20"/>
                <w:szCs w:val="20"/>
              </w:rPr>
              <w:br w:type="textWrapping"/>
            </w:r>
            <w:r>
              <w:rPr>
                <w:rFonts w:hint="eastAsia"/>
                <w:b/>
                <w:bCs/>
                <w:kern w:val="0"/>
                <w:sz w:val="20"/>
                <w:szCs w:val="20"/>
              </w:rPr>
              <w:t>48口接入交换机</w:t>
            </w:r>
          </w:p>
        </w:tc>
        <w:tc>
          <w:tcPr>
            <w:tcW w:w="1701" w:type="dxa"/>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b/>
                <w:bCs/>
                <w:kern w:val="0"/>
                <w:sz w:val="20"/>
                <w:szCs w:val="20"/>
              </w:rPr>
            </w:pPr>
            <w:r>
              <w:rPr>
                <w:rFonts w:hint="eastAsia"/>
                <w:b/>
                <w:bCs/>
                <w:kern w:val="0"/>
                <w:sz w:val="20"/>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1</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一层司法设备间</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lang w:val="en-US" w:eastAsia="zh-CN"/>
              </w:rPr>
              <w:t>4</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2</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一层弱电设备间</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lang w:val="en-US" w:eastAsia="zh-CN"/>
              </w:rPr>
              <w:t>7</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3</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二层设备间</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lang w:val="en-US" w:eastAsia="zh-CN"/>
              </w:rPr>
              <w:t>3</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4</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二层公安设备间</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lang w:val="en-US" w:eastAsia="zh-CN"/>
              </w:rPr>
              <w:t>7</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5</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二层出入境储物房</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lang w:val="en-US" w:eastAsia="zh-CN"/>
              </w:rPr>
              <w:t>1</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6</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三层设备间</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lang w:val="en-US" w:eastAsia="zh-CN"/>
              </w:rPr>
              <w:t>5</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7</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三层弱电井</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lang w:val="en-US" w:eastAsia="zh-CN"/>
              </w:rPr>
              <w:t>4</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8</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三层税务设备间</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lang w:val="en-US" w:eastAsia="zh-CN"/>
              </w:rPr>
              <w:t>7</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9</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四层弱电井</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lang w:val="en-US" w:eastAsia="zh-CN"/>
              </w:rPr>
              <w:t>0</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10</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五层设备间</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lang w:val="en-US" w:eastAsia="zh-CN"/>
              </w:rPr>
              <w:t>1</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11</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六层设备间</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lang w:val="en-US" w:eastAsia="zh-CN"/>
              </w:rPr>
              <w:t>4</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12</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七层设备间</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lang w:val="en-US" w:eastAsia="zh-CN"/>
              </w:rPr>
              <w:t>3</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13</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八层设备间</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lang w:val="en-US" w:eastAsia="zh-CN"/>
              </w:rPr>
              <w:t>2</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14</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九层设备间</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lang w:val="en-US" w:eastAsia="zh-CN"/>
              </w:rPr>
              <w:t>8</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80"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15</w:t>
            </w:r>
          </w:p>
        </w:tc>
        <w:tc>
          <w:tcPr>
            <w:tcW w:w="2743"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000000"/>
                <w:kern w:val="0"/>
                <w:sz w:val="22"/>
              </w:rPr>
            </w:pPr>
            <w:r>
              <w:rPr>
                <w:rFonts w:hint="eastAsia"/>
                <w:color w:val="000000"/>
                <w:kern w:val="0"/>
                <w:sz w:val="22"/>
              </w:rPr>
              <w:t>合计</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eastAsia="宋体"/>
                <w:color w:val="000000"/>
                <w:kern w:val="0"/>
                <w:sz w:val="22"/>
                <w:lang w:val="en-US" w:eastAsia="zh-CN"/>
              </w:rPr>
            </w:pPr>
            <w:r>
              <w:rPr>
                <w:rFonts w:hint="eastAsia"/>
                <w:color w:val="000000"/>
                <w:kern w:val="0"/>
                <w:sz w:val="22"/>
              </w:rPr>
              <w:t>5</w:t>
            </w:r>
            <w:r>
              <w:rPr>
                <w:rFonts w:hint="eastAsia"/>
                <w:color w:val="000000"/>
                <w:kern w:val="0"/>
                <w:sz w:val="22"/>
                <w:lang w:val="en-US" w:eastAsia="zh-CN"/>
              </w:rPr>
              <w:t>6</w:t>
            </w:r>
          </w:p>
        </w:tc>
        <w:tc>
          <w:tcPr>
            <w:tcW w:w="1701"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000000"/>
                <w:kern w:val="0"/>
                <w:sz w:val="22"/>
              </w:rPr>
            </w:pPr>
            <w:r>
              <w:rPr>
                <w:rFonts w:hint="eastAsia"/>
                <w:color w:val="000000"/>
                <w:kern w:val="0"/>
                <w:sz w:val="22"/>
              </w:rPr>
              <w:t>　</w:t>
            </w:r>
          </w:p>
        </w:tc>
      </w:tr>
    </w:tbl>
    <w:p>
      <w:pPr>
        <w:ind w:left="0" w:leftChars="0" w:firstLine="0" w:firstLineChars="0"/>
      </w:pPr>
    </w:p>
    <w:p>
      <w:pPr>
        <w:numPr>
          <w:ilvl w:val="0"/>
          <w:numId w:val="4"/>
        </w:numPr>
        <w:spacing w:line="480" w:lineRule="auto"/>
        <w:ind w:firstLine="482"/>
        <w:rPr>
          <w:b/>
          <w:bCs/>
        </w:rPr>
      </w:pPr>
      <w:r>
        <w:rPr>
          <w:rFonts w:hint="eastAsia"/>
          <w:b/>
          <w:bCs/>
        </w:rPr>
        <w:t>监控网络：</w:t>
      </w:r>
    </w:p>
    <w:p>
      <w:pPr>
        <w:ind w:firstLine="480"/>
      </w:pPr>
      <w:r>
        <w:rPr>
          <w:rFonts w:hint="eastAsia"/>
        </w:rPr>
        <w:t>在监控区域部署</w:t>
      </w:r>
      <w:r>
        <w:t>21</w:t>
      </w:r>
      <w:r>
        <w:rPr>
          <w:rFonts w:hint="eastAsia"/>
        </w:rPr>
        <w:t>台2</w:t>
      </w:r>
      <w:r>
        <w:t>4</w:t>
      </w:r>
      <w:r>
        <w:rPr>
          <w:rFonts w:hint="eastAsia"/>
        </w:rPr>
        <w:t>口带POE供电能力的千兆接入交换机，采用千兆电链路连接至前端视频监控摄像头，并实现远程POE供电，再通过千兆光链路上联至核心交换机。其中设备分布如下：</w:t>
      </w:r>
    </w:p>
    <w:p>
      <w:pPr>
        <w:ind w:firstLine="0" w:firstLineChars="0"/>
        <w:jc w:val="center"/>
        <w:rPr>
          <w:rFonts w:ascii="黑体" w:hAnsi="黑体" w:eastAsia="黑体" w:cs="黑体"/>
          <w:sz w:val="21"/>
          <w:szCs w:val="21"/>
        </w:rPr>
      </w:pPr>
      <w:r>
        <w:rPr>
          <w:rFonts w:hint="eastAsia" w:ascii="黑体" w:hAnsi="黑体" w:eastAsia="黑体" w:cs="黑体"/>
          <w:sz w:val="21"/>
          <w:szCs w:val="21"/>
        </w:rPr>
        <w:t xml:space="preserve">表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STYLEREF 2 \s </w:instrText>
      </w:r>
      <w:r>
        <w:rPr>
          <w:rFonts w:hint="eastAsia" w:ascii="黑体" w:hAnsi="黑体" w:eastAsia="黑体" w:cs="黑体"/>
          <w:sz w:val="21"/>
          <w:szCs w:val="21"/>
        </w:rPr>
        <w:fldChar w:fldCharType="separate"/>
      </w:r>
      <w:r>
        <w:rPr>
          <w:rFonts w:hint="eastAsia" w:ascii="黑体" w:hAnsi="黑体" w:eastAsia="黑体" w:cs="黑体"/>
          <w:sz w:val="21"/>
          <w:szCs w:val="21"/>
          <w:lang w:val="en-US" w:eastAsia="zh-CN"/>
        </w:rPr>
        <w:t>2</w:t>
      </w:r>
      <w:r>
        <w:rPr>
          <w:rFonts w:ascii="黑体" w:hAnsi="黑体" w:eastAsia="黑体" w:cs="黑体"/>
          <w:sz w:val="21"/>
          <w:szCs w:val="21"/>
        </w:rPr>
        <w:t>.3</w:t>
      </w:r>
      <w:r>
        <w:rPr>
          <w:rFonts w:hint="eastAsia" w:ascii="黑体" w:hAnsi="黑体" w:eastAsia="黑体" w:cs="黑体"/>
          <w:sz w:val="21"/>
          <w:szCs w:val="21"/>
        </w:rPr>
        <w:fldChar w:fldCharType="end"/>
      </w:r>
      <w:r>
        <w:rPr>
          <w:rFonts w:hint="eastAsia" w:ascii="黑体" w:hAnsi="黑体" w:eastAsia="黑体" w:cs="黑体"/>
          <w:sz w:val="21"/>
          <w:szCs w:val="21"/>
        </w:rPr>
        <w:noBreakHyphen/>
      </w:r>
      <w:r>
        <w:rPr>
          <w:rFonts w:hint="eastAsia" w:ascii="黑体" w:hAnsi="黑体" w:eastAsia="黑体" w:cs="黑体"/>
          <w:sz w:val="21"/>
          <w:szCs w:val="21"/>
          <w:lang w:val="en-US" w:eastAsia="zh-CN"/>
        </w:rPr>
        <w:t>3</w:t>
      </w:r>
      <w:r>
        <w:rPr>
          <w:rFonts w:hint="eastAsia" w:ascii="黑体" w:hAnsi="黑体" w:eastAsia="黑体" w:cs="黑体"/>
          <w:sz w:val="21"/>
          <w:szCs w:val="21"/>
        </w:rPr>
        <w:t>接入交换机安装位置</w:t>
      </w:r>
    </w:p>
    <w:tbl>
      <w:tblPr>
        <w:tblStyle w:val="28"/>
        <w:tblW w:w="8020" w:type="dxa"/>
        <w:jc w:val="center"/>
        <w:tblLayout w:type="fixed"/>
        <w:tblCellMar>
          <w:top w:w="0" w:type="dxa"/>
          <w:left w:w="108" w:type="dxa"/>
          <w:bottom w:w="0" w:type="dxa"/>
          <w:right w:w="108" w:type="dxa"/>
        </w:tblCellMar>
      </w:tblPr>
      <w:tblGrid>
        <w:gridCol w:w="957"/>
        <w:gridCol w:w="2463"/>
        <w:gridCol w:w="1800"/>
        <w:gridCol w:w="1720"/>
        <w:gridCol w:w="1080"/>
      </w:tblGrid>
      <w:tr>
        <w:tblPrEx>
          <w:tblCellMar>
            <w:top w:w="0" w:type="dxa"/>
            <w:left w:w="108" w:type="dxa"/>
            <w:bottom w:w="0" w:type="dxa"/>
            <w:right w:w="108" w:type="dxa"/>
          </w:tblCellMar>
        </w:tblPrEx>
        <w:trPr>
          <w:trHeight w:val="615" w:hRule="atLeast"/>
          <w:jc w:val="center"/>
        </w:trPr>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auto"/>
                <w:kern w:val="0"/>
                <w:sz w:val="22"/>
              </w:rPr>
            </w:pPr>
            <w:r>
              <w:rPr>
                <w:rFonts w:hint="eastAsia"/>
                <w:color w:val="auto"/>
                <w:kern w:val="0"/>
                <w:sz w:val="22"/>
              </w:rPr>
              <w:t>序号</w:t>
            </w:r>
          </w:p>
        </w:tc>
        <w:tc>
          <w:tcPr>
            <w:tcW w:w="2463"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b/>
                <w:bCs/>
                <w:color w:val="auto"/>
                <w:kern w:val="0"/>
                <w:sz w:val="22"/>
              </w:rPr>
            </w:pPr>
            <w:r>
              <w:rPr>
                <w:rFonts w:hint="eastAsia"/>
                <w:b/>
                <w:bCs/>
                <w:color w:val="auto"/>
                <w:kern w:val="0"/>
                <w:sz w:val="22"/>
              </w:rPr>
              <w:t>安装位置</w:t>
            </w:r>
          </w:p>
        </w:tc>
        <w:tc>
          <w:tcPr>
            <w:tcW w:w="180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b/>
                <w:bCs/>
                <w:color w:val="auto"/>
                <w:kern w:val="0"/>
                <w:sz w:val="20"/>
                <w:szCs w:val="20"/>
              </w:rPr>
            </w:pPr>
            <w:r>
              <w:rPr>
                <w:rFonts w:hint="eastAsia"/>
                <w:b/>
                <w:bCs/>
                <w:color w:val="auto"/>
                <w:kern w:val="0"/>
                <w:sz w:val="20"/>
                <w:szCs w:val="20"/>
              </w:rPr>
              <w:t>公共视频网</w:t>
            </w:r>
            <w:r>
              <w:rPr>
                <w:rFonts w:hint="eastAsia"/>
                <w:b/>
                <w:bCs/>
                <w:color w:val="auto"/>
                <w:kern w:val="0"/>
                <w:sz w:val="20"/>
                <w:szCs w:val="20"/>
              </w:rPr>
              <w:br w:type="textWrapping"/>
            </w:r>
            <w:r>
              <w:rPr>
                <w:rFonts w:hint="eastAsia"/>
                <w:b/>
                <w:bCs/>
                <w:color w:val="auto"/>
                <w:kern w:val="0"/>
                <w:sz w:val="20"/>
                <w:szCs w:val="20"/>
              </w:rPr>
              <w:t>24口接入交换机</w:t>
            </w:r>
          </w:p>
        </w:tc>
        <w:tc>
          <w:tcPr>
            <w:tcW w:w="172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b/>
                <w:bCs/>
                <w:color w:val="auto"/>
                <w:kern w:val="0"/>
                <w:sz w:val="20"/>
                <w:szCs w:val="20"/>
              </w:rPr>
            </w:pPr>
            <w:r>
              <w:rPr>
                <w:rFonts w:hint="eastAsia"/>
                <w:b/>
                <w:bCs/>
                <w:color w:val="auto"/>
                <w:kern w:val="0"/>
                <w:sz w:val="20"/>
                <w:szCs w:val="20"/>
              </w:rPr>
              <w:t>业务视频网</w:t>
            </w:r>
            <w:r>
              <w:rPr>
                <w:rFonts w:hint="eastAsia"/>
                <w:b/>
                <w:bCs/>
                <w:color w:val="auto"/>
                <w:kern w:val="0"/>
                <w:sz w:val="20"/>
                <w:szCs w:val="20"/>
              </w:rPr>
              <w:br w:type="textWrapping"/>
            </w:r>
            <w:r>
              <w:rPr>
                <w:rFonts w:hint="eastAsia"/>
                <w:b/>
                <w:bCs/>
                <w:color w:val="auto"/>
                <w:kern w:val="0"/>
                <w:sz w:val="20"/>
                <w:szCs w:val="20"/>
              </w:rPr>
              <w:t>24口接入交换机</w:t>
            </w:r>
          </w:p>
        </w:tc>
        <w:tc>
          <w:tcPr>
            <w:tcW w:w="10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b/>
                <w:bCs/>
                <w:color w:val="auto"/>
                <w:kern w:val="0"/>
                <w:sz w:val="20"/>
                <w:szCs w:val="20"/>
              </w:rPr>
            </w:pPr>
            <w:r>
              <w:rPr>
                <w:rFonts w:hint="eastAsia"/>
                <w:b/>
                <w:bCs/>
                <w:color w:val="auto"/>
                <w:kern w:val="0"/>
                <w:sz w:val="20"/>
                <w:szCs w:val="20"/>
              </w:rPr>
              <w:t>备注</w:t>
            </w: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auto"/>
                <w:kern w:val="0"/>
                <w:sz w:val="22"/>
              </w:rPr>
            </w:pPr>
            <w:r>
              <w:rPr>
                <w:rFonts w:hint="eastAsia"/>
                <w:color w:val="auto"/>
                <w:kern w:val="0"/>
                <w:sz w:val="22"/>
              </w:rPr>
              <w:t>1</w:t>
            </w:r>
          </w:p>
        </w:tc>
        <w:tc>
          <w:tcPr>
            <w:tcW w:w="2463"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一层司法设备间</w:t>
            </w:r>
          </w:p>
        </w:tc>
        <w:tc>
          <w:tcPr>
            <w:tcW w:w="180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1</w:t>
            </w:r>
          </w:p>
        </w:tc>
        <w:tc>
          <w:tcPr>
            <w:tcW w:w="172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1</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auto"/>
                <w:kern w:val="0"/>
                <w:sz w:val="22"/>
              </w:rPr>
            </w:pPr>
            <w:r>
              <w:rPr>
                <w:rFonts w:hint="eastAsia"/>
                <w:color w:val="auto"/>
                <w:kern w:val="0"/>
                <w:sz w:val="22"/>
              </w:rPr>
              <w:t>　</w:t>
            </w: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auto"/>
                <w:kern w:val="0"/>
                <w:sz w:val="22"/>
              </w:rPr>
            </w:pPr>
            <w:r>
              <w:rPr>
                <w:rFonts w:hint="eastAsia"/>
                <w:color w:val="auto"/>
                <w:kern w:val="0"/>
                <w:sz w:val="22"/>
              </w:rPr>
              <w:t>2</w:t>
            </w:r>
          </w:p>
        </w:tc>
        <w:tc>
          <w:tcPr>
            <w:tcW w:w="2463"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一层弱电设备间</w:t>
            </w:r>
          </w:p>
        </w:tc>
        <w:tc>
          <w:tcPr>
            <w:tcW w:w="180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2</w:t>
            </w:r>
          </w:p>
        </w:tc>
        <w:tc>
          <w:tcPr>
            <w:tcW w:w="172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1</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auto"/>
                <w:kern w:val="0"/>
                <w:sz w:val="22"/>
              </w:rPr>
            </w:pPr>
            <w:r>
              <w:rPr>
                <w:rFonts w:hint="eastAsia"/>
                <w:color w:val="auto"/>
                <w:kern w:val="0"/>
                <w:sz w:val="22"/>
              </w:rPr>
              <w:t>　</w:t>
            </w: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auto"/>
                <w:kern w:val="0"/>
                <w:sz w:val="22"/>
              </w:rPr>
            </w:pPr>
            <w:r>
              <w:rPr>
                <w:rFonts w:hint="eastAsia"/>
                <w:color w:val="auto"/>
                <w:kern w:val="0"/>
                <w:sz w:val="22"/>
              </w:rPr>
              <w:t>3</w:t>
            </w:r>
          </w:p>
        </w:tc>
        <w:tc>
          <w:tcPr>
            <w:tcW w:w="2463"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二层设备间</w:t>
            </w:r>
          </w:p>
        </w:tc>
        <w:tc>
          <w:tcPr>
            <w:tcW w:w="180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1</w:t>
            </w:r>
          </w:p>
        </w:tc>
        <w:tc>
          <w:tcPr>
            <w:tcW w:w="172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1</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auto"/>
                <w:kern w:val="0"/>
                <w:sz w:val="22"/>
              </w:rPr>
            </w:pPr>
            <w:r>
              <w:rPr>
                <w:rFonts w:hint="eastAsia"/>
                <w:color w:val="auto"/>
                <w:kern w:val="0"/>
                <w:sz w:val="22"/>
              </w:rPr>
              <w:t>　</w:t>
            </w: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auto"/>
                <w:kern w:val="0"/>
                <w:sz w:val="22"/>
              </w:rPr>
            </w:pPr>
            <w:r>
              <w:rPr>
                <w:rFonts w:hint="eastAsia"/>
                <w:color w:val="auto"/>
                <w:kern w:val="0"/>
                <w:sz w:val="22"/>
              </w:rPr>
              <w:t>4</w:t>
            </w:r>
          </w:p>
        </w:tc>
        <w:tc>
          <w:tcPr>
            <w:tcW w:w="2463"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二层公安设备间</w:t>
            </w:r>
          </w:p>
        </w:tc>
        <w:tc>
          <w:tcPr>
            <w:tcW w:w="180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1</w:t>
            </w:r>
          </w:p>
        </w:tc>
        <w:tc>
          <w:tcPr>
            <w:tcW w:w="172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2</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auto"/>
                <w:kern w:val="0"/>
                <w:sz w:val="22"/>
              </w:rPr>
            </w:pPr>
            <w:r>
              <w:rPr>
                <w:rFonts w:hint="eastAsia"/>
                <w:color w:val="auto"/>
                <w:kern w:val="0"/>
                <w:sz w:val="22"/>
              </w:rPr>
              <w:t>　</w:t>
            </w: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auto"/>
                <w:kern w:val="0"/>
                <w:sz w:val="22"/>
              </w:rPr>
            </w:pPr>
            <w:r>
              <w:rPr>
                <w:rFonts w:hint="eastAsia"/>
                <w:color w:val="auto"/>
                <w:kern w:val="0"/>
                <w:sz w:val="22"/>
              </w:rPr>
              <w:t>5</w:t>
            </w:r>
          </w:p>
        </w:tc>
        <w:tc>
          <w:tcPr>
            <w:tcW w:w="246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二层出入境储物房</w:t>
            </w:r>
          </w:p>
        </w:tc>
        <w:tc>
          <w:tcPr>
            <w:tcW w:w="180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0</w:t>
            </w:r>
          </w:p>
        </w:tc>
        <w:tc>
          <w:tcPr>
            <w:tcW w:w="172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0</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auto"/>
                <w:kern w:val="0"/>
                <w:sz w:val="22"/>
              </w:rPr>
            </w:pPr>
            <w:r>
              <w:rPr>
                <w:rFonts w:hint="eastAsia"/>
                <w:color w:val="auto"/>
                <w:kern w:val="0"/>
                <w:sz w:val="22"/>
              </w:rPr>
              <w:t>　</w:t>
            </w: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auto"/>
                <w:kern w:val="0"/>
                <w:sz w:val="22"/>
              </w:rPr>
            </w:pPr>
            <w:r>
              <w:rPr>
                <w:rFonts w:hint="eastAsia"/>
                <w:color w:val="auto"/>
                <w:kern w:val="0"/>
                <w:sz w:val="22"/>
              </w:rPr>
              <w:t>6</w:t>
            </w:r>
          </w:p>
        </w:tc>
        <w:tc>
          <w:tcPr>
            <w:tcW w:w="246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三层设备间</w:t>
            </w:r>
          </w:p>
        </w:tc>
        <w:tc>
          <w:tcPr>
            <w:tcW w:w="180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2</w:t>
            </w:r>
          </w:p>
        </w:tc>
        <w:tc>
          <w:tcPr>
            <w:tcW w:w="172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1</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auto"/>
                <w:kern w:val="0"/>
                <w:sz w:val="22"/>
              </w:rPr>
            </w:pPr>
            <w:r>
              <w:rPr>
                <w:rFonts w:hint="eastAsia"/>
                <w:color w:val="auto"/>
                <w:kern w:val="0"/>
                <w:sz w:val="22"/>
              </w:rPr>
              <w:t>　</w:t>
            </w: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auto"/>
                <w:kern w:val="0"/>
                <w:sz w:val="22"/>
              </w:rPr>
            </w:pPr>
            <w:r>
              <w:rPr>
                <w:rFonts w:hint="eastAsia"/>
                <w:color w:val="auto"/>
                <w:kern w:val="0"/>
                <w:sz w:val="22"/>
              </w:rPr>
              <w:t>7</w:t>
            </w:r>
          </w:p>
        </w:tc>
        <w:tc>
          <w:tcPr>
            <w:tcW w:w="246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三层弱电井</w:t>
            </w:r>
          </w:p>
        </w:tc>
        <w:tc>
          <w:tcPr>
            <w:tcW w:w="180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0</w:t>
            </w:r>
          </w:p>
        </w:tc>
        <w:tc>
          <w:tcPr>
            <w:tcW w:w="172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0</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auto"/>
                <w:kern w:val="0"/>
                <w:sz w:val="22"/>
              </w:rPr>
            </w:pPr>
            <w:r>
              <w:rPr>
                <w:rFonts w:hint="eastAsia"/>
                <w:color w:val="auto"/>
                <w:kern w:val="0"/>
                <w:sz w:val="22"/>
              </w:rPr>
              <w:t>　</w:t>
            </w: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auto"/>
                <w:kern w:val="0"/>
                <w:sz w:val="22"/>
              </w:rPr>
            </w:pPr>
            <w:r>
              <w:rPr>
                <w:rFonts w:hint="eastAsia"/>
                <w:color w:val="auto"/>
                <w:kern w:val="0"/>
                <w:sz w:val="22"/>
              </w:rPr>
              <w:t>8</w:t>
            </w:r>
          </w:p>
        </w:tc>
        <w:tc>
          <w:tcPr>
            <w:tcW w:w="246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三层税务设备间</w:t>
            </w:r>
          </w:p>
        </w:tc>
        <w:tc>
          <w:tcPr>
            <w:tcW w:w="180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0</w:t>
            </w:r>
          </w:p>
        </w:tc>
        <w:tc>
          <w:tcPr>
            <w:tcW w:w="172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0</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auto"/>
                <w:kern w:val="0"/>
                <w:sz w:val="22"/>
              </w:rPr>
            </w:pPr>
            <w:r>
              <w:rPr>
                <w:rFonts w:hint="eastAsia"/>
                <w:color w:val="auto"/>
                <w:kern w:val="0"/>
                <w:sz w:val="22"/>
              </w:rPr>
              <w:t>　</w:t>
            </w: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auto"/>
                <w:kern w:val="0"/>
                <w:sz w:val="22"/>
              </w:rPr>
            </w:pPr>
            <w:r>
              <w:rPr>
                <w:rFonts w:hint="eastAsia"/>
                <w:color w:val="auto"/>
                <w:kern w:val="0"/>
                <w:sz w:val="22"/>
              </w:rPr>
              <w:t>9</w:t>
            </w:r>
          </w:p>
        </w:tc>
        <w:tc>
          <w:tcPr>
            <w:tcW w:w="246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四层弱电井</w:t>
            </w:r>
          </w:p>
        </w:tc>
        <w:tc>
          <w:tcPr>
            <w:tcW w:w="180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1</w:t>
            </w:r>
          </w:p>
        </w:tc>
        <w:tc>
          <w:tcPr>
            <w:tcW w:w="172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0</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auto"/>
                <w:kern w:val="0"/>
                <w:sz w:val="22"/>
              </w:rPr>
            </w:pPr>
            <w:r>
              <w:rPr>
                <w:rFonts w:hint="eastAsia"/>
                <w:color w:val="auto"/>
                <w:kern w:val="0"/>
                <w:sz w:val="22"/>
              </w:rPr>
              <w:t>　</w:t>
            </w: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color w:val="auto"/>
                <w:kern w:val="0"/>
                <w:sz w:val="22"/>
              </w:rPr>
            </w:pPr>
            <w:r>
              <w:rPr>
                <w:rFonts w:hint="eastAsia"/>
                <w:color w:val="auto"/>
                <w:kern w:val="0"/>
                <w:sz w:val="22"/>
              </w:rPr>
              <w:t>10</w:t>
            </w:r>
          </w:p>
        </w:tc>
        <w:tc>
          <w:tcPr>
            <w:tcW w:w="246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eastAsia"/>
                <w:color w:val="auto"/>
                <w:kern w:val="0"/>
                <w:sz w:val="22"/>
              </w:rPr>
            </w:pPr>
            <w:r>
              <w:rPr>
                <w:rFonts w:hint="eastAsia" w:ascii="宋体" w:hAnsi="宋体" w:eastAsia="宋体" w:cs="宋体"/>
                <w:i w:val="0"/>
                <w:iCs w:val="0"/>
                <w:color w:val="auto"/>
                <w:kern w:val="0"/>
                <w:sz w:val="22"/>
                <w:szCs w:val="22"/>
                <w:u w:val="none"/>
                <w:lang w:val="en-US" w:eastAsia="zh-CN" w:bidi="ar"/>
              </w:rPr>
              <w:t>五层设备间</w:t>
            </w:r>
          </w:p>
        </w:tc>
        <w:tc>
          <w:tcPr>
            <w:tcW w:w="180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eastAsia"/>
                <w:color w:val="auto"/>
                <w:kern w:val="0"/>
                <w:sz w:val="22"/>
              </w:rPr>
            </w:pPr>
            <w:r>
              <w:rPr>
                <w:rFonts w:hint="eastAsia" w:ascii="宋体" w:hAnsi="宋体" w:eastAsia="宋体" w:cs="宋体"/>
                <w:i w:val="0"/>
                <w:iCs w:val="0"/>
                <w:color w:val="auto"/>
                <w:kern w:val="0"/>
                <w:sz w:val="22"/>
                <w:szCs w:val="22"/>
                <w:u w:val="none"/>
                <w:lang w:val="en-US" w:eastAsia="zh-CN" w:bidi="ar"/>
              </w:rPr>
              <w:t>1</w:t>
            </w:r>
          </w:p>
        </w:tc>
        <w:tc>
          <w:tcPr>
            <w:tcW w:w="172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eastAsia"/>
                <w:color w:val="auto"/>
                <w:kern w:val="0"/>
                <w:sz w:val="22"/>
              </w:rPr>
            </w:pPr>
            <w:r>
              <w:rPr>
                <w:rFonts w:hint="eastAsia" w:ascii="宋体" w:hAnsi="宋体" w:eastAsia="宋体" w:cs="宋体"/>
                <w:i w:val="0"/>
                <w:iCs w:val="0"/>
                <w:color w:val="auto"/>
                <w:kern w:val="0"/>
                <w:sz w:val="22"/>
                <w:szCs w:val="22"/>
                <w:u w:val="none"/>
                <w:lang w:val="en-US" w:eastAsia="zh-CN" w:bidi="ar"/>
              </w:rPr>
              <w:t>0</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color w:val="auto"/>
                <w:kern w:val="0"/>
                <w:sz w:val="22"/>
              </w:rPr>
            </w:pP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color w:val="auto"/>
                <w:kern w:val="0"/>
                <w:sz w:val="22"/>
              </w:rPr>
            </w:pPr>
            <w:r>
              <w:rPr>
                <w:rFonts w:hint="eastAsia"/>
                <w:color w:val="auto"/>
                <w:kern w:val="0"/>
                <w:sz w:val="22"/>
              </w:rPr>
              <w:t>11</w:t>
            </w:r>
          </w:p>
        </w:tc>
        <w:tc>
          <w:tcPr>
            <w:tcW w:w="246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eastAsia"/>
                <w:color w:val="auto"/>
                <w:kern w:val="0"/>
                <w:sz w:val="22"/>
              </w:rPr>
            </w:pPr>
            <w:r>
              <w:rPr>
                <w:rFonts w:hint="eastAsia" w:ascii="宋体" w:hAnsi="宋体" w:eastAsia="宋体" w:cs="宋体"/>
                <w:i w:val="0"/>
                <w:iCs w:val="0"/>
                <w:color w:val="auto"/>
                <w:kern w:val="0"/>
                <w:sz w:val="22"/>
                <w:szCs w:val="22"/>
                <w:u w:val="none"/>
                <w:lang w:val="en-US" w:eastAsia="zh-CN" w:bidi="ar"/>
              </w:rPr>
              <w:t>六层设备间</w:t>
            </w:r>
          </w:p>
        </w:tc>
        <w:tc>
          <w:tcPr>
            <w:tcW w:w="180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eastAsia"/>
                <w:color w:val="auto"/>
                <w:kern w:val="0"/>
                <w:sz w:val="22"/>
              </w:rPr>
            </w:pPr>
            <w:r>
              <w:rPr>
                <w:rFonts w:hint="eastAsia" w:ascii="宋体" w:hAnsi="宋体" w:eastAsia="宋体" w:cs="宋体"/>
                <w:i w:val="0"/>
                <w:iCs w:val="0"/>
                <w:color w:val="auto"/>
                <w:kern w:val="0"/>
                <w:sz w:val="22"/>
                <w:szCs w:val="22"/>
                <w:u w:val="none"/>
                <w:lang w:val="en-US" w:eastAsia="zh-CN" w:bidi="ar"/>
              </w:rPr>
              <w:t>1</w:t>
            </w:r>
          </w:p>
        </w:tc>
        <w:tc>
          <w:tcPr>
            <w:tcW w:w="172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eastAsia"/>
                <w:color w:val="auto"/>
                <w:kern w:val="0"/>
                <w:sz w:val="22"/>
              </w:rPr>
            </w:pPr>
            <w:r>
              <w:rPr>
                <w:rFonts w:hint="eastAsia" w:ascii="宋体" w:hAnsi="宋体" w:eastAsia="宋体" w:cs="宋体"/>
                <w:i w:val="0"/>
                <w:iCs w:val="0"/>
                <w:color w:val="auto"/>
                <w:kern w:val="0"/>
                <w:sz w:val="22"/>
                <w:szCs w:val="22"/>
                <w:u w:val="none"/>
                <w:lang w:val="en-US" w:eastAsia="zh-CN" w:bidi="ar"/>
              </w:rPr>
              <w:t>0</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color w:val="auto"/>
                <w:kern w:val="0"/>
                <w:sz w:val="22"/>
              </w:rPr>
            </w:pP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color w:val="auto"/>
                <w:kern w:val="0"/>
                <w:sz w:val="22"/>
              </w:rPr>
            </w:pPr>
            <w:r>
              <w:rPr>
                <w:rFonts w:hint="eastAsia"/>
                <w:color w:val="auto"/>
                <w:kern w:val="0"/>
                <w:sz w:val="22"/>
              </w:rPr>
              <w:t>12</w:t>
            </w:r>
          </w:p>
        </w:tc>
        <w:tc>
          <w:tcPr>
            <w:tcW w:w="246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eastAsia"/>
                <w:color w:val="auto"/>
                <w:kern w:val="0"/>
                <w:sz w:val="22"/>
              </w:rPr>
            </w:pPr>
            <w:r>
              <w:rPr>
                <w:rFonts w:hint="eastAsia" w:ascii="宋体" w:hAnsi="宋体" w:eastAsia="宋体" w:cs="宋体"/>
                <w:i w:val="0"/>
                <w:iCs w:val="0"/>
                <w:color w:val="auto"/>
                <w:kern w:val="0"/>
                <w:sz w:val="22"/>
                <w:szCs w:val="22"/>
                <w:u w:val="none"/>
                <w:lang w:val="en-US" w:eastAsia="zh-CN" w:bidi="ar"/>
              </w:rPr>
              <w:t>七层设备间</w:t>
            </w:r>
          </w:p>
        </w:tc>
        <w:tc>
          <w:tcPr>
            <w:tcW w:w="180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eastAsia"/>
                <w:color w:val="auto"/>
                <w:kern w:val="0"/>
                <w:sz w:val="22"/>
              </w:rPr>
            </w:pPr>
            <w:r>
              <w:rPr>
                <w:rFonts w:hint="eastAsia" w:ascii="宋体" w:hAnsi="宋体" w:eastAsia="宋体" w:cs="宋体"/>
                <w:i w:val="0"/>
                <w:iCs w:val="0"/>
                <w:color w:val="auto"/>
                <w:kern w:val="0"/>
                <w:sz w:val="22"/>
                <w:szCs w:val="22"/>
                <w:u w:val="none"/>
                <w:lang w:val="en-US" w:eastAsia="zh-CN" w:bidi="ar"/>
              </w:rPr>
              <w:t>1</w:t>
            </w:r>
          </w:p>
        </w:tc>
        <w:tc>
          <w:tcPr>
            <w:tcW w:w="172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eastAsia"/>
                <w:color w:val="auto"/>
                <w:kern w:val="0"/>
                <w:sz w:val="22"/>
              </w:rPr>
            </w:pPr>
            <w:r>
              <w:rPr>
                <w:rFonts w:hint="eastAsia" w:ascii="宋体" w:hAnsi="宋体" w:eastAsia="宋体" w:cs="宋体"/>
                <w:i w:val="0"/>
                <w:iCs w:val="0"/>
                <w:color w:val="auto"/>
                <w:kern w:val="0"/>
                <w:sz w:val="22"/>
                <w:szCs w:val="22"/>
                <w:u w:val="none"/>
                <w:lang w:val="en-US" w:eastAsia="zh-CN" w:bidi="ar"/>
              </w:rPr>
              <w:t>0</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eastAsia"/>
                <w:color w:val="auto"/>
                <w:kern w:val="0"/>
                <w:sz w:val="22"/>
              </w:rPr>
            </w:pP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eastAsia="宋体"/>
                <w:color w:val="auto"/>
                <w:kern w:val="0"/>
                <w:sz w:val="22"/>
                <w:lang w:val="en-US" w:eastAsia="zh-CN"/>
              </w:rPr>
            </w:pPr>
            <w:r>
              <w:rPr>
                <w:rFonts w:hint="eastAsia"/>
                <w:color w:val="auto"/>
                <w:kern w:val="0"/>
                <w:sz w:val="22"/>
                <w:lang w:val="en-US" w:eastAsia="zh-CN"/>
              </w:rPr>
              <w:t>13</w:t>
            </w:r>
          </w:p>
        </w:tc>
        <w:tc>
          <w:tcPr>
            <w:tcW w:w="246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八层设备间</w:t>
            </w:r>
          </w:p>
        </w:tc>
        <w:tc>
          <w:tcPr>
            <w:tcW w:w="180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1</w:t>
            </w:r>
          </w:p>
        </w:tc>
        <w:tc>
          <w:tcPr>
            <w:tcW w:w="172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1</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auto"/>
                <w:kern w:val="0"/>
                <w:sz w:val="22"/>
              </w:rPr>
            </w:pPr>
            <w:r>
              <w:rPr>
                <w:rFonts w:hint="eastAsia"/>
                <w:color w:val="auto"/>
                <w:kern w:val="0"/>
                <w:sz w:val="22"/>
              </w:rPr>
              <w:t>　</w:t>
            </w: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eastAsia="宋体"/>
                <w:color w:val="auto"/>
                <w:kern w:val="0"/>
                <w:sz w:val="22"/>
                <w:lang w:val="en-US" w:eastAsia="zh-CN"/>
              </w:rPr>
            </w:pPr>
            <w:r>
              <w:rPr>
                <w:rFonts w:hint="eastAsia"/>
                <w:color w:val="auto"/>
                <w:kern w:val="0"/>
                <w:sz w:val="22"/>
                <w:lang w:val="en-US" w:eastAsia="zh-CN"/>
              </w:rPr>
              <w:t>14</w:t>
            </w:r>
          </w:p>
        </w:tc>
        <w:tc>
          <w:tcPr>
            <w:tcW w:w="246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九层设备间</w:t>
            </w:r>
          </w:p>
        </w:tc>
        <w:tc>
          <w:tcPr>
            <w:tcW w:w="180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1</w:t>
            </w:r>
          </w:p>
        </w:tc>
        <w:tc>
          <w:tcPr>
            <w:tcW w:w="172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0</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auto"/>
                <w:kern w:val="0"/>
                <w:sz w:val="22"/>
              </w:rPr>
            </w:pPr>
            <w:r>
              <w:rPr>
                <w:rFonts w:hint="eastAsia"/>
                <w:color w:val="auto"/>
                <w:kern w:val="0"/>
                <w:sz w:val="22"/>
              </w:rPr>
              <w:t>　</w:t>
            </w:r>
          </w:p>
        </w:tc>
      </w:tr>
      <w:tr>
        <w:tblPrEx>
          <w:tblCellMar>
            <w:top w:w="0" w:type="dxa"/>
            <w:left w:w="108" w:type="dxa"/>
            <w:bottom w:w="0" w:type="dxa"/>
            <w:right w:w="108" w:type="dxa"/>
          </w:tblCellMar>
        </w:tblPrEx>
        <w:trPr>
          <w:trHeight w:val="450" w:hRule="atLeast"/>
          <w:jc w:val="center"/>
        </w:trPr>
        <w:tc>
          <w:tcPr>
            <w:tcW w:w="95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auto"/>
                <w:kern w:val="0"/>
                <w:sz w:val="22"/>
              </w:rPr>
            </w:pPr>
          </w:p>
        </w:tc>
        <w:tc>
          <w:tcPr>
            <w:tcW w:w="246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olor w:val="auto"/>
                <w:kern w:val="0"/>
                <w:sz w:val="22"/>
              </w:rPr>
            </w:pPr>
            <w:r>
              <w:rPr>
                <w:rFonts w:hint="eastAsia"/>
                <w:color w:val="auto"/>
                <w:kern w:val="0"/>
                <w:sz w:val="22"/>
              </w:rPr>
              <w:t>合计</w:t>
            </w:r>
          </w:p>
        </w:tc>
        <w:tc>
          <w:tcPr>
            <w:tcW w:w="180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13</w:t>
            </w:r>
          </w:p>
        </w:tc>
        <w:tc>
          <w:tcPr>
            <w:tcW w:w="172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firstLine="440" w:firstLineChars="200"/>
              <w:jc w:val="center"/>
              <w:textAlignment w:val="center"/>
              <w:rPr>
                <w:rFonts w:hint="default"/>
                <w:color w:val="auto"/>
                <w:kern w:val="0"/>
                <w:sz w:val="22"/>
              </w:rPr>
            </w:pPr>
            <w:r>
              <w:rPr>
                <w:rFonts w:hint="eastAsia" w:ascii="宋体" w:hAnsi="宋体" w:eastAsia="宋体" w:cs="宋体"/>
                <w:i w:val="0"/>
                <w:iCs w:val="0"/>
                <w:color w:val="auto"/>
                <w:kern w:val="0"/>
                <w:sz w:val="22"/>
                <w:szCs w:val="22"/>
                <w:u w:val="none"/>
                <w:lang w:val="en-US" w:eastAsia="zh-CN" w:bidi="ar"/>
              </w:rPr>
              <w:t>7</w:t>
            </w:r>
          </w:p>
        </w:tc>
        <w:tc>
          <w:tcPr>
            <w:tcW w:w="1080"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left"/>
              <w:rPr>
                <w:rFonts w:hint="default"/>
                <w:color w:val="auto"/>
                <w:kern w:val="0"/>
                <w:sz w:val="22"/>
              </w:rPr>
            </w:pPr>
            <w:r>
              <w:rPr>
                <w:rFonts w:hint="eastAsia"/>
                <w:color w:val="auto"/>
                <w:kern w:val="0"/>
                <w:sz w:val="22"/>
              </w:rPr>
              <w:t>　</w:t>
            </w:r>
          </w:p>
        </w:tc>
      </w:tr>
    </w:tbl>
    <w:p>
      <w:pPr>
        <w:ind w:firstLine="480"/>
      </w:pPr>
    </w:p>
    <w:p>
      <w:pPr>
        <w:pStyle w:val="6"/>
        <w:tabs>
          <w:tab w:val="left" w:pos="0"/>
        </w:tabs>
      </w:pPr>
      <w:r>
        <w:rPr>
          <w:rFonts w:hint="eastAsia"/>
        </w:rPr>
        <w:t>网络信息点位清单</w:t>
      </w:r>
    </w:p>
    <w:p>
      <w:pPr>
        <w:ind w:firstLine="480"/>
      </w:pPr>
      <w:r>
        <w:rPr>
          <w:rFonts w:hint="eastAsia"/>
        </w:rPr>
        <w:t>本项目共计规划网络信息点位</w:t>
      </w:r>
      <w:r>
        <w:rPr>
          <w:rFonts w:hint="eastAsia"/>
          <w:lang w:val="en-US" w:eastAsia="zh-CN"/>
        </w:rPr>
        <w:t>2897</w:t>
      </w:r>
      <w:r>
        <w:rPr>
          <w:rFonts w:hint="eastAsia"/>
        </w:rPr>
        <w:t>个，电话信息点位</w:t>
      </w:r>
      <w:r>
        <w:rPr>
          <w:rFonts w:hint="eastAsia"/>
          <w:lang w:val="en-US" w:eastAsia="zh-CN"/>
        </w:rPr>
        <w:t>420</w:t>
      </w:r>
      <w:r>
        <w:rPr>
          <w:rFonts w:hint="eastAsia"/>
        </w:rPr>
        <w:t>个，其中政务外网办公网信息点位</w:t>
      </w:r>
      <w:r>
        <w:rPr>
          <w:rFonts w:hint="eastAsia"/>
          <w:lang w:val="en-US" w:eastAsia="zh-CN"/>
        </w:rPr>
        <w:t>2139</w:t>
      </w:r>
      <w:r>
        <w:rPr>
          <w:rFonts w:hint="eastAsia"/>
        </w:rPr>
        <w:t>个，设备网信息点</w:t>
      </w:r>
      <w:r>
        <w:rPr>
          <w:rFonts w:hint="eastAsia"/>
          <w:lang w:val="en-US" w:eastAsia="zh-CN"/>
        </w:rPr>
        <w:t>91</w:t>
      </w:r>
      <w:r>
        <w:rPr>
          <w:rFonts w:hint="eastAsia"/>
        </w:rPr>
        <w:t>个，监控点位</w:t>
      </w:r>
      <w:r>
        <w:rPr>
          <w:rFonts w:hint="eastAsia"/>
          <w:lang w:val="en-US" w:eastAsia="zh-CN"/>
        </w:rPr>
        <w:t>247</w:t>
      </w:r>
      <w:r>
        <w:rPr>
          <w:rFonts w:hint="eastAsia"/>
        </w:rPr>
        <w:t>个。具体点位清单如下：</w:t>
      </w:r>
    </w:p>
    <w:p>
      <w:pPr>
        <w:ind w:firstLine="0" w:firstLineChars="0"/>
        <w:jc w:val="center"/>
        <w:rPr>
          <w:rFonts w:ascii="黑体" w:hAnsi="黑体" w:eastAsia="黑体" w:cs="黑体"/>
          <w:sz w:val="21"/>
          <w:szCs w:val="21"/>
        </w:rPr>
      </w:pPr>
      <w:r>
        <w:rPr>
          <w:rFonts w:hint="eastAsia" w:ascii="黑体" w:hAnsi="黑体" w:eastAsia="黑体" w:cs="黑体"/>
          <w:sz w:val="21"/>
          <w:szCs w:val="21"/>
        </w:rPr>
        <w:t xml:space="preserve">表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STYLEREF 2 \s </w:instrText>
      </w:r>
      <w:r>
        <w:rPr>
          <w:rFonts w:hint="eastAsia" w:ascii="黑体" w:hAnsi="黑体" w:eastAsia="黑体" w:cs="黑体"/>
          <w:sz w:val="21"/>
          <w:szCs w:val="21"/>
        </w:rPr>
        <w:fldChar w:fldCharType="separate"/>
      </w:r>
      <w:r>
        <w:rPr>
          <w:rFonts w:hint="eastAsia" w:ascii="黑体" w:hAnsi="黑体" w:eastAsia="黑体" w:cs="黑体"/>
          <w:sz w:val="21"/>
          <w:szCs w:val="21"/>
          <w:lang w:val="en-US" w:eastAsia="zh-CN"/>
        </w:rPr>
        <w:t>2</w:t>
      </w:r>
      <w:r>
        <w:rPr>
          <w:rFonts w:ascii="黑体" w:hAnsi="黑体" w:eastAsia="黑体" w:cs="黑体"/>
          <w:sz w:val="21"/>
          <w:szCs w:val="21"/>
        </w:rPr>
        <w:t>.3</w:t>
      </w:r>
      <w:r>
        <w:rPr>
          <w:rFonts w:hint="eastAsia" w:ascii="黑体" w:hAnsi="黑体" w:eastAsia="黑体" w:cs="黑体"/>
          <w:sz w:val="21"/>
          <w:szCs w:val="21"/>
        </w:rPr>
        <w:fldChar w:fldCharType="end"/>
      </w:r>
      <w:r>
        <w:rPr>
          <w:rFonts w:hint="eastAsia" w:ascii="黑体" w:hAnsi="黑体" w:eastAsia="黑体" w:cs="黑体"/>
          <w:sz w:val="21"/>
          <w:szCs w:val="21"/>
        </w:rPr>
        <w:noBreakHyphen/>
      </w:r>
      <w:r>
        <w:rPr>
          <w:rFonts w:hint="eastAsia" w:ascii="黑体" w:hAnsi="黑体" w:eastAsia="黑体" w:cs="黑体"/>
          <w:sz w:val="21"/>
          <w:szCs w:val="21"/>
          <w:lang w:val="en-US" w:eastAsia="zh-CN"/>
        </w:rPr>
        <w:t>4</w:t>
      </w:r>
      <w:r>
        <w:rPr>
          <w:rFonts w:hint="eastAsia" w:ascii="黑体" w:hAnsi="黑体" w:eastAsia="黑体" w:cs="黑体"/>
          <w:sz w:val="21"/>
          <w:szCs w:val="21"/>
        </w:rPr>
        <w:t xml:space="preserve"> 网络信息点清单</w:t>
      </w:r>
    </w:p>
    <w:tbl>
      <w:tblPr>
        <w:tblStyle w:val="28"/>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8"/>
        <w:gridCol w:w="638"/>
        <w:gridCol w:w="1686"/>
        <w:gridCol w:w="2736"/>
        <w:gridCol w:w="638"/>
        <w:gridCol w:w="1060"/>
        <w:gridCol w:w="849"/>
        <w:gridCol w:w="8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blHead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楼层</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电话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办公网络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设备网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监控网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前台窗口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其他24小时自助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公安24小时自助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公安24小时自助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酒店式办公入口大堂及梯间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市民服务中心大堂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工建民生综合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前台窗口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工建民生综合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电子自助机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工建民生综合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工建民生综合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工建民生综合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前台窗口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调解室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刻章工坊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一层弱电机房及梯间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一层左下角电梯厅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养犬登记服务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户籍窗口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户籍后台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户籍业务用房1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户籍业务用房</w:t>
            </w:r>
            <w:r>
              <w:rPr>
                <w:rFonts w:hint="eastAsia"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原吸烟区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出入境窗口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出入境业务用房1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出入境业务用房</w:t>
            </w:r>
            <w:r>
              <w:rPr>
                <w:rFonts w:hint="eastAsia"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出入境公安自助专区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出入境业务用房</w:t>
            </w:r>
            <w:r>
              <w:rPr>
                <w:rFonts w:hint="eastAsia"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出入境临时档案室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出入境咨询室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出入境接待室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出入境业务用房</w:t>
            </w:r>
            <w:r>
              <w:rPr>
                <w:rFonts w:hint="eastAsia"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出入境操作室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出入境证件房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出入境储物房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导办台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公用会议室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小会议室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物业管理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二层机房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市民服务中心大堂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楼梯间、电井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厕所、母婴室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导办台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自助区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社保后台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养老业务用房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医保后台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资料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窗口后台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归集及提取业务房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资料室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综合业务室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受理科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协调区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导办台及自助区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税务后台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前置扫描室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咨询、值班、办文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缮证室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产权证、档案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窗口后台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征纳互动云会客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导税台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自助终端服务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发票房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线上办税区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集约中心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调解室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票证房及走廊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机房、梯间、走廊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档案室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业务培训室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接待室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党建活动室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储物间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党员活动室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大堂导办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大堂导办后房间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资料整理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产权档案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登记二科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业务科室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小会议室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信访协调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登记一科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综合科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党务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档案阅览室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档案室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密室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党员活动室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政务服务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数据与信息管理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信息中心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女更衣室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男更衣室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行政复议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小会议室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行政复议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听证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行政复议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储藏室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储藏室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公用会议室1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公用会议室2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多功能室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小会议室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大会议室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经营业务用房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演播室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化妆间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全媒体业务用房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新闻发布厅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电梯厅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接待室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cs="宋体"/>
                <w:i w:val="0"/>
                <w:iCs w:val="0"/>
                <w:color w:val="000000"/>
                <w:kern w:val="0"/>
                <w:sz w:val="21"/>
                <w:szCs w:val="21"/>
                <w:u w:val="none"/>
                <w:lang w:val="en-US" w:eastAsia="zh-CN" w:bidi="ar"/>
              </w:rPr>
              <w:t>业务用房</w:t>
            </w: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cs="宋体"/>
                <w:i w:val="0"/>
                <w:iCs w:val="0"/>
                <w:color w:val="000000"/>
                <w:kern w:val="0"/>
                <w:sz w:val="21"/>
                <w:szCs w:val="21"/>
                <w:u w:val="none"/>
                <w:lang w:val="en-US" w:eastAsia="zh-CN" w:bidi="ar"/>
              </w:rPr>
              <w:t>业务用房2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cs="宋体"/>
                <w:i w:val="0"/>
                <w:iCs w:val="0"/>
                <w:color w:val="000000"/>
                <w:kern w:val="0"/>
                <w:sz w:val="21"/>
                <w:szCs w:val="21"/>
                <w:u w:val="none"/>
                <w:lang w:val="en-US" w:eastAsia="zh-CN" w:bidi="ar"/>
              </w:rPr>
              <w:t>业务用房3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档案室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直播室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导播室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录音室1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录音室2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播控室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w:t>
            </w:r>
            <w:r>
              <w:rPr>
                <w:rFonts w:hint="eastAsia" w:cs="宋体"/>
                <w:i w:val="0"/>
                <w:iCs w:val="0"/>
                <w:color w:val="000000"/>
                <w:kern w:val="0"/>
                <w:sz w:val="21"/>
                <w:szCs w:val="21"/>
                <w:u w:val="none"/>
                <w:lang w:val="en-US" w:eastAsia="zh-CN" w:bidi="ar"/>
              </w:rPr>
              <w:t>业务用房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设备仓库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247</w:t>
            </w:r>
          </w:p>
        </w:tc>
      </w:tr>
    </w:tbl>
    <w:p>
      <w:pPr>
        <w:pStyle w:val="14"/>
      </w:pPr>
    </w:p>
    <w:p>
      <w:pPr>
        <w:pStyle w:val="5"/>
        <w:rPr>
          <w:lang w:eastAsia="zh-Hans"/>
        </w:rPr>
      </w:pPr>
      <w:bookmarkStart w:id="435" w:name="_Toc21551"/>
      <w:bookmarkStart w:id="436" w:name="_Toc7343"/>
      <w:bookmarkStart w:id="437" w:name="_Toc2208"/>
      <w:bookmarkStart w:id="438" w:name="_Toc4849"/>
      <w:r>
        <w:rPr>
          <w:rFonts w:hint="eastAsia"/>
        </w:rPr>
        <w:t>IPv6地址协议支持</w:t>
      </w:r>
      <w:bookmarkEnd w:id="435"/>
      <w:bookmarkEnd w:id="436"/>
      <w:bookmarkEnd w:id="437"/>
      <w:bookmarkEnd w:id="438"/>
    </w:p>
    <w:p>
      <w:pPr>
        <w:spacing w:after="160"/>
        <w:ind w:firstLine="480"/>
        <w:rPr>
          <w:snapToGrid w:val="0"/>
          <w:kern w:val="0"/>
        </w:rPr>
      </w:pPr>
      <w:r>
        <w:rPr>
          <w:rFonts w:hint="eastAsia"/>
          <w:snapToGrid w:val="0"/>
          <w:kern w:val="0"/>
          <w:szCs w:val="24"/>
        </w:rPr>
        <w:t>由于IPv4地址段资源相对有限，同时考虑到网络安全、网络协议拓展度、寻址速率等方面的需求，本项目部署的汇聚、接入等网络设备需支持IPv6地址协议</w:t>
      </w:r>
      <w:r>
        <w:rPr>
          <w:snapToGrid w:val="0"/>
          <w:kern w:val="0"/>
          <w:szCs w:val="24"/>
        </w:rPr>
        <w:t>。</w:t>
      </w:r>
    </w:p>
    <w:p>
      <w:pPr>
        <w:pStyle w:val="5"/>
      </w:pPr>
      <w:bookmarkStart w:id="439" w:name="_Toc5916"/>
      <w:bookmarkStart w:id="440" w:name="_Toc20260"/>
      <w:bookmarkStart w:id="441" w:name="_Toc26878"/>
      <w:bookmarkStart w:id="442" w:name="_Toc16242"/>
      <w:r>
        <w:rPr>
          <w:rFonts w:hint="eastAsia"/>
        </w:rPr>
        <w:t>IP地址设计</w:t>
      </w:r>
      <w:bookmarkEnd w:id="439"/>
      <w:bookmarkEnd w:id="440"/>
      <w:bookmarkEnd w:id="441"/>
      <w:bookmarkEnd w:id="442"/>
    </w:p>
    <w:p>
      <w:pPr>
        <w:ind w:firstLine="480"/>
      </w:pPr>
      <w:r>
        <w:rPr>
          <w:rFonts w:hint="eastAsia"/>
          <w:snapToGrid w:val="0"/>
          <w:kern w:val="0"/>
          <w:szCs w:val="24"/>
        </w:rPr>
        <w:t>服务中心网络是基于传输控制/互联协议（TCP/IP）结构的互联网络。其IP地址的编制是网络建设的重要内容，它与网络的整体结构、技术体制、连接方式相关，是实现全网互联互通的基础，必须实行统一规划、统一分配、分级编制、分级管理。</w:t>
      </w:r>
    </w:p>
    <w:p>
      <w:pPr>
        <w:pStyle w:val="3"/>
        <w:rPr>
          <w:highlight w:val="none"/>
        </w:rPr>
      </w:pPr>
      <w:bookmarkStart w:id="443" w:name="_Toc9943"/>
      <w:bookmarkStart w:id="444" w:name="_Toc13015"/>
      <w:bookmarkStart w:id="445" w:name="_Toc29311"/>
      <w:bookmarkStart w:id="446" w:name="_Toc8762"/>
      <w:r>
        <w:rPr>
          <w:rFonts w:hint="eastAsia"/>
          <w:highlight w:val="none"/>
        </w:rPr>
        <w:t>业务运行设备</w:t>
      </w:r>
      <w:bookmarkEnd w:id="417"/>
      <w:bookmarkEnd w:id="418"/>
      <w:bookmarkEnd w:id="419"/>
      <w:bookmarkEnd w:id="420"/>
      <w:bookmarkEnd w:id="421"/>
      <w:bookmarkEnd w:id="422"/>
      <w:bookmarkEnd w:id="423"/>
      <w:bookmarkEnd w:id="424"/>
      <w:bookmarkEnd w:id="425"/>
      <w:bookmarkEnd w:id="426"/>
      <w:bookmarkEnd w:id="443"/>
      <w:bookmarkEnd w:id="444"/>
      <w:bookmarkEnd w:id="445"/>
      <w:bookmarkEnd w:id="446"/>
    </w:p>
    <w:p>
      <w:pPr>
        <w:pStyle w:val="4"/>
        <w:bidi w:val="0"/>
      </w:pPr>
      <w:bookmarkStart w:id="447" w:name="_Toc15329"/>
      <w:bookmarkStart w:id="448" w:name="_Toc9245"/>
      <w:bookmarkStart w:id="449" w:name="_Toc18875"/>
      <w:bookmarkStart w:id="450" w:name="_Toc21666"/>
      <w:bookmarkStart w:id="451" w:name="_Toc13807"/>
      <w:bookmarkStart w:id="452" w:name="_Toc6236"/>
      <w:bookmarkStart w:id="453" w:name="_Toc8952"/>
      <w:bookmarkStart w:id="454" w:name="_Toc6437"/>
      <w:bookmarkStart w:id="455" w:name="_Toc31572"/>
      <w:bookmarkStart w:id="456" w:name="_Toc17177"/>
      <w:r>
        <w:rPr>
          <w:rFonts w:hint="eastAsia"/>
        </w:rPr>
        <w:t>大厅业务运行设备</w:t>
      </w:r>
      <w:bookmarkEnd w:id="447"/>
      <w:bookmarkEnd w:id="448"/>
      <w:bookmarkEnd w:id="449"/>
      <w:bookmarkEnd w:id="450"/>
      <w:bookmarkEnd w:id="451"/>
      <w:bookmarkEnd w:id="452"/>
      <w:bookmarkEnd w:id="453"/>
      <w:bookmarkEnd w:id="454"/>
      <w:bookmarkEnd w:id="455"/>
      <w:bookmarkEnd w:id="456"/>
    </w:p>
    <w:p>
      <w:pPr>
        <w:ind w:firstLine="480"/>
        <w:rPr>
          <w:highlight w:val="none"/>
        </w:rPr>
      </w:pPr>
      <w:r>
        <w:rPr>
          <w:rFonts w:hint="eastAsia"/>
          <w:highlight w:val="none"/>
        </w:rPr>
        <w:t>本项目以“互联网+政务服务”思路为指导，信息化技术为媒介，简化服务引导程序为抓手，实现群众办事“最多跑一次”为总目标。通过配备服务大厅各功能区业务开展所需信息化设备，为群众提供高效便捷的办事引导，提供一体化、现代化、智能化的办理服务。</w:t>
      </w:r>
      <w:r>
        <w:rPr>
          <w:highlight w:val="none"/>
        </w:rPr>
        <w:t xml:space="preserve"> </w:t>
      </w:r>
    </w:p>
    <w:p>
      <w:pPr>
        <w:keepNext/>
        <w:ind w:firstLine="0" w:firstLineChars="0"/>
        <w:rPr>
          <w:highlight w:val="none"/>
        </w:rPr>
      </w:pPr>
      <w:r>
        <w:rPr>
          <w:highlight w:val="none"/>
        </w:rPr>
        <w:drawing>
          <wp:inline distT="0" distB="0" distL="0" distR="0">
            <wp:extent cx="5774055" cy="2896870"/>
            <wp:effectExtent l="0" t="0" r="1905" b="13970"/>
            <wp:docPr id="64" name="图片 6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true" noChangeArrowheads="true"/>
                    </pic:cNvPicPr>
                  </pic:nvPicPr>
                  <pic:blipFill>
                    <a:blip r:embed="rId26">
                      <a:extLst>
                        <a:ext uri="{28A0092B-C50C-407E-A947-70E740481C1C}">
                          <a14:useLocalDpi xmlns:a14="http://schemas.microsoft.com/office/drawing/2010/main" val="false"/>
                        </a:ext>
                      </a:extLst>
                    </a:blip>
                    <a:srcRect/>
                    <a:stretch>
                      <a:fillRect/>
                    </a:stretch>
                  </pic:blipFill>
                  <pic:spPr>
                    <a:xfrm>
                      <a:off x="0" y="0"/>
                      <a:ext cx="5774055" cy="2896870"/>
                    </a:xfrm>
                    <a:prstGeom prst="rect">
                      <a:avLst/>
                    </a:prstGeom>
                    <a:noFill/>
                    <a:ln>
                      <a:noFill/>
                    </a:ln>
                  </pic:spPr>
                </pic:pic>
              </a:graphicData>
            </a:graphic>
          </wp:inline>
        </w:drawing>
      </w:r>
    </w:p>
    <w:p>
      <w:pPr>
        <w:keepNext/>
        <w:ind w:firstLine="420"/>
        <w:jc w:val="center"/>
        <w:rPr>
          <w:highlight w:val="none"/>
        </w:rPr>
      </w:pPr>
      <w:r>
        <w:rPr>
          <w:rFonts w:hint="eastAsia" w:ascii="黑体" w:hAnsi="黑体" w:eastAsia="黑体" w:cs="黑体"/>
          <w:sz w:val="21"/>
          <w:szCs w:val="20"/>
          <w:highlight w:val="none"/>
        </w:rPr>
        <w:t xml:space="preserve">图 </w:t>
      </w:r>
      <w:r>
        <w:rPr>
          <w:rFonts w:hint="eastAsia" w:ascii="黑体" w:hAnsi="黑体" w:eastAsia="黑体" w:cs="黑体"/>
          <w:sz w:val="21"/>
          <w:szCs w:val="20"/>
          <w:highlight w:val="none"/>
          <w:lang w:val="en-US" w:eastAsia="zh-CN"/>
        </w:rPr>
        <w:t>2.4</w:t>
      </w:r>
      <w:r>
        <w:rPr>
          <w:rFonts w:hint="eastAsia" w:ascii="黑体" w:hAnsi="黑体" w:eastAsia="黑体" w:cs="黑体"/>
          <w:sz w:val="21"/>
          <w:szCs w:val="20"/>
          <w:highlight w:val="none"/>
        </w:rPr>
        <w:noBreakHyphen/>
      </w:r>
      <w:r>
        <w:rPr>
          <w:rFonts w:hint="eastAsia" w:ascii="黑体" w:hAnsi="黑体" w:eastAsia="黑体" w:cs="黑体"/>
          <w:sz w:val="21"/>
          <w:szCs w:val="20"/>
          <w:highlight w:val="none"/>
          <w:lang w:val="en-US" w:eastAsia="zh-CN"/>
        </w:rPr>
        <w:t>1</w:t>
      </w:r>
      <w:r>
        <w:rPr>
          <w:rFonts w:hint="eastAsia" w:ascii="黑体" w:hAnsi="黑体" w:eastAsia="黑体" w:cs="黑体"/>
          <w:sz w:val="21"/>
          <w:szCs w:val="20"/>
          <w:highlight w:val="none"/>
        </w:rPr>
        <w:t>服务流程图</w:t>
      </w:r>
    </w:p>
    <w:p>
      <w:pPr>
        <w:ind w:firstLine="480"/>
        <w:rPr>
          <w:highlight w:val="none"/>
        </w:rPr>
      </w:pPr>
      <w:r>
        <w:rPr>
          <w:rFonts w:hint="eastAsia"/>
          <w:highlight w:val="none"/>
        </w:rPr>
        <w:t>根据政务服务标准化大厅建设需求及现有场地条件，将布局结构划分为：咨询导办区、休息等候区、窗口服务区、24小时自助办理区，并每个区域配备业务开展所需信息化设备。</w:t>
      </w:r>
    </w:p>
    <w:p>
      <w:pPr>
        <w:keepNext/>
        <w:ind w:firstLine="420"/>
        <w:jc w:val="center"/>
        <w:rPr>
          <w:rFonts w:ascii="黑体" w:hAnsi="黑体" w:eastAsia="黑体" w:cs="黑体"/>
          <w:sz w:val="21"/>
          <w:szCs w:val="20"/>
          <w:highlight w:val="none"/>
        </w:rPr>
      </w:pPr>
      <w:r>
        <w:rPr>
          <w:rFonts w:hint="eastAsia" w:ascii="黑体" w:hAnsi="黑体" w:eastAsia="黑体" w:cs="黑体"/>
          <w:sz w:val="21"/>
          <w:szCs w:val="20"/>
          <w:highlight w:val="none"/>
        </w:rPr>
        <w:t xml:space="preserve">表 </w:t>
      </w:r>
      <w:r>
        <w:rPr>
          <w:rFonts w:hint="eastAsia" w:ascii="黑体" w:hAnsi="黑体" w:eastAsia="黑体" w:cs="黑体"/>
          <w:sz w:val="21"/>
          <w:szCs w:val="20"/>
          <w:highlight w:val="none"/>
          <w:lang w:val="en-US" w:eastAsia="zh-CN"/>
        </w:rPr>
        <w:t>2.4</w:t>
      </w:r>
      <w:r>
        <w:rPr>
          <w:rFonts w:hint="eastAsia" w:ascii="黑体" w:hAnsi="黑体" w:eastAsia="黑体" w:cs="黑体"/>
          <w:sz w:val="21"/>
          <w:szCs w:val="20"/>
          <w:highlight w:val="none"/>
        </w:rPr>
        <w:noBreakHyphen/>
      </w:r>
      <w:r>
        <w:rPr>
          <w:rFonts w:hint="eastAsia" w:ascii="黑体" w:hAnsi="黑体" w:eastAsia="黑体" w:cs="黑体"/>
          <w:sz w:val="21"/>
          <w:szCs w:val="20"/>
          <w:highlight w:val="none"/>
          <w:lang w:val="en-US" w:eastAsia="zh-CN"/>
        </w:rPr>
        <w:t>1</w:t>
      </w:r>
      <w:r>
        <w:rPr>
          <w:rFonts w:hint="eastAsia" w:ascii="黑体" w:hAnsi="黑体" w:eastAsia="黑体" w:cs="黑体"/>
          <w:sz w:val="21"/>
          <w:szCs w:val="20"/>
          <w:highlight w:val="none"/>
        </w:rPr>
        <w:t>市民服务中心区域设置</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1278"/>
        <w:gridCol w:w="3065"/>
        <w:gridCol w:w="35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671"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序号</w:t>
            </w:r>
          </w:p>
        </w:tc>
        <w:tc>
          <w:tcPr>
            <w:tcW w:w="1278"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区域名称</w:t>
            </w:r>
          </w:p>
        </w:tc>
        <w:tc>
          <w:tcPr>
            <w:tcW w:w="3065"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区域作用</w:t>
            </w:r>
          </w:p>
        </w:tc>
        <w:tc>
          <w:tcPr>
            <w:tcW w:w="3509"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拟部署设备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1</w:t>
            </w:r>
          </w:p>
        </w:tc>
        <w:tc>
          <w:tcPr>
            <w:tcW w:w="1278" w:type="dxa"/>
            <w:shd w:val="clear" w:color="auto" w:fill="auto"/>
            <w:vAlign w:val="center"/>
          </w:tcPr>
          <w:p>
            <w:pPr>
              <w:keepNext w:val="0"/>
              <w:keepLines w:val="0"/>
              <w:suppressLineNumbers w:val="0"/>
              <w:spacing w:before="0" w:beforeAutospacing="0" w:after="0" w:afterAutospacing="0" w:line="240" w:lineRule="auto"/>
              <w:ind w:left="0" w:right="0" w:firstLine="0" w:firstLineChars="0"/>
              <w:rPr>
                <w:rFonts w:hint="default"/>
                <w:sz w:val="21"/>
                <w:szCs w:val="21"/>
                <w:highlight w:val="none"/>
              </w:rPr>
            </w:pPr>
            <w:r>
              <w:rPr>
                <w:rFonts w:hint="eastAsia"/>
                <w:sz w:val="21"/>
                <w:szCs w:val="21"/>
                <w:highlight w:val="none"/>
              </w:rPr>
              <w:t>咨询导办区</w:t>
            </w:r>
          </w:p>
        </w:tc>
        <w:tc>
          <w:tcPr>
            <w:tcW w:w="3065" w:type="dxa"/>
            <w:shd w:val="clear" w:color="auto" w:fill="auto"/>
            <w:vAlign w:val="center"/>
          </w:tcPr>
          <w:p>
            <w:pPr>
              <w:keepNext w:val="0"/>
              <w:keepLines w:val="0"/>
              <w:suppressLineNumbers w:val="0"/>
              <w:spacing w:before="0" w:beforeAutospacing="0" w:after="0" w:afterAutospacing="0" w:line="240" w:lineRule="auto"/>
              <w:ind w:left="0" w:right="0" w:firstLine="0" w:firstLineChars="0"/>
              <w:rPr>
                <w:rFonts w:hint="default"/>
                <w:sz w:val="21"/>
                <w:szCs w:val="21"/>
                <w:highlight w:val="none"/>
              </w:rPr>
            </w:pPr>
            <w:r>
              <w:rPr>
                <w:rFonts w:hint="eastAsia"/>
                <w:sz w:val="21"/>
                <w:szCs w:val="21"/>
                <w:highlight w:val="none"/>
              </w:rPr>
              <w:t>设在各服务厅入口处，主要实现咨询导办分流、排队取号、接待服务。</w:t>
            </w:r>
          </w:p>
        </w:tc>
        <w:tc>
          <w:tcPr>
            <w:tcW w:w="3509" w:type="dxa"/>
            <w:shd w:val="clear" w:color="auto" w:fill="auto"/>
            <w:vAlign w:val="center"/>
          </w:tcPr>
          <w:p>
            <w:pPr>
              <w:keepNext w:val="0"/>
              <w:keepLines w:val="0"/>
              <w:suppressLineNumbers w:val="0"/>
              <w:spacing w:before="0" w:beforeAutospacing="0" w:after="0" w:afterAutospacing="0" w:line="240" w:lineRule="auto"/>
              <w:ind w:left="0" w:right="0" w:firstLine="0" w:firstLineChars="0"/>
              <w:rPr>
                <w:rFonts w:hint="default"/>
                <w:sz w:val="21"/>
                <w:szCs w:val="21"/>
                <w:highlight w:val="none"/>
              </w:rPr>
            </w:pPr>
            <w:r>
              <w:rPr>
                <w:rFonts w:hint="eastAsia"/>
                <w:sz w:val="21"/>
                <w:szCs w:val="21"/>
                <w:highlight w:val="none"/>
              </w:rPr>
              <w:t>取号机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2</w:t>
            </w:r>
          </w:p>
        </w:tc>
        <w:tc>
          <w:tcPr>
            <w:tcW w:w="1278" w:type="dxa"/>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rPr>
                <w:rFonts w:hint="default" w:ascii="宋体" w:hAnsi="宋体" w:eastAsia="宋体" w:cs="宋体"/>
                <w:kern w:val="2"/>
                <w:sz w:val="21"/>
                <w:szCs w:val="21"/>
                <w:highlight w:val="none"/>
                <w:lang w:val="en-US" w:eastAsia="zh-CN" w:bidi="ar-SA"/>
              </w:rPr>
            </w:pPr>
            <w:r>
              <w:rPr>
                <w:rFonts w:hint="eastAsia"/>
                <w:sz w:val="21"/>
                <w:szCs w:val="21"/>
                <w:highlight w:val="none"/>
              </w:rPr>
              <w:t>休息等候区</w:t>
            </w:r>
          </w:p>
        </w:tc>
        <w:tc>
          <w:tcPr>
            <w:tcW w:w="3065" w:type="dxa"/>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rPr>
                <w:rFonts w:hint="default" w:ascii="宋体" w:hAnsi="宋体" w:eastAsia="宋体" w:cs="宋体"/>
                <w:kern w:val="2"/>
                <w:sz w:val="21"/>
                <w:szCs w:val="21"/>
                <w:highlight w:val="none"/>
                <w:lang w:val="en-US" w:eastAsia="zh-CN" w:bidi="ar-SA"/>
              </w:rPr>
            </w:pPr>
            <w:r>
              <w:rPr>
                <w:rFonts w:hint="eastAsia"/>
                <w:sz w:val="21"/>
                <w:szCs w:val="21"/>
                <w:highlight w:val="none"/>
              </w:rPr>
              <w:t>设在各服务厅内，提供信息发布服务，配备叫号屏、信息发布屏与窗口服务区关联设置，方便办事群众在办事窗口就近等候。</w:t>
            </w:r>
          </w:p>
        </w:tc>
        <w:tc>
          <w:tcPr>
            <w:tcW w:w="3509" w:type="dxa"/>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rPr>
                <w:rFonts w:hint="default" w:ascii="宋体" w:hAnsi="宋体" w:eastAsia="宋体" w:cs="宋体"/>
                <w:kern w:val="2"/>
                <w:sz w:val="21"/>
                <w:szCs w:val="21"/>
                <w:highlight w:val="none"/>
                <w:lang w:val="en-US" w:eastAsia="zh-CN" w:bidi="ar-SA"/>
              </w:rPr>
            </w:pPr>
            <w:r>
              <w:rPr>
                <w:rFonts w:hint="eastAsia"/>
                <w:sz w:val="21"/>
                <w:szCs w:val="21"/>
                <w:highlight w:val="none"/>
              </w:rPr>
              <w:t>综合显示屏、音柱、广播终端及广播功放(部署于弱电间)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3</w:t>
            </w:r>
          </w:p>
        </w:tc>
        <w:tc>
          <w:tcPr>
            <w:tcW w:w="1278" w:type="dxa"/>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rPr>
                <w:rFonts w:hint="default" w:ascii="宋体" w:hAnsi="宋体" w:eastAsia="宋体" w:cs="宋体"/>
                <w:kern w:val="2"/>
                <w:sz w:val="21"/>
                <w:szCs w:val="21"/>
                <w:highlight w:val="none"/>
                <w:lang w:val="en-US" w:eastAsia="zh-CN" w:bidi="ar-SA"/>
              </w:rPr>
            </w:pPr>
            <w:r>
              <w:rPr>
                <w:rFonts w:hint="eastAsia"/>
                <w:sz w:val="21"/>
                <w:szCs w:val="21"/>
                <w:highlight w:val="none"/>
              </w:rPr>
              <w:t>窗口服务区</w:t>
            </w:r>
          </w:p>
        </w:tc>
        <w:tc>
          <w:tcPr>
            <w:tcW w:w="3065" w:type="dxa"/>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rPr>
                <w:rFonts w:hint="default" w:ascii="宋体" w:hAnsi="宋体" w:eastAsia="宋体" w:cs="宋体"/>
                <w:kern w:val="2"/>
                <w:sz w:val="21"/>
                <w:szCs w:val="21"/>
                <w:highlight w:val="none"/>
                <w:lang w:val="en-US" w:eastAsia="zh-CN" w:bidi="ar-SA"/>
              </w:rPr>
            </w:pPr>
            <w:r>
              <w:rPr>
                <w:rFonts w:hint="eastAsia"/>
                <w:sz w:val="21"/>
                <w:szCs w:val="21"/>
                <w:highlight w:val="none"/>
              </w:rPr>
              <w:t>设在各服务厅内，配备窗口专用设备，为群众提供高效、便利、透明的窗口服务。</w:t>
            </w:r>
          </w:p>
        </w:tc>
        <w:tc>
          <w:tcPr>
            <w:tcW w:w="3509" w:type="dxa"/>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rPr>
                <w:rFonts w:hint="default" w:ascii="宋体" w:hAnsi="宋体" w:eastAsia="宋体" w:cs="宋体"/>
                <w:kern w:val="2"/>
                <w:sz w:val="21"/>
                <w:szCs w:val="21"/>
                <w:highlight w:val="none"/>
                <w:lang w:val="en-US" w:eastAsia="zh-CN" w:bidi="ar-SA"/>
              </w:rPr>
            </w:pPr>
            <w:r>
              <w:rPr>
                <w:rFonts w:hint="eastAsia"/>
                <w:sz w:val="21"/>
                <w:szCs w:val="21"/>
                <w:highlight w:val="none"/>
              </w:rPr>
              <w:t>窗口条屏、窗口互动终端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4</w:t>
            </w:r>
          </w:p>
        </w:tc>
        <w:tc>
          <w:tcPr>
            <w:tcW w:w="1278" w:type="dxa"/>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rPr>
                <w:rFonts w:hint="default" w:ascii="宋体" w:hAnsi="宋体" w:eastAsia="宋体" w:cs="宋体"/>
                <w:kern w:val="2"/>
                <w:sz w:val="21"/>
                <w:szCs w:val="21"/>
                <w:highlight w:val="none"/>
                <w:lang w:val="en-US" w:eastAsia="zh-CN" w:bidi="ar-SA"/>
              </w:rPr>
            </w:pPr>
            <w:r>
              <w:rPr>
                <w:rFonts w:hint="eastAsia"/>
                <w:sz w:val="21"/>
                <w:szCs w:val="21"/>
                <w:highlight w:val="none"/>
              </w:rPr>
              <w:t>自助办理区</w:t>
            </w:r>
          </w:p>
        </w:tc>
        <w:tc>
          <w:tcPr>
            <w:tcW w:w="3065" w:type="dxa"/>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rPr>
                <w:rFonts w:hint="default" w:ascii="宋体" w:hAnsi="宋体" w:eastAsia="宋体" w:cs="宋体"/>
                <w:kern w:val="2"/>
                <w:sz w:val="21"/>
                <w:szCs w:val="21"/>
                <w:highlight w:val="none"/>
                <w:lang w:val="en-US" w:eastAsia="zh-CN" w:bidi="ar-SA"/>
              </w:rPr>
            </w:pPr>
            <w:r>
              <w:rPr>
                <w:rFonts w:hint="eastAsia"/>
                <w:sz w:val="21"/>
                <w:szCs w:val="21"/>
                <w:highlight w:val="none"/>
              </w:rPr>
              <w:t>设在主体楼北</w:t>
            </w:r>
            <w:r>
              <w:rPr>
                <w:rFonts w:hint="eastAsia"/>
                <w:sz w:val="21"/>
                <w:szCs w:val="21"/>
                <w:highlight w:val="none"/>
                <w:lang w:val="en-US" w:eastAsia="zh-CN"/>
              </w:rPr>
              <w:t>侧其它24小时政务自助区</w:t>
            </w:r>
            <w:r>
              <w:rPr>
                <w:rFonts w:hint="eastAsia"/>
                <w:sz w:val="21"/>
                <w:szCs w:val="21"/>
                <w:highlight w:val="none"/>
              </w:rPr>
              <w:t>，配备专业及综合政务服务终端机，实现实现个人及企业高频政务服务事项24小时自助办理。</w:t>
            </w:r>
          </w:p>
        </w:tc>
        <w:tc>
          <w:tcPr>
            <w:tcW w:w="3509" w:type="dxa"/>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rPr>
                <w:rFonts w:hint="default" w:ascii="宋体" w:hAnsi="宋体" w:eastAsia="宋体" w:cs="宋体"/>
                <w:kern w:val="2"/>
                <w:sz w:val="21"/>
                <w:szCs w:val="21"/>
                <w:highlight w:val="none"/>
                <w:lang w:val="en-US" w:eastAsia="zh-CN" w:bidi="ar-SA"/>
              </w:rPr>
            </w:pPr>
            <w:r>
              <w:rPr>
                <w:rFonts w:hint="eastAsia"/>
                <w:sz w:val="21"/>
                <w:szCs w:val="21"/>
                <w:highlight w:val="none"/>
              </w:rPr>
              <w:t>自助终端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5</w:t>
            </w:r>
          </w:p>
        </w:tc>
        <w:tc>
          <w:tcPr>
            <w:tcW w:w="1278" w:type="dxa"/>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rPr>
                <w:rFonts w:hint="default" w:ascii="宋体" w:hAnsi="宋体" w:eastAsia="宋体" w:cs="宋体"/>
                <w:kern w:val="2"/>
                <w:sz w:val="21"/>
                <w:szCs w:val="21"/>
                <w:highlight w:val="none"/>
                <w:lang w:val="en-US" w:eastAsia="zh-CN" w:bidi="ar-SA"/>
              </w:rPr>
            </w:pPr>
            <w:r>
              <w:rPr>
                <w:rFonts w:hint="eastAsia"/>
                <w:sz w:val="21"/>
                <w:szCs w:val="21"/>
                <w:highlight w:val="none"/>
              </w:rPr>
              <w:t>其他功能区</w:t>
            </w:r>
          </w:p>
        </w:tc>
        <w:tc>
          <w:tcPr>
            <w:tcW w:w="3065" w:type="dxa"/>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rPr>
                <w:rFonts w:hint="default" w:ascii="宋体" w:hAnsi="宋体" w:eastAsia="宋体" w:cs="宋体"/>
                <w:kern w:val="2"/>
                <w:sz w:val="21"/>
                <w:szCs w:val="21"/>
                <w:highlight w:val="none"/>
                <w:lang w:val="en-US" w:eastAsia="zh-CN" w:bidi="ar-SA"/>
              </w:rPr>
            </w:pPr>
            <w:r>
              <w:rPr>
                <w:rFonts w:hint="eastAsia"/>
                <w:sz w:val="21"/>
                <w:szCs w:val="21"/>
                <w:highlight w:val="none"/>
              </w:rPr>
              <w:t>如</w:t>
            </w:r>
            <w:r>
              <w:rPr>
                <w:rFonts w:hint="eastAsia"/>
                <w:sz w:val="21"/>
                <w:szCs w:val="21"/>
                <w:highlight w:val="none"/>
                <w:lang w:val="en-US" w:eastAsia="zh-CN"/>
              </w:rPr>
              <w:t>窗口服务</w:t>
            </w:r>
            <w:r>
              <w:rPr>
                <w:rFonts w:hint="eastAsia"/>
                <w:sz w:val="21"/>
                <w:szCs w:val="21"/>
                <w:highlight w:val="none"/>
              </w:rPr>
              <w:t>区等</w:t>
            </w:r>
          </w:p>
        </w:tc>
        <w:tc>
          <w:tcPr>
            <w:tcW w:w="3509" w:type="dxa"/>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rPr>
                <w:rFonts w:hint="default" w:ascii="宋体" w:hAnsi="宋体" w:eastAsia="宋体" w:cs="宋体"/>
                <w:kern w:val="2"/>
                <w:sz w:val="21"/>
                <w:szCs w:val="21"/>
                <w:highlight w:val="none"/>
                <w:lang w:val="en-US" w:eastAsia="zh-CN" w:bidi="ar-SA"/>
              </w:rPr>
            </w:pPr>
            <w:r>
              <w:rPr>
                <w:rFonts w:hint="eastAsia"/>
                <w:sz w:val="21"/>
                <w:szCs w:val="21"/>
                <w:highlight w:val="none"/>
              </w:rPr>
              <w:t>考勤机</w:t>
            </w:r>
          </w:p>
        </w:tc>
      </w:tr>
    </w:tbl>
    <w:p>
      <w:pPr>
        <w:ind w:firstLine="0" w:firstLineChars="0"/>
        <w:jc w:val="center"/>
        <w:rPr>
          <w:highlight w:val="none"/>
        </w:rPr>
      </w:pPr>
    </w:p>
    <w:p>
      <w:pPr>
        <w:pStyle w:val="5"/>
        <w:rPr>
          <w:highlight w:val="none"/>
        </w:rPr>
      </w:pPr>
      <w:bookmarkStart w:id="457" w:name="_Toc31507"/>
      <w:bookmarkStart w:id="458" w:name="_Toc32599"/>
      <w:bookmarkStart w:id="459" w:name="_Toc30228"/>
      <w:bookmarkStart w:id="460" w:name="_Toc16735"/>
      <w:r>
        <w:rPr>
          <w:rFonts w:hint="eastAsia"/>
          <w:highlight w:val="none"/>
        </w:rPr>
        <w:t>咨询导办区设备</w:t>
      </w:r>
      <w:bookmarkEnd w:id="457"/>
      <w:bookmarkEnd w:id="458"/>
      <w:bookmarkEnd w:id="459"/>
      <w:bookmarkEnd w:id="460"/>
    </w:p>
    <w:p>
      <w:pPr>
        <w:ind w:firstLine="480"/>
        <w:rPr>
          <w:highlight w:val="none"/>
        </w:rPr>
      </w:pPr>
      <w:r>
        <w:rPr>
          <w:rFonts w:hint="eastAsia"/>
          <w:highlight w:val="none"/>
        </w:rPr>
        <w:t>咨询导办区位于各服务大厅入口处，是服务大厅业务办理的开端，提供包括办事群众、企业提供业务咨询、业务办理导引、现场取号等服务。</w:t>
      </w:r>
    </w:p>
    <w:p>
      <w:pPr>
        <w:ind w:firstLine="480"/>
        <w:rPr>
          <w:highlight w:val="none"/>
        </w:rPr>
      </w:pPr>
      <w:r>
        <w:rPr>
          <w:rFonts w:hint="eastAsia"/>
          <w:highlight w:val="none"/>
        </w:rPr>
        <w:t>根据咨询导办区提供业务类型，本期在各服务厅咨询导办</w:t>
      </w:r>
      <w:r>
        <w:rPr>
          <w:rFonts w:hint="eastAsia"/>
          <w:highlight w:val="none"/>
          <w:lang w:val="en-US" w:eastAsia="zh-CN"/>
        </w:rPr>
        <w:t>区</w:t>
      </w:r>
      <w:r>
        <w:rPr>
          <w:rFonts w:hint="eastAsia"/>
          <w:highlight w:val="none"/>
        </w:rPr>
        <w:t>部署取号机设备。配置情况如下：</w:t>
      </w:r>
    </w:p>
    <w:tbl>
      <w:tblPr>
        <w:tblStyle w:val="2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4"/>
        <w:gridCol w:w="2198"/>
        <w:gridCol w:w="2198"/>
        <w:gridCol w:w="21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区域</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配置设备</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配置设备数量</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司法</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取号机</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工建</w:t>
            </w:r>
            <w:r>
              <w:rPr>
                <w:rFonts w:hint="eastAsia"/>
                <w:sz w:val="21"/>
                <w:szCs w:val="21"/>
                <w:highlight w:val="none"/>
              </w:rPr>
              <w:t>服务</w:t>
            </w:r>
            <w:r>
              <w:rPr>
                <w:rFonts w:hint="eastAsia"/>
                <w:sz w:val="21"/>
                <w:szCs w:val="21"/>
                <w:highlight w:val="none"/>
                <w:lang w:val="en-US" w:eastAsia="zh-CN"/>
              </w:rPr>
              <w:t>一</w:t>
            </w:r>
            <w:r>
              <w:rPr>
                <w:rFonts w:hint="eastAsia"/>
                <w:sz w:val="21"/>
                <w:szCs w:val="21"/>
                <w:highlight w:val="none"/>
              </w:rPr>
              <w:t>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取号机</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46"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lang w:val="en-US" w:eastAsia="zh-CN"/>
              </w:rPr>
              <w:t>工建</w:t>
            </w:r>
            <w:r>
              <w:rPr>
                <w:rFonts w:hint="eastAsia"/>
                <w:sz w:val="21"/>
                <w:szCs w:val="21"/>
                <w:highlight w:val="none"/>
              </w:rPr>
              <w:t>服务</w:t>
            </w:r>
            <w:r>
              <w:rPr>
                <w:rFonts w:hint="eastAsia"/>
                <w:sz w:val="21"/>
                <w:szCs w:val="21"/>
                <w:highlight w:val="none"/>
                <w:lang w:val="en-US" w:eastAsia="zh-CN"/>
              </w:rPr>
              <w:t>二</w:t>
            </w:r>
            <w:r>
              <w:rPr>
                <w:rFonts w:hint="eastAsia"/>
                <w:sz w:val="21"/>
                <w:szCs w:val="21"/>
                <w:highlight w:val="none"/>
              </w:rPr>
              <w:t>厅</w:t>
            </w:r>
          </w:p>
        </w:tc>
        <w:tc>
          <w:tcPr>
            <w:tcW w:w="1184"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取号机</w:t>
            </w:r>
          </w:p>
        </w:tc>
        <w:tc>
          <w:tcPr>
            <w:tcW w:w="1184"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市场监督</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取号机</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出入境</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取号机</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highlight w:val="none"/>
                <w:lang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color w:val="auto"/>
                <w:sz w:val="21"/>
                <w:szCs w:val="21"/>
                <w:highlight w:val="none"/>
                <w:lang w:val="en-US" w:eastAsia="zh-CN"/>
              </w:rPr>
              <w:t>户籍</w:t>
            </w:r>
            <w:r>
              <w:rPr>
                <w:rFonts w:hint="eastAsia"/>
                <w:color w:val="auto"/>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取号机</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人社</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取号机</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社保</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取号机</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公积金</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取号机</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不动产</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取号机</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税务</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取号机</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lang w:val="en-US" w:eastAsia="zh-CN"/>
              </w:rPr>
            </w:pPr>
            <w:r>
              <w:rPr>
                <w:rFonts w:hint="eastAsia"/>
                <w:sz w:val="21"/>
                <w:szCs w:val="21"/>
                <w:highlight w:val="none"/>
                <w:lang w:val="en-US" w:eastAsia="zh-CN"/>
              </w:rPr>
              <w:t>合计</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lang w:val="en-US" w:eastAsia="zh-CN"/>
              </w:rPr>
            </w:pPr>
            <w:r>
              <w:rPr>
                <w:rFonts w:hint="eastAsia"/>
                <w:sz w:val="21"/>
                <w:szCs w:val="21"/>
                <w:highlight w:val="none"/>
                <w:lang w:val="en-US" w:eastAsia="zh-CN"/>
              </w:rPr>
              <w:t>11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bl>
    <w:p>
      <w:pPr>
        <w:ind w:firstLine="480"/>
        <w:rPr>
          <w:highlight w:val="none"/>
        </w:rPr>
      </w:pPr>
      <w:r>
        <w:rPr>
          <w:rFonts w:hint="eastAsia"/>
          <w:highlight w:val="none"/>
        </w:rPr>
        <w:t>取号机应用场景：</w:t>
      </w:r>
    </w:p>
    <w:p>
      <w:pPr>
        <w:ind w:firstLine="480"/>
        <w:rPr>
          <w:highlight w:val="none"/>
        </w:rPr>
      </w:pPr>
      <w:r>
        <w:rPr>
          <w:highlight w:val="none"/>
        </w:rPr>
        <w:t>办事</w:t>
      </w:r>
      <w:r>
        <w:rPr>
          <w:rFonts w:hint="eastAsia"/>
          <w:highlight w:val="none"/>
        </w:rPr>
        <w:t>群众</w:t>
      </w:r>
      <w:r>
        <w:rPr>
          <w:highlight w:val="none"/>
        </w:rPr>
        <w:t>在网上</w:t>
      </w:r>
      <w:r>
        <w:rPr>
          <w:rFonts w:hint="eastAsia"/>
          <w:highlight w:val="none"/>
        </w:rPr>
        <w:t>提前</w:t>
      </w:r>
      <w:r>
        <w:rPr>
          <w:highlight w:val="none"/>
        </w:rPr>
        <w:t>预约，到达政务服务中心现场后，在排队取号机上，用身份证取号排队</w:t>
      </w:r>
      <w:r>
        <w:rPr>
          <w:rFonts w:hint="eastAsia"/>
          <w:highlight w:val="none"/>
        </w:rPr>
        <w:t>。办事人员没有提前网上预约的，可在取号机上选取所需办理业务类型进行现场取号排队</w:t>
      </w:r>
      <w:r>
        <w:rPr>
          <w:highlight w:val="none"/>
        </w:rPr>
        <w:t>。</w:t>
      </w:r>
    </w:p>
    <w:p>
      <w:pPr>
        <w:pStyle w:val="5"/>
        <w:rPr>
          <w:highlight w:val="none"/>
        </w:rPr>
      </w:pPr>
      <w:bookmarkStart w:id="461" w:name="_Toc32611"/>
      <w:bookmarkStart w:id="462" w:name="_Toc29369"/>
      <w:bookmarkStart w:id="463" w:name="_Toc28719"/>
      <w:bookmarkStart w:id="464" w:name="_Toc12183"/>
      <w:r>
        <w:rPr>
          <w:rFonts w:hint="eastAsia"/>
          <w:highlight w:val="none"/>
        </w:rPr>
        <w:t>休息等候区</w:t>
      </w:r>
      <w:bookmarkEnd w:id="461"/>
      <w:bookmarkEnd w:id="462"/>
      <w:bookmarkEnd w:id="463"/>
      <w:bookmarkEnd w:id="464"/>
    </w:p>
    <w:p>
      <w:pPr>
        <w:ind w:firstLine="480"/>
        <w:rPr>
          <w:highlight w:val="none"/>
        </w:rPr>
      </w:pPr>
      <w:r>
        <w:rPr>
          <w:rFonts w:hint="eastAsia"/>
          <w:highlight w:val="none"/>
        </w:rPr>
        <w:t>休息等候区位于各服务大厅内，是办事群众取号后排队等候区域，提供包括排队信息显示、排队叫号语音广播等服务。</w:t>
      </w:r>
    </w:p>
    <w:p>
      <w:pPr>
        <w:ind w:firstLine="480"/>
        <w:rPr>
          <w:highlight w:val="none"/>
        </w:rPr>
      </w:pPr>
      <w:r>
        <w:rPr>
          <w:rFonts w:hint="eastAsia"/>
          <w:highlight w:val="none"/>
        </w:rPr>
        <w:t>根据休息等候区提供业务类型，本期在各服务厅咨询导办区部署设备包括综合显示屏、音柱</w:t>
      </w:r>
      <w:r>
        <w:rPr>
          <w:rFonts w:hint="eastAsia"/>
          <w:highlight w:val="none"/>
          <w:lang w:val="en-US" w:eastAsia="zh-CN"/>
        </w:rPr>
        <w:t>/吸顶喇叭</w:t>
      </w:r>
      <w:r>
        <w:rPr>
          <w:rFonts w:hint="eastAsia"/>
          <w:highlight w:val="none"/>
        </w:rPr>
        <w:t>。配置情况如下：</w:t>
      </w:r>
    </w:p>
    <w:tbl>
      <w:tblPr>
        <w:tblStyle w:val="2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4"/>
        <w:gridCol w:w="2198"/>
        <w:gridCol w:w="2198"/>
        <w:gridCol w:w="21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区域</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配置设备</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配置设备数量</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司法</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综合显示屏</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2</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eastAsia="宋体"/>
                <w:sz w:val="21"/>
                <w:szCs w:val="21"/>
                <w:highlight w:val="none"/>
                <w:lang w:val="en-US" w:eastAsia="zh-CN"/>
              </w:rPr>
            </w:pPr>
            <w:r>
              <w:rPr>
                <w:rFonts w:hint="eastAsia"/>
                <w:sz w:val="21"/>
                <w:szCs w:val="21"/>
                <w:highlight w:val="none"/>
              </w:rPr>
              <w:t>音柱</w:t>
            </w:r>
            <w:r>
              <w:rPr>
                <w:rFonts w:hint="eastAsia"/>
                <w:sz w:val="21"/>
                <w:szCs w:val="21"/>
                <w:highlight w:val="none"/>
                <w:lang w:val="en-US" w:eastAsia="zh-CN"/>
              </w:rPr>
              <w:t>/吸顶喇叭</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广播终端</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广播功放</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工建</w:t>
            </w:r>
            <w:r>
              <w:rPr>
                <w:rFonts w:hint="eastAsia"/>
                <w:sz w:val="21"/>
                <w:szCs w:val="21"/>
                <w:highlight w:val="none"/>
              </w:rPr>
              <w:t>服务</w:t>
            </w:r>
            <w:r>
              <w:rPr>
                <w:rFonts w:hint="eastAsia"/>
                <w:sz w:val="21"/>
                <w:szCs w:val="21"/>
                <w:highlight w:val="none"/>
                <w:lang w:val="en-US" w:eastAsia="zh-CN"/>
              </w:rPr>
              <w:t>一</w:t>
            </w:r>
            <w:r>
              <w:rPr>
                <w:rFonts w:hint="eastAsia"/>
                <w:sz w:val="21"/>
                <w:szCs w:val="21"/>
                <w:highlight w:val="none"/>
              </w:rPr>
              <w:t>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综合显示屏</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音柱</w:t>
            </w:r>
            <w:r>
              <w:rPr>
                <w:rFonts w:hint="eastAsia"/>
                <w:sz w:val="21"/>
                <w:szCs w:val="21"/>
                <w:highlight w:val="none"/>
                <w:lang w:val="en-US" w:eastAsia="zh-CN"/>
              </w:rPr>
              <w:t>/吸顶喇叭</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3</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广播终端</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广播功放</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工建</w:t>
            </w:r>
            <w:r>
              <w:rPr>
                <w:rFonts w:hint="eastAsia"/>
                <w:sz w:val="21"/>
                <w:szCs w:val="21"/>
                <w:highlight w:val="none"/>
              </w:rPr>
              <w:t>服务</w:t>
            </w:r>
            <w:r>
              <w:rPr>
                <w:rFonts w:hint="eastAsia"/>
                <w:sz w:val="21"/>
                <w:szCs w:val="21"/>
                <w:highlight w:val="none"/>
                <w:lang w:val="en-US" w:eastAsia="zh-CN"/>
              </w:rPr>
              <w:t>二</w:t>
            </w:r>
            <w:r>
              <w:rPr>
                <w:rFonts w:hint="eastAsia"/>
                <w:sz w:val="21"/>
                <w:szCs w:val="21"/>
                <w:highlight w:val="none"/>
              </w:rPr>
              <w:t>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综合显示屏</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音柱</w:t>
            </w:r>
            <w:r>
              <w:rPr>
                <w:rFonts w:hint="eastAsia"/>
                <w:sz w:val="21"/>
                <w:szCs w:val="21"/>
                <w:highlight w:val="none"/>
                <w:lang w:val="en-US" w:eastAsia="zh-CN"/>
              </w:rPr>
              <w:t>/吸顶喇叭</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广播终端</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广播功放</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市场监督</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综合显示屏</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default"/>
                <w:sz w:val="21"/>
                <w:szCs w:val="21"/>
                <w:highlight w:val="none"/>
              </w:rPr>
              <w:t>3</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音柱</w:t>
            </w:r>
            <w:r>
              <w:rPr>
                <w:rFonts w:hint="eastAsia"/>
                <w:sz w:val="21"/>
                <w:szCs w:val="21"/>
                <w:highlight w:val="none"/>
                <w:lang w:val="en-US" w:eastAsia="zh-CN"/>
              </w:rPr>
              <w:t>/吸顶喇叭</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4</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广播终端</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广播功放</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出入境</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综合显示屏</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eastAsia="zh-CN"/>
              </w:rPr>
            </w:pPr>
            <w:r>
              <w:rPr>
                <w:rFonts w:hint="eastAsia"/>
                <w:sz w:val="21"/>
                <w:szCs w:val="21"/>
                <w:highlight w:val="none"/>
                <w:lang w:val="en-US" w:eastAsia="zh-CN"/>
              </w:rPr>
              <w:t>7</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音柱</w:t>
            </w:r>
            <w:r>
              <w:rPr>
                <w:rFonts w:hint="eastAsia"/>
                <w:sz w:val="21"/>
                <w:szCs w:val="21"/>
                <w:highlight w:val="none"/>
                <w:lang w:val="en-US" w:eastAsia="zh-CN"/>
              </w:rPr>
              <w:t>/吸顶喇叭</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eastAsia="宋体"/>
                <w:sz w:val="21"/>
                <w:szCs w:val="21"/>
                <w:highlight w:val="none"/>
                <w:lang w:val="en-US" w:eastAsia="zh-CN"/>
              </w:rPr>
            </w:pPr>
            <w:r>
              <w:rPr>
                <w:rFonts w:hint="eastAsia"/>
                <w:sz w:val="21"/>
                <w:szCs w:val="21"/>
                <w:highlight w:val="none"/>
                <w:lang w:val="en-US" w:eastAsia="zh-CN"/>
              </w:rPr>
              <w:t>16</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广播终端</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广播功放</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color w:val="auto"/>
                <w:sz w:val="21"/>
                <w:szCs w:val="21"/>
                <w:highlight w:val="none"/>
                <w:lang w:val="en-US" w:eastAsia="zh-CN"/>
              </w:rPr>
              <w:t>户籍</w:t>
            </w:r>
            <w:r>
              <w:rPr>
                <w:rFonts w:hint="eastAsia"/>
                <w:color w:val="auto"/>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综合显示屏</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4</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音柱</w:t>
            </w:r>
            <w:r>
              <w:rPr>
                <w:rFonts w:hint="eastAsia"/>
                <w:sz w:val="21"/>
                <w:szCs w:val="21"/>
                <w:highlight w:val="none"/>
                <w:lang w:val="en-US" w:eastAsia="zh-CN"/>
              </w:rPr>
              <w:t>/吸顶喇叭</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9</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广播终端</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广播功放</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人社</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综合显示屏</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3</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音柱</w:t>
            </w:r>
            <w:r>
              <w:rPr>
                <w:rFonts w:hint="eastAsia"/>
                <w:sz w:val="21"/>
                <w:szCs w:val="21"/>
                <w:highlight w:val="none"/>
                <w:lang w:val="en-US" w:eastAsia="zh-CN"/>
              </w:rPr>
              <w:t>/吸顶喇叭</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4</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广播终端</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广播功放</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社保</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综合显示屏</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3</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音柱</w:t>
            </w:r>
            <w:r>
              <w:rPr>
                <w:rFonts w:hint="eastAsia"/>
                <w:sz w:val="21"/>
                <w:szCs w:val="21"/>
                <w:highlight w:val="none"/>
                <w:lang w:val="en-US" w:eastAsia="zh-CN"/>
              </w:rPr>
              <w:t>/吸顶喇叭</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eastAsia="宋体"/>
                <w:sz w:val="21"/>
                <w:szCs w:val="21"/>
                <w:highlight w:val="none"/>
                <w:lang w:val="en-US" w:eastAsia="zh-CN"/>
              </w:rPr>
            </w:pPr>
            <w:r>
              <w:rPr>
                <w:rFonts w:hint="eastAsia"/>
                <w:sz w:val="21"/>
                <w:szCs w:val="21"/>
                <w:highlight w:val="none"/>
                <w:lang w:val="en-US" w:eastAsia="zh-CN"/>
              </w:rPr>
              <w:t>12</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广播终端</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广播功放</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公积金</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综合显示屏</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音柱</w:t>
            </w:r>
            <w:r>
              <w:rPr>
                <w:rFonts w:hint="eastAsia"/>
                <w:sz w:val="21"/>
                <w:szCs w:val="21"/>
                <w:highlight w:val="none"/>
                <w:lang w:val="en-US" w:eastAsia="zh-CN"/>
              </w:rPr>
              <w:t>/吸顶喇叭</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广播终端</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广播功放</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不动产</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综合显示屏</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3</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音柱</w:t>
            </w:r>
            <w:r>
              <w:rPr>
                <w:rFonts w:hint="eastAsia"/>
                <w:sz w:val="21"/>
                <w:szCs w:val="21"/>
                <w:highlight w:val="none"/>
                <w:lang w:val="en-US" w:eastAsia="zh-CN"/>
              </w:rPr>
              <w:t>/吸顶喇叭</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4</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广播终端</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广播功放</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税务</w:t>
            </w:r>
            <w:r>
              <w:rPr>
                <w:rFonts w:hint="eastAsia"/>
                <w:sz w:val="21"/>
                <w:szCs w:val="21"/>
                <w:highlight w:val="none"/>
              </w:rPr>
              <w:t>服务厅</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sz w:val="21"/>
                <w:szCs w:val="21"/>
                <w:highlight w:val="none"/>
              </w:rPr>
            </w:pPr>
            <w:r>
              <w:rPr>
                <w:rFonts w:hint="eastAsia"/>
                <w:sz w:val="21"/>
                <w:szCs w:val="21"/>
                <w:highlight w:val="none"/>
              </w:rPr>
              <w:t>综合显示屏</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音柱</w:t>
            </w:r>
            <w:r>
              <w:rPr>
                <w:rFonts w:hint="eastAsia"/>
                <w:sz w:val="21"/>
                <w:szCs w:val="21"/>
                <w:highlight w:val="none"/>
                <w:lang w:val="en-US" w:eastAsia="zh-CN"/>
              </w:rPr>
              <w:t>/吸顶喇叭</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2</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广播终端</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广播功放</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1184" w:type="pct"/>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金融中心</w:t>
            </w:r>
            <w:r>
              <w:rPr>
                <w:rFonts w:hint="eastAsia"/>
                <w:sz w:val="21"/>
                <w:szCs w:val="21"/>
                <w:highlight w:val="none"/>
              </w:rPr>
              <w:t>服务厅</w:t>
            </w:r>
          </w:p>
        </w:tc>
        <w:tc>
          <w:tcPr>
            <w:tcW w:w="1184"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综合显示屏</w:t>
            </w:r>
          </w:p>
        </w:tc>
        <w:tc>
          <w:tcPr>
            <w:tcW w:w="1184"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kern w:val="2"/>
                <w:sz w:val="21"/>
                <w:szCs w:val="21"/>
                <w:highlight w:val="none"/>
                <w:lang w:val="en-US" w:eastAsia="zh-CN" w:bidi="ar-SA"/>
              </w:rPr>
            </w:pPr>
            <w:r>
              <w:rPr>
                <w:rFonts w:hint="eastAsia"/>
                <w:sz w:val="21"/>
                <w:szCs w:val="21"/>
                <w:highlight w:val="none"/>
                <w:lang w:val="en-US" w:eastAsia="zh-CN"/>
              </w:rPr>
              <w:t>3</w:t>
            </w:r>
          </w:p>
        </w:tc>
        <w:tc>
          <w:tcPr>
            <w:tcW w:w="1184"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音柱</w:t>
            </w:r>
            <w:r>
              <w:rPr>
                <w:rFonts w:hint="eastAsia"/>
                <w:sz w:val="21"/>
                <w:szCs w:val="21"/>
                <w:highlight w:val="none"/>
                <w:lang w:val="en-US" w:eastAsia="zh-CN"/>
              </w:rPr>
              <w:t>/吸顶喇叭</w:t>
            </w:r>
          </w:p>
        </w:tc>
        <w:tc>
          <w:tcPr>
            <w:tcW w:w="1184"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kern w:val="2"/>
                <w:sz w:val="21"/>
                <w:szCs w:val="21"/>
                <w:highlight w:val="none"/>
                <w:lang w:val="en-US" w:eastAsia="zh-CN" w:bidi="ar-SA"/>
              </w:rPr>
            </w:pPr>
            <w:r>
              <w:rPr>
                <w:rFonts w:hint="eastAsia" w:cs="宋体"/>
                <w:kern w:val="2"/>
                <w:sz w:val="21"/>
                <w:szCs w:val="21"/>
                <w:highlight w:val="none"/>
                <w:lang w:val="en-US" w:eastAsia="zh-CN" w:bidi="ar-SA"/>
              </w:rPr>
              <w:t>6</w:t>
            </w:r>
          </w:p>
        </w:tc>
        <w:tc>
          <w:tcPr>
            <w:tcW w:w="1184"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广播终端</w:t>
            </w:r>
          </w:p>
        </w:tc>
        <w:tc>
          <w:tcPr>
            <w:tcW w:w="1184"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kern w:val="2"/>
                <w:sz w:val="21"/>
                <w:szCs w:val="21"/>
                <w:highlight w:val="none"/>
                <w:lang w:val="en-US" w:eastAsia="zh-CN" w:bidi="ar-SA"/>
              </w:rPr>
            </w:pPr>
            <w:r>
              <w:rPr>
                <w:rFonts w:hint="eastAsia" w:cs="宋体"/>
                <w:kern w:val="2"/>
                <w:sz w:val="21"/>
                <w:szCs w:val="21"/>
                <w:highlight w:val="none"/>
                <w:lang w:val="en-US" w:eastAsia="zh-CN" w:bidi="ar-SA"/>
              </w:rPr>
              <w:t>1</w:t>
            </w:r>
          </w:p>
        </w:tc>
        <w:tc>
          <w:tcPr>
            <w:tcW w:w="1184"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部署于楼层弱电间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184"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广播功放</w:t>
            </w:r>
          </w:p>
        </w:tc>
        <w:tc>
          <w:tcPr>
            <w:tcW w:w="1184"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kern w:val="2"/>
                <w:sz w:val="21"/>
                <w:szCs w:val="21"/>
                <w:highlight w:val="none"/>
                <w:lang w:val="en-US" w:eastAsia="zh-CN" w:bidi="ar-SA"/>
              </w:rPr>
            </w:pPr>
            <w:r>
              <w:rPr>
                <w:rFonts w:hint="eastAsia" w:cs="宋体"/>
                <w:kern w:val="2"/>
                <w:sz w:val="21"/>
                <w:szCs w:val="21"/>
                <w:highlight w:val="none"/>
                <w:lang w:val="en-US" w:eastAsia="zh-CN" w:bidi="ar-SA"/>
              </w:rPr>
              <w:t>1</w:t>
            </w:r>
          </w:p>
        </w:tc>
        <w:tc>
          <w:tcPr>
            <w:tcW w:w="1184" w:type="pct"/>
            <w:shd w:val="clear" w:color="auto" w:fill="auto"/>
            <w:vAlign w:val="top"/>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部署于楼层弱电间</w:t>
            </w:r>
          </w:p>
        </w:tc>
      </w:tr>
    </w:tbl>
    <w:p>
      <w:pPr>
        <w:ind w:firstLine="480"/>
        <w:rPr>
          <w:highlight w:val="none"/>
        </w:rPr>
      </w:pPr>
      <w:r>
        <w:rPr>
          <w:rFonts w:hint="eastAsia"/>
          <w:highlight w:val="none"/>
        </w:rPr>
        <w:t>综合显示屏应用场景：</w:t>
      </w:r>
    </w:p>
    <w:p>
      <w:pPr>
        <w:ind w:firstLine="480"/>
        <w:rPr>
          <w:highlight w:val="none"/>
        </w:rPr>
      </w:pPr>
      <w:r>
        <w:rPr>
          <w:highlight w:val="none"/>
        </w:rPr>
        <w:t>办事</w:t>
      </w:r>
      <w:r>
        <w:rPr>
          <w:rFonts w:hint="eastAsia"/>
          <w:highlight w:val="none"/>
        </w:rPr>
        <w:t>群众</w:t>
      </w:r>
      <w:r>
        <w:rPr>
          <w:highlight w:val="none"/>
        </w:rPr>
        <w:t>在到达政务服务中心现场</w:t>
      </w:r>
      <w:r>
        <w:rPr>
          <w:rFonts w:hint="eastAsia"/>
          <w:highlight w:val="none"/>
        </w:rPr>
        <w:t>完成取号后</w:t>
      </w:r>
      <w:r>
        <w:rPr>
          <w:highlight w:val="none"/>
        </w:rPr>
        <w:t>，</w:t>
      </w:r>
      <w:r>
        <w:rPr>
          <w:rFonts w:hint="eastAsia"/>
          <w:highlight w:val="none"/>
        </w:rPr>
        <w:t>在休息等候区进行等候，通过在休息等候区柱子上部署综合显示屏，显示当前叫号号码和排队情况，为办事群众提供清晰明了的现场排队叫号情况</w:t>
      </w:r>
      <w:r>
        <w:rPr>
          <w:highlight w:val="none"/>
        </w:rPr>
        <w:t>。</w:t>
      </w:r>
    </w:p>
    <w:p>
      <w:pPr>
        <w:ind w:firstLine="480"/>
        <w:rPr>
          <w:rFonts w:hint="eastAsia"/>
          <w:highlight w:val="none"/>
        </w:rPr>
      </w:pPr>
      <w:r>
        <w:rPr>
          <w:rFonts w:hint="eastAsia"/>
          <w:highlight w:val="none"/>
        </w:rPr>
        <w:t>广播终端作用：</w:t>
      </w:r>
    </w:p>
    <w:p>
      <w:pPr>
        <w:ind w:firstLine="480"/>
        <w:rPr>
          <w:rFonts w:hint="eastAsia"/>
          <w:highlight w:val="none"/>
        </w:rPr>
      </w:pPr>
      <w:r>
        <w:rPr>
          <w:rFonts w:hint="eastAsia"/>
          <w:highlight w:val="none"/>
        </w:rPr>
        <w:t>广播终端对公共广播控制主机传达下来的网络信号进行解码,转化为音频信号传输至广播功放。</w:t>
      </w:r>
    </w:p>
    <w:p>
      <w:pPr>
        <w:ind w:firstLine="480"/>
        <w:rPr>
          <w:rFonts w:hint="eastAsia"/>
          <w:highlight w:val="none"/>
        </w:rPr>
      </w:pPr>
      <w:r>
        <w:rPr>
          <w:rFonts w:hint="eastAsia"/>
          <w:highlight w:val="none"/>
          <w:lang w:val="en-US" w:eastAsia="zh-CN"/>
        </w:rPr>
        <w:t>吸顶喇叭</w:t>
      </w:r>
      <w:r>
        <w:rPr>
          <w:rFonts w:hint="eastAsia"/>
          <w:highlight w:val="none"/>
        </w:rPr>
        <w:t>应用场景：</w:t>
      </w:r>
    </w:p>
    <w:p>
      <w:pPr>
        <w:ind w:firstLine="480"/>
        <w:rPr>
          <w:rFonts w:hint="eastAsia"/>
          <w:highlight w:val="none"/>
        </w:rPr>
      </w:pPr>
      <w:r>
        <w:rPr>
          <w:rFonts w:hint="eastAsia"/>
          <w:highlight w:val="none"/>
        </w:rPr>
        <w:t>办事群众在到达政务服务中心现场完成取号后，在休息等候区进行等候，通过在休息等候区</w:t>
      </w:r>
      <w:r>
        <w:rPr>
          <w:rFonts w:hint="eastAsia"/>
          <w:highlight w:val="none"/>
          <w:lang w:val="en-US" w:eastAsia="zh-CN"/>
        </w:rPr>
        <w:t>天花上</w:t>
      </w:r>
      <w:r>
        <w:rPr>
          <w:rFonts w:hint="eastAsia"/>
          <w:highlight w:val="none"/>
        </w:rPr>
        <w:t>部署</w:t>
      </w:r>
      <w:r>
        <w:rPr>
          <w:rFonts w:hint="eastAsia"/>
          <w:highlight w:val="none"/>
          <w:lang w:val="en-US" w:eastAsia="zh-CN"/>
        </w:rPr>
        <w:t>吸顶喇叭</w:t>
      </w:r>
      <w:r>
        <w:rPr>
          <w:rFonts w:hint="eastAsia"/>
          <w:highlight w:val="none"/>
        </w:rPr>
        <w:t>，通过扩声系统，为办事群众提供有声叫号服务。</w:t>
      </w:r>
    </w:p>
    <w:p>
      <w:pPr>
        <w:ind w:firstLine="480"/>
        <w:rPr>
          <w:highlight w:val="none"/>
        </w:rPr>
      </w:pPr>
      <w:r>
        <w:rPr>
          <w:rFonts w:hint="eastAsia"/>
          <w:highlight w:val="none"/>
        </w:rPr>
        <w:t>广播功放作用：</w:t>
      </w:r>
    </w:p>
    <w:p>
      <w:pPr>
        <w:ind w:firstLine="480"/>
        <w:rPr>
          <w:rFonts w:hint="eastAsia" w:eastAsia="宋体"/>
          <w:highlight w:val="none"/>
          <w:lang w:eastAsia="zh-CN"/>
        </w:rPr>
      </w:pPr>
      <w:r>
        <w:rPr>
          <w:rFonts w:hint="eastAsia"/>
          <w:highlight w:val="none"/>
        </w:rPr>
        <w:t>广播功放对广播终端的音源信号放大,推动到音柱放声</w:t>
      </w:r>
      <w:r>
        <w:rPr>
          <w:highlight w:val="none"/>
        </w:rPr>
        <w:t>。</w:t>
      </w:r>
    </w:p>
    <w:p>
      <w:pPr>
        <w:pStyle w:val="5"/>
        <w:rPr>
          <w:highlight w:val="none"/>
        </w:rPr>
      </w:pPr>
      <w:bookmarkStart w:id="465" w:name="_Toc14736"/>
      <w:bookmarkStart w:id="466" w:name="_Toc17244"/>
      <w:bookmarkStart w:id="467" w:name="_Toc27878"/>
      <w:bookmarkStart w:id="468" w:name="_Toc10898"/>
      <w:r>
        <w:rPr>
          <w:rFonts w:hint="eastAsia"/>
          <w:highlight w:val="none"/>
        </w:rPr>
        <w:t>窗口服务区</w:t>
      </w:r>
      <w:bookmarkEnd w:id="465"/>
      <w:bookmarkEnd w:id="466"/>
      <w:bookmarkEnd w:id="467"/>
      <w:bookmarkEnd w:id="468"/>
    </w:p>
    <w:p>
      <w:pPr>
        <w:ind w:firstLine="480"/>
        <w:rPr>
          <w:highlight w:val="none"/>
        </w:rPr>
      </w:pPr>
      <w:r>
        <w:rPr>
          <w:rFonts w:hint="eastAsia"/>
          <w:highlight w:val="none"/>
        </w:rPr>
        <w:t>窗口服务区位于各服务大厅内，是服务人员为办事群众、企业提供咨询、受理、审批、出证等业务的重要区域。</w:t>
      </w:r>
    </w:p>
    <w:p>
      <w:pPr>
        <w:ind w:firstLine="480"/>
        <w:rPr>
          <w:highlight w:val="none"/>
        </w:rPr>
      </w:pPr>
      <w:r>
        <w:rPr>
          <w:rFonts w:hint="eastAsia"/>
          <w:highlight w:val="none"/>
        </w:rPr>
        <w:t>根据窗口服务区提供业务类型，本期在各服务厅窗口服务区部署设备包括窗口服务电脑、打印机、窗口互动终端（评价）、窗口互动终端（</w:t>
      </w:r>
      <w:r>
        <w:rPr>
          <w:rFonts w:hint="eastAsia"/>
          <w:highlight w:val="none"/>
          <w:lang w:val="en-US" w:eastAsia="zh-CN"/>
        </w:rPr>
        <w:t>叫号</w:t>
      </w:r>
      <w:r>
        <w:rPr>
          <w:rFonts w:hint="eastAsia"/>
          <w:highlight w:val="none"/>
        </w:rPr>
        <w:t>）、</w:t>
      </w:r>
      <w:r>
        <w:rPr>
          <w:rFonts w:hint="eastAsia"/>
          <w:highlight w:val="none"/>
          <w:lang w:val="en-US" w:eastAsia="zh-CN"/>
        </w:rPr>
        <w:t>窗口条屏、</w:t>
      </w:r>
      <w:r>
        <w:rPr>
          <w:rFonts w:hint="eastAsia"/>
          <w:highlight w:val="none"/>
        </w:rPr>
        <w:t>后台考勤机。配置情况如下：</w:t>
      </w:r>
    </w:p>
    <w:tbl>
      <w:tblPr>
        <w:tblStyle w:val="28"/>
        <w:tblW w:w="50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5"/>
        <w:gridCol w:w="2679"/>
        <w:gridCol w:w="2862"/>
        <w:gridCol w:w="16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135" w:type="pct"/>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区域</w:t>
            </w:r>
          </w:p>
        </w:tc>
        <w:tc>
          <w:tcPr>
            <w:tcW w:w="1437" w:type="pct"/>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配置设备</w:t>
            </w:r>
          </w:p>
        </w:tc>
        <w:tc>
          <w:tcPr>
            <w:tcW w:w="1535" w:type="pct"/>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配置设备数量</w:t>
            </w:r>
          </w:p>
        </w:tc>
        <w:tc>
          <w:tcPr>
            <w:tcW w:w="891" w:type="pct"/>
          </w:tcPr>
          <w:p>
            <w:pPr>
              <w:keepNext w:val="0"/>
              <w:keepLines w:val="0"/>
              <w:suppressLineNumbers w:val="0"/>
              <w:spacing w:before="0" w:beforeAutospacing="0" w:after="0" w:afterAutospacing="0" w:line="240" w:lineRule="auto"/>
              <w:ind w:left="0" w:right="0" w:firstLine="0" w:firstLineChars="0"/>
              <w:jc w:val="center"/>
              <w:rPr>
                <w:rFonts w:hint="default"/>
                <w:b/>
                <w:bCs/>
                <w:sz w:val="21"/>
                <w:szCs w:val="21"/>
                <w:highlight w:val="none"/>
              </w:rPr>
            </w:pPr>
            <w:r>
              <w:rPr>
                <w:rFonts w:hint="eastAsia"/>
                <w:b/>
                <w:bCs/>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lang w:val="en-US" w:eastAsia="zh-CN"/>
              </w:rPr>
            </w:pPr>
            <w:r>
              <w:rPr>
                <w:rFonts w:hint="eastAsia"/>
                <w:sz w:val="21"/>
                <w:szCs w:val="21"/>
                <w:highlight w:val="none"/>
                <w:lang w:val="en-US" w:eastAsia="zh-CN"/>
              </w:rPr>
              <w:t>市民服务中心大堂</w:t>
            </w:r>
          </w:p>
        </w:tc>
        <w:tc>
          <w:tcPr>
            <w:tcW w:w="1437"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lang w:val="en-US" w:eastAsia="zh-CN"/>
              </w:rPr>
              <w:t>宣传</w:t>
            </w:r>
            <w:r>
              <w:rPr>
                <w:rFonts w:hint="eastAsia"/>
                <w:sz w:val="21"/>
                <w:szCs w:val="21"/>
                <w:highlight w:val="none"/>
              </w:rPr>
              <w:t>条屏</w:t>
            </w:r>
          </w:p>
        </w:tc>
        <w:tc>
          <w:tcPr>
            <w:tcW w:w="1535"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lang w:val="en-US" w:eastAsia="zh-CN"/>
              </w:rPr>
              <w:t>9.6</w:t>
            </w:r>
            <w:r>
              <w:rPr>
                <w:rFonts w:hint="eastAsia"/>
                <w:sz w:val="21"/>
                <w:szCs w:val="21"/>
                <w:highlight w:val="none"/>
              </w:rPr>
              <w:t>m×0.384m</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司法</w:t>
            </w:r>
            <w:r>
              <w:rPr>
                <w:rFonts w:hint="eastAsia"/>
                <w:sz w:val="21"/>
                <w:szCs w:val="21"/>
                <w:highlight w:val="none"/>
              </w:rPr>
              <w:t>服务厅</w:t>
            </w: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窗口服务电脑</w:t>
            </w:r>
          </w:p>
        </w:tc>
        <w:tc>
          <w:tcPr>
            <w:tcW w:w="15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所属部门自行配置</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打印机</w:t>
            </w:r>
          </w:p>
        </w:tc>
        <w:tc>
          <w:tcPr>
            <w:tcW w:w="15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窗口互动终端（评价）</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7</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窗口互动终端（</w:t>
            </w:r>
            <w:r>
              <w:rPr>
                <w:rFonts w:hint="eastAsia"/>
                <w:sz w:val="21"/>
                <w:szCs w:val="21"/>
                <w:highlight w:val="none"/>
                <w:lang w:val="en-US" w:eastAsia="zh-CN"/>
              </w:rPr>
              <w:t>叫号</w:t>
            </w:r>
            <w:r>
              <w:rPr>
                <w:rFonts w:hint="eastAsia"/>
                <w:sz w:val="21"/>
                <w:szCs w:val="21"/>
                <w:highlight w:val="none"/>
              </w:rPr>
              <w:t>）</w:t>
            </w:r>
          </w:p>
        </w:tc>
        <w:tc>
          <w:tcPr>
            <w:tcW w:w="1535"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lang w:val="en-US" w:eastAsia="zh-CN"/>
              </w:rPr>
              <w:t>7</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窗口条屏</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11.95</w:t>
            </w:r>
            <w:r>
              <w:rPr>
                <w:rFonts w:hint="eastAsia"/>
                <w:sz w:val="21"/>
                <w:szCs w:val="21"/>
                <w:highlight w:val="none"/>
              </w:rPr>
              <w:t>m×0.384m</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考勤机</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1</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工建</w:t>
            </w:r>
            <w:r>
              <w:rPr>
                <w:rFonts w:hint="eastAsia"/>
                <w:sz w:val="21"/>
                <w:szCs w:val="21"/>
                <w:highlight w:val="none"/>
              </w:rPr>
              <w:t>服务</w:t>
            </w:r>
            <w:r>
              <w:rPr>
                <w:rFonts w:hint="eastAsia"/>
                <w:sz w:val="21"/>
                <w:szCs w:val="21"/>
                <w:highlight w:val="none"/>
                <w:lang w:val="en-US" w:eastAsia="zh-CN"/>
              </w:rPr>
              <w:t>一</w:t>
            </w:r>
            <w:r>
              <w:rPr>
                <w:rFonts w:hint="eastAsia"/>
                <w:sz w:val="21"/>
                <w:szCs w:val="21"/>
                <w:highlight w:val="none"/>
              </w:rPr>
              <w:t>厅</w:t>
            </w: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窗口服务电脑</w:t>
            </w:r>
          </w:p>
        </w:tc>
        <w:tc>
          <w:tcPr>
            <w:tcW w:w="15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所属部门自行配置</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打印机</w:t>
            </w:r>
          </w:p>
        </w:tc>
        <w:tc>
          <w:tcPr>
            <w:tcW w:w="15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窗口互动终端（评价）</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8</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窗口互动终端（</w:t>
            </w:r>
            <w:r>
              <w:rPr>
                <w:rFonts w:hint="eastAsia"/>
                <w:sz w:val="21"/>
                <w:szCs w:val="21"/>
                <w:highlight w:val="none"/>
                <w:lang w:val="en-US" w:eastAsia="zh-CN"/>
              </w:rPr>
              <w:t>叫号</w:t>
            </w:r>
            <w:r>
              <w:rPr>
                <w:rFonts w:hint="eastAsia"/>
                <w:sz w:val="21"/>
                <w:szCs w:val="21"/>
                <w:highlight w:val="none"/>
              </w:rPr>
              <w:t>）</w:t>
            </w:r>
          </w:p>
        </w:tc>
        <w:tc>
          <w:tcPr>
            <w:tcW w:w="1535"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lang w:val="en-US" w:eastAsia="zh-CN"/>
              </w:rPr>
              <w:t>8</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窗口条屏</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15.2</w:t>
            </w:r>
            <w:r>
              <w:rPr>
                <w:rFonts w:hint="eastAsia"/>
                <w:sz w:val="21"/>
                <w:szCs w:val="21"/>
                <w:highlight w:val="none"/>
              </w:rPr>
              <w:t>m×0.384m</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考勤机</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1</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11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工建</w:t>
            </w:r>
            <w:r>
              <w:rPr>
                <w:rFonts w:hint="eastAsia"/>
                <w:sz w:val="21"/>
                <w:szCs w:val="21"/>
                <w:highlight w:val="none"/>
              </w:rPr>
              <w:t>服务</w:t>
            </w:r>
            <w:r>
              <w:rPr>
                <w:rFonts w:hint="eastAsia"/>
                <w:sz w:val="21"/>
                <w:szCs w:val="21"/>
                <w:highlight w:val="none"/>
                <w:lang w:val="en-US" w:eastAsia="zh-CN"/>
              </w:rPr>
              <w:t>二</w:t>
            </w:r>
            <w:r>
              <w:rPr>
                <w:rFonts w:hint="eastAsia"/>
                <w:sz w:val="21"/>
                <w:szCs w:val="21"/>
                <w:highlight w:val="none"/>
              </w:rPr>
              <w:t>厅</w:t>
            </w: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窗口服务电脑</w:t>
            </w:r>
          </w:p>
        </w:tc>
        <w:tc>
          <w:tcPr>
            <w:tcW w:w="15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所属部门自行配置</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打印机</w:t>
            </w:r>
          </w:p>
        </w:tc>
        <w:tc>
          <w:tcPr>
            <w:tcW w:w="15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窗口互动终端（评价）</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5</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窗口互动终端（</w:t>
            </w:r>
            <w:r>
              <w:rPr>
                <w:rFonts w:hint="eastAsia"/>
                <w:sz w:val="21"/>
                <w:szCs w:val="21"/>
                <w:highlight w:val="none"/>
                <w:lang w:val="en-US" w:eastAsia="zh-CN"/>
              </w:rPr>
              <w:t>叫号</w:t>
            </w:r>
            <w:r>
              <w:rPr>
                <w:rFonts w:hint="eastAsia"/>
                <w:sz w:val="21"/>
                <w:szCs w:val="21"/>
                <w:highlight w:val="none"/>
              </w:rPr>
              <w:t>）</w:t>
            </w:r>
          </w:p>
        </w:tc>
        <w:tc>
          <w:tcPr>
            <w:tcW w:w="1535"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lang w:val="en-US" w:eastAsia="zh-CN"/>
              </w:rPr>
              <w:t>5</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窗口条屏</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9.35</w:t>
            </w:r>
            <w:r>
              <w:rPr>
                <w:rFonts w:hint="eastAsia"/>
                <w:sz w:val="21"/>
                <w:szCs w:val="21"/>
                <w:highlight w:val="none"/>
              </w:rPr>
              <w:t>m×0.384m</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考勤机</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1</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市场监督</w:t>
            </w:r>
            <w:r>
              <w:rPr>
                <w:rFonts w:hint="eastAsia"/>
                <w:sz w:val="21"/>
                <w:szCs w:val="21"/>
                <w:highlight w:val="none"/>
              </w:rPr>
              <w:t>服务厅</w:t>
            </w: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窗口服务电脑</w:t>
            </w:r>
          </w:p>
        </w:tc>
        <w:tc>
          <w:tcPr>
            <w:tcW w:w="15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所属部门自行配置</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打印机</w:t>
            </w:r>
          </w:p>
        </w:tc>
        <w:tc>
          <w:tcPr>
            <w:tcW w:w="15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窗口互动终端（评价）</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11</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窗口互动终端（</w:t>
            </w:r>
            <w:r>
              <w:rPr>
                <w:rFonts w:hint="eastAsia"/>
                <w:sz w:val="21"/>
                <w:szCs w:val="21"/>
                <w:highlight w:val="none"/>
                <w:lang w:val="en-US" w:eastAsia="zh-CN"/>
              </w:rPr>
              <w:t>叫号</w:t>
            </w:r>
            <w:r>
              <w:rPr>
                <w:rFonts w:hint="eastAsia"/>
                <w:sz w:val="21"/>
                <w:szCs w:val="21"/>
                <w:highlight w:val="none"/>
              </w:rPr>
              <w:t>）</w:t>
            </w:r>
          </w:p>
        </w:tc>
        <w:tc>
          <w:tcPr>
            <w:tcW w:w="1535"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lang w:val="en-US" w:eastAsia="zh-CN"/>
              </w:rPr>
              <w:t>11</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窗口条屏</w:t>
            </w:r>
          </w:p>
        </w:tc>
        <w:tc>
          <w:tcPr>
            <w:tcW w:w="1535"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lang w:val="en-US" w:eastAsia="zh-CN"/>
              </w:rPr>
              <w:t>20.413</w:t>
            </w:r>
            <w:r>
              <w:rPr>
                <w:rFonts w:hint="eastAsia"/>
                <w:sz w:val="21"/>
                <w:szCs w:val="21"/>
                <w:highlight w:val="none"/>
              </w:rPr>
              <w:t>m×0.384m</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考勤机</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1</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1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出入境</w:t>
            </w:r>
            <w:r>
              <w:rPr>
                <w:rFonts w:hint="eastAsia"/>
                <w:sz w:val="21"/>
                <w:szCs w:val="21"/>
                <w:highlight w:val="none"/>
              </w:rPr>
              <w:t>服务厅</w:t>
            </w: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窗口服务电脑</w:t>
            </w:r>
          </w:p>
        </w:tc>
        <w:tc>
          <w:tcPr>
            <w:tcW w:w="15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所属部门自行配置</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打印机</w:t>
            </w:r>
          </w:p>
        </w:tc>
        <w:tc>
          <w:tcPr>
            <w:tcW w:w="15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窗口互动终端（评价）</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12</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窗口互动终端（</w:t>
            </w:r>
            <w:r>
              <w:rPr>
                <w:rFonts w:hint="eastAsia"/>
                <w:sz w:val="21"/>
                <w:szCs w:val="21"/>
                <w:highlight w:val="none"/>
                <w:lang w:val="en-US" w:eastAsia="zh-CN"/>
              </w:rPr>
              <w:t>叫号</w:t>
            </w:r>
            <w:r>
              <w:rPr>
                <w:rFonts w:hint="eastAsia"/>
                <w:sz w:val="21"/>
                <w:szCs w:val="21"/>
                <w:highlight w:val="none"/>
              </w:rPr>
              <w:t>）</w:t>
            </w:r>
          </w:p>
        </w:tc>
        <w:tc>
          <w:tcPr>
            <w:tcW w:w="1535"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lang w:val="en-US" w:eastAsia="zh-CN"/>
              </w:rPr>
              <w:t>12</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窗口条屏</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24.5</w:t>
            </w:r>
            <w:r>
              <w:rPr>
                <w:rFonts w:hint="eastAsia"/>
                <w:sz w:val="21"/>
                <w:szCs w:val="21"/>
                <w:highlight w:val="none"/>
              </w:rPr>
              <w:t>m×0.384m</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考勤机</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1</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color w:val="auto"/>
                <w:sz w:val="21"/>
                <w:szCs w:val="21"/>
                <w:highlight w:val="none"/>
                <w:lang w:val="en-US" w:eastAsia="zh-CN"/>
              </w:rPr>
              <w:t>户籍</w:t>
            </w:r>
            <w:r>
              <w:rPr>
                <w:rFonts w:hint="eastAsia"/>
                <w:color w:val="auto"/>
                <w:sz w:val="21"/>
                <w:szCs w:val="21"/>
                <w:highlight w:val="none"/>
              </w:rPr>
              <w:t>服务厅</w:t>
            </w: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窗口服务电脑</w:t>
            </w:r>
          </w:p>
        </w:tc>
        <w:tc>
          <w:tcPr>
            <w:tcW w:w="15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所属部门自行配置</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打印机</w:t>
            </w:r>
          </w:p>
        </w:tc>
        <w:tc>
          <w:tcPr>
            <w:tcW w:w="15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窗口互动终端（评价）</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26</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窗口互动终端（</w:t>
            </w:r>
            <w:r>
              <w:rPr>
                <w:rFonts w:hint="eastAsia"/>
                <w:sz w:val="21"/>
                <w:szCs w:val="21"/>
                <w:highlight w:val="none"/>
                <w:lang w:val="en-US" w:eastAsia="zh-CN"/>
              </w:rPr>
              <w:t>叫号</w:t>
            </w:r>
            <w:r>
              <w:rPr>
                <w:rFonts w:hint="eastAsia"/>
                <w:sz w:val="21"/>
                <w:szCs w:val="21"/>
                <w:highlight w:val="none"/>
              </w:rPr>
              <w:t>）</w:t>
            </w:r>
          </w:p>
        </w:tc>
        <w:tc>
          <w:tcPr>
            <w:tcW w:w="1535"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lang w:val="en-US" w:eastAsia="zh-CN"/>
              </w:rPr>
              <w:t>26</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窗口条屏</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（44.45</w:t>
            </w:r>
            <w:r>
              <w:rPr>
                <w:rFonts w:hint="eastAsia"/>
                <w:sz w:val="21"/>
                <w:szCs w:val="21"/>
                <w:highlight w:val="none"/>
              </w:rPr>
              <w:t>m</w:t>
            </w:r>
            <w:r>
              <w:rPr>
                <w:rFonts w:hint="eastAsia"/>
                <w:sz w:val="21"/>
                <w:szCs w:val="21"/>
                <w:highlight w:val="none"/>
                <w:lang w:val="en-US" w:eastAsia="zh-CN"/>
              </w:rPr>
              <w:t>+3.465m）</w:t>
            </w:r>
            <w:r>
              <w:rPr>
                <w:rFonts w:hint="eastAsia"/>
                <w:sz w:val="21"/>
                <w:szCs w:val="21"/>
                <w:highlight w:val="none"/>
              </w:rPr>
              <w:t>×0.384m</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考勤机</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2台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人社</w:t>
            </w:r>
            <w:r>
              <w:rPr>
                <w:rFonts w:hint="eastAsia"/>
                <w:sz w:val="21"/>
                <w:szCs w:val="21"/>
                <w:highlight w:val="none"/>
              </w:rPr>
              <w:t>服务厅</w:t>
            </w: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窗口服务电脑</w:t>
            </w:r>
          </w:p>
        </w:tc>
        <w:tc>
          <w:tcPr>
            <w:tcW w:w="15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所属部门自行配置</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打印机</w:t>
            </w:r>
          </w:p>
        </w:tc>
        <w:tc>
          <w:tcPr>
            <w:tcW w:w="15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窗口互动终端（评价）</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宋体"/>
                <w:sz w:val="21"/>
                <w:szCs w:val="21"/>
                <w:highlight w:val="none"/>
                <w:lang w:val="en-US" w:eastAsia="zh-CN"/>
              </w:rPr>
            </w:pPr>
            <w:r>
              <w:rPr>
                <w:rFonts w:hint="eastAsia"/>
                <w:sz w:val="21"/>
                <w:szCs w:val="21"/>
                <w:highlight w:val="none"/>
                <w:lang w:val="en-US" w:eastAsia="zh-CN"/>
              </w:rPr>
              <w:t>10</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窗口互动终端（</w:t>
            </w:r>
            <w:r>
              <w:rPr>
                <w:rFonts w:hint="eastAsia"/>
                <w:sz w:val="21"/>
                <w:szCs w:val="21"/>
                <w:highlight w:val="none"/>
                <w:lang w:val="en-US" w:eastAsia="zh-CN"/>
              </w:rPr>
              <w:t>叫号</w:t>
            </w:r>
            <w:r>
              <w:rPr>
                <w:rFonts w:hint="eastAsia"/>
                <w:sz w:val="21"/>
                <w:szCs w:val="21"/>
                <w:highlight w:val="none"/>
              </w:rPr>
              <w:t>）</w:t>
            </w:r>
          </w:p>
        </w:tc>
        <w:tc>
          <w:tcPr>
            <w:tcW w:w="1535"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lang w:val="en-US" w:eastAsia="zh-CN"/>
              </w:rPr>
              <w:t>10</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窗口条屏</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22.401</w:t>
            </w:r>
            <w:r>
              <w:rPr>
                <w:rFonts w:hint="eastAsia"/>
                <w:sz w:val="21"/>
                <w:szCs w:val="21"/>
                <w:highlight w:val="none"/>
              </w:rPr>
              <w:t>m×0.384m</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考勤机</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1</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社保</w:t>
            </w:r>
            <w:r>
              <w:rPr>
                <w:rFonts w:hint="eastAsia"/>
                <w:sz w:val="21"/>
                <w:szCs w:val="21"/>
                <w:highlight w:val="none"/>
              </w:rPr>
              <w:t>服务厅</w:t>
            </w: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窗口服务电脑</w:t>
            </w:r>
          </w:p>
        </w:tc>
        <w:tc>
          <w:tcPr>
            <w:tcW w:w="15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所属部门自行配置</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打印机</w:t>
            </w:r>
          </w:p>
        </w:tc>
        <w:tc>
          <w:tcPr>
            <w:tcW w:w="15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窗口互动终端（评价）</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宋体"/>
                <w:sz w:val="21"/>
                <w:szCs w:val="21"/>
                <w:highlight w:val="none"/>
                <w:lang w:val="en-US" w:eastAsia="zh-CN"/>
              </w:rPr>
            </w:pPr>
            <w:r>
              <w:rPr>
                <w:rFonts w:hint="eastAsia"/>
                <w:sz w:val="21"/>
                <w:szCs w:val="21"/>
                <w:highlight w:val="none"/>
                <w:lang w:val="en-US" w:eastAsia="zh-CN"/>
              </w:rPr>
              <w:t>13</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窗口互动终端（</w:t>
            </w:r>
            <w:r>
              <w:rPr>
                <w:rFonts w:hint="eastAsia"/>
                <w:sz w:val="21"/>
                <w:szCs w:val="21"/>
                <w:highlight w:val="none"/>
                <w:lang w:val="en-US" w:eastAsia="zh-CN"/>
              </w:rPr>
              <w:t>叫号</w:t>
            </w:r>
            <w:r>
              <w:rPr>
                <w:rFonts w:hint="eastAsia"/>
                <w:sz w:val="21"/>
                <w:szCs w:val="21"/>
                <w:highlight w:val="none"/>
              </w:rPr>
              <w:t>）</w:t>
            </w:r>
          </w:p>
        </w:tc>
        <w:tc>
          <w:tcPr>
            <w:tcW w:w="1535"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kern w:val="2"/>
                <w:sz w:val="21"/>
                <w:szCs w:val="21"/>
                <w:highlight w:val="none"/>
                <w:lang w:val="en-US" w:eastAsia="zh-CN" w:bidi="ar-SA"/>
              </w:rPr>
            </w:pPr>
            <w:r>
              <w:rPr>
                <w:rFonts w:hint="eastAsia"/>
                <w:sz w:val="21"/>
                <w:szCs w:val="21"/>
                <w:highlight w:val="none"/>
                <w:lang w:val="en-US" w:eastAsia="zh-CN"/>
              </w:rPr>
              <w:t>13</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窗口条屏</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（25.4</w:t>
            </w:r>
            <w:r>
              <w:rPr>
                <w:rFonts w:hint="eastAsia"/>
                <w:sz w:val="21"/>
                <w:szCs w:val="21"/>
                <w:highlight w:val="none"/>
              </w:rPr>
              <w:t>m</w:t>
            </w:r>
            <w:r>
              <w:rPr>
                <w:rFonts w:hint="eastAsia"/>
                <w:sz w:val="21"/>
                <w:szCs w:val="21"/>
                <w:highlight w:val="none"/>
                <w:lang w:val="en-US" w:eastAsia="zh-CN"/>
              </w:rPr>
              <w:t>+2）</w:t>
            </w:r>
            <w:r>
              <w:rPr>
                <w:rFonts w:hint="eastAsia"/>
                <w:sz w:val="21"/>
                <w:szCs w:val="21"/>
                <w:highlight w:val="none"/>
              </w:rPr>
              <w:t>×0.384m</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考勤机</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1</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公积金</w:t>
            </w:r>
            <w:r>
              <w:rPr>
                <w:rFonts w:hint="eastAsia"/>
                <w:sz w:val="21"/>
                <w:szCs w:val="21"/>
                <w:highlight w:val="none"/>
              </w:rPr>
              <w:t>服务厅</w:t>
            </w: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窗口服务电脑</w:t>
            </w:r>
          </w:p>
        </w:tc>
        <w:tc>
          <w:tcPr>
            <w:tcW w:w="15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所属部门自行配置</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打印机</w:t>
            </w:r>
          </w:p>
        </w:tc>
        <w:tc>
          <w:tcPr>
            <w:tcW w:w="15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r>
              <w:rPr>
                <w:rFonts w:hint="eastAsia"/>
                <w:sz w:val="21"/>
                <w:szCs w:val="21"/>
                <w:highlight w:val="none"/>
              </w:rPr>
              <w:t>窗口互动终端（评价）</w:t>
            </w:r>
          </w:p>
        </w:tc>
        <w:tc>
          <w:tcPr>
            <w:tcW w:w="1535"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r>
              <w:rPr>
                <w:rFonts w:hint="eastAsia"/>
                <w:sz w:val="21"/>
                <w:szCs w:val="21"/>
                <w:highlight w:val="none"/>
                <w:lang w:val="en-US" w:eastAsia="zh-CN"/>
              </w:rPr>
              <w:t>5</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窗口互动终端（</w:t>
            </w:r>
            <w:r>
              <w:rPr>
                <w:rFonts w:hint="eastAsia"/>
                <w:sz w:val="21"/>
                <w:szCs w:val="21"/>
                <w:highlight w:val="none"/>
                <w:lang w:val="en-US" w:eastAsia="zh-CN"/>
              </w:rPr>
              <w:t>叫号</w:t>
            </w:r>
            <w:r>
              <w:rPr>
                <w:rFonts w:hint="eastAsia"/>
                <w:sz w:val="21"/>
                <w:szCs w:val="21"/>
                <w:highlight w:val="none"/>
              </w:rPr>
              <w:t>）</w:t>
            </w:r>
          </w:p>
        </w:tc>
        <w:tc>
          <w:tcPr>
            <w:tcW w:w="1535"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lang w:val="en-US" w:eastAsia="zh-CN"/>
              </w:rPr>
              <w:t>5</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窗口条屏</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9</w:t>
            </w:r>
            <w:r>
              <w:rPr>
                <w:rFonts w:hint="eastAsia"/>
                <w:sz w:val="21"/>
                <w:szCs w:val="21"/>
                <w:highlight w:val="none"/>
              </w:rPr>
              <w:t>m×0.384m</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考勤机</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1</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不动产</w:t>
            </w:r>
            <w:r>
              <w:rPr>
                <w:rFonts w:hint="eastAsia"/>
                <w:sz w:val="21"/>
                <w:szCs w:val="21"/>
                <w:highlight w:val="none"/>
              </w:rPr>
              <w:t>服务厅</w:t>
            </w: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窗口服务电脑</w:t>
            </w:r>
          </w:p>
        </w:tc>
        <w:tc>
          <w:tcPr>
            <w:tcW w:w="1535" w:type="pct"/>
            <w:vMerge w:val="restar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所属部门自行配置</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打印机</w:t>
            </w:r>
          </w:p>
        </w:tc>
        <w:tc>
          <w:tcPr>
            <w:tcW w:w="15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窗口互动终端（评价）</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1</w:t>
            </w:r>
            <w:r>
              <w:rPr>
                <w:rFonts w:hint="eastAsia"/>
                <w:sz w:val="21"/>
                <w:szCs w:val="21"/>
                <w:highlight w:val="none"/>
              </w:rPr>
              <w:t>0</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rPr>
              <w:t>窗口互动终端（</w:t>
            </w:r>
            <w:r>
              <w:rPr>
                <w:rFonts w:hint="eastAsia"/>
                <w:sz w:val="21"/>
                <w:szCs w:val="21"/>
                <w:highlight w:val="none"/>
                <w:lang w:val="en-US" w:eastAsia="zh-CN"/>
              </w:rPr>
              <w:t>叫号</w:t>
            </w:r>
            <w:r>
              <w:rPr>
                <w:rFonts w:hint="eastAsia"/>
                <w:sz w:val="21"/>
                <w:szCs w:val="21"/>
                <w:highlight w:val="none"/>
              </w:rPr>
              <w:t>）</w:t>
            </w:r>
          </w:p>
        </w:tc>
        <w:tc>
          <w:tcPr>
            <w:tcW w:w="1535" w:type="pct"/>
            <w:shd w:val="clear" w:color="auto" w:fill="auto"/>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ascii="宋体" w:hAnsi="宋体" w:eastAsia="宋体" w:cs="宋体"/>
                <w:kern w:val="2"/>
                <w:sz w:val="21"/>
                <w:szCs w:val="21"/>
                <w:highlight w:val="none"/>
                <w:lang w:val="en-US" w:eastAsia="zh-CN" w:bidi="ar-SA"/>
              </w:rPr>
            </w:pPr>
            <w:r>
              <w:rPr>
                <w:rFonts w:hint="eastAsia"/>
                <w:sz w:val="21"/>
                <w:szCs w:val="21"/>
                <w:highlight w:val="none"/>
                <w:lang w:val="en-US" w:eastAsia="zh-CN"/>
              </w:rPr>
              <w:t>1</w:t>
            </w:r>
            <w:r>
              <w:rPr>
                <w:rFonts w:hint="eastAsia"/>
                <w:sz w:val="21"/>
                <w:szCs w:val="21"/>
                <w:highlight w:val="none"/>
              </w:rPr>
              <w:t>0</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窗口条屏</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20.6</w:t>
            </w:r>
            <w:r>
              <w:rPr>
                <w:rFonts w:hint="eastAsia"/>
                <w:sz w:val="21"/>
                <w:szCs w:val="21"/>
                <w:highlight w:val="none"/>
              </w:rPr>
              <w:t>m×0.384m</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rPr>
              <w:t>考勤机</w:t>
            </w:r>
          </w:p>
        </w:tc>
        <w:tc>
          <w:tcPr>
            <w:tcW w:w="1535"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r>
              <w:rPr>
                <w:rFonts w:hint="eastAsia"/>
                <w:sz w:val="21"/>
                <w:szCs w:val="21"/>
                <w:highlight w:val="none"/>
                <w:lang w:val="en-US" w:eastAsia="zh-CN"/>
              </w:rPr>
              <w:t>1</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restar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r>
              <w:rPr>
                <w:rFonts w:hint="eastAsia"/>
                <w:sz w:val="21"/>
                <w:szCs w:val="21"/>
                <w:highlight w:val="none"/>
                <w:lang w:val="en-US" w:eastAsia="zh-CN"/>
              </w:rPr>
              <w:t>税务</w:t>
            </w:r>
            <w:r>
              <w:rPr>
                <w:rFonts w:hint="eastAsia"/>
                <w:sz w:val="21"/>
                <w:szCs w:val="21"/>
                <w:highlight w:val="none"/>
              </w:rPr>
              <w:t>服务厅</w:t>
            </w:r>
          </w:p>
        </w:tc>
        <w:tc>
          <w:tcPr>
            <w:tcW w:w="1437"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rPr>
            </w:pPr>
            <w:r>
              <w:rPr>
                <w:rFonts w:hint="eastAsia"/>
                <w:sz w:val="21"/>
                <w:szCs w:val="21"/>
                <w:highlight w:val="none"/>
              </w:rPr>
              <w:t>窗口服务电脑</w:t>
            </w:r>
          </w:p>
        </w:tc>
        <w:tc>
          <w:tcPr>
            <w:tcW w:w="1535" w:type="pct"/>
            <w:vMerge w:val="restar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lang w:val="en-US" w:eastAsia="zh-CN"/>
              </w:rPr>
            </w:pPr>
            <w:r>
              <w:rPr>
                <w:rFonts w:hint="eastAsia"/>
                <w:sz w:val="21"/>
                <w:szCs w:val="21"/>
                <w:highlight w:val="none"/>
              </w:rPr>
              <w:t>所属部门自行配置</w:t>
            </w:r>
          </w:p>
        </w:tc>
        <w:tc>
          <w:tcPr>
            <w:tcW w:w="891"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rPr>
            </w:pPr>
            <w:r>
              <w:rPr>
                <w:rFonts w:hint="eastAsia"/>
                <w:sz w:val="21"/>
                <w:szCs w:val="21"/>
                <w:highlight w:val="none"/>
              </w:rPr>
              <w:t>打印机</w:t>
            </w:r>
          </w:p>
        </w:tc>
        <w:tc>
          <w:tcPr>
            <w:tcW w:w="1535" w:type="pct"/>
            <w:vMerge w:val="continue"/>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lang w:val="en-US" w:eastAsia="zh-CN"/>
              </w:rPr>
            </w:pPr>
          </w:p>
        </w:tc>
        <w:tc>
          <w:tcPr>
            <w:tcW w:w="891"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rPr>
            </w:pPr>
            <w:r>
              <w:rPr>
                <w:rFonts w:hint="eastAsia"/>
                <w:sz w:val="21"/>
                <w:szCs w:val="21"/>
                <w:highlight w:val="none"/>
              </w:rPr>
              <w:t>窗口互动终端（评价）</w:t>
            </w:r>
          </w:p>
        </w:tc>
        <w:tc>
          <w:tcPr>
            <w:tcW w:w="1535"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lang w:val="en-US" w:eastAsia="zh-CN"/>
              </w:rPr>
            </w:pPr>
            <w:r>
              <w:rPr>
                <w:rFonts w:hint="eastAsia"/>
                <w:sz w:val="21"/>
                <w:szCs w:val="21"/>
                <w:highlight w:val="none"/>
                <w:lang w:val="en-US" w:eastAsia="zh-CN"/>
              </w:rPr>
              <w:t>4</w:t>
            </w:r>
          </w:p>
        </w:tc>
        <w:tc>
          <w:tcPr>
            <w:tcW w:w="891"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rPr>
            </w:pPr>
            <w:r>
              <w:rPr>
                <w:rFonts w:hint="eastAsia"/>
                <w:sz w:val="21"/>
                <w:szCs w:val="21"/>
                <w:highlight w:val="none"/>
              </w:rPr>
              <w:t>窗口互动终端（</w:t>
            </w:r>
            <w:r>
              <w:rPr>
                <w:rFonts w:hint="eastAsia"/>
                <w:sz w:val="21"/>
                <w:szCs w:val="21"/>
                <w:highlight w:val="none"/>
                <w:lang w:val="en-US" w:eastAsia="zh-CN"/>
              </w:rPr>
              <w:t>叫号</w:t>
            </w:r>
            <w:r>
              <w:rPr>
                <w:rFonts w:hint="eastAsia"/>
                <w:sz w:val="21"/>
                <w:szCs w:val="21"/>
                <w:highlight w:val="none"/>
              </w:rPr>
              <w:t>）</w:t>
            </w:r>
          </w:p>
        </w:tc>
        <w:tc>
          <w:tcPr>
            <w:tcW w:w="1535"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lang w:val="en-US" w:eastAsia="zh-CN"/>
              </w:rPr>
            </w:pPr>
            <w:r>
              <w:rPr>
                <w:rFonts w:hint="eastAsia"/>
                <w:sz w:val="21"/>
                <w:szCs w:val="21"/>
                <w:highlight w:val="none"/>
                <w:lang w:val="en-US" w:eastAsia="zh-CN"/>
              </w:rPr>
              <w:t>4</w:t>
            </w:r>
          </w:p>
        </w:tc>
        <w:tc>
          <w:tcPr>
            <w:tcW w:w="891"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rPr>
            </w:pPr>
            <w:r>
              <w:rPr>
                <w:rFonts w:hint="eastAsia"/>
                <w:sz w:val="21"/>
                <w:szCs w:val="21"/>
                <w:highlight w:val="none"/>
              </w:rPr>
              <w:t>窗口条屏</w:t>
            </w:r>
          </w:p>
        </w:tc>
        <w:tc>
          <w:tcPr>
            <w:tcW w:w="1535"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lang w:val="en-US" w:eastAsia="zh-CN"/>
              </w:rPr>
            </w:pPr>
            <w:r>
              <w:rPr>
                <w:rFonts w:hint="eastAsia"/>
                <w:sz w:val="21"/>
                <w:szCs w:val="21"/>
                <w:highlight w:val="none"/>
                <w:lang w:val="en-US" w:eastAsia="zh-CN"/>
              </w:rPr>
              <w:t>8.104</w:t>
            </w:r>
            <w:r>
              <w:rPr>
                <w:rFonts w:hint="eastAsia"/>
                <w:sz w:val="21"/>
                <w:szCs w:val="21"/>
                <w:highlight w:val="none"/>
              </w:rPr>
              <w:t>m×0.384m</w:t>
            </w:r>
          </w:p>
        </w:tc>
        <w:tc>
          <w:tcPr>
            <w:tcW w:w="891"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rPr>
            </w:pPr>
            <w:r>
              <w:rPr>
                <w:rFonts w:hint="eastAsia"/>
                <w:sz w:val="21"/>
                <w:szCs w:val="21"/>
                <w:highlight w:val="none"/>
              </w:rPr>
              <w:t>考勤机</w:t>
            </w:r>
          </w:p>
        </w:tc>
        <w:tc>
          <w:tcPr>
            <w:tcW w:w="1535"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lang w:val="en-US" w:eastAsia="zh-CN"/>
              </w:rPr>
            </w:pPr>
            <w:r>
              <w:rPr>
                <w:rFonts w:hint="eastAsia"/>
                <w:sz w:val="21"/>
                <w:szCs w:val="21"/>
                <w:highlight w:val="none"/>
                <w:lang w:val="en-US" w:eastAsia="zh-CN"/>
              </w:rPr>
              <w:t>1</w:t>
            </w:r>
            <w:r>
              <w:rPr>
                <w:rFonts w:hint="eastAsia"/>
                <w:sz w:val="21"/>
                <w:szCs w:val="21"/>
                <w:highlight w:val="none"/>
              </w:rPr>
              <w:t>台</w:t>
            </w:r>
          </w:p>
        </w:tc>
        <w:tc>
          <w:tcPr>
            <w:tcW w:w="891"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restar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r>
              <w:rPr>
                <w:rFonts w:hint="eastAsia"/>
                <w:sz w:val="21"/>
                <w:szCs w:val="21"/>
                <w:highlight w:val="none"/>
                <w:lang w:val="en-US" w:eastAsia="zh-CN"/>
              </w:rPr>
              <w:t>金融中心</w:t>
            </w:r>
            <w:r>
              <w:rPr>
                <w:rFonts w:hint="eastAsia"/>
                <w:sz w:val="21"/>
                <w:szCs w:val="21"/>
                <w:highlight w:val="none"/>
              </w:rPr>
              <w:t>服务厅</w:t>
            </w:r>
          </w:p>
        </w:tc>
        <w:tc>
          <w:tcPr>
            <w:tcW w:w="1437"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rPr>
            </w:pPr>
            <w:r>
              <w:rPr>
                <w:rFonts w:hint="eastAsia"/>
                <w:sz w:val="21"/>
                <w:szCs w:val="21"/>
                <w:highlight w:val="none"/>
              </w:rPr>
              <w:t>窗口服务电脑</w:t>
            </w:r>
          </w:p>
        </w:tc>
        <w:tc>
          <w:tcPr>
            <w:tcW w:w="1535" w:type="pct"/>
            <w:vMerge w:val="restar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lang w:val="en-US" w:eastAsia="zh-CN"/>
              </w:rPr>
            </w:pPr>
            <w:r>
              <w:rPr>
                <w:rFonts w:hint="eastAsia"/>
                <w:sz w:val="21"/>
                <w:szCs w:val="21"/>
                <w:highlight w:val="none"/>
              </w:rPr>
              <w:t>所属部门自行配置</w:t>
            </w:r>
          </w:p>
        </w:tc>
        <w:tc>
          <w:tcPr>
            <w:tcW w:w="891"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pct"/>
            <w:vMerge w:val="continue"/>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p>
        </w:tc>
        <w:tc>
          <w:tcPr>
            <w:tcW w:w="1437"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rPr>
            </w:pPr>
            <w:r>
              <w:rPr>
                <w:rFonts w:hint="eastAsia"/>
                <w:sz w:val="21"/>
                <w:szCs w:val="21"/>
                <w:highlight w:val="none"/>
              </w:rPr>
              <w:t>打印机</w:t>
            </w:r>
          </w:p>
        </w:tc>
        <w:tc>
          <w:tcPr>
            <w:tcW w:w="1535" w:type="pct"/>
            <w:vMerge w:val="continue"/>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eastAsia"/>
                <w:sz w:val="21"/>
                <w:szCs w:val="21"/>
                <w:highlight w:val="none"/>
                <w:lang w:val="en-US" w:eastAsia="zh-CN"/>
              </w:rPr>
            </w:pPr>
          </w:p>
        </w:tc>
        <w:tc>
          <w:tcPr>
            <w:tcW w:w="891" w:type="pct"/>
            <w:vAlign w:val="center"/>
          </w:tcPr>
          <w:p>
            <w:pPr>
              <w:keepNext w:val="0"/>
              <w:keepLines w:val="0"/>
              <w:suppressLineNumbers w:val="0"/>
              <w:spacing w:before="0" w:beforeAutospacing="0" w:after="0" w:afterAutospacing="0" w:line="240" w:lineRule="auto"/>
              <w:ind w:left="0" w:leftChars="0" w:right="0" w:rightChars="0" w:firstLine="0" w:firstLineChars="0"/>
              <w:jc w:val="center"/>
              <w:rPr>
                <w:rFonts w:hint="default"/>
                <w:sz w:val="21"/>
                <w:szCs w:val="21"/>
                <w:highlight w:val="none"/>
              </w:rPr>
            </w:pPr>
          </w:p>
        </w:tc>
      </w:tr>
    </w:tbl>
    <w:p>
      <w:pPr>
        <w:ind w:firstLine="480"/>
        <w:rPr>
          <w:highlight w:val="none"/>
        </w:rPr>
      </w:pPr>
      <w:r>
        <w:rPr>
          <w:rFonts w:hint="eastAsia"/>
          <w:highlight w:val="none"/>
        </w:rPr>
        <w:t>窗口条屏应用场景：</w:t>
      </w:r>
    </w:p>
    <w:p>
      <w:pPr>
        <w:ind w:firstLine="480"/>
        <w:rPr>
          <w:highlight w:val="none"/>
        </w:rPr>
      </w:pPr>
      <w:r>
        <w:rPr>
          <w:rFonts w:hint="eastAsia"/>
          <w:highlight w:val="none"/>
        </w:rPr>
        <w:t>窗口条屏能清晰显示对应的服务窗口号、窗口业务属性、显示当前叫号号码等信息，方便办事群众快速便捷地找到相对应的服务窗口进行业务办理</w:t>
      </w:r>
      <w:r>
        <w:rPr>
          <w:highlight w:val="none"/>
        </w:rPr>
        <w:t>。</w:t>
      </w:r>
    </w:p>
    <w:p>
      <w:pPr>
        <w:ind w:firstLine="480"/>
        <w:rPr>
          <w:highlight w:val="none"/>
        </w:rPr>
      </w:pPr>
      <w:r>
        <w:rPr>
          <w:rFonts w:hint="eastAsia"/>
          <w:highlight w:val="none"/>
        </w:rPr>
        <w:t>窗口服务电脑应用场景：</w:t>
      </w:r>
    </w:p>
    <w:p>
      <w:pPr>
        <w:ind w:firstLine="480"/>
        <w:rPr>
          <w:highlight w:val="none"/>
        </w:rPr>
      </w:pPr>
      <w:r>
        <w:rPr>
          <w:rFonts w:hint="eastAsia"/>
          <w:highlight w:val="none"/>
        </w:rPr>
        <w:t>在</w:t>
      </w:r>
      <w:r>
        <w:rPr>
          <w:highlight w:val="none"/>
        </w:rPr>
        <w:t>现场</w:t>
      </w:r>
      <w:r>
        <w:rPr>
          <w:rFonts w:hint="eastAsia"/>
          <w:highlight w:val="none"/>
        </w:rPr>
        <w:t>完成叫号后</w:t>
      </w:r>
      <w:r>
        <w:rPr>
          <w:highlight w:val="none"/>
        </w:rPr>
        <w:t>，</w:t>
      </w:r>
      <w:r>
        <w:rPr>
          <w:rFonts w:hint="eastAsia"/>
          <w:highlight w:val="none"/>
        </w:rPr>
        <w:t>窗口服务人员通过窗口服务电脑为办事群众完成受理、审批、出证等业务</w:t>
      </w:r>
      <w:r>
        <w:rPr>
          <w:highlight w:val="none"/>
        </w:rPr>
        <w:t>。</w:t>
      </w:r>
    </w:p>
    <w:p>
      <w:pPr>
        <w:ind w:firstLine="480"/>
        <w:rPr>
          <w:highlight w:val="none"/>
        </w:rPr>
      </w:pPr>
      <w:r>
        <w:rPr>
          <w:rFonts w:hint="eastAsia"/>
          <w:highlight w:val="none"/>
        </w:rPr>
        <w:t>打印机应用场景：</w:t>
      </w:r>
    </w:p>
    <w:p>
      <w:pPr>
        <w:ind w:firstLine="480"/>
        <w:rPr>
          <w:highlight w:val="none"/>
        </w:rPr>
      </w:pPr>
      <w:r>
        <w:rPr>
          <w:rFonts w:hint="eastAsia"/>
          <w:highlight w:val="none"/>
        </w:rPr>
        <w:t>用于窗口服务人员在为群众办事过程中打印办事表格等相关资料。打印机支持打印复印扫描等功能。</w:t>
      </w:r>
    </w:p>
    <w:p>
      <w:pPr>
        <w:ind w:firstLine="480"/>
        <w:rPr>
          <w:highlight w:val="none"/>
        </w:rPr>
      </w:pPr>
      <w:r>
        <w:rPr>
          <w:rFonts w:hint="eastAsia"/>
          <w:highlight w:val="none"/>
        </w:rPr>
        <w:t>窗口互动终端（</w:t>
      </w:r>
      <w:r>
        <w:rPr>
          <w:rFonts w:hint="eastAsia"/>
          <w:highlight w:val="none"/>
          <w:lang w:val="en-US" w:eastAsia="zh-CN"/>
        </w:rPr>
        <w:t>叫号</w:t>
      </w:r>
      <w:r>
        <w:rPr>
          <w:rFonts w:hint="eastAsia"/>
          <w:highlight w:val="none"/>
        </w:rPr>
        <w:t>）应用场景：</w:t>
      </w:r>
    </w:p>
    <w:p>
      <w:pPr>
        <w:ind w:firstLine="480"/>
        <w:rPr>
          <w:rFonts w:hint="eastAsia"/>
          <w:highlight w:val="none"/>
        </w:rPr>
      </w:pPr>
      <w:r>
        <w:rPr>
          <w:rFonts w:hint="eastAsia"/>
          <w:highlight w:val="none"/>
        </w:rPr>
        <w:t>窗口服务人员通过窗口互动终端（</w:t>
      </w:r>
      <w:r>
        <w:rPr>
          <w:rFonts w:hint="eastAsia"/>
          <w:highlight w:val="none"/>
          <w:lang w:val="en-US" w:eastAsia="zh-CN"/>
        </w:rPr>
        <w:t>叫号</w:t>
      </w:r>
      <w:r>
        <w:rPr>
          <w:rFonts w:hint="eastAsia"/>
          <w:highlight w:val="none"/>
        </w:rPr>
        <w:t>）</w:t>
      </w:r>
      <w:r>
        <w:rPr>
          <w:rFonts w:hint="eastAsia"/>
          <w:highlight w:val="none"/>
          <w:lang w:val="en-US" w:eastAsia="zh-CN"/>
        </w:rPr>
        <w:t>提醒当前号码办事群众到对应的服务窗口</w:t>
      </w:r>
      <w:r>
        <w:rPr>
          <w:rFonts w:hint="eastAsia"/>
          <w:highlight w:val="none"/>
        </w:rPr>
        <w:t>进行业务办理</w:t>
      </w:r>
      <w:r>
        <w:rPr>
          <w:rFonts w:hint="eastAsia"/>
          <w:highlight w:val="none"/>
          <w:lang w:eastAsia="zh-CN"/>
        </w:rPr>
        <w:t>，</w:t>
      </w:r>
      <w:r>
        <w:rPr>
          <w:rFonts w:hint="eastAsia"/>
          <w:highlight w:val="none"/>
        </w:rPr>
        <w:t>解决了站立式排队和服务无序的问题。</w:t>
      </w:r>
    </w:p>
    <w:p>
      <w:pPr>
        <w:ind w:firstLine="480"/>
        <w:rPr>
          <w:rFonts w:hint="eastAsia"/>
          <w:highlight w:val="none"/>
        </w:rPr>
      </w:pPr>
      <w:r>
        <w:rPr>
          <w:rFonts w:hint="eastAsia"/>
          <w:highlight w:val="none"/>
        </w:rPr>
        <w:t>窗口互动终端（评价）应用场景：</w:t>
      </w:r>
    </w:p>
    <w:p>
      <w:pPr>
        <w:ind w:firstLine="480"/>
        <w:rPr>
          <w:highlight w:val="none"/>
        </w:rPr>
      </w:pPr>
      <w:r>
        <w:rPr>
          <w:rFonts w:hint="eastAsia"/>
          <w:highlight w:val="none"/>
        </w:rPr>
        <w:t>办事群众在服务窗口完成业务办理工作后</w:t>
      </w:r>
      <w:r>
        <w:rPr>
          <w:highlight w:val="none"/>
        </w:rPr>
        <w:t>，</w:t>
      </w:r>
      <w:r>
        <w:rPr>
          <w:rFonts w:hint="eastAsia"/>
          <w:highlight w:val="none"/>
        </w:rPr>
        <w:t>通过窗口互动终端对窗口服务人员进行评价，给予窗口服务人员工作确认和提出整改意见</w:t>
      </w:r>
      <w:r>
        <w:rPr>
          <w:highlight w:val="none"/>
        </w:rPr>
        <w:t>。</w:t>
      </w:r>
    </w:p>
    <w:p>
      <w:pPr>
        <w:ind w:firstLine="480"/>
        <w:rPr>
          <w:highlight w:val="none"/>
        </w:rPr>
      </w:pPr>
      <w:r>
        <w:rPr>
          <w:rFonts w:hint="eastAsia"/>
          <w:highlight w:val="none"/>
        </w:rPr>
        <w:t>考勤机用场景：</w:t>
      </w:r>
    </w:p>
    <w:p>
      <w:pPr>
        <w:ind w:firstLine="480"/>
        <w:rPr>
          <w:highlight w:val="none"/>
        </w:rPr>
      </w:pPr>
      <w:r>
        <w:rPr>
          <w:rFonts w:hint="eastAsia"/>
          <w:highlight w:val="none"/>
        </w:rPr>
        <w:t>用于办事工作人员工作考勤记录,便于考核工作人员考勤情况,有助于提高工作人员的工作效率、办事效率</w:t>
      </w:r>
      <w:r>
        <w:rPr>
          <w:highlight w:val="none"/>
        </w:rPr>
        <w:t>。</w:t>
      </w:r>
    </w:p>
    <w:p>
      <w:pPr>
        <w:pStyle w:val="5"/>
        <w:rPr>
          <w:highlight w:val="none"/>
        </w:rPr>
      </w:pPr>
      <w:bookmarkStart w:id="469" w:name="_Toc772"/>
      <w:bookmarkStart w:id="470" w:name="_Toc4770"/>
      <w:bookmarkStart w:id="471" w:name="_Toc24116"/>
      <w:bookmarkStart w:id="472" w:name="_Toc13471"/>
      <w:r>
        <w:rPr>
          <w:rFonts w:hint="eastAsia"/>
          <w:highlight w:val="none"/>
        </w:rPr>
        <w:t>公共区域</w:t>
      </w:r>
      <w:bookmarkEnd w:id="469"/>
      <w:bookmarkEnd w:id="470"/>
      <w:bookmarkEnd w:id="471"/>
      <w:bookmarkEnd w:id="472"/>
    </w:p>
    <w:p>
      <w:pPr>
        <w:ind w:firstLine="480"/>
        <w:rPr>
          <w:highlight w:val="none"/>
        </w:rPr>
      </w:pPr>
      <w:r>
        <w:rPr>
          <w:rFonts w:hint="eastAsia"/>
          <w:highlight w:val="yellow"/>
        </w:rPr>
        <w:t>立式(卧式)查询屏</w:t>
      </w:r>
      <w:r>
        <w:rPr>
          <w:rFonts w:hint="eastAsia"/>
          <w:highlight w:val="none"/>
        </w:rPr>
        <w:t>主要部署在</w:t>
      </w:r>
      <w:r>
        <w:rPr>
          <w:rFonts w:hint="eastAsia"/>
          <w:highlight w:val="none"/>
          <w:lang w:val="en-US" w:eastAsia="zh-CN"/>
        </w:rPr>
        <w:t>一楼</w:t>
      </w:r>
      <w:r>
        <w:rPr>
          <w:rFonts w:hint="eastAsia"/>
          <w:highlight w:val="none"/>
        </w:rPr>
        <w:t>服务大厅</w:t>
      </w:r>
      <w:r>
        <w:rPr>
          <w:rFonts w:hint="eastAsia"/>
          <w:highlight w:val="none"/>
          <w:lang w:val="en-US" w:eastAsia="zh-CN"/>
        </w:rPr>
        <w:t>内</w:t>
      </w:r>
      <w:r>
        <w:rPr>
          <w:rFonts w:hint="eastAsia"/>
          <w:highlight w:val="none"/>
        </w:rPr>
        <w:t>，通过管理软件进行集中管控，可用于播放视频、图像、文字等，支持联网，可用于政策查询、指南查看等，满足信息发布、政策发布、指南查看等场景。</w:t>
      </w:r>
    </w:p>
    <w:p>
      <w:pPr>
        <w:ind w:firstLine="480"/>
        <w:rPr>
          <w:highlight w:val="none"/>
        </w:rPr>
      </w:pPr>
      <w:r>
        <w:rPr>
          <w:rFonts w:hint="eastAsia"/>
          <w:highlight w:val="none"/>
        </w:rPr>
        <w:t>立式(卧式)查询屏部署情况:</w:t>
      </w:r>
    </w:p>
    <w:p>
      <w:pPr>
        <w:ind w:firstLine="480"/>
        <w:rPr>
          <w:rFonts w:hint="eastAsia"/>
          <w:szCs w:val="28"/>
          <w:highlight w:val="none"/>
        </w:rPr>
      </w:pPr>
      <w:r>
        <w:rPr>
          <w:rFonts w:hint="eastAsia"/>
          <w:szCs w:val="28"/>
          <w:highlight w:val="none"/>
        </w:rPr>
        <w:t>在</w:t>
      </w:r>
      <w:r>
        <w:rPr>
          <w:rFonts w:hint="eastAsia"/>
          <w:szCs w:val="28"/>
          <w:highlight w:val="none"/>
          <w:lang w:val="en-US" w:eastAsia="zh-CN"/>
        </w:rPr>
        <w:t>首</w:t>
      </w:r>
      <w:r>
        <w:rPr>
          <w:rFonts w:hint="eastAsia"/>
          <w:szCs w:val="28"/>
          <w:highlight w:val="none"/>
        </w:rPr>
        <w:t>层</w:t>
      </w:r>
      <w:r>
        <w:rPr>
          <w:rFonts w:hint="eastAsia"/>
          <w:szCs w:val="28"/>
          <w:highlight w:val="none"/>
          <w:lang w:val="en-US" w:eastAsia="zh-CN"/>
        </w:rPr>
        <w:t>市民服务中心大堂电梯</w:t>
      </w:r>
      <w:r>
        <w:rPr>
          <w:rFonts w:hint="eastAsia"/>
          <w:szCs w:val="28"/>
          <w:highlight w:val="none"/>
        </w:rPr>
        <w:t>厅设置1台55寸立式信息发布交互屏。</w:t>
      </w:r>
    </w:p>
    <w:p>
      <w:pPr>
        <w:pStyle w:val="4"/>
        <w:bidi w:val="0"/>
      </w:pPr>
      <w:bookmarkStart w:id="473" w:name="_Toc23247"/>
      <w:bookmarkStart w:id="474" w:name="_Toc24860"/>
      <w:bookmarkStart w:id="475" w:name="_Toc30439"/>
      <w:bookmarkStart w:id="476" w:name="_Toc4822"/>
      <w:r>
        <w:rPr>
          <w:rFonts w:hint="eastAsia"/>
          <w:highlight w:val="none"/>
          <w:lang w:val="en-US" w:eastAsia="zh-CN"/>
        </w:rPr>
        <w:t>7</w:t>
      </w:r>
      <w:bookmarkEnd w:id="473"/>
      <w:bookmarkStart w:id="477" w:name="_Toc2977"/>
      <w:bookmarkStart w:id="478" w:name="_Toc7498"/>
      <w:r>
        <w:rPr>
          <w:rFonts w:hint="eastAsia"/>
        </w:rPr>
        <w:t>大厅业务监控</w:t>
      </w:r>
      <w:bookmarkEnd w:id="474"/>
      <w:bookmarkEnd w:id="475"/>
      <w:bookmarkEnd w:id="476"/>
      <w:bookmarkEnd w:id="477"/>
      <w:bookmarkEnd w:id="478"/>
    </w:p>
    <w:p>
      <w:pPr>
        <w:pStyle w:val="5"/>
        <w:rPr>
          <w:highlight w:val="none"/>
        </w:rPr>
      </w:pPr>
      <w:bookmarkStart w:id="479" w:name="_Toc28173"/>
      <w:bookmarkStart w:id="480" w:name="_Toc29529"/>
      <w:bookmarkStart w:id="481" w:name="_Toc13962"/>
      <w:bookmarkStart w:id="482" w:name="_Toc29549"/>
      <w:r>
        <w:rPr>
          <w:rFonts w:hint="eastAsia"/>
          <w:highlight w:val="none"/>
        </w:rPr>
        <w:t>系统概述</w:t>
      </w:r>
      <w:bookmarkEnd w:id="479"/>
      <w:bookmarkEnd w:id="480"/>
      <w:bookmarkEnd w:id="481"/>
      <w:bookmarkEnd w:id="482"/>
    </w:p>
    <w:p>
      <w:pPr>
        <w:ind w:firstLine="480"/>
        <w:rPr>
          <w:highlight w:val="none"/>
        </w:rPr>
      </w:pPr>
      <w:r>
        <w:rPr>
          <w:rFonts w:hint="eastAsia"/>
          <w:highlight w:val="none"/>
        </w:rPr>
        <w:t>珠海市斗门区市民服务中心办事大厅作为重要政务办理场所，具有场馆规模大、进驻部门企业多、人员密集、人员复杂、流动性强等特点，通过在办事窗口设置摄像机，搭配高灵敏度拾音器，对窗口服务人员和的前来办事人员过程录音录像，避免纠纷，助力“非现场监管”，改善服务质量，提升行政效能，优化营商环境。系统支持通过对历史视频、音频进行查阅，解决纠纷。</w:t>
      </w:r>
    </w:p>
    <w:p>
      <w:pPr>
        <w:pStyle w:val="5"/>
        <w:rPr>
          <w:highlight w:val="none"/>
        </w:rPr>
      </w:pPr>
      <w:bookmarkStart w:id="483" w:name="_Toc296"/>
      <w:bookmarkStart w:id="484" w:name="_Toc3592"/>
      <w:bookmarkStart w:id="485" w:name="_Toc19828"/>
      <w:bookmarkStart w:id="486" w:name="_Toc25538"/>
      <w:r>
        <w:rPr>
          <w:rFonts w:hint="eastAsia"/>
          <w:highlight w:val="none"/>
        </w:rPr>
        <w:t>系统架构</w:t>
      </w:r>
      <w:bookmarkEnd w:id="483"/>
      <w:bookmarkEnd w:id="484"/>
      <w:bookmarkEnd w:id="485"/>
      <w:bookmarkEnd w:id="486"/>
    </w:p>
    <w:p>
      <w:pPr>
        <w:keepNext/>
        <w:ind w:firstLine="0" w:firstLineChars="0"/>
        <w:jc w:val="center"/>
        <w:rPr>
          <w:rFonts w:hint="eastAsia" w:eastAsia="宋体"/>
          <w:highlight w:val="none"/>
          <w:u w:val="single"/>
          <w:lang w:eastAsia="zh-CN"/>
        </w:rPr>
      </w:pPr>
      <w:r>
        <w:rPr>
          <w:rFonts w:hint="eastAsia" w:eastAsia="宋体"/>
          <w:highlight w:val="none"/>
          <w:u w:val="single"/>
          <w:lang w:eastAsia="zh-CN"/>
        </w:rPr>
        <w:drawing>
          <wp:inline distT="0" distB="0" distL="114300" distR="114300">
            <wp:extent cx="3629025" cy="4578985"/>
            <wp:effectExtent l="0" t="0" r="13335" b="8255"/>
            <wp:docPr id="1" name="图片 1" descr="173090692361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descr="1730906923618"/>
                    <pic:cNvPicPr>
                      <a:picLocks noChangeAspect="true"/>
                    </pic:cNvPicPr>
                  </pic:nvPicPr>
                  <pic:blipFill>
                    <a:blip r:embed="rId27"/>
                    <a:stretch>
                      <a:fillRect/>
                    </a:stretch>
                  </pic:blipFill>
                  <pic:spPr>
                    <a:xfrm>
                      <a:off x="0" y="0"/>
                      <a:ext cx="3629025" cy="4578985"/>
                    </a:xfrm>
                    <a:prstGeom prst="rect">
                      <a:avLst/>
                    </a:prstGeom>
                  </pic:spPr>
                </pic:pic>
              </a:graphicData>
            </a:graphic>
          </wp:inline>
        </w:drawing>
      </w:r>
    </w:p>
    <w:p>
      <w:pPr>
        <w:keepNext/>
        <w:ind w:firstLine="0" w:firstLineChars="0"/>
        <w:jc w:val="center"/>
        <w:rPr>
          <w:rFonts w:ascii="黑体" w:hAnsi="黑体" w:eastAsia="黑体" w:cs="黑体"/>
          <w:sz w:val="21"/>
          <w:szCs w:val="20"/>
          <w:highlight w:val="none"/>
        </w:rPr>
      </w:pPr>
      <w:r>
        <w:rPr>
          <w:rFonts w:hint="eastAsia" w:ascii="黑体" w:hAnsi="黑体" w:eastAsia="黑体" w:cs="黑体"/>
          <w:sz w:val="21"/>
          <w:szCs w:val="20"/>
          <w:highlight w:val="none"/>
        </w:rPr>
        <w:t xml:space="preserve">图 </w:t>
      </w:r>
      <w:r>
        <w:rPr>
          <w:rFonts w:hint="eastAsia" w:ascii="黑体" w:hAnsi="黑体" w:eastAsia="黑体" w:cs="黑体"/>
          <w:sz w:val="21"/>
          <w:szCs w:val="20"/>
          <w:highlight w:val="none"/>
          <w:lang w:val="en-US" w:eastAsia="zh-CN"/>
        </w:rPr>
        <w:t>2.4</w:t>
      </w:r>
      <w:r>
        <w:rPr>
          <w:rFonts w:hint="eastAsia" w:ascii="黑体" w:hAnsi="黑体" w:eastAsia="黑体" w:cs="黑体"/>
          <w:sz w:val="21"/>
          <w:szCs w:val="20"/>
          <w:highlight w:val="none"/>
        </w:rPr>
        <w:noBreakHyphen/>
      </w:r>
      <w:r>
        <w:rPr>
          <w:rFonts w:hint="eastAsia" w:ascii="黑体" w:hAnsi="黑体" w:eastAsia="黑体" w:cs="黑体"/>
          <w:sz w:val="21"/>
          <w:szCs w:val="20"/>
          <w:highlight w:val="none"/>
          <w:lang w:val="en-US" w:eastAsia="zh-CN"/>
        </w:rPr>
        <w:t>2</w:t>
      </w:r>
      <w:r>
        <w:rPr>
          <w:rFonts w:hint="eastAsia" w:ascii="黑体" w:hAnsi="黑体" w:eastAsia="黑体" w:cs="黑体"/>
          <w:sz w:val="21"/>
          <w:szCs w:val="20"/>
          <w:highlight w:val="none"/>
        </w:rPr>
        <w:t>政务服务中心大厅业务监控系统架构</w:t>
      </w:r>
    </w:p>
    <w:p>
      <w:pPr>
        <w:pStyle w:val="5"/>
        <w:rPr>
          <w:highlight w:val="none"/>
        </w:rPr>
      </w:pPr>
      <w:bookmarkStart w:id="487" w:name="_Toc6913"/>
      <w:bookmarkStart w:id="488" w:name="_Toc17634"/>
      <w:bookmarkStart w:id="489" w:name="_Toc31587"/>
      <w:bookmarkStart w:id="490" w:name="_Toc572"/>
      <w:r>
        <w:rPr>
          <w:rFonts w:hint="eastAsia"/>
          <w:highlight w:val="none"/>
        </w:rPr>
        <w:t>系统</w:t>
      </w:r>
      <w:bookmarkEnd w:id="487"/>
      <w:r>
        <w:rPr>
          <w:rFonts w:hint="eastAsia"/>
          <w:highlight w:val="none"/>
          <w:lang w:val="en-US" w:eastAsia="zh-CN"/>
        </w:rPr>
        <w:t>要求</w:t>
      </w:r>
      <w:bookmarkEnd w:id="488"/>
      <w:bookmarkEnd w:id="489"/>
      <w:bookmarkEnd w:id="490"/>
    </w:p>
    <w:p>
      <w:pPr>
        <w:numPr>
          <w:ilvl w:val="0"/>
          <w:numId w:val="0"/>
        </w:numPr>
        <w:tabs>
          <w:tab w:val="left" w:pos="420"/>
        </w:tabs>
        <w:ind w:left="0" w:leftChars="0" w:firstLine="480" w:firstLineChars="200"/>
        <w:rPr>
          <w:highlight w:val="none"/>
        </w:rPr>
      </w:pPr>
      <w:r>
        <w:rPr>
          <w:rFonts w:hint="eastAsia"/>
          <w:highlight w:val="none"/>
        </w:rPr>
        <w:t>办事窗口业务办理全流程音视频同步记录，采用一对二监控策略，即每个摄像机对应两个业务窗口，记录业务窗口办理业务的全过程。另外，每两个业务窗口坐席处应部署一个拾音器，对窗口服务人员与群众的对话等内容进行录音，并与对应的摄像机视频一起编码存储到网络硬盘录像机中，实现音视频同步保存。</w:t>
      </w:r>
    </w:p>
    <w:p>
      <w:pPr>
        <w:numPr>
          <w:ilvl w:val="0"/>
          <w:numId w:val="0"/>
        </w:numPr>
        <w:tabs>
          <w:tab w:val="left" w:pos="420"/>
        </w:tabs>
        <w:ind w:left="0" w:leftChars="0" w:firstLine="480" w:firstLineChars="200"/>
        <w:rPr>
          <w:highlight w:val="none"/>
        </w:rPr>
      </w:pPr>
      <w:r>
        <w:rPr>
          <w:rFonts w:hint="default" w:ascii="宋体" w:hAnsi="宋体" w:eastAsia="宋体" w:cs="宋体"/>
          <w:highlight w:val="none"/>
          <w:lang w:val="en-US" w:eastAsia="zh-CN"/>
        </w:rPr>
        <w:t>询问室</w:t>
      </w:r>
      <w:r>
        <w:rPr>
          <w:rFonts w:hint="eastAsia" w:ascii="宋体" w:hAnsi="宋体" w:eastAsia="宋体" w:cs="宋体"/>
          <w:highlight w:val="none"/>
          <w:lang w:val="en-US" w:eastAsia="zh-CN"/>
        </w:rPr>
        <w:t>、行政复议听证室场地</w:t>
      </w:r>
      <w:r>
        <w:rPr>
          <w:rFonts w:hint="eastAsia" w:ascii="宋体" w:hAnsi="宋体" w:eastAsia="宋体" w:cs="宋体"/>
          <w:highlight w:val="none"/>
        </w:rPr>
        <w:t>监控配备音视频监控系统，实现</w:t>
      </w:r>
      <w:r>
        <w:rPr>
          <w:rFonts w:hint="default" w:ascii="宋体" w:hAnsi="宋体" w:eastAsia="宋体" w:cs="宋体"/>
          <w:highlight w:val="none"/>
          <w:lang w:val="en-US" w:eastAsia="zh-CN"/>
        </w:rPr>
        <w:t>询问</w:t>
      </w:r>
      <w:r>
        <w:rPr>
          <w:rFonts w:hint="eastAsia" w:ascii="宋体" w:hAnsi="宋体" w:eastAsia="宋体" w:cs="宋体"/>
          <w:highlight w:val="none"/>
          <w:lang w:val="en-US" w:eastAsia="zh-CN"/>
        </w:rPr>
        <w:t>、</w:t>
      </w:r>
      <w:r>
        <w:rPr>
          <w:rFonts w:hint="eastAsia" w:ascii="宋体" w:hAnsi="宋体" w:eastAsia="宋体" w:cs="宋体"/>
          <w:highlight w:val="none"/>
        </w:rPr>
        <w:t>听证过程</w:t>
      </w:r>
      <w:r>
        <w:rPr>
          <w:rFonts w:hint="eastAsia" w:ascii="宋体" w:hAnsi="宋体" w:eastAsia="宋体" w:cs="宋体"/>
          <w:highlight w:val="none"/>
          <w:lang w:eastAsia="zh-CN"/>
        </w:rPr>
        <w:t>中</w:t>
      </w:r>
      <w:r>
        <w:rPr>
          <w:rFonts w:hint="eastAsia" w:ascii="宋体" w:hAnsi="宋体" w:eastAsia="宋体" w:cs="宋体"/>
          <w:highlight w:val="none"/>
          <w:lang w:val="en-US" w:eastAsia="zh-CN"/>
        </w:rPr>
        <w:t>的</w:t>
      </w:r>
      <w:r>
        <w:rPr>
          <w:rFonts w:hint="eastAsia" w:ascii="宋体" w:hAnsi="宋体" w:eastAsia="宋体" w:cs="宋体"/>
          <w:highlight w:val="none"/>
        </w:rPr>
        <w:t>全程录像录音</w:t>
      </w:r>
      <w:r>
        <w:rPr>
          <w:rFonts w:hint="eastAsia"/>
          <w:highlight w:val="none"/>
        </w:rPr>
        <w:t>。</w:t>
      </w:r>
    </w:p>
    <w:p>
      <w:pPr>
        <w:pStyle w:val="6"/>
        <w:tabs>
          <w:tab w:val="left" w:pos="0"/>
        </w:tabs>
        <w:rPr>
          <w:highlight w:val="none"/>
        </w:rPr>
      </w:pPr>
      <w:r>
        <w:rPr>
          <w:rFonts w:hint="eastAsia"/>
          <w:highlight w:val="none"/>
        </w:rPr>
        <w:t>视频存储</w:t>
      </w:r>
      <w:r>
        <w:rPr>
          <w:rFonts w:hint="eastAsia"/>
          <w:highlight w:val="none"/>
          <w:lang w:val="en-US" w:eastAsia="zh-CN"/>
        </w:rPr>
        <w:t>要求</w:t>
      </w:r>
    </w:p>
    <w:p>
      <w:pPr>
        <w:ind w:firstLine="480"/>
        <w:rPr>
          <w:b/>
          <w:bCs/>
          <w:highlight w:val="none"/>
        </w:rPr>
      </w:pPr>
      <w:r>
        <w:rPr>
          <w:rFonts w:hint="eastAsia"/>
          <w:highlight w:val="none"/>
        </w:rPr>
        <w:t>办事大厅的高清视频进行本地集中存储，普通点位图像分辨率为1080P以上，存储码流不低于4Mbps</w:t>
      </w:r>
      <w:r>
        <w:rPr>
          <w:rFonts w:hint="eastAsia"/>
          <w:highlight w:val="none"/>
          <w:lang w:eastAsia="zh-CN"/>
        </w:rPr>
        <w:t>，</w:t>
      </w:r>
      <w:r>
        <w:rPr>
          <w:rFonts w:hint="eastAsia"/>
          <w:highlight w:val="none"/>
        </w:rPr>
        <w:t>同时结合存储时间和录像格式要求，采用满足GT/B 28181-2016标准的视频流直写的存储设备。</w:t>
      </w:r>
    </w:p>
    <w:p>
      <w:pPr>
        <w:numPr>
          <w:ilvl w:val="0"/>
          <w:numId w:val="5"/>
        </w:numPr>
        <w:tabs>
          <w:tab w:val="left" w:pos="420"/>
        </w:tabs>
        <w:ind w:left="0" w:firstLine="482"/>
        <w:rPr>
          <w:b/>
          <w:bCs/>
          <w:highlight w:val="none"/>
        </w:rPr>
      </w:pPr>
      <w:r>
        <w:rPr>
          <w:rFonts w:hint="eastAsia"/>
          <w:b/>
          <w:bCs/>
          <w:highlight w:val="none"/>
        </w:rPr>
        <w:t>普通点位：</w:t>
      </w:r>
    </w:p>
    <w:p>
      <w:pPr>
        <w:tabs>
          <w:tab w:val="left" w:pos="420"/>
        </w:tabs>
        <w:ind w:firstLine="480"/>
        <w:rPr>
          <w:highlight w:val="none"/>
        </w:rPr>
      </w:pPr>
      <w:r>
        <w:rPr>
          <w:rFonts w:hint="eastAsia"/>
          <w:highlight w:val="none"/>
        </w:rPr>
        <w:t>录像录音存储时长不少于45天，存储码流不低于4M，存储时长不低于24小时。</w:t>
      </w:r>
    </w:p>
    <w:p>
      <w:pPr>
        <w:numPr>
          <w:ilvl w:val="0"/>
          <w:numId w:val="5"/>
        </w:numPr>
        <w:tabs>
          <w:tab w:val="left" w:pos="420"/>
        </w:tabs>
        <w:ind w:left="0" w:firstLine="482"/>
        <w:rPr>
          <w:b/>
          <w:bCs/>
          <w:highlight w:val="none"/>
        </w:rPr>
      </w:pPr>
      <w:r>
        <w:rPr>
          <w:rFonts w:hint="eastAsia"/>
          <w:b/>
          <w:bCs/>
          <w:highlight w:val="none"/>
          <w:lang w:val="en-US" w:eastAsia="zh-CN"/>
        </w:rPr>
        <w:t>档案室与档案阅览室</w:t>
      </w:r>
      <w:r>
        <w:rPr>
          <w:rFonts w:hint="eastAsia"/>
          <w:b/>
          <w:bCs/>
          <w:highlight w:val="none"/>
        </w:rPr>
        <w:t>：</w:t>
      </w:r>
    </w:p>
    <w:p>
      <w:pPr>
        <w:tabs>
          <w:tab w:val="left" w:pos="420"/>
        </w:tabs>
        <w:ind w:firstLine="480"/>
        <w:rPr>
          <w:highlight w:val="none"/>
        </w:rPr>
      </w:pPr>
      <w:r>
        <w:rPr>
          <w:rFonts w:hint="eastAsia"/>
          <w:highlight w:val="none"/>
          <w:lang w:val="en-US" w:eastAsia="zh-CN"/>
        </w:rPr>
        <w:t>档案室与档案阅览室</w:t>
      </w:r>
      <w:r>
        <w:rPr>
          <w:rFonts w:hint="eastAsia"/>
          <w:highlight w:val="none"/>
        </w:rPr>
        <w:t>区域录像视频存储时长不少于</w:t>
      </w:r>
      <w:r>
        <w:rPr>
          <w:rFonts w:hint="eastAsia"/>
          <w:highlight w:val="none"/>
          <w:lang w:val="en-US" w:eastAsia="zh-CN"/>
        </w:rPr>
        <w:t>180</w:t>
      </w:r>
      <w:r>
        <w:rPr>
          <w:rFonts w:hint="eastAsia"/>
          <w:highlight w:val="none"/>
        </w:rPr>
        <w:t>天，存储码流不低于</w:t>
      </w:r>
      <w:r>
        <w:rPr>
          <w:rFonts w:hint="eastAsia"/>
          <w:highlight w:val="none"/>
          <w:lang w:val="en-US" w:eastAsia="zh-CN"/>
        </w:rPr>
        <w:t>4</w:t>
      </w:r>
      <w:r>
        <w:rPr>
          <w:rFonts w:hint="eastAsia"/>
          <w:highlight w:val="none"/>
        </w:rPr>
        <w:t>M，存储时长不低于24小时。</w:t>
      </w:r>
    </w:p>
    <w:p>
      <w:pPr>
        <w:pStyle w:val="6"/>
        <w:tabs>
          <w:tab w:val="left" w:pos="0"/>
        </w:tabs>
        <w:rPr>
          <w:highlight w:val="none"/>
        </w:rPr>
      </w:pPr>
      <w:r>
        <w:rPr>
          <w:rFonts w:hint="eastAsia"/>
          <w:highlight w:val="none"/>
        </w:rPr>
        <w:t>系统性能</w:t>
      </w:r>
      <w:r>
        <w:rPr>
          <w:rFonts w:hint="eastAsia"/>
          <w:highlight w:val="none"/>
          <w:lang w:val="en-US" w:eastAsia="zh-CN"/>
        </w:rPr>
        <w:t>要求</w:t>
      </w:r>
    </w:p>
    <w:p>
      <w:pPr>
        <w:numPr>
          <w:ilvl w:val="0"/>
          <w:numId w:val="6"/>
        </w:numPr>
        <w:ind w:firstLineChars="0"/>
        <w:rPr>
          <w:b/>
          <w:highlight w:val="none"/>
        </w:rPr>
      </w:pPr>
      <w:r>
        <w:rPr>
          <w:rFonts w:hint="eastAsia"/>
          <w:b/>
          <w:highlight w:val="none"/>
        </w:rPr>
        <w:t>图像质量</w:t>
      </w:r>
    </w:p>
    <w:p>
      <w:pPr>
        <w:keepNext/>
        <w:ind w:firstLine="0" w:firstLineChars="0"/>
        <w:jc w:val="center"/>
        <w:rPr>
          <w:highlight w:val="none"/>
        </w:rPr>
      </w:pPr>
      <w:r>
        <w:rPr>
          <w:rFonts w:hint="eastAsia" w:ascii="黑体" w:hAnsi="黑体" w:eastAsia="黑体" w:cs="黑体"/>
          <w:sz w:val="21"/>
          <w:szCs w:val="20"/>
          <w:highlight w:val="none"/>
        </w:rPr>
        <w:t xml:space="preserve">表 </w:t>
      </w:r>
      <w:r>
        <w:rPr>
          <w:rFonts w:hint="eastAsia" w:ascii="黑体" w:hAnsi="黑体" w:eastAsia="黑体" w:cs="黑体"/>
          <w:sz w:val="21"/>
          <w:szCs w:val="20"/>
          <w:highlight w:val="none"/>
          <w:lang w:val="en-US" w:eastAsia="zh-CN"/>
        </w:rPr>
        <w:t>2.4</w:t>
      </w:r>
      <w:r>
        <w:rPr>
          <w:rFonts w:hint="eastAsia" w:ascii="黑体" w:hAnsi="黑体" w:eastAsia="黑体" w:cs="黑体"/>
          <w:sz w:val="21"/>
          <w:szCs w:val="20"/>
          <w:highlight w:val="none"/>
        </w:rPr>
        <w:noBreakHyphen/>
      </w:r>
      <w:r>
        <w:rPr>
          <w:rFonts w:hint="eastAsia" w:ascii="黑体" w:hAnsi="黑体" w:eastAsia="黑体" w:cs="黑体"/>
          <w:sz w:val="21"/>
          <w:szCs w:val="20"/>
          <w:highlight w:val="none"/>
          <w:lang w:val="en-US" w:eastAsia="zh-CN"/>
        </w:rPr>
        <w:t>2</w:t>
      </w:r>
      <w:r>
        <w:rPr>
          <w:rFonts w:hint="eastAsia" w:ascii="黑体" w:hAnsi="黑体" w:eastAsia="黑体" w:cs="黑体"/>
          <w:sz w:val="21"/>
          <w:szCs w:val="20"/>
          <w:highlight w:val="none"/>
        </w:rPr>
        <w:t>图像质量表</w:t>
      </w:r>
    </w:p>
    <w:tbl>
      <w:tblPr>
        <w:tblStyle w:val="2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29"/>
        <w:gridCol w:w="5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blHeader/>
          <w:jc w:val="center"/>
        </w:trPr>
        <w:tc>
          <w:tcPr>
            <w:tcW w:w="2115" w:type="pct"/>
            <w:shd w:val="clear" w:color="auto" w:fill="D9D9D9"/>
            <w:vAlign w:val="center"/>
          </w:tcPr>
          <w:p>
            <w:pPr>
              <w:keepNext w:val="0"/>
              <w:keepLines w:val="0"/>
              <w:widowControl/>
              <w:suppressLineNumbers w:val="0"/>
              <w:spacing w:before="0" w:beforeAutospacing="0" w:after="0" w:afterAutospacing="0"/>
              <w:ind w:left="0" w:right="0" w:firstLine="0" w:firstLineChars="0"/>
              <w:jc w:val="center"/>
              <w:rPr>
                <w:rFonts w:hint="default" w:eastAsia="仿宋"/>
                <w:sz w:val="21"/>
                <w:szCs w:val="21"/>
                <w:highlight w:val="none"/>
              </w:rPr>
            </w:pPr>
            <w:r>
              <w:rPr>
                <w:rFonts w:hint="eastAsia"/>
                <w:sz w:val="21"/>
                <w:szCs w:val="21"/>
                <w:highlight w:val="none"/>
              </w:rPr>
              <w:t>参数</w:t>
            </w:r>
          </w:p>
        </w:tc>
        <w:tc>
          <w:tcPr>
            <w:tcW w:w="2884" w:type="pct"/>
            <w:shd w:val="clear" w:color="auto" w:fill="D9D9D9"/>
            <w:vAlign w:val="center"/>
          </w:tcPr>
          <w:p>
            <w:pPr>
              <w:keepNext w:val="0"/>
              <w:keepLines w:val="0"/>
              <w:widowControl/>
              <w:suppressLineNumbers w:val="0"/>
              <w:spacing w:before="0" w:beforeAutospacing="0" w:after="0" w:afterAutospacing="0"/>
              <w:ind w:left="0" w:right="0" w:firstLine="0" w:firstLineChars="0"/>
              <w:jc w:val="center"/>
              <w:rPr>
                <w:rFonts w:hint="default" w:eastAsia="仿宋"/>
                <w:sz w:val="21"/>
                <w:szCs w:val="21"/>
                <w:highlight w:val="none"/>
              </w:rPr>
            </w:pPr>
            <w:r>
              <w:rPr>
                <w:rFonts w:hint="eastAsia"/>
                <w:sz w:val="21"/>
                <w:szCs w:val="21"/>
                <w:highlight w:val="none"/>
              </w:rPr>
              <w:t>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115" w:type="pct"/>
            <w:vAlign w:val="center"/>
          </w:tcPr>
          <w:p>
            <w:pPr>
              <w:keepNext w:val="0"/>
              <w:keepLines w:val="0"/>
              <w:widowControl/>
              <w:suppressLineNumbers w:val="0"/>
              <w:spacing w:before="0" w:beforeAutospacing="0" w:after="0" w:afterAutospacing="0"/>
              <w:ind w:left="0" w:right="0" w:firstLine="0" w:firstLineChars="0"/>
              <w:jc w:val="center"/>
              <w:rPr>
                <w:rFonts w:hint="default" w:eastAsia="仿宋"/>
                <w:sz w:val="21"/>
                <w:szCs w:val="21"/>
                <w:highlight w:val="none"/>
              </w:rPr>
            </w:pPr>
            <w:r>
              <w:rPr>
                <w:rFonts w:hint="eastAsia"/>
                <w:sz w:val="21"/>
                <w:szCs w:val="21"/>
                <w:highlight w:val="none"/>
              </w:rPr>
              <w:t>图像质量</w:t>
            </w:r>
          </w:p>
        </w:tc>
        <w:tc>
          <w:tcPr>
            <w:tcW w:w="2884" w:type="pct"/>
            <w:vAlign w:val="center"/>
          </w:tcPr>
          <w:p>
            <w:pPr>
              <w:keepNext w:val="0"/>
              <w:keepLines w:val="0"/>
              <w:widowControl/>
              <w:suppressLineNumbers w:val="0"/>
              <w:spacing w:before="0" w:beforeAutospacing="0" w:after="0" w:afterAutospacing="0"/>
              <w:ind w:left="0" w:right="0" w:firstLine="0" w:firstLineChars="0"/>
              <w:jc w:val="center"/>
              <w:rPr>
                <w:rFonts w:hint="default"/>
                <w:sz w:val="21"/>
                <w:szCs w:val="21"/>
                <w:highlight w:val="none"/>
              </w:rPr>
            </w:pPr>
            <w:r>
              <w:rPr>
                <w:rFonts w:hint="eastAsia"/>
                <w:sz w:val="21"/>
                <w:szCs w:val="21"/>
                <w:highlight w:val="none"/>
              </w:rPr>
              <w:t>不低于1080P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115" w:type="pct"/>
            <w:vAlign w:val="center"/>
          </w:tcPr>
          <w:p>
            <w:pPr>
              <w:keepNext w:val="0"/>
              <w:keepLines w:val="0"/>
              <w:widowControl/>
              <w:suppressLineNumbers w:val="0"/>
              <w:spacing w:before="0" w:beforeAutospacing="0" w:after="0" w:afterAutospacing="0"/>
              <w:ind w:left="0" w:right="0" w:firstLine="0" w:firstLineChars="0"/>
              <w:jc w:val="center"/>
              <w:rPr>
                <w:rFonts w:hint="default" w:eastAsia="仿宋"/>
                <w:sz w:val="21"/>
                <w:szCs w:val="21"/>
                <w:highlight w:val="none"/>
              </w:rPr>
            </w:pPr>
            <w:r>
              <w:rPr>
                <w:rFonts w:hint="eastAsia"/>
                <w:sz w:val="21"/>
                <w:szCs w:val="21"/>
                <w:highlight w:val="none"/>
              </w:rPr>
              <w:t>图像帧率</w:t>
            </w:r>
          </w:p>
        </w:tc>
        <w:tc>
          <w:tcPr>
            <w:tcW w:w="2884" w:type="pct"/>
            <w:vAlign w:val="center"/>
          </w:tcPr>
          <w:p>
            <w:pPr>
              <w:keepNext w:val="0"/>
              <w:keepLines w:val="0"/>
              <w:widowControl/>
              <w:suppressLineNumbers w:val="0"/>
              <w:spacing w:before="0" w:beforeAutospacing="0" w:after="0" w:afterAutospacing="0"/>
              <w:ind w:left="0" w:right="0" w:firstLine="0" w:firstLineChars="0"/>
              <w:jc w:val="center"/>
              <w:rPr>
                <w:rFonts w:hint="default" w:eastAsia="仿宋"/>
                <w:sz w:val="21"/>
                <w:szCs w:val="21"/>
                <w:highlight w:val="none"/>
              </w:rPr>
            </w:pPr>
            <w:r>
              <w:rPr>
                <w:rFonts w:hint="eastAsia"/>
                <w:sz w:val="21"/>
                <w:szCs w:val="21"/>
                <w:highlight w:val="none"/>
              </w:rPr>
              <w:t>≥25帧/秒（5级）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115" w:type="pct"/>
            <w:vAlign w:val="center"/>
          </w:tcPr>
          <w:p>
            <w:pPr>
              <w:keepNext w:val="0"/>
              <w:keepLines w:val="0"/>
              <w:widowControl/>
              <w:suppressLineNumbers w:val="0"/>
              <w:spacing w:before="0" w:beforeAutospacing="0" w:after="0" w:afterAutospacing="0"/>
              <w:ind w:left="0" w:right="0" w:firstLine="0" w:firstLineChars="0"/>
              <w:jc w:val="center"/>
              <w:rPr>
                <w:rFonts w:hint="default" w:eastAsia="仿宋"/>
                <w:sz w:val="21"/>
                <w:szCs w:val="21"/>
                <w:highlight w:val="none"/>
              </w:rPr>
            </w:pPr>
            <w:r>
              <w:rPr>
                <w:rFonts w:hint="eastAsia"/>
                <w:sz w:val="21"/>
                <w:szCs w:val="21"/>
                <w:highlight w:val="none"/>
              </w:rPr>
              <w:t>图像在线率</w:t>
            </w:r>
          </w:p>
        </w:tc>
        <w:tc>
          <w:tcPr>
            <w:tcW w:w="2884" w:type="pct"/>
            <w:vAlign w:val="center"/>
          </w:tcPr>
          <w:p>
            <w:pPr>
              <w:keepNext w:val="0"/>
              <w:keepLines w:val="0"/>
              <w:widowControl/>
              <w:suppressLineNumbers w:val="0"/>
              <w:spacing w:before="0" w:beforeAutospacing="0" w:after="0" w:afterAutospacing="0"/>
              <w:ind w:left="0" w:right="0" w:firstLine="0" w:firstLineChars="0"/>
              <w:jc w:val="center"/>
              <w:rPr>
                <w:rFonts w:hint="default" w:eastAsia="仿宋"/>
                <w:sz w:val="21"/>
                <w:szCs w:val="21"/>
                <w:highlight w:val="none"/>
              </w:rPr>
            </w:pPr>
            <w:r>
              <w:rPr>
                <w:rFonts w:hint="eastAsia"/>
                <w:sz w:val="21"/>
                <w:szCs w:val="21"/>
                <w:highlight w:val="none"/>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115" w:type="pct"/>
            <w:vAlign w:val="center"/>
          </w:tcPr>
          <w:p>
            <w:pPr>
              <w:keepNext w:val="0"/>
              <w:keepLines w:val="0"/>
              <w:widowControl/>
              <w:suppressLineNumbers w:val="0"/>
              <w:spacing w:before="0" w:beforeAutospacing="0" w:after="0" w:afterAutospacing="0"/>
              <w:ind w:left="0" w:right="0" w:firstLine="0" w:firstLineChars="0"/>
              <w:jc w:val="center"/>
              <w:rPr>
                <w:rFonts w:hint="default" w:eastAsia="仿宋"/>
                <w:sz w:val="21"/>
                <w:szCs w:val="21"/>
                <w:highlight w:val="none"/>
              </w:rPr>
            </w:pPr>
            <w:r>
              <w:rPr>
                <w:rFonts w:hint="eastAsia"/>
                <w:sz w:val="21"/>
                <w:szCs w:val="21"/>
                <w:highlight w:val="none"/>
              </w:rPr>
              <w:t>在线图像完好率</w:t>
            </w:r>
          </w:p>
        </w:tc>
        <w:tc>
          <w:tcPr>
            <w:tcW w:w="2884" w:type="pct"/>
            <w:vAlign w:val="center"/>
          </w:tcPr>
          <w:p>
            <w:pPr>
              <w:keepNext w:val="0"/>
              <w:keepLines w:val="0"/>
              <w:widowControl/>
              <w:suppressLineNumbers w:val="0"/>
              <w:spacing w:before="0" w:beforeAutospacing="0" w:after="0" w:afterAutospacing="0"/>
              <w:ind w:left="0" w:right="0" w:firstLine="0" w:firstLineChars="0"/>
              <w:jc w:val="center"/>
              <w:rPr>
                <w:rFonts w:hint="default" w:eastAsia="仿宋"/>
                <w:sz w:val="21"/>
                <w:szCs w:val="21"/>
                <w:highlight w:val="none"/>
              </w:rPr>
            </w:pPr>
            <w:r>
              <w:rPr>
                <w:rFonts w:hint="eastAsia"/>
                <w:sz w:val="21"/>
                <w:szCs w:val="21"/>
                <w:highlight w:val="none"/>
              </w:rPr>
              <w:t>≥98%</w:t>
            </w:r>
          </w:p>
        </w:tc>
      </w:tr>
    </w:tbl>
    <w:p>
      <w:pPr>
        <w:numPr>
          <w:ilvl w:val="0"/>
          <w:numId w:val="6"/>
        </w:numPr>
        <w:ind w:firstLineChars="0"/>
        <w:rPr>
          <w:b/>
          <w:highlight w:val="none"/>
        </w:rPr>
      </w:pPr>
      <w:r>
        <w:rPr>
          <w:rFonts w:hint="eastAsia"/>
          <w:b/>
          <w:highlight w:val="none"/>
        </w:rPr>
        <w:t>采集标准</w:t>
      </w:r>
    </w:p>
    <w:p>
      <w:pPr>
        <w:ind w:firstLine="480"/>
        <w:rPr>
          <w:highlight w:val="none"/>
        </w:rPr>
      </w:pPr>
      <w:r>
        <w:rPr>
          <w:rFonts w:hint="eastAsia"/>
          <w:highlight w:val="none"/>
        </w:rPr>
        <w:t>数字视频编码必须符合H.264、H.265、SVAC2.0标准，传输协议需满足国家标准GB/T28181及其补充协议。</w:t>
      </w:r>
    </w:p>
    <w:p>
      <w:pPr>
        <w:numPr>
          <w:ilvl w:val="0"/>
          <w:numId w:val="7"/>
        </w:numPr>
        <w:ind w:left="0" w:firstLine="480"/>
        <w:rPr>
          <w:highlight w:val="none"/>
        </w:rPr>
      </w:pPr>
      <w:r>
        <w:rPr>
          <w:rFonts w:hint="eastAsia"/>
          <w:highlight w:val="none"/>
        </w:rPr>
        <w:t>采集的图像信息标准</w:t>
      </w:r>
    </w:p>
    <w:p>
      <w:pPr>
        <w:numPr>
          <w:ilvl w:val="0"/>
          <w:numId w:val="7"/>
        </w:numPr>
        <w:ind w:left="0" w:firstLine="480"/>
        <w:rPr>
          <w:highlight w:val="none"/>
        </w:rPr>
      </w:pPr>
      <w:r>
        <w:rPr>
          <w:rFonts w:hint="eastAsia"/>
          <w:highlight w:val="none"/>
        </w:rPr>
        <w:t>形成图像文件必须是标准的JPEG、TIFF、PNG，优先使用JPEG。</w:t>
      </w:r>
    </w:p>
    <w:p>
      <w:pPr>
        <w:numPr>
          <w:ilvl w:val="0"/>
          <w:numId w:val="7"/>
        </w:numPr>
        <w:ind w:left="0" w:firstLine="480"/>
        <w:rPr>
          <w:highlight w:val="none"/>
        </w:rPr>
      </w:pPr>
      <w:r>
        <w:rPr>
          <w:rFonts w:hint="eastAsia"/>
          <w:highlight w:val="none"/>
        </w:rPr>
        <w:t>面向通用的图像码流采集</w:t>
      </w:r>
    </w:p>
    <w:p>
      <w:pPr>
        <w:pStyle w:val="5"/>
        <w:rPr>
          <w:highlight w:val="none"/>
        </w:rPr>
      </w:pPr>
      <w:bookmarkStart w:id="491" w:name="_Toc5004"/>
      <w:bookmarkStart w:id="492" w:name="_Toc24019"/>
      <w:bookmarkStart w:id="493" w:name="_Toc25801"/>
      <w:bookmarkStart w:id="494" w:name="_Toc15330"/>
      <w:r>
        <w:rPr>
          <w:rFonts w:hint="eastAsia"/>
          <w:highlight w:val="none"/>
        </w:rPr>
        <w:t>前端布点</w:t>
      </w:r>
      <w:bookmarkEnd w:id="491"/>
      <w:r>
        <w:rPr>
          <w:rFonts w:hint="eastAsia"/>
          <w:highlight w:val="none"/>
          <w:lang w:val="en-US" w:eastAsia="zh-CN"/>
        </w:rPr>
        <w:t>规划</w:t>
      </w:r>
      <w:bookmarkEnd w:id="492"/>
      <w:bookmarkEnd w:id="493"/>
      <w:bookmarkEnd w:id="494"/>
    </w:p>
    <w:p>
      <w:pPr>
        <w:ind w:firstLine="480"/>
        <w:rPr>
          <w:highlight w:val="none"/>
        </w:rPr>
      </w:pPr>
      <w:r>
        <w:rPr>
          <w:rFonts w:hint="eastAsia"/>
          <w:highlight w:val="none"/>
        </w:rPr>
        <w:t>前端监控设备其主要完成的功能是采集监控区域图像视频信号，并将采集到的图像信息通过网络传输到监控调度中心。</w:t>
      </w:r>
    </w:p>
    <w:p>
      <w:pPr>
        <w:ind w:firstLine="480"/>
        <w:rPr>
          <w:highlight w:val="none"/>
        </w:rPr>
      </w:pPr>
      <w:r>
        <w:rPr>
          <w:rFonts w:hint="eastAsia"/>
          <w:highlight w:val="none"/>
        </w:rPr>
        <w:t>本期根据前端监控点的具体位置、不同应用和光照等情况，选用不同类型的摄像机。</w:t>
      </w:r>
    </w:p>
    <w:p>
      <w:pPr>
        <w:ind w:firstLine="482"/>
        <w:rPr>
          <w:b/>
          <w:bCs/>
          <w:highlight w:val="none"/>
        </w:rPr>
      </w:pPr>
      <w:r>
        <w:rPr>
          <w:rFonts w:hint="eastAsia"/>
          <w:b/>
          <w:bCs/>
          <w:highlight w:val="none"/>
        </w:rPr>
        <w:t>一、服务中心前端摄像机配置如下：</w:t>
      </w:r>
    </w:p>
    <w:p>
      <w:pPr>
        <w:keepNext/>
        <w:ind w:firstLine="0" w:firstLineChars="0"/>
        <w:jc w:val="center"/>
        <w:rPr>
          <w:rFonts w:ascii="黑体" w:hAnsi="黑体" w:eastAsia="黑体" w:cs="黑体"/>
          <w:sz w:val="21"/>
          <w:szCs w:val="20"/>
          <w:highlight w:val="none"/>
        </w:rPr>
      </w:pPr>
      <w:r>
        <w:rPr>
          <w:rFonts w:hint="eastAsia" w:ascii="黑体" w:hAnsi="黑体" w:eastAsia="黑体" w:cs="黑体"/>
          <w:sz w:val="21"/>
          <w:szCs w:val="20"/>
          <w:highlight w:val="none"/>
          <w:lang w:val="en-US" w:eastAsia="zh-CN"/>
        </w:rPr>
        <w:t xml:space="preserve"> </w:t>
      </w:r>
      <w:r>
        <w:rPr>
          <w:rFonts w:hint="eastAsia" w:ascii="黑体" w:hAnsi="黑体" w:eastAsia="黑体" w:cs="黑体"/>
          <w:sz w:val="21"/>
          <w:szCs w:val="20"/>
          <w:highlight w:val="none"/>
        </w:rPr>
        <w:t xml:space="preserve">表 </w:t>
      </w:r>
      <w:r>
        <w:rPr>
          <w:rFonts w:hint="eastAsia" w:ascii="黑体" w:hAnsi="黑体" w:eastAsia="黑体" w:cs="黑体"/>
          <w:sz w:val="21"/>
          <w:szCs w:val="20"/>
          <w:highlight w:val="none"/>
          <w:lang w:val="en-US" w:eastAsia="zh-CN"/>
        </w:rPr>
        <w:t>2.4</w:t>
      </w:r>
      <w:r>
        <w:rPr>
          <w:rFonts w:hint="eastAsia" w:ascii="黑体" w:hAnsi="黑体" w:eastAsia="黑体" w:cs="黑体"/>
          <w:sz w:val="21"/>
          <w:szCs w:val="20"/>
          <w:highlight w:val="none"/>
        </w:rPr>
        <w:noBreakHyphen/>
      </w:r>
      <w:r>
        <w:rPr>
          <w:rFonts w:hint="eastAsia" w:ascii="黑体" w:hAnsi="黑体" w:eastAsia="黑体" w:cs="黑体"/>
          <w:sz w:val="21"/>
          <w:szCs w:val="20"/>
          <w:highlight w:val="none"/>
        </w:rPr>
        <w:fldChar w:fldCharType="begin"/>
      </w:r>
      <w:r>
        <w:rPr>
          <w:rFonts w:hint="eastAsia" w:ascii="黑体" w:hAnsi="黑体" w:eastAsia="黑体" w:cs="黑体"/>
          <w:sz w:val="21"/>
          <w:szCs w:val="20"/>
          <w:highlight w:val="none"/>
        </w:rPr>
        <w:instrText xml:space="preserve"> SEQ 表 \* ARABIC \s 2 </w:instrText>
      </w:r>
      <w:r>
        <w:rPr>
          <w:rFonts w:hint="eastAsia" w:ascii="黑体" w:hAnsi="黑体" w:eastAsia="黑体" w:cs="黑体"/>
          <w:sz w:val="21"/>
          <w:szCs w:val="20"/>
          <w:highlight w:val="none"/>
        </w:rPr>
        <w:fldChar w:fldCharType="separate"/>
      </w:r>
      <w:r>
        <w:rPr>
          <w:rFonts w:ascii="黑体" w:hAnsi="黑体" w:eastAsia="黑体" w:cs="黑体"/>
          <w:sz w:val="21"/>
          <w:szCs w:val="20"/>
          <w:highlight w:val="none"/>
        </w:rPr>
        <w:t>3</w:t>
      </w:r>
      <w:r>
        <w:rPr>
          <w:rFonts w:hint="eastAsia" w:ascii="黑体" w:hAnsi="黑体" w:eastAsia="黑体" w:cs="黑体"/>
          <w:sz w:val="21"/>
          <w:szCs w:val="20"/>
          <w:highlight w:val="none"/>
        </w:rPr>
        <w:fldChar w:fldCharType="end"/>
      </w:r>
      <w:r>
        <w:rPr>
          <w:rFonts w:hint="eastAsia" w:ascii="黑体" w:hAnsi="黑体" w:eastAsia="黑体" w:cs="黑体"/>
          <w:sz w:val="21"/>
          <w:szCs w:val="20"/>
          <w:highlight w:val="none"/>
        </w:rPr>
        <w:t>前端摄像机配置</w:t>
      </w:r>
    </w:p>
    <w:tbl>
      <w:tblPr>
        <w:tblStyle w:val="28"/>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65"/>
        <w:gridCol w:w="1068"/>
        <w:gridCol w:w="1954"/>
        <w:gridCol w:w="2255"/>
        <w:gridCol w:w="1469"/>
        <w:gridCol w:w="14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 w:hRule="atLeast"/>
          <w:tblHeader/>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楼层</w:t>
            </w:r>
          </w:p>
        </w:tc>
        <w:tc>
          <w:tcPr>
            <w:tcW w:w="22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区域</w:t>
            </w:r>
          </w:p>
        </w:tc>
        <w:tc>
          <w:tcPr>
            <w:tcW w:w="7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公共区域半球型监控</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业务半球型监控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前台窗口</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服务大厅</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走廊</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业务用房3</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业务用房4</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业务用房5</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其他24小时自助</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公安24小时自助</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公安24小时自助</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酒店式办公入口大堂及梯间</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市民服务中心大堂</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工建民生综合</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前台窗口</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工建民生综合</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电子自助机</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工建民生综合</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工建民生综合</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工建民生综合</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业务用房3</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前台窗口</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调解室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刻章工坊</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一层弱电机房及梯间</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一层左下角电梯厅</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养犬登记服务</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户籍窗口</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户籍后台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户籍业务用房1</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户籍业务用房2</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原吸烟区</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出入境窗口</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出入境业务用房1</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出入境业务用房2</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出入境公安自助专区</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出入境业务用房3</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出入境临时档案室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出入境咨询室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出入境接待室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出入境业务用房4</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出入境操作室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出入境证件房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出入境储物房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导办台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窗口</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公用会议室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小会议室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物业管理</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二层机房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市民服务中心大堂</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楼梯间、电井</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厕所、母婴室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窗口</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导办台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自助区</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社保后台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业务用房3</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养老业务用房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医保后台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资料</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窗口</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窗口后台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归集及提取业务房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资料室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综合业务室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受理科</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协调区</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窗口</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导办台及自助区</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税务后台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前置扫描室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咨询、值班、办文</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缮证室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产权证、档案</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窗口</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窗口后台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征纳互动云会客</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导税台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自助终端服务</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发票房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线上办税区</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集约中心</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调解室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业务用房3</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票证房及走廊</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机房、梯间、走廊</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公积金</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档案室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业务培训室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接待室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党建活动室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储物间</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社保</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党员活动室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大堂导办</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大堂导办后房间</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资料整理</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产权档案</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登记二科</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业务科室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小会议室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内审</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信访协调</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登记一科</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综合科</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业务用房3</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业务用房4</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党务</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档案阅览室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档案室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密室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党员活动室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业务用房3</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业务用房4</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政务服务</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业务用房5</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业务用房6</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业务用房7</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业务用房8</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数据与信息管理</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行政服务中心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信息中心</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女更衣室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男更衣室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行政复议</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小会议室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行政复议</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听证</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行政复议</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市场监督管理局</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储藏室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不动产</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储藏室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公用会议室1</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公用会议室2</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多功能室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小会议室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大会议室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经营业务用房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演播室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化妆间</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全媒体业务用房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新闻发布厅</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电梯厅</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接待室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业务用房1</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业务用房2</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综合业务用房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档案室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直播室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171</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导播室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录音室1</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录音室2</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174</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播控室</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技术业务用房</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176</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设备仓库</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177</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9层</w:t>
            </w: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融媒中心</w:t>
            </w: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178</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0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179</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宋体" w:hAnsi="宋体" w:eastAsia="宋体" w:cs="宋体"/>
                <w:i w:val="0"/>
                <w:iCs w:val="0"/>
                <w:color w:val="000000"/>
                <w:sz w:val="21"/>
                <w:szCs w:val="21"/>
                <w:u w:val="none"/>
              </w:rPr>
            </w:pPr>
          </w:p>
        </w:tc>
        <w:tc>
          <w:tcPr>
            <w:tcW w:w="226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小计</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33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70</w:t>
            </w:r>
          </w:p>
        </w:tc>
      </w:tr>
    </w:tbl>
    <w:p>
      <w:pPr>
        <w:ind w:firstLine="480"/>
        <w:rPr>
          <w:highlight w:val="none"/>
        </w:rPr>
      </w:pPr>
    </w:p>
    <w:p>
      <w:pPr>
        <w:keepNext/>
        <w:ind w:firstLine="0" w:firstLineChars="0"/>
        <w:jc w:val="center"/>
        <w:rPr>
          <w:rFonts w:ascii="黑体" w:hAnsi="黑体" w:eastAsia="黑体" w:cs="黑体"/>
          <w:sz w:val="21"/>
          <w:szCs w:val="20"/>
          <w:highlight w:val="none"/>
        </w:rPr>
      </w:pPr>
      <w:r>
        <w:rPr>
          <w:rFonts w:hint="eastAsia" w:ascii="黑体" w:hAnsi="黑体" w:eastAsia="黑体" w:cs="黑体"/>
          <w:sz w:val="21"/>
          <w:szCs w:val="20"/>
          <w:highlight w:val="none"/>
        </w:rPr>
        <w:t>表</w:t>
      </w:r>
      <w:r>
        <w:rPr>
          <w:rFonts w:hint="eastAsia" w:ascii="黑体" w:hAnsi="黑体" w:eastAsia="黑体" w:cs="黑体"/>
          <w:sz w:val="21"/>
          <w:szCs w:val="20"/>
          <w:highlight w:val="none"/>
          <w:lang w:val="en-US" w:eastAsia="zh-CN"/>
        </w:rPr>
        <w:t>2.4</w:t>
      </w:r>
      <w:r>
        <w:rPr>
          <w:rFonts w:hint="eastAsia" w:ascii="黑体" w:hAnsi="黑体" w:eastAsia="黑体" w:cs="黑体"/>
          <w:sz w:val="21"/>
          <w:szCs w:val="20"/>
          <w:highlight w:val="none"/>
        </w:rPr>
        <w:noBreakHyphen/>
      </w:r>
      <w:r>
        <w:rPr>
          <w:rFonts w:hint="eastAsia" w:ascii="黑体" w:hAnsi="黑体" w:eastAsia="黑体" w:cs="黑体"/>
          <w:sz w:val="21"/>
          <w:szCs w:val="20"/>
          <w:highlight w:val="none"/>
          <w:lang w:val="en-US" w:eastAsia="zh-CN"/>
        </w:rPr>
        <w:t>4</w:t>
      </w:r>
      <w:r>
        <w:rPr>
          <w:rFonts w:hint="eastAsia" w:ascii="黑体" w:hAnsi="黑体" w:eastAsia="黑体" w:cs="黑体"/>
          <w:sz w:val="21"/>
          <w:szCs w:val="20"/>
          <w:highlight w:val="none"/>
        </w:rPr>
        <w:t>市服务中心前端摄像机配置汇总表</w:t>
      </w:r>
    </w:p>
    <w:tbl>
      <w:tblPr>
        <w:tblStyle w:val="28"/>
        <w:tblW w:w="4997" w:type="pct"/>
        <w:tblInd w:w="0" w:type="dxa"/>
        <w:tblLayout w:type="autofit"/>
        <w:tblCellMar>
          <w:top w:w="0" w:type="dxa"/>
          <w:left w:w="108" w:type="dxa"/>
          <w:bottom w:w="0" w:type="dxa"/>
          <w:right w:w="108" w:type="dxa"/>
        </w:tblCellMar>
      </w:tblPr>
      <w:tblGrid>
        <w:gridCol w:w="898"/>
        <w:gridCol w:w="2121"/>
        <w:gridCol w:w="3391"/>
        <w:gridCol w:w="1803"/>
        <w:gridCol w:w="1070"/>
      </w:tblGrid>
      <w:tr>
        <w:tblPrEx>
          <w:tblCellMar>
            <w:top w:w="0" w:type="dxa"/>
            <w:left w:w="108" w:type="dxa"/>
            <w:bottom w:w="0" w:type="dxa"/>
            <w:right w:w="108" w:type="dxa"/>
          </w:tblCellMar>
        </w:tblPrEx>
        <w:trPr>
          <w:trHeight w:val="270" w:hRule="atLeast"/>
        </w:trPr>
        <w:tc>
          <w:tcPr>
            <w:tcW w:w="484" w:type="pct"/>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color w:val="000000"/>
                <w:kern w:val="0"/>
                <w:szCs w:val="24"/>
                <w:highlight w:val="none"/>
                <w:lang w:bidi="ar"/>
              </w:rPr>
            </w:pPr>
            <w:r>
              <w:rPr>
                <w:rFonts w:hint="eastAsia"/>
                <w:b/>
                <w:bCs/>
                <w:color w:val="000000"/>
                <w:kern w:val="0"/>
                <w:szCs w:val="24"/>
                <w:highlight w:val="none"/>
                <w:lang w:bidi="ar"/>
              </w:rPr>
              <w:t>序号</w:t>
            </w:r>
          </w:p>
        </w:tc>
        <w:tc>
          <w:tcPr>
            <w:tcW w:w="1142" w:type="pct"/>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color w:val="000000"/>
                <w:kern w:val="0"/>
                <w:szCs w:val="24"/>
                <w:highlight w:val="none"/>
                <w:lang w:bidi="ar"/>
              </w:rPr>
            </w:pPr>
            <w:r>
              <w:rPr>
                <w:rFonts w:hint="eastAsia"/>
                <w:b/>
                <w:bCs/>
                <w:color w:val="000000"/>
                <w:kern w:val="0"/>
                <w:szCs w:val="24"/>
                <w:highlight w:val="none"/>
                <w:lang w:bidi="ar"/>
              </w:rPr>
              <w:t>摄像机类型</w:t>
            </w:r>
          </w:p>
        </w:tc>
        <w:tc>
          <w:tcPr>
            <w:tcW w:w="1826" w:type="pct"/>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color w:val="000000"/>
                <w:kern w:val="0"/>
                <w:szCs w:val="24"/>
                <w:highlight w:val="none"/>
                <w:lang w:bidi="ar"/>
              </w:rPr>
            </w:pPr>
            <w:r>
              <w:rPr>
                <w:rFonts w:hint="eastAsia"/>
                <w:b/>
                <w:bCs/>
                <w:color w:val="000000"/>
                <w:kern w:val="0"/>
                <w:szCs w:val="24"/>
                <w:highlight w:val="none"/>
                <w:lang w:bidi="ar"/>
              </w:rPr>
              <w:t>大厅对应位置</w:t>
            </w:r>
          </w:p>
        </w:tc>
        <w:tc>
          <w:tcPr>
            <w:tcW w:w="970" w:type="pct"/>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color w:val="000000"/>
                <w:kern w:val="0"/>
                <w:szCs w:val="24"/>
                <w:highlight w:val="none"/>
                <w:lang w:bidi="ar"/>
              </w:rPr>
            </w:pPr>
            <w:r>
              <w:rPr>
                <w:rFonts w:hint="eastAsia"/>
                <w:b/>
                <w:bCs/>
                <w:color w:val="000000"/>
                <w:kern w:val="0"/>
                <w:szCs w:val="24"/>
                <w:highlight w:val="none"/>
                <w:lang w:bidi="ar"/>
              </w:rPr>
              <w:t>供电方式</w:t>
            </w:r>
          </w:p>
        </w:tc>
        <w:tc>
          <w:tcPr>
            <w:tcW w:w="576" w:type="pct"/>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color w:val="000000"/>
                <w:kern w:val="0"/>
                <w:szCs w:val="24"/>
                <w:highlight w:val="none"/>
                <w:lang w:bidi="ar"/>
              </w:rPr>
            </w:pPr>
            <w:r>
              <w:rPr>
                <w:rFonts w:hint="eastAsia"/>
                <w:b/>
                <w:bCs/>
                <w:color w:val="000000"/>
                <w:kern w:val="0"/>
                <w:szCs w:val="24"/>
                <w:highlight w:val="none"/>
                <w:lang w:bidi="ar"/>
              </w:rPr>
              <w:t>数量</w:t>
            </w:r>
          </w:p>
        </w:tc>
      </w:tr>
      <w:tr>
        <w:tblPrEx>
          <w:tblCellMar>
            <w:top w:w="0" w:type="dxa"/>
            <w:left w:w="108" w:type="dxa"/>
            <w:bottom w:w="0" w:type="dxa"/>
            <w:right w:w="108" w:type="dxa"/>
          </w:tblCellMar>
        </w:tblPrEx>
        <w:trPr>
          <w:trHeight w:val="270" w:hRule="atLeast"/>
        </w:trPr>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eastAsia" w:eastAsia="宋体"/>
                <w:color w:val="000000"/>
                <w:kern w:val="0"/>
                <w:szCs w:val="24"/>
                <w:highlight w:val="none"/>
                <w:lang w:eastAsia="zh-CN" w:bidi="ar"/>
              </w:rPr>
            </w:pPr>
            <w:r>
              <w:rPr>
                <w:rFonts w:hint="eastAsia"/>
                <w:color w:val="000000"/>
                <w:kern w:val="0"/>
                <w:szCs w:val="24"/>
                <w:highlight w:val="none"/>
                <w:lang w:val="en-US" w:eastAsia="zh-CN" w:bidi="ar"/>
              </w:rPr>
              <w:t>1</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olor w:val="000000"/>
                <w:kern w:val="0"/>
                <w:szCs w:val="24"/>
                <w:highlight w:val="none"/>
                <w:lang w:bidi="ar"/>
              </w:rPr>
            </w:pPr>
            <w:r>
              <w:rPr>
                <w:rFonts w:hint="eastAsia"/>
                <w:color w:val="000000"/>
                <w:kern w:val="0"/>
                <w:szCs w:val="24"/>
                <w:highlight w:val="none"/>
                <w:lang w:bidi="ar"/>
              </w:rPr>
              <w:t>变焦半球型网络摄像机</w:t>
            </w:r>
          </w:p>
        </w:tc>
        <w:tc>
          <w:tcPr>
            <w:tcW w:w="182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olor w:val="000000"/>
                <w:kern w:val="0"/>
                <w:szCs w:val="24"/>
                <w:highlight w:val="none"/>
                <w:lang w:val="en-US" w:eastAsia="zh-CN" w:bidi="ar"/>
              </w:rPr>
            </w:pPr>
            <w:r>
              <w:rPr>
                <w:rFonts w:hint="eastAsia"/>
                <w:color w:val="000000"/>
                <w:kern w:val="0"/>
                <w:szCs w:val="24"/>
                <w:highlight w:val="none"/>
                <w:lang w:bidi="ar"/>
              </w:rPr>
              <w:t>窗口区、</w:t>
            </w:r>
            <w:r>
              <w:rPr>
                <w:rFonts w:hint="eastAsia"/>
                <w:color w:val="000000"/>
                <w:kern w:val="0"/>
                <w:szCs w:val="24"/>
                <w:highlight w:val="none"/>
                <w:lang w:val="en-US" w:eastAsia="zh-CN" w:bidi="ar"/>
              </w:rPr>
              <w:t>听证室</w:t>
            </w:r>
            <w:r>
              <w:rPr>
                <w:rFonts w:hint="eastAsia"/>
                <w:color w:val="000000"/>
                <w:kern w:val="0"/>
                <w:szCs w:val="24"/>
                <w:highlight w:val="none"/>
                <w:lang w:bidi="ar"/>
              </w:rPr>
              <w:t>、调解室</w:t>
            </w:r>
            <w:r>
              <w:rPr>
                <w:rFonts w:hint="eastAsia"/>
                <w:color w:val="000000"/>
                <w:kern w:val="0"/>
                <w:szCs w:val="24"/>
                <w:highlight w:val="none"/>
                <w:lang w:eastAsia="zh-CN" w:bidi="ar"/>
              </w:rPr>
              <w:t>、</w:t>
            </w:r>
            <w:r>
              <w:rPr>
                <w:rFonts w:hint="eastAsia"/>
                <w:color w:val="000000"/>
                <w:kern w:val="0"/>
                <w:szCs w:val="24"/>
                <w:highlight w:val="none"/>
                <w:lang w:val="en-US" w:eastAsia="zh-CN" w:bidi="ar"/>
              </w:rPr>
              <w:t>问询室等</w:t>
            </w: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olor w:val="000000"/>
                <w:kern w:val="0"/>
                <w:szCs w:val="24"/>
                <w:highlight w:val="none"/>
                <w:lang w:bidi="ar"/>
              </w:rPr>
            </w:pPr>
            <w:r>
              <w:rPr>
                <w:rFonts w:hint="eastAsia"/>
                <w:color w:val="000000"/>
                <w:kern w:val="0"/>
                <w:szCs w:val="24"/>
                <w:highlight w:val="none"/>
                <w:lang w:bidi="ar"/>
              </w:rPr>
              <w:t>POE供电</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eastAsia="宋体"/>
                <w:color w:val="000000"/>
                <w:kern w:val="0"/>
                <w:szCs w:val="24"/>
                <w:highlight w:val="none"/>
                <w:lang w:val="en-US" w:eastAsia="zh-CN" w:bidi="ar"/>
              </w:rPr>
            </w:pPr>
            <w:r>
              <w:rPr>
                <w:rFonts w:hint="eastAsia"/>
                <w:color w:val="000000"/>
                <w:kern w:val="0"/>
                <w:szCs w:val="24"/>
                <w:highlight w:val="none"/>
                <w:lang w:val="en-US" w:eastAsia="zh-CN" w:bidi="ar"/>
              </w:rPr>
              <w:t>33</w:t>
            </w:r>
          </w:p>
        </w:tc>
      </w:tr>
      <w:tr>
        <w:tblPrEx>
          <w:tblCellMar>
            <w:top w:w="0" w:type="dxa"/>
            <w:left w:w="108" w:type="dxa"/>
            <w:bottom w:w="0" w:type="dxa"/>
            <w:right w:w="108" w:type="dxa"/>
          </w:tblCellMar>
        </w:tblPrEx>
        <w:trPr>
          <w:trHeight w:val="270" w:hRule="atLeast"/>
        </w:trPr>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eastAsia" w:eastAsia="宋体"/>
                <w:color w:val="000000"/>
                <w:kern w:val="0"/>
                <w:szCs w:val="24"/>
                <w:highlight w:val="none"/>
                <w:lang w:eastAsia="zh-CN" w:bidi="ar"/>
              </w:rPr>
            </w:pPr>
            <w:r>
              <w:rPr>
                <w:rFonts w:hint="eastAsia"/>
                <w:color w:val="000000"/>
                <w:kern w:val="0"/>
                <w:szCs w:val="24"/>
                <w:highlight w:val="none"/>
                <w:lang w:val="en-US" w:eastAsia="zh-CN" w:bidi="ar"/>
              </w:rPr>
              <w:t>2</w:t>
            </w:r>
          </w:p>
        </w:tc>
        <w:tc>
          <w:tcPr>
            <w:tcW w:w="11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olor w:val="000000"/>
                <w:kern w:val="0"/>
                <w:szCs w:val="24"/>
                <w:highlight w:val="none"/>
                <w:lang w:bidi="ar"/>
              </w:rPr>
            </w:pPr>
            <w:r>
              <w:rPr>
                <w:rFonts w:hint="eastAsia"/>
                <w:color w:val="000000"/>
                <w:kern w:val="0"/>
                <w:szCs w:val="24"/>
                <w:highlight w:val="none"/>
                <w:lang w:bidi="ar"/>
              </w:rPr>
              <w:t>半球型网络摄像机</w:t>
            </w:r>
          </w:p>
        </w:tc>
        <w:tc>
          <w:tcPr>
            <w:tcW w:w="182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olor w:val="000000"/>
                <w:kern w:val="0"/>
                <w:szCs w:val="24"/>
                <w:highlight w:val="none"/>
                <w:lang w:val="en-US" w:bidi="ar"/>
              </w:rPr>
            </w:pPr>
            <w:r>
              <w:rPr>
                <w:rFonts w:hint="eastAsia"/>
                <w:color w:val="000000"/>
                <w:kern w:val="0"/>
                <w:szCs w:val="24"/>
                <w:highlight w:val="none"/>
                <w:lang w:val="en-US" w:eastAsia="zh-CN" w:bidi="ar"/>
              </w:rPr>
              <w:t>机房、走廊、档案室等</w:t>
            </w: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olor w:val="000000"/>
                <w:kern w:val="0"/>
                <w:szCs w:val="24"/>
                <w:highlight w:val="none"/>
                <w:lang w:bidi="ar"/>
              </w:rPr>
            </w:pPr>
            <w:r>
              <w:rPr>
                <w:rFonts w:hint="eastAsia"/>
                <w:color w:val="000000"/>
                <w:kern w:val="0"/>
                <w:szCs w:val="24"/>
                <w:highlight w:val="none"/>
                <w:lang w:bidi="ar"/>
              </w:rPr>
              <w:t>POE供电</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eastAsia="宋体"/>
                <w:color w:val="000000"/>
                <w:kern w:val="0"/>
                <w:szCs w:val="24"/>
                <w:highlight w:val="none"/>
                <w:lang w:val="en-US" w:eastAsia="zh-CN" w:bidi="ar"/>
              </w:rPr>
            </w:pPr>
            <w:r>
              <w:rPr>
                <w:rFonts w:hint="eastAsia"/>
                <w:color w:val="000000"/>
                <w:kern w:val="0"/>
                <w:szCs w:val="24"/>
                <w:highlight w:val="none"/>
                <w:lang w:val="en-US" w:eastAsia="zh-CN" w:bidi="ar"/>
              </w:rPr>
              <w:t>70</w:t>
            </w:r>
          </w:p>
        </w:tc>
      </w:tr>
      <w:tr>
        <w:tblPrEx>
          <w:tblCellMar>
            <w:top w:w="0" w:type="dxa"/>
            <w:left w:w="108" w:type="dxa"/>
            <w:bottom w:w="0" w:type="dxa"/>
            <w:right w:w="108" w:type="dxa"/>
          </w:tblCellMar>
        </w:tblPrEx>
        <w:trPr>
          <w:trHeight w:val="300" w:hRule="atLeast"/>
        </w:trPr>
        <w:tc>
          <w:tcPr>
            <w:tcW w:w="442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b/>
                <w:bCs/>
                <w:color w:val="000000"/>
                <w:szCs w:val="24"/>
                <w:highlight w:val="none"/>
              </w:rPr>
            </w:pPr>
            <w:r>
              <w:rPr>
                <w:rFonts w:hint="eastAsia"/>
                <w:b/>
                <w:bCs/>
                <w:color w:val="000000"/>
                <w:kern w:val="0"/>
                <w:szCs w:val="24"/>
                <w:highlight w:val="none"/>
                <w:lang w:bidi="ar"/>
              </w:rPr>
              <w:t>合计</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eastAsia="宋体"/>
                <w:b/>
                <w:bCs/>
                <w:color w:val="000000"/>
                <w:szCs w:val="24"/>
                <w:highlight w:val="none"/>
                <w:lang w:val="en-US" w:eastAsia="zh-CN"/>
              </w:rPr>
            </w:pPr>
            <w:r>
              <w:rPr>
                <w:rFonts w:hint="eastAsia"/>
                <w:b/>
                <w:bCs/>
                <w:color w:val="000000"/>
                <w:kern w:val="0"/>
                <w:szCs w:val="24"/>
                <w:highlight w:val="none"/>
                <w:lang w:val="en-US" w:eastAsia="zh-CN" w:bidi="ar"/>
              </w:rPr>
              <w:t>103</w:t>
            </w:r>
          </w:p>
        </w:tc>
      </w:tr>
    </w:tbl>
    <w:p>
      <w:pPr>
        <w:pStyle w:val="14"/>
        <w:rPr>
          <w:highlight w:val="none"/>
        </w:rPr>
      </w:pPr>
    </w:p>
    <w:p>
      <w:pPr>
        <w:pStyle w:val="5"/>
        <w:rPr>
          <w:highlight w:val="none"/>
        </w:rPr>
      </w:pPr>
      <w:bookmarkStart w:id="495" w:name="_Toc32280"/>
      <w:bookmarkStart w:id="496" w:name="_Toc21533"/>
      <w:bookmarkStart w:id="497" w:name="_Toc20732"/>
      <w:bookmarkStart w:id="498" w:name="_Toc27693"/>
      <w:r>
        <w:rPr>
          <w:rFonts w:hint="eastAsia"/>
          <w:highlight w:val="none"/>
        </w:rPr>
        <w:t>视频存储</w:t>
      </w:r>
      <w:bookmarkEnd w:id="495"/>
      <w:r>
        <w:rPr>
          <w:rFonts w:hint="eastAsia"/>
          <w:highlight w:val="none"/>
          <w:lang w:val="en-US" w:eastAsia="zh-CN"/>
        </w:rPr>
        <w:t>规划</w:t>
      </w:r>
      <w:bookmarkEnd w:id="496"/>
      <w:bookmarkEnd w:id="497"/>
      <w:bookmarkEnd w:id="498"/>
    </w:p>
    <w:p>
      <w:pPr>
        <w:pStyle w:val="6"/>
        <w:tabs>
          <w:tab w:val="left" w:pos="0"/>
        </w:tabs>
        <w:rPr>
          <w:highlight w:val="none"/>
        </w:rPr>
      </w:pPr>
      <w:r>
        <w:rPr>
          <w:rFonts w:hint="eastAsia"/>
          <w:highlight w:val="none"/>
        </w:rPr>
        <w:t>存储需求</w:t>
      </w:r>
    </w:p>
    <w:p>
      <w:pPr>
        <w:ind w:firstLine="480"/>
        <w:rPr>
          <w:highlight w:val="none"/>
        </w:rPr>
      </w:pPr>
      <w:r>
        <w:rPr>
          <w:rFonts w:hint="eastAsia"/>
          <w:highlight w:val="none"/>
        </w:rPr>
        <w:t>本期视频存储系统负责将前端采集的视频、录音文件进行汇聚存储，本期新建普通视频监控点位</w:t>
      </w:r>
      <w:r>
        <w:rPr>
          <w:rFonts w:hint="eastAsia"/>
          <w:highlight w:val="none"/>
          <w:lang w:val="en-US" w:eastAsia="zh-CN"/>
        </w:rPr>
        <w:t>100</w:t>
      </w:r>
      <w:r>
        <w:rPr>
          <w:rFonts w:hint="eastAsia"/>
          <w:highlight w:val="none"/>
        </w:rPr>
        <w:t>个(存储时长45天)，</w:t>
      </w:r>
      <w:r>
        <w:rPr>
          <w:rFonts w:hint="eastAsia"/>
          <w:highlight w:val="none"/>
          <w:lang w:val="en-US" w:eastAsia="zh-CN"/>
        </w:rPr>
        <w:t>档案室与档案阅览室</w:t>
      </w:r>
      <w:r>
        <w:rPr>
          <w:rFonts w:hint="eastAsia"/>
          <w:highlight w:val="none"/>
        </w:rPr>
        <w:t>监控点位</w:t>
      </w:r>
      <w:r>
        <w:rPr>
          <w:rFonts w:hint="eastAsia"/>
          <w:highlight w:val="none"/>
          <w:lang w:val="en-US" w:eastAsia="zh-CN"/>
        </w:rPr>
        <w:t>3</w:t>
      </w:r>
      <w:r>
        <w:rPr>
          <w:rFonts w:hint="eastAsia"/>
          <w:highlight w:val="none"/>
        </w:rPr>
        <w:t>个(存储时长</w:t>
      </w:r>
      <w:r>
        <w:rPr>
          <w:rFonts w:hint="eastAsia"/>
          <w:highlight w:val="none"/>
          <w:lang w:val="en-US" w:eastAsia="zh-CN"/>
        </w:rPr>
        <w:t>180</w:t>
      </w:r>
      <w:r>
        <w:rPr>
          <w:rFonts w:hint="eastAsia"/>
          <w:highlight w:val="none"/>
        </w:rPr>
        <w:t>天)，合计监控点位共</w:t>
      </w:r>
      <w:r>
        <w:rPr>
          <w:rFonts w:hint="eastAsia"/>
          <w:highlight w:val="none"/>
          <w:lang w:val="en-US" w:eastAsia="zh-CN"/>
        </w:rPr>
        <w:t>103</w:t>
      </w:r>
      <w:r>
        <w:rPr>
          <w:rFonts w:hint="eastAsia"/>
          <w:highlight w:val="none"/>
        </w:rPr>
        <w:t>个。</w:t>
      </w:r>
    </w:p>
    <w:p>
      <w:pPr>
        <w:pStyle w:val="5"/>
        <w:rPr>
          <w:highlight w:val="none"/>
        </w:rPr>
      </w:pPr>
      <w:bookmarkStart w:id="499" w:name="_Toc25624"/>
      <w:bookmarkStart w:id="500" w:name="_Toc3745"/>
      <w:bookmarkStart w:id="501" w:name="_Toc9418"/>
      <w:bookmarkStart w:id="502" w:name="_Toc29608"/>
      <w:r>
        <w:rPr>
          <w:rFonts w:hint="eastAsia"/>
          <w:highlight w:val="none"/>
        </w:rPr>
        <w:t>市民服务中心视频管理平台</w:t>
      </w:r>
      <w:bookmarkEnd w:id="499"/>
      <w:bookmarkEnd w:id="500"/>
      <w:bookmarkEnd w:id="501"/>
      <w:bookmarkEnd w:id="502"/>
    </w:p>
    <w:p>
      <w:pPr>
        <w:pStyle w:val="6"/>
        <w:tabs>
          <w:tab w:val="left" w:pos="0"/>
        </w:tabs>
        <w:rPr>
          <w:highlight w:val="none"/>
        </w:rPr>
      </w:pPr>
      <w:r>
        <w:rPr>
          <w:rFonts w:hint="eastAsia"/>
          <w:highlight w:val="none"/>
        </w:rPr>
        <w:t>视频监控功能</w:t>
      </w:r>
    </w:p>
    <w:p>
      <w:pPr>
        <w:ind w:firstLine="480"/>
        <w:rPr>
          <w:highlight w:val="none"/>
        </w:rPr>
      </w:pPr>
      <w:r>
        <w:rPr>
          <w:rFonts w:hint="eastAsia"/>
          <w:highlight w:val="none"/>
        </w:rPr>
        <w:t>本期建设的高清视频管理平台根据应用需求，遵循最新的《安全防范视频监控联网系统传输、交换、控制技术要求》（GB/T28181-2011）国标标准要求，具有良好的可扩展的开放性，平台的开放性，并提供良好的集成能力及二次开发接口，供其他上层业务系统的集成对接。</w:t>
      </w:r>
    </w:p>
    <w:p>
      <w:pPr>
        <w:ind w:firstLine="482"/>
        <w:rPr>
          <w:b/>
          <w:bCs/>
          <w:highlight w:val="none"/>
          <w:lang w:val="zh-CN"/>
        </w:rPr>
      </w:pPr>
      <w:r>
        <w:rPr>
          <w:rFonts w:hint="eastAsia"/>
          <w:b/>
          <w:bCs/>
          <w:highlight w:val="none"/>
          <w:lang w:val="zh-CN"/>
        </w:rPr>
        <w:t>支持协议：</w:t>
      </w:r>
    </w:p>
    <w:p>
      <w:pPr>
        <w:ind w:firstLine="480"/>
        <w:rPr>
          <w:highlight w:val="none"/>
        </w:rPr>
      </w:pPr>
      <w:r>
        <w:rPr>
          <w:highlight w:val="none"/>
        </w:rPr>
        <w:t>GB28181</w:t>
      </w:r>
      <w:r>
        <w:rPr>
          <w:rFonts w:hint="eastAsia"/>
          <w:highlight w:val="none"/>
        </w:rPr>
        <w:t>协议：遵循中国国家标准（</w:t>
      </w:r>
      <w:r>
        <w:rPr>
          <w:highlight w:val="none"/>
        </w:rPr>
        <w:t>GB/T28181</w:t>
      </w:r>
      <w:r>
        <w:rPr>
          <w:rFonts w:hint="eastAsia"/>
          <w:highlight w:val="none"/>
        </w:rPr>
        <w:t>）《安全防范视频监控联网系统信息传输、交换、控制技术要求》要求的通讯协议，通常用于前端编码设备为第三方设备和平台级联的场景；</w:t>
      </w:r>
    </w:p>
    <w:p>
      <w:pPr>
        <w:ind w:firstLine="480"/>
        <w:rPr>
          <w:highlight w:val="none"/>
        </w:rPr>
      </w:pPr>
      <w:r>
        <w:rPr>
          <w:highlight w:val="none"/>
        </w:rPr>
        <w:t>Onvif</w:t>
      </w:r>
      <w:r>
        <w:rPr>
          <w:rFonts w:hint="eastAsia"/>
          <w:highlight w:val="none"/>
        </w:rPr>
        <w:t>协议：开放型网络视频接口论坛（</w:t>
      </w:r>
      <w:r>
        <w:rPr>
          <w:highlight w:val="none"/>
        </w:rPr>
        <w:t>Open Network Video Interface Forum</w:t>
      </w:r>
      <w:r>
        <w:rPr>
          <w:rFonts w:hint="eastAsia"/>
          <w:highlight w:val="none"/>
        </w:rPr>
        <w:t>）共同制定的开放性行业标准，属于国际标准协议，通常用于第三方设备为国际设备或满足海外视频监控需求的场景。</w:t>
      </w:r>
    </w:p>
    <w:p>
      <w:pPr>
        <w:pStyle w:val="6"/>
        <w:tabs>
          <w:tab w:val="left" w:pos="0"/>
        </w:tabs>
        <w:rPr>
          <w:highlight w:val="none"/>
        </w:rPr>
      </w:pPr>
      <w:r>
        <w:rPr>
          <w:rFonts w:hint="eastAsia"/>
          <w:highlight w:val="none"/>
        </w:rPr>
        <w:t>视频监控配置</w:t>
      </w:r>
    </w:p>
    <w:p>
      <w:pPr>
        <w:numPr>
          <w:ilvl w:val="0"/>
          <w:numId w:val="8"/>
        </w:numPr>
        <w:ind w:firstLineChars="0"/>
        <w:rPr>
          <w:b/>
          <w:bCs/>
          <w:highlight w:val="none"/>
          <w:lang w:val="zh-CN"/>
        </w:rPr>
      </w:pPr>
      <w:r>
        <w:rPr>
          <w:rFonts w:hint="eastAsia"/>
          <w:b/>
          <w:bCs/>
          <w:highlight w:val="none"/>
          <w:lang w:val="zh-CN"/>
        </w:rPr>
        <w:t>中心存储管理与配置</w:t>
      </w:r>
    </w:p>
    <w:p>
      <w:pPr>
        <w:ind w:firstLine="480"/>
        <w:rPr>
          <w:rFonts w:cs="Times New Roman"/>
          <w:szCs w:val="28"/>
          <w:highlight w:val="none"/>
        </w:rPr>
      </w:pPr>
      <w:r>
        <w:rPr>
          <w:rFonts w:hint="eastAsia" w:cs="Times New Roman"/>
          <w:szCs w:val="28"/>
          <w:highlight w:val="none"/>
        </w:rPr>
        <w:t>支持中心存储资源的集中管理。存储资源管理可通过不同的逻辑（如：地域，类型）进行区域划分，创建存储域，单个域内需网络连通。物理资源中的各类存储设备，根据实际地域、类型，分别添加到创建的存储域中。管理员可在域中创建存储资源池，将存储资源虚拟化，并为用户配置对资源池的读写权限，被赋权的用户可正常查询、使用存储资源池。中心存储管理包含了物理资源管理、存储域管理和存储资源池管理。</w:t>
      </w:r>
    </w:p>
    <w:p>
      <w:pPr>
        <w:numPr>
          <w:ilvl w:val="0"/>
          <w:numId w:val="8"/>
        </w:numPr>
        <w:ind w:firstLine="482"/>
        <w:rPr>
          <w:b/>
          <w:bCs/>
          <w:highlight w:val="none"/>
          <w:lang w:val="zh-CN"/>
        </w:rPr>
      </w:pPr>
      <w:r>
        <w:rPr>
          <w:rFonts w:hint="eastAsia"/>
          <w:b/>
          <w:bCs/>
          <w:highlight w:val="none"/>
          <w:lang w:val="zh-CN"/>
        </w:rPr>
        <w:t>录像计划配置</w:t>
      </w:r>
    </w:p>
    <w:p>
      <w:pPr>
        <w:ind w:firstLine="480"/>
        <w:rPr>
          <w:rFonts w:cs="Times New Roman"/>
          <w:szCs w:val="28"/>
          <w:highlight w:val="none"/>
        </w:rPr>
      </w:pPr>
      <w:r>
        <w:rPr>
          <w:rFonts w:hint="eastAsia" w:cs="Times New Roman"/>
          <w:szCs w:val="28"/>
          <w:highlight w:val="none"/>
        </w:rPr>
        <w:t>监控点录像存储支持三种方式，中心存储、设备存储、录像回传；</w:t>
      </w:r>
    </w:p>
    <w:p>
      <w:pPr>
        <w:ind w:firstLine="480"/>
        <w:rPr>
          <w:rFonts w:cs="Times New Roman"/>
          <w:szCs w:val="28"/>
          <w:highlight w:val="none"/>
        </w:rPr>
      </w:pPr>
      <w:r>
        <w:rPr>
          <w:rFonts w:hint="eastAsia" w:cs="Times New Roman"/>
          <w:szCs w:val="28"/>
          <w:highlight w:val="none"/>
        </w:rPr>
        <w:t>支持监控录像计划展示，包括存储状态、存储位置、录像计划模板类型等；</w:t>
      </w:r>
    </w:p>
    <w:p>
      <w:pPr>
        <w:ind w:firstLine="480"/>
        <w:rPr>
          <w:rFonts w:cs="Times New Roman"/>
          <w:szCs w:val="28"/>
          <w:highlight w:val="none"/>
        </w:rPr>
      </w:pPr>
      <w:r>
        <w:rPr>
          <w:rFonts w:hint="eastAsia" w:cs="Times New Roman"/>
          <w:szCs w:val="28"/>
          <w:highlight w:val="none"/>
        </w:rPr>
        <w:t>支持录像计划的批量复制，批量复制展示录像计划复制进度，显示总计划数和已完成数；</w:t>
      </w:r>
    </w:p>
    <w:p>
      <w:pPr>
        <w:ind w:firstLine="480"/>
        <w:rPr>
          <w:rFonts w:cs="Times New Roman"/>
          <w:szCs w:val="28"/>
          <w:highlight w:val="none"/>
        </w:rPr>
      </w:pPr>
      <w:r>
        <w:rPr>
          <w:rFonts w:hint="eastAsia" w:cs="Times New Roman"/>
          <w:szCs w:val="28"/>
          <w:highlight w:val="none"/>
        </w:rPr>
        <w:t>支持设备存储，存储码流类型可选主码流或子码流。设备存储支持同时保存视音频记录。</w:t>
      </w:r>
    </w:p>
    <w:p>
      <w:pPr>
        <w:ind w:firstLine="480"/>
        <w:rPr>
          <w:rFonts w:cs="Times New Roman"/>
          <w:szCs w:val="28"/>
          <w:highlight w:val="none"/>
        </w:rPr>
      </w:pPr>
      <w:r>
        <w:rPr>
          <w:rFonts w:hint="eastAsia" w:cs="Times New Roman"/>
          <w:szCs w:val="28"/>
          <w:highlight w:val="none"/>
        </w:rPr>
        <w:t>支持中心存储，存储码流类型可选主码流或子码流，取流方式可选直连设备取流或过平台取流。</w:t>
      </w:r>
    </w:p>
    <w:p>
      <w:pPr>
        <w:ind w:firstLine="480"/>
        <w:rPr>
          <w:rFonts w:cs="Times New Roman"/>
          <w:szCs w:val="28"/>
          <w:highlight w:val="none"/>
        </w:rPr>
      </w:pPr>
      <w:r>
        <w:rPr>
          <w:rFonts w:hint="eastAsia" w:cs="Times New Roman"/>
          <w:szCs w:val="28"/>
          <w:highlight w:val="none"/>
        </w:rPr>
        <w:t>支持录像回传，可以配置计划定时从前端设备存储中把录像回传到中心存储中。</w:t>
      </w:r>
    </w:p>
    <w:p>
      <w:pPr>
        <w:ind w:firstLine="480"/>
        <w:rPr>
          <w:rFonts w:cs="Times New Roman"/>
          <w:szCs w:val="28"/>
          <w:highlight w:val="none"/>
        </w:rPr>
      </w:pPr>
      <w:r>
        <w:rPr>
          <w:rFonts w:hint="eastAsia" w:cs="Times New Roman"/>
          <w:szCs w:val="28"/>
          <w:highlight w:val="none"/>
        </w:rPr>
        <w:t>支持录像计划模板配置，默认包含全天候存储模板，工作日存储模板、周末模板，支持录像计划模板自定义。</w:t>
      </w:r>
    </w:p>
    <w:p>
      <w:pPr>
        <w:ind w:firstLine="480"/>
        <w:rPr>
          <w:rFonts w:cs="Times New Roman"/>
          <w:szCs w:val="28"/>
          <w:highlight w:val="none"/>
        </w:rPr>
      </w:pPr>
      <w:r>
        <w:rPr>
          <w:rFonts w:hint="eastAsia" w:cs="Times New Roman"/>
          <w:szCs w:val="28"/>
          <w:highlight w:val="none"/>
        </w:rPr>
        <w:t>支持导出系统中所有监控点录像计划详情。</w:t>
      </w:r>
    </w:p>
    <w:p>
      <w:pPr>
        <w:numPr>
          <w:ilvl w:val="0"/>
          <w:numId w:val="8"/>
        </w:numPr>
        <w:ind w:firstLine="482"/>
        <w:rPr>
          <w:b/>
          <w:bCs/>
          <w:highlight w:val="none"/>
          <w:lang w:val="zh-CN"/>
        </w:rPr>
      </w:pPr>
      <w:r>
        <w:rPr>
          <w:rFonts w:hint="eastAsia"/>
          <w:b/>
          <w:bCs/>
          <w:highlight w:val="none"/>
          <w:lang w:val="zh-CN"/>
        </w:rPr>
        <w:t>抓图计划配置</w:t>
      </w:r>
    </w:p>
    <w:p>
      <w:pPr>
        <w:ind w:firstLine="480"/>
        <w:rPr>
          <w:rFonts w:cs="Times New Roman"/>
          <w:szCs w:val="28"/>
          <w:highlight w:val="none"/>
        </w:rPr>
      </w:pPr>
      <w:r>
        <w:rPr>
          <w:rFonts w:hint="eastAsia" w:cs="Times New Roman"/>
          <w:szCs w:val="28"/>
          <w:highlight w:val="none"/>
        </w:rPr>
        <w:t>抓图计划配置用于对监控点进行图片监控或对前端进行抓图留存记录需要时，配置监控点图片抓拍的频率和时间点。</w:t>
      </w:r>
    </w:p>
    <w:p>
      <w:pPr>
        <w:ind w:firstLine="480"/>
        <w:rPr>
          <w:rFonts w:cs="Times New Roman"/>
          <w:szCs w:val="28"/>
          <w:highlight w:val="none"/>
        </w:rPr>
      </w:pPr>
      <w:r>
        <w:rPr>
          <w:rFonts w:hint="eastAsia" w:cs="Times New Roman"/>
          <w:szCs w:val="28"/>
          <w:highlight w:val="none"/>
        </w:rPr>
        <w:t>支持监控点抓图计划的新增、删除和修改；</w:t>
      </w:r>
    </w:p>
    <w:p>
      <w:pPr>
        <w:ind w:firstLine="480"/>
        <w:rPr>
          <w:rFonts w:cs="Times New Roman"/>
          <w:szCs w:val="28"/>
          <w:highlight w:val="none"/>
        </w:rPr>
      </w:pPr>
      <w:r>
        <w:rPr>
          <w:rFonts w:hint="eastAsia" w:cs="Times New Roman"/>
          <w:szCs w:val="28"/>
          <w:highlight w:val="none"/>
        </w:rPr>
        <w:t>支持按照时间段和时间点两种计划类型进行抓图。按时间段抓图可自定义抓图间隔，时间间隔在</w:t>
      </w:r>
      <w:r>
        <w:rPr>
          <w:rFonts w:cs="Times New Roman"/>
          <w:szCs w:val="28"/>
          <w:highlight w:val="none"/>
        </w:rPr>
        <w:t>24</w:t>
      </w:r>
      <w:r>
        <w:rPr>
          <w:rFonts w:hint="eastAsia" w:cs="Times New Roman"/>
          <w:szCs w:val="28"/>
          <w:highlight w:val="none"/>
        </w:rPr>
        <w:t>小时内可选；按时间间隔抓图可自定义每周的抓图时间点。</w:t>
      </w:r>
    </w:p>
    <w:p>
      <w:pPr>
        <w:ind w:firstLine="480"/>
        <w:rPr>
          <w:rFonts w:cs="Times New Roman"/>
          <w:szCs w:val="28"/>
          <w:highlight w:val="none"/>
        </w:rPr>
      </w:pPr>
      <w:r>
        <w:rPr>
          <w:rFonts w:hint="eastAsia" w:cs="Times New Roman"/>
          <w:szCs w:val="28"/>
          <w:highlight w:val="none"/>
        </w:rPr>
        <w:t>支持抓图计划模板配置，包括时间段模板和时间点模板，每种类型最多支持</w:t>
      </w:r>
      <w:r>
        <w:rPr>
          <w:rFonts w:cs="Times New Roman"/>
          <w:szCs w:val="28"/>
          <w:highlight w:val="none"/>
        </w:rPr>
        <w:t>8</w:t>
      </w:r>
      <w:r>
        <w:rPr>
          <w:rFonts w:hint="eastAsia" w:cs="Times New Roman"/>
          <w:szCs w:val="28"/>
          <w:highlight w:val="none"/>
        </w:rPr>
        <w:t>个模板；</w:t>
      </w:r>
    </w:p>
    <w:p>
      <w:pPr>
        <w:ind w:firstLine="480"/>
        <w:rPr>
          <w:rFonts w:cs="Times New Roman"/>
          <w:szCs w:val="28"/>
          <w:highlight w:val="none"/>
        </w:rPr>
      </w:pPr>
      <w:r>
        <w:rPr>
          <w:rFonts w:hint="eastAsia" w:cs="Times New Roman"/>
          <w:szCs w:val="28"/>
          <w:highlight w:val="none"/>
        </w:rPr>
        <w:t>支持对抓图质量的配置，可选择一般、较好或最好。</w:t>
      </w:r>
    </w:p>
    <w:p>
      <w:pPr>
        <w:numPr>
          <w:ilvl w:val="0"/>
          <w:numId w:val="8"/>
        </w:numPr>
        <w:ind w:firstLine="482"/>
        <w:rPr>
          <w:b/>
          <w:bCs/>
          <w:highlight w:val="none"/>
          <w:lang w:val="zh-CN"/>
        </w:rPr>
      </w:pPr>
      <w:r>
        <w:rPr>
          <w:rFonts w:hint="eastAsia"/>
          <w:b/>
          <w:bCs/>
          <w:highlight w:val="none"/>
          <w:lang w:val="zh-CN"/>
        </w:rPr>
        <w:t>对讲通道关联配置</w:t>
      </w:r>
    </w:p>
    <w:p>
      <w:pPr>
        <w:ind w:firstLine="480"/>
        <w:rPr>
          <w:rFonts w:cs="Times New Roman"/>
          <w:szCs w:val="28"/>
          <w:highlight w:val="none"/>
        </w:rPr>
      </w:pPr>
      <w:r>
        <w:rPr>
          <w:rFonts w:hint="eastAsia" w:cs="Times New Roman"/>
          <w:szCs w:val="28"/>
          <w:highlight w:val="none"/>
        </w:rPr>
        <w:t>用于配置监控点和对讲通道的关联关系，在预览时进行对讲使用。</w:t>
      </w:r>
    </w:p>
    <w:p>
      <w:pPr>
        <w:ind w:firstLine="480"/>
        <w:rPr>
          <w:rFonts w:ascii="Helvetica" w:hAnsi="Helvetica" w:cs="Times New Roman"/>
          <w:szCs w:val="28"/>
          <w:highlight w:val="none"/>
        </w:rPr>
      </w:pPr>
      <w:r>
        <w:rPr>
          <w:rFonts w:hint="eastAsia" w:cs="Times New Roman"/>
          <w:szCs w:val="28"/>
          <w:highlight w:val="none"/>
        </w:rPr>
        <w:t>当编码设备上有多个监控点和对讲通道时，需要用户自定义监控点对应的对讲通道，配置完成之后即可在客户端直接对监控点进行对讲</w:t>
      </w:r>
      <w:r>
        <w:rPr>
          <w:rFonts w:hint="eastAsia" w:ascii="Helvetica" w:hAnsi="Helvetica" w:cs="Times New Roman"/>
          <w:szCs w:val="28"/>
          <w:highlight w:val="none"/>
        </w:rPr>
        <w:t>。</w:t>
      </w:r>
    </w:p>
    <w:p>
      <w:pPr>
        <w:numPr>
          <w:ilvl w:val="0"/>
          <w:numId w:val="8"/>
        </w:numPr>
        <w:ind w:firstLine="482"/>
        <w:rPr>
          <w:b/>
          <w:bCs/>
          <w:highlight w:val="none"/>
          <w:lang w:val="zh-CN"/>
        </w:rPr>
      </w:pPr>
      <w:r>
        <w:rPr>
          <w:rFonts w:hint="eastAsia"/>
          <w:b/>
          <w:bCs/>
          <w:highlight w:val="none"/>
          <w:lang w:val="zh-CN"/>
        </w:rPr>
        <w:t>键盘配置</w:t>
      </w:r>
    </w:p>
    <w:p>
      <w:pPr>
        <w:ind w:firstLine="480"/>
        <w:rPr>
          <w:rFonts w:cs="Times New Roman"/>
          <w:szCs w:val="28"/>
          <w:highlight w:val="none"/>
          <w:lang w:val="zh-CN"/>
        </w:rPr>
      </w:pPr>
      <w:r>
        <w:rPr>
          <w:rFonts w:hint="eastAsia" w:cs="Times New Roman"/>
          <w:szCs w:val="28"/>
          <w:highlight w:val="none"/>
          <w:lang w:val="zh-CN"/>
        </w:rPr>
        <w:t>监控点的键盘码配置，用于键盘上墙快捷使用。</w:t>
      </w:r>
    </w:p>
    <w:p>
      <w:pPr>
        <w:numPr>
          <w:ilvl w:val="0"/>
          <w:numId w:val="8"/>
        </w:numPr>
        <w:ind w:firstLine="482"/>
        <w:rPr>
          <w:b/>
          <w:bCs/>
          <w:highlight w:val="none"/>
          <w:lang w:val="zh-CN"/>
        </w:rPr>
      </w:pPr>
      <w:r>
        <w:rPr>
          <w:rFonts w:hint="eastAsia"/>
          <w:b/>
          <w:bCs/>
          <w:highlight w:val="none"/>
          <w:lang w:val="zh-CN"/>
        </w:rPr>
        <w:t>设备事件布撤防</w:t>
      </w:r>
    </w:p>
    <w:p>
      <w:pPr>
        <w:ind w:firstLine="480"/>
        <w:rPr>
          <w:rFonts w:ascii="Helvetica" w:hAnsi="Helvetica" w:cs="Times New Roman"/>
          <w:szCs w:val="28"/>
          <w:highlight w:val="none"/>
        </w:rPr>
      </w:pPr>
      <w:r>
        <w:rPr>
          <w:rFonts w:hint="eastAsia" w:ascii="Helvetica" w:hAnsi="Helvetica" w:cs="Times New Roman"/>
          <w:szCs w:val="28"/>
          <w:highlight w:val="none"/>
        </w:rPr>
        <w:t>设备事件布撤防功能用于大路数场景下对设备上报的通用型事件进行批量布撤防管理，减少用户重复操作时间成本。</w:t>
      </w:r>
    </w:p>
    <w:p>
      <w:pPr>
        <w:ind w:firstLine="480"/>
        <w:rPr>
          <w:rFonts w:ascii="Helvetica" w:hAnsi="Helvetica" w:cs="Times New Roman"/>
          <w:szCs w:val="28"/>
          <w:highlight w:val="none"/>
        </w:rPr>
      </w:pPr>
      <w:r>
        <w:rPr>
          <w:rFonts w:hint="eastAsia" w:ascii="Helvetica" w:hAnsi="Helvetica" w:cs="Times New Roman"/>
          <w:szCs w:val="28"/>
          <w:highlight w:val="none"/>
        </w:rPr>
        <w:t>支持移动侦测、视频丢失、视频遮挡、报警输入和报警输出事件的批量布防和批量撤防控制。</w:t>
      </w:r>
    </w:p>
    <w:p>
      <w:pPr>
        <w:ind w:firstLine="480"/>
        <w:rPr>
          <w:rFonts w:ascii="Helvetica" w:hAnsi="Helvetica" w:cs="Times New Roman"/>
          <w:szCs w:val="28"/>
          <w:highlight w:val="none"/>
        </w:rPr>
      </w:pPr>
      <w:r>
        <w:rPr>
          <w:rFonts w:hint="eastAsia" w:ascii="Helvetica" w:hAnsi="Helvetica" w:cs="Times New Roman"/>
          <w:szCs w:val="28"/>
          <w:highlight w:val="none"/>
        </w:rPr>
        <w:t>支持对监控点批量配置事件布撤防计划；</w:t>
      </w:r>
    </w:p>
    <w:p>
      <w:pPr>
        <w:ind w:firstLine="480"/>
        <w:rPr>
          <w:rFonts w:ascii="Helvetica" w:hAnsi="Helvetica" w:cs="Times New Roman"/>
          <w:szCs w:val="28"/>
          <w:highlight w:val="none"/>
        </w:rPr>
      </w:pPr>
      <w:r>
        <w:rPr>
          <w:rFonts w:hint="eastAsia" w:ascii="Helvetica" w:hAnsi="Helvetica" w:cs="Times New Roman"/>
          <w:szCs w:val="28"/>
          <w:highlight w:val="none"/>
        </w:rPr>
        <w:t>支持布撤防计划模板配置；</w:t>
      </w:r>
    </w:p>
    <w:p>
      <w:pPr>
        <w:ind w:firstLine="480"/>
        <w:rPr>
          <w:rFonts w:ascii="Helvetica" w:hAnsi="Helvetica" w:cs="Times New Roman"/>
          <w:szCs w:val="28"/>
          <w:highlight w:val="none"/>
        </w:rPr>
      </w:pPr>
      <w:r>
        <w:rPr>
          <w:rFonts w:hint="eastAsia" w:ascii="Helvetica" w:hAnsi="Helvetica" w:cs="Times New Roman"/>
          <w:szCs w:val="28"/>
          <w:highlight w:val="none"/>
        </w:rPr>
        <w:t>支持监控点事件布撤防状态展示，包括布防计划类型，布撤防状态等。</w:t>
      </w:r>
    </w:p>
    <w:p>
      <w:pPr>
        <w:pStyle w:val="7"/>
        <w:rPr>
          <w:highlight w:val="none"/>
        </w:rPr>
      </w:pPr>
      <w:r>
        <w:rPr>
          <w:rFonts w:hint="eastAsia"/>
          <w:highlight w:val="none"/>
        </w:rPr>
        <w:t>视频级联功能</w:t>
      </w:r>
    </w:p>
    <w:p>
      <w:pPr>
        <w:ind w:firstLine="480"/>
        <w:rPr>
          <w:rFonts w:cs="Times New Roman"/>
          <w:szCs w:val="20"/>
          <w:highlight w:val="none"/>
        </w:rPr>
      </w:pPr>
      <w:r>
        <w:rPr>
          <w:rFonts w:hint="eastAsia" w:cs="Times New Roman"/>
          <w:szCs w:val="20"/>
          <w:highlight w:val="none"/>
        </w:rPr>
        <w:t>平台之间级联</w:t>
      </w:r>
      <w:r>
        <w:rPr>
          <w:rFonts w:cs="Times New Roman"/>
          <w:szCs w:val="20"/>
          <w:highlight w:val="none"/>
        </w:rPr>
        <w:t>/</w:t>
      </w:r>
      <w:r>
        <w:rPr>
          <w:rFonts w:hint="eastAsia" w:cs="Times New Roman"/>
          <w:szCs w:val="20"/>
          <w:highlight w:val="none"/>
        </w:rPr>
        <w:t>互联依据</w:t>
      </w:r>
      <w:r>
        <w:rPr>
          <w:rFonts w:cs="Times New Roman"/>
          <w:szCs w:val="20"/>
          <w:highlight w:val="none"/>
        </w:rPr>
        <w:t>GB/T28181</w:t>
      </w:r>
      <w:r>
        <w:rPr>
          <w:rFonts w:hint="eastAsia" w:cs="Times New Roman"/>
          <w:szCs w:val="20"/>
          <w:highlight w:val="none"/>
        </w:rPr>
        <w:t>设计，提供注册发现、心跳检测、云台控制、实时监控、时钟同步等联网基本功能，扩展联网功能，如目录主动推送、资源实时同步、资源选择性共享、媒体保护、权限控制等。</w:t>
      </w:r>
    </w:p>
    <w:p>
      <w:pPr>
        <w:numPr>
          <w:ilvl w:val="0"/>
          <w:numId w:val="9"/>
        </w:numPr>
        <w:ind w:firstLine="480"/>
        <w:rPr>
          <w:highlight w:val="none"/>
          <w:lang w:val="zh-CN"/>
        </w:rPr>
      </w:pPr>
      <w:r>
        <w:rPr>
          <w:rFonts w:hint="eastAsia"/>
          <w:highlight w:val="none"/>
          <w:lang w:val="zh-CN"/>
        </w:rPr>
        <w:t>联网基本功能</w:t>
      </w:r>
    </w:p>
    <w:p>
      <w:pPr>
        <w:ind w:firstLine="480"/>
        <w:rPr>
          <w:rFonts w:cs="Times New Roman"/>
          <w:szCs w:val="20"/>
          <w:highlight w:val="none"/>
        </w:rPr>
      </w:pPr>
      <w:r>
        <w:rPr>
          <w:rFonts w:cs="Times New Roman"/>
          <w:szCs w:val="20"/>
          <w:highlight w:val="none"/>
        </w:rPr>
        <w:t>1</w:t>
      </w:r>
      <w:r>
        <w:rPr>
          <w:rFonts w:hint="eastAsia" w:cs="Times New Roman"/>
          <w:szCs w:val="20"/>
          <w:highlight w:val="none"/>
        </w:rPr>
        <w:t>）平台之间的注册与发现；</w:t>
      </w:r>
    </w:p>
    <w:p>
      <w:pPr>
        <w:ind w:firstLine="480"/>
        <w:rPr>
          <w:rFonts w:cs="Times New Roman"/>
          <w:szCs w:val="20"/>
          <w:highlight w:val="none"/>
        </w:rPr>
      </w:pPr>
      <w:r>
        <w:rPr>
          <w:rFonts w:cs="Times New Roman"/>
          <w:szCs w:val="20"/>
          <w:highlight w:val="none"/>
        </w:rPr>
        <w:t>2</w:t>
      </w:r>
      <w:r>
        <w:rPr>
          <w:rFonts w:hint="eastAsia" w:cs="Times New Roman"/>
          <w:szCs w:val="20"/>
          <w:highlight w:val="none"/>
        </w:rPr>
        <w:t>）互联链路心跳检测；</w:t>
      </w:r>
    </w:p>
    <w:p>
      <w:pPr>
        <w:numPr>
          <w:ilvl w:val="0"/>
          <w:numId w:val="9"/>
        </w:numPr>
        <w:ind w:firstLine="480"/>
        <w:rPr>
          <w:highlight w:val="none"/>
          <w:lang w:val="zh-CN"/>
        </w:rPr>
      </w:pPr>
      <w:r>
        <w:rPr>
          <w:rFonts w:hint="eastAsia"/>
          <w:highlight w:val="none"/>
          <w:lang w:val="zh-CN"/>
        </w:rPr>
        <w:t>前端目录推送</w:t>
      </w:r>
    </w:p>
    <w:p>
      <w:pPr>
        <w:ind w:firstLine="480"/>
        <w:rPr>
          <w:rFonts w:cs="Times New Roman"/>
          <w:szCs w:val="20"/>
          <w:highlight w:val="none"/>
        </w:rPr>
      </w:pPr>
      <w:r>
        <w:rPr>
          <w:rFonts w:hint="eastAsia" w:cs="Times New Roman"/>
          <w:szCs w:val="20"/>
          <w:highlight w:val="none"/>
        </w:rPr>
        <w:t>可由下级平台主动将前端设备目录推送至上级平台；也可由上级平台向下级平台发起前端设备目录查询。</w:t>
      </w:r>
    </w:p>
    <w:p>
      <w:pPr>
        <w:numPr>
          <w:ilvl w:val="0"/>
          <w:numId w:val="9"/>
        </w:numPr>
        <w:ind w:firstLine="480"/>
        <w:rPr>
          <w:highlight w:val="none"/>
          <w:lang w:val="zh-CN"/>
        </w:rPr>
      </w:pPr>
      <w:r>
        <w:rPr>
          <w:rFonts w:hint="eastAsia"/>
          <w:highlight w:val="none"/>
          <w:lang w:val="zh-CN"/>
        </w:rPr>
        <w:t>组织结构展现</w:t>
      </w:r>
    </w:p>
    <w:p>
      <w:pPr>
        <w:ind w:firstLine="480"/>
        <w:rPr>
          <w:rFonts w:cs="Times New Roman"/>
          <w:szCs w:val="20"/>
          <w:highlight w:val="none"/>
        </w:rPr>
      </w:pPr>
      <w:r>
        <w:rPr>
          <w:rFonts w:hint="eastAsia" w:cs="Times New Roman"/>
          <w:szCs w:val="20"/>
          <w:highlight w:val="none"/>
        </w:rPr>
        <w:t>上级平台将各个下级平台目录解析编码，按照所属部门、单位和区域分别挂载，统一展现。</w:t>
      </w:r>
    </w:p>
    <w:p>
      <w:pPr>
        <w:numPr>
          <w:ilvl w:val="0"/>
          <w:numId w:val="9"/>
        </w:numPr>
        <w:ind w:firstLine="480"/>
        <w:rPr>
          <w:highlight w:val="none"/>
          <w:lang w:val="zh-CN"/>
        </w:rPr>
      </w:pPr>
      <w:r>
        <w:rPr>
          <w:rFonts w:hint="eastAsia"/>
          <w:highlight w:val="none"/>
          <w:lang w:val="zh-CN"/>
        </w:rPr>
        <w:t>设备信息共享</w:t>
      </w:r>
    </w:p>
    <w:p>
      <w:pPr>
        <w:ind w:firstLine="480"/>
        <w:rPr>
          <w:rFonts w:cs="Times New Roman"/>
          <w:szCs w:val="20"/>
          <w:highlight w:val="none"/>
        </w:rPr>
      </w:pPr>
      <w:r>
        <w:rPr>
          <w:rFonts w:hint="eastAsia" w:cs="Times New Roman"/>
          <w:szCs w:val="20"/>
          <w:highlight w:val="none"/>
        </w:rPr>
        <w:t>下级平台可向上级平台开放共享本地设备状态、参数等信息，实现联网系统的统一运维管理。</w:t>
      </w:r>
    </w:p>
    <w:p>
      <w:pPr>
        <w:numPr>
          <w:ilvl w:val="0"/>
          <w:numId w:val="9"/>
        </w:numPr>
        <w:ind w:firstLine="480"/>
        <w:rPr>
          <w:highlight w:val="none"/>
          <w:lang w:val="zh-CN"/>
        </w:rPr>
      </w:pPr>
      <w:r>
        <w:rPr>
          <w:rFonts w:hint="eastAsia"/>
          <w:highlight w:val="none"/>
          <w:lang w:val="zh-CN"/>
        </w:rPr>
        <w:t>权限控制管理</w:t>
      </w:r>
    </w:p>
    <w:p>
      <w:pPr>
        <w:ind w:firstLine="480"/>
        <w:rPr>
          <w:rFonts w:cs="Times New Roman"/>
          <w:szCs w:val="20"/>
          <w:highlight w:val="none"/>
        </w:rPr>
      </w:pPr>
      <w:r>
        <w:rPr>
          <w:rFonts w:hint="eastAsia" w:cs="Times New Roman"/>
          <w:szCs w:val="20"/>
          <w:highlight w:val="none"/>
        </w:rPr>
        <w:t>支持上下级平台联网的共享权限管理、联网状态管理、网关性能消耗查询等功能。</w:t>
      </w:r>
    </w:p>
    <w:p>
      <w:pPr>
        <w:numPr>
          <w:ilvl w:val="0"/>
          <w:numId w:val="9"/>
        </w:numPr>
        <w:ind w:firstLine="480"/>
        <w:rPr>
          <w:highlight w:val="none"/>
          <w:lang w:val="zh-CN"/>
        </w:rPr>
      </w:pPr>
      <w:r>
        <w:rPr>
          <w:rFonts w:hint="eastAsia"/>
          <w:highlight w:val="none"/>
          <w:lang w:val="zh-CN"/>
        </w:rPr>
        <w:t>媒体保活机制</w:t>
      </w:r>
    </w:p>
    <w:p>
      <w:pPr>
        <w:ind w:firstLine="480"/>
        <w:rPr>
          <w:rFonts w:cs="Times New Roman"/>
          <w:szCs w:val="20"/>
          <w:highlight w:val="none"/>
        </w:rPr>
      </w:pPr>
      <w:r>
        <w:rPr>
          <w:rFonts w:hint="eastAsia" w:cs="Times New Roman"/>
          <w:szCs w:val="20"/>
          <w:highlight w:val="none"/>
        </w:rPr>
        <w:t>平台之间视频媒体流的接收和发送基于</w:t>
      </w:r>
      <w:r>
        <w:rPr>
          <w:rFonts w:cs="Times New Roman"/>
          <w:szCs w:val="20"/>
          <w:highlight w:val="none"/>
        </w:rPr>
        <w:t>RTCP</w:t>
      </w:r>
      <w:r>
        <w:rPr>
          <w:rFonts w:hint="eastAsia" w:cs="Times New Roman"/>
          <w:szCs w:val="20"/>
          <w:highlight w:val="none"/>
        </w:rPr>
        <w:t>协议实现，支持保活机制，防止跨平台调用视频流的中断。</w:t>
      </w:r>
    </w:p>
    <w:p>
      <w:pPr>
        <w:pStyle w:val="7"/>
        <w:rPr>
          <w:highlight w:val="none"/>
        </w:rPr>
      </w:pPr>
      <w:r>
        <w:rPr>
          <w:rFonts w:hint="eastAsia"/>
          <w:highlight w:val="none"/>
        </w:rPr>
        <w:t>视频监控应用</w:t>
      </w:r>
    </w:p>
    <w:p>
      <w:pPr>
        <w:numPr>
          <w:ilvl w:val="0"/>
          <w:numId w:val="10"/>
        </w:numPr>
        <w:ind w:firstLineChars="0"/>
        <w:rPr>
          <w:b/>
          <w:bCs/>
          <w:highlight w:val="none"/>
          <w:lang w:val="zh-CN"/>
        </w:rPr>
      </w:pPr>
      <w:r>
        <w:rPr>
          <w:rFonts w:hint="eastAsia"/>
          <w:b/>
          <w:bCs/>
          <w:highlight w:val="none"/>
          <w:lang w:val="zh-CN"/>
        </w:rPr>
        <w:t>实时预览：</w:t>
      </w:r>
    </w:p>
    <w:p>
      <w:pPr>
        <w:ind w:firstLine="480"/>
        <w:rPr>
          <w:highlight w:val="none"/>
        </w:rPr>
      </w:pPr>
      <w:r>
        <w:rPr>
          <w:rFonts w:hint="eastAsia"/>
          <w:highlight w:val="none"/>
        </w:rPr>
        <w:t>视频实时预览</w:t>
      </w:r>
      <w:r>
        <w:rPr>
          <w:highlight w:val="none"/>
        </w:rPr>
        <w:t>即为对监控</w:t>
      </w:r>
      <w:r>
        <w:rPr>
          <w:rFonts w:hint="eastAsia"/>
          <w:highlight w:val="none"/>
        </w:rPr>
        <w:t>实时</w:t>
      </w:r>
      <w:r>
        <w:rPr>
          <w:highlight w:val="none"/>
        </w:rPr>
        <w:t>画面的预览，包括</w:t>
      </w:r>
      <w:r>
        <w:rPr>
          <w:rFonts w:hint="eastAsia"/>
          <w:highlight w:val="none"/>
        </w:rPr>
        <w:t>基础视频预览</w:t>
      </w:r>
      <w:r>
        <w:rPr>
          <w:highlight w:val="none"/>
        </w:rPr>
        <w:t>、</w:t>
      </w:r>
      <w:r>
        <w:rPr>
          <w:rFonts w:hint="eastAsia"/>
          <w:highlight w:val="none"/>
        </w:rPr>
        <w:t>视频</w:t>
      </w:r>
      <w:r>
        <w:rPr>
          <w:highlight w:val="none"/>
        </w:rPr>
        <w:t>参数控制、</w:t>
      </w:r>
      <w:r>
        <w:rPr>
          <w:rFonts w:hint="eastAsia"/>
          <w:highlight w:val="none"/>
        </w:rPr>
        <w:t>视图模式的</w:t>
      </w:r>
      <w:r>
        <w:rPr>
          <w:highlight w:val="none"/>
        </w:rPr>
        <w:t>预览，平台与监控点</w:t>
      </w:r>
      <w:r>
        <w:rPr>
          <w:rFonts w:hint="eastAsia"/>
          <w:highlight w:val="none"/>
        </w:rPr>
        <w:t>所在</w:t>
      </w:r>
      <w:r>
        <w:rPr>
          <w:highlight w:val="none"/>
        </w:rPr>
        <w:t>的摄像机对讲</w:t>
      </w:r>
      <w:r>
        <w:rPr>
          <w:rFonts w:hint="eastAsia"/>
          <w:highlight w:val="none"/>
        </w:rPr>
        <w:t>通道</w:t>
      </w:r>
      <w:r>
        <w:rPr>
          <w:highlight w:val="none"/>
        </w:rPr>
        <w:t>的</w:t>
      </w:r>
      <w:r>
        <w:rPr>
          <w:rFonts w:hint="eastAsia"/>
          <w:highlight w:val="none"/>
        </w:rPr>
        <w:t>实时</w:t>
      </w:r>
      <w:r>
        <w:rPr>
          <w:highlight w:val="none"/>
        </w:rPr>
        <w:t>对讲、批量</w:t>
      </w:r>
      <w:r>
        <w:rPr>
          <w:rFonts w:hint="eastAsia"/>
          <w:highlight w:val="none"/>
        </w:rPr>
        <w:t>广播</w:t>
      </w:r>
      <w:r>
        <w:rPr>
          <w:highlight w:val="none"/>
        </w:rPr>
        <w:t>以及对具备云台能力的</w:t>
      </w:r>
      <w:r>
        <w:rPr>
          <w:rFonts w:hint="eastAsia"/>
          <w:highlight w:val="none"/>
        </w:rPr>
        <w:t>监控点</w:t>
      </w:r>
      <w:r>
        <w:rPr>
          <w:highlight w:val="none"/>
        </w:rPr>
        <w:t>的</w:t>
      </w:r>
      <w:r>
        <w:rPr>
          <w:rFonts w:hint="eastAsia"/>
          <w:highlight w:val="none"/>
        </w:rPr>
        <w:t>实时云台控制</w:t>
      </w:r>
      <w:r>
        <w:rPr>
          <w:highlight w:val="none"/>
        </w:rPr>
        <w:t>。</w:t>
      </w:r>
    </w:p>
    <w:p>
      <w:pPr>
        <w:numPr>
          <w:ilvl w:val="0"/>
          <w:numId w:val="10"/>
        </w:numPr>
        <w:ind w:firstLineChars="0"/>
        <w:rPr>
          <w:b/>
          <w:bCs/>
          <w:highlight w:val="none"/>
          <w:lang w:val="zh-CN"/>
        </w:rPr>
      </w:pPr>
      <w:r>
        <w:rPr>
          <w:rFonts w:hint="eastAsia"/>
          <w:b/>
          <w:bCs/>
          <w:highlight w:val="none"/>
          <w:lang w:val="zh-CN"/>
        </w:rPr>
        <w:t>录像回放</w:t>
      </w:r>
    </w:p>
    <w:p>
      <w:pPr>
        <w:ind w:firstLine="480"/>
        <w:rPr>
          <w:highlight w:val="none"/>
        </w:rPr>
      </w:pPr>
      <w:r>
        <w:rPr>
          <w:rFonts w:hint="eastAsia"/>
          <w:highlight w:val="none"/>
        </w:rPr>
        <w:t>录像回放用于对</w:t>
      </w:r>
      <w:r>
        <w:rPr>
          <w:highlight w:val="none"/>
        </w:rPr>
        <w:t>历史视频录像的</w:t>
      </w:r>
      <w:r>
        <w:rPr>
          <w:rFonts w:hint="eastAsia"/>
          <w:highlight w:val="none"/>
        </w:rPr>
        <w:t>查询</w:t>
      </w:r>
      <w:r>
        <w:rPr>
          <w:highlight w:val="none"/>
        </w:rPr>
        <w:t>、播放、</w:t>
      </w:r>
      <w:r>
        <w:rPr>
          <w:rFonts w:hint="eastAsia"/>
          <w:highlight w:val="none"/>
        </w:rPr>
        <w:t>画面</w:t>
      </w:r>
      <w:r>
        <w:rPr>
          <w:highlight w:val="none"/>
        </w:rPr>
        <w:t>流控</w:t>
      </w:r>
      <w:r>
        <w:rPr>
          <w:rFonts w:hint="eastAsia"/>
          <w:highlight w:val="none"/>
        </w:rPr>
        <w:t>、片段</w:t>
      </w:r>
      <w:r>
        <w:rPr>
          <w:highlight w:val="none"/>
        </w:rPr>
        <w:t>下载等应用。</w:t>
      </w:r>
    </w:p>
    <w:p>
      <w:pPr>
        <w:numPr>
          <w:ilvl w:val="0"/>
          <w:numId w:val="10"/>
        </w:numPr>
        <w:ind w:firstLineChars="0"/>
        <w:rPr>
          <w:b/>
          <w:bCs/>
          <w:highlight w:val="none"/>
          <w:lang w:val="zh-CN"/>
        </w:rPr>
      </w:pPr>
      <w:r>
        <w:rPr>
          <w:rFonts w:hint="eastAsia"/>
          <w:b/>
          <w:bCs/>
          <w:highlight w:val="none"/>
          <w:lang w:val="zh-CN"/>
        </w:rPr>
        <w:t>图片查询</w:t>
      </w:r>
    </w:p>
    <w:p>
      <w:pPr>
        <w:ind w:firstLine="480"/>
        <w:rPr>
          <w:highlight w:val="none"/>
        </w:rPr>
      </w:pPr>
      <w:r>
        <w:rPr>
          <w:highlight w:val="none"/>
        </w:rPr>
        <w:t>WEB</w:t>
      </w:r>
      <w:r>
        <w:rPr>
          <w:rFonts w:hint="eastAsia"/>
          <w:highlight w:val="none"/>
        </w:rPr>
        <w:t>端支持对配置了抓图计划的监控点所抓历史图片的查询，并按照监控点排序和时间排序两种方式展示图片查询结果。</w:t>
      </w:r>
    </w:p>
    <w:p>
      <w:pPr>
        <w:ind w:firstLine="480"/>
        <w:rPr>
          <w:sz w:val="21"/>
          <w:szCs w:val="20"/>
          <w:highlight w:val="none"/>
        </w:rPr>
      </w:pPr>
      <w:r>
        <w:rPr>
          <w:rFonts w:hint="eastAsia"/>
          <w:highlight w:val="none"/>
        </w:rPr>
        <w:t>支持对图片查询结果进行自动播放和下载操作。</w:t>
      </w:r>
    </w:p>
    <w:p>
      <w:pPr>
        <w:numPr>
          <w:ilvl w:val="0"/>
          <w:numId w:val="10"/>
        </w:numPr>
        <w:ind w:firstLineChars="0"/>
        <w:rPr>
          <w:b/>
          <w:bCs/>
          <w:highlight w:val="none"/>
          <w:lang w:val="zh-CN"/>
        </w:rPr>
      </w:pPr>
      <w:r>
        <w:rPr>
          <w:rFonts w:hint="eastAsia"/>
          <w:b/>
          <w:bCs/>
          <w:highlight w:val="none"/>
          <w:lang w:val="zh-CN"/>
        </w:rPr>
        <w:t>电视墙</w:t>
      </w:r>
    </w:p>
    <w:p>
      <w:pPr>
        <w:ind w:firstLine="480"/>
        <w:rPr>
          <w:highlight w:val="none"/>
        </w:rPr>
      </w:pPr>
      <w:r>
        <w:rPr>
          <w:rFonts w:hint="eastAsia"/>
          <w:highlight w:val="none"/>
        </w:rPr>
        <w:t>电视墙应用于中心大屏幕，专注视频上墙，调度解码资源将前端编码设备的视频画面在电视墙上显示。电视墙提供了解码资源管理、视墙资源管理、电视墙</w:t>
      </w:r>
      <w:r>
        <w:rPr>
          <w:highlight w:val="none"/>
        </w:rPr>
        <w:t>/</w:t>
      </w:r>
      <w:r>
        <w:rPr>
          <w:rFonts w:hint="eastAsia"/>
          <w:highlight w:val="none"/>
        </w:rPr>
        <w:t>窗口的控制及内容上墙等功能。</w:t>
      </w:r>
    </w:p>
    <w:p>
      <w:pPr>
        <w:pStyle w:val="4"/>
        <w:bidi w:val="0"/>
      </w:pPr>
      <w:bookmarkStart w:id="503" w:name="_Toc27504"/>
      <w:bookmarkStart w:id="504" w:name="_Toc18029"/>
      <w:bookmarkStart w:id="505" w:name="_Toc30460"/>
      <w:bookmarkStart w:id="506" w:name="_Toc28369"/>
      <w:bookmarkStart w:id="507" w:name="_Toc20973"/>
      <w:bookmarkStart w:id="508" w:name="_Toc29077"/>
      <w:bookmarkStart w:id="509" w:name="_Toc13545"/>
      <w:bookmarkStart w:id="510" w:name="_Toc19311"/>
      <w:bookmarkStart w:id="511" w:name="_Toc4076"/>
      <w:r>
        <w:rPr>
          <w:rFonts w:hint="eastAsia"/>
          <w:lang w:val="en-US" w:eastAsia="zh-CN"/>
        </w:rPr>
        <w:t>公用会议室</w:t>
      </w:r>
      <w:bookmarkEnd w:id="503"/>
      <w:bookmarkEnd w:id="504"/>
      <w:bookmarkEnd w:id="505"/>
      <w:bookmarkEnd w:id="506"/>
      <w:bookmarkEnd w:id="507"/>
      <w:bookmarkEnd w:id="508"/>
      <w:bookmarkEnd w:id="509"/>
      <w:bookmarkEnd w:id="510"/>
      <w:bookmarkEnd w:id="511"/>
    </w:p>
    <w:p>
      <w:pPr>
        <w:pStyle w:val="5"/>
        <w:rPr>
          <w:highlight w:val="none"/>
        </w:rPr>
      </w:pPr>
      <w:bookmarkStart w:id="512" w:name="_Toc25571"/>
      <w:bookmarkStart w:id="513" w:name="_Toc5379"/>
      <w:bookmarkStart w:id="514" w:name="_Toc13174"/>
      <w:bookmarkStart w:id="515" w:name="_Toc31363"/>
      <w:r>
        <w:rPr>
          <w:rFonts w:hint="eastAsia"/>
          <w:highlight w:val="none"/>
          <w:lang w:val="en-US" w:eastAsia="zh-CN"/>
        </w:rPr>
        <w:t>系统</w:t>
      </w:r>
      <w:r>
        <w:rPr>
          <w:rFonts w:hint="eastAsia"/>
          <w:highlight w:val="none"/>
        </w:rPr>
        <w:t>概述</w:t>
      </w:r>
      <w:bookmarkEnd w:id="512"/>
      <w:bookmarkEnd w:id="513"/>
      <w:bookmarkEnd w:id="514"/>
      <w:bookmarkEnd w:id="515"/>
    </w:p>
    <w:p>
      <w:pPr>
        <w:ind w:firstLine="480"/>
        <w:rPr>
          <w:rFonts w:hint="eastAsia"/>
          <w:highlight w:val="none"/>
        </w:rPr>
      </w:pPr>
      <w:r>
        <w:rPr>
          <w:rFonts w:hint="eastAsia"/>
          <w:highlight w:val="none"/>
        </w:rPr>
        <w:t>公用会议室的设计目标：建成具有音视频演示、现场讨论、网络研讨功能的多功能、智能型会议室，能充分发挥多媒体系统的功能，满足开展培训、会谈、研讨等多种类型业务。</w:t>
      </w:r>
    </w:p>
    <w:p>
      <w:pPr>
        <w:ind w:firstLine="480"/>
        <w:rPr>
          <w:rFonts w:hint="default" w:ascii="宋体" w:hAnsi="宋体" w:eastAsia="宋体" w:cs="宋体"/>
          <w:highlight w:val="none"/>
          <w:lang w:val="en-US" w:eastAsia="zh-CN"/>
        </w:rPr>
      </w:pPr>
      <w:r>
        <w:rPr>
          <w:rFonts w:hint="eastAsia" w:ascii="宋体" w:hAnsi="宋体" w:eastAsia="宋体" w:cs="宋体"/>
          <w:highlight w:val="none"/>
          <w:lang w:val="en-US" w:eastAsia="zh-CN"/>
        </w:rPr>
        <w:t>本项目公用会议室设计范围包括7楼</w:t>
      </w:r>
      <w:r>
        <w:rPr>
          <w:rFonts w:hint="eastAsia" w:cs="宋体"/>
          <w:highlight w:val="none"/>
          <w:lang w:val="en-US" w:eastAsia="zh-CN"/>
        </w:rPr>
        <w:t>党员活动</w:t>
      </w:r>
      <w:r>
        <w:rPr>
          <w:rFonts w:hint="eastAsia" w:ascii="宋体" w:hAnsi="宋体" w:eastAsia="宋体" w:cs="宋体"/>
          <w:highlight w:val="none"/>
          <w:lang w:val="en-US" w:eastAsia="zh-CN"/>
        </w:rPr>
        <w:t>室、8F公用会议室1和8F公用会议室。</w:t>
      </w:r>
    </w:p>
    <w:p>
      <w:pPr>
        <w:pStyle w:val="5"/>
        <w:rPr>
          <w:highlight w:val="none"/>
        </w:rPr>
      </w:pPr>
      <w:bookmarkStart w:id="516" w:name="_Toc15325"/>
      <w:bookmarkStart w:id="517" w:name="_Toc20093"/>
      <w:bookmarkStart w:id="518" w:name="_Toc28863"/>
      <w:bookmarkStart w:id="519" w:name="_Toc8430"/>
      <w:r>
        <w:rPr>
          <w:rFonts w:hint="eastAsia"/>
          <w:highlight w:val="none"/>
        </w:rPr>
        <w:t>功能配置</w:t>
      </w:r>
      <w:bookmarkEnd w:id="516"/>
      <w:bookmarkEnd w:id="517"/>
      <w:bookmarkEnd w:id="518"/>
      <w:bookmarkEnd w:id="519"/>
    </w:p>
    <w:p>
      <w:pPr>
        <w:ind w:firstLine="480"/>
        <w:rPr>
          <w:highlight w:val="none"/>
        </w:rPr>
      </w:pPr>
      <w:r>
        <w:rPr>
          <w:rFonts w:hint="eastAsia" w:ascii="宋体" w:hAnsi="宋体" w:eastAsia="宋体" w:cs="宋体"/>
          <w:highlight w:val="none"/>
          <w:lang w:val="en-US" w:eastAsia="zh-CN"/>
        </w:rPr>
        <w:t>7楼党委会议室</w:t>
      </w:r>
      <w:r>
        <w:rPr>
          <w:rFonts w:hint="eastAsia" w:cs="宋体"/>
          <w:highlight w:val="none"/>
          <w:lang w:val="en-US" w:eastAsia="zh-CN"/>
        </w:rPr>
        <w:t>、</w:t>
      </w:r>
      <w:r>
        <w:rPr>
          <w:rFonts w:hint="eastAsia" w:ascii="宋体" w:hAnsi="宋体" w:eastAsia="宋体" w:cs="宋体"/>
          <w:highlight w:val="none"/>
          <w:lang w:val="en-US" w:eastAsia="zh-CN"/>
        </w:rPr>
        <w:t>8F公用会议室1和8F公用会议室2</w:t>
      </w:r>
      <w:r>
        <w:rPr>
          <w:rFonts w:hint="eastAsia"/>
          <w:highlight w:val="none"/>
        </w:rPr>
        <w:t>配置显示系统、会议扩声系统等内容</w:t>
      </w:r>
      <w:r>
        <w:rPr>
          <w:rFonts w:hint="eastAsia"/>
          <w:highlight w:val="none"/>
          <w:lang w:eastAsia="zh-CN"/>
        </w:rPr>
        <w:t>，</w:t>
      </w:r>
      <w:r>
        <w:rPr>
          <w:rFonts w:hint="eastAsia"/>
          <w:highlight w:val="none"/>
          <w:lang w:val="en-US" w:eastAsia="zh-CN"/>
        </w:rPr>
        <w:t>相关配置</w:t>
      </w:r>
      <w:r>
        <w:rPr>
          <w:rFonts w:hint="eastAsia"/>
          <w:highlight w:val="none"/>
        </w:rPr>
        <w:t>如下表所示：</w:t>
      </w:r>
    </w:p>
    <w:p>
      <w:pPr>
        <w:keepNext/>
        <w:ind w:firstLine="420"/>
        <w:jc w:val="center"/>
        <w:rPr>
          <w:rFonts w:ascii="黑体" w:hAnsi="黑体" w:eastAsia="黑体" w:cs="黑体"/>
          <w:sz w:val="21"/>
          <w:szCs w:val="20"/>
          <w:highlight w:val="none"/>
        </w:rPr>
      </w:pPr>
      <w:r>
        <w:rPr>
          <w:rFonts w:hint="eastAsia" w:ascii="黑体" w:hAnsi="黑体" w:eastAsia="黑体" w:cs="黑体"/>
          <w:sz w:val="21"/>
          <w:szCs w:val="20"/>
          <w:highlight w:val="none"/>
        </w:rPr>
        <w:t xml:space="preserve">表 </w:t>
      </w:r>
      <w:r>
        <w:rPr>
          <w:rFonts w:hint="eastAsia" w:ascii="黑体" w:hAnsi="黑体" w:eastAsia="黑体" w:cs="黑体"/>
          <w:sz w:val="21"/>
          <w:szCs w:val="20"/>
          <w:highlight w:val="none"/>
          <w:lang w:val="en-US" w:eastAsia="zh-CN"/>
        </w:rPr>
        <w:t>2.4</w:t>
      </w:r>
      <w:r>
        <w:rPr>
          <w:rFonts w:hint="eastAsia" w:ascii="黑体" w:hAnsi="黑体" w:eastAsia="黑体" w:cs="黑体"/>
          <w:sz w:val="21"/>
          <w:szCs w:val="20"/>
          <w:highlight w:val="none"/>
        </w:rPr>
        <w:noBreakHyphen/>
      </w:r>
      <w:r>
        <w:rPr>
          <w:rFonts w:hint="eastAsia" w:ascii="黑体" w:hAnsi="黑体" w:eastAsia="黑体" w:cs="黑体"/>
          <w:sz w:val="21"/>
          <w:szCs w:val="20"/>
          <w:highlight w:val="none"/>
          <w:lang w:val="en-US" w:eastAsia="zh-CN"/>
        </w:rPr>
        <w:t>5会议室设备配置</w:t>
      </w:r>
      <w:r>
        <w:rPr>
          <w:rFonts w:hint="eastAsia" w:ascii="黑体" w:hAnsi="黑体" w:eastAsia="黑体" w:cs="黑体"/>
          <w:sz w:val="21"/>
          <w:szCs w:val="20"/>
          <w:highlight w:val="none"/>
        </w:rPr>
        <w:t>汇总表</w:t>
      </w:r>
    </w:p>
    <w:tbl>
      <w:tblPr>
        <w:tblStyle w:val="2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6"/>
        <w:gridCol w:w="2355"/>
        <w:gridCol w:w="1642"/>
        <w:gridCol w:w="1856"/>
        <w:gridCol w:w="1713"/>
        <w:gridCol w:w="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1"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eastAsia="宋体"/>
                <w:sz w:val="21"/>
                <w:szCs w:val="21"/>
                <w:highlight w:val="none"/>
                <w:vertAlign w:val="baseline"/>
                <w:lang w:val="en-US" w:eastAsia="zh-CN"/>
              </w:rPr>
            </w:pPr>
            <w:r>
              <w:rPr>
                <w:rFonts w:hint="eastAsia"/>
                <w:sz w:val="21"/>
                <w:szCs w:val="21"/>
                <w:highlight w:val="none"/>
                <w:vertAlign w:val="baseline"/>
                <w:lang w:val="en-US" w:eastAsia="zh-CN"/>
              </w:rPr>
              <w:t>序号</w:t>
            </w:r>
          </w:p>
        </w:tc>
        <w:tc>
          <w:tcPr>
            <w:tcW w:w="1268"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eastAsia="宋体"/>
                <w:sz w:val="21"/>
                <w:szCs w:val="21"/>
                <w:highlight w:val="none"/>
                <w:vertAlign w:val="baseline"/>
                <w:lang w:val="en-US" w:eastAsia="zh-CN"/>
              </w:rPr>
            </w:pPr>
            <w:r>
              <w:rPr>
                <w:rFonts w:hint="eastAsia"/>
                <w:sz w:val="21"/>
                <w:szCs w:val="21"/>
                <w:highlight w:val="none"/>
                <w:vertAlign w:val="baseline"/>
                <w:lang w:val="en-US" w:eastAsia="zh-CN"/>
              </w:rPr>
              <w:t>名称</w:t>
            </w:r>
          </w:p>
        </w:tc>
        <w:tc>
          <w:tcPr>
            <w:tcW w:w="88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eastAsia="宋体"/>
                <w:sz w:val="21"/>
                <w:szCs w:val="21"/>
                <w:highlight w:val="none"/>
                <w:vertAlign w:val="baseline"/>
                <w:lang w:val="en-US" w:eastAsia="zh-CN"/>
              </w:rPr>
            </w:pPr>
            <w:r>
              <w:rPr>
                <w:rFonts w:hint="eastAsia"/>
                <w:sz w:val="21"/>
                <w:szCs w:val="21"/>
                <w:highlight w:val="none"/>
                <w:vertAlign w:val="baseline"/>
                <w:lang w:val="en-US" w:eastAsia="zh-CN"/>
              </w:rPr>
              <w:t>LCD拼接屏</w:t>
            </w:r>
          </w:p>
        </w:tc>
        <w:tc>
          <w:tcPr>
            <w:tcW w:w="999"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eastAsia="宋体"/>
                <w:sz w:val="21"/>
                <w:szCs w:val="21"/>
                <w:highlight w:val="none"/>
                <w:vertAlign w:val="baseline"/>
                <w:lang w:val="en-US" w:eastAsia="zh-CN"/>
              </w:rPr>
            </w:pPr>
            <w:r>
              <w:rPr>
                <w:rFonts w:hint="eastAsia"/>
                <w:sz w:val="21"/>
                <w:szCs w:val="21"/>
                <w:highlight w:val="none"/>
                <w:vertAlign w:val="baseline"/>
                <w:lang w:val="en-US" w:eastAsia="zh-CN"/>
              </w:rPr>
              <w:t>拾音设备</w:t>
            </w:r>
          </w:p>
        </w:tc>
        <w:tc>
          <w:tcPr>
            <w:tcW w:w="92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eastAsia="宋体"/>
                <w:sz w:val="21"/>
                <w:szCs w:val="21"/>
                <w:highlight w:val="none"/>
                <w:vertAlign w:val="baseline"/>
                <w:lang w:val="en-US" w:eastAsia="zh-CN"/>
              </w:rPr>
            </w:pPr>
            <w:r>
              <w:rPr>
                <w:rFonts w:hint="eastAsia"/>
                <w:sz w:val="21"/>
                <w:szCs w:val="21"/>
                <w:highlight w:val="none"/>
                <w:vertAlign w:val="baseline"/>
                <w:lang w:val="en-US" w:eastAsia="zh-CN"/>
              </w:rPr>
              <w:t>扩声设备</w:t>
            </w:r>
          </w:p>
        </w:tc>
        <w:tc>
          <w:tcPr>
            <w:tcW w:w="46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eastAsia="宋体"/>
                <w:sz w:val="21"/>
                <w:szCs w:val="21"/>
                <w:highlight w:val="none"/>
                <w:vertAlign w:val="baseline"/>
                <w:lang w:val="en-US" w:eastAsia="zh-CN"/>
              </w:rPr>
            </w:pPr>
            <w:r>
              <w:rPr>
                <w:rFonts w:hint="eastAsia"/>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1"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1</w:t>
            </w:r>
          </w:p>
        </w:tc>
        <w:tc>
          <w:tcPr>
            <w:tcW w:w="1268"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eastAsia="宋体"/>
                <w:sz w:val="21"/>
                <w:szCs w:val="21"/>
                <w:highlight w:val="none"/>
                <w:vertAlign w:val="baseline"/>
                <w:lang w:val="en-US" w:eastAsia="zh-CN"/>
              </w:rPr>
            </w:pPr>
            <w:r>
              <w:rPr>
                <w:rFonts w:hint="eastAsia"/>
                <w:sz w:val="21"/>
                <w:szCs w:val="21"/>
                <w:highlight w:val="none"/>
                <w:vertAlign w:val="baseline"/>
              </w:rPr>
              <w:t>7楼党</w:t>
            </w:r>
            <w:r>
              <w:rPr>
                <w:rFonts w:hint="eastAsia"/>
                <w:sz w:val="21"/>
                <w:szCs w:val="21"/>
                <w:highlight w:val="none"/>
                <w:vertAlign w:val="baseline"/>
                <w:lang w:val="en-US" w:eastAsia="zh-CN"/>
              </w:rPr>
              <w:t>员活动室</w:t>
            </w:r>
          </w:p>
        </w:tc>
        <w:tc>
          <w:tcPr>
            <w:tcW w:w="88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2行3列</w:t>
            </w:r>
          </w:p>
        </w:tc>
        <w:tc>
          <w:tcPr>
            <w:tcW w:w="999"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无线话筒*14</w:t>
            </w:r>
          </w:p>
        </w:tc>
        <w:tc>
          <w:tcPr>
            <w:tcW w:w="92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吸顶喇叭*4</w:t>
            </w:r>
          </w:p>
        </w:tc>
        <w:tc>
          <w:tcPr>
            <w:tcW w:w="46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1"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eastAsia="宋体"/>
                <w:sz w:val="21"/>
                <w:szCs w:val="21"/>
                <w:highlight w:val="none"/>
                <w:vertAlign w:val="baseline"/>
                <w:lang w:val="en-US" w:eastAsia="zh-CN"/>
              </w:rPr>
            </w:pPr>
            <w:r>
              <w:rPr>
                <w:rFonts w:hint="eastAsia"/>
                <w:sz w:val="21"/>
                <w:szCs w:val="21"/>
                <w:highlight w:val="none"/>
                <w:vertAlign w:val="baseline"/>
                <w:lang w:val="en-US" w:eastAsia="zh-CN"/>
              </w:rPr>
              <w:t>2</w:t>
            </w:r>
          </w:p>
        </w:tc>
        <w:tc>
          <w:tcPr>
            <w:tcW w:w="1268"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sz w:val="21"/>
                <w:szCs w:val="21"/>
                <w:highlight w:val="none"/>
                <w:vertAlign w:val="baseline"/>
              </w:rPr>
            </w:pPr>
            <w:r>
              <w:rPr>
                <w:rFonts w:hint="eastAsia"/>
                <w:sz w:val="21"/>
                <w:szCs w:val="21"/>
                <w:highlight w:val="none"/>
                <w:vertAlign w:val="baseline"/>
              </w:rPr>
              <w:t>8F</w:t>
            </w:r>
            <w:r>
              <w:rPr>
                <w:rFonts w:hint="eastAsia" w:cs="宋体"/>
                <w:highlight w:val="none"/>
                <w:lang w:val="en-US" w:eastAsia="zh-CN"/>
              </w:rPr>
              <w:t>培训室</w:t>
            </w:r>
          </w:p>
        </w:tc>
        <w:tc>
          <w:tcPr>
            <w:tcW w:w="88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sz w:val="21"/>
                <w:szCs w:val="21"/>
                <w:highlight w:val="none"/>
                <w:vertAlign w:val="baseline"/>
                <w:lang w:val="en-US" w:eastAsia="zh-CN"/>
              </w:rPr>
            </w:pPr>
            <w:r>
              <w:rPr>
                <w:rFonts w:hint="eastAsia"/>
                <w:sz w:val="21"/>
                <w:szCs w:val="21"/>
                <w:highlight w:val="none"/>
                <w:vertAlign w:val="baseline"/>
                <w:lang w:val="en-US" w:eastAsia="zh-CN"/>
              </w:rPr>
              <w:t>/</w:t>
            </w:r>
          </w:p>
        </w:tc>
        <w:tc>
          <w:tcPr>
            <w:tcW w:w="999"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sz w:val="21"/>
                <w:szCs w:val="21"/>
                <w:highlight w:val="none"/>
                <w:vertAlign w:val="baseline"/>
                <w:lang w:val="en-US"/>
              </w:rPr>
            </w:pPr>
            <w:r>
              <w:rPr>
                <w:rFonts w:hint="eastAsia"/>
                <w:sz w:val="21"/>
                <w:szCs w:val="21"/>
                <w:highlight w:val="none"/>
                <w:vertAlign w:val="baseline"/>
                <w:lang w:val="en-US" w:eastAsia="zh-CN"/>
              </w:rPr>
              <w:t>无线话筒*14</w:t>
            </w:r>
          </w:p>
        </w:tc>
        <w:tc>
          <w:tcPr>
            <w:tcW w:w="92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sz w:val="21"/>
                <w:szCs w:val="21"/>
                <w:highlight w:val="none"/>
                <w:vertAlign w:val="baseline"/>
              </w:rPr>
            </w:pPr>
            <w:r>
              <w:rPr>
                <w:rFonts w:hint="eastAsia"/>
                <w:sz w:val="21"/>
                <w:szCs w:val="21"/>
                <w:highlight w:val="none"/>
                <w:vertAlign w:val="baseline"/>
                <w:lang w:val="en-US" w:eastAsia="zh-CN"/>
              </w:rPr>
              <w:t>吸顶喇叭*4</w:t>
            </w:r>
          </w:p>
        </w:tc>
        <w:tc>
          <w:tcPr>
            <w:tcW w:w="46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1"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eastAsia="宋体"/>
                <w:sz w:val="21"/>
                <w:szCs w:val="21"/>
                <w:highlight w:val="none"/>
                <w:vertAlign w:val="baseline"/>
                <w:lang w:val="en-US" w:eastAsia="zh-CN"/>
              </w:rPr>
            </w:pPr>
            <w:r>
              <w:rPr>
                <w:rFonts w:hint="eastAsia"/>
                <w:sz w:val="21"/>
                <w:szCs w:val="21"/>
                <w:highlight w:val="none"/>
                <w:vertAlign w:val="baseline"/>
                <w:lang w:val="en-US" w:eastAsia="zh-CN"/>
              </w:rPr>
              <w:t>3</w:t>
            </w:r>
          </w:p>
        </w:tc>
        <w:tc>
          <w:tcPr>
            <w:tcW w:w="1268"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sz w:val="21"/>
                <w:szCs w:val="21"/>
                <w:highlight w:val="none"/>
                <w:vertAlign w:val="baseline"/>
              </w:rPr>
            </w:pPr>
            <w:r>
              <w:rPr>
                <w:rFonts w:hint="eastAsia"/>
                <w:sz w:val="21"/>
                <w:szCs w:val="21"/>
                <w:highlight w:val="none"/>
                <w:vertAlign w:val="baseline"/>
              </w:rPr>
              <w:t>8F公用会议室</w:t>
            </w:r>
          </w:p>
        </w:tc>
        <w:tc>
          <w:tcPr>
            <w:tcW w:w="88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2行3列</w:t>
            </w:r>
          </w:p>
        </w:tc>
        <w:tc>
          <w:tcPr>
            <w:tcW w:w="999"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eastAsia="宋体"/>
                <w:sz w:val="21"/>
                <w:szCs w:val="21"/>
                <w:highlight w:val="none"/>
                <w:vertAlign w:val="baseline"/>
                <w:lang w:val="en-US" w:eastAsia="zh-CN"/>
              </w:rPr>
            </w:pPr>
            <w:r>
              <w:rPr>
                <w:rFonts w:hint="eastAsia"/>
                <w:sz w:val="21"/>
                <w:szCs w:val="21"/>
                <w:highlight w:val="none"/>
                <w:vertAlign w:val="baseline"/>
                <w:lang w:val="en-US" w:eastAsia="zh-CN"/>
              </w:rPr>
              <w:t>无线话筒*14</w:t>
            </w:r>
          </w:p>
        </w:tc>
        <w:tc>
          <w:tcPr>
            <w:tcW w:w="92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eastAsia="宋体"/>
                <w:sz w:val="21"/>
                <w:szCs w:val="21"/>
                <w:highlight w:val="none"/>
                <w:vertAlign w:val="baseline"/>
                <w:lang w:val="en-US" w:eastAsia="zh-CN"/>
              </w:rPr>
            </w:pPr>
            <w:r>
              <w:rPr>
                <w:rFonts w:hint="eastAsia"/>
                <w:sz w:val="21"/>
                <w:szCs w:val="21"/>
                <w:highlight w:val="none"/>
                <w:vertAlign w:val="baseline"/>
                <w:lang w:val="en-US" w:eastAsia="zh-CN"/>
              </w:rPr>
              <w:t>吸顶喇叭*4</w:t>
            </w:r>
          </w:p>
        </w:tc>
        <w:tc>
          <w:tcPr>
            <w:tcW w:w="46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sz w:val="21"/>
                <w:szCs w:val="21"/>
                <w:highlight w:val="none"/>
                <w:vertAlign w:val="baseline"/>
              </w:rPr>
            </w:pPr>
          </w:p>
        </w:tc>
      </w:tr>
    </w:tbl>
    <w:p>
      <w:pPr>
        <w:pStyle w:val="6"/>
        <w:bidi w:val="0"/>
        <w:rPr>
          <w:rFonts w:hint="eastAsia"/>
          <w:lang w:val="en-US" w:eastAsia="zh-CN"/>
        </w:rPr>
      </w:pPr>
      <w:r>
        <w:rPr>
          <w:rFonts w:hint="eastAsia"/>
          <w:lang w:val="en-US" w:eastAsia="zh-CN"/>
        </w:rPr>
        <w:t>7楼党员活动室</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r>
        <w:drawing>
          <wp:inline distT="0" distB="0" distL="114300" distR="114300">
            <wp:extent cx="3959860" cy="4279900"/>
            <wp:effectExtent l="0" t="0" r="2540" b="2540"/>
            <wp:docPr id="3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true"/>
                    </pic:cNvPicPr>
                  </pic:nvPicPr>
                  <pic:blipFill>
                    <a:blip r:embed="rId28"/>
                    <a:stretch>
                      <a:fillRect/>
                    </a:stretch>
                  </pic:blipFill>
                  <pic:spPr>
                    <a:xfrm>
                      <a:off x="0" y="0"/>
                      <a:ext cx="3959860" cy="4279900"/>
                    </a:xfrm>
                    <a:prstGeom prst="rect">
                      <a:avLst/>
                    </a:prstGeom>
                    <a:noFill/>
                    <a:ln>
                      <a:noFill/>
                    </a:ln>
                  </pic:spPr>
                </pic:pic>
              </a:graphicData>
            </a:graphic>
          </wp:inline>
        </w:drawing>
      </w:r>
    </w:p>
    <w:p>
      <w:pPr>
        <w:pStyle w:val="12"/>
        <w:spacing w:beforeLines="0" w:after="0"/>
        <w:ind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图</w:t>
      </w:r>
      <w:r>
        <w:rPr>
          <w:rFonts w:hint="eastAsia" w:ascii="宋体" w:hAnsi="宋体" w:eastAsia="宋体" w:cs="宋体"/>
          <w:sz w:val="21"/>
          <w:szCs w:val="21"/>
          <w:highlight w:val="none"/>
          <w:lang w:val="en-US" w:eastAsia="zh-CN"/>
        </w:rPr>
        <w:t>2.4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3 7</w:t>
      </w:r>
      <w:r>
        <w:rPr>
          <w:rFonts w:hint="eastAsia" w:ascii="宋体" w:hAnsi="宋体" w:eastAsia="宋体" w:cs="宋体"/>
          <w:sz w:val="21"/>
          <w:szCs w:val="21"/>
          <w:highlight w:val="none"/>
        </w:rPr>
        <w:t>F党员活动室设备布置图</w:t>
      </w:r>
    </w:p>
    <w:p>
      <w:pPr>
        <w:widowControl w:val="0"/>
        <w:adjustRightInd/>
        <w:rPr>
          <w:rFonts w:hint="eastAsia"/>
          <w:highlight w:val="none"/>
          <w:lang w:val="en-US" w:eastAsia="zh-CN"/>
        </w:rPr>
      </w:pPr>
      <w:r>
        <w:rPr>
          <w:rFonts w:hint="eastAsia"/>
          <w:highlight w:val="none"/>
          <w:lang w:val="en-US" w:eastAsia="zh-CN"/>
        </w:rPr>
        <w:t>显示设备：在7F党员活动室配置1套LCD拼接屏，基础拼接单元为55寸液晶显示器，采用2行3列布置方案，配备数字化拼接屏处理器，支持4路HDMI输入+4路4k输入+8路DVI输出。</w:t>
      </w:r>
    </w:p>
    <w:p>
      <w:pPr>
        <w:widowControl w:val="0"/>
        <w:adjustRightInd/>
        <w:rPr>
          <w:rFonts w:hint="default"/>
          <w:highlight w:val="none"/>
          <w:lang w:val="en-US" w:eastAsia="zh-CN"/>
        </w:rPr>
      </w:pPr>
      <w:r>
        <w:rPr>
          <w:rFonts w:hint="eastAsia"/>
          <w:highlight w:val="none"/>
          <w:lang w:val="en-US" w:eastAsia="zh-CN"/>
        </w:rPr>
        <w:t>拾音设备：在8F培训室配置14套座席无线话筒，作为会场主要拾音设备。配置1台126路无线会议主机，用于无线话筒的信息接入和管理。配置1台无线会议单元20路充电主机，用于座席无线话筒充电。</w:t>
      </w:r>
    </w:p>
    <w:p>
      <w:pPr>
        <w:widowControl w:val="0"/>
        <w:adjustRightInd/>
        <w:rPr>
          <w:rFonts w:hint="eastAsia"/>
          <w:highlight w:val="none"/>
          <w:lang w:val="en-US" w:eastAsia="zh-CN"/>
        </w:rPr>
      </w:pPr>
      <w:r>
        <w:rPr>
          <w:rFonts w:hint="eastAsia"/>
          <w:highlight w:val="none"/>
          <w:lang w:val="en-US" w:eastAsia="zh-CN"/>
        </w:rPr>
        <w:t>调音设备：在8F培训室部署音频处理器、调音台和智能反馈抑制器，用于音源的处理、降噪和音质改善。</w:t>
      </w:r>
    </w:p>
    <w:p>
      <w:pPr>
        <w:widowControl w:val="0"/>
        <w:adjustRightInd/>
        <w:rPr>
          <w:rFonts w:hint="eastAsia"/>
          <w:highlight w:val="none"/>
          <w:lang w:val="en-US" w:eastAsia="zh-CN"/>
        </w:rPr>
      </w:pPr>
      <w:r>
        <w:rPr>
          <w:rFonts w:hint="eastAsia"/>
          <w:highlight w:val="none"/>
          <w:lang w:val="en-US" w:eastAsia="zh-CN"/>
        </w:rPr>
        <w:t>扩音设备：为满足8F培训室空间扩声需求，部署4只吸顶喇叭以及1台功放，实现各类音源的播放。</w:t>
      </w:r>
    </w:p>
    <w:p>
      <w:pPr>
        <w:pStyle w:val="6"/>
        <w:bidi w:val="0"/>
        <w:rPr>
          <w:rFonts w:hint="eastAsia"/>
          <w:lang w:val="en-US" w:eastAsia="zh-CN"/>
        </w:rPr>
      </w:pPr>
      <w:r>
        <w:rPr>
          <w:rFonts w:hint="eastAsia"/>
          <w:lang w:val="en-US" w:eastAsia="zh-CN"/>
        </w:rPr>
        <w:t>8F公用会议室1</w:t>
      </w:r>
    </w:p>
    <w:p>
      <w:pPr>
        <w:widowControl w:val="0"/>
        <w:adjustRightInd/>
        <w:jc w:val="center"/>
        <w:rPr>
          <w:rFonts w:hint="default"/>
          <w:lang w:val="en-US" w:eastAsia="zh-CN"/>
        </w:rPr>
      </w:pPr>
      <w:r>
        <w:drawing>
          <wp:inline distT="0" distB="0" distL="114300" distR="114300">
            <wp:extent cx="3959860" cy="3397250"/>
            <wp:effectExtent l="0" t="0" r="2540" b="1270"/>
            <wp:docPr id="32"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2" name="图片 2"/>
                    <pic:cNvPicPr>
                      <a:picLocks noChangeAspect="true"/>
                    </pic:cNvPicPr>
                  </pic:nvPicPr>
                  <pic:blipFill>
                    <a:blip r:embed="rId29"/>
                    <a:stretch>
                      <a:fillRect/>
                    </a:stretch>
                  </pic:blipFill>
                  <pic:spPr>
                    <a:xfrm>
                      <a:off x="0" y="0"/>
                      <a:ext cx="3959860" cy="3397250"/>
                    </a:xfrm>
                    <a:prstGeom prst="rect">
                      <a:avLst/>
                    </a:prstGeom>
                    <a:noFill/>
                    <a:ln>
                      <a:noFill/>
                    </a:ln>
                  </pic:spPr>
                </pic:pic>
              </a:graphicData>
            </a:graphic>
          </wp:inline>
        </w:drawing>
      </w:r>
    </w:p>
    <w:p>
      <w:pPr>
        <w:pStyle w:val="12"/>
        <w:spacing w:beforeLines="0" w:after="0"/>
        <w:ind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 </w:t>
      </w:r>
      <w:r>
        <w:rPr>
          <w:rFonts w:hint="eastAsia" w:ascii="宋体" w:hAnsi="宋体" w:eastAsia="宋体" w:cs="宋体"/>
          <w:sz w:val="21"/>
          <w:szCs w:val="21"/>
          <w:highlight w:val="none"/>
          <w:lang w:val="en-US" w:eastAsia="zh-CN"/>
        </w:rPr>
        <w:t>2.4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 xml:space="preserve">4 </w:t>
      </w:r>
      <w:r>
        <w:rPr>
          <w:rFonts w:hint="eastAsia" w:ascii="宋体" w:hAnsi="宋体" w:eastAsia="宋体" w:cs="宋体"/>
          <w:sz w:val="21"/>
          <w:szCs w:val="21"/>
          <w:highlight w:val="none"/>
        </w:rPr>
        <w:t>8F公用会议室1设备布置图</w:t>
      </w:r>
    </w:p>
    <w:p>
      <w:pPr>
        <w:widowControl w:val="0"/>
        <w:adjustRightInd/>
        <w:rPr>
          <w:rFonts w:hint="default"/>
          <w:highlight w:val="none"/>
          <w:lang w:val="en-US" w:eastAsia="zh-CN"/>
        </w:rPr>
      </w:pPr>
      <w:r>
        <w:rPr>
          <w:rFonts w:hint="eastAsia"/>
          <w:highlight w:val="none"/>
          <w:lang w:val="en-US" w:eastAsia="zh-CN"/>
        </w:rPr>
        <w:t>拾音设备：在8F培训室配置14套座席无线话筒，作为会场主要拾音设备。配置1台126路无线会议主机，用于无线话筒的信息接入和管理。配置1台无线会议单元20路充电主机，用于座席无线话筒充电。</w:t>
      </w:r>
    </w:p>
    <w:p>
      <w:pPr>
        <w:widowControl w:val="0"/>
        <w:adjustRightInd/>
        <w:rPr>
          <w:rFonts w:hint="eastAsia"/>
          <w:highlight w:val="none"/>
          <w:lang w:val="en-US" w:eastAsia="zh-CN"/>
        </w:rPr>
      </w:pPr>
      <w:r>
        <w:rPr>
          <w:rFonts w:hint="eastAsia"/>
          <w:highlight w:val="none"/>
          <w:lang w:val="en-US" w:eastAsia="zh-CN"/>
        </w:rPr>
        <w:t>调音设备：在8F培训室部署音频处理器、调音台和智能反馈抑制器，用于音源的处理、降噪和音质改善。</w:t>
      </w:r>
    </w:p>
    <w:p>
      <w:pPr>
        <w:widowControl w:val="0"/>
        <w:adjustRightInd/>
        <w:rPr>
          <w:rFonts w:hint="eastAsia"/>
          <w:highlight w:val="none"/>
          <w:lang w:val="en-US" w:eastAsia="zh-CN"/>
        </w:rPr>
      </w:pPr>
      <w:r>
        <w:rPr>
          <w:rFonts w:hint="eastAsia"/>
          <w:highlight w:val="none"/>
          <w:lang w:val="en-US" w:eastAsia="zh-CN"/>
        </w:rPr>
        <w:t>扩音设备：为满足8F培训室空间扩声需求，部署4只吸顶喇叭以及1台功放，实现各类音源的播放。</w:t>
      </w:r>
    </w:p>
    <w:p>
      <w:pPr>
        <w:pStyle w:val="6"/>
        <w:bidi w:val="0"/>
        <w:rPr>
          <w:rFonts w:hint="eastAsia"/>
          <w:lang w:val="en-US" w:eastAsia="zh-CN"/>
        </w:rPr>
      </w:pPr>
      <w:r>
        <w:rPr>
          <w:rFonts w:hint="eastAsia"/>
          <w:lang w:val="en-US" w:eastAsia="zh-CN"/>
        </w:rPr>
        <w:t>8F公用会议室2</w:t>
      </w:r>
    </w:p>
    <w:p>
      <w:pPr>
        <w:ind w:firstLine="0" w:firstLineChars="0"/>
      </w:pPr>
    </w:p>
    <w:p>
      <w:pPr>
        <w:ind w:firstLine="0" w:firstLineChars="0"/>
        <w:jc w:val="center"/>
      </w:pPr>
      <w:r>
        <w:drawing>
          <wp:inline distT="0" distB="0" distL="114300" distR="114300">
            <wp:extent cx="3959860" cy="3469005"/>
            <wp:effectExtent l="0" t="0" r="2540" b="5715"/>
            <wp:docPr id="33"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3" name="图片 3"/>
                    <pic:cNvPicPr>
                      <a:picLocks noChangeAspect="true"/>
                    </pic:cNvPicPr>
                  </pic:nvPicPr>
                  <pic:blipFill>
                    <a:blip r:embed="rId30"/>
                    <a:stretch>
                      <a:fillRect/>
                    </a:stretch>
                  </pic:blipFill>
                  <pic:spPr>
                    <a:xfrm>
                      <a:off x="0" y="0"/>
                      <a:ext cx="3959860" cy="3469005"/>
                    </a:xfrm>
                    <a:prstGeom prst="rect">
                      <a:avLst/>
                    </a:prstGeom>
                    <a:noFill/>
                    <a:ln>
                      <a:noFill/>
                    </a:ln>
                  </pic:spPr>
                </pic:pic>
              </a:graphicData>
            </a:graphic>
          </wp:inline>
        </w:drawing>
      </w:r>
    </w:p>
    <w:p>
      <w:pPr>
        <w:pStyle w:val="12"/>
        <w:spacing w:beforeLines="0" w:after="0"/>
        <w:ind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 </w:t>
      </w:r>
      <w:r>
        <w:rPr>
          <w:rFonts w:hint="eastAsia" w:ascii="宋体" w:hAnsi="宋体" w:eastAsia="宋体" w:cs="宋体"/>
          <w:sz w:val="21"/>
          <w:szCs w:val="21"/>
          <w:highlight w:val="none"/>
          <w:lang w:val="en-US" w:eastAsia="zh-CN"/>
        </w:rPr>
        <w:t>2.4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 xml:space="preserve">5 </w:t>
      </w:r>
      <w:r>
        <w:rPr>
          <w:rFonts w:hint="eastAsia" w:ascii="宋体" w:hAnsi="宋体" w:eastAsia="宋体" w:cs="宋体"/>
          <w:sz w:val="21"/>
          <w:szCs w:val="21"/>
          <w:highlight w:val="none"/>
        </w:rPr>
        <w:t>8F公用会议室</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设备布置图</w:t>
      </w:r>
    </w:p>
    <w:p>
      <w:pPr>
        <w:widowControl w:val="0"/>
        <w:adjustRightInd/>
        <w:rPr>
          <w:rFonts w:hint="default"/>
          <w:highlight w:val="none"/>
          <w:lang w:val="en-US" w:eastAsia="zh-CN"/>
        </w:rPr>
      </w:pPr>
      <w:r>
        <w:rPr>
          <w:rFonts w:hint="eastAsia"/>
          <w:highlight w:val="none"/>
          <w:lang w:val="en-US" w:eastAsia="zh-CN"/>
        </w:rPr>
        <w:t>拾音设备：在8F公用会议室配置14套座席无线话筒，作为会场主要拾音设备。配置1台126路无线会议主机，用于无线话筒的信息接入和管理。配置1台无线会议单元20路充电主机，用于座席无线话筒充电。</w:t>
      </w:r>
    </w:p>
    <w:p>
      <w:pPr>
        <w:widowControl w:val="0"/>
        <w:adjustRightInd/>
        <w:rPr>
          <w:rFonts w:hint="eastAsia"/>
          <w:highlight w:val="none"/>
          <w:lang w:val="en-US" w:eastAsia="zh-CN"/>
        </w:rPr>
      </w:pPr>
      <w:r>
        <w:rPr>
          <w:rFonts w:hint="eastAsia"/>
          <w:highlight w:val="none"/>
          <w:lang w:val="en-US" w:eastAsia="zh-CN"/>
        </w:rPr>
        <w:t>调音设备：在8F公用会议室部署音频处理器、调音台和智能反馈抑制器，用于音源的处理、降噪和音质改善。</w:t>
      </w:r>
    </w:p>
    <w:p>
      <w:pPr>
        <w:widowControl w:val="0"/>
        <w:adjustRightInd/>
        <w:rPr>
          <w:rFonts w:hint="eastAsia"/>
          <w:highlight w:val="none"/>
          <w:lang w:val="en-US" w:eastAsia="zh-CN"/>
        </w:rPr>
      </w:pPr>
      <w:r>
        <w:rPr>
          <w:rFonts w:hint="eastAsia"/>
          <w:highlight w:val="none"/>
          <w:lang w:val="en-US" w:eastAsia="zh-CN"/>
        </w:rPr>
        <w:t>扩音设备：为满足8F公用会议室空间扩声需求，部署4只吸顶喇叭以及1台功放，实现各类音源的播放。</w:t>
      </w:r>
    </w:p>
    <w:p>
      <w:pPr>
        <w:pStyle w:val="4"/>
        <w:bidi w:val="0"/>
        <w:rPr>
          <w:rFonts w:hint="eastAsia"/>
          <w:lang w:val="en-US" w:eastAsia="zh-CN"/>
        </w:rPr>
      </w:pPr>
      <w:bookmarkStart w:id="520" w:name="_Toc3549"/>
      <w:bookmarkStart w:id="521" w:name="_Toc15730"/>
      <w:bookmarkStart w:id="522" w:name="_Toc31642"/>
      <w:bookmarkStart w:id="523" w:name="_Toc19138"/>
      <w:r>
        <w:rPr>
          <w:rFonts w:hint="eastAsia"/>
          <w:lang w:val="en-US" w:eastAsia="zh-CN"/>
        </w:rPr>
        <w:t>紧急求助系统</w:t>
      </w:r>
      <w:bookmarkEnd w:id="520"/>
      <w:bookmarkEnd w:id="521"/>
      <w:bookmarkEnd w:id="522"/>
      <w:bookmarkEnd w:id="523"/>
    </w:p>
    <w:p>
      <w:pPr>
        <w:pStyle w:val="5"/>
        <w:bidi w:val="0"/>
        <w:rPr>
          <w:rFonts w:hint="eastAsia"/>
          <w:lang w:val="en-US" w:eastAsia="zh-CN"/>
        </w:rPr>
      </w:pPr>
      <w:bookmarkStart w:id="524" w:name="_Toc19032"/>
      <w:bookmarkStart w:id="525" w:name="_Toc26442"/>
      <w:bookmarkStart w:id="526" w:name="_Toc4168"/>
      <w:bookmarkStart w:id="527" w:name="_Toc27137"/>
      <w:r>
        <w:rPr>
          <w:rFonts w:hint="eastAsia"/>
          <w:lang w:val="en-US" w:eastAsia="zh-CN"/>
        </w:rPr>
        <w:t>系统概述</w:t>
      </w:r>
      <w:bookmarkEnd w:id="524"/>
      <w:bookmarkEnd w:id="525"/>
      <w:bookmarkEnd w:id="526"/>
      <w:bookmarkEnd w:id="527"/>
    </w:p>
    <w:p>
      <w:pPr>
        <w:rPr>
          <w:rFonts w:hint="default" w:ascii="宋体" w:hAnsi="宋体" w:eastAsia="宋体" w:cs="宋体"/>
          <w:kern w:val="2"/>
          <w:sz w:val="24"/>
          <w:szCs w:val="22"/>
          <w:lang w:val="en-US" w:eastAsia="zh-CN" w:bidi="ar-SA"/>
        </w:rPr>
      </w:pPr>
      <w:r>
        <w:rPr>
          <w:rFonts w:hint="default" w:ascii="宋体" w:hAnsi="宋体" w:eastAsia="宋体" w:cs="宋体"/>
          <w:kern w:val="2"/>
          <w:sz w:val="24"/>
          <w:szCs w:val="22"/>
          <w:lang w:val="en-US" w:eastAsia="zh-CN" w:bidi="ar-SA"/>
        </w:rPr>
        <w:t>紧急求助系统是以用户生命安全为核心目标的智能化应急响应</w:t>
      </w:r>
      <w:r>
        <w:rPr>
          <w:rFonts w:hint="eastAsia" w:ascii="宋体" w:hAnsi="宋体" w:cs="宋体"/>
          <w:kern w:val="2"/>
          <w:sz w:val="24"/>
          <w:szCs w:val="22"/>
          <w:lang w:val="en-US" w:eastAsia="zh-CN" w:bidi="ar-SA"/>
        </w:rPr>
        <w:t>系统</w:t>
      </w:r>
      <w:r>
        <w:rPr>
          <w:rFonts w:hint="default" w:ascii="宋体" w:hAnsi="宋体" w:eastAsia="宋体" w:cs="宋体"/>
          <w:kern w:val="2"/>
          <w:sz w:val="24"/>
          <w:szCs w:val="22"/>
          <w:lang w:val="en-US" w:eastAsia="zh-CN" w:bidi="ar-SA"/>
        </w:rPr>
        <w:t>，旨在通过快速通信技术，为个人或群体在突发危险事件（如意外伤害、公共安全事件、自然灾害等）中提供精准化、高效的求助通道与救援支持。系统覆盖终端设备、</w:t>
      </w:r>
      <w:r>
        <w:rPr>
          <w:rFonts w:hint="eastAsia" w:ascii="宋体" w:hAnsi="宋体" w:cs="宋体"/>
          <w:kern w:val="2"/>
          <w:sz w:val="24"/>
          <w:szCs w:val="22"/>
          <w:lang w:val="en-US" w:eastAsia="zh-CN" w:bidi="ar-SA"/>
        </w:rPr>
        <w:t>管理主机</w:t>
      </w:r>
      <w:r>
        <w:rPr>
          <w:rFonts w:hint="default" w:ascii="宋体" w:hAnsi="宋体" w:eastAsia="宋体" w:cs="宋体"/>
          <w:kern w:val="2"/>
          <w:sz w:val="24"/>
          <w:szCs w:val="22"/>
          <w:lang w:val="en-US" w:eastAsia="zh-CN" w:bidi="ar-SA"/>
        </w:rPr>
        <w:t>及多部门联动网络，实现从求助触发到资源调配的全流程闭环管理，最大限度缩短响应时间，提升</w:t>
      </w:r>
      <w:r>
        <w:rPr>
          <w:rFonts w:hint="eastAsia" w:ascii="宋体" w:hAnsi="宋体" w:cs="宋体"/>
          <w:kern w:val="2"/>
          <w:sz w:val="24"/>
          <w:szCs w:val="22"/>
          <w:lang w:val="en-US" w:eastAsia="zh-CN" w:bidi="ar-SA"/>
        </w:rPr>
        <w:t>救助</w:t>
      </w:r>
      <w:r>
        <w:rPr>
          <w:rFonts w:hint="default" w:ascii="宋体" w:hAnsi="宋体" w:eastAsia="宋体" w:cs="宋体"/>
          <w:kern w:val="2"/>
          <w:sz w:val="24"/>
          <w:szCs w:val="22"/>
          <w:lang w:val="en-US" w:eastAsia="zh-CN" w:bidi="ar-SA"/>
        </w:rPr>
        <w:t>成功率。</w:t>
      </w:r>
    </w:p>
    <w:p>
      <w:pPr>
        <w:pStyle w:val="5"/>
        <w:bidi w:val="0"/>
        <w:rPr>
          <w:rFonts w:hint="default"/>
          <w:lang w:val="en-US" w:eastAsia="zh-CN"/>
        </w:rPr>
      </w:pPr>
      <w:bookmarkStart w:id="528" w:name="_Toc26017"/>
      <w:bookmarkStart w:id="529" w:name="_Toc19762"/>
      <w:bookmarkStart w:id="530" w:name="_Toc16977"/>
      <w:bookmarkStart w:id="531" w:name="_Toc1801"/>
      <w:r>
        <w:rPr>
          <w:rFonts w:hint="eastAsia"/>
          <w:lang w:val="en-US" w:eastAsia="zh-CN"/>
        </w:rPr>
        <w:t>系统</w:t>
      </w:r>
      <w:bookmarkEnd w:id="528"/>
      <w:r>
        <w:rPr>
          <w:rFonts w:hint="eastAsia"/>
          <w:lang w:val="en-US" w:eastAsia="zh-CN"/>
        </w:rPr>
        <w:t>组成</w:t>
      </w:r>
      <w:bookmarkEnd w:id="529"/>
      <w:bookmarkEnd w:id="530"/>
      <w:bookmarkEnd w:id="531"/>
    </w:p>
    <w:p>
      <w:pPr>
        <w:rPr>
          <w:rFonts w:hint="eastAsia" w:cs="宋体"/>
          <w:kern w:val="2"/>
          <w:sz w:val="24"/>
          <w:szCs w:val="22"/>
          <w:lang w:val="en-US" w:eastAsia="zh-CN" w:bidi="ar-SA"/>
        </w:rPr>
      </w:pPr>
      <w:r>
        <w:rPr>
          <w:rFonts w:hint="default" w:ascii="宋体" w:hAnsi="宋体" w:eastAsia="宋体" w:cs="宋体"/>
          <w:kern w:val="2"/>
          <w:sz w:val="24"/>
          <w:szCs w:val="22"/>
          <w:lang w:val="en-US" w:eastAsia="zh-CN" w:bidi="ar-SA"/>
        </w:rPr>
        <w:t>紧急求助系统</w:t>
      </w:r>
      <w:r>
        <w:rPr>
          <w:rFonts w:hint="eastAsia" w:cs="宋体"/>
          <w:kern w:val="2"/>
          <w:sz w:val="24"/>
          <w:szCs w:val="22"/>
          <w:lang w:val="en-US" w:eastAsia="zh-CN" w:bidi="ar-SA"/>
        </w:rPr>
        <w:t>主要由前端求助按钮、管理主机、管理软件组成，具体如下：</w:t>
      </w:r>
    </w:p>
    <w:p>
      <w:pPr>
        <w:keepNext w:val="0"/>
        <w:keepLines w:val="0"/>
        <w:pageBreakBefore w:val="0"/>
        <w:widowControl w:val="0"/>
        <w:numPr>
          <w:ilvl w:val="0"/>
          <w:numId w:val="11"/>
        </w:numPr>
        <w:kinsoku/>
        <w:wordWrap/>
        <w:overflowPunct/>
        <w:topLinePunct w:val="0"/>
        <w:autoSpaceDE/>
        <w:autoSpaceDN/>
        <w:bidi w:val="0"/>
        <w:adjustRightInd/>
        <w:snapToGrid/>
        <w:ind w:left="0" w:leftChars="0" w:firstLine="482" w:firstLineChars="200"/>
        <w:textAlignment w:val="auto"/>
        <w:rPr>
          <w:rFonts w:hint="default"/>
          <w:b/>
          <w:bCs/>
          <w:lang w:val="en-US" w:eastAsia="zh-CN"/>
        </w:rPr>
      </w:pPr>
      <w:r>
        <w:rPr>
          <w:rFonts w:hint="eastAsia"/>
          <w:b/>
          <w:bCs/>
          <w:lang w:val="en-US" w:eastAsia="zh-CN"/>
        </w:rPr>
        <w:t>前端求助按钮</w:t>
      </w:r>
    </w:p>
    <w:p>
      <w:pPr>
        <w:rPr>
          <w:rFonts w:hint="eastAsia" w:cs="宋体"/>
          <w:kern w:val="2"/>
          <w:sz w:val="24"/>
          <w:szCs w:val="22"/>
          <w:lang w:val="en-US" w:eastAsia="zh-CN" w:bidi="ar-SA"/>
        </w:rPr>
      </w:pPr>
      <w:r>
        <w:rPr>
          <w:rFonts w:hint="eastAsia" w:cs="宋体"/>
          <w:kern w:val="2"/>
          <w:sz w:val="24"/>
          <w:szCs w:val="22"/>
          <w:lang w:val="en-US" w:eastAsia="zh-CN" w:bidi="ar-SA"/>
        </w:rPr>
        <w:t>求助</w:t>
      </w:r>
      <w:r>
        <w:rPr>
          <w:rFonts w:hint="eastAsia" w:ascii="宋体" w:hAnsi="宋体" w:eastAsia="宋体" w:cs="宋体"/>
          <w:kern w:val="2"/>
          <w:sz w:val="24"/>
          <w:szCs w:val="22"/>
          <w:lang w:val="en-US" w:eastAsia="zh-CN" w:bidi="ar-SA"/>
        </w:rPr>
        <w:t>按钮是最接近求助人员的设备，</w:t>
      </w:r>
      <w:r>
        <w:rPr>
          <w:rFonts w:hint="eastAsia" w:cs="宋体"/>
          <w:kern w:val="2"/>
          <w:sz w:val="24"/>
          <w:szCs w:val="22"/>
          <w:lang w:val="en-US" w:eastAsia="zh-CN" w:bidi="ar-SA"/>
        </w:rPr>
        <w:t>支持网络接入协议，</w:t>
      </w:r>
      <w:r>
        <w:rPr>
          <w:rFonts w:hint="eastAsia" w:ascii="宋体" w:hAnsi="宋体" w:eastAsia="宋体" w:cs="宋体"/>
          <w:kern w:val="2"/>
          <w:sz w:val="24"/>
          <w:szCs w:val="22"/>
          <w:lang w:val="en-US" w:eastAsia="zh-CN" w:bidi="ar-SA"/>
        </w:rPr>
        <w:t>要求安装在可能出现紧急求助的位置，</w:t>
      </w:r>
      <w:r>
        <w:rPr>
          <w:rFonts w:hint="eastAsia" w:cs="宋体"/>
          <w:kern w:val="2"/>
          <w:sz w:val="24"/>
          <w:szCs w:val="22"/>
          <w:lang w:val="en-US" w:eastAsia="zh-CN" w:bidi="ar-SA"/>
        </w:rPr>
        <w:t>安装位置还</w:t>
      </w:r>
      <w:r>
        <w:rPr>
          <w:rFonts w:hint="eastAsia" w:ascii="宋体" w:hAnsi="宋体" w:eastAsia="宋体" w:cs="宋体"/>
          <w:kern w:val="2"/>
          <w:sz w:val="24"/>
          <w:szCs w:val="22"/>
          <w:lang w:val="en-US" w:eastAsia="zh-CN" w:bidi="ar-SA"/>
        </w:rPr>
        <w:t>应</w:t>
      </w:r>
      <w:r>
        <w:rPr>
          <w:rFonts w:hint="eastAsia" w:cs="宋体"/>
          <w:kern w:val="2"/>
          <w:sz w:val="24"/>
          <w:szCs w:val="22"/>
          <w:lang w:val="en-US" w:eastAsia="zh-CN" w:bidi="ar-SA"/>
        </w:rPr>
        <w:t>满足易于发现、不易误触碰等条件，根据市民服务中心的布局和人员特点，本期计划在母婴室、调解室、电梯厅等位置部署紧急求助按钮，服务于群众及部分特殊场所的工作人员，用于应对一般突发情况，如人员身体不适、聚集吵闹等。另外计划在每层楼选取一处导办台，安装一键报警按钮，在紧急事件发生的情况下，可一键报警至110，实现快速报警。</w:t>
      </w:r>
    </w:p>
    <w:p>
      <w:pPr>
        <w:keepNext w:val="0"/>
        <w:keepLines w:val="0"/>
        <w:pageBreakBefore w:val="0"/>
        <w:widowControl w:val="0"/>
        <w:numPr>
          <w:ilvl w:val="0"/>
          <w:numId w:val="11"/>
        </w:numPr>
        <w:kinsoku/>
        <w:wordWrap/>
        <w:overflowPunct/>
        <w:topLinePunct w:val="0"/>
        <w:autoSpaceDE/>
        <w:autoSpaceDN/>
        <w:bidi w:val="0"/>
        <w:adjustRightInd/>
        <w:snapToGrid/>
        <w:ind w:left="0" w:leftChars="0" w:firstLine="482" w:firstLineChars="200"/>
        <w:textAlignment w:val="auto"/>
        <w:rPr>
          <w:rFonts w:hint="default"/>
          <w:b/>
          <w:bCs/>
          <w:lang w:val="en-US" w:eastAsia="zh-CN"/>
        </w:rPr>
      </w:pPr>
      <w:r>
        <w:rPr>
          <w:rFonts w:hint="eastAsia"/>
          <w:b/>
          <w:bCs/>
          <w:lang w:val="en-US" w:eastAsia="zh-CN"/>
        </w:rPr>
        <w:t>管理主机</w:t>
      </w:r>
    </w:p>
    <w:p>
      <w:pPr>
        <w:rPr>
          <w:rFonts w:hint="eastAsia" w:cs="宋体"/>
          <w:kern w:val="2"/>
          <w:sz w:val="24"/>
          <w:szCs w:val="22"/>
          <w:lang w:val="en-US" w:eastAsia="zh-CN" w:bidi="ar-SA"/>
        </w:rPr>
      </w:pPr>
      <w:r>
        <w:rPr>
          <w:rFonts w:hint="eastAsia" w:ascii="宋体" w:hAnsi="宋体" w:eastAsia="宋体" w:cs="宋体"/>
          <w:kern w:val="2"/>
          <w:sz w:val="24"/>
          <w:szCs w:val="22"/>
          <w:lang w:val="en-US" w:eastAsia="zh-CN" w:bidi="ar-SA"/>
        </w:rPr>
        <w:t>管理</w:t>
      </w:r>
      <w:r>
        <w:rPr>
          <w:rFonts w:hint="eastAsia" w:cs="宋体"/>
          <w:kern w:val="2"/>
          <w:sz w:val="24"/>
          <w:szCs w:val="22"/>
          <w:lang w:val="en-US" w:eastAsia="zh-CN" w:bidi="ar-SA"/>
        </w:rPr>
        <w:t>主机支持网络接入协议，是紧急求助按钮接入管理和响应求助的重要设备，使用对象为管理人员或者工作人员，安装位置为导办台、工作窗口或者当值工作卡位。</w:t>
      </w:r>
    </w:p>
    <w:p>
      <w:pPr>
        <w:keepNext w:val="0"/>
        <w:keepLines w:val="0"/>
        <w:pageBreakBefore w:val="0"/>
        <w:widowControl w:val="0"/>
        <w:numPr>
          <w:ilvl w:val="0"/>
          <w:numId w:val="11"/>
        </w:numPr>
        <w:kinsoku/>
        <w:wordWrap/>
        <w:overflowPunct/>
        <w:topLinePunct w:val="0"/>
        <w:autoSpaceDE/>
        <w:autoSpaceDN/>
        <w:bidi w:val="0"/>
        <w:adjustRightInd/>
        <w:snapToGrid/>
        <w:ind w:left="0" w:leftChars="0" w:firstLine="482" w:firstLineChars="200"/>
        <w:textAlignment w:val="auto"/>
        <w:rPr>
          <w:rFonts w:hint="default"/>
          <w:b/>
          <w:bCs/>
          <w:lang w:val="en-US" w:eastAsia="zh-CN"/>
        </w:rPr>
      </w:pPr>
      <w:r>
        <w:rPr>
          <w:rFonts w:hint="eastAsia"/>
          <w:b/>
          <w:bCs/>
          <w:lang w:val="en-US" w:eastAsia="zh-CN"/>
        </w:rPr>
        <w:t>管理软件</w:t>
      </w:r>
    </w:p>
    <w:p>
      <w:pPr>
        <w:rPr>
          <w:rFonts w:hint="default" w:ascii="宋体" w:hAnsi="宋体" w:eastAsia="宋体" w:cs="宋体"/>
          <w:kern w:val="2"/>
          <w:sz w:val="24"/>
          <w:szCs w:val="22"/>
          <w:lang w:val="en-US" w:eastAsia="zh-CN" w:bidi="ar-SA"/>
        </w:rPr>
      </w:pPr>
      <w:r>
        <w:rPr>
          <w:rFonts w:hint="default" w:ascii="宋体" w:hAnsi="宋体" w:eastAsia="宋体" w:cs="宋体"/>
          <w:kern w:val="2"/>
          <w:sz w:val="24"/>
          <w:szCs w:val="22"/>
          <w:lang w:val="en-US" w:eastAsia="zh-CN" w:bidi="ar-SA"/>
        </w:rPr>
        <w:t>紧急求助系统</w:t>
      </w:r>
      <w:r>
        <w:rPr>
          <w:rFonts w:hint="eastAsia" w:cs="宋体"/>
          <w:kern w:val="2"/>
          <w:sz w:val="24"/>
          <w:szCs w:val="22"/>
          <w:lang w:val="en-US" w:eastAsia="zh-CN" w:bidi="ar-SA"/>
        </w:rPr>
        <w:t>的管理软件是系统的重要组成部分，系统支持网络接入协议，主要实现求助按钮、管理主机的统一管理与控制，系统采用嵌入式部署方式，一般部署于管理主机。</w:t>
      </w:r>
    </w:p>
    <w:p>
      <w:pPr>
        <w:pStyle w:val="5"/>
        <w:bidi w:val="0"/>
        <w:rPr>
          <w:rFonts w:hint="default"/>
          <w:lang w:val="en-US" w:eastAsia="zh-CN"/>
        </w:rPr>
      </w:pPr>
      <w:bookmarkStart w:id="532" w:name="_Toc5308"/>
      <w:bookmarkStart w:id="533" w:name="_Toc422"/>
      <w:bookmarkStart w:id="534" w:name="_Toc794"/>
      <w:bookmarkStart w:id="535" w:name="_Toc25444"/>
      <w:r>
        <w:rPr>
          <w:rFonts w:hint="eastAsia"/>
          <w:lang w:val="en-US" w:eastAsia="zh-CN"/>
        </w:rPr>
        <w:t>系统功能</w:t>
      </w:r>
      <w:bookmarkEnd w:id="532"/>
      <w:bookmarkEnd w:id="533"/>
      <w:bookmarkEnd w:id="534"/>
      <w:bookmarkEnd w:id="535"/>
    </w:p>
    <w:p>
      <w:pPr>
        <w:rPr>
          <w:rFonts w:hint="eastAsia"/>
          <w:lang w:val="en-US" w:eastAsia="zh-CN"/>
        </w:rPr>
      </w:pPr>
      <w:r>
        <w:rPr>
          <w:rFonts w:hint="eastAsia"/>
          <w:lang w:val="en-US" w:eastAsia="zh-CN"/>
        </w:rPr>
        <w:t>紧急求组系统采用市面上成熟成品软件，也可根据项目开展进行定制开发，要求提供的产品实现包括但不限于以下功能：</w:t>
      </w:r>
    </w:p>
    <w:p>
      <w:pPr>
        <w:keepNext w:val="0"/>
        <w:keepLines w:val="0"/>
        <w:pageBreakBefore w:val="0"/>
        <w:widowControl w:val="0"/>
        <w:numPr>
          <w:ilvl w:val="0"/>
          <w:numId w:val="11"/>
        </w:numPr>
        <w:kinsoku/>
        <w:wordWrap/>
        <w:overflowPunct/>
        <w:topLinePunct w:val="0"/>
        <w:autoSpaceDE/>
        <w:autoSpaceDN/>
        <w:bidi w:val="0"/>
        <w:adjustRightInd/>
        <w:snapToGrid/>
        <w:ind w:left="0" w:leftChars="0" w:firstLine="482" w:firstLineChars="200"/>
        <w:textAlignment w:val="auto"/>
        <w:rPr>
          <w:rFonts w:hint="default"/>
          <w:b/>
          <w:bCs/>
          <w:lang w:val="en-US" w:eastAsia="zh-CN"/>
        </w:rPr>
      </w:pPr>
      <w:r>
        <w:rPr>
          <w:rFonts w:hint="default"/>
          <w:b/>
          <w:bCs/>
          <w:lang w:val="en-US" w:eastAsia="zh-CN"/>
        </w:rPr>
        <w:t xml:space="preserve">接警管理 </w:t>
      </w:r>
    </w:p>
    <w:p>
      <w:pPr>
        <w:rPr>
          <w:rFonts w:hint="default"/>
          <w:lang w:val="en-US" w:eastAsia="zh-CN"/>
        </w:rPr>
      </w:pPr>
      <w:r>
        <w:rPr>
          <w:rFonts w:hint="default"/>
          <w:lang w:val="en-US" w:eastAsia="zh-CN"/>
        </w:rPr>
        <w:t xml:space="preserve">平台提供直观、方便、快捷、友好的人机交互界面，既能显示当前报警信息资料、处警预案，又能显示最近一段时间内既往报警条目，并对报警受理状态加以明显标识分为预处理、处理中、处理完毕，值班人员根据标识不同进行分工处理，提高处警效率。在接处警界面上，还可以方便地进行报警信息查询、统计、编辑、修改、打印等操作，并可自动计算处理报警的反应时间生成处警单。 </w:t>
      </w:r>
    </w:p>
    <w:p>
      <w:pPr>
        <w:keepNext w:val="0"/>
        <w:keepLines w:val="0"/>
        <w:pageBreakBefore w:val="0"/>
        <w:widowControl w:val="0"/>
        <w:numPr>
          <w:ilvl w:val="0"/>
          <w:numId w:val="11"/>
        </w:numPr>
        <w:kinsoku/>
        <w:wordWrap/>
        <w:overflowPunct/>
        <w:topLinePunct w:val="0"/>
        <w:autoSpaceDE/>
        <w:autoSpaceDN/>
        <w:bidi w:val="0"/>
        <w:adjustRightInd/>
        <w:snapToGrid/>
        <w:ind w:left="0" w:leftChars="0" w:firstLine="482" w:firstLineChars="200"/>
        <w:textAlignment w:val="auto"/>
        <w:rPr>
          <w:rFonts w:hint="default"/>
          <w:b/>
          <w:bCs/>
          <w:lang w:val="en-US" w:eastAsia="zh-CN"/>
        </w:rPr>
      </w:pPr>
      <w:r>
        <w:rPr>
          <w:rFonts w:hint="default"/>
          <w:b/>
          <w:bCs/>
          <w:lang w:val="en-US" w:eastAsia="zh-CN"/>
        </w:rPr>
        <w:t xml:space="preserve">对讲控制 </w:t>
      </w:r>
    </w:p>
    <w:p>
      <w:pPr>
        <w:rPr>
          <w:rFonts w:hint="default"/>
          <w:lang w:val="en-US" w:eastAsia="zh-CN"/>
        </w:rPr>
      </w:pPr>
      <w:r>
        <w:rPr>
          <w:rFonts w:hint="default"/>
          <w:lang w:val="en-US" w:eastAsia="zh-CN"/>
        </w:rPr>
        <w:t>支持通过软件发起、挂断、接听设备（包括报警柱、管理机、电话、窗口对讲、PC 对讲</w:t>
      </w:r>
      <w:r>
        <w:rPr>
          <w:rFonts w:hint="eastAsia"/>
          <w:lang w:val="en-US" w:eastAsia="zh-CN"/>
        </w:rPr>
        <w:t>，以上设备本项目不完全涉及，以实际部署设备为准</w:t>
      </w:r>
      <w:r>
        <w:rPr>
          <w:rFonts w:hint="default"/>
          <w:lang w:val="en-US" w:eastAsia="zh-CN"/>
        </w:rPr>
        <w:t xml:space="preserve">）之间的多方对讲，响应接警功能。 </w:t>
      </w:r>
    </w:p>
    <w:p>
      <w:pPr>
        <w:rPr>
          <w:rFonts w:hint="default"/>
          <w:lang w:val="en-US" w:eastAsia="zh-CN"/>
        </w:rPr>
      </w:pPr>
      <w:r>
        <w:rPr>
          <w:rFonts w:hint="default"/>
          <w:lang w:val="en-US" w:eastAsia="zh-CN"/>
        </w:rPr>
        <w:t xml:space="preserve">实时插入多方对讲功能可以实时插入其他接警管理机与终端设备，实现多方通讯。 </w:t>
      </w:r>
    </w:p>
    <w:p>
      <w:pPr>
        <w:keepNext w:val="0"/>
        <w:keepLines w:val="0"/>
        <w:pageBreakBefore w:val="0"/>
        <w:widowControl w:val="0"/>
        <w:numPr>
          <w:ilvl w:val="0"/>
          <w:numId w:val="11"/>
        </w:numPr>
        <w:kinsoku/>
        <w:wordWrap/>
        <w:overflowPunct/>
        <w:topLinePunct w:val="0"/>
        <w:autoSpaceDE/>
        <w:autoSpaceDN/>
        <w:bidi w:val="0"/>
        <w:adjustRightInd/>
        <w:snapToGrid/>
        <w:ind w:left="0" w:leftChars="0" w:firstLine="482" w:firstLineChars="200"/>
        <w:textAlignment w:val="auto"/>
        <w:rPr>
          <w:rFonts w:hint="default"/>
          <w:b/>
          <w:bCs/>
          <w:lang w:val="en-US" w:eastAsia="zh-CN"/>
        </w:rPr>
      </w:pPr>
      <w:r>
        <w:rPr>
          <w:rFonts w:hint="default"/>
          <w:b/>
          <w:bCs/>
          <w:lang w:val="en-US" w:eastAsia="zh-CN"/>
        </w:rPr>
        <w:t xml:space="preserve">广播控制&amp;中心喊话 </w:t>
      </w:r>
    </w:p>
    <w:p>
      <w:pPr>
        <w:rPr>
          <w:rFonts w:hint="default"/>
          <w:lang w:val="en-US" w:eastAsia="zh-CN"/>
        </w:rPr>
      </w:pPr>
      <w:r>
        <w:rPr>
          <w:rFonts w:hint="default"/>
          <w:lang w:val="en-US" w:eastAsia="zh-CN"/>
        </w:rPr>
        <w:t xml:space="preserve">支持通过软件发起中心设备对多个设备的广播，通过软件发起对多个设备的本地录音文件广播或者中心喊话。 </w:t>
      </w:r>
    </w:p>
    <w:p>
      <w:pPr>
        <w:keepNext w:val="0"/>
        <w:keepLines w:val="0"/>
        <w:pageBreakBefore w:val="0"/>
        <w:widowControl w:val="0"/>
        <w:numPr>
          <w:ilvl w:val="0"/>
          <w:numId w:val="11"/>
        </w:numPr>
        <w:kinsoku/>
        <w:wordWrap/>
        <w:overflowPunct/>
        <w:topLinePunct w:val="0"/>
        <w:autoSpaceDE/>
        <w:autoSpaceDN/>
        <w:bidi w:val="0"/>
        <w:adjustRightInd/>
        <w:snapToGrid/>
        <w:ind w:left="0" w:leftChars="0" w:firstLine="482" w:firstLineChars="200"/>
        <w:textAlignment w:val="auto"/>
        <w:rPr>
          <w:rFonts w:hint="default"/>
          <w:b/>
          <w:bCs/>
          <w:lang w:val="en-US" w:eastAsia="zh-CN"/>
        </w:rPr>
      </w:pPr>
      <w:r>
        <w:rPr>
          <w:rFonts w:hint="default"/>
          <w:b/>
          <w:bCs/>
          <w:lang w:val="en-US" w:eastAsia="zh-CN"/>
        </w:rPr>
        <w:t xml:space="preserve">报警视频预览复核 </w:t>
      </w:r>
    </w:p>
    <w:p>
      <w:pPr>
        <w:rPr>
          <w:rFonts w:hint="default"/>
          <w:lang w:val="en-US" w:eastAsia="zh-CN"/>
        </w:rPr>
      </w:pPr>
      <w:r>
        <w:rPr>
          <w:rFonts w:hint="default"/>
          <w:lang w:val="en-US" w:eastAsia="zh-CN"/>
        </w:rPr>
        <w:t xml:space="preserve">视频实时监控，多画面的监控，全屏显示，支持预览时画面分割，支持视频参数设置，如亮度、对比度、饱和度和色调的设置，可预览分组下所有通道；支持分组轮巡，可设置轮巡时间。支持实时预览抓图、本地录像；支持云台控制、预置点的设置和调用。 </w:t>
      </w:r>
    </w:p>
    <w:p>
      <w:pPr>
        <w:rPr>
          <w:rFonts w:hint="default"/>
          <w:lang w:val="en-US" w:eastAsia="zh-CN"/>
        </w:rPr>
      </w:pPr>
      <w:r>
        <w:rPr>
          <w:rFonts w:hint="default"/>
          <w:lang w:val="en-US" w:eastAsia="zh-CN"/>
        </w:rPr>
        <w:t xml:space="preserve">平台收到用户的报警信息后，显示报警的同时，自动弹出报警发生所在区域的现场图像，及报警发生前的预录像内容，使值班人员可以全面、多点位同步进行查看，进行报警核实，帮助中心值班人员正确迅速的判断是否需要出警。 </w:t>
      </w:r>
    </w:p>
    <w:p>
      <w:pPr>
        <w:keepNext w:val="0"/>
        <w:keepLines w:val="0"/>
        <w:pageBreakBefore w:val="0"/>
        <w:widowControl w:val="0"/>
        <w:numPr>
          <w:ilvl w:val="0"/>
          <w:numId w:val="11"/>
        </w:numPr>
        <w:kinsoku/>
        <w:wordWrap/>
        <w:overflowPunct/>
        <w:topLinePunct w:val="0"/>
        <w:autoSpaceDE/>
        <w:autoSpaceDN/>
        <w:bidi w:val="0"/>
        <w:adjustRightInd/>
        <w:snapToGrid/>
        <w:ind w:left="0" w:leftChars="0" w:firstLine="482" w:firstLineChars="200"/>
        <w:textAlignment w:val="auto"/>
        <w:rPr>
          <w:rFonts w:hint="default"/>
          <w:b/>
          <w:bCs/>
          <w:lang w:val="en-US" w:eastAsia="zh-CN"/>
        </w:rPr>
      </w:pPr>
      <w:r>
        <w:rPr>
          <w:rFonts w:hint="default"/>
          <w:b/>
          <w:bCs/>
          <w:lang w:val="en-US" w:eastAsia="zh-CN"/>
        </w:rPr>
        <w:t xml:space="preserve"> 远程控制功能 </w:t>
      </w:r>
    </w:p>
    <w:p>
      <w:pPr>
        <w:rPr>
          <w:rFonts w:hint="default"/>
          <w:lang w:val="en-US" w:eastAsia="zh-CN"/>
        </w:rPr>
      </w:pPr>
      <w:r>
        <w:rPr>
          <w:rFonts w:hint="default"/>
          <w:lang w:val="en-US" w:eastAsia="zh-CN"/>
        </w:rPr>
        <w:t xml:space="preserve">支持控制前端设备警灯打开和关闭，支持中心平台远程开锁，提供应急药品及工具。 </w:t>
      </w:r>
    </w:p>
    <w:p>
      <w:pPr>
        <w:pStyle w:val="3"/>
        <w:rPr>
          <w:highlight w:val="none"/>
        </w:rPr>
      </w:pPr>
      <w:bookmarkStart w:id="536" w:name="_Toc5757"/>
      <w:bookmarkStart w:id="537" w:name="_Toc1126"/>
      <w:bookmarkStart w:id="538" w:name="_Toc15269"/>
      <w:bookmarkStart w:id="539" w:name="_Toc25678"/>
      <w:r>
        <w:rPr>
          <w:rFonts w:hint="eastAsia"/>
          <w:highlight w:val="none"/>
          <w:lang w:val="en-US" w:eastAsia="zh-CN"/>
        </w:rPr>
        <w:t>智能转单服务</w:t>
      </w:r>
      <w:bookmarkEnd w:id="536"/>
      <w:bookmarkEnd w:id="537"/>
      <w:bookmarkEnd w:id="538"/>
      <w:bookmarkEnd w:id="539"/>
    </w:p>
    <w:p>
      <w:pPr>
        <w:ind w:firstLine="480"/>
        <w:rPr>
          <w:rFonts w:hint="eastAsia"/>
          <w:lang w:val="en-US" w:eastAsia="zh-CN"/>
        </w:rPr>
      </w:pPr>
      <w:bookmarkStart w:id="540" w:name="_Toc10482"/>
      <w:bookmarkStart w:id="541" w:name="_Toc5896"/>
      <w:bookmarkStart w:id="542" w:name="_Toc16656"/>
      <w:bookmarkStart w:id="543" w:name="_Toc3975"/>
      <w:bookmarkStart w:id="544" w:name="_Toc25336"/>
      <w:bookmarkStart w:id="545" w:name="_Toc23275"/>
      <w:bookmarkStart w:id="546" w:name="_Toc2937"/>
      <w:bookmarkStart w:id="547" w:name="_Toc15346"/>
      <w:bookmarkStart w:id="548" w:name="_Toc26629"/>
      <w:r>
        <w:rPr>
          <w:rFonts w:hint="eastAsia"/>
          <w:lang w:val="en-US" w:eastAsia="zh-CN"/>
        </w:rPr>
        <w:t>本项目结合大模型技术，通过智能转单服务进行热线工单的自动接单、自动派单，实现12345市民热线派单工作的智能化升级，提升民意诉求的工单流转效率，实现社情民意的及时感知、快速响应、高效办理和主动治理。</w:t>
      </w:r>
    </w:p>
    <w:p>
      <w:pPr>
        <w:pStyle w:val="4"/>
        <w:rPr>
          <w:rFonts w:hint="default"/>
          <w:lang w:val="en-US" w:eastAsia="zh-CN"/>
        </w:rPr>
      </w:pPr>
      <w:bookmarkStart w:id="549" w:name="_Toc31941"/>
      <w:bookmarkStart w:id="550" w:name="_Toc1182"/>
      <w:bookmarkStart w:id="551" w:name="_Toc28190"/>
      <w:bookmarkStart w:id="552" w:name="_Toc5060"/>
      <w:bookmarkStart w:id="553" w:name="_Toc21241"/>
      <w:r>
        <w:rPr>
          <w:rFonts w:hint="eastAsia"/>
          <w:lang w:val="en-US" w:eastAsia="zh-CN"/>
        </w:rPr>
        <w:t>业务流程</w:t>
      </w:r>
      <w:bookmarkEnd w:id="549"/>
      <w:bookmarkEnd w:id="550"/>
      <w:bookmarkEnd w:id="551"/>
      <w:bookmarkEnd w:id="552"/>
    </w:p>
    <w:p>
      <w:pPr>
        <w:ind w:firstLine="480"/>
        <w:rPr>
          <w:rFonts w:hint="eastAsia" w:ascii="宋体" w:eastAsia="宋体"/>
          <w:lang w:val="en-US" w:eastAsia="zh-CN"/>
        </w:rPr>
      </w:pPr>
      <w:r>
        <w:rPr>
          <w:rFonts w:hint="eastAsia"/>
          <w:lang w:val="en-US" w:eastAsia="zh-CN"/>
        </w:rPr>
        <w:t>智能转单服务</w:t>
      </w:r>
      <w:r>
        <w:rPr>
          <w:rFonts w:hint="eastAsia" w:ascii="宋体" w:eastAsia="宋体"/>
          <w:lang w:val="en-US" w:eastAsia="zh-CN"/>
        </w:rPr>
        <w:t>主要业务流程如下：</w:t>
      </w:r>
    </w:p>
    <w:p>
      <w:pPr>
        <w:numPr>
          <w:ilvl w:val="0"/>
          <w:numId w:val="12"/>
        </w:numPr>
        <w:ind w:firstLine="480"/>
        <w:rPr>
          <w:rFonts w:ascii="宋体" w:hAnsi="Times New Roman" w:eastAsia="宋体"/>
          <w:color w:val="000000"/>
          <w:lang w:eastAsia="zh-CN"/>
        </w:rPr>
      </w:pPr>
      <w:r>
        <w:rPr>
          <w:rFonts w:hint="eastAsia" w:ascii="宋体" w:eastAsia="宋体"/>
          <w:lang w:val="en-US" w:eastAsia="zh-CN"/>
        </w:rPr>
        <w:t>市12345热线工单派发到斗门后，系统</w:t>
      </w:r>
      <w:r>
        <w:rPr>
          <w:rFonts w:ascii="宋体" w:hAnsi="Times New Roman" w:eastAsia="宋体"/>
          <w:color w:val="000000"/>
          <w:lang w:eastAsia="zh-CN"/>
        </w:rPr>
        <w:t>自动从珠海市斗门区执行力电子监察系统获取工单信息并存档记录详情。</w:t>
      </w:r>
    </w:p>
    <w:p>
      <w:pPr>
        <w:numPr>
          <w:ilvl w:val="0"/>
          <w:numId w:val="12"/>
        </w:numPr>
        <w:ind w:firstLine="480"/>
        <w:rPr>
          <w:rFonts w:hint="default" w:ascii="宋体" w:eastAsia="宋体"/>
          <w:lang w:val="en-US" w:eastAsia="zh-CN"/>
        </w:rPr>
      </w:pPr>
      <w:r>
        <w:rPr>
          <w:rFonts w:hint="eastAsia" w:ascii="宋体" w:hAnsi="Times New Roman" w:eastAsia="宋体"/>
          <w:color w:val="000000"/>
          <w:lang w:val="en-US" w:eastAsia="zh-CN"/>
        </w:rPr>
        <w:t>系统</w:t>
      </w:r>
      <w:r>
        <w:rPr>
          <w:rFonts w:ascii="宋体" w:hAnsi="Times New Roman" w:eastAsia="宋体"/>
          <w:color w:val="000000"/>
          <w:lang w:eastAsia="zh-CN"/>
        </w:rPr>
        <w:t>就接收的工单优先判断是否准许智能部署，符合条件的工单进行AI推理办理部门后自动完成部署，记录详细部署信息。</w:t>
      </w:r>
    </w:p>
    <w:p>
      <w:pPr>
        <w:numPr>
          <w:ilvl w:val="0"/>
          <w:numId w:val="12"/>
        </w:numPr>
        <w:ind w:firstLine="480"/>
        <w:rPr>
          <w:rFonts w:hint="eastAsia" w:ascii="宋体" w:hAnsi="Times New Roman" w:eastAsia="宋体"/>
          <w:color w:val="000000"/>
          <w:lang w:val="en-US" w:eastAsia="zh-CN"/>
        </w:rPr>
      </w:pPr>
      <w:r>
        <w:rPr>
          <w:rFonts w:hint="eastAsia" w:ascii="宋体" w:hAnsi="Times New Roman" w:eastAsia="宋体"/>
          <w:color w:val="000000"/>
          <w:lang w:eastAsia="zh-CN"/>
        </w:rPr>
        <w:t>对</w:t>
      </w:r>
      <w:r>
        <w:rPr>
          <w:rFonts w:hint="eastAsia" w:ascii="宋体" w:hAnsi="Times New Roman" w:eastAsia="宋体"/>
          <w:color w:val="000000"/>
          <w:lang w:val="en-US" w:eastAsia="zh-CN"/>
        </w:rPr>
        <w:t>智能</w:t>
      </w:r>
      <w:r>
        <w:rPr>
          <w:rFonts w:hint="eastAsia" w:ascii="宋体" w:hAnsi="Times New Roman" w:eastAsia="宋体"/>
          <w:color w:val="000000"/>
          <w:lang w:eastAsia="zh-CN"/>
        </w:rPr>
        <w:t>部署后</w:t>
      </w:r>
      <w:r>
        <w:rPr>
          <w:rFonts w:hint="eastAsia" w:ascii="宋体" w:hAnsi="Times New Roman" w:eastAsia="宋体"/>
          <w:color w:val="000000"/>
          <w:lang w:val="en-US" w:eastAsia="zh-CN"/>
        </w:rPr>
        <w:t>由</w:t>
      </w:r>
      <w:r>
        <w:rPr>
          <w:rFonts w:hint="eastAsia" w:ascii="宋体" w:hAnsi="Times New Roman" w:eastAsia="宋体"/>
          <w:color w:val="000000"/>
          <w:lang w:eastAsia="zh-CN"/>
        </w:rPr>
        <w:t>办理部门争议回退的</w:t>
      </w:r>
      <w:r>
        <w:rPr>
          <w:rFonts w:hint="eastAsia" w:ascii="宋体" w:hAnsi="Times New Roman" w:eastAsia="宋体"/>
          <w:color w:val="000000"/>
          <w:lang w:val="en-US" w:eastAsia="zh-CN"/>
        </w:rPr>
        <w:t>工</w:t>
      </w:r>
      <w:r>
        <w:rPr>
          <w:rFonts w:hint="eastAsia" w:ascii="宋体" w:hAnsi="Times New Roman" w:eastAsia="宋体"/>
          <w:color w:val="000000"/>
          <w:lang w:eastAsia="zh-CN"/>
        </w:rPr>
        <w:t>单，进行人工审核后处理。</w:t>
      </w:r>
    </w:p>
    <w:p>
      <w:pPr>
        <w:numPr>
          <w:ilvl w:val="0"/>
          <w:numId w:val="12"/>
        </w:numPr>
        <w:ind w:firstLine="480"/>
        <w:rPr>
          <w:rFonts w:hint="eastAsia" w:ascii="宋体" w:hAnsi="Times New Roman" w:eastAsia="宋体"/>
          <w:color w:val="000000"/>
          <w:lang w:val="en-US" w:eastAsia="zh-CN"/>
        </w:rPr>
      </w:pPr>
      <w:r>
        <w:rPr>
          <w:rFonts w:hint="eastAsia" w:ascii="宋体" w:hAnsi="Times New Roman" w:eastAsia="宋体"/>
          <w:color w:val="000000"/>
          <w:lang w:val="en-US" w:eastAsia="zh-CN"/>
        </w:rPr>
        <w:t>系统</w:t>
      </w:r>
      <w:r>
        <w:rPr>
          <w:rFonts w:hint="eastAsia" w:ascii="宋体" w:hAnsi="Times New Roman" w:eastAsia="宋体"/>
          <w:color w:val="000000"/>
          <w:lang w:eastAsia="zh-CN"/>
        </w:rPr>
        <w:t>每日对办理部门处理完成的</w:t>
      </w:r>
      <w:r>
        <w:rPr>
          <w:rFonts w:hint="eastAsia" w:ascii="宋体" w:hAnsi="Times New Roman" w:eastAsia="宋体"/>
          <w:color w:val="000000"/>
          <w:lang w:val="en-US" w:eastAsia="zh-CN"/>
        </w:rPr>
        <w:t>工单</w:t>
      </w:r>
      <w:r>
        <w:rPr>
          <w:rFonts w:hint="eastAsia" w:ascii="宋体" w:hAnsi="Times New Roman" w:eastAsia="宋体"/>
          <w:color w:val="000000"/>
          <w:lang w:eastAsia="zh-CN"/>
        </w:rPr>
        <w:t>进行反馈处理并结单，处理完成的工单自动同步信息到市12345热线系统。</w:t>
      </w:r>
    </w:p>
    <w:p>
      <w:pPr>
        <w:pStyle w:val="4"/>
        <w:rPr>
          <w:rFonts w:hint="default"/>
          <w:lang w:val="en-US" w:eastAsia="zh-CN"/>
        </w:rPr>
      </w:pPr>
      <w:bookmarkStart w:id="554" w:name="_Toc19548"/>
      <w:bookmarkStart w:id="555" w:name="_Toc19580"/>
      <w:bookmarkStart w:id="556" w:name="_Toc30777"/>
      <w:bookmarkStart w:id="557" w:name="_Toc19052"/>
      <w:r>
        <w:rPr>
          <w:rFonts w:hint="eastAsia"/>
          <w:lang w:val="en-US" w:eastAsia="zh-CN"/>
        </w:rPr>
        <w:t>功能</w:t>
      </w:r>
      <w:bookmarkEnd w:id="553"/>
      <w:bookmarkEnd w:id="554"/>
      <w:r>
        <w:rPr>
          <w:rFonts w:hint="eastAsia"/>
          <w:lang w:val="en-US" w:eastAsia="zh-CN"/>
        </w:rPr>
        <w:t>要求</w:t>
      </w:r>
      <w:bookmarkEnd w:id="555"/>
      <w:bookmarkEnd w:id="556"/>
      <w:bookmarkEnd w:id="557"/>
    </w:p>
    <w:p>
      <w:pPr>
        <w:pStyle w:val="5"/>
        <w:rPr>
          <w:rFonts w:hint="default"/>
          <w:lang w:val="en-US" w:eastAsia="zh-CN"/>
        </w:rPr>
      </w:pPr>
      <w:bookmarkStart w:id="558" w:name="_Toc17087"/>
      <w:bookmarkStart w:id="559" w:name="_Toc5393"/>
      <w:bookmarkStart w:id="560" w:name="_Toc19738"/>
      <w:bookmarkStart w:id="561" w:name="_Toc28639"/>
      <w:r>
        <w:rPr>
          <w:rFonts w:hint="eastAsia"/>
          <w:lang w:val="en-US" w:eastAsia="zh-CN"/>
        </w:rPr>
        <w:t>工单数据获取</w:t>
      </w:r>
      <w:bookmarkEnd w:id="558"/>
      <w:bookmarkEnd w:id="559"/>
      <w:bookmarkEnd w:id="560"/>
      <w:bookmarkEnd w:id="561"/>
    </w:p>
    <w:p>
      <w:pPr>
        <w:ind w:firstLine="480"/>
        <w:rPr>
          <w:rFonts w:hint="default"/>
          <w:lang w:val="en-US" w:eastAsia="zh-CN"/>
        </w:rPr>
      </w:pPr>
      <w:r>
        <w:rPr>
          <w:rFonts w:hint="eastAsia" w:ascii="宋体" w:hAnsi="宋体" w:eastAsia="宋体" w:cs="宋体"/>
          <w:lang w:val="en-US" w:eastAsia="zh-CN"/>
        </w:rPr>
        <w:t>对接珠海市斗门区执行力电子监察系统任务接</w:t>
      </w:r>
      <w:r>
        <w:rPr>
          <w:rFonts w:hint="eastAsia" w:cs="宋体"/>
          <w:lang w:val="en-US" w:eastAsia="zh-CN"/>
        </w:rPr>
        <w:t>收</w:t>
      </w:r>
      <w:r>
        <w:rPr>
          <w:rFonts w:hint="eastAsia" w:ascii="宋体" w:hAnsi="宋体" w:eastAsia="宋体" w:cs="宋体"/>
          <w:lang w:val="en-US" w:eastAsia="zh-CN"/>
        </w:rPr>
        <w:t>、任务部署模块数据，具体包括</w:t>
      </w:r>
      <w:r>
        <w:rPr>
          <w:rFonts w:ascii="宋体" w:hAnsi="Times New Roman" w:eastAsia="宋体"/>
          <w:color w:val="000000"/>
          <w:lang w:eastAsia="zh-CN"/>
        </w:rPr>
        <w:t>结构化数据（工单编号、工单类型、工单标题、事项分类等基本表单数据）和非结构化数据（市民诉求、工单反馈、处理意见等长文本数据）</w:t>
      </w:r>
      <w:r>
        <w:rPr>
          <w:rFonts w:hint="eastAsia" w:ascii="宋体" w:hAnsi="Times New Roman" w:eastAsia="宋体"/>
          <w:color w:val="000000"/>
          <w:lang w:eastAsia="zh-CN"/>
        </w:rPr>
        <w:t>，</w:t>
      </w:r>
      <w:r>
        <w:rPr>
          <w:rFonts w:hint="eastAsia" w:ascii="宋体" w:hAnsi="Times New Roman" w:eastAsia="宋体"/>
          <w:color w:val="000000"/>
          <w:lang w:val="en-US" w:eastAsia="zh-CN"/>
        </w:rPr>
        <w:t>采用实时或定时增量同步的方式，确保数据时效性。</w:t>
      </w:r>
    </w:p>
    <w:p>
      <w:pPr>
        <w:pStyle w:val="5"/>
        <w:rPr>
          <w:rFonts w:hint="default"/>
          <w:lang w:val="en-US" w:eastAsia="zh-CN"/>
        </w:rPr>
      </w:pPr>
      <w:bookmarkStart w:id="562" w:name="_Toc3330"/>
      <w:bookmarkStart w:id="563" w:name="_Toc21152"/>
      <w:bookmarkStart w:id="564" w:name="_Toc11318"/>
      <w:bookmarkStart w:id="565" w:name="_Toc5040"/>
      <w:r>
        <w:rPr>
          <w:rFonts w:hint="eastAsia"/>
          <w:lang w:val="en-US" w:eastAsia="zh-CN"/>
        </w:rPr>
        <w:t>数据清洗整理</w:t>
      </w:r>
      <w:bookmarkEnd w:id="562"/>
      <w:bookmarkEnd w:id="563"/>
      <w:bookmarkEnd w:id="564"/>
      <w:bookmarkEnd w:id="565"/>
    </w:p>
    <w:p>
      <w:pPr>
        <w:ind w:firstLine="480"/>
        <w:rPr>
          <w:rFonts w:hint="default" w:ascii="宋体" w:hAnsi="宋体" w:eastAsia="宋体" w:cs="宋体"/>
          <w:lang w:val="en-US" w:eastAsia="zh-CN"/>
        </w:rPr>
      </w:pPr>
      <w:r>
        <w:rPr>
          <w:rFonts w:hint="eastAsia" w:ascii="宋体" w:hAnsi="宋体" w:eastAsia="宋体" w:cs="宋体"/>
          <w:lang w:val="en-US" w:eastAsia="zh-CN"/>
        </w:rPr>
        <w:t>将历史工单数据、部门职责、部署规则等数据进行清洗与整理，用于知识库建设和模型训练。</w:t>
      </w:r>
    </w:p>
    <w:p>
      <w:pPr>
        <w:pStyle w:val="5"/>
        <w:rPr>
          <w:rFonts w:hint="default"/>
          <w:lang w:val="en-US" w:eastAsia="zh-CN"/>
        </w:rPr>
      </w:pPr>
      <w:bookmarkStart w:id="566" w:name="_Toc7622"/>
      <w:bookmarkStart w:id="567" w:name="_Toc466"/>
      <w:bookmarkStart w:id="568" w:name="_Toc6630"/>
      <w:bookmarkStart w:id="569" w:name="_Toc11369"/>
      <w:r>
        <w:rPr>
          <w:rFonts w:hint="eastAsia"/>
          <w:lang w:val="en-US" w:eastAsia="zh-CN"/>
        </w:rPr>
        <w:t>推理模型训练</w:t>
      </w:r>
      <w:bookmarkEnd w:id="566"/>
      <w:bookmarkEnd w:id="567"/>
      <w:bookmarkEnd w:id="568"/>
      <w:bookmarkEnd w:id="569"/>
    </w:p>
    <w:p>
      <w:pPr>
        <w:ind w:firstLine="480"/>
        <w:rPr>
          <w:rFonts w:hint="eastAsia" w:ascii="宋体" w:hAnsi="宋体" w:eastAsia="宋体" w:cs="宋体"/>
          <w:lang w:val="en-US" w:eastAsia="zh-CN"/>
        </w:rPr>
      </w:pPr>
      <w:r>
        <w:rPr>
          <w:rFonts w:hint="eastAsia" w:ascii="宋体" w:hAnsi="宋体" w:eastAsia="宋体" w:cs="宋体"/>
          <w:lang w:val="en-US" w:eastAsia="zh-CN"/>
        </w:rPr>
        <w:t>利用清洗的历史工单数据进行建模，输出推理预测模型，根据工单内容推理预测办理部门。提取工单内容关键词、部门职责匹配度等特征，并结合业务知识（如部门职能表）增强可解释性。</w:t>
      </w:r>
    </w:p>
    <w:p>
      <w:pPr>
        <w:pStyle w:val="5"/>
        <w:rPr>
          <w:rFonts w:hint="eastAsia" w:ascii="Cambria" w:hAnsi="Cambria" w:eastAsia="黑体"/>
          <w:color w:val="auto"/>
          <w:sz w:val="24"/>
          <w:lang w:val="en-US" w:eastAsia="zh-CN"/>
        </w:rPr>
      </w:pPr>
      <w:bookmarkStart w:id="570" w:name="_Toc8084"/>
      <w:bookmarkStart w:id="571" w:name="_Toc25612"/>
      <w:bookmarkStart w:id="572" w:name="_Toc21748"/>
      <w:bookmarkStart w:id="573" w:name="_Toc26333"/>
      <w:r>
        <w:rPr>
          <w:rFonts w:hint="eastAsia" w:ascii="Cambria" w:hAnsi="Cambria" w:eastAsia="黑体"/>
          <w:color w:val="auto"/>
          <w:sz w:val="24"/>
          <w:lang w:val="en-US" w:eastAsia="zh-CN"/>
        </w:rPr>
        <w:t>策略及规则知识库</w:t>
      </w:r>
      <w:bookmarkEnd w:id="570"/>
      <w:bookmarkEnd w:id="571"/>
      <w:bookmarkEnd w:id="572"/>
      <w:bookmarkEnd w:id="573"/>
    </w:p>
    <w:p>
      <w:pPr>
        <w:ind w:firstLine="480"/>
        <w:rPr>
          <w:rFonts w:hint="eastAsia" w:ascii="宋体" w:hAnsi="宋体" w:eastAsia="宋体" w:cs="宋体"/>
          <w:lang w:val="en-US" w:eastAsia="zh-CN"/>
        </w:rPr>
      </w:pPr>
      <w:r>
        <w:rPr>
          <w:rFonts w:hint="eastAsia" w:ascii="宋体" w:hAnsi="宋体" w:eastAsia="宋体" w:cs="宋体"/>
          <w:lang w:val="en-US" w:eastAsia="zh-CN"/>
        </w:rPr>
        <w:t>利用清洗整理的部门职责、规则、工单历史数据进行知识图谱、RAG知识库建设，用于大模型推理知识依据。</w:t>
      </w:r>
    </w:p>
    <w:p>
      <w:pPr>
        <w:numPr>
          <w:ilvl w:val="0"/>
          <w:numId w:val="13"/>
        </w:numPr>
        <w:ind w:left="0" w:firstLine="480" w:firstLineChars="0"/>
        <w:rPr>
          <w:rFonts w:hint="eastAsia" w:ascii="宋体" w:hAnsi="Times New Roman" w:eastAsia="宋体"/>
          <w:color w:val="404040"/>
          <w:sz w:val="24"/>
          <w:lang w:eastAsia="zh-CN"/>
        </w:rPr>
      </w:pPr>
      <w:r>
        <w:rPr>
          <w:rFonts w:hint="eastAsia" w:ascii="宋体" w:hAnsi="宋体" w:eastAsia="宋体" w:cs="宋体"/>
          <w:lang w:val="en-US" w:eastAsia="zh-CN"/>
        </w:rPr>
        <w:t>知识图谱建模与存储：定义核心实体（部门、工单类型）及关系（归属关系、处理规则），结合图数据库（存储关系网络），构建可视化知识图谱</w:t>
      </w:r>
      <w:r>
        <w:rPr>
          <w:rFonts w:hint="eastAsia" w:ascii="宋体" w:hAnsi="Times New Roman" w:eastAsia="宋体"/>
          <w:color w:val="404040"/>
          <w:sz w:val="24"/>
          <w:lang w:eastAsia="zh-CN"/>
        </w:rPr>
        <w:t>。</w:t>
      </w:r>
    </w:p>
    <w:p>
      <w:pPr>
        <w:numPr>
          <w:ilvl w:val="0"/>
          <w:numId w:val="13"/>
        </w:numPr>
        <w:ind w:left="0" w:firstLine="480" w:firstLineChars="0"/>
        <w:rPr>
          <w:rFonts w:hint="eastAsia" w:ascii="宋体" w:hAnsi="Times New Roman" w:eastAsia="宋体"/>
          <w:color w:val="000000"/>
          <w:sz w:val="24"/>
          <w:lang w:eastAsia="zh-CN"/>
        </w:rPr>
      </w:pPr>
      <w:r>
        <w:rPr>
          <w:rFonts w:hint="eastAsia" w:ascii="宋体" w:hAnsi="宋体" w:eastAsia="宋体" w:cs="宋体"/>
          <w:lang w:val="en-US" w:eastAsia="zh-CN"/>
        </w:rPr>
        <w:t>RAG知识库建设：支持用户上传部门职能、转派规则等知识，经清洗分类后，经嵌入模型（向量化模型）处理，构建起以向量形式存储、具备高效检索能力的RAG知识库，为工单转派提供精准知识检索支撑</w:t>
      </w:r>
      <w:r>
        <w:rPr>
          <w:rFonts w:hint="eastAsia" w:ascii="宋体" w:hAnsi="Times New Roman" w:eastAsia="宋体"/>
          <w:color w:val="000000"/>
          <w:sz w:val="24"/>
          <w:lang w:eastAsia="zh-CN"/>
        </w:rPr>
        <w:t>。</w:t>
      </w:r>
    </w:p>
    <w:p>
      <w:pPr>
        <w:numPr>
          <w:ilvl w:val="0"/>
          <w:numId w:val="13"/>
        </w:numPr>
        <w:ind w:left="0" w:firstLine="480" w:firstLineChars="0"/>
        <w:rPr>
          <w:rFonts w:hint="eastAsia" w:ascii="宋体" w:hAnsi="Times New Roman" w:eastAsia="宋体"/>
          <w:color w:val="000000"/>
          <w:sz w:val="24"/>
          <w:lang w:eastAsia="zh-CN"/>
        </w:rPr>
      </w:pPr>
      <w:r>
        <w:rPr>
          <w:rFonts w:hint="eastAsia" w:ascii="宋体" w:hAnsi="宋体" w:eastAsia="宋体" w:cs="宋体"/>
          <w:lang w:val="en-US" w:eastAsia="zh-CN"/>
        </w:rPr>
        <w:t>规则引擎：构建涵盖部门职能规则、转派规则、工单过滤规则的规则引擎，工单过滤支持按关键词、提交来源、工单标签、工单编号等拦截工单，忽略不需自动部署的工单，并可按预测部门概率阈值决定是否自动工单流转</w:t>
      </w:r>
      <w:r>
        <w:rPr>
          <w:rFonts w:hint="eastAsia" w:ascii="宋体" w:hAnsi="Times New Roman" w:eastAsia="宋体"/>
          <w:color w:val="000000"/>
          <w:sz w:val="24"/>
          <w:lang w:eastAsia="zh-CN"/>
        </w:rPr>
        <w:t>。</w:t>
      </w:r>
    </w:p>
    <w:p>
      <w:pPr>
        <w:pStyle w:val="5"/>
        <w:rPr>
          <w:rFonts w:hint="eastAsia"/>
          <w:lang w:val="en-US" w:eastAsia="zh-CN"/>
        </w:rPr>
      </w:pPr>
      <w:bookmarkStart w:id="574" w:name="_Toc31558"/>
      <w:bookmarkStart w:id="575" w:name="_Toc8839"/>
      <w:bookmarkStart w:id="576" w:name="_Toc21581"/>
      <w:bookmarkStart w:id="577" w:name="_Toc6474"/>
      <w:r>
        <w:rPr>
          <w:rFonts w:hint="eastAsia"/>
          <w:lang w:val="en-US" w:eastAsia="zh-CN"/>
        </w:rPr>
        <w:t>智能接单</w:t>
      </w:r>
      <w:bookmarkEnd w:id="574"/>
      <w:bookmarkEnd w:id="575"/>
      <w:bookmarkEnd w:id="576"/>
      <w:bookmarkEnd w:id="577"/>
    </w:p>
    <w:p>
      <w:pPr>
        <w:ind w:firstLine="480"/>
        <w:rPr>
          <w:rFonts w:hint="eastAsia" w:ascii="宋体" w:hAnsi="宋体" w:eastAsia="宋体" w:cs="宋体"/>
          <w:lang w:val="en-US" w:eastAsia="zh-CN"/>
        </w:rPr>
      </w:pPr>
      <w:r>
        <w:rPr>
          <w:rFonts w:hint="eastAsia" w:ascii="宋体" w:hAnsi="宋体" w:eastAsia="宋体" w:cs="宋体"/>
          <w:lang w:val="en-US" w:eastAsia="zh-CN"/>
        </w:rPr>
        <w:t>通过API或RPA工具自动在珠海市斗门区执行力电子监察系统获取工单信息，并摘要需要的元数据进行存档，用于后续分析、报告生成。</w:t>
      </w:r>
    </w:p>
    <w:p>
      <w:pPr>
        <w:pStyle w:val="5"/>
        <w:rPr>
          <w:rFonts w:hint="eastAsia" w:ascii="Cambria" w:hAnsi="Cambria" w:eastAsia="黑体"/>
          <w:color w:val="auto"/>
          <w:lang w:val="en-US" w:eastAsia="zh-CN"/>
        </w:rPr>
      </w:pPr>
      <w:bookmarkStart w:id="578" w:name="_Toc16623"/>
      <w:bookmarkStart w:id="579" w:name="_Toc626"/>
      <w:bookmarkStart w:id="580" w:name="_Toc23496"/>
      <w:bookmarkStart w:id="581" w:name="_Toc10023"/>
      <w:r>
        <w:rPr>
          <w:rFonts w:hint="eastAsia" w:ascii="Cambria" w:hAnsi="Cambria" w:eastAsia="黑体"/>
          <w:color w:val="auto"/>
          <w:lang w:val="en-US" w:eastAsia="zh-CN"/>
        </w:rPr>
        <w:t>智能部署Agent</w:t>
      </w:r>
      <w:bookmarkEnd w:id="578"/>
      <w:bookmarkEnd w:id="579"/>
      <w:bookmarkEnd w:id="580"/>
      <w:bookmarkEnd w:id="581"/>
    </w:p>
    <w:p>
      <w:pPr>
        <w:ind w:firstLine="480"/>
        <w:rPr>
          <w:rFonts w:hint="eastAsia" w:ascii="宋体" w:hAnsi="宋体" w:eastAsia="宋体" w:cs="宋体"/>
          <w:lang w:val="en-US" w:eastAsia="zh-CN"/>
        </w:rPr>
      </w:pPr>
      <w:r>
        <w:rPr>
          <w:rFonts w:hint="eastAsia" w:ascii="宋体" w:hAnsi="宋体" w:eastAsia="宋体" w:cs="宋体"/>
          <w:lang w:val="en-US" w:eastAsia="zh-CN"/>
        </w:rPr>
        <w:t>结合自训练模型、知识库+DeepSeek规则、知识图谱等多路推理预测智能体，实现工单办理部门最优推理预测并自动部署。</w:t>
      </w:r>
    </w:p>
    <w:p>
      <w:pPr>
        <w:pStyle w:val="5"/>
        <w:rPr>
          <w:rFonts w:hint="eastAsia" w:ascii="Cambria" w:hAnsi="Cambria" w:eastAsia="黑体"/>
          <w:color w:val="auto"/>
          <w:lang w:val="en-US" w:eastAsia="zh-CN"/>
        </w:rPr>
      </w:pPr>
      <w:bookmarkStart w:id="582" w:name="_Toc18664"/>
      <w:bookmarkStart w:id="583" w:name="_Toc21669"/>
      <w:bookmarkStart w:id="584" w:name="_Toc19387"/>
      <w:bookmarkStart w:id="585" w:name="_Toc18527"/>
      <w:r>
        <w:rPr>
          <w:rFonts w:hint="eastAsia" w:ascii="Cambria" w:hAnsi="Cambria" w:eastAsia="黑体"/>
          <w:color w:val="auto"/>
          <w:lang w:val="en-US" w:eastAsia="zh-CN"/>
        </w:rPr>
        <w:t>数据分析与报告</w:t>
      </w:r>
      <w:bookmarkEnd w:id="582"/>
      <w:bookmarkEnd w:id="583"/>
      <w:bookmarkEnd w:id="584"/>
      <w:bookmarkEnd w:id="585"/>
    </w:p>
    <w:p>
      <w:pPr>
        <w:ind w:firstLine="480"/>
        <w:rPr>
          <w:rFonts w:hint="eastAsia" w:ascii="宋体" w:hAnsi="宋体" w:eastAsia="宋体" w:cs="宋体"/>
          <w:lang w:val="en-US" w:eastAsia="zh-CN"/>
        </w:rPr>
      </w:pPr>
      <w:r>
        <w:rPr>
          <w:rFonts w:hint="eastAsia" w:ascii="宋体" w:hAnsi="宋体" w:eastAsia="宋体" w:cs="宋体"/>
          <w:lang w:val="en-US" w:eastAsia="zh-CN"/>
        </w:rPr>
        <w:t>支持自定义维度（部门、时间、工单类型等）统计与可视化，支持从元数据中统计日工单量、各工单类型量等指标，按统计结果指定列生成柱状图、饼状图等可视化图形。配置月报、专报模板，配合数据看板中的统计和可视化结果，支持报告一键生成。</w:t>
      </w:r>
    </w:p>
    <w:p>
      <w:pPr>
        <w:pStyle w:val="5"/>
        <w:rPr>
          <w:rFonts w:hint="eastAsia" w:ascii="Cambria" w:hAnsi="Cambria" w:eastAsia="黑体"/>
          <w:color w:val="auto"/>
          <w:sz w:val="24"/>
          <w:lang w:val="en-US" w:eastAsia="zh-CN"/>
        </w:rPr>
      </w:pPr>
      <w:bookmarkStart w:id="586" w:name="_Toc5529"/>
      <w:bookmarkStart w:id="587" w:name="_Toc21224"/>
      <w:bookmarkStart w:id="588" w:name="_Toc15508"/>
      <w:bookmarkStart w:id="589" w:name="_Toc25547"/>
      <w:r>
        <w:rPr>
          <w:rFonts w:hint="eastAsia" w:ascii="Cambria" w:hAnsi="Cambria" w:eastAsia="黑体"/>
          <w:color w:val="auto"/>
          <w:sz w:val="24"/>
          <w:lang w:val="en-US" w:eastAsia="zh-CN"/>
        </w:rPr>
        <w:t>策略管理</w:t>
      </w:r>
      <w:bookmarkEnd w:id="586"/>
      <w:bookmarkEnd w:id="587"/>
      <w:bookmarkEnd w:id="588"/>
      <w:bookmarkEnd w:id="589"/>
    </w:p>
    <w:p>
      <w:pPr>
        <w:ind w:firstLine="480"/>
        <w:rPr>
          <w:rFonts w:hint="eastAsia" w:ascii="宋体" w:hAnsi="宋体" w:eastAsia="宋体" w:cs="宋体"/>
          <w:lang w:val="en-US" w:eastAsia="zh-CN"/>
        </w:rPr>
      </w:pPr>
      <w:r>
        <w:rPr>
          <w:rFonts w:hint="eastAsia" w:ascii="宋体" w:hAnsi="宋体" w:eastAsia="宋体" w:cs="宋体"/>
          <w:lang w:val="en-US" w:eastAsia="zh-CN"/>
        </w:rPr>
        <w:t>提供图形化界面支持转派规则、部门职能、工单过滤规则等的配置和变更，提供图形化界面支持知识库内容上传和变更。</w:t>
      </w:r>
    </w:p>
    <w:p>
      <w:pPr>
        <w:pStyle w:val="5"/>
        <w:rPr>
          <w:rFonts w:hint="eastAsia" w:ascii="Cambria" w:hAnsi="Cambria" w:eastAsia="黑体"/>
          <w:color w:val="auto"/>
          <w:lang w:val="en-US" w:eastAsia="zh-CN"/>
        </w:rPr>
      </w:pPr>
      <w:bookmarkStart w:id="590" w:name="_Toc31063"/>
      <w:bookmarkStart w:id="591" w:name="_Toc19644"/>
      <w:bookmarkStart w:id="592" w:name="_Toc15227"/>
      <w:bookmarkStart w:id="593" w:name="_Toc8372"/>
      <w:r>
        <w:rPr>
          <w:rFonts w:hint="eastAsia" w:ascii="Cambria" w:hAnsi="Cambria" w:eastAsia="黑体"/>
          <w:color w:val="auto"/>
          <w:lang w:val="en-US" w:eastAsia="zh-CN"/>
        </w:rPr>
        <w:t>系统管理</w:t>
      </w:r>
      <w:bookmarkEnd w:id="590"/>
      <w:bookmarkEnd w:id="591"/>
      <w:bookmarkEnd w:id="592"/>
      <w:bookmarkEnd w:id="593"/>
    </w:p>
    <w:p>
      <w:pPr>
        <w:ind w:firstLine="480"/>
        <w:rPr>
          <w:rFonts w:hint="eastAsia" w:ascii="宋体" w:hAnsi="宋体" w:eastAsia="宋体" w:cs="宋体"/>
          <w:lang w:val="en-US" w:eastAsia="zh-CN"/>
        </w:rPr>
      </w:pPr>
      <w:r>
        <w:rPr>
          <w:rFonts w:hint="eastAsia" w:ascii="宋体" w:hAnsi="宋体" w:eastAsia="宋体" w:cs="宋体"/>
          <w:lang w:val="en-US" w:eastAsia="zh-CN"/>
        </w:rPr>
        <w:t>包括模型监控、模型阈值管理、多路径预测优先级管理、模型服务管理、基础管理功能。</w:t>
      </w:r>
    </w:p>
    <w:p>
      <w:pPr>
        <w:numPr>
          <w:ilvl w:val="0"/>
          <w:numId w:val="14"/>
        </w:numPr>
        <w:spacing w:before="0" w:beforeLines="-2147483648" w:after="0" w:line="360" w:lineRule="auto"/>
        <w:ind w:left="0" w:firstLine="480" w:firstLineChars="0"/>
        <w:rPr>
          <w:rFonts w:hint="eastAsia"/>
          <w:lang w:eastAsia="zh-CN"/>
        </w:rPr>
      </w:pPr>
      <w:bookmarkStart w:id="594" w:name="u869e68ce"/>
      <w:r>
        <w:rPr>
          <w:rFonts w:hint="eastAsia"/>
          <w:lang w:eastAsia="zh-CN"/>
        </w:rPr>
        <w:t>模型监控：实时跟踪预测准确率、响应时间等指标。</w:t>
      </w:r>
    </w:p>
    <w:bookmarkEnd w:id="594"/>
    <w:p>
      <w:pPr>
        <w:numPr>
          <w:ilvl w:val="0"/>
          <w:numId w:val="14"/>
        </w:numPr>
        <w:spacing w:before="0" w:beforeLines="-2147483648" w:after="0" w:line="360" w:lineRule="auto"/>
        <w:ind w:left="0" w:firstLine="480" w:firstLineChars="0"/>
        <w:rPr>
          <w:rFonts w:hint="eastAsia"/>
          <w:lang w:eastAsia="zh-CN"/>
        </w:rPr>
      </w:pPr>
      <w:bookmarkStart w:id="595" w:name="u0f370298"/>
      <w:r>
        <w:rPr>
          <w:rFonts w:hint="eastAsia"/>
          <w:lang w:eastAsia="zh-CN"/>
        </w:rPr>
        <w:t>模型阈值管理：提供模型阈值调整入口，用于调整模型预测概率自动流转的阈值，根据模型监控结果进行调整。</w:t>
      </w:r>
    </w:p>
    <w:bookmarkEnd w:id="595"/>
    <w:p>
      <w:pPr>
        <w:numPr>
          <w:ilvl w:val="0"/>
          <w:numId w:val="14"/>
        </w:numPr>
        <w:spacing w:before="0" w:beforeLines="-2147483648" w:after="0" w:line="360" w:lineRule="auto"/>
        <w:ind w:left="0" w:firstLine="480" w:firstLineChars="0"/>
        <w:rPr>
          <w:rFonts w:hint="eastAsia"/>
          <w:lang w:eastAsia="zh-CN"/>
        </w:rPr>
      </w:pPr>
      <w:bookmarkStart w:id="596" w:name="ub11abb64"/>
      <w:r>
        <w:rPr>
          <w:rFonts w:hint="eastAsia"/>
          <w:lang w:eastAsia="zh-CN"/>
        </w:rPr>
        <w:t>多路径预测优先级管理：提供多路径预测优先级管理入口，A/B测试不同分派策略，择优调整路径预测优先级和权重。</w:t>
      </w:r>
    </w:p>
    <w:bookmarkEnd w:id="596"/>
    <w:p>
      <w:pPr>
        <w:numPr>
          <w:ilvl w:val="0"/>
          <w:numId w:val="14"/>
        </w:numPr>
        <w:spacing w:before="0" w:beforeLines="-2147483648" w:after="0" w:line="360" w:lineRule="auto"/>
        <w:ind w:left="0" w:firstLine="480" w:firstLineChars="0"/>
        <w:rPr>
          <w:rFonts w:hint="eastAsia"/>
          <w:lang w:eastAsia="zh-CN"/>
        </w:rPr>
      </w:pPr>
      <w:bookmarkStart w:id="597" w:name="u00275628"/>
      <w:r>
        <w:rPr>
          <w:rFonts w:hint="eastAsia"/>
          <w:lang w:eastAsia="zh-CN"/>
        </w:rPr>
        <w:t>模型服务管理：提供模型服务选择、配置入口，可以择优调整模型服务来源。</w:t>
      </w:r>
    </w:p>
    <w:bookmarkEnd w:id="597"/>
    <w:p>
      <w:pPr>
        <w:numPr>
          <w:ilvl w:val="0"/>
          <w:numId w:val="14"/>
        </w:numPr>
        <w:spacing w:line="360" w:lineRule="auto"/>
        <w:ind w:left="420" w:firstLine="60" w:firstLineChars="0"/>
        <w:rPr>
          <w:rFonts w:hint="default"/>
          <w:lang w:val="en-US" w:eastAsia="zh-CN"/>
        </w:rPr>
      </w:pPr>
      <w:r>
        <w:rPr>
          <w:rFonts w:hint="eastAsia"/>
          <w:lang w:eastAsia="zh-CN"/>
        </w:rPr>
        <w:t>基础管理功能：其余基础系统配置功能，如用户管理、权限设置等。</w:t>
      </w:r>
    </w:p>
    <w:p>
      <w:pPr>
        <w:pStyle w:val="5"/>
        <w:rPr>
          <w:rFonts w:hint="eastAsia"/>
          <w:lang w:val="en-US" w:eastAsia="zh-CN"/>
        </w:rPr>
      </w:pPr>
      <w:bookmarkStart w:id="598" w:name="_Toc18387"/>
      <w:bookmarkStart w:id="599" w:name="_Toc31480"/>
      <w:bookmarkStart w:id="600" w:name="_Toc7982"/>
      <w:bookmarkStart w:id="601" w:name="_Toc22204"/>
      <w:r>
        <w:rPr>
          <w:rFonts w:hint="eastAsia"/>
          <w:lang w:val="en-US" w:eastAsia="zh-CN"/>
        </w:rPr>
        <w:t>智能部署评估</w:t>
      </w:r>
      <w:bookmarkEnd w:id="598"/>
      <w:bookmarkEnd w:id="599"/>
      <w:bookmarkEnd w:id="600"/>
      <w:bookmarkEnd w:id="601"/>
    </w:p>
    <w:p>
      <w:pPr>
        <w:ind w:firstLine="480"/>
        <w:rPr>
          <w:rFonts w:hint="default" w:ascii="宋体" w:hAnsi="宋体" w:eastAsia="宋体" w:cs="宋体"/>
          <w:lang w:val="en-US" w:eastAsia="zh-CN"/>
        </w:rPr>
      </w:pPr>
      <w:r>
        <w:rPr>
          <w:rFonts w:hint="eastAsia" w:ascii="宋体" w:hAnsi="宋体" w:eastAsia="宋体" w:cs="宋体"/>
          <w:lang w:val="en-US" w:eastAsia="zh-CN"/>
        </w:rPr>
        <w:t>对模型、智能体、知识库准确率和执行率进行评估，具体评估维度包括分派准确率、响应速度、知识检索覆盖率。评估结果用于优化模型参数与知识库内容。</w:t>
      </w:r>
    </w:p>
    <w:p>
      <w:pPr>
        <w:pStyle w:val="4"/>
        <w:rPr>
          <w:rFonts w:hint="default"/>
          <w:lang w:val="en-US" w:eastAsia="zh-CN"/>
        </w:rPr>
      </w:pPr>
      <w:bookmarkStart w:id="602" w:name="_Toc27158"/>
      <w:bookmarkStart w:id="603" w:name="_Toc15142"/>
      <w:bookmarkStart w:id="604" w:name="_Toc416"/>
      <w:bookmarkStart w:id="605" w:name="_Toc24462"/>
      <w:bookmarkStart w:id="606" w:name="_Toc2437"/>
      <w:r>
        <w:rPr>
          <w:rFonts w:hint="eastAsia"/>
          <w:lang w:val="en-US" w:eastAsia="zh-CN"/>
        </w:rPr>
        <w:t>部署环境</w:t>
      </w:r>
      <w:bookmarkEnd w:id="602"/>
      <w:bookmarkEnd w:id="603"/>
      <w:bookmarkEnd w:id="604"/>
      <w:bookmarkEnd w:id="605"/>
      <w:bookmarkEnd w:id="606"/>
    </w:p>
    <w:p>
      <w:pPr>
        <w:rPr>
          <w:rFonts w:hint="eastAsia"/>
          <w:sz w:val="24"/>
          <w:szCs w:val="22"/>
          <w:lang w:val="en-US" w:eastAsia="zh-CN"/>
        </w:rPr>
      </w:pPr>
      <w:r>
        <w:rPr>
          <w:rFonts w:hint="eastAsia"/>
          <w:sz w:val="24"/>
          <w:szCs w:val="22"/>
          <w:lang w:val="en-US" w:eastAsia="zh-CN"/>
        </w:rPr>
        <w:t>系统部署在政务云上，云资源需求如下：</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5"/>
        <w:gridCol w:w="1188"/>
        <w:gridCol w:w="2925"/>
        <w:gridCol w:w="750"/>
        <w:gridCol w:w="837"/>
        <w:gridCol w:w="2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序号</w:t>
            </w:r>
          </w:p>
        </w:tc>
        <w:tc>
          <w:tcPr>
            <w:tcW w:w="1188"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资源名称</w:t>
            </w:r>
          </w:p>
        </w:tc>
        <w:tc>
          <w:tcPr>
            <w:tcW w:w="2925"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规格</w:t>
            </w:r>
          </w:p>
        </w:tc>
        <w:tc>
          <w:tcPr>
            <w:tcW w:w="750"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单位</w:t>
            </w:r>
          </w:p>
        </w:tc>
        <w:tc>
          <w:tcPr>
            <w:tcW w:w="837"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数量</w:t>
            </w:r>
          </w:p>
        </w:tc>
        <w:tc>
          <w:tcPr>
            <w:tcW w:w="2744" w:type="dxa"/>
            <w:vAlign w:val="center"/>
          </w:tcPr>
          <w:p>
            <w:pPr>
              <w:keepNext w:val="0"/>
              <w:keepLines w:val="0"/>
              <w:suppressLineNumbers w:val="0"/>
              <w:spacing w:before="0" w:beforeAutospacing="0" w:after="0" w:afterAutospacing="0"/>
              <w:ind w:left="0" w:right="0" w:firstLine="0" w:firstLineChars="0"/>
              <w:jc w:val="center"/>
              <w:rPr>
                <w:rFonts w:hint="eastAsia"/>
                <w:sz w:val="24"/>
                <w:szCs w:val="22"/>
                <w:vertAlign w:val="baseline"/>
                <w:lang w:val="en-US" w:eastAsia="zh-CN"/>
              </w:rPr>
            </w:pPr>
            <w:r>
              <w:rPr>
                <w:rFonts w:hint="eastAsia"/>
                <w:sz w:val="24"/>
                <w:szCs w:val="22"/>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1</w:t>
            </w:r>
          </w:p>
        </w:tc>
        <w:tc>
          <w:tcPr>
            <w:tcW w:w="1188"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国产化虚拟主机</w:t>
            </w:r>
          </w:p>
        </w:tc>
        <w:tc>
          <w:tcPr>
            <w:tcW w:w="2925" w:type="dxa"/>
            <w:vAlign w:val="center"/>
          </w:tcPr>
          <w:p>
            <w:pPr>
              <w:keepNext w:val="0"/>
              <w:keepLines w:val="0"/>
              <w:suppressLineNumbers w:val="0"/>
              <w:spacing w:before="0" w:beforeAutospacing="0" w:after="0" w:afterAutospacing="0"/>
              <w:ind w:left="0" w:right="0" w:firstLine="0" w:firstLineChars="0"/>
              <w:rPr>
                <w:rFonts w:hint="default"/>
                <w:sz w:val="24"/>
                <w:szCs w:val="22"/>
                <w:vertAlign w:val="baseline"/>
                <w:lang w:val="en-US" w:eastAsia="zh-CN"/>
              </w:rPr>
            </w:pPr>
            <w:r>
              <w:rPr>
                <w:rFonts w:hint="eastAsia"/>
                <w:sz w:val="24"/>
                <w:szCs w:val="22"/>
                <w:vertAlign w:val="baseline"/>
                <w:lang w:val="en-US" w:eastAsia="zh-CN"/>
              </w:rPr>
              <w:t>32核CPU、64G内存、100G SSD系统盘+200G SSD数据盘</w:t>
            </w:r>
          </w:p>
        </w:tc>
        <w:tc>
          <w:tcPr>
            <w:tcW w:w="750"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台</w:t>
            </w:r>
          </w:p>
        </w:tc>
        <w:tc>
          <w:tcPr>
            <w:tcW w:w="837"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1</w:t>
            </w:r>
          </w:p>
        </w:tc>
        <w:tc>
          <w:tcPr>
            <w:tcW w:w="2744" w:type="dxa"/>
            <w:vAlign w:val="center"/>
          </w:tcPr>
          <w:p>
            <w:pPr>
              <w:keepNext w:val="0"/>
              <w:keepLines w:val="0"/>
              <w:suppressLineNumbers w:val="0"/>
              <w:spacing w:before="0" w:beforeAutospacing="0" w:after="0" w:afterAutospacing="0"/>
              <w:ind w:left="0" w:right="0" w:firstLine="0" w:firstLineChars="0"/>
              <w:rPr>
                <w:rFonts w:hint="eastAsia"/>
                <w:sz w:val="24"/>
                <w:szCs w:val="22"/>
                <w:vertAlign w:val="baseline"/>
                <w:lang w:val="en-US" w:eastAsia="zh-CN"/>
              </w:rPr>
            </w:pPr>
            <w:r>
              <w:rPr>
                <w:rFonts w:hint="default" w:ascii="宋体" w:hAnsi="Times New Roman" w:eastAsia="宋体"/>
                <w:color w:val="000000"/>
                <w:lang w:eastAsia="zh-CN"/>
              </w:rPr>
              <w:t>部署智能体开发平台、智能接单、智能部署、知识库、知识图谱、自训练模型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2</w:t>
            </w:r>
          </w:p>
        </w:tc>
        <w:tc>
          <w:tcPr>
            <w:tcW w:w="1188"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国产化虚拟主机</w:t>
            </w:r>
          </w:p>
        </w:tc>
        <w:tc>
          <w:tcPr>
            <w:tcW w:w="2925" w:type="dxa"/>
            <w:vAlign w:val="center"/>
          </w:tcPr>
          <w:p>
            <w:pPr>
              <w:keepNext w:val="0"/>
              <w:keepLines w:val="0"/>
              <w:suppressLineNumbers w:val="0"/>
              <w:spacing w:before="0" w:beforeAutospacing="0" w:after="0" w:afterAutospacing="0"/>
              <w:ind w:left="0" w:right="0" w:firstLine="0" w:firstLineChars="0"/>
              <w:rPr>
                <w:rFonts w:hint="eastAsia"/>
                <w:sz w:val="24"/>
                <w:szCs w:val="22"/>
                <w:vertAlign w:val="baseline"/>
                <w:lang w:val="en-US" w:eastAsia="zh-CN"/>
              </w:rPr>
            </w:pPr>
            <w:r>
              <w:rPr>
                <w:rFonts w:hint="eastAsia"/>
                <w:sz w:val="24"/>
                <w:szCs w:val="22"/>
                <w:vertAlign w:val="baseline"/>
                <w:lang w:val="en-US" w:eastAsia="zh-CN"/>
              </w:rPr>
              <w:t>8核CPU、16G内存、100G SSD系统盘+200G SSD数据盘</w:t>
            </w:r>
          </w:p>
        </w:tc>
        <w:tc>
          <w:tcPr>
            <w:tcW w:w="750"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台</w:t>
            </w:r>
          </w:p>
        </w:tc>
        <w:tc>
          <w:tcPr>
            <w:tcW w:w="837"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1</w:t>
            </w:r>
          </w:p>
        </w:tc>
        <w:tc>
          <w:tcPr>
            <w:tcW w:w="2744" w:type="dxa"/>
            <w:vAlign w:val="center"/>
          </w:tcPr>
          <w:p>
            <w:pPr>
              <w:keepNext w:val="0"/>
              <w:keepLines w:val="0"/>
              <w:suppressLineNumbers w:val="0"/>
              <w:spacing w:before="0" w:beforeAutospacing="0" w:after="0" w:afterAutospacing="0"/>
              <w:ind w:left="0" w:right="0" w:firstLine="0" w:firstLineChars="0"/>
              <w:rPr>
                <w:rFonts w:hint="default"/>
                <w:sz w:val="24"/>
                <w:szCs w:val="22"/>
                <w:vertAlign w:val="baseline"/>
                <w:lang w:val="en-US" w:eastAsia="zh-CN"/>
              </w:rPr>
            </w:pPr>
            <w:r>
              <w:rPr>
                <w:rFonts w:hint="eastAsia" w:ascii="宋体" w:hAnsi="Times New Roman" w:eastAsia="宋体"/>
                <w:color w:val="000000"/>
                <w:lang w:val="en-US" w:eastAsia="zh-CN"/>
              </w:rPr>
              <w:t>部署</w:t>
            </w:r>
            <w:r>
              <w:rPr>
                <w:rFonts w:hint="default" w:ascii="宋体" w:hAnsi="Times New Roman" w:eastAsia="宋体"/>
                <w:color w:val="000000"/>
                <w:lang w:eastAsia="zh-CN"/>
              </w:rPr>
              <w:t>系统管理平台，包括数据分析、报告生成；包括web服务、数据库服务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5"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3</w:t>
            </w:r>
          </w:p>
        </w:tc>
        <w:tc>
          <w:tcPr>
            <w:tcW w:w="1188"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国产化操作系统</w:t>
            </w:r>
          </w:p>
        </w:tc>
        <w:tc>
          <w:tcPr>
            <w:tcW w:w="2925" w:type="dxa"/>
            <w:vAlign w:val="center"/>
          </w:tcPr>
          <w:p>
            <w:pPr>
              <w:keepNext w:val="0"/>
              <w:keepLines w:val="0"/>
              <w:suppressLineNumbers w:val="0"/>
              <w:spacing w:before="0" w:beforeAutospacing="0" w:after="0" w:afterAutospacing="0"/>
              <w:ind w:left="0" w:right="0" w:firstLine="0" w:firstLineChars="0"/>
              <w:rPr>
                <w:rFonts w:hint="eastAsia"/>
                <w:sz w:val="24"/>
                <w:szCs w:val="22"/>
                <w:vertAlign w:val="baseline"/>
                <w:lang w:val="en-US" w:eastAsia="zh-CN"/>
              </w:rPr>
            </w:pPr>
          </w:p>
        </w:tc>
        <w:tc>
          <w:tcPr>
            <w:tcW w:w="750"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套</w:t>
            </w:r>
          </w:p>
        </w:tc>
        <w:tc>
          <w:tcPr>
            <w:tcW w:w="837"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2</w:t>
            </w:r>
          </w:p>
        </w:tc>
        <w:tc>
          <w:tcPr>
            <w:tcW w:w="2744"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4</w:t>
            </w:r>
          </w:p>
        </w:tc>
        <w:tc>
          <w:tcPr>
            <w:tcW w:w="1188" w:type="dxa"/>
            <w:vAlign w:val="center"/>
          </w:tcPr>
          <w:p>
            <w:pPr>
              <w:keepNext w:val="0"/>
              <w:keepLines w:val="0"/>
              <w:suppressLineNumbers w:val="0"/>
              <w:spacing w:before="0" w:beforeAutospacing="0" w:after="0" w:afterAutospacing="0"/>
              <w:ind w:left="0" w:right="0" w:firstLine="0" w:firstLineChars="0"/>
              <w:jc w:val="left"/>
              <w:rPr>
                <w:rFonts w:hint="default"/>
                <w:sz w:val="24"/>
                <w:szCs w:val="22"/>
                <w:vertAlign w:val="baseline"/>
                <w:lang w:val="en-US" w:eastAsia="zh-CN"/>
              </w:rPr>
            </w:pPr>
            <w:r>
              <w:rPr>
                <w:rFonts w:hint="eastAsia"/>
                <w:sz w:val="24"/>
                <w:szCs w:val="22"/>
                <w:vertAlign w:val="baseline"/>
                <w:lang w:val="en-US" w:eastAsia="zh-CN"/>
              </w:rPr>
              <w:t>堡垒机服务</w:t>
            </w:r>
          </w:p>
        </w:tc>
        <w:tc>
          <w:tcPr>
            <w:tcW w:w="2925" w:type="dxa"/>
            <w:vAlign w:val="center"/>
          </w:tcPr>
          <w:p>
            <w:pPr>
              <w:keepNext w:val="0"/>
              <w:keepLines w:val="0"/>
              <w:suppressLineNumbers w:val="0"/>
              <w:spacing w:before="0" w:beforeAutospacing="0" w:after="0" w:afterAutospacing="0"/>
              <w:ind w:left="0" w:right="0" w:firstLine="0" w:firstLineChars="0"/>
              <w:jc w:val="left"/>
              <w:rPr>
                <w:rFonts w:hint="eastAsia" w:ascii="宋体" w:hAnsi="宋体" w:eastAsia="宋体"/>
                <w:color w:val="auto"/>
              </w:rPr>
            </w:pPr>
            <w:r>
              <w:rPr>
                <w:rFonts w:hint="eastAsia" w:ascii="宋体" w:hAnsi="宋体" w:eastAsia="宋体"/>
                <w:color w:val="auto"/>
              </w:rPr>
              <w:t>平台堡垒机服务，面向政务云平台提供统一身份管理和资源访问控制，保障运维操作安全，提升运维效率，含4个托管服务器。</w:t>
            </w:r>
          </w:p>
        </w:tc>
        <w:tc>
          <w:tcPr>
            <w:tcW w:w="750"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项</w:t>
            </w:r>
          </w:p>
        </w:tc>
        <w:tc>
          <w:tcPr>
            <w:tcW w:w="837"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r>
              <w:rPr>
                <w:rFonts w:hint="eastAsia"/>
                <w:sz w:val="24"/>
                <w:szCs w:val="22"/>
                <w:vertAlign w:val="baseline"/>
                <w:lang w:val="en-US" w:eastAsia="zh-CN"/>
              </w:rPr>
              <w:t>1</w:t>
            </w:r>
          </w:p>
        </w:tc>
        <w:tc>
          <w:tcPr>
            <w:tcW w:w="2744" w:type="dxa"/>
            <w:vAlign w:val="center"/>
          </w:tcPr>
          <w:p>
            <w:pPr>
              <w:keepNext w:val="0"/>
              <w:keepLines w:val="0"/>
              <w:suppressLineNumbers w:val="0"/>
              <w:spacing w:before="0" w:beforeAutospacing="0" w:after="0" w:afterAutospacing="0"/>
              <w:ind w:left="0" w:right="0" w:firstLine="0" w:firstLineChars="0"/>
              <w:jc w:val="center"/>
              <w:rPr>
                <w:rFonts w:hint="default"/>
                <w:sz w:val="24"/>
                <w:szCs w:val="22"/>
                <w:vertAlign w:val="baseline"/>
                <w:lang w:val="en-US" w:eastAsia="zh-CN"/>
              </w:rPr>
            </w:pPr>
          </w:p>
        </w:tc>
      </w:tr>
    </w:tbl>
    <w:p>
      <w:pPr>
        <w:pStyle w:val="4"/>
        <w:rPr>
          <w:rFonts w:hint="default"/>
          <w:lang w:val="en-US" w:eastAsia="zh-CN"/>
        </w:rPr>
      </w:pPr>
      <w:bookmarkStart w:id="607" w:name="_Toc11622"/>
      <w:bookmarkStart w:id="608" w:name="_Toc29066"/>
      <w:bookmarkStart w:id="609" w:name="_Toc15350"/>
      <w:bookmarkStart w:id="610" w:name="_Toc9597"/>
      <w:r>
        <w:rPr>
          <w:rFonts w:hint="eastAsia"/>
          <w:sz w:val="24"/>
          <w:szCs w:val="22"/>
          <w:lang w:val="en-US" w:eastAsia="zh-CN"/>
        </w:rPr>
        <w:t>服务内容</w:t>
      </w:r>
      <w:bookmarkEnd w:id="607"/>
      <w:bookmarkEnd w:id="608"/>
      <w:bookmarkEnd w:id="609"/>
      <w:bookmarkEnd w:id="610"/>
    </w:p>
    <w:p>
      <w:pPr>
        <w:rPr>
          <w:rFonts w:hint="default"/>
          <w:lang w:val="en-US" w:eastAsia="zh-CN"/>
        </w:rPr>
      </w:pPr>
      <w:r>
        <w:rPr>
          <w:rFonts w:hint="eastAsia"/>
          <w:sz w:val="24"/>
          <w:szCs w:val="22"/>
          <w:lang w:val="en-US" w:eastAsia="zh-CN"/>
        </w:rPr>
        <w:t>本期提供三年智能转单服务，具体服务内容包括：</w:t>
      </w:r>
    </w:p>
    <w:p>
      <w:pPr>
        <w:pStyle w:val="5"/>
        <w:rPr>
          <w:rFonts w:hint="eastAsia"/>
          <w:lang w:val="en-US" w:eastAsia="zh-CN"/>
        </w:rPr>
      </w:pPr>
      <w:bookmarkStart w:id="611" w:name="_Toc9516"/>
      <w:bookmarkStart w:id="612" w:name="_Toc28332"/>
      <w:bookmarkStart w:id="613" w:name="_Toc975"/>
      <w:bookmarkStart w:id="614" w:name="_Toc154"/>
      <w:r>
        <w:rPr>
          <w:rFonts w:hint="eastAsia"/>
          <w:lang w:val="en-US" w:eastAsia="zh-CN"/>
        </w:rPr>
        <w:t>智能派单服务</w:t>
      </w:r>
      <w:bookmarkEnd w:id="611"/>
      <w:bookmarkEnd w:id="612"/>
      <w:bookmarkEnd w:id="613"/>
      <w:bookmarkEnd w:id="614"/>
    </w:p>
    <w:p>
      <w:pPr>
        <w:spacing w:before="0" w:beforeLines="-2147483648" w:after="0" w:line="360" w:lineRule="auto"/>
        <w:rPr>
          <w:rFonts w:hint="eastAsia"/>
          <w:lang w:eastAsia="zh-CN"/>
        </w:rPr>
      </w:pPr>
      <w:bookmarkStart w:id="615" w:name="ua3871e6d"/>
      <w:r>
        <w:rPr>
          <w:rFonts w:hint="eastAsia" w:ascii="宋体" w:hAnsi="宋体" w:eastAsia="宋体"/>
          <w:color w:val="auto"/>
          <w:lang w:eastAsia="zh-CN"/>
        </w:rPr>
        <w:t>1.智能接单：实现自动从斗门区电子监察系统接受工单，并存储数据</w:t>
      </w:r>
      <w:r>
        <w:rPr>
          <w:rFonts w:hint="eastAsia"/>
          <w:color w:val="auto"/>
          <w:lang w:eastAsia="zh-CN"/>
        </w:rPr>
        <w:t>，</w:t>
      </w:r>
      <w:r>
        <w:rPr>
          <w:rFonts w:hint="eastAsia" w:ascii="宋体" w:hAnsi="宋体" w:eastAsia="宋体"/>
          <w:color w:val="auto"/>
          <w:lang w:eastAsia="zh-CN"/>
        </w:rPr>
        <w:t>分析所需字段信息。</w:t>
      </w:r>
    </w:p>
    <w:bookmarkEnd w:id="615"/>
    <w:p>
      <w:pPr>
        <w:rPr>
          <w:rFonts w:hint="eastAsia" w:ascii="宋体" w:hAnsi="宋体" w:eastAsia="宋体"/>
          <w:color w:val="auto"/>
          <w:lang w:eastAsia="zh-CN"/>
        </w:rPr>
      </w:pPr>
      <w:r>
        <w:rPr>
          <w:rFonts w:hint="eastAsia" w:ascii="宋体" w:hAnsi="宋体" w:eastAsia="宋体"/>
          <w:color w:val="auto"/>
          <w:lang w:eastAsia="zh-CN"/>
        </w:rPr>
        <w:t>2.智能部署：接单后自动通过智能体推理办理部门并自动完成部署。</w:t>
      </w:r>
    </w:p>
    <w:p>
      <w:pPr>
        <w:pStyle w:val="5"/>
        <w:rPr>
          <w:rFonts w:hint="eastAsia" w:ascii="Cambria" w:hAnsi="Cambria" w:eastAsia="黑体"/>
          <w:color w:val="auto"/>
          <w:lang w:val="en-US" w:eastAsia="zh-CN"/>
        </w:rPr>
      </w:pPr>
      <w:bookmarkStart w:id="616" w:name="_Toc13334"/>
      <w:bookmarkStart w:id="617" w:name="_Toc23981"/>
      <w:bookmarkStart w:id="618" w:name="_Toc11175"/>
      <w:bookmarkStart w:id="619" w:name="_Toc29877"/>
      <w:r>
        <w:rPr>
          <w:rFonts w:hint="eastAsia" w:ascii="Cambria" w:hAnsi="Cambria" w:eastAsia="黑体"/>
          <w:color w:val="auto"/>
          <w:lang w:val="en-US" w:eastAsia="zh-CN"/>
        </w:rPr>
        <w:t>数据分析和智能报告</w:t>
      </w:r>
      <w:r>
        <w:rPr>
          <w:rFonts w:hint="eastAsia"/>
          <w:lang w:val="en-US" w:eastAsia="zh-CN"/>
        </w:rPr>
        <w:t>服务</w:t>
      </w:r>
      <w:bookmarkEnd w:id="616"/>
      <w:bookmarkEnd w:id="617"/>
      <w:bookmarkEnd w:id="618"/>
      <w:bookmarkEnd w:id="619"/>
    </w:p>
    <w:p>
      <w:pPr>
        <w:spacing w:before="0" w:beforeLines="-2147483648" w:after="0" w:line="360" w:lineRule="auto"/>
        <w:rPr>
          <w:rFonts w:hint="eastAsia"/>
          <w:lang w:eastAsia="zh-CN"/>
        </w:rPr>
      </w:pPr>
      <w:bookmarkStart w:id="620" w:name="udb4a180e"/>
      <w:r>
        <w:rPr>
          <w:rFonts w:hint="eastAsia" w:ascii="宋体" w:hAnsi="宋体" w:eastAsia="宋体"/>
          <w:color w:val="auto"/>
          <w:lang w:eastAsia="zh-CN"/>
        </w:rPr>
        <w:t>1.图表生成：</w:t>
      </w:r>
      <w:r>
        <w:rPr>
          <w:rFonts w:hint="eastAsia" w:ascii="宋体" w:hAnsi="宋体" w:eastAsia="宋体"/>
          <w:color w:val="auto"/>
          <w:sz w:val="24"/>
          <w:lang w:eastAsia="zh-CN"/>
        </w:rPr>
        <w:t>支持自定义维度（部门、时间、工单类型等）统计与可视化。</w:t>
      </w:r>
    </w:p>
    <w:bookmarkEnd w:id="620"/>
    <w:p>
      <w:pPr>
        <w:rPr>
          <w:rFonts w:hint="eastAsia" w:ascii="宋体" w:hAnsi="宋体" w:eastAsia="宋体"/>
          <w:color w:val="auto"/>
          <w:sz w:val="24"/>
          <w:lang w:eastAsia="zh-CN"/>
        </w:rPr>
      </w:pPr>
      <w:r>
        <w:rPr>
          <w:rFonts w:hint="eastAsia" w:ascii="宋体" w:hAnsi="宋体" w:eastAsia="宋体"/>
          <w:color w:val="auto"/>
          <w:lang w:eastAsia="zh-CN"/>
        </w:rPr>
        <w:t>2.报告模板：</w:t>
      </w:r>
      <w:r>
        <w:rPr>
          <w:rFonts w:hint="eastAsia" w:ascii="宋体" w:hAnsi="宋体" w:eastAsia="宋体"/>
          <w:color w:val="auto"/>
          <w:sz w:val="24"/>
          <w:lang w:eastAsia="zh-CN"/>
        </w:rPr>
        <w:t>配置月报、专报模板，配合图表生成，支持报告一键生成。</w:t>
      </w:r>
    </w:p>
    <w:p>
      <w:pPr>
        <w:pStyle w:val="5"/>
        <w:rPr>
          <w:rFonts w:hint="default"/>
          <w:lang w:val="en-US" w:eastAsia="zh-CN"/>
        </w:rPr>
      </w:pPr>
      <w:bookmarkStart w:id="621" w:name="_Toc22786"/>
      <w:bookmarkStart w:id="622" w:name="_Toc26175"/>
      <w:bookmarkStart w:id="623" w:name="_Toc26082"/>
      <w:bookmarkStart w:id="624" w:name="_Toc6074"/>
      <w:r>
        <w:rPr>
          <w:rFonts w:hint="eastAsia"/>
          <w:sz w:val="24"/>
          <w:szCs w:val="22"/>
          <w:lang w:val="en-US" w:eastAsia="zh-CN"/>
        </w:rPr>
        <w:t>大模型服务</w:t>
      </w:r>
      <w:bookmarkEnd w:id="621"/>
      <w:bookmarkEnd w:id="622"/>
      <w:bookmarkEnd w:id="623"/>
      <w:bookmarkEnd w:id="624"/>
    </w:p>
    <w:p>
      <w:pPr>
        <w:rPr>
          <w:rFonts w:hint="default"/>
          <w:lang w:val="en-US" w:eastAsia="zh-CN"/>
        </w:rPr>
      </w:pPr>
      <w:r>
        <w:rPr>
          <w:rFonts w:ascii="宋体" w:hAnsi="Times New Roman" w:eastAsia="宋体"/>
          <w:color w:val="000000"/>
          <w:lang w:eastAsia="zh-CN"/>
        </w:rPr>
        <w:t>deepseek大模型api服务，用于智能部署工单推理以及智能报告服务。</w:t>
      </w:r>
    </w:p>
    <w:p>
      <w:pPr>
        <w:pStyle w:val="5"/>
        <w:rPr>
          <w:rFonts w:hint="default"/>
          <w:lang w:val="en-US" w:eastAsia="zh-CN"/>
        </w:rPr>
      </w:pPr>
      <w:bookmarkStart w:id="625" w:name="_Toc21218"/>
      <w:bookmarkStart w:id="626" w:name="_Toc23134"/>
      <w:bookmarkStart w:id="627" w:name="_Toc17545"/>
      <w:bookmarkStart w:id="628" w:name="_Toc11156"/>
      <w:r>
        <w:rPr>
          <w:rFonts w:hint="eastAsia"/>
          <w:sz w:val="24"/>
          <w:szCs w:val="22"/>
          <w:lang w:val="en-US" w:eastAsia="zh-CN"/>
        </w:rPr>
        <w:t>运维服务</w:t>
      </w:r>
      <w:bookmarkEnd w:id="625"/>
      <w:bookmarkEnd w:id="626"/>
      <w:bookmarkEnd w:id="627"/>
      <w:bookmarkEnd w:id="628"/>
    </w:p>
    <w:p>
      <w:pPr>
        <w:spacing w:before="0" w:beforeLines="-2147483648" w:after="0" w:line="360" w:lineRule="auto"/>
        <w:rPr>
          <w:rFonts w:hint="default" w:ascii="宋体" w:hAnsi="Times New Roman" w:eastAsia="宋体"/>
          <w:color w:val="000000"/>
          <w:lang w:val="en-US" w:eastAsia="zh-CN"/>
        </w:rPr>
      </w:pPr>
      <w:r>
        <w:rPr>
          <w:rFonts w:hint="default" w:ascii="宋体" w:hAnsi="Times New Roman" w:eastAsia="宋体"/>
          <w:color w:val="000000"/>
          <w:lang w:val="en-US" w:eastAsia="zh-CN"/>
        </w:rPr>
        <w:t>提供</w:t>
      </w:r>
      <w:r>
        <w:rPr>
          <w:rFonts w:ascii="宋体" w:hAnsi="Times New Roman" w:eastAsia="宋体"/>
          <w:color w:val="000000"/>
          <w:lang w:eastAsia="zh-CN"/>
        </w:rPr>
        <w:t>7*24小时服务响应</w:t>
      </w:r>
      <w:r>
        <w:rPr>
          <w:rFonts w:hint="default" w:ascii="宋体" w:hAnsi="Times New Roman" w:eastAsia="宋体"/>
          <w:color w:val="000000"/>
          <w:lang w:eastAsia="zh-CN"/>
        </w:rPr>
        <w:t>，</w:t>
      </w:r>
      <w:r>
        <w:rPr>
          <w:rFonts w:ascii="宋体" w:hAnsi="Times New Roman" w:eastAsia="宋体"/>
          <w:color w:val="000000"/>
          <w:lang w:eastAsia="zh-CN"/>
        </w:rPr>
        <w:t>保障系统正常运行，</w:t>
      </w:r>
      <w:r>
        <w:rPr>
          <w:rFonts w:hint="eastAsia" w:hAnsi="Times New Roman"/>
          <w:color w:val="000000"/>
          <w:lang w:val="en-US" w:eastAsia="zh-CN"/>
        </w:rPr>
        <w:t>对出现的</w:t>
      </w:r>
      <w:r>
        <w:rPr>
          <w:rFonts w:ascii="宋体" w:hAnsi="Times New Roman" w:eastAsia="宋体"/>
          <w:color w:val="000000"/>
          <w:lang w:eastAsia="zh-CN"/>
        </w:rPr>
        <w:t>问题及时响应修复和优化</w:t>
      </w:r>
      <w:r>
        <w:rPr>
          <w:rFonts w:hint="default" w:ascii="宋体" w:hAnsi="Times New Roman" w:eastAsia="宋体"/>
          <w:color w:val="000000"/>
          <w:lang w:eastAsia="zh-CN"/>
        </w:rPr>
        <w:t>。</w:t>
      </w:r>
      <w:r>
        <w:rPr>
          <w:rFonts w:hint="default" w:ascii="宋体" w:hAnsi="Times New Roman" w:eastAsia="宋体"/>
          <w:color w:val="000000"/>
          <w:lang w:val="en-US" w:eastAsia="zh-CN"/>
        </w:rPr>
        <w:t>提供紧急、</w:t>
      </w:r>
      <w:r>
        <w:rPr>
          <w:rFonts w:hint="eastAsia" w:hAnsi="Times New Roman"/>
          <w:color w:val="000000"/>
          <w:lang w:val="en-US" w:eastAsia="zh-CN"/>
        </w:rPr>
        <w:t>中级、</w:t>
      </w:r>
      <w:r>
        <w:rPr>
          <w:rFonts w:hint="default" w:ascii="宋体" w:hAnsi="Times New Roman" w:eastAsia="宋体"/>
          <w:color w:val="000000"/>
          <w:lang w:val="en-US" w:eastAsia="zh-CN"/>
        </w:rPr>
        <w:t>低级、咨询</w:t>
      </w:r>
      <w:r>
        <w:rPr>
          <w:rFonts w:hint="eastAsia" w:hAnsi="Times New Roman"/>
          <w:color w:val="000000"/>
          <w:lang w:val="en-US" w:eastAsia="zh-CN"/>
        </w:rPr>
        <w:t>四类</w:t>
      </w:r>
      <w:r>
        <w:rPr>
          <w:rFonts w:hint="default" w:ascii="宋体" w:hAnsi="Times New Roman" w:eastAsia="宋体"/>
          <w:color w:val="000000"/>
          <w:lang w:val="en-US" w:eastAsia="zh-CN"/>
        </w:rPr>
        <w:t>服务。</w:t>
      </w:r>
    </w:p>
    <w:p>
      <w:pPr>
        <w:numPr>
          <w:ilvl w:val="0"/>
          <w:numId w:val="15"/>
        </w:numPr>
        <w:spacing w:before="0" w:beforeLines="-2147483648" w:after="0" w:line="360" w:lineRule="auto"/>
        <w:ind w:left="0" w:firstLine="480" w:firstLineChars="0"/>
        <w:rPr>
          <w:rFonts w:ascii="宋体" w:hAnsi="Times New Roman" w:eastAsia="宋体"/>
          <w:color w:val="000000"/>
          <w:lang w:eastAsia="zh-CN"/>
        </w:rPr>
      </w:pPr>
      <w:r>
        <w:rPr>
          <w:rFonts w:ascii="宋体" w:hAnsi="Times New Roman" w:eastAsia="宋体"/>
          <w:color w:val="000000"/>
          <w:lang w:eastAsia="zh-CN"/>
        </w:rPr>
        <w:t>紧急</w:t>
      </w:r>
      <w:r>
        <w:rPr>
          <w:rFonts w:hint="eastAsia" w:hAnsi="Times New Roman"/>
          <w:color w:val="000000"/>
          <w:lang w:val="en-US" w:eastAsia="zh-CN"/>
        </w:rPr>
        <w:t>服务</w:t>
      </w:r>
      <w:r>
        <w:rPr>
          <w:rFonts w:hint="eastAsia" w:hAnsi="Times New Roman"/>
          <w:color w:val="000000"/>
          <w:lang w:eastAsia="zh-CN"/>
        </w:rPr>
        <w:t>：</w:t>
      </w:r>
      <w:r>
        <w:rPr>
          <w:rFonts w:hint="eastAsia" w:hAnsi="Times New Roman"/>
          <w:color w:val="000000"/>
          <w:lang w:val="en-US" w:eastAsia="zh-CN"/>
        </w:rPr>
        <w:t>系统</w:t>
      </w:r>
      <w:r>
        <w:rPr>
          <w:rFonts w:ascii="宋体" w:hAnsi="Times New Roman" w:eastAsia="宋体"/>
          <w:color w:val="000000"/>
          <w:lang w:eastAsia="zh-CN"/>
        </w:rPr>
        <w:t>服务不可用</w:t>
      </w:r>
      <w:r>
        <w:rPr>
          <w:rFonts w:hint="eastAsia" w:hAnsi="Times New Roman"/>
          <w:color w:val="000000"/>
          <w:lang w:val="en-US" w:eastAsia="zh-CN"/>
        </w:rPr>
        <w:t>或</w:t>
      </w:r>
      <w:r>
        <w:rPr>
          <w:rFonts w:ascii="宋体" w:hAnsi="Times New Roman" w:eastAsia="宋体"/>
          <w:color w:val="000000"/>
          <w:lang w:eastAsia="zh-CN"/>
        </w:rPr>
        <w:t>宕机</w:t>
      </w:r>
      <w:r>
        <w:rPr>
          <w:rFonts w:hint="eastAsia" w:hAnsi="Times New Roman"/>
          <w:color w:val="000000"/>
          <w:lang w:eastAsia="zh-CN"/>
        </w:rPr>
        <w:t>，</w:t>
      </w:r>
      <w:r>
        <w:rPr>
          <w:rFonts w:ascii="宋体" w:hAnsi="Times New Roman" w:eastAsia="宋体"/>
          <w:color w:val="000000"/>
          <w:lang w:eastAsia="zh-CN"/>
        </w:rPr>
        <w:t>2小时内恢复服务</w:t>
      </w:r>
      <w:r>
        <w:rPr>
          <w:rFonts w:hint="eastAsia" w:hAnsi="Times New Roman"/>
          <w:color w:val="000000"/>
          <w:lang w:eastAsia="zh-CN"/>
        </w:rPr>
        <w:t>；</w:t>
      </w:r>
    </w:p>
    <w:p>
      <w:pPr>
        <w:numPr>
          <w:ilvl w:val="0"/>
          <w:numId w:val="15"/>
        </w:numPr>
        <w:spacing w:before="0" w:beforeLines="-2147483648" w:after="0" w:line="360" w:lineRule="auto"/>
        <w:ind w:left="0" w:firstLine="480" w:firstLineChars="0"/>
        <w:rPr>
          <w:rFonts w:ascii="宋体" w:hAnsi="Times New Roman" w:eastAsia="宋体"/>
          <w:color w:val="000000"/>
          <w:lang w:eastAsia="zh-CN"/>
        </w:rPr>
      </w:pPr>
      <w:r>
        <w:rPr>
          <w:rFonts w:ascii="宋体" w:hAnsi="Times New Roman" w:eastAsia="宋体"/>
          <w:color w:val="000000"/>
          <w:lang w:eastAsia="zh-CN"/>
        </w:rPr>
        <w:t>中级</w:t>
      </w:r>
      <w:r>
        <w:rPr>
          <w:rFonts w:hint="eastAsia" w:hAnsi="Times New Roman"/>
          <w:color w:val="000000"/>
          <w:lang w:val="en-US" w:eastAsia="zh-CN"/>
        </w:rPr>
        <w:t>服务</w:t>
      </w:r>
      <w:r>
        <w:rPr>
          <w:rFonts w:hint="eastAsia" w:hAnsi="Times New Roman"/>
          <w:color w:val="000000"/>
          <w:lang w:eastAsia="zh-CN"/>
        </w:rPr>
        <w:t>：</w:t>
      </w:r>
      <w:r>
        <w:rPr>
          <w:rFonts w:hint="eastAsia" w:hAnsi="Times New Roman"/>
          <w:color w:val="000000"/>
          <w:lang w:val="en-US" w:eastAsia="zh-CN"/>
        </w:rPr>
        <w:t>系统</w:t>
      </w:r>
      <w:r>
        <w:rPr>
          <w:rFonts w:ascii="宋体" w:hAnsi="Times New Roman" w:eastAsia="宋体"/>
          <w:color w:val="000000"/>
          <w:lang w:eastAsia="zh-CN"/>
        </w:rPr>
        <w:t>功能报错</w:t>
      </w:r>
      <w:r>
        <w:rPr>
          <w:rFonts w:hint="eastAsia" w:hAnsi="Times New Roman"/>
          <w:color w:val="000000"/>
          <w:lang w:val="en-US" w:eastAsia="zh-CN"/>
        </w:rPr>
        <w:t>且为</w:t>
      </w:r>
      <w:r>
        <w:rPr>
          <w:rFonts w:ascii="宋体" w:hAnsi="Times New Roman" w:eastAsia="宋体"/>
          <w:color w:val="000000"/>
          <w:lang w:eastAsia="zh-CN"/>
        </w:rPr>
        <w:t>非关键性能</w:t>
      </w:r>
      <w:r>
        <w:rPr>
          <w:rFonts w:hint="eastAsia" w:hAnsi="Times New Roman"/>
          <w:color w:val="000000"/>
          <w:lang w:val="en-US" w:eastAsia="zh-CN"/>
        </w:rPr>
        <w:t>问题，</w:t>
      </w:r>
      <w:r>
        <w:rPr>
          <w:rFonts w:ascii="宋体" w:hAnsi="Times New Roman" w:eastAsia="宋体"/>
          <w:color w:val="000000"/>
          <w:lang w:eastAsia="zh-CN"/>
        </w:rPr>
        <w:t>4小时内修复</w:t>
      </w:r>
      <w:r>
        <w:rPr>
          <w:rFonts w:hint="eastAsia" w:hAnsi="Times New Roman"/>
          <w:color w:val="000000"/>
          <w:lang w:eastAsia="zh-CN"/>
        </w:rPr>
        <w:t>；</w:t>
      </w:r>
    </w:p>
    <w:p>
      <w:pPr>
        <w:numPr>
          <w:ilvl w:val="0"/>
          <w:numId w:val="15"/>
        </w:numPr>
        <w:spacing w:before="0" w:beforeLines="-2147483648" w:after="0" w:line="360" w:lineRule="auto"/>
        <w:ind w:left="0" w:firstLine="480" w:firstLineChars="0"/>
        <w:rPr>
          <w:rFonts w:hAnsi="Times New Roman"/>
          <w:color w:val="000000"/>
          <w:lang w:eastAsia="zh-CN"/>
        </w:rPr>
      </w:pPr>
      <w:r>
        <w:rPr>
          <w:rFonts w:ascii="宋体" w:hAnsi="Times New Roman" w:eastAsia="宋体"/>
          <w:color w:val="000000"/>
          <w:lang w:eastAsia="zh-CN"/>
        </w:rPr>
        <w:t>低级</w:t>
      </w:r>
      <w:r>
        <w:rPr>
          <w:rFonts w:hint="eastAsia" w:hAnsi="Times New Roman"/>
          <w:color w:val="000000"/>
          <w:lang w:val="en-US" w:eastAsia="zh-CN"/>
        </w:rPr>
        <w:t>服务</w:t>
      </w:r>
      <w:r>
        <w:rPr>
          <w:rFonts w:hint="eastAsia" w:hAnsi="Times New Roman"/>
          <w:color w:val="000000"/>
          <w:lang w:eastAsia="zh-CN"/>
        </w:rPr>
        <w:t>：</w:t>
      </w:r>
      <w:r>
        <w:rPr>
          <w:rFonts w:ascii="宋体" w:hAnsi="Times New Roman" w:eastAsia="宋体"/>
          <w:color w:val="000000"/>
          <w:lang w:eastAsia="zh-CN"/>
        </w:rPr>
        <w:t>非故障类</w:t>
      </w:r>
      <w:r>
        <w:rPr>
          <w:rFonts w:hint="eastAsia" w:hAnsi="Times New Roman"/>
          <w:color w:val="000000"/>
          <w:lang w:eastAsia="zh-CN"/>
        </w:rPr>
        <w:t>，</w:t>
      </w:r>
      <w:r>
        <w:rPr>
          <w:rFonts w:ascii="宋体" w:hAnsi="Times New Roman" w:eastAsia="宋体"/>
          <w:color w:val="000000"/>
          <w:lang w:eastAsia="zh-CN"/>
        </w:rPr>
        <w:t>如功能优化，24小时响应，完成时间视工作量定</w:t>
      </w:r>
      <w:r>
        <w:rPr>
          <w:rFonts w:hint="eastAsia" w:hAnsi="Times New Roman"/>
          <w:color w:val="000000"/>
          <w:lang w:eastAsia="zh-CN"/>
        </w:rPr>
        <w:t>；</w:t>
      </w:r>
    </w:p>
    <w:p>
      <w:pPr>
        <w:numPr>
          <w:ilvl w:val="0"/>
          <w:numId w:val="15"/>
        </w:numPr>
        <w:ind w:left="0" w:firstLine="480" w:firstLineChars="0"/>
        <w:rPr>
          <w:rFonts w:hint="default"/>
          <w:lang w:val="en-US" w:eastAsia="zh-CN"/>
        </w:rPr>
      </w:pPr>
      <w:r>
        <w:rPr>
          <w:rFonts w:ascii="宋体" w:hAnsi="Times New Roman" w:eastAsia="宋体"/>
          <w:color w:val="000000"/>
          <w:lang w:eastAsia="zh-CN"/>
        </w:rPr>
        <w:t>咨询</w:t>
      </w:r>
      <w:r>
        <w:rPr>
          <w:rFonts w:hint="eastAsia" w:hAnsi="Times New Roman"/>
          <w:color w:val="000000"/>
          <w:lang w:val="en-US" w:eastAsia="zh-CN"/>
        </w:rPr>
        <w:t>服务</w:t>
      </w:r>
      <w:r>
        <w:rPr>
          <w:rFonts w:hint="eastAsia" w:hAnsi="Times New Roman"/>
          <w:color w:val="000000"/>
          <w:lang w:eastAsia="zh-CN"/>
        </w:rPr>
        <w:t>：</w:t>
      </w:r>
      <w:r>
        <w:rPr>
          <w:rFonts w:ascii="宋体" w:hAnsi="Times New Roman" w:eastAsia="宋体"/>
          <w:color w:val="000000"/>
          <w:lang w:eastAsia="zh-CN"/>
        </w:rPr>
        <w:t>新增需求</w:t>
      </w:r>
      <w:r>
        <w:rPr>
          <w:rFonts w:hint="eastAsia" w:hAnsi="Times New Roman"/>
          <w:color w:val="000000"/>
          <w:lang w:eastAsia="zh-CN"/>
        </w:rPr>
        <w:t>、</w:t>
      </w:r>
      <w:r>
        <w:rPr>
          <w:rFonts w:ascii="宋体" w:hAnsi="Times New Roman" w:eastAsia="宋体"/>
          <w:color w:val="000000"/>
          <w:lang w:eastAsia="zh-CN"/>
        </w:rPr>
        <w:t>服务配置变更等，48小时响应，完成时间视工作量定（</w:t>
      </w:r>
      <w:r>
        <w:rPr>
          <w:rFonts w:hint="eastAsia" w:hAnsi="Times New Roman"/>
          <w:color w:val="000000"/>
          <w:lang w:val="en-US" w:eastAsia="zh-CN"/>
        </w:rPr>
        <w:t>需额外收取费用，</w:t>
      </w:r>
      <w:r>
        <w:rPr>
          <w:rFonts w:ascii="宋体" w:hAnsi="Times New Roman" w:eastAsia="宋体"/>
          <w:color w:val="000000"/>
          <w:lang w:eastAsia="zh-CN"/>
        </w:rPr>
        <w:t>费用按需求工作量报价）</w:t>
      </w:r>
      <w:r>
        <w:rPr>
          <w:rFonts w:hint="eastAsia" w:hAnsi="Times New Roman"/>
          <w:color w:val="000000"/>
          <w:lang w:eastAsia="zh-CN"/>
        </w:rPr>
        <w:t>。</w:t>
      </w:r>
    </w:p>
    <w:p>
      <w:pPr>
        <w:pStyle w:val="3"/>
        <w:rPr>
          <w:highlight w:val="none"/>
        </w:rPr>
      </w:pPr>
      <w:bookmarkStart w:id="629" w:name="_Toc7977"/>
      <w:bookmarkStart w:id="630" w:name="_Toc15151"/>
      <w:bookmarkStart w:id="631" w:name="_Toc23920"/>
      <w:bookmarkStart w:id="632" w:name="_Toc9385"/>
      <w:r>
        <w:rPr>
          <w:rFonts w:hint="eastAsia"/>
          <w:highlight w:val="none"/>
          <w:lang w:val="en-US" w:eastAsia="zh-CN"/>
        </w:rPr>
        <w:t>统一申办受理平台专区建设</w:t>
      </w:r>
      <w:bookmarkEnd w:id="629"/>
      <w:bookmarkEnd w:id="630"/>
      <w:bookmarkEnd w:id="631"/>
      <w:bookmarkEnd w:id="632"/>
    </w:p>
    <w:p>
      <w:pPr>
        <w:rPr>
          <w:rFonts w:hint="eastAsia"/>
          <w:lang w:val="en-US" w:eastAsia="zh-CN"/>
        </w:rPr>
      </w:pPr>
      <w:r>
        <w:rPr>
          <w:rFonts w:hint="eastAsia"/>
          <w:lang w:val="en-US" w:eastAsia="zh-CN"/>
        </w:rPr>
        <w:t>本项目基于珠海市统一申办受理平台已有功能模块增加斗门特色功能，建设斗门一件事专区、跨域通办专区、助残专区，提供斗门特色服务。</w:t>
      </w:r>
    </w:p>
    <w:p>
      <w:pPr>
        <w:pStyle w:val="4"/>
        <w:rPr>
          <w:rFonts w:hint="default"/>
          <w:lang w:val="en-US" w:eastAsia="zh-CN"/>
        </w:rPr>
      </w:pPr>
      <w:bookmarkStart w:id="633" w:name="_Toc19508"/>
      <w:bookmarkStart w:id="634" w:name="_Toc5621"/>
      <w:bookmarkStart w:id="635" w:name="_Toc9855"/>
      <w:bookmarkStart w:id="636" w:name="_Toc13487"/>
      <w:r>
        <w:rPr>
          <w:rFonts w:hint="eastAsia"/>
          <w:lang w:val="en-US" w:eastAsia="zh-CN"/>
        </w:rPr>
        <w:t>一件事专区建设</w:t>
      </w:r>
      <w:bookmarkEnd w:id="633"/>
      <w:bookmarkEnd w:id="634"/>
      <w:bookmarkEnd w:id="635"/>
      <w:bookmarkEnd w:id="636"/>
    </w:p>
    <w:p>
      <w:pPr>
        <w:pStyle w:val="5"/>
        <w:rPr>
          <w:rFonts w:hint="eastAsia"/>
          <w:lang w:val="en-US" w:eastAsia="zh-CN"/>
        </w:rPr>
      </w:pPr>
      <w:bookmarkStart w:id="637" w:name="_Toc17693"/>
      <w:bookmarkStart w:id="638" w:name="_Toc3857"/>
      <w:bookmarkStart w:id="639" w:name="_Toc27198"/>
      <w:bookmarkStart w:id="640" w:name="_Toc17909"/>
      <w:r>
        <w:rPr>
          <w:rFonts w:hint="eastAsia"/>
          <w:lang w:val="en-US" w:eastAsia="zh-CN"/>
        </w:rPr>
        <w:t>一件事专区</w:t>
      </w:r>
      <w:bookmarkEnd w:id="637"/>
      <w:bookmarkEnd w:id="638"/>
      <w:bookmarkEnd w:id="639"/>
      <w:bookmarkEnd w:id="640"/>
    </w:p>
    <w:p>
      <w:pPr>
        <w:numPr>
          <w:ilvl w:val="0"/>
          <w:numId w:val="16"/>
        </w:numPr>
        <w:ind w:firstLine="480"/>
        <w:rPr>
          <w:rFonts w:hint="eastAsia"/>
          <w:lang w:val="en-US" w:eastAsia="zh-CN"/>
        </w:rPr>
      </w:pPr>
      <w:r>
        <w:rPr>
          <w:rFonts w:hint="eastAsia"/>
          <w:lang w:val="en-US" w:eastAsia="zh-CN"/>
        </w:rPr>
        <w:t>按区划建设</w:t>
      </w:r>
    </w:p>
    <w:p>
      <w:pPr>
        <w:rPr>
          <w:rFonts w:hint="default"/>
          <w:lang w:val="en-US" w:eastAsia="zh-CN"/>
        </w:rPr>
      </w:pPr>
      <w:r>
        <w:rPr>
          <w:rFonts w:hint="eastAsia"/>
          <w:lang w:val="en-US" w:eastAsia="zh-CN"/>
        </w:rPr>
        <w:t>在专区首页增加区划选择器，支持选择斗门区。通过选择斗门区，展示对应区划的专区内容。并可生成斗门区一件事专区链接提供给政务服务网斗门区节点配置。</w:t>
      </w:r>
    </w:p>
    <w:p>
      <w:pPr>
        <w:pStyle w:val="5"/>
        <w:rPr>
          <w:rFonts w:hint="default"/>
          <w:lang w:val="en-US" w:eastAsia="zh-CN"/>
        </w:rPr>
      </w:pPr>
      <w:bookmarkStart w:id="641" w:name="_Toc18862"/>
      <w:bookmarkStart w:id="642" w:name="_Toc25421"/>
      <w:bookmarkStart w:id="643" w:name="_Toc21086"/>
      <w:bookmarkStart w:id="644" w:name="_Toc18072"/>
      <w:r>
        <w:rPr>
          <w:rFonts w:hint="eastAsia"/>
          <w:lang w:val="en-US" w:eastAsia="zh-CN"/>
        </w:rPr>
        <w:t>一件事专区管理</w:t>
      </w:r>
      <w:bookmarkEnd w:id="641"/>
      <w:bookmarkEnd w:id="642"/>
      <w:bookmarkEnd w:id="643"/>
      <w:bookmarkEnd w:id="644"/>
    </w:p>
    <w:p>
      <w:pPr>
        <w:numPr>
          <w:ilvl w:val="0"/>
          <w:numId w:val="17"/>
        </w:numPr>
        <w:ind w:firstLine="480"/>
        <w:rPr>
          <w:rFonts w:hint="default"/>
          <w:lang w:val="en-US" w:eastAsia="zh-CN"/>
        </w:rPr>
      </w:pPr>
      <w:r>
        <w:rPr>
          <w:rFonts w:hint="eastAsia"/>
          <w:lang w:val="en-US" w:eastAsia="zh-CN"/>
        </w:rPr>
        <w:t>列表优化：一级主题分类菜单树增加图标【斗】，和增加专区选择器，来选择斗门一件事专区展示斗门相关配置内容。</w:t>
      </w:r>
    </w:p>
    <w:p>
      <w:pPr>
        <w:numPr>
          <w:ilvl w:val="0"/>
          <w:numId w:val="17"/>
        </w:numPr>
        <w:ind w:firstLine="480"/>
        <w:rPr>
          <w:rFonts w:hint="default"/>
          <w:lang w:val="en-US" w:eastAsia="zh-CN"/>
        </w:rPr>
      </w:pPr>
      <w:r>
        <w:rPr>
          <w:rFonts w:hint="eastAsia"/>
          <w:lang w:val="en-US" w:eastAsia="zh-CN"/>
        </w:rPr>
        <w:t>新增主题分类：主题分类增加所属一件事专区，支持选择该主题分类的所属专区为斗门区一件事专区。</w:t>
      </w:r>
    </w:p>
    <w:p>
      <w:pPr>
        <w:numPr>
          <w:ilvl w:val="0"/>
          <w:numId w:val="17"/>
        </w:numPr>
        <w:ind w:firstLine="480"/>
        <w:rPr>
          <w:rFonts w:hint="default"/>
          <w:lang w:val="en-US" w:eastAsia="zh-CN"/>
        </w:rPr>
      </w:pPr>
      <w:r>
        <w:rPr>
          <w:rFonts w:hint="eastAsia"/>
          <w:lang w:val="en-US" w:eastAsia="zh-CN"/>
        </w:rPr>
        <w:t>斗门一件事专区配置：设置斗门区一件事专区配置，可在该专区配置管理斗门区的一件事分类，实现一件事主题分类的发布、下架、排序等。</w:t>
      </w:r>
    </w:p>
    <w:p>
      <w:pPr>
        <w:pStyle w:val="4"/>
        <w:rPr>
          <w:rFonts w:hint="default"/>
          <w:lang w:val="en-US" w:eastAsia="zh-CN"/>
        </w:rPr>
      </w:pPr>
      <w:bookmarkStart w:id="645" w:name="_Toc32262"/>
      <w:bookmarkStart w:id="646" w:name="_Toc30791"/>
      <w:bookmarkStart w:id="647" w:name="_Toc2714"/>
      <w:bookmarkStart w:id="648" w:name="_Toc29775"/>
      <w:r>
        <w:rPr>
          <w:rFonts w:hint="eastAsia"/>
          <w:lang w:val="en-US" w:eastAsia="zh-CN"/>
        </w:rPr>
        <w:t>跨域通办专区建设</w:t>
      </w:r>
      <w:bookmarkEnd w:id="645"/>
      <w:bookmarkEnd w:id="646"/>
      <w:bookmarkEnd w:id="647"/>
      <w:bookmarkEnd w:id="648"/>
    </w:p>
    <w:p>
      <w:pPr>
        <w:pStyle w:val="5"/>
        <w:rPr>
          <w:rFonts w:hint="default"/>
          <w:lang w:val="en-US" w:eastAsia="zh-CN"/>
        </w:rPr>
      </w:pPr>
      <w:bookmarkStart w:id="649" w:name="_Toc32258"/>
      <w:bookmarkStart w:id="650" w:name="_Toc4550"/>
      <w:bookmarkStart w:id="651" w:name="_Toc5028"/>
      <w:bookmarkStart w:id="652" w:name="_Toc16411"/>
      <w:r>
        <w:rPr>
          <w:rFonts w:hint="eastAsia"/>
          <w:lang w:val="en-US" w:eastAsia="zh-CN"/>
        </w:rPr>
        <w:t>跨域通办专区</w:t>
      </w:r>
      <w:bookmarkEnd w:id="649"/>
      <w:bookmarkEnd w:id="650"/>
      <w:bookmarkEnd w:id="651"/>
      <w:bookmarkEnd w:id="652"/>
    </w:p>
    <w:p>
      <w:pPr>
        <w:numPr>
          <w:ilvl w:val="0"/>
          <w:numId w:val="18"/>
        </w:numPr>
        <w:ind w:firstLine="480"/>
        <w:rPr>
          <w:rFonts w:hint="default"/>
          <w:lang w:val="en-US" w:eastAsia="zh-CN"/>
        </w:rPr>
      </w:pPr>
      <w:r>
        <w:rPr>
          <w:rFonts w:hint="eastAsia"/>
          <w:lang w:val="en-US" w:eastAsia="zh-CN"/>
        </w:rPr>
        <w:t>按区划选择</w:t>
      </w:r>
    </w:p>
    <w:p>
      <w:pPr>
        <w:rPr>
          <w:rFonts w:hint="default"/>
          <w:lang w:val="en-US" w:eastAsia="zh-CN"/>
        </w:rPr>
      </w:pPr>
      <w:r>
        <w:rPr>
          <w:rFonts w:hint="default"/>
          <w:lang w:val="en-US" w:eastAsia="zh-CN"/>
        </w:rPr>
        <w:t>专区首页增加区划选择器，支持选择斗门区。通过选择斗门区，展示对应区划的专区内容。并可生成斗门区跨域通办专区链接提供给政务服务网斗门区节点配置。</w:t>
      </w:r>
    </w:p>
    <w:p>
      <w:pPr>
        <w:numPr>
          <w:ilvl w:val="0"/>
          <w:numId w:val="18"/>
        </w:numPr>
        <w:ind w:firstLine="480"/>
        <w:rPr>
          <w:rFonts w:hint="default"/>
          <w:lang w:val="en-US" w:eastAsia="zh-CN"/>
        </w:rPr>
      </w:pPr>
      <w:r>
        <w:rPr>
          <w:rFonts w:hint="default"/>
          <w:lang w:val="en-US" w:eastAsia="zh-CN"/>
        </w:rPr>
        <w:t>跨域服务清单优化</w:t>
      </w:r>
    </w:p>
    <w:p>
      <w:pPr>
        <w:rPr>
          <w:rFonts w:hint="default"/>
          <w:lang w:val="en-US" w:eastAsia="zh-CN"/>
        </w:rPr>
      </w:pPr>
      <w:r>
        <w:rPr>
          <w:rFonts w:hint="default"/>
          <w:lang w:val="en-US" w:eastAsia="zh-CN"/>
        </w:rPr>
        <w:t>斗门跨域通办专区首页的跨域服务清单，直接获取可在斗门办理的事项、可在异地办理的斗门事项模块展示。</w:t>
      </w:r>
    </w:p>
    <w:p>
      <w:pPr>
        <w:numPr>
          <w:ilvl w:val="0"/>
          <w:numId w:val="18"/>
        </w:numPr>
        <w:ind w:firstLine="480"/>
        <w:rPr>
          <w:rFonts w:hint="default"/>
          <w:lang w:val="en-US" w:eastAsia="zh-CN"/>
        </w:rPr>
      </w:pPr>
      <w:r>
        <w:rPr>
          <w:rFonts w:hint="default"/>
          <w:lang w:val="en-US" w:eastAsia="zh-CN"/>
        </w:rPr>
        <w:t>可在斗门办理的异地事项</w:t>
      </w:r>
    </w:p>
    <w:p>
      <w:pPr>
        <w:rPr>
          <w:rFonts w:hint="default"/>
          <w:lang w:val="en-US" w:eastAsia="zh-CN"/>
        </w:rPr>
      </w:pPr>
      <w:r>
        <w:rPr>
          <w:rFonts w:hint="default"/>
          <w:lang w:val="en-US" w:eastAsia="zh-CN"/>
        </w:rPr>
        <w:t>获取斗门跨域通办专区，可在斗门办理的异地事项，包含全程网办、异地代收事项。事项归属地需按省、市、区选择展示。</w:t>
      </w:r>
    </w:p>
    <w:p>
      <w:pPr>
        <w:numPr>
          <w:ilvl w:val="0"/>
          <w:numId w:val="18"/>
        </w:numPr>
        <w:ind w:firstLine="480"/>
        <w:rPr>
          <w:rFonts w:hint="default"/>
          <w:lang w:val="en-US" w:eastAsia="zh-CN"/>
        </w:rPr>
      </w:pPr>
      <w:r>
        <w:rPr>
          <w:rFonts w:hint="default"/>
          <w:lang w:val="en-US" w:eastAsia="zh-CN"/>
        </w:rPr>
        <w:t>可在异地办理的斗门事项</w:t>
      </w:r>
    </w:p>
    <w:p>
      <w:pPr>
        <w:rPr>
          <w:rFonts w:hint="default"/>
          <w:lang w:val="en-US" w:eastAsia="zh-CN"/>
        </w:rPr>
      </w:pPr>
      <w:r>
        <w:rPr>
          <w:rFonts w:hint="default"/>
          <w:lang w:val="en-US" w:eastAsia="zh-CN"/>
        </w:rPr>
        <w:t>获取斗门跨域通办专区，可在异地办理的斗门事项，包含全程网办、异地代收事项。事项办理地需按省、市、区选择展示。</w:t>
      </w:r>
    </w:p>
    <w:p>
      <w:pPr>
        <w:pStyle w:val="5"/>
        <w:rPr>
          <w:rFonts w:hint="default"/>
          <w:lang w:val="en-US" w:eastAsia="zh-CN"/>
        </w:rPr>
      </w:pPr>
      <w:bookmarkStart w:id="653" w:name="_Toc7604"/>
      <w:bookmarkStart w:id="654" w:name="_Toc23449"/>
      <w:bookmarkStart w:id="655" w:name="_Toc31486"/>
      <w:bookmarkStart w:id="656" w:name="_Toc10224"/>
      <w:r>
        <w:rPr>
          <w:rFonts w:hint="default"/>
          <w:lang w:val="en-US" w:eastAsia="zh-CN"/>
        </w:rPr>
        <w:t>跨域事项管理</w:t>
      </w:r>
      <w:bookmarkEnd w:id="653"/>
      <w:bookmarkEnd w:id="654"/>
      <w:bookmarkEnd w:id="655"/>
      <w:bookmarkEnd w:id="656"/>
    </w:p>
    <w:p>
      <w:pPr>
        <w:numPr>
          <w:ilvl w:val="0"/>
          <w:numId w:val="19"/>
        </w:numPr>
        <w:ind w:firstLine="480"/>
        <w:rPr>
          <w:rFonts w:hint="default"/>
          <w:lang w:val="en-US" w:eastAsia="zh-CN"/>
        </w:rPr>
      </w:pPr>
      <w:r>
        <w:rPr>
          <w:rFonts w:hint="default"/>
          <w:lang w:val="en-US" w:eastAsia="zh-CN"/>
        </w:rPr>
        <w:t>列表优化</w:t>
      </w:r>
      <w:r>
        <w:rPr>
          <w:rFonts w:hint="default"/>
          <w:lang w:val="en-US" w:eastAsia="zh-CN"/>
        </w:rPr>
        <w:tab/>
      </w:r>
      <w:r>
        <w:rPr>
          <w:rFonts w:hint="default"/>
          <w:lang w:val="en-US" w:eastAsia="zh-CN"/>
        </w:rPr>
        <w:tab/>
      </w:r>
    </w:p>
    <w:p>
      <w:pPr>
        <w:rPr>
          <w:rFonts w:hint="default"/>
          <w:lang w:val="en-US" w:eastAsia="zh-CN"/>
        </w:rPr>
      </w:pPr>
      <w:r>
        <w:rPr>
          <w:rFonts w:hint="default"/>
          <w:lang w:val="en-US" w:eastAsia="zh-CN"/>
        </w:rPr>
        <w:t>列表增加事项所属专区字段、查询，支持查询出斗门跨域通办专区事项。</w:t>
      </w:r>
    </w:p>
    <w:p>
      <w:pPr>
        <w:numPr>
          <w:ilvl w:val="0"/>
          <w:numId w:val="19"/>
        </w:numPr>
        <w:ind w:firstLine="480"/>
        <w:rPr>
          <w:rFonts w:hint="default"/>
          <w:lang w:val="en-US" w:eastAsia="zh-CN"/>
        </w:rPr>
      </w:pPr>
      <w:r>
        <w:rPr>
          <w:rFonts w:hint="default"/>
          <w:lang w:val="en-US" w:eastAsia="zh-CN"/>
        </w:rPr>
        <w:t>导入本地事项</w:t>
      </w:r>
    </w:p>
    <w:p>
      <w:pPr>
        <w:rPr>
          <w:rFonts w:hint="default"/>
          <w:lang w:val="en-US" w:eastAsia="zh-CN"/>
        </w:rPr>
      </w:pPr>
      <w:r>
        <w:rPr>
          <w:rFonts w:hint="default"/>
          <w:lang w:val="en-US" w:eastAsia="zh-CN"/>
        </w:rPr>
        <w:tab/>
      </w:r>
      <w:r>
        <w:rPr>
          <w:rFonts w:hint="default"/>
          <w:lang w:val="en-US" w:eastAsia="zh-CN"/>
        </w:rPr>
        <w:tab/>
      </w:r>
      <w:r>
        <w:rPr>
          <w:rFonts w:hint="default"/>
          <w:lang w:val="en-US" w:eastAsia="zh-CN"/>
        </w:rPr>
        <w:t>增加导入专区选择，支持选择本地事项导入到斗门区跨域通办专区进行后续配置。</w:t>
      </w:r>
    </w:p>
    <w:p>
      <w:pPr>
        <w:numPr>
          <w:ilvl w:val="0"/>
          <w:numId w:val="19"/>
        </w:numPr>
        <w:ind w:firstLine="480"/>
        <w:rPr>
          <w:rFonts w:hint="default"/>
          <w:lang w:val="en-US" w:eastAsia="zh-CN"/>
        </w:rPr>
      </w:pPr>
      <w:r>
        <w:rPr>
          <w:rFonts w:hint="default"/>
          <w:lang w:val="en-US" w:eastAsia="zh-CN"/>
        </w:rPr>
        <w:t>手动录入事项</w:t>
      </w:r>
      <w:r>
        <w:rPr>
          <w:rFonts w:hint="default"/>
          <w:lang w:val="en-US" w:eastAsia="zh-CN"/>
        </w:rPr>
        <w:tab/>
      </w:r>
      <w:r>
        <w:rPr>
          <w:rFonts w:hint="default"/>
          <w:lang w:val="en-US" w:eastAsia="zh-CN"/>
        </w:rPr>
        <w:tab/>
      </w:r>
    </w:p>
    <w:p>
      <w:pPr>
        <w:rPr>
          <w:rFonts w:hint="default"/>
          <w:lang w:val="en-US" w:eastAsia="zh-CN"/>
        </w:rPr>
      </w:pPr>
      <w:r>
        <w:rPr>
          <w:rFonts w:hint="default"/>
          <w:lang w:val="en-US" w:eastAsia="zh-CN"/>
        </w:rPr>
        <w:t>增加导入专区选择，支持选择录入事项导入到斗门区跨域通办专区进行后续配置。</w:t>
      </w:r>
    </w:p>
    <w:p>
      <w:pPr>
        <w:numPr>
          <w:ilvl w:val="0"/>
          <w:numId w:val="19"/>
        </w:numPr>
        <w:ind w:firstLine="480"/>
        <w:rPr>
          <w:rFonts w:hint="default"/>
          <w:lang w:val="en-US" w:eastAsia="zh-CN"/>
        </w:rPr>
      </w:pPr>
      <w:r>
        <w:rPr>
          <w:rFonts w:hint="default"/>
          <w:lang w:val="en-US" w:eastAsia="zh-CN"/>
        </w:rPr>
        <w:t>跨省事项下拉</w:t>
      </w:r>
      <w:r>
        <w:rPr>
          <w:rFonts w:hint="default"/>
          <w:lang w:val="en-US" w:eastAsia="zh-CN"/>
        </w:rPr>
        <w:tab/>
      </w:r>
      <w:r>
        <w:rPr>
          <w:rFonts w:hint="default"/>
          <w:lang w:val="en-US" w:eastAsia="zh-CN"/>
        </w:rPr>
        <w:tab/>
      </w:r>
    </w:p>
    <w:p>
      <w:pPr>
        <w:rPr>
          <w:rFonts w:hint="default"/>
          <w:lang w:val="en-US" w:eastAsia="zh-CN"/>
        </w:rPr>
      </w:pPr>
      <w:r>
        <w:rPr>
          <w:rFonts w:hint="default"/>
          <w:lang w:val="en-US" w:eastAsia="zh-CN"/>
        </w:rPr>
        <w:t>增加导入专区选择，支持选择跨省事项导入到斗门区跨域通办专区进行后续配置。</w:t>
      </w:r>
    </w:p>
    <w:p>
      <w:pPr>
        <w:pStyle w:val="5"/>
        <w:rPr>
          <w:rFonts w:hint="default"/>
          <w:lang w:val="en-US" w:eastAsia="zh-CN"/>
        </w:rPr>
      </w:pPr>
      <w:bookmarkStart w:id="657" w:name="_Toc13952"/>
      <w:bookmarkStart w:id="658" w:name="_Toc2972"/>
      <w:bookmarkStart w:id="659" w:name="_Toc5731"/>
      <w:bookmarkStart w:id="660" w:name="_Toc9902"/>
      <w:r>
        <w:rPr>
          <w:rFonts w:hint="default"/>
          <w:lang w:val="en-US" w:eastAsia="zh-CN"/>
        </w:rPr>
        <w:t>跨域通办专区管理</w:t>
      </w:r>
      <w:bookmarkEnd w:id="657"/>
      <w:bookmarkEnd w:id="658"/>
      <w:bookmarkEnd w:id="659"/>
      <w:bookmarkEnd w:id="660"/>
    </w:p>
    <w:p>
      <w:pPr>
        <w:numPr>
          <w:ilvl w:val="0"/>
          <w:numId w:val="20"/>
        </w:numPr>
        <w:ind w:firstLine="480"/>
        <w:rPr>
          <w:rFonts w:hint="default"/>
          <w:lang w:val="en-US" w:eastAsia="zh-CN"/>
        </w:rPr>
      </w:pPr>
      <w:r>
        <w:rPr>
          <w:rFonts w:hint="default"/>
          <w:lang w:val="en-US" w:eastAsia="zh-CN"/>
        </w:rPr>
        <w:t>列表优化</w:t>
      </w:r>
      <w:r>
        <w:rPr>
          <w:rFonts w:hint="default"/>
          <w:lang w:val="en-US" w:eastAsia="zh-CN"/>
        </w:rPr>
        <w:tab/>
      </w:r>
      <w:r>
        <w:rPr>
          <w:rFonts w:hint="default"/>
          <w:lang w:val="en-US" w:eastAsia="zh-CN"/>
        </w:rPr>
        <w:tab/>
      </w:r>
    </w:p>
    <w:p>
      <w:pPr>
        <w:rPr>
          <w:rFonts w:hint="default"/>
          <w:lang w:val="en-US" w:eastAsia="zh-CN"/>
        </w:rPr>
      </w:pPr>
      <w:r>
        <w:rPr>
          <w:rFonts w:hint="default"/>
          <w:lang w:val="en-US" w:eastAsia="zh-CN"/>
        </w:rPr>
        <w:t>专区增加图标【斗】，和增加专区选择器，来选择斗门跨域专区展示斗门相关配置内容。</w:t>
      </w:r>
    </w:p>
    <w:p>
      <w:pPr>
        <w:numPr>
          <w:ilvl w:val="0"/>
          <w:numId w:val="20"/>
        </w:numPr>
        <w:ind w:firstLine="480"/>
        <w:rPr>
          <w:rFonts w:hint="default"/>
          <w:lang w:val="en-US" w:eastAsia="zh-CN"/>
        </w:rPr>
      </w:pPr>
      <w:r>
        <w:rPr>
          <w:rFonts w:hint="default"/>
          <w:lang w:val="en-US" w:eastAsia="zh-CN"/>
        </w:rPr>
        <w:t>新增专区</w:t>
      </w:r>
      <w:r>
        <w:rPr>
          <w:rFonts w:hint="default"/>
          <w:lang w:val="en-US" w:eastAsia="zh-CN"/>
        </w:rPr>
        <w:tab/>
      </w:r>
      <w:r>
        <w:rPr>
          <w:rFonts w:hint="default"/>
          <w:lang w:val="en-US" w:eastAsia="zh-CN"/>
        </w:rPr>
        <w:tab/>
      </w:r>
    </w:p>
    <w:p>
      <w:pPr>
        <w:rPr>
          <w:rFonts w:hint="default"/>
          <w:lang w:val="en-US" w:eastAsia="zh-CN"/>
        </w:rPr>
      </w:pPr>
      <w:r>
        <w:rPr>
          <w:rFonts w:hint="default"/>
          <w:lang w:val="en-US" w:eastAsia="zh-CN"/>
        </w:rPr>
        <w:t>专区配置增加所属专区，支持配为斗门区跨域通办专区。</w:t>
      </w:r>
    </w:p>
    <w:p>
      <w:pPr>
        <w:rPr>
          <w:rFonts w:hint="default"/>
          <w:lang w:val="en-US" w:eastAsia="zh-CN"/>
        </w:rPr>
      </w:pPr>
      <w:r>
        <w:rPr>
          <w:rFonts w:hint="default"/>
          <w:lang w:val="en-US" w:eastAsia="zh-CN"/>
        </w:rPr>
        <w:t>设置斗门区跨域专区，可在该专区配置管理斗门区的专区内容，如banner或专区名称等。</w:t>
      </w:r>
    </w:p>
    <w:p>
      <w:pPr>
        <w:pStyle w:val="4"/>
        <w:rPr>
          <w:rFonts w:hint="default"/>
          <w:lang w:val="en-US" w:eastAsia="zh-CN"/>
        </w:rPr>
      </w:pPr>
      <w:bookmarkStart w:id="661" w:name="_Toc28415"/>
      <w:bookmarkStart w:id="662" w:name="_Toc23621"/>
      <w:bookmarkStart w:id="663" w:name="_Toc12470"/>
      <w:bookmarkStart w:id="664" w:name="_Toc22778"/>
      <w:r>
        <w:rPr>
          <w:rFonts w:hint="eastAsia"/>
          <w:lang w:val="en-US" w:eastAsia="zh-CN"/>
        </w:rPr>
        <w:t>助残专区建设</w:t>
      </w:r>
      <w:bookmarkEnd w:id="661"/>
      <w:bookmarkEnd w:id="662"/>
      <w:bookmarkEnd w:id="663"/>
      <w:bookmarkEnd w:id="664"/>
    </w:p>
    <w:p>
      <w:pPr>
        <w:pStyle w:val="5"/>
        <w:rPr>
          <w:rFonts w:hint="default"/>
          <w:lang w:val="en-US" w:eastAsia="zh-CN"/>
        </w:rPr>
      </w:pPr>
      <w:bookmarkStart w:id="665" w:name="_Toc5409"/>
      <w:bookmarkStart w:id="666" w:name="_Toc3953"/>
      <w:bookmarkStart w:id="667" w:name="_Toc396"/>
      <w:bookmarkStart w:id="668" w:name="_Toc12864"/>
      <w:r>
        <w:rPr>
          <w:rFonts w:hint="eastAsia"/>
          <w:lang w:val="en-US" w:eastAsia="zh-CN"/>
        </w:rPr>
        <w:t>助残专区</w:t>
      </w:r>
      <w:bookmarkEnd w:id="665"/>
      <w:bookmarkEnd w:id="666"/>
      <w:bookmarkEnd w:id="667"/>
      <w:bookmarkEnd w:id="668"/>
    </w:p>
    <w:p>
      <w:pPr>
        <w:numPr>
          <w:ilvl w:val="0"/>
          <w:numId w:val="21"/>
        </w:numPr>
        <w:ind w:firstLine="480"/>
        <w:rPr>
          <w:rFonts w:hint="default"/>
          <w:lang w:val="en-US" w:eastAsia="zh-CN"/>
        </w:rPr>
      </w:pPr>
      <w:r>
        <w:rPr>
          <w:rFonts w:hint="default"/>
          <w:lang w:val="en-US" w:eastAsia="zh-CN"/>
        </w:rPr>
        <w:t>专区查询</w:t>
      </w:r>
      <w:r>
        <w:rPr>
          <w:rFonts w:hint="default"/>
          <w:lang w:val="en-US" w:eastAsia="zh-CN"/>
        </w:rPr>
        <w:tab/>
      </w:r>
      <w:r>
        <w:rPr>
          <w:rFonts w:hint="default"/>
          <w:lang w:val="en-US" w:eastAsia="zh-CN"/>
        </w:rPr>
        <w:tab/>
      </w:r>
    </w:p>
    <w:p>
      <w:pPr>
        <w:rPr>
          <w:rFonts w:hint="default"/>
          <w:lang w:val="en-US" w:eastAsia="zh-CN"/>
        </w:rPr>
      </w:pPr>
      <w:r>
        <w:rPr>
          <w:rFonts w:hint="default"/>
          <w:lang w:val="en-US" w:eastAsia="zh-CN"/>
        </w:rPr>
        <w:t>支持按事项名称模糊查询。支持按部门选择查询。</w:t>
      </w:r>
    </w:p>
    <w:p>
      <w:pPr>
        <w:numPr>
          <w:ilvl w:val="0"/>
          <w:numId w:val="21"/>
        </w:numPr>
        <w:ind w:firstLine="480"/>
        <w:rPr>
          <w:rFonts w:hint="default"/>
          <w:lang w:val="en-US" w:eastAsia="zh-CN"/>
        </w:rPr>
      </w:pPr>
      <w:r>
        <w:rPr>
          <w:rFonts w:hint="default"/>
          <w:lang w:val="en-US" w:eastAsia="zh-CN"/>
        </w:rPr>
        <w:t>事项清单</w:t>
      </w:r>
    </w:p>
    <w:p>
      <w:pPr>
        <w:rPr>
          <w:rFonts w:hint="default"/>
          <w:lang w:val="en-US" w:eastAsia="zh-CN"/>
        </w:rPr>
      </w:pPr>
      <w:r>
        <w:rPr>
          <w:rFonts w:hint="default"/>
          <w:lang w:val="en-US" w:eastAsia="zh-CN"/>
        </w:rPr>
        <w:tab/>
      </w:r>
      <w:r>
        <w:rPr>
          <w:rFonts w:hint="default"/>
          <w:lang w:val="en-US" w:eastAsia="zh-CN"/>
        </w:rPr>
        <w:tab/>
      </w:r>
      <w:r>
        <w:rPr>
          <w:rFonts w:hint="default"/>
          <w:lang w:val="en-US" w:eastAsia="zh-CN"/>
        </w:rPr>
        <w:t>展示事项名称、事项类型、实施部门，支持点击办事指南查询事项指南；点击立即办理前往申办。</w:t>
      </w:r>
    </w:p>
    <w:p>
      <w:pPr>
        <w:pStyle w:val="5"/>
        <w:rPr>
          <w:rFonts w:hint="default"/>
          <w:lang w:val="en-US" w:eastAsia="zh-CN"/>
        </w:rPr>
      </w:pPr>
      <w:bookmarkStart w:id="669" w:name="_Toc6547"/>
      <w:bookmarkStart w:id="670" w:name="_Toc20597"/>
      <w:bookmarkStart w:id="671" w:name="_Toc1636"/>
      <w:bookmarkStart w:id="672" w:name="_Toc7080"/>
      <w:r>
        <w:rPr>
          <w:rFonts w:hint="default"/>
          <w:lang w:val="en-US" w:eastAsia="zh-CN"/>
        </w:rPr>
        <w:t>事项进驻配置管理</w:t>
      </w:r>
      <w:bookmarkEnd w:id="669"/>
      <w:bookmarkEnd w:id="670"/>
      <w:bookmarkEnd w:id="671"/>
      <w:bookmarkEnd w:id="672"/>
    </w:p>
    <w:p>
      <w:pPr>
        <w:numPr>
          <w:ilvl w:val="0"/>
          <w:numId w:val="22"/>
        </w:numPr>
        <w:ind w:firstLine="480"/>
        <w:rPr>
          <w:rFonts w:hint="default"/>
          <w:lang w:val="en-US" w:eastAsia="zh-CN"/>
        </w:rPr>
      </w:pPr>
      <w:r>
        <w:rPr>
          <w:rFonts w:hint="default"/>
          <w:lang w:val="en-US" w:eastAsia="zh-CN"/>
        </w:rPr>
        <w:t>列表优化</w:t>
      </w:r>
      <w:r>
        <w:rPr>
          <w:rFonts w:hint="default"/>
          <w:lang w:val="en-US" w:eastAsia="zh-CN"/>
        </w:rPr>
        <w:tab/>
      </w:r>
      <w:r>
        <w:rPr>
          <w:rFonts w:hint="default"/>
          <w:lang w:val="en-US" w:eastAsia="zh-CN"/>
        </w:rPr>
        <w:tab/>
      </w:r>
    </w:p>
    <w:p>
      <w:pPr>
        <w:rPr>
          <w:rFonts w:hint="default"/>
          <w:lang w:val="en-US" w:eastAsia="zh-CN"/>
        </w:rPr>
      </w:pPr>
      <w:r>
        <w:rPr>
          <w:rFonts w:hint="default"/>
          <w:lang w:val="en-US" w:eastAsia="zh-CN"/>
        </w:rPr>
        <w:t>列表查询展示：增加行政区划、组织机构的列表字段和列表查询。支持选择展示斗门区事项进驻清单。</w:t>
      </w:r>
    </w:p>
    <w:p>
      <w:pPr>
        <w:numPr>
          <w:ilvl w:val="0"/>
          <w:numId w:val="22"/>
        </w:numPr>
        <w:ind w:firstLine="480"/>
        <w:rPr>
          <w:rFonts w:hint="default"/>
          <w:lang w:val="en-US" w:eastAsia="zh-CN"/>
        </w:rPr>
      </w:pPr>
      <w:r>
        <w:rPr>
          <w:rFonts w:hint="default"/>
          <w:lang w:val="en-US" w:eastAsia="zh-CN"/>
        </w:rPr>
        <w:t>新增进驻清单</w:t>
      </w:r>
      <w:r>
        <w:rPr>
          <w:rFonts w:hint="default"/>
          <w:lang w:val="en-US" w:eastAsia="zh-CN"/>
        </w:rPr>
        <w:tab/>
      </w:r>
      <w:r>
        <w:rPr>
          <w:rFonts w:hint="default"/>
          <w:lang w:val="en-US" w:eastAsia="zh-CN"/>
        </w:rPr>
        <w:tab/>
      </w:r>
    </w:p>
    <w:p>
      <w:pPr>
        <w:rPr>
          <w:rFonts w:hint="default"/>
          <w:lang w:val="en-US" w:eastAsia="zh-CN"/>
        </w:rPr>
      </w:pPr>
      <w:r>
        <w:rPr>
          <w:rFonts w:hint="default"/>
          <w:lang w:val="en-US" w:eastAsia="zh-CN"/>
        </w:rPr>
        <w:t>进驻清单增加所属行政区划、组织机构字段填写。支持新增斗门区的进驻清单。</w:t>
      </w:r>
    </w:p>
    <w:p>
      <w:pPr>
        <w:numPr>
          <w:ilvl w:val="0"/>
          <w:numId w:val="22"/>
        </w:numPr>
        <w:ind w:firstLine="480"/>
        <w:rPr>
          <w:rFonts w:hint="default"/>
          <w:lang w:val="en-US" w:eastAsia="zh-CN"/>
        </w:rPr>
      </w:pPr>
      <w:r>
        <w:rPr>
          <w:rFonts w:hint="default"/>
          <w:lang w:val="en-US" w:eastAsia="zh-CN"/>
        </w:rPr>
        <w:t>助残专区清单管理</w:t>
      </w:r>
      <w:r>
        <w:rPr>
          <w:rFonts w:hint="default"/>
          <w:lang w:val="en-US" w:eastAsia="zh-CN"/>
        </w:rPr>
        <w:tab/>
      </w:r>
      <w:r>
        <w:rPr>
          <w:rFonts w:hint="default"/>
          <w:lang w:val="en-US" w:eastAsia="zh-CN"/>
        </w:rPr>
        <w:tab/>
      </w:r>
    </w:p>
    <w:p>
      <w:pPr>
        <w:rPr>
          <w:rFonts w:hint="default"/>
          <w:lang w:val="en-US" w:eastAsia="zh-CN"/>
        </w:rPr>
      </w:pPr>
      <w:r>
        <w:rPr>
          <w:rFonts w:hint="default"/>
          <w:lang w:val="en-US" w:eastAsia="zh-CN"/>
        </w:rPr>
        <w:t>设置一个特殊的进驻清单，可在该清单内管理助残专区的事项，实现事项的发布、下架、排序等。</w:t>
      </w:r>
    </w:p>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540"/>
    <w:bookmarkEnd w:id="541"/>
    <w:bookmarkEnd w:id="542"/>
    <w:bookmarkEnd w:id="543"/>
    <w:bookmarkEnd w:id="544"/>
    <w:bookmarkEnd w:id="545"/>
    <w:bookmarkEnd w:id="546"/>
    <w:bookmarkEnd w:id="547"/>
    <w:bookmarkEnd w:id="548"/>
    <w:p>
      <w:pPr>
        <w:pStyle w:val="2"/>
        <w:rPr>
          <w:highlight w:val="none"/>
        </w:rPr>
      </w:pPr>
      <w:bookmarkStart w:id="673" w:name="_Toc90477721"/>
      <w:bookmarkEnd w:id="673"/>
      <w:bookmarkStart w:id="674" w:name="_Toc90543129"/>
      <w:bookmarkEnd w:id="674"/>
      <w:bookmarkStart w:id="675" w:name="_Toc19829"/>
      <w:bookmarkStart w:id="676" w:name="_Toc7281"/>
      <w:bookmarkStart w:id="677" w:name="_Toc24738"/>
      <w:bookmarkStart w:id="678" w:name="_Toc32392"/>
      <w:bookmarkStart w:id="679" w:name="_Toc14408"/>
      <w:bookmarkStart w:id="680" w:name="_Toc23771"/>
      <w:bookmarkStart w:id="681" w:name="_Toc28782"/>
      <w:bookmarkStart w:id="682" w:name="_Toc19945"/>
      <w:bookmarkStart w:id="683" w:name="_Toc28862"/>
      <w:bookmarkStart w:id="684" w:name="_Toc31276"/>
      <w:bookmarkStart w:id="685" w:name="_Toc7377"/>
      <w:bookmarkStart w:id="686" w:name="_Toc2631"/>
      <w:bookmarkStart w:id="687" w:name="_Toc14963"/>
      <w:bookmarkStart w:id="688" w:name="_Toc23745"/>
      <w:bookmarkStart w:id="689" w:name="_Toc14942"/>
      <w:bookmarkStart w:id="690" w:name="_Toc30250"/>
      <w:bookmarkStart w:id="691" w:name="_Toc4212"/>
      <w:bookmarkStart w:id="692" w:name="_Toc8461"/>
      <w:bookmarkStart w:id="693" w:name="_Toc656"/>
      <w:bookmarkStart w:id="694" w:name="_Toc3428"/>
      <w:bookmarkStart w:id="695" w:name="_Toc22480"/>
      <w:bookmarkStart w:id="696" w:name="_Toc9031"/>
      <w:bookmarkStart w:id="697" w:name="_Toc13283"/>
      <w:bookmarkStart w:id="698" w:name="_Toc8852"/>
      <w:bookmarkStart w:id="699" w:name="_Toc15827"/>
      <w:bookmarkStart w:id="700" w:name="_Toc20833"/>
      <w:bookmarkStart w:id="701" w:name="_Toc10707"/>
      <w:bookmarkStart w:id="702" w:name="_Toc16767"/>
      <w:bookmarkStart w:id="703" w:name="_Toc6402"/>
      <w:bookmarkStart w:id="704" w:name="_Toc28997"/>
      <w:r>
        <w:rPr>
          <w:rFonts w:hint="eastAsia"/>
          <w:highlight w:val="none"/>
        </w:rPr>
        <w:t>验收要求及标准</w:t>
      </w:r>
      <w:bookmarkEnd w:id="675"/>
      <w:bookmarkEnd w:id="676"/>
      <w:bookmarkEnd w:id="677"/>
      <w:bookmarkEnd w:id="678"/>
    </w:p>
    <w:p>
      <w:pPr>
        <w:adjustRightInd w:val="0"/>
        <w:snapToGrid w:val="0"/>
        <w:ind w:firstLine="480"/>
        <w:rPr>
          <w:highlight w:val="none"/>
        </w:rPr>
      </w:pPr>
      <w:r>
        <w:rPr>
          <w:rFonts w:hint="eastAsia"/>
          <w:szCs w:val="24"/>
          <w:highlight w:val="none"/>
        </w:rPr>
        <w:t>工程完成后，先要进行自检，再经过一定时间开通试运行后，确认一切工作具备验收要求，然后申报上级主管部门进行验收。</w:t>
      </w:r>
    </w:p>
    <w:p>
      <w:pPr>
        <w:pStyle w:val="3"/>
        <w:bidi w:val="0"/>
        <w:ind w:left="575" w:leftChars="0" w:hanging="575" w:firstLineChars="0"/>
      </w:pPr>
      <w:bookmarkStart w:id="705" w:name="_Toc6876"/>
      <w:bookmarkStart w:id="706" w:name="_Toc12907"/>
      <w:bookmarkStart w:id="707" w:name="_Toc28550"/>
      <w:bookmarkStart w:id="708" w:name="_Toc8063"/>
      <w:bookmarkStart w:id="709" w:name="_Toc10348"/>
      <w:bookmarkStart w:id="710" w:name="_Toc23780"/>
      <w:bookmarkStart w:id="711" w:name="_Toc32532"/>
      <w:bookmarkStart w:id="712" w:name="_Toc22222"/>
      <w:bookmarkStart w:id="713" w:name="_Toc14255"/>
      <w:bookmarkStart w:id="714" w:name="_Toc31964"/>
      <w:bookmarkStart w:id="715" w:name="_Toc25982"/>
      <w:bookmarkStart w:id="716" w:name="_Toc1649"/>
      <w:bookmarkStart w:id="717" w:name="_Toc13390"/>
      <w:bookmarkStart w:id="718" w:name="_Toc2093"/>
      <w:bookmarkStart w:id="719" w:name="_Toc5411"/>
      <w:bookmarkStart w:id="720" w:name="_Toc31813"/>
      <w:bookmarkStart w:id="721" w:name="_Toc24858"/>
      <w:bookmarkStart w:id="722" w:name="_Toc9007"/>
      <w:bookmarkStart w:id="723" w:name="_Toc2055"/>
      <w:bookmarkStart w:id="724" w:name="_Toc10826"/>
      <w:bookmarkStart w:id="725" w:name="_Toc14749"/>
      <w:r>
        <w:rPr>
          <w:rFonts w:hint="eastAsia"/>
        </w:rPr>
        <w:t>验收要求及标准</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pPr>
        <w:adjustRightInd w:val="0"/>
        <w:snapToGrid w:val="0"/>
        <w:ind w:firstLine="480"/>
        <w:rPr>
          <w:szCs w:val="24"/>
          <w:highlight w:val="none"/>
        </w:rPr>
      </w:pPr>
      <w:r>
        <w:rPr>
          <w:rFonts w:hint="eastAsia"/>
          <w:szCs w:val="24"/>
          <w:highlight w:val="none"/>
        </w:rPr>
        <w:t>本项目的验收标准参照</w:t>
      </w:r>
      <w:r>
        <w:rPr>
          <w:rFonts w:hint="eastAsia"/>
          <w:szCs w:val="24"/>
          <w:highlight w:val="none"/>
          <w:lang w:eastAsia="zh-CN"/>
        </w:rPr>
        <w:t>《珠海市斗门区政务信息化项目验收管理实施细则（修订）》</w:t>
      </w:r>
      <w:r>
        <w:rPr>
          <w:rFonts w:hint="eastAsia"/>
          <w:szCs w:val="24"/>
          <w:highlight w:val="none"/>
        </w:rPr>
        <w:t>文件中相关规定来执行：</w:t>
      </w:r>
    </w:p>
    <w:p>
      <w:pPr>
        <w:numPr>
          <w:ilvl w:val="0"/>
          <w:numId w:val="23"/>
        </w:numPr>
        <w:ind w:firstLine="480"/>
        <w:rPr>
          <w:szCs w:val="24"/>
          <w:highlight w:val="none"/>
        </w:rPr>
      </w:pPr>
      <w:r>
        <w:rPr>
          <w:rFonts w:hint="eastAsia"/>
          <w:szCs w:val="24"/>
          <w:highlight w:val="none"/>
        </w:rPr>
        <w:t>项目验收应当遵循“整体立项，整体验收”的原则，所有建设内容全部完成，并经试运行不少于</w:t>
      </w:r>
      <w:r>
        <w:rPr>
          <w:rFonts w:hint="eastAsia"/>
          <w:szCs w:val="24"/>
          <w:highlight w:val="none"/>
          <w:lang w:val="en-US" w:eastAsia="zh-CN"/>
        </w:rPr>
        <w:t>2</w:t>
      </w:r>
      <w:r>
        <w:rPr>
          <w:rFonts w:hint="eastAsia"/>
          <w:szCs w:val="24"/>
          <w:highlight w:val="none"/>
        </w:rPr>
        <w:t>个月（运维项目和购买服务项目除外）后方可申请验收。确需分阶段验收的，应报经</w:t>
      </w:r>
      <w:r>
        <w:rPr>
          <w:rFonts w:hint="eastAsia"/>
          <w:szCs w:val="24"/>
          <w:highlight w:val="none"/>
          <w:lang w:val="en-US" w:eastAsia="zh-CN"/>
        </w:rPr>
        <w:t>斗门</w:t>
      </w:r>
      <w:r>
        <w:rPr>
          <w:rFonts w:hint="eastAsia"/>
          <w:szCs w:val="24"/>
          <w:highlight w:val="none"/>
        </w:rPr>
        <w:t>区</w:t>
      </w:r>
      <w:r>
        <w:rPr>
          <w:rFonts w:hint="eastAsia"/>
          <w:szCs w:val="24"/>
          <w:highlight w:val="none"/>
          <w:lang w:eastAsia="zh-CN"/>
        </w:rPr>
        <w:t>政务服务和数据管理局</w:t>
      </w:r>
      <w:r>
        <w:rPr>
          <w:rFonts w:hint="eastAsia"/>
          <w:szCs w:val="24"/>
          <w:highlight w:val="none"/>
        </w:rPr>
        <w:t>核准。</w:t>
      </w:r>
    </w:p>
    <w:p>
      <w:pPr>
        <w:numPr>
          <w:ilvl w:val="0"/>
          <w:numId w:val="23"/>
        </w:numPr>
        <w:ind w:firstLine="480"/>
        <w:rPr>
          <w:szCs w:val="24"/>
          <w:highlight w:val="none"/>
        </w:rPr>
      </w:pPr>
      <w:r>
        <w:rPr>
          <w:rFonts w:hint="eastAsia"/>
          <w:szCs w:val="24"/>
          <w:highlight w:val="none"/>
        </w:rPr>
        <w:t>为推动政府信息资源优化配置和有效利用，促进政府信息共享，信息资源共享的范围、程度以及网络安全情况是确定项目建设投资、运行维护经费和验收的重要依据，未按公共数据资源统一调用和基础数据标准要求整改、未按照建设方案的要求实现信息共享、未在区政务大数据平台完成数据资源归集和编目以及未录入斗门区政务信息化项目管理系统的信息化项目不予验收。</w:t>
      </w:r>
    </w:p>
    <w:p>
      <w:pPr>
        <w:numPr>
          <w:ilvl w:val="0"/>
          <w:numId w:val="23"/>
        </w:numPr>
        <w:ind w:firstLine="480"/>
        <w:rPr>
          <w:szCs w:val="24"/>
          <w:highlight w:val="none"/>
        </w:rPr>
      </w:pPr>
      <w:r>
        <w:rPr>
          <w:rFonts w:hint="eastAsia"/>
          <w:szCs w:val="24"/>
          <w:highlight w:val="none"/>
        </w:rPr>
        <w:t>新建信息化项目验收时需根据项目应用场景提供针对鲲鹏、飞腾、龙芯等非 X86 架构电脑终端的兼容性测试结果。</w:t>
      </w:r>
    </w:p>
    <w:p>
      <w:pPr>
        <w:numPr>
          <w:ilvl w:val="0"/>
          <w:numId w:val="23"/>
        </w:numPr>
        <w:ind w:firstLine="480"/>
        <w:rPr>
          <w:szCs w:val="24"/>
          <w:highlight w:val="none"/>
        </w:rPr>
      </w:pPr>
      <w:r>
        <w:rPr>
          <w:rFonts w:hint="eastAsia"/>
          <w:szCs w:val="24"/>
          <w:highlight w:val="none"/>
        </w:rPr>
        <w:t>数据资源登记和数据资产登记数据须具备真实性和完整性，符合公共数据资源管理相关规范要求。如存在虚报、瞒报数据等违规行为，将全额核减项目数据运维相关费用并依法依规追究相关人员的责任。</w:t>
      </w:r>
    </w:p>
    <w:p>
      <w:pPr>
        <w:numPr>
          <w:ilvl w:val="0"/>
          <w:numId w:val="23"/>
        </w:numPr>
        <w:ind w:firstLine="480"/>
        <w:rPr>
          <w:szCs w:val="24"/>
          <w:highlight w:val="none"/>
        </w:rPr>
      </w:pPr>
      <w:r>
        <w:rPr>
          <w:rFonts w:hint="eastAsia"/>
          <w:szCs w:val="24"/>
          <w:highlight w:val="none"/>
        </w:rPr>
        <w:t>为避免重复建设，促进跨部门信息资源的共享互用，凡可利用省市区已建成公用平台实现的网上公共服务，原则上建设单位不得另行建设。已建成的公共服务应逐步迁移至公用平台实现，未按要求迁移的，原则上不再批准项目升级改造费用和运维费用。</w:t>
      </w:r>
    </w:p>
    <w:p>
      <w:pPr>
        <w:numPr>
          <w:ilvl w:val="0"/>
          <w:numId w:val="23"/>
        </w:numPr>
        <w:ind w:firstLine="480"/>
        <w:rPr>
          <w:szCs w:val="24"/>
          <w:highlight w:val="none"/>
        </w:rPr>
      </w:pPr>
      <w:r>
        <w:rPr>
          <w:rFonts w:hint="eastAsia"/>
          <w:szCs w:val="24"/>
          <w:highlight w:val="none"/>
        </w:rPr>
        <w:t>涉及移动端服务建设内容的项目，除因特殊原因暂时无法接入“粤系列”平台，由业务主管部门商</w:t>
      </w:r>
      <w:r>
        <w:rPr>
          <w:rFonts w:hint="eastAsia"/>
          <w:szCs w:val="24"/>
          <w:highlight w:val="none"/>
          <w:lang w:eastAsia="zh-CN"/>
        </w:rPr>
        <w:t>政务服务和数据管理局</w:t>
      </w:r>
      <w:r>
        <w:rPr>
          <w:rFonts w:hint="eastAsia"/>
          <w:szCs w:val="24"/>
          <w:highlight w:val="none"/>
        </w:rPr>
        <w:t>另行处理外，原则上只能依托“粤省事”、“粤商通” 和“粤政易”等粤系列平台开展建设，未按要求进驻粤系列的信息化项目不予验收；已建成使用的移动端服务应逐步迁移至粤系列平台，未按要求迁移的移动端服务，原则上不再批准项目运维费。项目涉及自建政务服务系统、自助政务服务终端建设内容的，应与省“好差评”系统对接，未按要求实现的不予验收；项目涉及政务服务事项清单信息的，应当与广东省政务服务事项管理系统同源管理、同步更新，未按要求实现的不予验收。</w:t>
      </w:r>
    </w:p>
    <w:p>
      <w:pPr>
        <w:numPr>
          <w:ilvl w:val="0"/>
          <w:numId w:val="23"/>
        </w:numPr>
        <w:ind w:firstLine="480"/>
        <w:rPr>
          <w:szCs w:val="24"/>
          <w:highlight w:val="none"/>
        </w:rPr>
      </w:pPr>
      <w:r>
        <w:rPr>
          <w:rFonts w:hint="eastAsia"/>
          <w:szCs w:val="24"/>
          <w:highlight w:val="none"/>
        </w:rPr>
        <w:t>项目涉及需要进行用户身份认证的业务系统，应实现与省统一身份认证平台的规范对接，项目验收时需就对接的实现方式及其可用性出具第三方检测报告，并确保上线联调报告已成功发送至省指定邮箱，同时确保与省统一身份认证平台对接的规范性通过省的复核；项目涉及使用政府部门电子印章的业务系统，应实现与省统一电子印章平台的对接，利用省统一电子印章平台签发电子印章，项目验收时需就对接的实现方式及其可用性出具第三方检测报告，并提供电子印章签发的测试案例；项目涉及与外单位系统（平台）开展对接的，验收时应提交对接双方签字盖章的系统联调报告。</w:t>
      </w:r>
    </w:p>
    <w:p>
      <w:pPr>
        <w:numPr>
          <w:ilvl w:val="0"/>
          <w:numId w:val="23"/>
        </w:numPr>
        <w:ind w:firstLine="480"/>
        <w:rPr>
          <w:szCs w:val="24"/>
          <w:highlight w:val="none"/>
        </w:rPr>
      </w:pPr>
      <w:r>
        <w:rPr>
          <w:rFonts w:hint="eastAsia"/>
          <w:szCs w:val="24"/>
          <w:highlight w:val="none"/>
        </w:rPr>
        <w:t>涉及云资源租用的信息化项目，包括新建项目和延续性项目，须在验收前提供云资源使用情况汇总表。新建项目提供项目试运行期间云资源使用情况汇总表作为项目验收的必要材料，延续性项目提供项目运维期间云资源使用情况汇总表作为项目验收的必要材料。</w:t>
      </w:r>
    </w:p>
    <w:p>
      <w:pPr>
        <w:numPr>
          <w:ilvl w:val="0"/>
          <w:numId w:val="23"/>
        </w:numPr>
        <w:ind w:firstLine="480"/>
        <w:rPr>
          <w:szCs w:val="24"/>
          <w:highlight w:val="none"/>
        </w:rPr>
      </w:pPr>
      <w:r>
        <w:rPr>
          <w:rFonts w:hint="eastAsia"/>
          <w:szCs w:val="24"/>
          <w:highlight w:val="none"/>
        </w:rPr>
        <w:t>涉及应用软件系统的新建信息化项目或升级改造项目，须在验收时提供试运行期间的漏洞扫描报告。</w:t>
      </w:r>
    </w:p>
    <w:p>
      <w:pPr>
        <w:numPr>
          <w:ilvl w:val="0"/>
          <w:numId w:val="23"/>
        </w:numPr>
        <w:ind w:firstLine="480"/>
        <w:rPr>
          <w:szCs w:val="24"/>
          <w:highlight w:val="none"/>
        </w:rPr>
      </w:pPr>
      <w:r>
        <w:rPr>
          <w:rFonts w:hint="eastAsia"/>
          <w:szCs w:val="24"/>
          <w:highlight w:val="none"/>
        </w:rPr>
        <w:t>涉及应用软件系统建设的信息化项目，需经中国合格评定国家认可委员会认可的第三方软件检测机构进行相应的验收测试。涉及网络建设的信息化项目，需经中国合格评定国家认可委员会认可的第三方网络检测机构进行相应的验收测试。所出具的第三方测试报告是项目验收的重要依据。项目建设单位必须根据政府采购的有关规定选定有资质的检测单位，检测费用在项目费用中列支。</w:t>
      </w:r>
    </w:p>
    <w:p>
      <w:pPr>
        <w:numPr>
          <w:ilvl w:val="0"/>
          <w:numId w:val="23"/>
        </w:numPr>
        <w:ind w:firstLine="480"/>
        <w:rPr>
          <w:szCs w:val="24"/>
          <w:highlight w:val="none"/>
        </w:rPr>
      </w:pPr>
      <w:r>
        <w:rPr>
          <w:rFonts w:hint="eastAsia"/>
          <w:szCs w:val="24"/>
          <w:highlight w:val="none"/>
        </w:rPr>
        <w:t>根据《信息安全等级保护管理办法》、《广东省计算机信息系统安全保护条例》的要求，所申报的信息化项目须确定信息系统的安全保护等级，二级以上信息系统须聘请第三方测评机构开展等级测评，测评合格后出具测评报告并向公安机关备案。项目建设单位必须根据政府采购的有关规定选定有资质的等保测评单位，测评费用在项目费用中列支。</w:t>
      </w:r>
    </w:p>
    <w:p>
      <w:pPr>
        <w:numPr>
          <w:ilvl w:val="0"/>
          <w:numId w:val="23"/>
        </w:numPr>
        <w:ind w:firstLine="480"/>
        <w:rPr>
          <w:szCs w:val="24"/>
          <w:highlight w:val="none"/>
        </w:rPr>
      </w:pPr>
      <w:r>
        <w:rPr>
          <w:rFonts w:hint="eastAsia"/>
          <w:szCs w:val="24"/>
          <w:highlight w:val="none"/>
        </w:rPr>
        <w:t>项目验收过程出具的第三方检测报告、等级测评报告等材料须具备真实性和合法性，符合国家相关法律法规和行业管理规范等。如存在违规行为，行业主管部门将依法依规追究相关人员的责任。</w:t>
      </w:r>
    </w:p>
    <w:p>
      <w:pPr>
        <w:numPr>
          <w:ilvl w:val="0"/>
          <w:numId w:val="23"/>
        </w:numPr>
        <w:ind w:firstLine="480"/>
        <w:rPr>
          <w:szCs w:val="24"/>
          <w:highlight w:val="none"/>
        </w:rPr>
      </w:pPr>
      <w:r>
        <w:rPr>
          <w:rFonts w:hint="eastAsia"/>
          <w:szCs w:val="24"/>
          <w:highlight w:val="none"/>
        </w:rPr>
        <w:t>项目验收未通过的，项目建设单位通知承建单位限期整改，整改后项目建设单位重新申请、组织验收。对未按要求整改或整改后仍达不到验收标准的项目，原则上该项目合同剩余款项暂缓支付，其建设单位的后续政务信息化项目暂缓审批。项目经验收通过后，方可支付尾款，并正式交付使用。</w:t>
      </w:r>
    </w:p>
    <w:p>
      <w:pPr>
        <w:numPr>
          <w:ilvl w:val="0"/>
          <w:numId w:val="23"/>
        </w:numPr>
        <w:ind w:firstLine="480"/>
        <w:rPr>
          <w:rFonts w:hint="eastAsia"/>
          <w:szCs w:val="24"/>
          <w:highlight w:val="none"/>
        </w:rPr>
      </w:pPr>
      <w:r>
        <w:rPr>
          <w:rFonts w:hint="eastAsia"/>
          <w:szCs w:val="24"/>
          <w:highlight w:val="none"/>
        </w:rPr>
        <w:t>项目建设单位应按照档案管理要求做好政务信息化项目档案资料归档，探索实行电子档案管理</w:t>
      </w:r>
    </w:p>
    <w:p>
      <w:pPr>
        <w:numPr>
          <w:ilvl w:val="0"/>
          <w:numId w:val="23"/>
        </w:numPr>
        <w:ind w:firstLine="480"/>
        <w:rPr>
          <w:rFonts w:hint="eastAsia"/>
          <w:szCs w:val="24"/>
          <w:highlight w:val="none"/>
        </w:rPr>
      </w:pPr>
      <w:r>
        <w:rPr>
          <w:rFonts w:hint="eastAsia"/>
          <w:szCs w:val="24"/>
          <w:highlight w:val="none"/>
          <w:lang w:eastAsia="zh-CN"/>
        </w:rPr>
        <w:t>按照“项目立项、建设、管理和运维主体权责一致”的原则，项目建设部门承担项目运维的主体责任，应</w:t>
      </w:r>
      <w:r>
        <w:rPr>
          <w:rFonts w:hint="eastAsia"/>
          <w:szCs w:val="24"/>
          <w:highlight w:val="none"/>
        </w:rPr>
        <w:t>加强项目建成后的运行维护管理，建立项目运行维护机制，严格落实系统安全和数据安全措施</w:t>
      </w:r>
      <w:r>
        <w:rPr>
          <w:rFonts w:hint="eastAsia"/>
          <w:szCs w:val="24"/>
          <w:highlight w:val="none"/>
          <w:lang w:eastAsia="zh-CN"/>
        </w:rPr>
        <w:t>，依据项目验收的最终结论，按年度申列项目运维费用。</w:t>
      </w:r>
    </w:p>
    <w:p>
      <w:pPr>
        <w:pStyle w:val="3"/>
        <w:bidi w:val="0"/>
        <w:rPr>
          <w:rFonts w:hint="eastAsia"/>
        </w:rPr>
      </w:pPr>
      <w:bookmarkStart w:id="726" w:name="_Toc32347"/>
      <w:bookmarkStart w:id="727" w:name="_Toc6300"/>
      <w:bookmarkStart w:id="728" w:name="_Toc19486"/>
      <w:bookmarkStart w:id="729" w:name="_Toc1215"/>
      <w:r>
        <w:rPr>
          <w:rFonts w:hint="eastAsia"/>
        </w:rPr>
        <w:t>验收前提条件</w:t>
      </w:r>
      <w:bookmarkEnd w:id="726"/>
      <w:bookmarkEnd w:id="727"/>
      <w:bookmarkEnd w:id="728"/>
      <w:bookmarkEnd w:id="729"/>
    </w:p>
    <w:p>
      <w:pPr>
        <w:ind w:firstLine="480"/>
        <w:rPr>
          <w:rFonts w:hint="eastAsia"/>
          <w:highlight w:val="none"/>
        </w:rPr>
      </w:pPr>
      <w:r>
        <w:rPr>
          <w:rFonts w:hint="eastAsia"/>
          <w:highlight w:val="none"/>
        </w:rPr>
        <w:t>（一）从多方的反馈和系统稳定性方面来看，整个系统的运行已经进入正轨，需求的响应也已基本完成，并稳定运行一段时间后组织验收；</w:t>
      </w:r>
    </w:p>
    <w:p>
      <w:pPr>
        <w:ind w:firstLine="480"/>
        <w:rPr>
          <w:rFonts w:hint="eastAsia"/>
          <w:highlight w:val="none"/>
        </w:rPr>
      </w:pPr>
      <w:r>
        <w:rPr>
          <w:rFonts w:hint="eastAsia"/>
          <w:highlight w:val="none"/>
        </w:rPr>
        <w:t>（二）每个模块需要相关使用科室主要负责人签字；</w:t>
      </w:r>
    </w:p>
    <w:p>
      <w:pPr>
        <w:ind w:firstLine="480"/>
        <w:rPr>
          <w:rFonts w:hint="eastAsia"/>
          <w:highlight w:val="none"/>
        </w:rPr>
      </w:pPr>
      <w:r>
        <w:rPr>
          <w:rFonts w:hint="eastAsia"/>
          <w:highlight w:val="none"/>
        </w:rPr>
        <w:t>（三）所有模块按照合同要求全部建成，并满足使用要求；</w:t>
      </w:r>
    </w:p>
    <w:p>
      <w:pPr>
        <w:ind w:firstLine="480"/>
        <w:rPr>
          <w:rFonts w:hint="eastAsia"/>
          <w:highlight w:val="none"/>
        </w:rPr>
      </w:pPr>
      <w:r>
        <w:rPr>
          <w:rFonts w:hint="eastAsia"/>
          <w:highlight w:val="none"/>
        </w:rPr>
        <w:t>（四）各个分期工程全部初验合格；</w:t>
      </w:r>
    </w:p>
    <w:p>
      <w:pPr>
        <w:ind w:firstLine="480"/>
        <w:rPr>
          <w:rFonts w:hint="eastAsia"/>
          <w:highlight w:val="none"/>
        </w:rPr>
      </w:pPr>
      <w:r>
        <w:rPr>
          <w:rFonts w:hint="eastAsia"/>
          <w:highlight w:val="none"/>
        </w:rPr>
        <w:t>（五）已通过软件系统测试评审；</w:t>
      </w:r>
    </w:p>
    <w:p>
      <w:pPr>
        <w:ind w:firstLine="480"/>
        <w:rPr>
          <w:rFonts w:hint="eastAsia"/>
          <w:highlight w:val="none"/>
        </w:rPr>
      </w:pPr>
      <w:r>
        <w:rPr>
          <w:rFonts w:hint="eastAsia"/>
          <w:highlight w:val="none"/>
        </w:rPr>
        <w:t>（六）各种技术文档和验收资料完备，符合合同的内容；</w:t>
      </w:r>
    </w:p>
    <w:p>
      <w:pPr>
        <w:ind w:firstLine="480"/>
        <w:rPr>
          <w:rFonts w:hint="eastAsia"/>
          <w:highlight w:val="none"/>
        </w:rPr>
      </w:pPr>
      <w:r>
        <w:rPr>
          <w:rFonts w:hint="eastAsia"/>
          <w:highlight w:val="none"/>
        </w:rPr>
        <w:t>（七）系统建设和数据处理符合信息安全的要求；</w:t>
      </w:r>
    </w:p>
    <w:p>
      <w:pPr>
        <w:ind w:firstLine="480"/>
        <w:rPr>
          <w:rFonts w:hint="eastAsia"/>
          <w:highlight w:val="none"/>
        </w:rPr>
      </w:pPr>
      <w:r>
        <w:rPr>
          <w:rFonts w:hint="eastAsia"/>
          <w:highlight w:val="none"/>
        </w:rPr>
        <w:t>（八）外购的操作系统、数据库、中间件、应用软件和开发工具符合知识产权相关政策法规的要求；</w:t>
      </w:r>
    </w:p>
    <w:p>
      <w:pPr>
        <w:ind w:firstLine="480"/>
        <w:rPr>
          <w:rFonts w:hint="eastAsia"/>
          <w:highlight w:val="none"/>
        </w:rPr>
      </w:pPr>
      <w:r>
        <w:rPr>
          <w:rFonts w:hint="eastAsia"/>
          <w:highlight w:val="none"/>
        </w:rPr>
        <w:t>（九）经过建设方同意；</w:t>
      </w:r>
    </w:p>
    <w:p>
      <w:pPr>
        <w:ind w:firstLine="480"/>
        <w:rPr>
          <w:rFonts w:hint="eastAsia"/>
          <w:highlight w:val="none"/>
        </w:rPr>
      </w:pPr>
      <w:r>
        <w:rPr>
          <w:rFonts w:hint="eastAsia"/>
          <w:highlight w:val="none"/>
        </w:rPr>
        <w:t>（十）合同或合同附件规定的其他验收条件。</w:t>
      </w:r>
    </w:p>
    <w:p>
      <w:pPr>
        <w:pStyle w:val="3"/>
        <w:bidi w:val="0"/>
        <w:rPr>
          <w:rFonts w:hint="eastAsia"/>
        </w:rPr>
      </w:pPr>
      <w:bookmarkStart w:id="730" w:name="_Toc18923"/>
      <w:bookmarkStart w:id="731" w:name="_Toc7954"/>
      <w:bookmarkStart w:id="732" w:name="_Toc29202"/>
      <w:bookmarkStart w:id="733" w:name="_Toc4715"/>
      <w:bookmarkStart w:id="734" w:name="_Toc5691"/>
      <w:bookmarkStart w:id="735" w:name="_Toc5680"/>
      <w:bookmarkStart w:id="736" w:name="_Toc26317"/>
      <w:bookmarkStart w:id="737" w:name="_Toc20016"/>
      <w:bookmarkStart w:id="738" w:name="_Toc8758"/>
      <w:bookmarkStart w:id="739" w:name="_Toc31921"/>
      <w:bookmarkStart w:id="740" w:name="_Toc14356"/>
      <w:bookmarkStart w:id="741" w:name="_Toc28841"/>
      <w:bookmarkStart w:id="742" w:name="_Toc3017"/>
      <w:bookmarkStart w:id="743" w:name="_Toc16001"/>
      <w:bookmarkStart w:id="744" w:name="_Toc13151"/>
      <w:bookmarkStart w:id="745" w:name="_Toc32299"/>
      <w:bookmarkStart w:id="746" w:name="_Toc21183"/>
      <w:bookmarkStart w:id="747" w:name="_Toc31953"/>
      <w:r>
        <w:rPr>
          <w:rFonts w:hint="eastAsia"/>
        </w:rPr>
        <w:t>验收准备</w:t>
      </w:r>
      <w:bookmarkEnd w:id="730"/>
      <w:bookmarkEnd w:id="731"/>
      <w:bookmarkEnd w:id="732"/>
      <w:bookmarkEnd w:id="733"/>
    </w:p>
    <w:p>
      <w:pPr>
        <w:ind w:firstLine="480"/>
        <w:rPr>
          <w:rFonts w:hint="eastAsia"/>
          <w:highlight w:val="none"/>
        </w:rPr>
      </w:pPr>
      <w:r>
        <w:rPr>
          <w:rFonts w:hint="eastAsia"/>
          <w:highlight w:val="none"/>
        </w:rPr>
        <w:t>1.承建单位按照合同或合同附件的要求，完成各种技术文档；</w:t>
      </w:r>
    </w:p>
    <w:p>
      <w:pPr>
        <w:ind w:firstLine="480"/>
        <w:rPr>
          <w:rFonts w:hint="eastAsia"/>
          <w:highlight w:val="none"/>
        </w:rPr>
      </w:pPr>
      <w:r>
        <w:rPr>
          <w:rFonts w:hint="eastAsia"/>
          <w:highlight w:val="none"/>
        </w:rPr>
        <w:t>2.各种设备经试运行，状态正常，稳定试运行达到</w:t>
      </w:r>
      <w:r>
        <w:rPr>
          <w:rFonts w:hint="eastAsia"/>
          <w:highlight w:val="none"/>
          <w:lang w:val="en-US" w:eastAsia="zh-CN"/>
        </w:rPr>
        <w:t>2</w:t>
      </w:r>
      <w:r>
        <w:rPr>
          <w:rFonts w:hint="eastAsia"/>
          <w:highlight w:val="none"/>
        </w:rPr>
        <w:t>个月，编制项目试运行报告；</w:t>
      </w:r>
    </w:p>
    <w:p>
      <w:pPr>
        <w:ind w:firstLine="480"/>
        <w:rPr>
          <w:rFonts w:hint="eastAsia"/>
          <w:highlight w:val="none"/>
        </w:rPr>
      </w:pPr>
      <w:r>
        <w:rPr>
          <w:rFonts w:hint="eastAsia"/>
          <w:highlight w:val="none"/>
        </w:rPr>
        <w:t>3.承建单位整理所有技术文档和工程实施管理资料等项目文档，提交给建设单位。</w:t>
      </w:r>
    </w:p>
    <w:p>
      <w:pPr>
        <w:pStyle w:val="3"/>
        <w:bidi w:val="0"/>
        <w:ind w:left="575" w:leftChars="0" w:hanging="575" w:firstLineChars="0"/>
      </w:pPr>
      <w:bookmarkStart w:id="748" w:name="_Toc19706"/>
      <w:bookmarkStart w:id="749" w:name="_Toc19031"/>
      <w:bookmarkStart w:id="750" w:name="_Toc916"/>
      <w:bookmarkStart w:id="751" w:name="_Toc24840"/>
      <w:r>
        <w:rPr>
          <w:rFonts w:hint="eastAsia"/>
          <w:lang w:val="en-US" w:eastAsia="zh-CN"/>
        </w:rPr>
        <w:t>验收方法</w:t>
      </w:r>
      <w:bookmarkEnd w:id="748"/>
      <w:bookmarkEnd w:id="749"/>
      <w:bookmarkEnd w:id="750"/>
      <w:bookmarkEnd w:id="751"/>
    </w:p>
    <w:p>
      <w:r>
        <w:t>项目验收，是项目开发建设中有组织的主动性行为，它是对项目建设高度负责的体现，也是项目建设成功的重要保证。切实做好项目建设中的验收工作至关重要，应当采取有效措施，实实在在做好。为保证项目验收质量，建议采用的验收方法是：</w:t>
      </w:r>
    </w:p>
    <w:p>
      <w:r>
        <w:t>运行项目</w:t>
      </w:r>
      <w:r>
        <w:rPr>
          <w:rFonts w:hint="eastAsia"/>
          <w:lang w:val="en-US" w:eastAsia="zh-CN"/>
        </w:rPr>
        <w:t>硬件设施、</w:t>
      </w:r>
      <w:r>
        <w:t>系统软件，检验其</w:t>
      </w:r>
      <w:r>
        <w:rPr>
          <w:rFonts w:hint="eastAsia"/>
          <w:lang w:val="en-US" w:eastAsia="zh-CN"/>
        </w:rPr>
        <w:t>硬件、</w:t>
      </w:r>
      <w:r>
        <w:t>应用软件的实际能力是否与合同规定的一致；运行</w:t>
      </w:r>
      <w:r>
        <w:rPr>
          <w:rFonts w:hint="eastAsia"/>
          <w:lang w:val="en-US" w:eastAsia="zh-CN"/>
        </w:rPr>
        <w:t>硬件设施、</w:t>
      </w:r>
      <w:r>
        <w:t>应用软件，实际操作，处理业务，检查是否与合同规定的一致，达到了预期的目的。</w:t>
      </w:r>
    </w:p>
    <w:p>
      <w:pPr>
        <w:pStyle w:val="3"/>
        <w:bidi w:val="0"/>
        <w:ind w:left="575" w:leftChars="0" w:hanging="575" w:firstLineChars="0"/>
      </w:pPr>
      <w:bookmarkStart w:id="752" w:name="_Toc19868"/>
      <w:bookmarkStart w:id="753" w:name="_Toc16954"/>
      <w:bookmarkStart w:id="754" w:name="_Toc5639"/>
      <w:bookmarkStart w:id="755" w:name="_Toc6338"/>
      <w:r>
        <w:rPr>
          <w:rFonts w:hint="eastAsia"/>
        </w:rPr>
        <w:t>验收流程</w:t>
      </w:r>
      <w:bookmarkEnd w:id="734"/>
      <w:bookmarkEnd w:id="735"/>
      <w:bookmarkEnd w:id="736"/>
      <w:bookmarkEnd w:id="737"/>
      <w:bookmarkEnd w:id="738"/>
      <w:bookmarkEnd w:id="739"/>
      <w:bookmarkEnd w:id="740"/>
      <w:bookmarkEnd w:id="741"/>
      <w:bookmarkEnd w:id="742"/>
      <w:bookmarkEnd w:id="743"/>
      <w:bookmarkEnd w:id="744"/>
      <w:bookmarkEnd w:id="745"/>
      <w:bookmarkEnd w:id="752"/>
      <w:bookmarkEnd w:id="753"/>
      <w:bookmarkEnd w:id="754"/>
      <w:bookmarkEnd w:id="755"/>
    </w:p>
    <w:p>
      <w:pPr>
        <w:ind w:firstLine="480"/>
        <w:rPr>
          <w:highlight w:val="none"/>
        </w:rPr>
      </w:pPr>
      <w:r>
        <w:rPr>
          <w:rFonts w:hint="eastAsia"/>
          <w:highlight w:val="none"/>
        </w:rPr>
        <w:t>信息化项目申请验收，验收分为五个阶段：</w:t>
      </w:r>
    </w:p>
    <w:p>
      <w:pPr>
        <w:ind w:firstLine="480"/>
        <w:rPr>
          <w:highlight w:val="none"/>
        </w:rPr>
      </w:pPr>
      <w:r>
        <w:rPr>
          <w:rFonts w:hint="eastAsia"/>
          <w:highlight w:val="none"/>
        </w:rPr>
        <w:t>（1）项目建设部门向</w:t>
      </w:r>
      <w:r>
        <w:rPr>
          <w:rFonts w:hint="eastAsia"/>
          <w:highlight w:val="none"/>
          <w:lang w:val="en-US" w:eastAsia="zh-CN"/>
        </w:rPr>
        <w:t>区</w:t>
      </w:r>
      <w:r>
        <w:rPr>
          <w:rFonts w:hint="eastAsia"/>
          <w:highlight w:val="none"/>
        </w:rPr>
        <w:t>密码管理局提交新建项目的商用密码应用安全性评估报告，并由</w:t>
      </w:r>
      <w:r>
        <w:rPr>
          <w:rFonts w:hint="eastAsia"/>
          <w:highlight w:val="none"/>
          <w:lang w:val="en-US" w:eastAsia="zh-CN"/>
        </w:rPr>
        <w:t>区</w:t>
      </w:r>
      <w:r>
        <w:rPr>
          <w:rFonts w:hint="eastAsia"/>
          <w:highlight w:val="none"/>
        </w:rPr>
        <w:t>密码管理局出具审核意见。运维类项目</w:t>
      </w:r>
      <w:r>
        <w:rPr>
          <w:rFonts w:hint="eastAsia"/>
          <w:highlight w:val="none"/>
          <w:lang w:val="en-US" w:eastAsia="zh-CN"/>
        </w:rPr>
        <w:t>或其他情形</w:t>
      </w:r>
      <w:r>
        <w:rPr>
          <w:rFonts w:hint="eastAsia"/>
          <w:highlight w:val="none"/>
        </w:rPr>
        <w:t>不涉及密码应用需求，无需</w:t>
      </w:r>
      <w:r>
        <w:rPr>
          <w:rFonts w:hint="eastAsia"/>
          <w:highlight w:val="none"/>
          <w:lang w:val="en-US" w:eastAsia="zh-CN"/>
        </w:rPr>
        <w:t>区</w:t>
      </w:r>
      <w:r>
        <w:rPr>
          <w:rFonts w:hint="eastAsia"/>
          <w:highlight w:val="none"/>
        </w:rPr>
        <w:t>密码管理局出具审核意见。</w:t>
      </w:r>
    </w:p>
    <w:p>
      <w:pPr>
        <w:ind w:firstLine="480"/>
        <w:rPr>
          <w:highlight w:val="none"/>
        </w:rPr>
      </w:pPr>
      <w:r>
        <w:rPr>
          <w:rFonts w:hint="eastAsia"/>
          <w:highlight w:val="none"/>
        </w:rPr>
        <w:t>（2）项目建设部门组织相关开发单位完成数据资源登记和数据资产登记。</w:t>
      </w:r>
    </w:p>
    <w:p>
      <w:pPr>
        <w:ind w:firstLine="480"/>
        <w:rPr>
          <w:highlight w:val="none"/>
        </w:rPr>
      </w:pPr>
      <w:r>
        <w:rPr>
          <w:rFonts w:hint="eastAsia"/>
          <w:highlight w:val="none"/>
        </w:rPr>
        <w:t>（3）项目建设部门提交验收材料，</w:t>
      </w:r>
      <w:r>
        <w:rPr>
          <w:rFonts w:hint="eastAsia"/>
          <w:highlight w:val="none"/>
          <w:lang w:val="en-US" w:eastAsia="zh-CN"/>
        </w:rPr>
        <w:t>斗门区政务服务和数据管理局</w:t>
      </w:r>
      <w:r>
        <w:rPr>
          <w:rFonts w:hint="eastAsia"/>
          <w:highlight w:val="none"/>
        </w:rPr>
        <w:t>核查验收材料是否齐备。</w:t>
      </w:r>
    </w:p>
    <w:p>
      <w:pPr>
        <w:ind w:firstLine="480"/>
        <w:rPr>
          <w:highlight w:val="none"/>
        </w:rPr>
      </w:pPr>
      <w:r>
        <w:rPr>
          <w:rFonts w:hint="eastAsia"/>
          <w:highlight w:val="none"/>
        </w:rPr>
        <w:t>（4）珠海市斗门区行政服务中心组织成立验收小组，审核验收材料、实地考察、组织专家验收。</w:t>
      </w:r>
    </w:p>
    <w:p>
      <w:pPr>
        <w:ind w:firstLine="480"/>
        <w:rPr>
          <w:rFonts w:hint="eastAsia"/>
          <w:highlight w:val="none"/>
        </w:rPr>
      </w:pPr>
      <w:r>
        <w:rPr>
          <w:rFonts w:hint="eastAsia"/>
          <w:highlight w:val="none"/>
        </w:rPr>
        <w:t>（5）珠海市斗门区行政服务中心出具书面验收意见。</w:t>
      </w:r>
    </w:p>
    <w:p>
      <w:pPr>
        <w:pStyle w:val="3"/>
        <w:bidi w:val="0"/>
        <w:ind w:left="575" w:leftChars="0" w:hanging="575" w:firstLineChars="0"/>
      </w:pPr>
      <w:bookmarkStart w:id="756" w:name="_Toc31169"/>
      <w:bookmarkStart w:id="757" w:name="_Toc16333"/>
      <w:bookmarkStart w:id="758" w:name="_Toc29740"/>
      <w:bookmarkStart w:id="759" w:name="_Toc6632"/>
      <w:r>
        <w:rPr>
          <w:rFonts w:hint="eastAsia"/>
        </w:rPr>
        <w:t>项目验收</w:t>
      </w:r>
      <w:r>
        <w:rPr>
          <w:rFonts w:hint="eastAsia"/>
          <w:lang w:val="en-US" w:eastAsia="zh-CN"/>
        </w:rPr>
        <w:t>文档要求</w:t>
      </w:r>
      <w:bookmarkEnd w:id="756"/>
      <w:bookmarkEnd w:id="757"/>
      <w:bookmarkEnd w:id="758"/>
      <w:bookmarkEnd w:id="759"/>
    </w:p>
    <w:p>
      <w:pPr>
        <w:pStyle w:val="4"/>
        <w:bidi w:val="0"/>
        <w:rPr>
          <w:rFonts w:hint="eastAsia"/>
        </w:rPr>
      </w:pPr>
      <w:bookmarkStart w:id="760" w:name="_Toc27914"/>
      <w:bookmarkStart w:id="761" w:name="_Toc15735"/>
      <w:bookmarkStart w:id="762" w:name="_Toc28002"/>
      <w:bookmarkStart w:id="763" w:name="_Toc20405"/>
      <w:r>
        <w:rPr>
          <w:rFonts w:hint="eastAsia"/>
        </w:rPr>
        <w:t>项目验收材料清单</w:t>
      </w:r>
      <w:bookmarkEnd w:id="760"/>
      <w:bookmarkEnd w:id="761"/>
      <w:bookmarkEnd w:id="762"/>
      <w:bookmarkEnd w:id="763"/>
    </w:p>
    <w:p>
      <w:pPr>
        <w:ind w:firstLine="480"/>
        <w:rPr>
          <w:rFonts w:hint="eastAsia" w:eastAsia="宋体"/>
          <w:highlight w:val="none"/>
          <w:lang w:eastAsia="zh-CN"/>
        </w:rPr>
      </w:pPr>
      <w:r>
        <w:rPr>
          <w:rFonts w:hint="eastAsia"/>
          <w:highlight w:val="none"/>
        </w:rPr>
        <w:t>1.材料目录清单表</w:t>
      </w:r>
      <w:r>
        <w:rPr>
          <w:rFonts w:hint="eastAsia"/>
          <w:highlight w:val="none"/>
          <w:lang w:eastAsia="zh-CN"/>
        </w:rPr>
        <w:t>；</w:t>
      </w:r>
    </w:p>
    <w:p>
      <w:pPr>
        <w:ind w:firstLine="480"/>
        <w:rPr>
          <w:rFonts w:hint="eastAsia" w:eastAsia="宋体"/>
          <w:highlight w:val="none"/>
          <w:lang w:eastAsia="zh-CN"/>
        </w:rPr>
      </w:pPr>
      <w:r>
        <w:rPr>
          <w:rFonts w:hint="eastAsia"/>
          <w:highlight w:val="none"/>
        </w:rPr>
        <w:t>2.所有材料电子版</w:t>
      </w:r>
      <w:r>
        <w:rPr>
          <w:rFonts w:hint="eastAsia"/>
          <w:highlight w:val="none"/>
          <w:lang w:eastAsia="zh-CN"/>
        </w:rPr>
        <w:t>；</w:t>
      </w:r>
    </w:p>
    <w:p>
      <w:pPr>
        <w:ind w:firstLine="480"/>
        <w:rPr>
          <w:rFonts w:hint="eastAsia" w:eastAsia="宋体"/>
          <w:highlight w:val="none"/>
          <w:lang w:eastAsia="zh-CN"/>
        </w:rPr>
      </w:pPr>
      <w:r>
        <w:rPr>
          <w:rFonts w:hint="eastAsia"/>
          <w:highlight w:val="none"/>
        </w:rPr>
        <w:t>3.项目总结资料</w:t>
      </w:r>
      <w:r>
        <w:rPr>
          <w:rFonts w:hint="eastAsia"/>
          <w:highlight w:val="none"/>
          <w:lang w:eastAsia="zh-CN"/>
        </w:rPr>
        <w:t>；</w:t>
      </w:r>
    </w:p>
    <w:p>
      <w:pPr>
        <w:ind w:firstLine="480"/>
        <w:rPr>
          <w:rFonts w:hint="eastAsia"/>
          <w:highlight w:val="none"/>
        </w:rPr>
      </w:pPr>
      <w:r>
        <w:rPr>
          <w:rFonts w:hint="eastAsia"/>
          <w:highlight w:val="none"/>
        </w:rPr>
        <w:t>4.项目立项审核资料：立项审核申请、项目建设方案、发改局、财政局、投审中心和密码管理局批复文件；</w:t>
      </w:r>
    </w:p>
    <w:p>
      <w:pPr>
        <w:ind w:firstLine="480"/>
        <w:rPr>
          <w:rFonts w:hint="eastAsia"/>
          <w:highlight w:val="none"/>
        </w:rPr>
      </w:pPr>
      <w:r>
        <w:rPr>
          <w:rFonts w:hint="eastAsia"/>
          <w:highlight w:val="none"/>
        </w:rPr>
        <w:t>5.项目变更资料：项目变更申请、项目变更审批文件；</w:t>
      </w:r>
    </w:p>
    <w:p>
      <w:pPr>
        <w:ind w:firstLine="480"/>
        <w:rPr>
          <w:rFonts w:hint="eastAsia" w:eastAsia="宋体"/>
          <w:highlight w:val="none"/>
          <w:lang w:eastAsia="zh-CN"/>
        </w:rPr>
      </w:pPr>
      <w:r>
        <w:rPr>
          <w:rFonts w:hint="eastAsia"/>
          <w:highlight w:val="none"/>
        </w:rPr>
        <w:t>6.项目经费资料：概算、预算、经费使用情况表</w:t>
      </w:r>
      <w:r>
        <w:rPr>
          <w:rFonts w:hint="eastAsia"/>
          <w:highlight w:val="none"/>
          <w:lang w:eastAsia="zh-CN"/>
        </w:rPr>
        <w:t>；</w:t>
      </w:r>
    </w:p>
    <w:p>
      <w:pPr>
        <w:ind w:firstLine="480"/>
        <w:rPr>
          <w:rFonts w:hint="eastAsia"/>
          <w:highlight w:val="none"/>
        </w:rPr>
      </w:pPr>
      <w:r>
        <w:rPr>
          <w:rFonts w:hint="eastAsia"/>
          <w:highlight w:val="none"/>
        </w:rPr>
        <w:t>7.合同资料：招标书、投标书、合同文件；</w:t>
      </w:r>
    </w:p>
    <w:p>
      <w:pPr>
        <w:ind w:firstLine="480"/>
        <w:rPr>
          <w:rFonts w:hint="eastAsia"/>
          <w:highlight w:val="none"/>
        </w:rPr>
      </w:pPr>
      <w:r>
        <w:rPr>
          <w:rFonts w:hint="eastAsia"/>
          <w:highlight w:val="none"/>
        </w:rPr>
        <w:t>8.项目试运行资料：项目试运行报告；本单位用户意见书；项目涉及其他单位使用系统（平台）的需出具用户试用报告；</w:t>
      </w:r>
    </w:p>
    <w:p>
      <w:pPr>
        <w:ind w:firstLine="480"/>
        <w:rPr>
          <w:rFonts w:hint="eastAsia"/>
          <w:highlight w:val="none"/>
        </w:rPr>
      </w:pPr>
      <w:r>
        <w:rPr>
          <w:rFonts w:hint="eastAsia"/>
          <w:highlight w:val="none"/>
        </w:rPr>
        <w:t>9.信息化项目软硬件报送清单；</w:t>
      </w:r>
    </w:p>
    <w:p>
      <w:pPr>
        <w:ind w:firstLine="480"/>
        <w:rPr>
          <w:rFonts w:hint="eastAsia"/>
          <w:highlight w:val="none"/>
        </w:rPr>
      </w:pPr>
      <w:r>
        <w:rPr>
          <w:rFonts w:hint="eastAsia"/>
          <w:highlight w:val="none"/>
        </w:rPr>
        <w:t>10.数据库设计说明书；</w:t>
      </w:r>
    </w:p>
    <w:p>
      <w:pPr>
        <w:ind w:firstLine="480"/>
        <w:rPr>
          <w:rFonts w:hint="eastAsia"/>
          <w:highlight w:val="none"/>
        </w:rPr>
      </w:pPr>
      <w:r>
        <w:rPr>
          <w:rFonts w:hint="eastAsia"/>
          <w:highlight w:val="none"/>
        </w:rPr>
        <w:t>11.项目标准规范文档、成果报告；</w:t>
      </w:r>
    </w:p>
    <w:p>
      <w:pPr>
        <w:ind w:firstLine="480"/>
        <w:rPr>
          <w:rFonts w:hint="eastAsia"/>
          <w:highlight w:val="none"/>
        </w:rPr>
      </w:pPr>
      <w:r>
        <w:rPr>
          <w:rFonts w:hint="eastAsia"/>
          <w:highlight w:val="none"/>
        </w:rPr>
        <w:t>12.项目数据资源服务接口清单；</w:t>
      </w:r>
    </w:p>
    <w:p>
      <w:pPr>
        <w:ind w:firstLine="480"/>
        <w:rPr>
          <w:rFonts w:hint="eastAsia"/>
          <w:highlight w:val="none"/>
        </w:rPr>
      </w:pPr>
      <w:r>
        <w:rPr>
          <w:rFonts w:hint="eastAsia"/>
          <w:highlight w:val="none"/>
        </w:rPr>
        <w:t>13.非信息应用系统相关文档：项目详细实施方案（应包含系统设计说明、系统结构图或服务器部署图、网络拓扑图等）、设备到货清单、用户手册或操作手册、用户培训文档（应包含培训计划、培训资料等）；</w:t>
      </w:r>
    </w:p>
    <w:p>
      <w:pPr>
        <w:ind w:firstLine="480"/>
        <w:rPr>
          <w:rFonts w:hint="eastAsia"/>
          <w:highlight w:val="none"/>
        </w:rPr>
      </w:pPr>
      <w:r>
        <w:rPr>
          <w:rFonts w:hint="eastAsia"/>
          <w:highlight w:val="none"/>
        </w:rPr>
        <w:t>14.信息应用系统相关文档：需求说明书、设计说明书、数据字典、用户手册或操作手册、用户培训文档计划（应包含培训计划、培训资料等）；</w:t>
      </w:r>
    </w:p>
    <w:p>
      <w:pPr>
        <w:ind w:firstLine="480"/>
        <w:rPr>
          <w:rFonts w:hint="eastAsia"/>
          <w:highlight w:val="none"/>
        </w:rPr>
      </w:pPr>
      <w:r>
        <w:rPr>
          <w:rFonts w:hint="eastAsia"/>
          <w:highlight w:val="none"/>
        </w:rPr>
        <w:t>15.第三方测试报告、测试合同、第三方测试单位资质证明材料等：涉及到应用软件系统建设的政府投资信息化项目，需经中国合格评定国家认可委员会认可的第三方软件检测机构进行相应的验收测试。涉及到网络(安全)建设的政府投资信息化项目，需经中国合格评定国家认可委员会认可的第三方网络检测机构进行相应的验收测试；</w:t>
      </w:r>
    </w:p>
    <w:p>
      <w:pPr>
        <w:ind w:firstLine="480"/>
        <w:rPr>
          <w:rFonts w:hint="eastAsia"/>
          <w:highlight w:val="none"/>
        </w:rPr>
      </w:pPr>
      <w:r>
        <w:rPr>
          <w:rFonts w:hint="eastAsia"/>
          <w:highlight w:val="none"/>
        </w:rPr>
        <w:t>16.监理报告：需要进行监理的项目需提供项目监理报告和监理过程文档</w:t>
      </w:r>
    </w:p>
    <w:p>
      <w:pPr>
        <w:ind w:firstLine="480"/>
        <w:rPr>
          <w:rFonts w:hint="eastAsia"/>
          <w:highlight w:val="none"/>
        </w:rPr>
      </w:pPr>
      <w:r>
        <w:rPr>
          <w:rFonts w:hint="eastAsia"/>
          <w:highlight w:val="none"/>
        </w:rPr>
        <w:t>17.等保测试报告：根据《广东省计算机信息系统安全保护条例》要求需要进行等保测试的项目请提供项目等保测试报告及珠海市公安局网络警察支队出具的备案证明。</w:t>
      </w:r>
    </w:p>
    <w:p>
      <w:pPr>
        <w:ind w:firstLine="480"/>
        <w:rPr>
          <w:rFonts w:hint="eastAsia"/>
          <w:highlight w:val="none"/>
        </w:rPr>
      </w:pPr>
      <w:r>
        <w:rPr>
          <w:rFonts w:hint="eastAsia"/>
          <w:highlight w:val="none"/>
        </w:rPr>
        <w:t>18.如涉及商用密码需出具应用安全性评估结果：根据《网络安全法》、《商用密码管理条例》的要求，关键信息基础设施、网络安全等级保护第三级及以上信息系统需同时提供有资质评测机构出具的商用密码应用安全性评估结果。</w:t>
      </w:r>
    </w:p>
    <w:p>
      <w:pPr>
        <w:pStyle w:val="4"/>
        <w:bidi w:val="0"/>
        <w:rPr>
          <w:rFonts w:hint="default"/>
          <w:lang w:val="en-US" w:eastAsia="zh-CN"/>
        </w:rPr>
      </w:pPr>
      <w:bookmarkStart w:id="764" w:name="_Toc97"/>
      <w:bookmarkStart w:id="765" w:name="_Toc469"/>
      <w:bookmarkStart w:id="766" w:name="_Toc26119"/>
      <w:bookmarkStart w:id="767" w:name="_Toc25536"/>
      <w:r>
        <w:rPr>
          <w:rFonts w:hint="eastAsia"/>
          <w:lang w:val="en-US" w:eastAsia="zh-CN"/>
        </w:rPr>
        <w:t>项目终验材料</w:t>
      </w:r>
      <w:bookmarkEnd w:id="764"/>
      <w:bookmarkEnd w:id="765"/>
      <w:bookmarkEnd w:id="766"/>
      <w:bookmarkEnd w:id="767"/>
    </w:p>
    <w:bookmarkEnd w:id="746"/>
    <w:bookmarkEnd w:id="747"/>
    <w:p>
      <w:pPr>
        <w:ind w:firstLine="480"/>
        <w:rPr>
          <w:rFonts w:hint="eastAsia"/>
          <w:highlight w:val="none"/>
          <w:lang w:val="en-US" w:eastAsia="zh-CN"/>
        </w:rPr>
      </w:pPr>
      <w:r>
        <w:rPr>
          <w:rFonts w:hint="eastAsia"/>
          <w:highlight w:val="none"/>
          <w:lang w:val="en-US" w:eastAsia="zh-CN"/>
        </w:rPr>
        <w:t>政务信息化项目(适用于无软件开发的集成项目)终验材料</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44"/>
        <w:gridCol w:w="3899"/>
        <w:gridCol w:w="562"/>
        <w:gridCol w:w="501"/>
        <w:gridCol w:w="1114"/>
        <w:gridCol w:w="11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材料类型</w:t>
            </w:r>
          </w:p>
        </w:tc>
        <w:tc>
          <w:tcPr>
            <w:tcW w:w="0" w:type="auto"/>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材料名称</w:t>
            </w:r>
          </w:p>
        </w:tc>
        <w:tc>
          <w:tcPr>
            <w:tcW w:w="0" w:type="auto"/>
            <w:gridSpan w:val="2"/>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项目终验</w:t>
            </w:r>
            <w:r>
              <w:rPr>
                <w:rFonts w:hint="eastAsia" w:ascii="宋体" w:hAnsi="宋体" w:eastAsia="宋体" w:cs="宋体"/>
                <w:color w:val="auto"/>
                <w:sz w:val="21"/>
                <w:szCs w:val="21"/>
              </w:rPr>
              <w:t>纸质版</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查验</w:t>
            </w:r>
          </w:p>
        </w:tc>
        <w:tc>
          <w:tcPr>
            <w:tcW w:w="0" w:type="auto"/>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bookmarkStart w:id="937" w:name="_GoBack"/>
            <w:bookmarkEnd w:id="937"/>
            <w:r>
              <w:rPr>
                <w:rFonts w:hint="default" w:cs="宋体"/>
                <w:color w:val="auto"/>
                <w:sz w:val="21"/>
                <w:szCs w:val="21"/>
                <w:lang w:val="en" w:eastAsia="zh-CN"/>
              </w:rPr>
              <w:t>政务和数据局</w:t>
            </w:r>
            <w:r>
              <w:rPr>
                <w:rFonts w:hint="eastAsia" w:ascii="宋体" w:hAnsi="宋体" w:eastAsia="宋体" w:cs="宋体"/>
                <w:color w:val="auto"/>
                <w:sz w:val="21"/>
                <w:szCs w:val="21"/>
                <w:lang w:eastAsia="zh-CN"/>
              </w:rPr>
              <w:t>收取</w:t>
            </w:r>
            <w:r>
              <w:rPr>
                <w:rFonts w:hint="eastAsia" w:ascii="宋体" w:hAnsi="宋体" w:eastAsia="宋体" w:cs="宋体"/>
                <w:color w:val="auto"/>
                <w:sz w:val="21"/>
                <w:szCs w:val="21"/>
              </w:rPr>
              <w:t>电子版</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（光盘）</w:t>
            </w:r>
          </w:p>
        </w:tc>
        <w:tc>
          <w:tcPr>
            <w:tcW w:w="0" w:type="auto"/>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default" w:cs="宋体"/>
                <w:color w:val="auto"/>
                <w:sz w:val="21"/>
                <w:szCs w:val="21"/>
                <w:lang w:val="en" w:eastAsia="zh-CN"/>
              </w:rPr>
              <w:t>政务和数据局</w:t>
            </w:r>
            <w:r>
              <w:rPr>
                <w:rFonts w:hint="eastAsia" w:ascii="宋体" w:hAnsi="宋体" w:eastAsia="宋体" w:cs="宋体"/>
                <w:color w:val="auto"/>
                <w:sz w:val="21"/>
                <w:szCs w:val="21"/>
                <w:lang w:eastAsia="zh-CN"/>
              </w:rPr>
              <w:t>收取项目纸质版材料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复印件</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原件</w:t>
            </w:r>
          </w:p>
        </w:tc>
        <w:tc>
          <w:tcPr>
            <w:tcW w:w="0" w:type="auto"/>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一、项目总结材料</w:t>
            </w: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1项目总结(</w:t>
            </w:r>
            <w:r>
              <w:rPr>
                <w:rFonts w:hint="eastAsia" w:ascii="宋体" w:hAnsi="宋体" w:eastAsia="宋体" w:cs="宋体"/>
                <w:color w:val="auto"/>
                <w:sz w:val="21"/>
                <w:szCs w:val="21"/>
                <w:lang w:eastAsia="zh-CN"/>
              </w:rPr>
              <w:t>建设单位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2项目建设情况汇报</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建设单位盖章</w:t>
            </w:r>
            <w:r>
              <w:rPr>
                <w:rFonts w:hint="eastAsia" w:ascii="宋体" w:hAnsi="宋体" w:eastAsia="宋体" w:cs="宋体"/>
                <w:color w:val="auto"/>
                <w:sz w:val="21"/>
                <w:szCs w:val="21"/>
                <w:lang w:eastAsia="zh-CN"/>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3项目监理情况汇报</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监理单位盖章</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——如有</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4其它材料（</w:t>
            </w:r>
            <w:r>
              <w:rPr>
                <w:rFonts w:hint="eastAsia" w:ascii="宋体" w:hAnsi="宋体" w:eastAsia="宋体" w:cs="宋体"/>
                <w:color w:val="auto"/>
                <w:sz w:val="21"/>
                <w:szCs w:val="21"/>
              </w:rPr>
              <w:t>盖章</w:t>
            </w:r>
            <w:r>
              <w:rPr>
                <w:rFonts w:hint="eastAsia" w:ascii="宋体" w:hAnsi="宋体" w:eastAsia="宋体" w:cs="宋体"/>
                <w:color w:val="auto"/>
                <w:sz w:val="21"/>
                <w:szCs w:val="21"/>
                <w:lang w:val="en-US" w:eastAsia="zh-CN"/>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二、项目立项审核资料</w:t>
            </w: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1项目立项依据-如会议纪要等</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建设单位盖章</w:t>
            </w:r>
            <w:r>
              <w:rPr>
                <w:rFonts w:hint="eastAsia" w:ascii="宋体" w:hAnsi="宋体" w:eastAsia="宋体" w:cs="宋体"/>
                <w:color w:val="auto"/>
                <w:sz w:val="21"/>
                <w:szCs w:val="21"/>
                <w:lang w:eastAsia="zh-CN"/>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2项目资金来源情况</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建设单位盖章</w:t>
            </w:r>
            <w:r>
              <w:rPr>
                <w:rFonts w:hint="eastAsia" w:ascii="宋体" w:hAnsi="宋体" w:eastAsia="宋体" w:cs="宋体"/>
                <w:color w:val="auto"/>
                <w:sz w:val="21"/>
                <w:szCs w:val="21"/>
                <w:lang w:eastAsia="zh-CN"/>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default" w:cs="宋体"/>
                <w:color w:val="auto"/>
                <w:sz w:val="21"/>
                <w:szCs w:val="21"/>
                <w:lang w:val="en"/>
              </w:rPr>
              <w:t>政务和数据局</w:t>
            </w:r>
            <w:r>
              <w:rPr>
                <w:rFonts w:hint="eastAsia" w:ascii="宋体" w:hAnsi="宋体" w:eastAsia="宋体" w:cs="宋体"/>
                <w:color w:val="auto"/>
                <w:sz w:val="21"/>
                <w:szCs w:val="21"/>
              </w:rPr>
              <w:t>对可研报告/初步设计方案/建设方案的批复</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建设单位盖章</w:t>
            </w:r>
            <w:r>
              <w:rPr>
                <w:rFonts w:hint="eastAsia" w:ascii="宋体" w:hAnsi="宋体" w:eastAsia="宋体" w:cs="宋体"/>
                <w:color w:val="auto"/>
                <w:sz w:val="21"/>
                <w:szCs w:val="21"/>
                <w:lang w:eastAsia="zh-CN"/>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4发改局对可研报告/初步设计方案/概算的批复</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建设单位盖章</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——如有</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5密码管理局批复意见</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建设单位盖章</w:t>
            </w:r>
            <w:r>
              <w:rPr>
                <w:rFonts w:hint="eastAsia" w:ascii="宋体" w:hAnsi="宋体" w:eastAsia="宋体" w:cs="宋体"/>
                <w:color w:val="auto"/>
                <w:sz w:val="21"/>
                <w:szCs w:val="21"/>
                <w:lang w:eastAsia="zh-CN"/>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6财政局对项目预算批复</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建设单位盖章</w:t>
            </w:r>
            <w:r>
              <w:rPr>
                <w:rFonts w:hint="eastAsia" w:ascii="宋体" w:hAnsi="宋体" w:eastAsia="宋体" w:cs="宋体"/>
                <w:color w:val="auto"/>
                <w:sz w:val="21"/>
                <w:szCs w:val="21"/>
                <w:lang w:eastAsia="zh-CN"/>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7初步设计方案（</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建设方案</w:t>
            </w:r>
            <w:r>
              <w:rPr>
                <w:rFonts w:hint="eastAsia" w:ascii="宋体" w:hAnsi="宋体" w:eastAsia="宋体" w:cs="宋体"/>
                <w:color w:val="auto"/>
                <w:sz w:val="21"/>
                <w:szCs w:val="21"/>
                <w:lang w:eastAsia="zh-CN"/>
              </w:rPr>
              <w:t>）报审终版</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建设单位盖章</w:t>
            </w:r>
            <w:r>
              <w:rPr>
                <w:rFonts w:hint="eastAsia" w:ascii="宋体" w:hAnsi="宋体" w:eastAsia="宋体" w:cs="宋体"/>
                <w:color w:val="auto"/>
                <w:sz w:val="21"/>
                <w:szCs w:val="21"/>
                <w:lang w:val="en-US" w:eastAsia="zh-CN"/>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8其它材料</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建设单位盖章</w:t>
            </w:r>
            <w:r>
              <w:rPr>
                <w:rFonts w:hint="eastAsia" w:ascii="宋体" w:hAnsi="宋体" w:eastAsia="宋体" w:cs="宋体"/>
                <w:color w:val="auto"/>
                <w:sz w:val="21"/>
                <w:szCs w:val="21"/>
                <w:lang w:eastAsia="zh-CN"/>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三、项目变更资料</w:t>
            </w:r>
            <w:r>
              <w:rPr>
                <w:rFonts w:hint="eastAsia" w:ascii="宋体" w:hAnsi="宋体" w:eastAsia="宋体" w:cs="宋体"/>
                <w:color w:val="auto"/>
                <w:sz w:val="21"/>
                <w:szCs w:val="21"/>
                <w:lang w:eastAsia="zh-CN"/>
              </w:rPr>
              <w:t>（如有变更）</w:t>
            </w: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1项目变更一览表(</w:t>
            </w:r>
            <w:r>
              <w:rPr>
                <w:rFonts w:hint="eastAsia" w:ascii="宋体" w:hAnsi="宋体" w:eastAsia="宋体" w:cs="宋体"/>
                <w:color w:val="auto"/>
                <w:sz w:val="21"/>
                <w:szCs w:val="21"/>
                <w:lang w:eastAsia="zh-CN"/>
              </w:rPr>
              <w:t>建设单位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2设计变更单(</w:t>
            </w:r>
            <w:r>
              <w:rPr>
                <w:rFonts w:hint="eastAsia" w:ascii="宋体" w:hAnsi="宋体" w:eastAsia="宋体" w:cs="宋体"/>
                <w:color w:val="auto"/>
                <w:sz w:val="21"/>
                <w:szCs w:val="21"/>
                <w:lang w:eastAsia="zh-CN"/>
              </w:rPr>
              <w:t>建设单位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3项目变更</w:t>
            </w:r>
            <w:r>
              <w:rPr>
                <w:rFonts w:hint="eastAsia" w:ascii="宋体" w:hAnsi="宋体" w:eastAsia="宋体" w:cs="宋体"/>
                <w:color w:val="auto"/>
                <w:sz w:val="21"/>
                <w:szCs w:val="21"/>
                <w:lang w:val="en-US" w:eastAsia="zh-CN"/>
              </w:rPr>
              <w:t>,包括：</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（内部</w:t>
            </w:r>
            <w:r>
              <w:rPr>
                <w:rFonts w:hint="eastAsia" w:ascii="宋体" w:hAnsi="宋体" w:eastAsia="宋体" w:cs="宋体"/>
                <w:color w:val="auto"/>
                <w:sz w:val="21"/>
                <w:szCs w:val="21"/>
                <w:lang w:eastAsia="zh-CN"/>
              </w:rPr>
              <w:t>变更</w:t>
            </w:r>
            <w:r>
              <w:rPr>
                <w:rFonts w:hint="eastAsia" w:ascii="宋体" w:hAnsi="宋体" w:eastAsia="宋体" w:cs="宋体"/>
                <w:color w:val="auto"/>
                <w:sz w:val="21"/>
                <w:szCs w:val="21"/>
              </w:rPr>
              <w:t>）审批文件</w:t>
            </w:r>
            <w:r>
              <w:rPr>
                <w:rFonts w:hint="eastAsia" w:ascii="宋体" w:hAnsi="宋体" w:eastAsia="宋体" w:cs="宋体"/>
                <w:color w:val="auto"/>
                <w:sz w:val="21"/>
                <w:szCs w:val="21"/>
                <w:lang w:val="en-US" w:eastAsia="zh-CN"/>
              </w:rPr>
              <w:t>,如变更申请（盖章）、批复文件及会议纪要（建设单位、承建单位、监理单位签字盖章）。</w:t>
            </w:r>
          </w:p>
          <w:p>
            <w:pPr>
              <w:keepNext w:val="0"/>
              <w:keepLines w:val="0"/>
              <w:pageBreakBefore w:val="0"/>
              <w:widowControl w:val="0"/>
              <w:numPr>
                <w:ilvl w:val="0"/>
                <w:numId w:val="24"/>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区</w:t>
            </w:r>
            <w:r>
              <w:rPr>
                <w:rFonts w:hint="default" w:cs="宋体"/>
                <w:color w:val="auto"/>
                <w:sz w:val="21"/>
                <w:szCs w:val="21"/>
                <w:lang w:val="en" w:eastAsia="zh-CN"/>
              </w:rPr>
              <w:t>政务和数据局</w:t>
            </w:r>
            <w:r>
              <w:rPr>
                <w:rFonts w:hint="eastAsia" w:ascii="宋体" w:hAnsi="宋体" w:eastAsia="宋体" w:cs="宋体"/>
                <w:color w:val="auto"/>
                <w:sz w:val="21"/>
                <w:szCs w:val="21"/>
                <w:lang w:eastAsia="zh-CN"/>
              </w:rPr>
              <w:t>变更备案</w:t>
            </w:r>
            <w:r>
              <w:rPr>
                <w:rFonts w:hint="eastAsia" w:ascii="宋体" w:hAnsi="宋体" w:eastAsia="宋体" w:cs="宋体"/>
                <w:color w:val="auto"/>
                <w:sz w:val="21"/>
                <w:szCs w:val="21"/>
              </w:rPr>
              <w:t>审批文件</w:t>
            </w:r>
            <w:r>
              <w:rPr>
                <w:rFonts w:hint="eastAsia" w:ascii="宋体" w:hAnsi="宋体" w:eastAsia="宋体" w:cs="宋体"/>
                <w:color w:val="auto"/>
                <w:sz w:val="21"/>
                <w:szCs w:val="21"/>
                <w:lang w:eastAsia="zh-CN"/>
              </w:rPr>
              <w:t>，如变更报审函及变更材料（建设单位盖章）、</w:t>
            </w:r>
            <w:r>
              <w:rPr>
                <w:rFonts w:hint="default" w:cs="宋体"/>
                <w:color w:val="auto"/>
                <w:sz w:val="21"/>
                <w:szCs w:val="21"/>
                <w:lang w:val="en" w:eastAsia="zh-CN"/>
              </w:rPr>
              <w:t>政务和数据局</w:t>
            </w:r>
            <w:r>
              <w:rPr>
                <w:rFonts w:hint="eastAsia" w:ascii="宋体" w:hAnsi="宋体" w:eastAsia="宋体" w:cs="宋体"/>
                <w:color w:val="auto"/>
                <w:sz w:val="21"/>
                <w:szCs w:val="21"/>
                <w:lang w:val="en-US" w:eastAsia="zh-CN"/>
              </w:rPr>
              <w:t>批复文件（</w:t>
            </w:r>
            <w:r>
              <w:rPr>
                <w:rFonts w:hint="eastAsia" w:ascii="宋体" w:hAnsi="宋体" w:eastAsia="宋体" w:cs="宋体"/>
                <w:color w:val="auto"/>
                <w:sz w:val="21"/>
                <w:szCs w:val="21"/>
                <w:lang w:eastAsia="zh-CN"/>
              </w:rPr>
              <w:t>建设单位盖章</w:t>
            </w:r>
            <w:r>
              <w:rPr>
                <w:rFonts w:hint="eastAsia" w:ascii="宋体" w:hAnsi="宋体" w:eastAsia="宋体" w:cs="宋体"/>
                <w:color w:val="auto"/>
                <w:sz w:val="21"/>
                <w:szCs w:val="21"/>
                <w:lang w:val="en-US" w:eastAsia="zh-CN"/>
              </w:rPr>
              <w:t>）等。</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4其它材料</w:t>
            </w:r>
            <w:r>
              <w:rPr>
                <w:rFonts w:hint="eastAsia" w:ascii="宋体" w:hAnsi="宋体" w:eastAsia="宋体" w:cs="宋体"/>
                <w:color w:val="auto"/>
                <w:sz w:val="21"/>
                <w:szCs w:val="21"/>
                <w:lang w:eastAsia="zh-CN"/>
              </w:rPr>
              <w:t>（建设单位盖章）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四、项目经费资料</w:t>
            </w: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概算</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预算</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、经费使用情况表</w:t>
            </w:r>
            <w:r>
              <w:rPr>
                <w:rFonts w:hint="eastAsia" w:ascii="宋体" w:hAnsi="宋体" w:eastAsia="宋体" w:cs="宋体"/>
                <w:color w:val="auto"/>
                <w:sz w:val="21"/>
                <w:szCs w:val="21"/>
                <w:lang w:eastAsia="zh-CN"/>
              </w:rPr>
              <w:t>等（建设单位盖章）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0" w:type="auto"/>
            <w:vMerge w:val="restart"/>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五、合同资料</w:t>
            </w: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1招标书</w:t>
            </w:r>
            <w:r>
              <w:rPr>
                <w:rFonts w:hint="eastAsia" w:ascii="宋体" w:hAnsi="宋体" w:eastAsia="宋体" w:cs="宋体"/>
                <w:color w:val="auto"/>
                <w:sz w:val="21"/>
                <w:szCs w:val="21"/>
                <w:lang w:eastAsia="zh-CN"/>
              </w:rPr>
              <w:t>（建设单位盖章）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2投标书</w:t>
            </w:r>
            <w:r>
              <w:rPr>
                <w:rFonts w:hint="eastAsia" w:ascii="宋体" w:hAnsi="宋体" w:eastAsia="宋体" w:cs="宋体"/>
                <w:color w:val="auto"/>
                <w:sz w:val="21"/>
                <w:szCs w:val="21"/>
                <w:lang w:eastAsia="zh-CN"/>
              </w:rPr>
              <w:t>（承建单位盖章）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3中标通知书</w:t>
            </w:r>
            <w:r>
              <w:rPr>
                <w:rFonts w:hint="eastAsia" w:ascii="宋体" w:hAnsi="宋体" w:eastAsia="宋体" w:cs="宋体"/>
                <w:color w:val="auto"/>
                <w:sz w:val="21"/>
                <w:szCs w:val="21"/>
                <w:lang w:eastAsia="zh-CN"/>
              </w:rPr>
              <w:t>（建设单位盖章）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合同</w:t>
            </w:r>
            <w:r>
              <w:rPr>
                <w:rFonts w:hint="eastAsia" w:ascii="宋体" w:hAnsi="宋体" w:eastAsia="宋体" w:cs="宋体"/>
                <w:color w:val="auto"/>
                <w:sz w:val="21"/>
                <w:szCs w:val="21"/>
                <w:lang w:eastAsia="zh-CN"/>
              </w:rPr>
              <w:t>（建设单位盖章）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5其它材料</w:t>
            </w:r>
            <w:r>
              <w:rPr>
                <w:rFonts w:hint="eastAsia" w:ascii="宋体" w:hAnsi="宋体" w:eastAsia="宋体" w:cs="宋体"/>
                <w:color w:val="auto"/>
                <w:sz w:val="21"/>
                <w:szCs w:val="21"/>
                <w:lang w:eastAsia="zh-CN"/>
              </w:rPr>
              <w:t>（建设单位盖章）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六、项目试运行资料</w:t>
            </w: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试运行</w:t>
            </w:r>
            <w:r>
              <w:rPr>
                <w:rFonts w:hint="eastAsia" w:ascii="宋体" w:hAnsi="宋体" w:eastAsia="宋体" w:cs="宋体"/>
                <w:color w:val="auto"/>
                <w:sz w:val="21"/>
                <w:szCs w:val="21"/>
                <w:lang w:val="en-US" w:eastAsia="zh-CN"/>
              </w:rPr>
              <w:t>申请(承建单位盖章)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试运行报告(</w:t>
            </w:r>
            <w:r>
              <w:rPr>
                <w:rFonts w:hint="eastAsia" w:ascii="宋体" w:hAnsi="宋体" w:eastAsia="宋体" w:cs="宋体"/>
                <w:color w:val="auto"/>
                <w:sz w:val="21"/>
                <w:szCs w:val="21"/>
                <w:lang w:val="en-US" w:eastAsia="zh-CN"/>
              </w:rPr>
              <w:t>承建单位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2用户意见书（</w:t>
            </w:r>
            <w:r>
              <w:rPr>
                <w:rFonts w:hint="eastAsia" w:ascii="宋体" w:hAnsi="宋体" w:eastAsia="宋体" w:cs="宋体"/>
                <w:color w:val="auto"/>
                <w:sz w:val="21"/>
                <w:szCs w:val="21"/>
                <w:lang w:eastAsia="zh-CN"/>
              </w:rPr>
              <w:t>建设单位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3初步验收意见</w:t>
            </w:r>
            <w:r>
              <w:rPr>
                <w:rFonts w:hint="eastAsia" w:ascii="宋体" w:hAnsi="宋体" w:eastAsia="宋体" w:cs="宋体"/>
                <w:color w:val="auto"/>
                <w:sz w:val="21"/>
                <w:szCs w:val="21"/>
                <w:lang w:val="en-US" w:eastAsia="zh-CN"/>
              </w:rPr>
              <w:t>（要有建设单位、承建单位、监理单位签字盖章,建设单位在复印件加盖红章）</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如有初验</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4专家组</w:t>
            </w:r>
            <w:r>
              <w:rPr>
                <w:rFonts w:hint="eastAsia" w:ascii="宋体" w:hAnsi="宋体" w:eastAsia="宋体" w:cs="宋体"/>
                <w:color w:val="auto"/>
                <w:sz w:val="21"/>
                <w:szCs w:val="21"/>
                <w:lang w:eastAsia="zh-CN"/>
              </w:rPr>
              <w:t>初步</w:t>
            </w:r>
            <w:r>
              <w:rPr>
                <w:rFonts w:hint="eastAsia" w:ascii="宋体" w:hAnsi="宋体" w:eastAsia="宋体" w:cs="宋体"/>
                <w:color w:val="auto"/>
                <w:sz w:val="21"/>
                <w:szCs w:val="21"/>
              </w:rPr>
              <w:t>验收意见（附专家组成员组成表）——如有</w:t>
            </w:r>
            <w:r>
              <w:rPr>
                <w:rFonts w:hint="eastAsia" w:ascii="宋体" w:hAnsi="宋体" w:eastAsia="宋体" w:cs="宋体"/>
                <w:color w:val="auto"/>
                <w:sz w:val="21"/>
                <w:szCs w:val="21"/>
                <w:lang w:eastAsia="zh-CN"/>
              </w:rPr>
              <w:t>组织专家初步验收</w:t>
            </w:r>
            <w:r>
              <w:rPr>
                <w:rFonts w:hint="eastAsia" w:ascii="宋体" w:hAnsi="宋体" w:eastAsia="宋体" w:cs="宋体"/>
                <w:color w:val="auto"/>
                <w:sz w:val="21"/>
                <w:szCs w:val="21"/>
                <w:lang w:val="en-US" w:eastAsia="zh-CN"/>
              </w:rPr>
              <w:t>（建设单位在复印件加盖红章）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售后服务承诺</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承建单位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5其它材料</w:t>
            </w:r>
            <w:r>
              <w:rPr>
                <w:rFonts w:hint="eastAsia" w:ascii="宋体" w:hAnsi="宋体" w:eastAsia="宋体" w:cs="宋体"/>
                <w:color w:val="auto"/>
                <w:sz w:val="21"/>
                <w:szCs w:val="21"/>
                <w:lang w:eastAsia="zh-CN"/>
              </w:rPr>
              <w:t>（建设单位盖章</w:t>
            </w:r>
            <w:r>
              <w:rPr>
                <w:rFonts w:hint="eastAsia" w:ascii="宋体" w:hAnsi="宋体" w:eastAsia="宋体" w:cs="宋体"/>
                <w:color w:val="auto"/>
                <w:sz w:val="21"/>
                <w:szCs w:val="21"/>
                <w:lang w:val="en-US" w:eastAsia="zh-CN"/>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七、软硬件验收清单及到货清单</w:t>
            </w: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项目</w:t>
            </w:r>
            <w:r>
              <w:rPr>
                <w:rFonts w:hint="eastAsia" w:ascii="宋体" w:hAnsi="宋体" w:eastAsia="宋体" w:cs="宋体"/>
                <w:color w:val="auto"/>
                <w:sz w:val="21"/>
                <w:szCs w:val="21"/>
              </w:rPr>
              <w:t>软硬件报</w:t>
            </w:r>
            <w:r>
              <w:rPr>
                <w:rFonts w:hint="eastAsia" w:ascii="宋体" w:hAnsi="宋体" w:eastAsia="宋体" w:cs="宋体"/>
                <w:color w:val="auto"/>
                <w:sz w:val="21"/>
                <w:szCs w:val="21"/>
                <w:lang w:eastAsia="zh-CN"/>
              </w:rPr>
              <w:t>审</w:t>
            </w:r>
            <w:r>
              <w:rPr>
                <w:rFonts w:hint="eastAsia" w:ascii="宋体" w:hAnsi="宋体" w:eastAsia="宋体" w:cs="宋体"/>
                <w:color w:val="auto"/>
                <w:sz w:val="21"/>
                <w:szCs w:val="21"/>
              </w:rPr>
              <w:t>清单</w:t>
            </w:r>
            <w:r>
              <w:rPr>
                <w:rFonts w:hint="eastAsia" w:ascii="宋体" w:hAnsi="宋体" w:eastAsia="宋体" w:cs="宋体"/>
                <w:color w:val="auto"/>
                <w:sz w:val="21"/>
                <w:szCs w:val="21"/>
                <w:lang w:eastAsia="zh-CN"/>
              </w:rPr>
              <w:t>（终版）（建设单位盖章）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硬件设备到货清单</w:t>
            </w:r>
            <w:r>
              <w:rPr>
                <w:rFonts w:hint="eastAsia" w:ascii="宋体" w:hAnsi="宋体" w:eastAsia="宋体" w:cs="宋体"/>
                <w:color w:val="auto"/>
                <w:sz w:val="21"/>
                <w:szCs w:val="21"/>
                <w:lang w:eastAsia="zh-CN"/>
              </w:rPr>
              <w:t>（设备验收单复印件，有建设单位、监理单位签字盖章，复印件加盖建设单位红章）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3其它材料</w:t>
            </w:r>
            <w:r>
              <w:rPr>
                <w:rFonts w:hint="eastAsia" w:ascii="宋体" w:hAnsi="宋体" w:eastAsia="宋体" w:cs="宋体"/>
                <w:color w:val="auto"/>
                <w:sz w:val="21"/>
                <w:szCs w:val="21"/>
                <w:lang w:eastAsia="zh-CN"/>
              </w:rPr>
              <w:t>（建设单位盖章</w:t>
            </w:r>
            <w:r>
              <w:rPr>
                <w:rFonts w:hint="eastAsia" w:ascii="宋体" w:hAnsi="宋体" w:eastAsia="宋体" w:cs="宋体"/>
                <w:color w:val="auto"/>
                <w:sz w:val="21"/>
                <w:szCs w:val="21"/>
                <w:lang w:val="en-US" w:eastAsia="zh-CN"/>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八、数据资源清单和标准文档</w:t>
            </w: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项目数据资源服务接口清单</w:t>
            </w:r>
            <w:r>
              <w:rPr>
                <w:rFonts w:hint="eastAsia" w:ascii="宋体" w:hAnsi="宋体" w:eastAsia="宋体" w:cs="宋体"/>
                <w:color w:val="auto"/>
                <w:sz w:val="21"/>
                <w:szCs w:val="21"/>
                <w:lang w:eastAsia="zh-CN"/>
              </w:rPr>
              <w:t>（建设单位盖章）</w:t>
            </w:r>
            <w:r>
              <w:rPr>
                <w:rFonts w:hint="eastAsia" w:ascii="宋体" w:hAnsi="宋体" w:eastAsia="宋体" w:cs="宋体"/>
                <w:color w:val="auto"/>
                <w:sz w:val="21"/>
                <w:szCs w:val="21"/>
              </w:rPr>
              <w:t>—如有</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2其它材料</w:t>
            </w:r>
            <w:r>
              <w:rPr>
                <w:rFonts w:hint="eastAsia" w:ascii="宋体" w:hAnsi="宋体" w:eastAsia="宋体" w:cs="宋体"/>
                <w:color w:val="auto"/>
                <w:sz w:val="21"/>
                <w:szCs w:val="21"/>
                <w:lang w:eastAsia="zh-CN"/>
              </w:rPr>
              <w:t>（建设单位盖章</w:t>
            </w:r>
            <w:r>
              <w:rPr>
                <w:rFonts w:hint="eastAsia" w:ascii="宋体" w:hAnsi="宋体" w:eastAsia="宋体" w:cs="宋体"/>
                <w:color w:val="auto"/>
                <w:sz w:val="21"/>
                <w:szCs w:val="21"/>
                <w:lang w:val="en-US" w:eastAsia="zh-CN"/>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tcPr>
          <w:p>
            <w:pPr>
              <w:keepNext w:val="0"/>
              <w:keepLines w:val="0"/>
              <w:pageBreakBefore w:val="0"/>
              <w:widowControl w:val="0"/>
              <w:numPr>
                <w:ilvl w:val="0"/>
                <w:numId w:val="25"/>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项目</w:t>
            </w:r>
            <w:r>
              <w:rPr>
                <w:rFonts w:hint="eastAsia" w:ascii="宋体" w:hAnsi="宋体" w:eastAsia="宋体" w:cs="宋体"/>
                <w:color w:val="auto"/>
                <w:sz w:val="21"/>
                <w:szCs w:val="21"/>
              </w:rPr>
              <w:t>相关文档</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（视项目情况）</w:t>
            </w: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1集成</w:t>
            </w:r>
            <w:r>
              <w:rPr>
                <w:rFonts w:hint="eastAsia" w:ascii="宋体" w:hAnsi="宋体" w:eastAsia="宋体" w:cs="宋体"/>
                <w:color w:val="auto"/>
                <w:sz w:val="21"/>
                <w:szCs w:val="21"/>
                <w:lang w:eastAsia="zh-CN"/>
              </w:rPr>
              <w:t>测试方案</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承建单位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2集成</w:t>
            </w:r>
            <w:r>
              <w:rPr>
                <w:rFonts w:hint="eastAsia" w:ascii="宋体" w:hAnsi="宋体" w:eastAsia="宋体" w:cs="宋体"/>
                <w:color w:val="auto"/>
                <w:sz w:val="21"/>
                <w:szCs w:val="21"/>
                <w:lang w:eastAsia="zh-CN"/>
              </w:rPr>
              <w:t>测试报告</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承建单位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3项目施工方案</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承建单位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4质量证明文件（如产品合格证、检验报告）</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承建单位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5(用户)</w:t>
            </w:r>
            <w:r>
              <w:rPr>
                <w:rFonts w:hint="eastAsia" w:ascii="宋体" w:hAnsi="宋体" w:eastAsia="宋体" w:cs="宋体"/>
                <w:color w:val="auto"/>
                <w:sz w:val="21"/>
                <w:szCs w:val="21"/>
              </w:rPr>
              <w:t>操作手册(</w:t>
            </w:r>
            <w:r>
              <w:rPr>
                <w:rFonts w:hint="eastAsia" w:ascii="宋体" w:hAnsi="宋体" w:eastAsia="宋体" w:cs="宋体"/>
                <w:color w:val="auto"/>
                <w:sz w:val="21"/>
                <w:szCs w:val="21"/>
                <w:lang w:val="en-US" w:eastAsia="zh-CN"/>
              </w:rPr>
              <w:t>承建单位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培训</w:t>
            </w:r>
            <w:r>
              <w:rPr>
                <w:rFonts w:hint="eastAsia" w:ascii="宋体" w:hAnsi="宋体" w:eastAsia="宋体" w:cs="宋体"/>
                <w:color w:val="auto"/>
                <w:sz w:val="21"/>
                <w:szCs w:val="21"/>
                <w:lang w:eastAsia="zh-CN"/>
              </w:rPr>
              <w:t>文档（</w:t>
            </w:r>
            <w:r>
              <w:rPr>
                <w:rFonts w:hint="eastAsia" w:ascii="宋体" w:hAnsi="宋体" w:eastAsia="宋体" w:cs="宋体"/>
                <w:color w:val="auto"/>
                <w:sz w:val="21"/>
                <w:szCs w:val="21"/>
              </w:rPr>
              <w:t>方案及</w:t>
            </w:r>
            <w:r>
              <w:rPr>
                <w:rFonts w:hint="eastAsia" w:ascii="宋体" w:hAnsi="宋体" w:eastAsia="宋体" w:cs="宋体"/>
                <w:color w:val="auto"/>
                <w:sz w:val="21"/>
                <w:szCs w:val="21"/>
                <w:lang w:eastAsia="zh-CN"/>
              </w:rPr>
              <w:t>培训资料）</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承建单位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培训签到表(</w:t>
            </w:r>
            <w:r>
              <w:rPr>
                <w:rFonts w:hint="eastAsia" w:ascii="宋体" w:hAnsi="宋体" w:eastAsia="宋体" w:cs="宋体"/>
                <w:color w:val="auto"/>
                <w:sz w:val="21"/>
                <w:szCs w:val="21"/>
                <w:lang w:val="en-US" w:eastAsia="zh-CN"/>
              </w:rPr>
              <w:t>建设单位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6其它材料(如开工令、安全承诺、进度计划、初验申请)</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承建单位</w:t>
            </w:r>
            <w:r>
              <w:rPr>
                <w:rFonts w:hint="eastAsia" w:ascii="宋体" w:hAnsi="宋体" w:eastAsia="宋体" w:cs="宋体"/>
                <w:color w:val="auto"/>
                <w:sz w:val="21"/>
                <w:szCs w:val="21"/>
              </w:rPr>
              <w:t>盖章)—如有</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十、第三方测试报告</w:t>
            </w:r>
            <w:r>
              <w:rPr>
                <w:rFonts w:hint="eastAsia" w:ascii="宋体" w:hAnsi="宋体" w:eastAsia="宋体" w:cs="宋体"/>
                <w:color w:val="auto"/>
                <w:sz w:val="21"/>
                <w:szCs w:val="21"/>
                <w:lang w:val="en-US" w:eastAsia="zh-CN"/>
              </w:rPr>
              <w:t>(如涉及网络建设或网络安全设备采购)</w:t>
            </w: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1检测公司资质及检测范围证明材料（</w:t>
            </w:r>
            <w:r>
              <w:rPr>
                <w:rFonts w:hint="eastAsia" w:ascii="宋体" w:hAnsi="宋体" w:eastAsia="宋体" w:cs="宋体"/>
                <w:color w:val="auto"/>
                <w:sz w:val="21"/>
                <w:szCs w:val="21"/>
                <w:lang w:val="en-US" w:eastAsia="zh-CN"/>
              </w:rPr>
              <w:t>检测公司盖章</w:t>
            </w: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2测试合同</w:t>
            </w:r>
            <w:r>
              <w:rPr>
                <w:rFonts w:hint="eastAsia" w:ascii="宋体" w:hAnsi="宋体" w:eastAsia="宋体" w:cs="宋体"/>
                <w:color w:val="auto"/>
                <w:sz w:val="21"/>
                <w:szCs w:val="21"/>
                <w:lang w:val="en-US" w:eastAsia="zh-CN"/>
              </w:rPr>
              <w:t>(必须是建设单位与检测公司签)（复印件加盖建设单位红章）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3第三方测试报告（</w:t>
            </w:r>
            <w:r>
              <w:rPr>
                <w:rFonts w:hint="eastAsia" w:ascii="宋体" w:hAnsi="宋体" w:eastAsia="宋体" w:cs="宋体"/>
                <w:color w:val="auto"/>
                <w:sz w:val="21"/>
                <w:szCs w:val="21"/>
                <w:lang w:val="en-US" w:eastAsia="zh-CN"/>
              </w:rPr>
              <w:t>检测公司盖章</w:t>
            </w:r>
            <w:r>
              <w:rPr>
                <w:rFonts w:hint="eastAsia" w:ascii="宋体" w:hAnsi="宋体" w:eastAsia="宋体" w:cs="宋体"/>
                <w:color w:val="auto"/>
                <w:sz w:val="21"/>
                <w:szCs w:val="21"/>
              </w:rPr>
              <w:t xml:space="preserve">） </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4其它材料（建设单位盖章）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十一、监理报告</w:t>
            </w:r>
            <w:r>
              <w:rPr>
                <w:rFonts w:hint="eastAsia" w:ascii="宋体" w:hAnsi="宋体" w:eastAsia="宋体" w:cs="宋体"/>
                <w:color w:val="auto"/>
                <w:sz w:val="21"/>
                <w:szCs w:val="21"/>
                <w:lang w:val="en-US" w:eastAsia="zh-CN"/>
              </w:rPr>
              <w:t>(如有监理)</w:t>
            </w: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1监理总结报告(</w:t>
            </w:r>
            <w:r>
              <w:rPr>
                <w:rFonts w:hint="eastAsia" w:ascii="宋体" w:hAnsi="宋体" w:eastAsia="宋体" w:cs="宋体"/>
                <w:color w:val="auto"/>
                <w:sz w:val="21"/>
                <w:szCs w:val="21"/>
                <w:lang w:eastAsia="zh-CN"/>
              </w:rPr>
              <w:t>监理单位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监理大纲和监理规划文件</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监理单位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3监理过程文件（</w:t>
            </w:r>
            <w:r>
              <w:rPr>
                <w:rFonts w:hint="eastAsia" w:ascii="宋体" w:hAnsi="宋体" w:eastAsia="宋体" w:cs="宋体"/>
                <w:color w:val="auto"/>
                <w:sz w:val="21"/>
                <w:szCs w:val="21"/>
                <w:lang w:eastAsia="zh-CN"/>
              </w:rPr>
              <w:t>月报</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周报等</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监理单位签字</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初步验收监理意见报告(</w:t>
            </w:r>
            <w:r>
              <w:rPr>
                <w:rFonts w:hint="eastAsia" w:ascii="宋体" w:hAnsi="宋体" w:eastAsia="宋体" w:cs="宋体"/>
                <w:color w:val="auto"/>
                <w:sz w:val="21"/>
                <w:szCs w:val="21"/>
                <w:lang w:eastAsia="zh-CN"/>
              </w:rPr>
              <w:t>监理单位签字</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 w:hRule="atLeast"/>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5其它材料（</w:t>
            </w:r>
            <w:r>
              <w:rPr>
                <w:rFonts w:hint="eastAsia" w:ascii="宋体" w:hAnsi="宋体" w:eastAsia="宋体" w:cs="宋体"/>
                <w:color w:val="auto"/>
                <w:sz w:val="21"/>
                <w:szCs w:val="21"/>
                <w:lang w:eastAsia="zh-CN"/>
              </w:rPr>
              <w:t>监理单位</w:t>
            </w:r>
            <w:r>
              <w:rPr>
                <w:rFonts w:hint="eastAsia" w:ascii="宋体" w:hAnsi="宋体" w:eastAsia="宋体" w:cs="宋体"/>
                <w:color w:val="auto"/>
                <w:sz w:val="21"/>
                <w:szCs w:val="21"/>
              </w:rPr>
              <w:t>盖章</w:t>
            </w:r>
            <w:r>
              <w:rPr>
                <w:rFonts w:hint="eastAsia" w:ascii="宋体" w:hAnsi="宋体" w:eastAsia="宋体" w:cs="宋体"/>
                <w:color w:val="auto"/>
                <w:sz w:val="21"/>
                <w:szCs w:val="21"/>
                <w:lang w:val="en-US" w:eastAsia="zh-CN"/>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 w:hRule="atLeast"/>
          <w:jc w:val="center"/>
        </w:trPr>
        <w:tc>
          <w:tcPr>
            <w:tcW w:w="0" w:type="auto"/>
            <w:vMerge w:val="restart"/>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十二、终验阶段</w:t>
            </w: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1初验报告</w:t>
            </w:r>
            <w:r>
              <w:rPr>
                <w:rFonts w:hint="eastAsia" w:ascii="宋体" w:hAnsi="宋体" w:eastAsia="宋体" w:cs="宋体"/>
                <w:color w:val="auto"/>
                <w:sz w:val="21"/>
                <w:szCs w:val="21"/>
              </w:rPr>
              <w:t>——如有</w:t>
            </w:r>
            <w:r>
              <w:rPr>
                <w:rFonts w:hint="eastAsia" w:ascii="宋体" w:hAnsi="宋体" w:eastAsia="宋体" w:cs="宋体"/>
                <w:color w:val="auto"/>
                <w:sz w:val="21"/>
                <w:szCs w:val="21"/>
                <w:lang w:val="en-US" w:eastAsia="zh-CN"/>
              </w:rPr>
              <w:t>（建设单位盖章）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 w:hRule="atLeast"/>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eastAsia="zh-CN"/>
              </w:rPr>
            </w:pPr>
          </w:p>
        </w:tc>
        <w:tc>
          <w:tcPr>
            <w:tcW w:w="0" w:type="auto"/>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2移交清单（建设单位和承建单位盖章）(复印件加盖建设单位红章)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 w:hRule="atLeast"/>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3终验申请</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承建单位</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 w:hRule="atLeast"/>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4监理验收意见</w:t>
            </w:r>
            <w:r>
              <w:rPr>
                <w:rFonts w:hint="eastAsia" w:ascii="宋体" w:hAnsi="宋体" w:eastAsia="宋体" w:cs="宋体"/>
                <w:color w:val="auto"/>
                <w:sz w:val="21"/>
                <w:szCs w:val="21"/>
              </w:rPr>
              <w:t>——如有(</w:t>
            </w:r>
            <w:r>
              <w:rPr>
                <w:rFonts w:hint="eastAsia" w:ascii="宋体" w:hAnsi="宋体" w:eastAsia="宋体" w:cs="宋体"/>
                <w:color w:val="auto"/>
                <w:sz w:val="21"/>
                <w:szCs w:val="21"/>
                <w:lang w:eastAsia="zh-CN"/>
              </w:rPr>
              <w:t>监理单位签字</w:t>
            </w:r>
            <w:r>
              <w:rPr>
                <w:rFonts w:hint="eastAsia" w:ascii="宋体" w:hAnsi="宋体" w:eastAsia="宋体" w:cs="宋体"/>
                <w:color w:val="auto"/>
                <w:sz w:val="21"/>
                <w:szCs w:val="21"/>
              </w:rPr>
              <w:t>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 w:hRule="atLeast"/>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5终验报告（意见）（相关参验单位签字盖章）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 w:hRule="atLeast"/>
          <w:jc w:val="center"/>
        </w:trPr>
        <w:tc>
          <w:tcPr>
            <w:tcW w:w="0" w:type="auto"/>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6其它材料（如终验邀请函，</w:t>
            </w:r>
            <w:r>
              <w:rPr>
                <w:rFonts w:hint="eastAsia" w:ascii="宋体" w:hAnsi="宋体" w:eastAsia="宋体" w:cs="宋体"/>
                <w:color w:val="auto"/>
                <w:sz w:val="21"/>
                <w:szCs w:val="21"/>
              </w:rPr>
              <w:t>—如有</w:t>
            </w:r>
            <w:r>
              <w:rPr>
                <w:rFonts w:hint="eastAsia" w:ascii="宋体" w:hAnsi="宋体" w:eastAsia="宋体" w:cs="宋体"/>
                <w:color w:val="auto"/>
                <w:sz w:val="21"/>
                <w:szCs w:val="21"/>
                <w:lang w:val="en-US" w:eastAsia="zh-CN"/>
              </w:rPr>
              <w:t>）（建设单位盖章）</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p>
        </w:tc>
      </w:tr>
    </w:tbl>
    <w:p>
      <w:pPr>
        <w:pStyle w:val="3"/>
        <w:bidi w:val="0"/>
        <w:rPr>
          <w:rFonts w:hint="default"/>
          <w:lang w:val="en-US" w:eastAsia="zh-CN"/>
        </w:rPr>
      </w:pPr>
      <w:bookmarkStart w:id="768" w:name="_Toc26289"/>
      <w:bookmarkStart w:id="769" w:name="_Toc17363"/>
      <w:bookmarkStart w:id="770" w:name="_Toc16593"/>
      <w:bookmarkStart w:id="771" w:name="_Toc5268"/>
      <w:r>
        <w:rPr>
          <w:rFonts w:hint="eastAsia"/>
          <w:lang w:val="en-US" w:eastAsia="zh-CN"/>
        </w:rPr>
        <w:t>验收标准</w:t>
      </w:r>
      <w:bookmarkEnd w:id="768"/>
      <w:bookmarkEnd w:id="769"/>
      <w:bookmarkEnd w:id="770"/>
      <w:bookmarkEnd w:id="771"/>
    </w:p>
    <w:p>
      <w:pPr>
        <w:rPr>
          <w:rFonts w:hint="default"/>
          <w:lang w:val="en-US" w:eastAsia="zh-CN"/>
        </w:rPr>
      </w:pPr>
      <w:r>
        <w:rPr>
          <w:rFonts w:hint="default"/>
          <w:lang w:val="en-US" w:eastAsia="zh-CN"/>
        </w:rPr>
        <w:t>1. 功能性标准</w:t>
      </w:r>
      <w:r>
        <w:rPr>
          <w:rFonts w:hint="eastAsia"/>
          <w:lang w:val="en-US" w:eastAsia="zh-CN"/>
        </w:rPr>
        <w:t>：</w:t>
      </w:r>
      <w:r>
        <w:rPr>
          <w:rFonts w:hint="default"/>
          <w:lang w:val="en-US" w:eastAsia="zh-CN"/>
        </w:rPr>
        <w:t>系统的功能是否与需求一致，功能是否完整，是否满足用户的操作需求。</w:t>
      </w:r>
    </w:p>
    <w:p>
      <w:pPr>
        <w:rPr>
          <w:rFonts w:hint="default"/>
          <w:lang w:val="en-US" w:eastAsia="zh-CN"/>
        </w:rPr>
      </w:pPr>
      <w:r>
        <w:rPr>
          <w:rFonts w:hint="default"/>
          <w:lang w:val="en-US" w:eastAsia="zh-CN"/>
        </w:rPr>
        <w:t>2. 数据准确性标准</w:t>
      </w:r>
      <w:r>
        <w:rPr>
          <w:rFonts w:hint="eastAsia"/>
          <w:lang w:val="en-US" w:eastAsia="zh-CN"/>
        </w:rPr>
        <w:t>：</w:t>
      </w:r>
      <w:r>
        <w:rPr>
          <w:rFonts w:hint="default"/>
          <w:lang w:val="en-US" w:eastAsia="zh-CN"/>
        </w:rPr>
        <w:t>系统中的数据是否准确无误，数据库的操作是否正常。</w:t>
      </w:r>
    </w:p>
    <w:p>
      <w:pPr>
        <w:rPr>
          <w:rFonts w:hint="default"/>
          <w:lang w:val="en-US" w:eastAsia="zh-CN"/>
        </w:rPr>
      </w:pPr>
      <w:r>
        <w:rPr>
          <w:rFonts w:hint="default"/>
          <w:lang w:val="en-US" w:eastAsia="zh-CN"/>
        </w:rPr>
        <w:t>3. 性能标准</w:t>
      </w:r>
      <w:r>
        <w:rPr>
          <w:rFonts w:hint="eastAsia"/>
          <w:lang w:val="en-US" w:eastAsia="zh-CN"/>
        </w:rPr>
        <w:t>：</w:t>
      </w:r>
      <w:r>
        <w:rPr>
          <w:rFonts w:hint="default"/>
          <w:lang w:val="en-US" w:eastAsia="zh-CN"/>
        </w:rPr>
        <w:t>系统的性能是否稳定，响应时间是否在合理范围内，能否满足预期的并发能力。</w:t>
      </w:r>
    </w:p>
    <w:p>
      <w:pPr>
        <w:rPr>
          <w:rFonts w:hint="default"/>
          <w:lang w:val="en-US" w:eastAsia="zh-CN"/>
        </w:rPr>
      </w:pPr>
      <w:r>
        <w:rPr>
          <w:rFonts w:hint="default"/>
          <w:lang w:val="en-US" w:eastAsia="zh-CN"/>
        </w:rPr>
        <w:t>4. 安全性标准</w:t>
      </w:r>
      <w:r>
        <w:rPr>
          <w:rFonts w:hint="eastAsia"/>
          <w:lang w:val="en-US" w:eastAsia="zh-CN"/>
        </w:rPr>
        <w:t>：</w:t>
      </w:r>
      <w:r>
        <w:rPr>
          <w:rFonts w:hint="default"/>
          <w:lang w:val="en-US" w:eastAsia="zh-CN"/>
        </w:rPr>
        <w:t>系统是否具备足够的安全性能，是否能保护用户数据的安全与机密。</w:t>
      </w:r>
    </w:p>
    <w:p>
      <w:pPr>
        <w:rPr>
          <w:rFonts w:hint="default"/>
          <w:lang w:val="en-US" w:eastAsia="zh-CN"/>
        </w:rPr>
      </w:pPr>
      <w:r>
        <w:rPr>
          <w:rFonts w:hint="default"/>
          <w:lang w:val="en-US" w:eastAsia="zh-CN"/>
        </w:rPr>
        <w:t>5. 易用性标准</w:t>
      </w:r>
      <w:r>
        <w:rPr>
          <w:rFonts w:hint="eastAsia"/>
          <w:lang w:val="en-US" w:eastAsia="zh-CN"/>
        </w:rPr>
        <w:t>：</w:t>
      </w:r>
      <w:r>
        <w:rPr>
          <w:rFonts w:hint="default"/>
          <w:lang w:val="en-US" w:eastAsia="zh-CN"/>
        </w:rPr>
        <w:t>系统的界面是否简洁明了，操作是否方便快捷，是否符合用户的使用习惯。</w:t>
      </w:r>
    </w:p>
    <w:p>
      <w:pPr>
        <w:pStyle w:val="3"/>
        <w:bidi w:val="0"/>
        <w:rPr>
          <w:rFonts w:hint="default"/>
          <w:lang w:val="en-US" w:eastAsia="zh-CN"/>
        </w:rPr>
      </w:pPr>
      <w:bookmarkStart w:id="772" w:name="_Toc30018"/>
      <w:bookmarkStart w:id="773" w:name="_Toc2506"/>
      <w:bookmarkStart w:id="774" w:name="_Toc17485"/>
      <w:bookmarkStart w:id="775" w:name="_Toc10837"/>
      <w:r>
        <w:rPr>
          <w:rFonts w:hint="eastAsia"/>
          <w:lang w:val="en-US" w:eastAsia="zh-CN"/>
        </w:rPr>
        <w:t>项目交付</w:t>
      </w:r>
      <w:bookmarkEnd w:id="772"/>
      <w:bookmarkEnd w:id="773"/>
      <w:bookmarkEnd w:id="774"/>
      <w:bookmarkEnd w:id="775"/>
    </w:p>
    <w:p>
      <w:pPr>
        <w:rPr>
          <w:rFonts w:hint="eastAsia"/>
          <w:lang w:val="en-US" w:eastAsia="zh-CN"/>
        </w:rPr>
      </w:pPr>
      <w:r>
        <w:rPr>
          <w:rFonts w:hint="default"/>
          <w:lang w:val="en-US" w:eastAsia="zh-CN"/>
        </w:rPr>
        <w:t>按照《珠海市斗门区政务信息化项目验收管理实施细则（修订）》的综合验收通过后，系统正式交付用户，最终交付时间为每个系统平台正式交付用户使用的时间。</w:t>
      </w:r>
      <w:r>
        <w:rPr>
          <w:rFonts w:hint="eastAsia"/>
          <w:lang w:val="en-US" w:eastAsia="zh-CN"/>
        </w:rPr>
        <w:t>交付内容包括但不限于：</w:t>
      </w:r>
    </w:p>
    <w:p>
      <w:pPr>
        <w:rPr>
          <w:rFonts w:hint="default"/>
          <w:lang w:val="en-US" w:eastAsia="zh-CN"/>
        </w:rPr>
      </w:pPr>
      <w:r>
        <w:rPr>
          <w:rFonts w:hint="default"/>
          <w:lang w:val="en-US" w:eastAsia="zh-CN"/>
        </w:rPr>
        <w:t>一、项目基础性文档</w:t>
      </w:r>
    </w:p>
    <w:p>
      <w:pPr>
        <w:rPr>
          <w:rFonts w:hint="default"/>
          <w:lang w:val="en-US" w:eastAsia="zh-CN"/>
        </w:rPr>
      </w:pPr>
      <w:r>
        <w:rPr>
          <w:rFonts w:hint="default"/>
          <w:lang w:val="en-US" w:eastAsia="zh-CN"/>
        </w:rPr>
        <w:t>项目合同与计划书</w:t>
      </w:r>
      <w:r>
        <w:rPr>
          <w:rFonts w:hint="eastAsia"/>
          <w:lang w:val="en-US" w:eastAsia="zh-CN"/>
        </w:rPr>
        <w:t>；</w:t>
      </w:r>
    </w:p>
    <w:p>
      <w:pPr>
        <w:rPr>
          <w:rFonts w:hint="default"/>
          <w:lang w:val="en-US" w:eastAsia="zh-CN"/>
        </w:rPr>
      </w:pPr>
      <w:r>
        <w:rPr>
          <w:rFonts w:hint="default"/>
          <w:lang w:val="en-US" w:eastAsia="zh-CN"/>
        </w:rPr>
        <w:t>原始合同及补充协议（含验收依据条款）</w:t>
      </w:r>
      <w:r>
        <w:rPr>
          <w:rFonts w:hint="eastAsia"/>
          <w:lang w:val="en-US" w:eastAsia="zh-CN"/>
        </w:rPr>
        <w:t>；</w:t>
      </w:r>
    </w:p>
    <w:p>
      <w:pPr>
        <w:rPr>
          <w:rFonts w:hint="default"/>
          <w:lang w:val="en-US" w:eastAsia="zh-CN"/>
        </w:rPr>
      </w:pPr>
      <w:r>
        <w:rPr>
          <w:rFonts w:hint="default"/>
          <w:lang w:val="en-US" w:eastAsia="zh-CN"/>
        </w:rPr>
        <w:t>项目计划书（目标、范围、进度、资源计划）</w:t>
      </w:r>
      <w:r>
        <w:rPr>
          <w:rFonts w:hint="eastAsia"/>
          <w:lang w:val="en-US" w:eastAsia="zh-CN"/>
        </w:rPr>
        <w:t>。</w:t>
      </w:r>
    </w:p>
    <w:p>
      <w:pPr>
        <w:rPr>
          <w:rFonts w:hint="default"/>
          <w:lang w:val="en-US" w:eastAsia="zh-CN"/>
        </w:rPr>
      </w:pPr>
      <w:r>
        <w:rPr>
          <w:rFonts w:hint="eastAsia"/>
          <w:lang w:val="en-US" w:eastAsia="zh-CN"/>
        </w:rPr>
        <w:t>二、</w:t>
      </w:r>
      <w:r>
        <w:rPr>
          <w:rFonts w:hint="default"/>
          <w:lang w:val="en-US" w:eastAsia="zh-CN"/>
        </w:rPr>
        <w:t>资质与管理制度</w:t>
      </w:r>
    </w:p>
    <w:p>
      <w:pPr>
        <w:rPr>
          <w:rFonts w:hint="default"/>
          <w:lang w:val="en-US" w:eastAsia="zh-CN"/>
        </w:rPr>
      </w:pPr>
      <w:r>
        <w:rPr>
          <w:rFonts w:hint="default"/>
          <w:lang w:val="en-US" w:eastAsia="zh-CN"/>
        </w:rPr>
        <w:t>实施单位施工资质证书</w:t>
      </w:r>
      <w:r>
        <w:rPr>
          <w:rFonts w:hint="eastAsia"/>
          <w:lang w:val="en-US" w:eastAsia="zh-CN"/>
        </w:rPr>
        <w:t>；</w:t>
      </w:r>
    </w:p>
    <w:p>
      <w:pPr>
        <w:rPr>
          <w:rFonts w:hint="default"/>
          <w:lang w:val="en-US" w:eastAsia="zh-CN"/>
        </w:rPr>
      </w:pPr>
      <w:r>
        <w:rPr>
          <w:rFonts w:hint="default"/>
          <w:lang w:val="en-US" w:eastAsia="zh-CN"/>
        </w:rPr>
        <w:t>项目经理委任书及资格证书</w:t>
      </w:r>
      <w:r>
        <w:rPr>
          <w:rFonts w:hint="eastAsia"/>
          <w:lang w:val="en-US" w:eastAsia="zh-CN"/>
        </w:rPr>
        <w:t>；</w:t>
      </w:r>
    </w:p>
    <w:p>
      <w:pPr>
        <w:rPr>
          <w:rFonts w:hint="default"/>
          <w:lang w:val="en-US" w:eastAsia="zh-CN"/>
        </w:rPr>
      </w:pPr>
      <w:r>
        <w:rPr>
          <w:rFonts w:hint="default"/>
          <w:lang w:val="en-US" w:eastAsia="zh-CN"/>
        </w:rPr>
        <w:t>项目人员保密协议</w:t>
      </w:r>
      <w:r>
        <w:rPr>
          <w:rFonts w:hint="eastAsia"/>
          <w:lang w:val="en-US" w:eastAsia="zh-CN"/>
        </w:rPr>
        <w:t>。</w:t>
      </w:r>
    </w:p>
    <w:p>
      <w:pPr>
        <w:rPr>
          <w:rFonts w:hint="default"/>
          <w:lang w:val="en-US" w:eastAsia="zh-CN"/>
        </w:rPr>
      </w:pPr>
      <w:r>
        <w:rPr>
          <w:rFonts w:hint="eastAsia"/>
          <w:lang w:val="en-US" w:eastAsia="zh-CN"/>
        </w:rPr>
        <w:t>三</w:t>
      </w:r>
      <w:r>
        <w:rPr>
          <w:rFonts w:hint="default"/>
          <w:lang w:val="en-US" w:eastAsia="zh-CN"/>
        </w:rPr>
        <w:t>、技术设计文档</w:t>
      </w:r>
    </w:p>
    <w:p>
      <w:pPr>
        <w:rPr>
          <w:rFonts w:hint="eastAsia"/>
          <w:lang w:val="en-US" w:eastAsia="zh-CN"/>
        </w:rPr>
      </w:pPr>
      <w:r>
        <w:rPr>
          <w:rFonts w:hint="eastAsia"/>
          <w:lang w:val="en-US" w:eastAsia="zh-CN"/>
        </w:rPr>
        <w:t>项目实施方案；</w:t>
      </w:r>
    </w:p>
    <w:p>
      <w:pPr>
        <w:rPr>
          <w:rFonts w:hint="default"/>
          <w:lang w:val="en-US" w:eastAsia="zh-CN"/>
        </w:rPr>
      </w:pPr>
      <w:r>
        <w:rPr>
          <w:rFonts w:hint="default"/>
          <w:lang w:val="en-US" w:eastAsia="zh-CN"/>
        </w:rPr>
        <w:t>需求与设计规范</w:t>
      </w:r>
      <w:r>
        <w:rPr>
          <w:rFonts w:hint="eastAsia"/>
          <w:lang w:val="en-US" w:eastAsia="zh-CN"/>
        </w:rPr>
        <w:t>；</w:t>
      </w:r>
    </w:p>
    <w:p>
      <w:pPr>
        <w:rPr>
          <w:rFonts w:hint="default"/>
          <w:lang w:val="en-US" w:eastAsia="zh-CN"/>
        </w:rPr>
      </w:pPr>
      <w:r>
        <w:rPr>
          <w:rFonts w:hint="default"/>
          <w:lang w:val="en-US" w:eastAsia="zh-CN"/>
        </w:rPr>
        <w:t>需求规格说明书（客户需求与验收依据）</w:t>
      </w:r>
      <w:r>
        <w:rPr>
          <w:rFonts w:hint="eastAsia"/>
          <w:lang w:val="en-US" w:eastAsia="zh-CN"/>
        </w:rPr>
        <w:t>；</w:t>
      </w:r>
    </w:p>
    <w:p>
      <w:pPr>
        <w:rPr>
          <w:rFonts w:hint="default"/>
          <w:lang w:val="en-US" w:eastAsia="zh-CN"/>
        </w:rPr>
      </w:pPr>
      <w:r>
        <w:rPr>
          <w:rFonts w:hint="default"/>
          <w:lang w:val="en-US" w:eastAsia="zh-CN"/>
        </w:rPr>
        <w:t>系统架构设计文档（架构图、流程图）</w:t>
      </w:r>
      <w:r>
        <w:rPr>
          <w:rFonts w:hint="eastAsia"/>
          <w:lang w:val="en-US" w:eastAsia="zh-CN"/>
        </w:rPr>
        <w:t>；</w:t>
      </w:r>
    </w:p>
    <w:p>
      <w:pPr>
        <w:rPr>
          <w:rFonts w:hint="default"/>
          <w:lang w:val="en-US" w:eastAsia="zh-CN"/>
        </w:rPr>
      </w:pPr>
      <w:r>
        <w:rPr>
          <w:rFonts w:hint="default"/>
          <w:lang w:val="en-US" w:eastAsia="zh-CN"/>
        </w:rPr>
        <w:t>数据库设计与接口文档</w:t>
      </w:r>
      <w:r>
        <w:rPr>
          <w:rFonts w:hint="eastAsia"/>
          <w:lang w:val="en-US" w:eastAsia="zh-CN"/>
        </w:rPr>
        <w:t>。</w:t>
      </w:r>
    </w:p>
    <w:p>
      <w:pPr>
        <w:rPr>
          <w:rFonts w:hint="default"/>
          <w:lang w:val="en-US" w:eastAsia="zh-CN"/>
        </w:rPr>
      </w:pPr>
      <w:r>
        <w:rPr>
          <w:rFonts w:hint="eastAsia"/>
          <w:lang w:val="en-US" w:eastAsia="zh-CN"/>
        </w:rPr>
        <w:t>四、</w:t>
      </w:r>
      <w:r>
        <w:rPr>
          <w:rFonts w:hint="default"/>
          <w:lang w:val="en-US" w:eastAsia="zh-CN"/>
        </w:rPr>
        <w:t>实施过程文件</w:t>
      </w:r>
    </w:p>
    <w:p>
      <w:pPr>
        <w:rPr>
          <w:rFonts w:hint="default"/>
          <w:lang w:val="en-US" w:eastAsia="zh-CN"/>
        </w:rPr>
      </w:pPr>
      <w:r>
        <w:rPr>
          <w:rFonts w:hint="default"/>
          <w:lang w:val="en-US" w:eastAsia="zh-CN"/>
        </w:rPr>
        <w:t>施工组织设计方案</w:t>
      </w:r>
      <w:r>
        <w:rPr>
          <w:rFonts w:hint="eastAsia"/>
          <w:lang w:val="en-US" w:eastAsia="zh-CN"/>
        </w:rPr>
        <w:t>；</w:t>
      </w:r>
    </w:p>
    <w:p>
      <w:pPr>
        <w:rPr>
          <w:rFonts w:hint="default"/>
          <w:lang w:val="en-US" w:eastAsia="zh-CN"/>
        </w:rPr>
      </w:pPr>
      <w:r>
        <w:rPr>
          <w:rFonts w:hint="default"/>
          <w:lang w:val="en-US" w:eastAsia="zh-CN"/>
        </w:rPr>
        <w:t>部署文档（安装配置流程、数据迁移指南）</w:t>
      </w:r>
      <w:r>
        <w:rPr>
          <w:rFonts w:hint="eastAsia"/>
          <w:lang w:val="en-US" w:eastAsia="zh-CN"/>
        </w:rPr>
        <w:t>。</w:t>
      </w:r>
    </w:p>
    <w:p>
      <w:pPr>
        <w:rPr>
          <w:rFonts w:hint="default"/>
          <w:lang w:val="en-US" w:eastAsia="zh-CN"/>
        </w:rPr>
      </w:pPr>
      <w:r>
        <w:rPr>
          <w:rFonts w:hint="eastAsia"/>
          <w:lang w:val="en-US" w:eastAsia="zh-CN"/>
        </w:rPr>
        <w:t>五</w:t>
      </w:r>
      <w:r>
        <w:rPr>
          <w:rFonts w:hint="default"/>
          <w:lang w:val="en-US" w:eastAsia="zh-CN"/>
        </w:rPr>
        <w:t>、测试与验证文档</w:t>
      </w:r>
    </w:p>
    <w:p>
      <w:pPr>
        <w:rPr>
          <w:rFonts w:hint="default"/>
          <w:lang w:val="en-US" w:eastAsia="zh-CN"/>
        </w:rPr>
      </w:pPr>
      <w:r>
        <w:rPr>
          <w:rFonts w:hint="default"/>
          <w:lang w:val="en-US" w:eastAsia="zh-CN"/>
        </w:rPr>
        <w:t>测试全流程记录</w:t>
      </w:r>
      <w:r>
        <w:rPr>
          <w:rFonts w:hint="eastAsia"/>
          <w:lang w:val="en-US" w:eastAsia="zh-CN"/>
        </w:rPr>
        <w:t>；</w:t>
      </w:r>
    </w:p>
    <w:p>
      <w:pPr>
        <w:rPr>
          <w:rFonts w:hint="default"/>
          <w:lang w:val="en-US" w:eastAsia="zh-CN"/>
        </w:rPr>
      </w:pPr>
      <w:r>
        <w:rPr>
          <w:rFonts w:hint="default"/>
          <w:lang w:val="en-US" w:eastAsia="zh-CN"/>
        </w:rPr>
        <w:t>测试计划、用例及报告（覆盖单元、集成、系统测试）</w:t>
      </w:r>
      <w:r>
        <w:rPr>
          <w:rFonts w:hint="eastAsia"/>
          <w:lang w:val="en-US" w:eastAsia="zh-CN"/>
        </w:rPr>
        <w:t>；</w:t>
      </w:r>
    </w:p>
    <w:p>
      <w:pPr>
        <w:rPr>
          <w:rFonts w:hint="default"/>
          <w:lang w:val="en-US" w:eastAsia="zh-CN"/>
        </w:rPr>
      </w:pPr>
      <w:r>
        <w:rPr>
          <w:rFonts w:hint="default"/>
          <w:lang w:val="en-US" w:eastAsia="zh-CN"/>
        </w:rPr>
        <w:t>性能测试报告（响应时间、并发能力等指标）</w:t>
      </w:r>
      <w:r>
        <w:rPr>
          <w:rFonts w:hint="eastAsia"/>
          <w:lang w:val="en-US" w:eastAsia="zh-CN"/>
        </w:rPr>
        <w:t>。</w:t>
      </w:r>
    </w:p>
    <w:p>
      <w:pPr>
        <w:rPr>
          <w:rFonts w:hint="default"/>
          <w:lang w:val="en-US" w:eastAsia="zh-CN"/>
        </w:rPr>
      </w:pPr>
      <w:r>
        <w:rPr>
          <w:rFonts w:hint="eastAsia"/>
          <w:lang w:val="en-US" w:eastAsia="zh-CN"/>
        </w:rPr>
        <w:t>六、</w:t>
      </w:r>
      <w:r>
        <w:rPr>
          <w:rFonts w:hint="default"/>
          <w:lang w:val="en-US" w:eastAsia="zh-CN"/>
        </w:rPr>
        <w:t>问题跟踪清单</w:t>
      </w:r>
    </w:p>
    <w:p>
      <w:pPr>
        <w:rPr>
          <w:rFonts w:hint="default"/>
          <w:lang w:val="en-US" w:eastAsia="zh-CN"/>
        </w:rPr>
      </w:pPr>
      <w:r>
        <w:rPr>
          <w:rFonts w:hint="default"/>
          <w:lang w:val="en-US" w:eastAsia="zh-CN"/>
        </w:rPr>
        <w:t>缺陷记录表与修复验证结果</w:t>
      </w:r>
      <w:r>
        <w:rPr>
          <w:rFonts w:hint="eastAsia"/>
          <w:lang w:val="en-US" w:eastAsia="zh-CN"/>
        </w:rPr>
        <w:t>。</w:t>
      </w:r>
    </w:p>
    <w:p>
      <w:pPr>
        <w:rPr>
          <w:rFonts w:hint="default"/>
          <w:lang w:val="en-US" w:eastAsia="zh-CN"/>
        </w:rPr>
      </w:pPr>
      <w:r>
        <w:rPr>
          <w:rFonts w:hint="eastAsia"/>
          <w:lang w:val="en-US" w:eastAsia="zh-CN"/>
        </w:rPr>
        <w:t>七</w:t>
      </w:r>
      <w:r>
        <w:rPr>
          <w:rFonts w:hint="default"/>
          <w:lang w:val="en-US" w:eastAsia="zh-CN"/>
        </w:rPr>
        <w:t>、交付与用户支持文档</w:t>
      </w:r>
    </w:p>
    <w:p>
      <w:pPr>
        <w:rPr>
          <w:rFonts w:hint="default"/>
          <w:lang w:val="en-US" w:eastAsia="zh-CN"/>
        </w:rPr>
      </w:pPr>
      <w:r>
        <w:rPr>
          <w:rFonts w:hint="default"/>
          <w:lang w:val="en-US" w:eastAsia="zh-CN"/>
        </w:rPr>
        <w:t>交付物清单与标准</w:t>
      </w:r>
      <w:r>
        <w:rPr>
          <w:rFonts w:hint="eastAsia"/>
          <w:lang w:val="en-US" w:eastAsia="zh-CN"/>
        </w:rPr>
        <w:t>；</w:t>
      </w:r>
    </w:p>
    <w:p>
      <w:pPr>
        <w:rPr>
          <w:rFonts w:hint="default"/>
          <w:lang w:val="en-US" w:eastAsia="zh-CN"/>
        </w:rPr>
      </w:pPr>
      <w:r>
        <w:rPr>
          <w:rFonts w:hint="default"/>
          <w:lang w:val="en-US" w:eastAsia="zh-CN"/>
        </w:rPr>
        <w:t>交付物明细表（软件、硬件、文档的规格与版本）</w:t>
      </w:r>
      <w:r>
        <w:rPr>
          <w:rFonts w:hint="eastAsia"/>
          <w:lang w:val="en-US" w:eastAsia="zh-CN"/>
        </w:rPr>
        <w:t>；</w:t>
      </w:r>
    </w:p>
    <w:p>
      <w:pPr>
        <w:rPr>
          <w:rFonts w:hint="default"/>
          <w:lang w:val="en-US" w:eastAsia="zh-CN"/>
        </w:rPr>
      </w:pPr>
      <w:r>
        <w:rPr>
          <w:rFonts w:hint="default"/>
          <w:lang w:val="en-US" w:eastAsia="zh-CN"/>
        </w:rPr>
        <w:t>交付验收标准（功能性、合规性、安全性要求）</w:t>
      </w:r>
      <w:r>
        <w:rPr>
          <w:rFonts w:hint="eastAsia"/>
          <w:lang w:val="en-US" w:eastAsia="zh-CN"/>
        </w:rPr>
        <w:t>。</w:t>
      </w:r>
    </w:p>
    <w:p>
      <w:pPr>
        <w:rPr>
          <w:rFonts w:hint="default"/>
          <w:lang w:val="en-US" w:eastAsia="zh-CN"/>
        </w:rPr>
      </w:pPr>
      <w:r>
        <w:rPr>
          <w:rFonts w:hint="eastAsia"/>
          <w:lang w:val="en-US" w:eastAsia="zh-CN"/>
        </w:rPr>
        <w:t>八、</w:t>
      </w:r>
      <w:r>
        <w:rPr>
          <w:rFonts w:hint="default"/>
          <w:lang w:val="en-US" w:eastAsia="zh-CN"/>
        </w:rPr>
        <w:t>用户操作指南</w:t>
      </w:r>
    </w:p>
    <w:p>
      <w:pPr>
        <w:rPr>
          <w:rFonts w:hint="default"/>
          <w:lang w:val="en-US" w:eastAsia="zh-CN"/>
        </w:rPr>
      </w:pPr>
      <w:r>
        <w:rPr>
          <w:rFonts w:hint="default"/>
          <w:lang w:val="en-US" w:eastAsia="zh-CN"/>
        </w:rPr>
        <w:t>用户手册（功能说明、操作步骤）</w:t>
      </w:r>
      <w:r>
        <w:rPr>
          <w:rFonts w:hint="eastAsia"/>
          <w:lang w:val="en-US" w:eastAsia="zh-CN"/>
        </w:rPr>
        <w:t>；</w:t>
      </w:r>
    </w:p>
    <w:p>
      <w:pPr>
        <w:rPr>
          <w:rFonts w:hint="default"/>
          <w:lang w:val="en-US" w:eastAsia="zh-CN"/>
        </w:rPr>
      </w:pPr>
      <w:r>
        <w:rPr>
          <w:rFonts w:hint="default"/>
          <w:lang w:val="en-US" w:eastAsia="zh-CN"/>
        </w:rPr>
        <w:t>操作视频或快速入门指引</w:t>
      </w:r>
      <w:r>
        <w:rPr>
          <w:rFonts w:hint="eastAsia"/>
          <w:lang w:val="en-US" w:eastAsia="zh-CN"/>
        </w:rPr>
        <w:t>。</w:t>
      </w:r>
    </w:p>
    <w:p>
      <w:pPr>
        <w:rPr>
          <w:rFonts w:hint="default"/>
          <w:lang w:val="en-US" w:eastAsia="zh-CN"/>
        </w:rPr>
      </w:pPr>
      <w:r>
        <w:rPr>
          <w:rFonts w:hint="eastAsia"/>
          <w:lang w:val="en-US" w:eastAsia="zh-CN"/>
        </w:rPr>
        <w:t>九、</w:t>
      </w:r>
      <w:r>
        <w:rPr>
          <w:rFonts w:hint="default"/>
          <w:lang w:val="en-US" w:eastAsia="zh-CN"/>
        </w:rPr>
        <w:t>培训与维护文件</w:t>
      </w:r>
    </w:p>
    <w:p>
      <w:pPr>
        <w:rPr>
          <w:rFonts w:hint="default"/>
          <w:lang w:val="en-US" w:eastAsia="zh-CN"/>
        </w:rPr>
      </w:pPr>
      <w:r>
        <w:rPr>
          <w:rFonts w:hint="default"/>
          <w:lang w:val="en-US" w:eastAsia="zh-CN"/>
        </w:rPr>
        <w:t>培训材料（大纲、课件、操作演示）</w:t>
      </w:r>
      <w:r>
        <w:rPr>
          <w:rFonts w:hint="eastAsia"/>
          <w:lang w:val="en-US" w:eastAsia="zh-CN"/>
        </w:rPr>
        <w:t>；</w:t>
      </w:r>
    </w:p>
    <w:p>
      <w:pPr>
        <w:rPr>
          <w:rFonts w:hint="default"/>
          <w:lang w:val="en-US" w:eastAsia="zh-CN"/>
        </w:rPr>
      </w:pPr>
      <w:r>
        <w:rPr>
          <w:rFonts w:hint="default"/>
          <w:lang w:val="en-US" w:eastAsia="zh-CN"/>
        </w:rPr>
        <w:t>维护手册（常见问题解决、系统优化建议）</w:t>
      </w:r>
      <w:r>
        <w:rPr>
          <w:rFonts w:hint="eastAsia"/>
          <w:lang w:val="en-US" w:eastAsia="zh-CN"/>
        </w:rPr>
        <w:t>。</w:t>
      </w:r>
    </w:p>
    <w:p>
      <w:pPr>
        <w:pStyle w:val="2"/>
        <w:rPr>
          <w:highlight w:val="none"/>
        </w:rPr>
      </w:pPr>
      <w:bookmarkStart w:id="776" w:name="_Toc5236"/>
      <w:bookmarkStart w:id="777" w:name="_Toc24770"/>
      <w:bookmarkStart w:id="778" w:name="_Toc31497"/>
      <w:bookmarkStart w:id="779" w:name="_Toc23146"/>
      <w:r>
        <w:rPr>
          <w:rFonts w:hint="eastAsia"/>
          <w:highlight w:val="none"/>
          <w:lang w:val="en-US" w:eastAsia="zh-CN"/>
        </w:rPr>
        <w:t>项目运维与售后服务要求</w:t>
      </w:r>
      <w:bookmarkEnd w:id="776"/>
      <w:bookmarkEnd w:id="777"/>
      <w:bookmarkEnd w:id="778"/>
      <w:bookmarkEnd w:id="779"/>
    </w:p>
    <w:p>
      <w:pPr>
        <w:pStyle w:val="3"/>
        <w:bidi w:val="0"/>
      </w:pPr>
      <w:bookmarkStart w:id="780" w:name="_Toc2024873889"/>
      <w:bookmarkStart w:id="781" w:name="_Toc20453"/>
      <w:bookmarkStart w:id="782" w:name="_Toc5413"/>
      <w:bookmarkStart w:id="783" w:name="_Toc13419"/>
      <w:bookmarkStart w:id="784" w:name="_Toc473113455"/>
      <w:bookmarkStart w:id="785" w:name="_Toc15535"/>
      <w:bookmarkStart w:id="786" w:name="_Toc634287260"/>
      <w:bookmarkStart w:id="787" w:name="_Toc29354"/>
      <w:bookmarkStart w:id="788" w:name="_Toc5469"/>
      <w:bookmarkStart w:id="789" w:name="_Toc846271189"/>
      <w:bookmarkStart w:id="790" w:name="_Toc30390"/>
      <w:bookmarkStart w:id="791" w:name="_Toc18401"/>
      <w:bookmarkStart w:id="792" w:name="_Toc22806"/>
      <w:bookmarkStart w:id="793" w:name="_Toc85725533"/>
      <w:bookmarkStart w:id="794" w:name="_Toc4520"/>
      <w:bookmarkStart w:id="795" w:name="_Toc524012980"/>
      <w:bookmarkStart w:id="796" w:name="_Toc8994"/>
      <w:bookmarkStart w:id="797" w:name="_Toc29518"/>
      <w:bookmarkStart w:id="798" w:name="_Toc9320"/>
      <w:bookmarkStart w:id="799" w:name="_Toc22841"/>
      <w:bookmarkStart w:id="800" w:name="_Toc12403"/>
      <w:bookmarkStart w:id="801" w:name="_Toc526"/>
      <w:bookmarkStart w:id="802" w:name="_Toc17798"/>
      <w:bookmarkStart w:id="803" w:name="_Toc20087"/>
      <w:bookmarkStart w:id="804" w:name="_Toc23278"/>
      <w:bookmarkStart w:id="805" w:name="_Toc13122"/>
      <w:r>
        <w:t>技术支持与售后服务</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p>
      <w:pPr>
        <w:rPr>
          <w:lang w:val="en-GB"/>
        </w:rPr>
      </w:pPr>
      <w:r>
        <w:rPr>
          <w:lang w:val="en-GB"/>
        </w:rPr>
        <w:t>本项目验收后，其系统维护与技术支持将由技术支持团队承担，并承诺系统中的所有问题均可提出，统一协调，对用户总体负责。其中</w:t>
      </w:r>
      <w:r>
        <w:rPr>
          <w:rFonts w:hint="eastAsia"/>
          <w:lang w:val="en-US" w:eastAsia="zh-CN"/>
        </w:rPr>
        <w:t>硬件设备、</w:t>
      </w:r>
      <w:r>
        <w:rPr>
          <w:lang w:val="en-GB"/>
        </w:rPr>
        <w:t>第三方软件技术支持与售后服务由原厂商提供</w:t>
      </w:r>
      <w:r>
        <w:rPr>
          <w:rFonts w:hint="eastAsia"/>
          <w:lang w:val="en-GB" w:eastAsia="zh-CN"/>
        </w:rPr>
        <w:t>，</w:t>
      </w:r>
      <w:r>
        <w:rPr>
          <w:rFonts w:hint="eastAsia"/>
          <w:lang w:val="en-US" w:eastAsia="zh-CN"/>
        </w:rPr>
        <w:t>开发的软件技术支持与售后服务由实施单位提供</w:t>
      </w:r>
      <w:r>
        <w:rPr>
          <w:lang w:val="en-GB"/>
        </w:rPr>
        <w:t>。</w:t>
      </w:r>
    </w:p>
    <w:p>
      <w:pPr>
        <w:pStyle w:val="4"/>
        <w:bidi w:val="0"/>
      </w:pPr>
      <w:bookmarkStart w:id="806" w:name="_Toc85725534"/>
      <w:bookmarkStart w:id="807" w:name="_Toc31703"/>
      <w:bookmarkStart w:id="808" w:name="_Toc12392"/>
      <w:bookmarkStart w:id="809" w:name="_Toc29116"/>
      <w:bookmarkStart w:id="810" w:name="_Toc509823730"/>
      <w:bookmarkStart w:id="811" w:name="_Toc15988"/>
      <w:bookmarkStart w:id="812" w:name="_Toc16722"/>
      <w:bookmarkStart w:id="813" w:name="_Toc24769"/>
      <w:bookmarkStart w:id="814" w:name="_Toc9542"/>
      <w:bookmarkStart w:id="815" w:name="_Toc8818"/>
      <w:bookmarkStart w:id="816" w:name="_Toc524012981"/>
      <w:bookmarkStart w:id="817" w:name="_Toc25023"/>
      <w:bookmarkStart w:id="818" w:name="_Toc17293"/>
      <w:bookmarkStart w:id="819" w:name="_Toc1633376991"/>
      <w:bookmarkStart w:id="820" w:name="_Toc28174"/>
      <w:bookmarkStart w:id="821" w:name="_Toc4428"/>
      <w:bookmarkStart w:id="822" w:name="_Toc31261"/>
      <w:bookmarkStart w:id="823" w:name="_Toc9907"/>
      <w:bookmarkStart w:id="824" w:name="_Toc993447251"/>
      <w:bookmarkStart w:id="825" w:name="_Toc519703343"/>
      <w:bookmarkStart w:id="826" w:name="_Toc24592"/>
      <w:bookmarkStart w:id="827" w:name="_Toc882098414"/>
      <w:bookmarkStart w:id="828" w:name="_Toc20026"/>
      <w:bookmarkStart w:id="829" w:name="_Toc10282"/>
      <w:bookmarkStart w:id="830" w:name="_Toc7661"/>
      <w:bookmarkStart w:id="831" w:name="_Toc19016"/>
      <w:bookmarkStart w:id="832" w:name="_Toc1854793736"/>
      <w:bookmarkStart w:id="833" w:name="_Toc7121"/>
      <w:r>
        <w:t>技术后援支持</w:t>
      </w:r>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p>
    <w:p>
      <w:pPr>
        <w:rPr>
          <w:lang w:val="en-GB"/>
        </w:rPr>
      </w:pPr>
      <w:r>
        <w:rPr>
          <w:lang w:val="en-GB"/>
        </w:rPr>
        <w:t>结合用户的实际需求，本着长期合作的原则，提供高质量的技术后援支持。包括：</w:t>
      </w:r>
    </w:p>
    <w:p>
      <w:pPr>
        <w:rPr>
          <w:lang w:val="en-GB"/>
        </w:rPr>
      </w:pPr>
      <w:r>
        <w:rPr>
          <w:lang w:val="en-GB"/>
        </w:rPr>
        <w:t xml:space="preserve">（1）咨询：系统服务期内，向用户或用户指定的承建商提供各种与产品相关的7×24小时高级技术支持和服务，包括热线电话，电子邮件，传真等方式。承诺2小时内给予解答，4小时提供解决方案；若有必要6小时内到达用户现场排除故障。 </w:t>
      </w:r>
    </w:p>
    <w:p>
      <w:pPr>
        <w:rPr>
          <w:lang w:val="en-GB"/>
        </w:rPr>
      </w:pPr>
      <w:r>
        <w:rPr>
          <w:lang w:val="en-GB"/>
        </w:rPr>
        <w:t>软件迁移与二次安装：主要针对硬件环境变更或其他原因需要重新安装、软件迁移时，可在异地通过电话或电子邮件等其他方式配合用户完成所供应软件的二次安装；也可以经双方协商后，达成共识，派出技术工程师</w:t>
      </w:r>
      <w:r>
        <w:rPr>
          <w:rFonts w:hint="eastAsia"/>
          <w:lang w:val="en-GB"/>
        </w:rPr>
        <w:t>做现场</w:t>
      </w:r>
      <w:r>
        <w:rPr>
          <w:lang w:val="en-GB"/>
        </w:rPr>
        <w:t>技术指导安装或直接安装。</w:t>
      </w:r>
    </w:p>
    <w:p>
      <w:pPr>
        <w:rPr>
          <w:lang w:val="en-GB"/>
        </w:rPr>
      </w:pPr>
      <w:r>
        <w:rPr>
          <w:lang w:val="en-GB"/>
        </w:rPr>
        <w:t>（2）软件升级：在服务期内，免费提供版本升级、产品换代更新。服务期满后，提供对相关软件升级提醒服务，协助制订升级计划，提供关于新版本改进性能的培训，远程或现场指导软件升级。</w:t>
      </w:r>
    </w:p>
    <w:p>
      <w:pPr>
        <w:rPr>
          <w:lang w:val="en-GB"/>
        </w:rPr>
      </w:pPr>
      <w:r>
        <w:rPr>
          <w:lang w:val="en-GB"/>
        </w:rPr>
        <w:t>（3）状态报告和故障预测：在保修期内，在征得用户同意的条件下，系统工程师可定期通过远程方式监测用户系统的运行状况，或现场对系统进行检查，对应用系统现状做出评估，预测可能出现的故障，并提出预防策略以及提高系统软件性能的优化建议。</w:t>
      </w:r>
    </w:p>
    <w:p>
      <w:pPr>
        <w:rPr>
          <w:lang w:val="en-GB"/>
        </w:rPr>
      </w:pPr>
      <w:r>
        <w:rPr>
          <w:lang w:val="en-GB"/>
        </w:rPr>
        <w:t>（4）优化系统：虽然在系统安装调试时做过性能优化，但在实际运行时，项目经理还将根据业务运行情况、网络情况继续对应用软件平台的系统参数提供优化建议，确保系统随着业务的发展能够持续、稳定、高效地运行。</w:t>
      </w:r>
    </w:p>
    <w:p>
      <w:pPr>
        <w:rPr>
          <w:lang w:val="en-GB"/>
        </w:rPr>
      </w:pPr>
      <w:r>
        <w:rPr>
          <w:lang w:val="en-GB"/>
        </w:rPr>
        <w:t>（5）扩容与改造建议：当用户软件功能扩充或网络性能、应用系统性能下降时，项目经理会主动或根据用户要求，分析系统现状或故障情况，在深入了解用户目前及未来几年内的需求后，对网络扩容和改造、应用系统平台建设、应用系统改造提出合理化建议，并及时提供实施方案。</w:t>
      </w:r>
    </w:p>
    <w:p>
      <w:pPr>
        <w:rPr>
          <w:lang w:val="en-GB"/>
        </w:rPr>
      </w:pPr>
      <w:r>
        <w:rPr>
          <w:lang w:val="en-GB"/>
        </w:rPr>
        <w:t>（6）客户满意度调查：根据ISO10006质量管理体系的要求，客户的满意是目标。及时了解客户对工作效率，服务质量的评价，进一步提高工作效率，改善服务质量。同时也是对工程师技术水平以及工作态度客观评价的一种手段。</w:t>
      </w:r>
    </w:p>
    <w:p>
      <w:pPr>
        <w:pStyle w:val="5"/>
        <w:bidi w:val="0"/>
      </w:pPr>
      <w:bookmarkStart w:id="834" w:name="_Toc5299"/>
      <w:bookmarkStart w:id="835" w:name="_Toc85725535"/>
      <w:bookmarkStart w:id="836" w:name="_Toc31737"/>
      <w:bookmarkStart w:id="837" w:name="_Toc4098"/>
      <w:bookmarkStart w:id="838" w:name="_Toc24941"/>
      <w:bookmarkStart w:id="839" w:name="_Toc883628136"/>
      <w:bookmarkStart w:id="840" w:name="_Toc1219627419"/>
      <w:bookmarkStart w:id="841" w:name="_Toc29850"/>
      <w:bookmarkStart w:id="842" w:name="_Toc19198"/>
      <w:bookmarkStart w:id="843" w:name="_Toc17486"/>
      <w:bookmarkStart w:id="844" w:name="_Toc17635"/>
      <w:bookmarkStart w:id="845" w:name="_Toc4325"/>
      <w:bookmarkStart w:id="846" w:name="_Toc524012982"/>
      <w:bookmarkStart w:id="847" w:name="_Toc133292433"/>
      <w:bookmarkStart w:id="848" w:name="_Toc22190"/>
      <w:bookmarkStart w:id="849" w:name="_Toc14591"/>
      <w:bookmarkStart w:id="850" w:name="_Toc30077"/>
      <w:bookmarkStart w:id="851" w:name="_Toc23875"/>
      <w:bookmarkStart w:id="852" w:name="_Toc10891"/>
      <w:bookmarkStart w:id="853" w:name="_Toc6604"/>
      <w:bookmarkStart w:id="854" w:name="_Toc519703344"/>
      <w:bookmarkStart w:id="855" w:name="_Toc509823731"/>
      <w:bookmarkStart w:id="856" w:name="_Toc25315"/>
      <w:bookmarkStart w:id="857" w:name="_Toc1348428857"/>
      <w:r>
        <w:t>技术后援支持方式</w:t>
      </w:r>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pPr>
        <w:rPr>
          <w:lang w:val="en-GB"/>
        </w:rPr>
      </w:pPr>
      <w:r>
        <w:rPr>
          <w:lang w:val="en-GB"/>
        </w:rPr>
        <w:t>远程支持：采用电话指导或远程登录、电子邮件等方式提供技术支持。</w:t>
      </w:r>
    </w:p>
    <w:p>
      <w:pPr>
        <w:rPr>
          <w:lang w:val="en-GB"/>
        </w:rPr>
      </w:pPr>
      <w:r>
        <w:rPr>
          <w:lang w:val="en-GB"/>
        </w:rPr>
        <w:t>现场技术服务：当远程支持无法解决用户问题时，指派技术人员、协调厂商提供现场技术服务。</w:t>
      </w:r>
    </w:p>
    <w:p>
      <w:pPr>
        <w:rPr>
          <w:lang w:val="en-GB"/>
        </w:rPr>
      </w:pPr>
      <w:r>
        <w:rPr>
          <w:lang w:val="en-GB"/>
        </w:rPr>
        <w:t>定期跟踪：应用系统安装、验收完毕后，支持随时定期通过电话跟踪使用情况，及时了解存在的问题，并随时给予解决。必要时，支持派遣技术人员到现场解决存在的问题。定期派遣技术人员现场回访，了解应用系统的运行情况，听取意见和建议，解决存在的问题。</w:t>
      </w:r>
    </w:p>
    <w:p>
      <w:pPr>
        <w:pStyle w:val="5"/>
        <w:bidi w:val="0"/>
      </w:pPr>
      <w:bookmarkStart w:id="858" w:name="_Toc10833"/>
      <w:bookmarkStart w:id="859" w:name="_Toc509823732"/>
      <w:bookmarkStart w:id="860" w:name="_Toc11199"/>
      <w:bookmarkStart w:id="861" w:name="_Toc519703345"/>
      <w:bookmarkStart w:id="862" w:name="_Toc25158"/>
      <w:bookmarkStart w:id="863" w:name="_Toc1288662747"/>
      <w:bookmarkStart w:id="864" w:name="_Toc32707"/>
      <w:bookmarkStart w:id="865" w:name="_Toc15539"/>
      <w:bookmarkStart w:id="866" w:name="_Toc30078"/>
      <w:bookmarkStart w:id="867" w:name="_Toc7712"/>
      <w:bookmarkStart w:id="868" w:name="_Toc8938"/>
      <w:bookmarkStart w:id="869" w:name="_Toc12025"/>
      <w:bookmarkStart w:id="870" w:name="_Toc85725536"/>
      <w:bookmarkStart w:id="871" w:name="_Toc4091"/>
      <w:bookmarkStart w:id="872" w:name="_Toc867668187"/>
      <w:bookmarkStart w:id="873" w:name="_Toc23367"/>
      <w:bookmarkStart w:id="874" w:name="_Toc13816"/>
      <w:bookmarkStart w:id="875" w:name="_Toc648872808"/>
      <w:bookmarkStart w:id="876" w:name="_Toc524012983"/>
      <w:bookmarkStart w:id="877" w:name="_Toc15143"/>
      <w:bookmarkStart w:id="878" w:name="_Toc2786"/>
      <w:bookmarkStart w:id="879" w:name="_Toc26187"/>
      <w:bookmarkStart w:id="880" w:name="_Toc610114072"/>
      <w:r>
        <w:t>保修及系统维护服务</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pPr>
        <w:rPr>
          <w:lang w:val="en-GB"/>
        </w:rPr>
      </w:pPr>
      <w:r>
        <w:rPr>
          <w:lang w:val="en-GB"/>
        </w:rPr>
        <w:t>售后的免费维护期以通过</w:t>
      </w:r>
      <w:r>
        <w:rPr>
          <w:rFonts w:hint="eastAsia"/>
          <w:lang w:val="en-GB"/>
        </w:rPr>
        <w:t>珠海市斗门区政务服务和数据管理局</w:t>
      </w:r>
      <w:r>
        <w:rPr>
          <w:lang w:val="en-GB"/>
        </w:rPr>
        <w:t>组织的专家综合验收为起始时间，通过最终验收后，即进入系统的维护期。从这个阶段开始，系统正式进入使用阶段，承担起运载各项业务的重任，因而这一阶段将成为整个系统维护的工作中心和重点。</w:t>
      </w:r>
    </w:p>
    <w:p>
      <w:pPr>
        <w:rPr>
          <w:lang w:val="en-GB"/>
        </w:rPr>
      </w:pPr>
      <w:r>
        <w:rPr>
          <w:lang w:val="en-GB"/>
        </w:rPr>
        <w:t>质保期要求：项目终验通过之日起，</w:t>
      </w:r>
      <w:r>
        <w:rPr>
          <w:b/>
          <w:lang w:val="en-GB"/>
        </w:rPr>
        <w:t>提供</w:t>
      </w:r>
      <w:r>
        <w:rPr>
          <w:rFonts w:hint="eastAsia"/>
          <w:b/>
        </w:rPr>
        <w:t>1</w:t>
      </w:r>
      <w:r>
        <w:rPr>
          <w:b/>
          <w:lang w:val="en-GB"/>
        </w:rPr>
        <w:t>年的</w:t>
      </w:r>
      <w:r>
        <w:rPr>
          <w:rFonts w:hint="eastAsia"/>
          <w:b/>
          <w:lang w:val="en-US" w:eastAsia="zh-CN"/>
        </w:rPr>
        <w:t>硬件、</w:t>
      </w:r>
      <w:r>
        <w:rPr>
          <w:b/>
          <w:lang w:val="en-GB"/>
        </w:rPr>
        <w:t>软件免费维护、升级服务，</w:t>
      </w:r>
      <w:r>
        <w:rPr>
          <w:lang w:val="en-GB"/>
        </w:rPr>
        <w:t>包括</w:t>
      </w:r>
      <w:r>
        <w:rPr>
          <w:rFonts w:hint="eastAsia"/>
          <w:lang w:val="en-US" w:eastAsia="zh-CN"/>
        </w:rPr>
        <w:t>硬件维修、</w:t>
      </w:r>
      <w:r>
        <w:rPr>
          <w:lang w:val="en-GB"/>
        </w:rPr>
        <w:t>系统维护、功能修订、性能优化、故障检测等。</w:t>
      </w:r>
    </w:p>
    <w:p>
      <w:pPr>
        <w:rPr>
          <w:lang w:val="en-GB"/>
        </w:rPr>
      </w:pPr>
      <w:r>
        <w:rPr>
          <w:lang w:val="en-GB"/>
        </w:rPr>
        <w:t>根据用户的需要，提供远程维护（采用电话指导或远程登录）和现场故障抢修两种技术支援方式。</w:t>
      </w:r>
    </w:p>
    <w:p>
      <w:pPr>
        <w:rPr>
          <w:lang w:val="en-GB"/>
        </w:rPr>
      </w:pPr>
      <w:r>
        <w:rPr>
          <w:lang w:val="en-GB"/>
        </w:rPr>
        <w:t>软件平台质保期内维护内容包括：</w:t>
      </w:r>
    </w:p>
    <w:p>
      <w:pPr>
        <w:pStyle w:val="54"/>
        <w:numPr>
          <w:ilvl w:val="1"/>
          <w:numId w:val="26"/>
        </w:numPr>
        <w:ind w:firstLine="480" w:firstLineChars="0"/>
        <w:rPr>
          <w:lang w:val="en-GB"/>
        </w:rPr>
      </w:pPr>
      <w:r>
        <w:rPr>
          <w:lang w:val="en-GB"/>
        </w:rPr>
        <w:t>平台软件的日常巡检、故障修复；</w:t>
      </w:r>
    </w:p>
    <w:p>
      <w:pPr>
        <w:pStyle w:val="54"/>
        <w:numPr>
          <w:ilvl w:val="1"/>
          <w:numId w:val="26"/>
        </w:numPr>
        <w:ind w:firstLine="480" w:firstLineChars="0"/>
        <w:rPr>
          <w:lang w:val="en-GB"/>
        </w:rPr>
      </w:pPr>
      <w:r>
        <w:rPr>
          <w:lang w:val="en-GB"/>
        </w:rPr>
        <w:t>合同内购买的硬件及第三方软件维护；</w:t>
      </w:r>
    </w:p>
    <w:p>
      <w:pPr>
        <w:pStyle w:val="54"/>
        <w:numPr>
          <w:ilvl w:val="1"/>
          <w:numId w:val="26"/>
        </w:numPr>
        <w:ind w:firstLine="480" w:firstLineChars="0"/>
        <w:rPr>
          <w:lang w:val="en-GB"/>
        </w:rPr>
      </w:pPr>
      <w:r>
        <w:rPr>
          <w:rFonts w:hint="eastAsia"/>
          <w:lang w:val="en-GB"/>
        </w:rPr>
        <w:t>云</w:t>
      </w:r>
      <w:r>
        <w:rPr>
          <w:lang w:val="en-GB"/>
        </w:rPr>
        <w:t>平台提供的硬件、操作系统、中间件、网络等部位发生问题的查找定位和修复支撑；</w:t>
      </w:r>
    </w:p>
    <w:p>
      <w:pPr>
        <w:pStyle w:val="54"/>
        <w:numPr>
          <w:ilvl w:val="1"/>
          <w:numId w:val="26"/>
        </w:numPr>
        <w:ind w:firstLine="480" w:firstLineChars="0"/>
        <w:rPr>
          <w:lang w:val="en-GB"/>
        </w:rPr>
      </w:pPr>
      <w:r>
        <w:rPr>
          <w:lang w:val="en-GB"/>
        </w:rPr>
        <w:t>对系统问题的咨询服务；</w:t>
      </w:r>
    </w:p>
    <w:p>
      <w:pPr>
        <w:pStyle w:val="54"/>
        <w:numPr>
          <w:ilvl w:val="1"/>
          <w:numId w:val="26"/>
        </w:numPr>
        <w:ind w:firstLine="480" w:firstLineChars="0"/>
        <w:rPr>
          <w:lang w:val="en-GB"/>
        </w:rPr>
      </w:pPr>
      <w:r>
        <w:rPr>
          <w:lang w:val="en-GB"/>
        </w:rPr>
        <w:t>其他</w:t>
      </w:r>
      <w:r>
        <w:rPr>
          <w:rFonts w:hint="eastAsia"/>
          <w:lang w:val="en-GB"/>
        </w:rPr>
        <w:t>必需的</w:t>
      </w:r>
      <w:r>
        <w:rPr>
          <w:lang w:val="en-GB"/>
        </w:rPr>
        <w:t>技术服务；</w:t>
      </w:r>
    </w:p>
    <w:p>
      <w:pPr>
        <w:pStyle w:val="54"/>
        <w:numPr>
          <w:ilvl w:val="1"/>
          <w:numId w:val="26"/>
        </w:numPr>
        <w:ind w:firstLine="480" w:firstLineChars="0"/>
        <w:rPr>
          <w:lang w:val="en-GB"/>
        </w:rPr>
      </w:pPr>
      <w:r>
        <w:rPr>
          <w:lang w:val="en-GB"/>
        </w:rPr>
        <w:t>系统的升级维护服务。</w:t>
      </w:r>
    </w:p>
    <w:p>
      <w:pPr>
        <w:rPr>
          <w:lang w:val="en-GB"/>
        </w:rPr>
      </w:pPr>
      <w:r>
        <w:rPr>
          <w:lang w:val="en-GB"/>
        </w:rPr>
        <w:t>响应时间：系统运行出现故障时，迅速提供技术服务，承诺2小时内给予解答，4小时提供解决方案；若有必要6 小时内到达用户现场排除故障。</w:t>
      </w:r>
    </w:p>
    <w:p>
      <w:pPr>
        <w:rPr>
          <w:lang w:val="en-GB"/>
        </w:rPr>
      </w:pPr>
      <w:bookmarkStart w:id="881" w:name="_Toc146520161"/>
      <w:r>
        <w:rPr>
          <w:lang w:val="en-GB"/>
        </w:rPr>
        <w:t>服务方式</w:t>
      </w:r>
      <w:bookmarkEnd w:id="881"/>
      <w:r>
        <w:rPr>
          <w:lang w:val="en-GB"/>
        </w:rPr>
        <w:t>：现场抢修方式、远程维护（采用电话指导或远程登录）、提供专业咨询和技术支持热线、提供专门电子邮件信箱，用于技术咨询和回复。</w:t>
      </w:r>
    </w:p>
    <w:p>
      <w:pPr>
        <w:rPr>
          <w:lang w:val="en-GB"/>
        </w:rPr>
      </w:pPr>
      <w:bookmarkStart w:id="882" w:name="_Toc146520162"/>
      <w:r>
        <w:rPr>
          <w:lang w:val="en-GB"/>
        </w:rPr>
        <w:t>服务标准</w:t>
      </w:r>
      <w:bookmarkEnd w:id="882"/>
      <w:r>
        <w:rPr>
          <w:rFonts w:hint="eastAsia"/>
          <w:lang w:val="en-GB"/>
        </w:rPr>
        <w:t>：</w:t>
      </w:r>
      <w:r>
        <w:rPr>
          <w:lang w:val="en-GB"/>
        </w:rPr>
        <w:t>现场支持：软件、系统技术专家将直接到用户的现场进行故障诊断，解决出现的问题。</w:t>
      </w:r>
    </w:p>
    <w:p>
      <w:pPr>
        <w:rPr>
          <w:lang w:val="en-GB"/>
        </w:rPr>
      </w:pPr>
      <w:r>
        <w:rPr>
          <w:lang w:val="en-GB"/>
        </w:rPr>
        <w:t>完整的服务：到达现场后，工程师将提供连续服务，直到故障被排除、软件恢复正常运行为止。</w:t>
      </w:r>
    </w:p>
    <w:p>
      <w:pPr>
        <w:rPr>
          <w:lang w:val="en-GB"/>
        </w:rPr>
      </w:pPr>
      <w:r>
        <w:rPr>
          <w:lang w:val="en-GB"/>
        </w:rPr>
        <w:t>预防性的维护：工程师将定期对系统进行现场诊断，根据需要排除故障，并调整有关参数。</w:t>
      </w:r>
    </w:p>
    <w:p>
      <w:pPr>
        <w:pStyle w:val="3"/>
        <w:bidi w:val="0"/>
        <w:rPr>
          <w:rFonts w:hint="eastAsia"/>
        </w:rPr>
      </w:pPr>
      <w:bookmarkStart w:id="883" w:name="_Toc44268626"/>
      <w:bookmarkStart w:id="884" w:name="_Toc19053"/>
      <w:bookmarkStart w:id="885" w:name="_Toc21522"/>
      <w:bookmarkStart w:id="886" w:name="_Toc31871"/>
      <w:bookmarkStart w:id="887" w:name="_Toc26636"/>
      <w:bookmarkStart w:id="888" w:name="_Toc29747"/>
      <w:bookmarkStart w:id="889" w:name="_Toc18563"/>
      <w:bookmarkStart w:id="890" w:name="_Toc2063367154"/>
      <w:bookmarkStart w:id="891" w:name="_Toc1182208834"/>
      <w:bookmarkStart w:id="892" w:name="_Toc28443"/>
      <w:bookmarkStart w:id="893" w:name="_Toc25946"/>
      <w:bookmarkStart w:id="894" w:name="_Toc790619701"/>
      <w:bookmarkStart w:id="895" w:name="_Toc24534"/>
      <w:bookmarkStart w:id="896" w:name="_Toc16473"/>
      <w:bookmarkStart w:id="897" w:name="_Toc869"/>
      <w:bookmarkStart w:id="898" w:name="_Toc4247"/>
      <w:bookmarkStart w:id="899" w:name="_Toc16581"/>
      <w:bookmarkStart w:id="900" w:name="_Toc10767"/>
      <w:bookmarkStart w:id="901" w:name="_Toc24628"/>
      <w:bookmarkStart w:id="902" w:name="_Toc17530"/>
      <w:bookmarkStart w:id="903" w:name="_Toc535629542"/>
      <w:bookmarkStart w:id="904" w:name="_Toc6737"/>
      <w:bookmarkStart w:id="905" w:name="_Toc683324590"/>
      <w:bookmarkStart w:id="906" w:name="_Toc9026"/>
      <w:bookmarkStart w:id="907" w:name="_Toc6101"/>
      <w:bookmarkStart w:id="908" w:name="_Toc21188"/>
      <w:bookmarkStart w:id="909" w:name="_Toc922"/>
      <w:bookmarkStart w:id="910" w:name="_Toc85725537"/>
      <w:bookmarkStart w:id="911" w:name="_Toc23989"/>
      <w:bookmarkStart w:id="912" w:name="_Toc524012985"/>
      <w:bookmarkStart w:id="913" w:name="_Toc451209375"/>
      <w:bookmarkStart w:id="914" w:name="_Toc451071360"/>
      <w:r>
        <w:rPr>
          <w:rFonts w:hint="eastAsia"/>
        </w:rPr>
        <w:t>运维服务人员要求</w:t>
      </w:r>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pPr>
        <w:pStyle w:val="14"/>
        <w:numPr>
          <w:ilvl w:val="0"/>
          <w:numId w:val="27"/>
        </w:numPr>
        <w:rPr>
          <w:rFonts w:hint="eastAsia"/>
        </w:rPr>
      </w:pPr>
      <w:r>
        <w:rPr>
          <w:rFonts w:hint="eastAsia"/>
          <w:lang w:bidi="ar"/>
        </w:rPr>
        <w:t>本项目运维期内预计至少需</w:t>
      </w:r>
      <w:r>
        <w:rPr>
          <w:rFonts w:hint="eastAsia"/>
          <w:highlight w:val="none"/>
          <w:lang w:bidi="ar"/>
        </w:rPr>
        <w:t>要</w:t>
      </w:r>
      <w:r>
        <w:rPr>
          <w:rFonts w:hint="eastAsia"/>
          <w:highlight w:val="none"/>
          <w:lang w:val="en-US" w:eastAsia="zh-CN" w:bidi="ar"/>
        </w:rPr>
        <w:t>4</w:t>
      </w:r>
      <w:r>
        <w:rPr>
          <w:rFonts w:hint="eastAsia"/>
          <w:highlight w:val="none"/>
          <w:lang w:bidi="ar"/>
        </w:rPr>
        <w:t>名</w:t>
      </w:r>
      <w:r>
        <w:rPr>
          <w:rFonts w:hint="eastAsia"/>
        </w:rPr>
        <w:t>运维</w:t>
      </w:r>
      <w:r>
        <w:rPr>
          <w:rFonts w:hint="eastAsia"/>
          <w:lang w:bidi="ar"/>
        </w:rPr>
        <w:t>人员：</w:t>
      </w:r>
    </w:p>
    <w:p>
      <w:pPr>
        <w:ind w:firstLine="482"/>
      </w:pPr>
      <w:r>
        <w:rPr>
          <w:b/>
          <w:lang w:bidi="ar"/>
        </w:rPr>
        <w:t>1</w:t>
      </w:r>
      <w:r>
        <w:rPr>
          <w:rFonts w:hint="eastAsia"/>
          <w:b/>
          <w:lang w:bidi="ar"/>
        </w:rPr>
        <w:t>、</w:t>
      </w:r>
      <w:r>
        <w:rPr>
          <w:rFonts w:hint="eastAsia"/>
          <w:b/>
        </w:rPr>
        <w:t>运维</w:t>
      </w:r>
      <w:r>
        <w:rPr>
          <w:rFonts w:hint="eastAsia"/>
          <w:b/>
          <w:lang w:bidi="ar"/>
        </w:rPr>
        <w:t>主管（远程服务，按需到场）1名：</w:t>
      </w:r>
      <w:r>
        <w:rPr>
          <w:rFonts w:hint="eastAsia"/>
          <w:lang w:bidi="ar"/>
        </w:rPr>
        <w:t>对项目</w:t>
      </w:r>
      <w:r>
        <w:rPr>
          <w:rFonts w:hint="eastAsia"/>
        </w:rPr>
        <w:t>运营及维护</w:t>
      </w:r>
      <w:r>
        <w:rPr>
          <w:rFonts w:hint="eastAsia"/>
          <w:lang w:bidi="ar"/>
        </w:rPr>
        <w:t>的总体工作提供管理和协调服务，把控项目的整体</w:t>
      </w:r>
      <w:r>
        <w:rPr>
          <w:rFonts w:hint="eastAsia"/>
        </w:rPr>
        <w:t>运营及维护</w:t>
      </w:r>
      <w:r>
        <w:rPr>
          <w:rFonts w:hint="eastAsia"/>
          <w:lang w:bidi="ar"/>
        </w:rPr>
        <w:t>情况，负责汇总和按时汇报项目的</w:t>
      </w:r>
      <w:r>
        <w:rPr>
          <w:rFonts w:hint="eastAsia"/>
        </w:rPr>
        <w:t>运营及维护</w:t>
      </w:r>
      <w:r>
        <w:rPr>
          <w:rFonts w:hint="eastAsia"/>
          <w:lang w:bidi="ar"/>
        </w:rPr>
        <w:t>情况，具体要求如下：</w:t>
      </w:r>
    </w:p>
    <w:p>
      <w:r>
        <w:rPr>
          <w:lang w:bidi="ar"/>
        </w:rPr>
        <w:t>1</w:t>
      </w:r>
      <w:r>
        <w:rPr>
          <w:rFonts w:hint="eastAsia"/>
          <w:lang w:bidi="ar"/>
        </w:rPr>
        <w:t>）应具有承担过相关项目</w:t>
      </w:r>
      <w:r>
        <w:rPr>
          <w:rFonts w:hint="eastAsia"/>
        </w:rPr>
        <w:t>运营及维护</w:t>
      </w:r>
      <w:r>
        <w:rPr>
          <w:rFonts w:hint="eastAsia"/>
          <w:lang w:bidi="ar"/>
        </w:rPr>
        <w:t>经验，能够与政府用户进行良好的沟通，掌握电子政务业务的相关基础知识，具有强烈的服务意识和高度的责任感；</w:t>
      </w:r>
    </w:p>
    <w:p>
      <w:r>
        <w:rPr>
          <w:lang w:bidi="ar"/>
        </w:rPr>
        <w:t>2</w:t>
      </w:r>
      <w:r>
        <w:rPr>
          <w:rFonts w:hint="eastAsia"/>
          <w:lang w:bidi="ar"/>
        </w:rPr>
        <w:t>）工作态度认真负责，具有较全面的技术知识；</w:t>
      </w:r>
    </w:p>
    <w:p>
      <w:r>
        <w:rPr>
          <w:lang w:bidi="ar"/>
        </w:rPr>
        <w:t>3</w:t>
      </w:r>
      <w:r>
        <w:rPr>
          <w:rFonts w:hint="eastAsia"/>
          <w:lang w:bidi="ar"/>
        </w:rPr>
        <w:t>）具有项目管理经验，负责项目</w:t>
      </w:r>
      <w:r>
        <w:rPr>
          <w:rFonts w:hint="eastAsia"/>
        </w:rPr>
        <w:t>运营及维护</w:t>
      </w:r>
      <w:r>
        <w:rPr>
          <w:rFonts w:hint="eastAsia"/>
          <w:lang w:bidi="ar"/>
        </w:rPr>
        <w:t>的管理工作，跟踪项目的运维情况；</w:t>
      </w:r>
    </w:p>
    <w:p>
      <w:r>
        <w:rPr>
          <w:lang w:bidi="ar"/>
        </w:rPr>
        <w:t>4</w:t>
      </w:r>
      <w:r>
        <w:rPr>
          <w:rFonts w:hint="eastAsia"/>
          <w:lang w:bidi="ar"/>
        </w:rPr>
        <w:t>）具有较强的文字功底，能够编写项目的相关文档。</w:t>
      </w:r>
    </w:p>
    <w:p>
      <w:pPr>
        <w:ind w:firstLine="482"/>
      </w:pPr>
      <w:r>
        <w:rPr>
          <w:rFonts w:hint="eastAsia"/>
          <w:b/>
          <w:lang w:bidi="ar"/>
        </w:rPr>
        <w:t>2、客服人员（远程服务）1名：</w:t>
      </w:r>
      <w:r>
        <w:rPr>
          <w:rFonts w:hint="eastAsia"/>
          <w:lang w:bidi="ar"/>
        </w:rPr>
        <w:t>提供项目维护过程中</w:t>
      </w:r>
      <w:r>
        <w:rPr>
          <w:lang w:bidi="ar"/>
        </w:rPr>
        <w:t>7*24</w:t>
      </w:r>
      <w:r>
        <w:rPr>
          <w:rFonts w:hint="eastAsia"/>
          <w:lang w:bidi="ar"/>
        </w:rPr>
        <w:t>小时的电话热线服务，具体要求如下：</w:t>
      </w:r>
    </w:p>
    <w:p>
      <w:r>
        <w:rPr>
          <w:lang w:bidi="ar"/>
        </w:rPr>
        <w:t>1</w:t>
      </w:r>
      <w:r>
        <w:rPr>
          <w:rFonts w:hint="eastAsia"/>
          <w:lang w:bidi="ar"/>
        </w:rPr>
        <w:t>）掌握电子政务业务的相关基础知识，具有强烈的服务意识和高度的责任感；</w:t>
      </w:r>
    </w:p>
    <w:p>
      <w:r>
        <w:rPr>
          <w:lang w:bidi="ar"/>
        </w:rPr>
        <w:t>2</w:t>
      </w:r>
      <w:r>
        <w:rPr>
          <w:rFonts w:hint="eastAsia"/>
          <w:lang w:bidi="ar"/>
        </w:rPr>
        <w:t>）应具有良好的沟通交流能力和耐心。</w:t>
      </w:r>
    </w:p>
    <w:p>
      <w:pPr>
        <w:ind w:firstLine="482"/>
        <w:rPr>
          <w:rFonts w:hint="eastAsia"/>
        </w:rPr>
      </w:pPr>
      <w:r>
        <w:rPr>
          <w:rFonts w:hint="eastAsia"/>
          <w:b/>
          <w:lang w:bidi="ar"/>
        </w:rPr>
        <w:t>3、</w:t>
      </w:r>
      <w:r>
        <w:rPr>
          <w:rFonts w:hint="eastAsia"/>
          <w:b/>
          <w:bCs/>
          <w:lang w:bidi="ar"/>
        </w:rPr>
        <w:t>运营人员（</w:t>
      </w:r>
      <w:r>
        <w:rPr>
          <w:rFonts w:hint="eastAsia"/>
          <w:b/>
          <w:lang w:bidi="ar"/>
        </w:rPr>
        <w:t>远程服务，按需到场</w:t>
      </w:r>
      <w:r>
        <w:rPr>
          <w:rFonts w:hint="eastAsia"/>
          <w:b/>
          <w:bCs/>
          <w:lang w:bidi="ar"/>
        </w:rPr>
        <w:t>）1名：</w:t>
      </w:r>
      <w:r>
        <w:rPr>
          <w:rFonts w:hint="eastAsia"/>
          <w:lang w:bidi="ar"/>
        </w:rPr>
        <w:t>负责本项目平台的日常运营工作，包括</w:t>
      </w:r>
      <w:r>
        <w:rPr>
          <w:rFonts w:hint="eastAsia"/>
        </w:rPr>
        <w:t>宣传软文编写、宣传活动策划与实施协助、推广人员培训与指导等，</w:t>
      </w:r>
      <w:r>
        <w:rPr>
          <w:rFonts w:hint="eastAsia"/>
          <w:lang w:bidi="ar"/>
        </w:rPr>
        <w:t>具体要求如下：</w:t>
      </w:r>
    </w:p>
    <w:p>
      <w:pPr>
        <w:rPr>
          <w:rFonts w:hint="eastAsia"/>
        </w:rPr>
      </w:pPr>
      <w:r>
        <w:rPr>
          <w:rFonts w:hint="eastAsia"/>
        </w:rPr>
        <w:t>1）具有较强的文字功底，能够编写相关宣传文稿；</w:t>
      </w:r>
    </w:p>
    <w:p>
      <w:pPr>
        <w:rPr>
          <w:rFonts w:hint="eastAsia"/>
        </w:rPr>
      </w:pPr>
      <w:r>
        <w:rPr>
          <w:rFonts w:hint="eastAsia"/>
        </w:rPr>
        <w:t>2）具备一定的组织能力、沟通能力及活动策划经验。</w:t>
      </w:r>
    </w:p>
    <w:p>
      <w:pPr>
        <w:rPr>
          <w:rFonts w:hint="eastAsia"/>
        </w:rPr>
      </w:pPr>
      <w:r>
        <w:rPr>
          <w:rFonts w:hint="eastAsia"/>
        </w:rPr>
        <w:t>3）掌握电子政务业务的相关基础知识，具有强烈的服务意识和高度的责任感。</w:t>
      </w:r>
    </w:p>
    <w:p>
      <w:pPr>
        <w:ind w:firstLine="482"/>
      </w:pPr>
      <w:r>
        <w:rPr>
          <w:rFonts w:hint="eastAsia"/>
          <w:b/>
          <w:lang w:bidi="ar"/>
        </w:rPr>
        <w:t>4、软件系统维护员</w:t>
      </w:r>
      <w:r>
        <w:rPr>
          <w:rFonts w:hint="eastAsia"/>
          <w:b/>
          <w:bCs/>
          <w:lang w:bidi="ar"/>
        </w:rPr>
        <w:t>（</w:t>
      </w:r>
      <w:r>
        <w:rPr>
          <w:rFonts w:hint="eastAsia"/>
          <w:b/>
          <w:lang w:bidi="ar"/>
        </w:rPr>
        <w:t>远程服务，按需到场</w:t>
      </w:r>
      <w:r>
        <w:rPr>
          <w:rFonts w:hint="eastAsia"/>
          <w:b/>
          <w:bCs/>
          <w:lang w:bidi="ar"/>
        </w:rPr>
        <w:t>）1名</w:t>
      </w:r>
      <w:r>
        <w:rPr>
          <w:rFonts w:hint="eastAsia"/>
          <w:b/>
          <w:lang w:bidi="ar"/>
        </w:rPr>
        <w:t>：</w:t>
      </w:r>
      <w:r>
        <w:rPr>
          <w:rFonts w:hint="eastAsia"/>
          <w:lang w:bidi="ar"/>
        </w:rPr>
        <w:t>负责本项目平台运行的维护，包括日常维护及故障处理等内容，具体要求如下：</w:t>
      </w:r>
      <w:r>
        <w:rPr>
          <w:lang w:bidi="ar"/>
        </w:rPr>
        <w:t xml:space="preserve"> </w:t>
      </w:r>
    </w:p>
    <w:p>
      <w:r>
        <w:rPr>
          <w:lang w:bidi="ar"/>
        </w:rPr>
        <w:t>1</w:t>
      </w:r>
      <w:r>
        <w:rPr>
          <w:rFonts w:hint="eastAsia"/>
          <w:lang w:bidi="ar"/>
        </w:rPr>
        <w:t>）较熟悉的掌握电子政务业务的相关基础知识，具有强烈的服务意识和高度的责任感；</w:t>
      </w:r>
    </w:p>
    <w:p>
      <w:r>
        <w:rPr>
          <w:lang w:bidi="ar"/>
        </w:rPr>
        <w:t>2</w:t>
      </w:r>
      <w:r>
        <w:rPr>
          <w:rFonts w:hint="eastAsia"/>
          <w:lang w:bidi="ar"/>
        </w:rPr>
        <w:t>）工作态度认真负责，具有较全面的技术知识，能承担项目的日常运维和故障处理等工作。</w:t>
      </w:r>
    </w:p>
    <w:bookmarkEnd w:id="908"/>
    <w:bookmarkEnd w:id="909"/>
    <w:bookmarkEnd w:id="910"/>
    <w:bookmarkEnd w:id="911"/>
    <w:bookmarkEnd w:id="912"/>
    <w:bookmarkEnd w:id="913"/>
    <w:bookmarkEnd w:id="914"/>
    <w:p>
      <w:pPr>
        <w:pStyle w:val="3"/>
        <w:bidi w:val="0"/>
      </w:pPr>
      <w:bookmarkStart w:id="915" w:name="_Toc31913"/>
      <w:bookmarkStart w:id="916" w:name="_Toc13082"/>
      <w:bookmarkStart w:id="917" w:name="_Toc6449"/>
      <w:bookmarkStart w:id="918" w:name="_Toc2570"/>
      <w:bookmarkStart w:id="919" w:name="_Toc21653"/>
      <w:bookmarkStart w:id="920" w:name="_Toc12678"/>
      <w:bookmarkStart w:id="921" w:name="_Toc751698509"/>
      <w:bookmarkStart w:id="922" w:name="_Toc26367"/>
      <w:bookmarkStart w:id="923" w:name="_Toc18718"/>
      <w:bookmarkStart w:id="924" w:name="_Toc10587"/>
      <w:bookmarkStart w:id="925" w:name="_Toc1099913469"/>
      <w:bookmarkStart w:id="926" w:name="_Toc28888"/>
      <w:bookmarkStart w:id="927" w:name="_Toc7381"/>
      <w:bookmarkStart w:id="928" w:name="_Toc15573"/>
      <w:bookmarkStart w:id="929" w:name="_Toc9009"/>
      <w:bookmarkStart w:id="930" w:name="_Toc19332"/>
      <w:bookmarkStart w:id="931" w:name="_Toc32506"/>
      <w:bookmarkStart w:id="932" w:name="_Toc14781"/>
      <w:bookmarkStart w:id="933" w:name="_Toc26600"/>
      <w:bookmarkStart w:id="934" w:name="_Toc4675"/>
      <w:bookmarkStart w:id="935" w:name="_Toc1449910433"/>
      <w:bookmarkStart w:id="936" w:name="_Toc1442040170"/>
      <w:r>
        <w:t>故障响应时间</w:t>
      </w:r>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p>
    <w:p>
      <w:pPr>
        <w:rPr>
          <w:rFonts w:hint="eastAsia"/>
        </w:rPr>
      </w:pPr>
      <w:r>
        <w:rPr>
          <w:rFonts w:hint="eastAsia"/>
        </w:rPr>
        <w:t>在质保期内提供必要的故障服务支持，根据影响范围和危害程度，将网络安全事件分为四级：特别重大网络安全事件（Ⅰ级）、重大网络安全事件（Ⅱ级）、较大网络安全事件（Ⅲ级）、一般网络安全事件（Ⅳ级）。</w:t>
      </w:r>
    </w:p>
    <w:p>
      <w:pPr>
        <w:rPr>
          <w:rFonts w:hint="eastAsia" w:cs="Times New Roman"/>
        </w:rPr>
      </w:pPr>
      <w:r>
        <w:rPr>
          <w:rFonts w:hint="eastAsia" w:cs="Times New Roman"/>
        </w:rPr>
        <w:t>事件分级详细情况如下表：</w:t>
      </w:r>
    </w:p>
    <w:tbl>
      <w:tblPr>
        <w:tblStyle w:val="2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2"/>
        <w:gridCol w:w="5388"/>
        <w:gridCol w:w="1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452" w:type="dxa"/>
            <w:shd w:val="clear" w:color="auto" w:fill="D7D7D7"/>
            <w:noWrap w:val="0"/>
            <w:vAlign w:val="center"/>
          </w:tcPr>
          <w:p>
            <w:pPr>
              <w:pStyle w:val="81"/>
              <w:keepNext w:val="0"/>
              <w:keepLines w:val="0"/>
              <w:suppressLineNumbers w:val="0"/>
              <w:spacing w:before="0" w:beforeAutospacing="0" w:after="0" w:afterAutospacing="0"/>
              <w:ind w:left="0" w:right="0"/>
              <w:rPr>
                <w:rFonts w:hint="default"/>
                <w:b/>
                <w:bCs/>
              </w:rPr>
            </w:pPr>
            <w:r>
              <w:rPr>
                <w:rFonts w:hint="eastAsia"/>
                <w:b/>
                <w:bCs/>
              </w:rPr>
              <w:t>级别</w:t>
            </w:r>
          </w:p>
        </w:tc>
        <w:tc>
          <w:tcPr>
            <w:tcW w:w="5388" w:type="dxa"/>
            <w:shd w:val="clear" w:color="auto" w:fill="D7D7D7"/>
            <w:noWrap w:val="0"/>
            <w:vAlign w:val="center"/>
          </w:tcPr>
          <w:p>
            <w:pPr>
              <w:pStyle w:val="81"/>
              <w:keepNext w:val="0"/>
              <w:keepLines w:val="0"/>
              <w:suppressLineNumbers w:val="0"/>
              <w:spacing w:before="0" w:beforeAutospacing="0" w:after="0" w:afterAutospacing="0"/>
              <w:ind w:left="0" w:right="0"/>
              <w:rPr>
                <w:rFonts w:hint="default"/>
                <w:b/>
                <w:bCs/>
              </w:rPr>
            </w:pPr>
            <w:r>
              <w:rPr>
                <w:rFonts w:hint="eastAsia"/>
                <w:b/>
                <w:bCs/>
              </w:rPr>
              <w:t>分级定义</w:t>
            </w:r>
          </w:p>
        </w:tc>
        <w:tc>
          <w:tcPr>
            <w:tcW w:w="1682" w:type="dxa"/>
            <w:shd w:val="clear" w:color="auto" w:fill="D7D7D7"/>
            <w:noWrap w:val="0"/>
            <w:vAlign w:val="top"/>
          </w:tcPr>
          <w:p>
            <w:pPr>
              <w:pStyle w:val="81"/>
              <w:keepNext w:val="0"/>
              <w:keepLines w:val="0"/>
              <w:suppressLineNumbers w:val="0"/>
              <w:spacing w:before="0" w:beforeAutospacing="0" w:after="0" w:afterAutospacing="0"/>
              <w:ind w:left="0" w:right="0"/>
              <w:rPr>
                <w:rFonts w:hint="default"/>
                <w:b/>
                <w:bCs/>
              </w:rPr>
            </w:pPr>
            <w:r>
              <w:rPr>
                <w:rFonts w:hint="eastAsia"/>
                <w:b/>
                <w:bCs/>
              </w:rPr>
              <w:t>响应时间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52" w:type="dxa"/>
            <w:noWrap w:val="0"/>
            <w:vAlign w:val="center"/>
          </w:tcPr>
          <w:p>
            <w:pPr>
              <w:pStyle w:val="81"/>
              <w:keepNext w:val="0"/>
              <w:keepLines w:val="0"/>
              <w:suppressLineNumbers w:val="0"/>
              <w:spacing w:before="0" w:beforeAutospacing="0" w:after="0" w:afterAutospacing="0"/>
              <w:ind w:left="0" w:right="0"/>
              <w:rPr>
                <w:rFonts w:hint="eastAsia"/>
              </w:rPr>
            </w:pPr>
            <w:r>
              <w:rPr>
                <w:rFonts w:hint="eastAsia"/>
              </w:rPr>
              <w:t>特别重大</w:t>
            </w:r>
          </w:p>
          <w:p>
            <w:pPr>
              <w:pStyle w:val="81"/>
              <w:keepNext w:val="0"/>
              <w:keepLines w:val="0"/>
              <w:suppressLineNumbers w:val="0"/>
              <w:spacing w:before="0" w:beforeAutospacing="0" w:after="0" w:afterAutospacing="0"/>
              <w:ind w:left="0" w:right="0"/>
              <w:rPr>
                <w:rFonts w:hint="eastAsia"/>
              </w:rPr>
            </w:pPr>
            <w:r>
              <w:rPr>
                <w:rFonts w:hint="eastAsia"/>
              </w:rPr>
              <w:t>（一级）</w:t>
            </w:r>
          </w:p>
        </w:tc>
        <w:tc>
          <w:tcPr>
            <w:tcW w:w="5388" w:type="dxa"/>
            <w:noWrap w:val="0"/>
            <w:vAlign w:val="center"/>
          </w:tcPr>
          <w:p>
            <w:pPr>
              <w:pStyle w:val="81"/>
              <w:keepNext w:val="0"/>
              <w:keepLines w:val="0"/>
              <w:suppressLineNumbers w:val="0"/>
              <w:spacing w:before="0" w:beforeAutospacing="0" w:after="0" w:afterAutospacing="0"/>
              <w:ind w:left="0" w:right="0"/>
              <w:jc w:val="left"/>
              <w:rPr>
                <w:rFonts w:hint="eastAsia"/>
              </w:rPr>
            </w:pPr>
            <w:r>
              <w:rPr>
                <w:rFonts w:hint="eastAsia"/>
              </w:rPr>
              <w:t xml:space="preserve">特别重大事件是指能够导致特别严重影响或破坏的信息安全事件，包括以下情况： </w:t>
            </w:r>
          </w:p>
          <w:p>
            <w:pPr>
              <w:pStyle w:val="81"/>
              <w:keepNext w:val="0"/>
              <w:keepLines w:val="0"/>
              <w:suppressLineNumbers w:val="0"/>
              <w:spacing w:before="0" w:beforeAutospacing="0" w:after="0" w:afterAutospacing="0"/>
              <w:ind w:left="0" w:right="0"/>
              <w:jc w:val="left"/>
              <w:rPr>
                <w:rFonts w:hint="eastAsia"/>
              </w:rPr>
            </w:pPr>
            <w:r>
              <w:rPr>
                <w:rFonts w:hint="eastAsia"/>
              </w:rPr>
              <w:t>任一核心应用系统中断30分钟及以上，导致政务服务平台无法对外提供政务服务；</w:t>
            </w:r>
          </w:p>
          <w:p>
            <w:pPr>
              <w:pStyle w:val="81"/>
              <w:keepNext w:val="0"/>
              <w:keepLines w:val="0"/>
              <w:suppressLineNumbers w:val="0"/>
              <w:spacing w:before="0" w:beforeAutospacing="0" w:after="0" w:afterAutospacing="0"/>
              <w:ind w:left="0" w:right="0"/>
              <w:jc w:val="left"/>
              <w:rPr>
                <w:rFonts w:hint="eastAsia"/>
              </w:rPr>
            </w:pPr>
            <w:r>
              <w:rPr>
                <w:rFonts w:hint="eastAsia"/>
              </w:rPr>
              <w:t>政务服务平台中的A类数据遭受丢失、窃取、篡改、假冒，对政务服务平台直接造成整体性危害，导致对社会秩序、公共利益和个人隐私构成特别严重威胁；</w:t>
            </w:r>
          </w:p>
          <w:p>
            <w:pPr>
              <w:pStyle w:val="81"/>
              <w:keepNext w:val="0"/>
              <w:keepLines w:val="0"/>
              <w:suppressLineNumbers w:val="0"/>
              <w:spacing w:before="0" w:beforeAutospacing="0" w:after="0" w:afterAutospacing="0"/>
              <w:ind w:left="0" w:right="0"/>
              <w:jc w:val="left"/>
              <w:rPr>
                <w:rFonts w:hint="eastAsia"/>
              </w:rPr>
            </w:pPr>
            <w:r>
              <w:rPr>
                <w:rFonts w:hint="eastAsia"/>
              </w:rPr>
              <w:t>其他对国家安全、社会秩序、经济建设和公众利益构成严重威胁、造成严重影响的网络安全事件。</w:t>
            </w:r>
          </w:p>
        </w:tc>
        <w:tc>
          <w:tcPr>
            <w:tcW w:w="1682" w:type="dxa"/>
            <w:noWrap w:val="0"/>
            <w:vAlign w:val="center"/>
          </w:tcPr>
          <w:p>
            <w:pPr>
              <w:pStyle w:val="81"/>
              <w:keepNext w:val="0"/>
              <w:keepLines w:val="0"/>
              <w:suppressLineNumbers w:val="0"/>
              <w:spacing w:before="0" w:beforeAutospacing="0" w:after="0" w:afterAutospacing="0"/>
              <w:ind w:left="0" w:right="0"/>
              <w:rPr>
                <w:rFonts w:hint="eastAsia"/>
              </w:rPr>
            </w:pPr>
            <w:r>
              <w:rPr>
                <w:rFonts w:hint="eastAsia"/>
              </w:rPr>
              <w:t>即时响应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52" w:type="dxa"/>
            <w:tcBorders>
              <w:bottom w:val="single" w:color="auto" w:sz="4" w:space="0"/>
            </w:tcBorders>
            <w:noWrap w:val="0"/>
            <w:vAlign w:val="center"/>
          </w:tcPr>
          <w:p>
            <w:pPr>
              <w:pStyle w:val="81"/>
              <w:keepNext w:val="0"/>
              <w:keepLines w:val="0"/>
              <w:suppressLineNumbers w:val="0"/>
              <w:spacing w:before="0" w:beforeAutospacing="0" w:after="0" w:afterAutospacing="0"/>
              <w:ind w:left="0" w:right="0"/>
              <w:rPr>
                <w:rFonts w:hint="eastAsia"/>
              </w:rPr>
            </w:pPr>
            <w:r>
              <w:rPr>
                <w:rFonts w:hint="eastAsia"/>
              </w:rPr>
              <w:t>重大</w:t>
            </w:r>
          </w:p>
          <w:p>
            <w:pPr>
              <w:pStyle w:val="81"/>
              <w:keepNext w:val="0"/>
              <w:keepLines w:val="0"/>
              <w:suppressLineNumbers w:val="0"/>
              <w:spacing w:before="0" w:beforeAutospacing="0" w:after="0" w:afterAutospacing="0"/>
              <w:ind w:left="0" w:right="0"/>
              <w:rPr>
                <w:rFonts w:hint="eastAsia"/>
              </w:rPr>
            </w:pPr>
            <w:r>
              <w:rPr>
                <w:rFonts w:hint="eastAsia"/>
              </w:rPr>
              <w:t>（二级）</w:t>
            </w:r>
          </w:p>
        </w:tc>
        <w:tc>
          <w:tcPr>
            <w:tcW w:w="5388" w:type="dxa"/>
            <w:tcBorders>
              <w:bottom w:val="single" w:color="auto" w:sz="4" w:space="0"/>
            </w:tcBorders>
            <w:noWrap w:val="0"/>
            <w:vAlign w:val="center"/>
          </w:tcPr>
          <w:p>
            <w:pPr>
              <w:pStyle w:val="81"/>
              <w:keepNext w:val="0"/>
              <w:keepLines w:val="0"/>
              <w:suppressLineNumbers w:val="0"/>
              <w:spacing w:before="0" w:beforeAutospacing="0" w:after="0" w:afterAutospacing="0"/>
              <w:ind w:left="0" w:right="0"/>
              <w:jc w:val="left"/>
              <w:rPr>
                <w:rFonts w:hint="eastAsia"/>
              </w:rPr>
            </w:pPr>
            <w:r>
              <w:rPr>
                <w:rFonts w:hint="eastAsia"/>
              </w:rPr>
              <w:t xml:space="preserve">重大事件是指能够导致严重影响或破坏的信息安全事件，包括以下情况： </w:t>
            </w:r>
          </w:p>
          <w:p>
            <w:pPr>
              <w:pStyle w:val="81"/>
              <w:keepNext w:val="0"/>
              <w:keepLines w:val="0"/>
              <w:suppressLineNumbers w:val="0"/>
              <w:spacing w:before="0" w:beforeAutospacing="0" w:after="0" w:afterAutospacing="0"/>
              <w:ind w:left="0" w:right="0"/>
              <w:jc w:val="left"/>
              <w:rPr>
                <w:rFonts w:hint="eastAsia"/>
              </w:rPr>
            </w:pPr>
            <w:r>
              <w:rPr>
                <w:rFonts w:hint="eastAsia"/>
              </w:rPr>
              <w:t>任一核心应用系统中断10（含）~30分钟，导致政务服务平台无法对外提供政务服务；</w:t>
            </w:r>
          </w:p>
          <w:p>
            <w:pPr>
              <w:pStyle w:val="81"/>
              <w:keepNext w:val="0"/>
              <w:keepLines w:val="0"/>
              <w:suppressLineNumbers w:val="0"/>
              <w:spacing w:before="0" w:beforeAutospacing="0" w:after="0" w:afterAutospacing="0"/>
              <w:ind w:left="0" w:right="0"/>
              <w:jc w:val="left"/>
              <w:rPr>
                <w:rFonts w:hint="eastAsia"/>
              </w:rPr>
            </w:pPr>
            <w:r>
              <w:rPr>
                <w:rFonts w:hint="eastAsia"/>
              </w:rPr>
              <w:t>任一重要应用系统中断30分钟及以上，相关应用系统无法对外提供政务服务；</w:t>
            </w:r>
          </w:p>
          <w:p>
            <w:pPr>
              <w:pStyle w:val="81"/>
              <w:keepNext w:val="0"/>
              <w:keepLines w:val="0"/>
              <w:suppressLineNumbers w:val="0"/>
              <w:spacing w:before="0" w:beforeAutospacing="0" w:after="0" w:afterAutospacing="0"/>
              <w:ind w:left="0" w:right="0"/>
              <w:jc w:val="left"/>
              <w:rPr>
                <w:rFonts w:hint="eastAsia"/>
              </w:rPr>
            </w:pPr>
            <w:r>
              <w:rPr>
                <w:rFonts w:hint="eastAsia"/>
              </w:rPr>
              <w:t>政务服务平台中的B类数据遭受丢失、窃取、篡改、假冒，对自然人、法人造成直接影响和利益损害；</w:t>
            </w:r>
          </w:p>
          <w:p>
            <w:pPr>
              <w:pStyle w:val="81"/>
              <w:keepNext w:val="0"/>
              <w:keepLines w:val="0"/>
              <w:suppressLineNumbers w:val="0"/>
              <w:spacing w:before="0" w:beforeAutospacing="0" w:after="0" w:afterAutospacing="0"/>
              <w:ind w:left="0" w:right="0"/>
              <w:jc w:val="left"/>
              <w:rPr>
                <w:rFonts w:hint="eastAsia"/>
              </w:rPr>
            </w:pPr>
            <w:r>
              <w:rPr>
                <w:rFonts w:hint="eastAsia"/>
              </w:rPr>
              <w:t>其他对社会秩序、经济建设和公众利益构成比较严重威胁、造成比较严重影响的网络安全事件。</w:t>
            </w:r>
          </w:p>
        </w:tc>
        <w:tc>
          <w:tcPr>
            <w:tcW w:w="1682" w:type="dxa"/>
            <w:tcBorders>
              <w:bottom w:val="single" w:color="auto" w:sz="4" w:space="0"/>
            </w:tcBorders>
            <w:noWrap w:val="0"/>
            <w:vAlign w:val="center"/>
          </w:tcPr>
          <w:p>
            <w:pPr>
              <w:pStyle w:val="81"/>
              <w:keepNext w:val="0"/>
              <w:keepLines w:val="0"/>
              <w:suppressLineNumbers w:val="0"/>
              <w:spacing w:before="0" w:beforeAutospacing="0" w:after="0" w:afterAutospacing="0"/>
              <w:ind w:left="0" w:right="0"/>
              <w:rPr>
                <w:rFonts w:hint="eastAsia"/>
              </w:rPr>
            </w:pPr>
            <w:r>
              <w:rPr>
                <w:rFonts w:hint="eastAsia"/>
              </w:rPr>
              <w:t>即时响应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1452" w:type="dxa"/>
            <w:noWrap w:val="0"/>
            <w:vAlign w:val="center"/>
          </w:tcPr>
          <w:p>
            <w:pPr>
              <w:pStyle w:val="81"/>
              <w:keepNext w:val="0"/>
              <w:keepLines w:val="0"/>
              <w:suppressLineNumbers w:val="0"/>
              <w:spacing w:before="0" w:beforeAutospacing="0" w:after="0" w:afterAutospacing="0"/>
              <w:ind w:left="0" w:right="0"/>
              <w:rPr>
                <w:rFonts w:hint="eastAsia"/>
              </w:rPr>
            </w:pPr>
            <w:r>
              <w:rPr>
                <w:rFonts w:hint="eastAsia"/>
              </w:rPr>
              <w:t>较大</w:t>
            </w:r>
          </w:p>
          <w:p>
            <w:pPr>
              <w:pStyle w:val="81"/>
              <w:keepNext w:val="0"/>
              <w:keepLines w:val="0"/>
              <w:suppressLineNumbers w:val="0"/>
              <w:spacing w:before="0" w:beforeAutospacing="0" w:after="0" w:afterAutospacing="0"/>
              <w:ind w:left="0" w:right="0"/>
              <w:rPr>
                <w:rFonts w:hint="eastAsia"/>
              </w:rPr>
            </w:pPr>
            <w:r>
              <w:rPr>
                <w:rFonts w:hint="eastAsia"/>
              </w:rPr>
              <w:t>（三级）</w:t>
            </w:r>
          </w:p>
        </w:tc>
        <w:tc>
          <w:tcPr>
            <w:tcW w:w="5388" w:type="dxa"/>
            <w:noWrap w:val="0"/>
            <w:vAlign w:val="center"/>
          </w:tcPr>
          <w:p>
            <w:pPr>
              <w:pStyle w:val="81"/>
              <w:keepNext w:val="0"/>
              <w:keepLines w:val="0"/>
              <w:suppressLineNumbers w:val="0"/>
              <w:spacing w:before="0" w:beforeAutospacing="0" w:after="0" w:afterAutospacing="0"/>
              <w:ind w:left="0" w:right="0"/>
              <w:jc w:val="left"/>
              <w:rPr>
                <w:rFonts w:hint="eastAsia"/>
              </w:rPr>
            </w:pPr>
            <w:r>
              <w:rPr>
                <w:rFonts w:hint="eastAsia"/>
              </w:rPr>
              <w:t xml:space="preserve">较大事件是指能够导致较严重影响或破坏的信息安全事件，包括以下情况： </w:t>
            </w:r>
          </w:p>
          <w:p>
            <w:pPr>
              <w:pStyle w:val="81"/>
              <w:keepNext w:val="0"/>
              <w:keepLines w:val="0"/>
              <w:suppressLineNumbers w:val="0"/>
              <w:spacing w:before="0" w:beforeAutospacing="0" w:after="0" w:afterAutospacing="0"/>
              <w:ind w:left="0" w:right="0"/>
              <w:jc w:val="left"/>
              <w:rPr>
                <w:rFonts w:hint="eastAsia"/>
              </w:rPr>
            </w:pPr>
            <w:r>
              <w:rPr>
                <w:rFonts w:hint="eastAsia"/>
              </w:rPr>
              <w:t>任一核心应用系统中断5（含）~10分钟，导致政务服务平台无法对外提供政务服务；</w:t>
            </w:r>
          </w:p>
          <w:p>
            <w:pPr>
              <w:pStyle w:val="81"/>
              <w:keepNext w:val="0"/>
              <w:keepLines w:val="0"/>
              <w:suppressLineNumbers w:val="0"/>
              <w:spacing w:before="0" w:beforeAutospacing="0" w:after="0" w:afterAutospacing="0"/>
              <w:ind w:left="0" w:right="0"/>
              <w:jc w:val="left"/>
              <w:rPr>
                <w:rFonts w:hint="eastAsia"/>
              </w:rPr>
            </w:pPr>
            <w:r>
              <w:rPr>
                <w:rFonts w:hint="eastAsia"/>
              </w:rPr>
              <w:t>任一重要应用系统中断10（含）~30分钟，相关应用无法对外提供政务服务；</w:t>
            </w:r>
          </w:p>
          <w:p>
            <w:pPr>
              <w:pStyle w:val="81"/>
              <w:keepNext w:val="0"/>
              <w:keepLines w:val="0"/>
              <w:suppressLineNumbers w:val="0"/>
              <w:spacing w:before="0" w:beforeAutospacing="0" w:after="0" w:afterAutospacing="0"/>
              <w:ind w:left="0" w:right="0"/>
              <w:jc w:val="left"/>
              <w:rPr>
                <w:rFonts w:hint="eastAsia"/>
              </w:rPr>
            </w:pPr>
            <w:r>
              <w:rPr>
                <w:rFonts w:hint="eastAsia"/>
              </w:rPr>
              <w:t>政务服务平台中的C类数据遭受丢失、窃取、篡改、假冒，对自然人、法人造成一定程度的影响。</w:t>
            </w:r>
          </w:p>
        </w:tc>
        <w:tc>
          <w:tcPr>
            <w:tcW w:w="1682" w:type="dxa"/>
            <w:noWrap w:val="0"/>
            <w:vAlign w:val="center"/>
          </w:tcPr>
          <w:p>
            <w:pPr>
              <w:pStyle w:val="81"/>
              <w:keepNext w:val="0"/>
              <w:keepLines w:val="0"/>
              <w:suppressLineNumbers w:val="0"/>
              <w:spacing w:before="0" w:beforeAutospacing="0" w:after="0" w:afterAutospacing="0"/>
              <w:ind w:left="0" w:right="0"/>
              <w:rPr>
                <w:rFonts w:hint="eastAsia"/>
              </w:rPr>
            </w:pPr>
            <w:r>
              <w:rPr>
                <w:rFonts w:hint="eastAsia"/>
              </w:rPr>
              <w:t>即时响应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52" w:type="dxa"/>
            <w:noWrap w:val="0"/>
            <w:vAlign w:val="center"/>
          </w:tcPr>
          <w:p>
            <w:pPr>
              <w:pStyle w:val="81"/>
              <w:keepNext w:val="0"/>
              <w:keepLines w:val="0"/>
              <w:suppressLineNumbers w:val="0"/>
              <w:spacing w:before="0" w:beforeAutospacing="0" w:after="0" w:afterAutospacing="0"/>
              <w:ind w:left="0" w:right="0"/>
              <w:rPr>
                <w:rFonts w:hint="eastAsia"/>
              </w:rPr>
            </w:pPr>
            <w:r>
              <w:rPr>
                <w:rFonts w:hint="eastAsia"/>
              </w:rPr>
              <w:t>一般</w:t>
            </w:r>
          </w:p>
          <w:p>
            <w:pPr>
              <w:pStyle w:val="81"/>
              <w:keepNext w:val="0"/>
              <w:keepLines w:val="0"/>
              <w:suppressLineNumbers w:val="0"/>
              <w:spacing w:before="0" w:beforeAutospacing="0" w:after="0" w:afterAutospacing="0"/>
              <w:ind w:left="0" w:right="0"/>
              <w:rPr>
                <w:rFonts w:hint="eastAsia"/>
              </w:rPr>
            </w:pPr>
            <w:r>
              <w:rPr>
                <w:rFonts w:hint="eastAsia"/>
              </w:rPr>
              <w:t>（四级）</w:t>
            </w:r>
          </w:p>
        </w:tc>
        <w:tc>
          <w:tcPr>
            <w:tcW w:w="5388" w:type="dxa"/>
            <w:noWrap w:val="0"/>
            <w:vAlign w:val="center"/>
          </w:tcPr>
          <w:p>
            <w:pPr>
              <w:pStyle w:val="81"/>
              <w:keepNext w:val="0"/>
              <w:keepLines w:val="0"/>
              <w:suppressLineNumbers w:val="0"/>
              <w:spacing w:before="0" w:beforeAutospacing="0" w:after="0" w:afterAutospacing="0"/>
              <w:ind w:left="0" w:right="0"/>
              <w:jc w:val="left"/>
              <w:rPr>
                <w:rFonts w:hint="eastAsia"/>
              </w:rPr>
            </w:pPr>
            <w:r>
              <w:rPr>
                <w:rFonts w:hint="eastAsia"/>
              </w:rPr>
              <w:t xml:space="preserve">一般事件是指不满足以上条件的信息安全事件，包括以下情况： </w:t>
            </w:r>
          </w:p>
          <w:p>
            <w:pPr>
              <w:pStyle w:val="81"/>
              <w:keepNext w:val="0"/>
              <w:keepLines w:val="0"/>
              <w:suppressLineNumbers w:val="0"/>
              <w:spacing w:before="0" w:beforeAutospacing="0" w:after="0" w:afterAutospacing="0"/>
              <w:ind w:left="0" w:right="0"/>
              <w:jc w:val="left"/>
              <w:rPr>
                <w:rFonts w:hint="eastAsia"/>
              </w:rPr>
            </w:pPr>
            <w:r>
              <w:rPr>
                <w:rFonts w:hint="eastAsia"/>
              </w:rPr>
              <w:t>政务服务平台应用运行不稳定，并有周期性的中断；系统运行效率大幅降低，或呈明显降低趋势；</w:t>
            </w:r>
          </w:p>
          <w:p>
            <w:pPr>
              <w:pStyle w:val="81"/>
              <w:keepNext w:val="0"/>
              <w:keepLines w:val="0"/>
              <w:suppressLineNumbers w:val="0"/>
              <w:spacing w:before="0" w:beforeAutospacing="0" w:after="0" w:afterAutospacing="0"/>
              <w:ind w:left="0" w:right="0"/>
              <w:jc w:val="left"/>
              <w:rPr>
                <w:rFonts w:hint="eastAsia"/>
              </w:rPr>
            </w:pPr>
            <w:r>
              <w:rPr>
                <w:rFonts w:hint="eastAsia"/>
              </w:rPr>
              <w:t>政务服务平台中的D类数据遭受丢失、窃取、篡改、假冒，对政务服务平台一定程度的社会影响；</w:t>
            </w:r>
          </w:p>
          <w:p>
            <w:pPr>
              <w:pStyle w:val="81"/>
              <w:keepNext w:val="0"/>
              <w:keepLines w:val="0"/>
              <w:suppressLineNumbers w:val="0"/>
              <w:spacing w:before="0" w:beforeAutospacing="0" w:after="0" w:afterAutospacing="0"/>
              <w:ind w:left="0" w:right="0"/>
              <w:jc w:val="left"/>
              <w:rPr>
                <w:rFonts w:hint="eastAsia"/>
              </w:rPr>
            </w:pPr>
            <w:r>
              <w:rPr>
                <w:rFonts w:hint="eastAsia"/>
              </w:rPr>
              <w:t>除上述情形外，对国家安全、社会秩序、经济建设和公众利益构成一定威胁、造成一定影响的网络安全事件。</w:t>
            </w:r>
          </w:p>
        </w:tc>
        <w:tc>
          <w:tcPr>
            <w:tcW w:w="1682" w:type="dxa"/>
            <w:noWrap w:val="0"/>
            <w:vAlign w:val="center"/>
          </w:tcPr>
          <w:p>
            <w:pPr>
              <w:pStyle w:val="81"/>
              <w:keepNext w:val="0"/>
              <w:keepLines w:val="0"/>
              <w:suppressLineNumbers w:val="0"/>
              <w:spacing w:before="0" w:beforeAutospacing="0" w:after="0" w:afterAutospacing="0"/>
              <w:ind w:left="0" w:right="0"/>
              <w:rPr>
                <w:rFonts w:hint="eastAsia"/>
              </w:rPr>
            </w:pPr>
            <w:r>
              <w:rPr>
                <w:rFonts w:hint="eastAsia"/>
              </w:rPr>
              <w:t>即时响应</w:t>
            </w:r>
          </w:p>
        </w:tc>
      </w:t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tbl>
    <w:p>
      <w:pPr>
        <w:rPr>
          <w:rFonts w:hint="eastAsia"/>
          <w:lang w:eastAsia="zh-CN"/>
        </w:rPr>
      </w:pPr>
    </w:p>
    <w:sectPr>
      <w:headerReference r:id="rId13" w:type="first"/>
      <w:footerReference r:id="rId15" w:type="first"/>
      <w:footerReference r:id="rId14" w:type="default"/>
      <w:pgSz w:w="11907" w:h="16840"/>
      <w:pgMar w:top="1417" w:right="1417" w:bottom="1417" w:left="1417" w:header="851" w:footer="992" w:gutter="0"/>
      <w:pgBorders>
        <w:top w:val="none" w:sz="0" w:space="0"/>
        <w:left w:val="none" w:sz="0" w:space="0"/>
        <w:bottom w:val="none" w:sz="0" w:space="0"/>
        <w:right w:val="none" w:sz="0" w:space="0"/>
      </w:pgBorders>
      <w:pgNumType w:fmt="decimal"/>
      <w:cols w:space="425" w:num="1"/>
      <w:titlePg/>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01"/>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roman"/>
    <w:pitch w:val="default"/>
    <w:sig w:usb0="00000000" w:usb1="00000000" w:usb2="02000000" w:usb3="00000000" w:csb0="2000019F" w:csb1="00000000"/>
  </w:font>
  <w:font w:name="Book Antiqua">
    <w:altName w:val="FreeSerif"/>
    <w:panose1 w:val="02040602050305030304"/>
    <w:charset w:val="00"/>
    <w:family w:val="roman"/>
    <w:pitch w:val="default"/>
    <w:sig w:usb0="00000000" w:usb1="00000000" w:usb2="00000000" w:usb3="00000000" w:csb0="2000009F" w:csb1="DFD70000"/>
  </w:font>
  <w:font w:name="??">
    <w:altName w:val="华文仿宋"/>
    <w:panose1 w:val="00000000000000000000"/>
    <w:charset w:val="00"/>
    <w:family w:val="auto"/>
    <w:pitch w:val="default"/>
    <w:sig w:usb0="00000000" w:usb1="00000000" w:usb2="00000000" w:usb3="00000000" w:csb0="00040001" w:csb1="00000000"/>
  </w:font>
  <w:font w:name="Wingdings 2">
    <w:altName w:val="Standard Symbols PS"/>
    <w:panose1 w:val="05020102010507070707"/>
    <w:charset w:val="02"/>
    <w:family w:val="roman"/>
    <w:pitch w:val="default"/>
    <w:sig w:usb0="00000000" w:usb1="00000000" w:usb2="00000000" w:usb3="00000000" w:csb0="80000000" w:csb1="00000000"/>
  </w:font>
  <w:font w:name="仿宋">
    <w:altName w:val="方正仿宋_GBK"/>
    <w:panose1 w:val="02010609060101010101"/>
    <w:charset w:val="86"/>
    <w:family w:val="modern"/>
    <w:pitch w:val="default"/>
    <w:sig w:usb0="00000000" w:usb1="00000000" w:usb2="00000016" w:usb3="00000000" w:csb0="00040001" w:csb1="00000000"/>
  </w:font>
  <w:font w:name="Helvetica">
    <w:altName w:val="Liberation Sans"/>
    <w:panose1 w:val="020B0604020202020204"/>
    <w:charset w:val="00"/>
    <w:family w:val="swiss"/>
    <w:pitch w:val="default"/>
    <w:sig w:usb0="00000000" w:usb1="00000000" w:usb2="00000009" w:usb3="00000000" w:csb0="000001F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 w:name="FreeSerif">
    <w:panose1 w:val="02020603050405020304"/>
    <w:charset w:val="00"/>
    <w:family w:val="auto"/>
    <w:pitch w:val="default"/>
    <w:sig w:usb0="E59FAFFF" w:usb1="C200FDFF" w:usb2="43501B29" w:usb3="04000043" w:csb0="600101FF" w:csb1="FFFF0000"/>
  </w:font>
  <w:font w:name="Liberation Serif">
    <w:panose1 w:val="02020603050405020304"/>
    <w:charset w:val="00"/>
    <w:family w:val="auto"/>
    <w:pitch w:val="default"/>
    <w:sig w:usb0="A00002AF" w:usb1="500078FB" w:usb2="00000000" w:usb3="00000000" w:csb0="6000009F" w:csb1="DFD70000"/>
  </w:font>
  <w:font w:name="Nimbus Roman No9 L">
    <w:panose1 w:val="00000000000000000000"/>
    <w:charset w:val="00"/>
    <w:family w:val="auto"/>
    <w:pitch w:val="default"/>
    <w:sig w:usb0="00000000" w:usb1="00000000" w:usb2="00000000" w:usb3="00000000" w:csb0="00000000" w:csb1="00000000"/>
  </w:font>
  <w:font w:name="Noto Sans Symbols2">
    <w:panose1 w:val="020B0502040504020204"/>
    <w:charset w:val="00"/>
    <w:family w:val="auto"/>
    <w:pitch w:val="default"/>
    <w:sig w:usb0="80000003" w:usb1="0200E3E4" w:usb2="00040020" w:usb3="0580A048" w:csb0="00000001" w:csb1="00000000"/>
  </w:font>
  <w:font w:name="Liberation Sans">
    <w:panose1 w:val="020B0604020202020204"/>
    <w:charset w:val="00"/>
    <w:family w:val="auto"/>
    <w:pitch w:val="default"/>
    <w:sig w:usb0="A00002AF" w:usb1="500078FB" w:usb2="00000000" w:usb3="00000000" w:csb0="6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ind w:firstLine="0" w:firstLineChars="0"/>
    </w:pPr>
  </w:p>
  <w:p>
    <w:pPr>
      <w:tabs>
        <w:tab w:val="center" w:pos="4153"/>
        <w:tab w:val="right" w:pos="8306"/>
      </w:tabs>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firstLine="480"/>
                            <w:jc w:val="center"/>
                          </w:pPr>
                          <w:r>
                            <w:rPr>
                              <w:rFonts w:hint="eastAsia"/>
                            </w:rPr>
                            <w:t xml:space="preserve">                               </w:t>
                          </w:r>
                          <w:r>
                            <w:fldChar w:fldCharType="begin"/>
                          </w:r>
                          <w:r>
                            <w:instrText xml:space="preserve">PAGE   \* MERGEFORMAT</w:instrText>
                          </w:r>
                          <w:r>
                            <w:fldChar w:fldCharType="separate"/>
                          </w:r>
                          <w:r>
                            <w:rPr>
                              <w:lang w:val="zh-CN"/>
                            </w:rPr>
                            <w:t>VII</w:t>
                          </w:r>
                          <w:r>
                            <w:rPr>
                              <w:lang w:val="zh-CN"/>
                            </w:rPr>
                            <w:fldChar w:fldCharType="end"/>
                          </w:r>
                          <w:r>
                            <w:rPr>
                              <w:rFonts w:hint="eastAsia"/>
                              <w:b/>
                            </w:rPr>
                            <w:tab/>
                          </w:r>
                          <w:r>
                            <w:rPr>
                              <w:rFonts w:hint="eastAsia"/>
                              <w:b/>
                            </w:rPr>
                            <w:t xml:space="preserve">               </w:t>
                          </w: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7m8jFQIAABsEAAAOAAAAZHJz&#10;L2Uyb0RvYy54bWytU8uO0zAU3SPxD5b3NGkRQ1U1HZUZFSGNmJEKYu06dhvJL9luk/IB8Aes2LCf&#10;7+p3cOwmHQSsEBvnvnIf5547v+60IgfhQ2NNRcejkhJhuK0bs63oxw+rF1NKQmSmZsoaUdGjCPR6&#10;8fzZvHUzMbE7q2rhCZKYMGtdRXcxullRBL4TmoWRdcLAKa3XLEL126L2rEV2rYpJWV4VrfW185aL&#10;EGC9PTvpIueXUvB4L2UQkaiKoreYX5/fTXqLxZzNtp65XcP7Ntg/dKFZY1D0kuqWRUb2vvkjlW64&#10;t8HKOOJWF1bKhos8A6YZl79Ns94xJ/IsACe4C0zh/6Xl7w8PnjQ1dveaEsM0dnT69vX0/fH04wuB&#10;DQC1LswQt3aIjN0b21U0+r0YXAH2NHonvU5fDEUQArSPF4RFFwmHcTydTKclXBy+QUGJ4ul350N8&#10;K6wmSaioxwozsuxwF+I5dAhJ1YxdNUrlNSpD2opevXxV5h8uHiRXBjXSHOdmkxS7TdcPt7H1EbN5&#10;e6ZHcHzVoPgdC/GBefABDYPj8R6PVBZFbC9RsrP+89/sKR5rgpeSFvyqqMEBUKLeGawvUXEQ/CBs&#10;BsHs9Y0FYce4HceziB98VIMovdWfQPxlqiGZCkjMDEc1rGYQbyK03okD4mK5vOggn2Pxzqwd75eZ&#10;sAxuuY/AM8OcMDoD00MHBuZF9deSKP6rnqOebnrx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LNJ&#10;WO7QAAAABQEAAA8AAAAAAAAAAQAgAAAAOAAAAGRycy9kb3ducmV2LnhtbFBLAQIUABQAAAAIAIdO&#10;4kC+7m8jFQIAABsEAAAOAAAAAAAAAAEAIAAAADUBAABkcnMvZTJvRG9jLnhtbFBLBQYAAAAABgAG&#10;AFkBAAC8BQAAAAA=&#10;">
              <v:fill on="f" focussize="0,0"/>
              <v:stroke on="f" weight="0.5pt"/>
              <v:imagedata o:title=""/>
              <o:lock v:ext="edit" aspectratio="f"/>
              <v:textbox inset="0mm,0mm,0mm,0mm" style="mso-fit-shape-to-text:t;">
                <w:txbxContent>
                  <w:p>
                    <w:pPr>
                      <w:ind w:firstLine="480"/>
                      <w:jc w:val="center"/>
                    </w:pPr>
                    <w:r>
                      <w:rPr>
                        <w:rFonts w:hint="eastAsia"/>
                      </w:rPr>
                      <w:t xml:space="preserve">                               </w:t>
                    </w:r>
                    <w:r>
                      <w:fldChar w:fldCharType="begin"/>
                    </w:r>
                    <w:r>
                      <w:instrText xml:space="preserve">PAGE   \* MERGEFORMAT</w:instrText>
                    </w:r>
                    <w:r>
                      <w:fldChar w:fldCharType="separate"/>
                    </w:r>
                    <w:r>
                      <w:rPr>
                        <w:lang w:val="zh-CN"/>
                      </w:rPr>
                      <w:t>VII</w:t>
                    </w:r>
                    <w:r>
                      <w:rPr>
                        <w:lang w:val="zh-CN"/>
                      </w:rPr>
                      <w:fldChar w:fldCharType="end"/>
                    </w:r>
                    <w:r>
                      <w:rPr>
                        <w:rFonts w:hint="eastAsia"/>
                        <w:b/>
                      </w:rPr>
                      <w:tab/>
                    </w:r>
                    <w:r>
                      <w:rPr>
                        <w:rFonts w:hint="eastAsia"/>
                        <w:b/>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0"/>
      </w:pBdr>
      <w:ind w:firstLine="482"/>
      <w:jc w:val="right"/>
    </w:pPr>
    <w:r>
      <w:rPr>
        <w:rFonts w:hint="eastAsia"/>
        <w:b/>
      </w:rPr>
      <w:tab/>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714375" cy="142875"/>
              <wp:effectExtent l="0" t="0" r="0" b="0"/>
              <wp:wrapNone/>
              <wp:docPr id="29" name="文本框 29"/>
              <wp:cNvGraphicFramePr/>
              <a:graphic xmlns:a="http://schemas.openxmlformats.org/drawingml/2006/main">
                <a:graphicData uri="http://schemas.microsoft.com/office/word/2010/wordprocessingShape">
                  <wps:wsp>
                    <wps:cNvSpPr txBox="true"/>
                    <wps:spPr>
                      <a:xfrm>
                        <a:off x="0" y="0"/>
                        <a:ext cx="714375" cy="142875"/>
                      </a:xfrm>
                      <a:prstGeom prst="rect">
                        <a:avLst/>
                      </a:prstGeom>
                      <a:noFill/>
                      <a:ln w="6350">
                        <a:noFill/>
                      </a:ln>
                      <a:effectLst/>
                    </wps:spPr>
                    <wps:txbx>
                      <w:txbxContent>
                        <w:p>
                          <w:pPr>
                            <w:ind w:firstLine="360"/>
                            <w:jc w:val="center"/>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X</w:t>
                          </w:r>
                          <w:r>
                            <w:rPr>
                              <w:sz w:val="18"/>
                              <w:szCs w:val="18"/>
                            </w:rPr>
                            <w:fldChar w:fldCharType="end"/>
                          </w:r>
                          <w:r>
                            <w:rPr>
                              <w:sz w:val="18"/>
                              <w:szCs w:val="18"/>
                            </w:rPr>
                            <w:t xml:space="preserve"> 页</w:t>
                          </w: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top:0pt;height:11.25pt;width:56.25pt;mso-position-horizontal:center;mso-position-horizontal-relative:margin;z-index:251661312;mso-width-relative:page;mso-height-relative:page;" filled="f" stroked="f" coordsize="21600,21600" o:gfxdata="UEsFBgAAAAAAAAAAAAAAAAAAAAAAAFBLAwQKAAAAAACHTuJAAAAAAAAAAAAAAAAABAAAAGRycy9Q&#10;SwMEFAAAAAgAh07iQOxrjiXSAAAABAEAAA8AAABkcnMvZG93bnJldi54bWxNj0tPxDAMhO9I/IfI&#10;SNzYpJVAqDTdA48bzwUkuKWNaSsSp0rc7vLvyXJZLh5ZY818rtc778SCMY2BNBQrBQKpC3akXsPb&#10;693ZJYjEhqxxgVDDDyZYN8dHtals2NILLhvuRQ6hVBkNA/NUSZm6Ab1JqzAhZe8rRG84r7GXNppt&#10;DvdOlkpdSG9Gyg2DmfB6wO57M3sN7iPF+1bx53LTP/Dzk5zfb4tHrU9PCnUFgnHHh2PY42d0aDJT&#10;G2aySTgN+RH+m3uvKM9BtBrKrLKp5X/45hdQSwMEFAAAAAgAh07iQGRyYFghAgAAKQQAAA4AAABk&#10;cnMvZTJvRG9jLnhtbK1TzY7TMBC+I/EOlu80bfeXqumq7KoIqWJXKoiz69iNJdtjbLdJeQB4A05c&#10;uPNc+xyMnaSLgBPi4sxf5uebb+Y3rdHkIHxQYEs6GY0pEZZDpeyupO/frV5cUxIisxXTYEVJjyLQ&#10;m8XzZ/PGzcQUatCV8AST2DBrXEnrGN2sKAKvhWFhBE5YdErwhkVU/a6oPGswu9HFdDy+LBrwlfPA&#10;RQhoveucdJHzSyl4vJcyiEh0SbG3mF+f3216i8WczXaeuVrxvg32D10YpiwWPaW6Y5GRvVd/pDKK&#10;ewgg44iDKUBKxUWeAaeZjH+bZlMzJ/IsCE5wJ5jC/0vL3x4ePFFVSacvKbHM4I4ev355/Pbj8ftn&#10;gjYEqHFhhnEbh5GxfQVtSaPfi8EV0J5Gb6U36YtDEQxBtI8nhEUbCUfj1eT87OqCEo6uyfn0GmUs&#10;UDz97HyIrwUYkoSSelxgxpUd1iF2oUNIqmVhpbTOS9SWNCW9PLsY5x9OHkyubYoVmQ59mjRT13iS&#10;Yrtt+0G3UB1xTg8dVYLjK4WtrFmID8wjN3Au5Hu8x0dqwJLQS5TU4D/9zZ7icWXopaRBrpU0fNwz&#10;LyjRbywuMxFzEPwgbAfB7s0tIH0neEmOZxF/8FEPovRgPuAZLFMVyXTAxMxyrIeLGsTbiFrvxHPi&#10;Yrk86UhFx+LabhzvV9thu9xHkCrDnlDqoMF1JQX5mBfX304i/K96jnq68MV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FgAAAGRycy9QSwEC&#10;FAAUAAAACACHTuJA7GuOJdIAAAAEAQAADwAAAAAAAAABACAAAAA4AAAAZHJzL2Rvd25yZXYueG1s&#10;UEsBAhQAFAAAAAgAh07iQGRyYFghAgAAKQQAAA4AAAAAAAAAAQAgAAAANwEAAGRycy9lMm9Eb2Mu&#10;eG1sUEsFBgAAAAAGAAYAWQEAAMoFAAAAAA==&#10;">
              <v:fill on="f" focussize="0,0"/>
              <v:stroke on="f" weight="0.5pt"/>
              <v:imagedata o:title=""/>
              <o:lock v:ext="edit" aspectratio="f"/>
              <v:textbox inset="0mm,0mm,0mm,0mm">
                <w:txbxContent>
                  <w:p>
                    <w:pPr>
                      <w:ind w:firstLine="360"/>
                      <w:jc w:val="center"/>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X</w:t>
                    </w:r>
                    <w:r>
                      <w:rPr>
                        <w:sz w:val="18"/>
                        <w:szCs w:val="18"/>
                      </w:rPr>
                      <w:fldChar w:fldCharType="end"/>
                    </w:r>
                    <w:r>
                      <w:rPr>
                        <w:sz w:val="18"/>
                        <w:szCs w:val="18"/>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0"/>
      </w:pBdr>
      <w:ind w:firstLine="482"/>
      <w:jc w:val="right"/>
    </w:pPr>
    <w:r>
      <w:rPr>
        <w:rFonts w:hint="eastAsia"/>
        <w:b/>
      </w:rPr>
      <w:tab/>
    </w:r>
    <w:r>
      <w:rPr>
        <w:rFonts w:hint="eastAsia"/>
        <w:b/>
        <w:bCs/>
        <w:sz w:val="18"/>
        <w:szCs w:val="18"/>
      </w:rPr>
      <w:t>广东省电信规划设计院有限公司</w: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14375" cy="142875"/>
              <wp:effectExtent l="0" t="0" r="0" b="0"/>
              <wp:wrapNone/>
              <wp:docPr id="26" name="文本框 26"/>
              <wp:cNvGraphicFramePr/>
              <a:graphic xmlns:a="http://schemas.openxmlformats.org/drawingml/2006/main">
                <a:graphicData uri="http://schemas.microsoft.com/office/word/2010/wordprocessingShape">
                  <wps:wsp>
                    <wps:cNvSpPr txBox="true"/>
                    <wps:spPr>
                      <a:xfrm>
                        <a:off x="0" y="0"/>
                        <a:ext cx="714375" cy="142875"/>
                      </a:xfrm>
                      <a:prstGeom prst="rect">
                        <a:avLst/>
                      </a:prstGeom>
                      <a:noFill/>
                      <a:ln w="6350">
                        <a:noFill/>
                      </a:ln>
                      <a:effectLst/>
                    </wps:spPr>
                    <wps:txbx>
                      <w:txbxContent>
                        <w:p>
                          <w:pPr>
                            <w:ind w:firstLine="360"/>
                            <w:jc w:val="center"/>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IX</w:t>
                          </w:r>
                          <w:r>
                            <w:rPr>
                              <w:sz w:val="18"/>
                              <w:szCs w:val="18"/>
                            </w:rPr>
                            <w:fldChar w:fldCharType="end"/>
                          </w:r>
                          <w:r>
                            <w:rPr>
                              <w:sz w:val="18"/>
                              <w:szCs w:val="18"/>
                            </w:rPr>
                            <w:t xml:space="preserve"> 页</w:t>
                          </w: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top:0pt;height:11.25pt;width:56.25pt;mso-position-horizontal:center;mso-position-horizontal-relative:margin;z-index:251660288;mso-width-relative:page;mso-height-relative:page;" filled="f" stroked="f" coordsize="21600,21600" o:gfxdata="UEsFBgAAAAAAAAAAAAAAAAAAAAAAAFBLAwQKAAAAAACHTuJAAAAAAAAAAAAAAAAABAAAAGRycy9Q&#10;SwMEFAAAAAgAh07iQOxrjiXSAAAABAEAAA8AAABkcnMvZG93bnJldi54bWxNj0tPxDAMhO9I/IfI&#10;SNzYpJVAqDTdA48bzwUkuKWNaSsSp0rc7vLvyXJZLh5ZY818rtc778SCMY2BNBQrBQKpC3akXsPb&#10;693ZJYjEhqxxgVDDDyZYN8dHtals2NILLhvuRQ6hVBkNA/NUSZm6Ab1JqzAhZe8rRG84r7GXNppt&#10;DvdOlkpdSG9Gyg2DmfB6wO57M3sN7iPF+1bx53LTP/Dzk5zfb4tHrU9PCnUFgnHHh2PY42d0aDJT&#10;G2aySTgN+RH+m3uvKM9BtBrKrLKp5X/45hdQSwMEFAAAAAgAh07iQGbFRl8jAgAAKQQAAA4AAABk&#10;cnMvZTJvRG9jLnhtbK1TzY7TMBC+I/EOlu80aXe3u6qarsquipAqdqWCOLuO3USyPcZ2m5QHgDfg&#10;tBfuPFefg7GTdBFwQlyc+cv8fPPN/LbVihyE8zWYgo5HOSXCcChrsyvoh/erVzeU+MBMyRQYUdCj&#10;8PR28fLFvLEzMYEKVCkcwSTGzxpb0CoEO8syzyuhmR+BFQadEpxmAVW3y0rHGsyuVTbJ82nWgCut&#10;Ay68R+t956SLlF9KwcODlF4EogqKvYX0uvRu45st5my2c8xWNe/bYP/QhWa1waLnVPcsMLJ39R+p&#10;dM0deJBhxEFnIGXNRZoBpxnnv02zqZgVaRYEx9szTP7/peXvDo+O1GVBJ1NKDNO4o9O3r6enH6fv&#10;XwjaEKDG+hnGbSxGhvY1tAUNbi8Gl0d7HL2VTscvDkUwBNE+nhEWbSAcjdfjy4vrK0o4usaXkxuU&#10;sUD2/LN1PrwRoEkUCupwgQlXdlj70IUOIbGWgVWtVFqiMqQp6PTiKk8/nD2YXJkYKxId+jRxpq7x&#10;KIV22/aDbqE84pwOOqp4y1c1trJmPjwyh9zAuZDv4QEfqQBLQi9RUoH7/Dd7jMeVoZeSBrlWUP9p&#10;z5ygRL01uMxIzEFwg7AdBLPXd4D0HeMlWZ5E/MEFNYjSgf6IZ7CMVSRTHhMzw7EeLmoQ7wJqvRPP&#10;iYvl8qwjFS0La7OxvF9th+1yH0DWCfaIUgcNrisqyMe0uP52IuF/1VPU84Uvfg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WAAAAZHJzL1BL&#10;AQIUABQAAAAIAIdO4kDsa44l0gAAAAQBAAAPAAAAAAAAAAEAIAAAADgAAABkcnMvZG93bnJldi54&#10;bWxQSwECFAAUAAAACACHTuJAZsVGXyMCAAApBAAADgAAAAAAAAABACAAAAA3AQAAZHJzL2Uyb0Rv&#10;Yy54bWxQSwUGAAAAAAYABgBZAQAAzAUAAAAA&#10;">
              <v:fill on="f" focussize="0,0"/>
              <v:stroke on="f" weight="0.5pt"/>
              <v:imagedata o:title=""/>
              <o:lock v:ext="edit" aspectratio="f"/>
              <v:textbox inset="0mm,0mm,0mm,0mm">
                <w:txbxContent>
                  <w:p>
                    <w:pPr>
                      <w:ind w:firstLine="360"/>
                      <w:jc w:val="center"/>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IX</w:t>
                    </w:r>
                    <w:r>
                      <w:rPr>
                        <w:sz w:val="18"/>
                        <w:szCs w:val="18"/>
                      </w:rPr>
                      <w:fldChar w:fldCharType="end"/>
                    </w:r>
                    <w:r>
                      <w:rPr>
                        <w:sz w:val="18"/>
                        <w:szCs w:val="18"/>
                      </w:rPr>
                      <w:t xml:space="preserve"> 页</w:t>
                    </w:r>
                  </w:p>
                </w:txbxContent>
              </v:textbox>
            </v:shape>
          </w:pict>
        </mc:Fallback>
      </mc:AlternateContent>
    </w:r>
    <w:r>
      <w:rPr>
        <w:rFonts w:hint="eastAsia"/>
      </w:rPr>
      <w:t xml:space="preserve"> </w:t>
    </w:r>
  </w:p>
  <w:p>
    <w:pPr>
      <w:ind w:firstLine="48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tabs>
        <w:tab w:val="center" w:pos="4153"/>
        <w:tab w:val="right"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bottom w:val="single" w:color="auto" w:sz="4" w:space="0"/>
      </w:pBdr>
      <w:snapToGrid w:val="0"/>
      <w:spacing w:line="240" w:lineRule="auto"/>
      <w:ind w:firstLine="0" w:firstLineChars="0"/>
      <w:jc w:val="right"/>
      <w:textAlignment w:val="baseline"/>
      <w:rPr>
        <w:b/>
        <w:bCs/>
        <w:sz w:val="18"/>
        <w:szCs w:val="18"/>
      </w:rPr>
    </w:pPr>
    <w:r>
      <w:rPr>
        <w:rFonts w:hint="eastAsia"/>
        <w:b/>
        <w:bCs/>
        <w:sz w:val="18"/>
        <w:szCs w:val="18"/>
      </w:rPr>
      <w:t>中山市三角镇绿色化工园区基础设施建设项目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0"/>
      </w:pBdr>
      <w:ind w:firstLine="361"/>
      <w:jc w:val="right"/>
      <w:rPr>
        <w:rFonts w:hint="eastAsia" w:eastAsia="宋体"/>
        <w:b/>
        <w:bCs/>
        <w:lang w:eastAsia="zh-CN"/>
      </w:rPr>
    </w:pPr>
    <w:r>
      <w:rPr>
        <w:rFonts w:hint="eastAsia"/>
        <w:b/>
        <w:bCs/>
        <w:sz w:val="18"/>
        <w:szCs w:val="18"/>
      </w:rPr>
      <w:t>珠海市</w:t>
    </w:r>
    <w:r>
      <w:rPr>
        <w:rFonts w:hint="eastAsia"/>
        <w:b/>
        <w:bCs/>
        <w:sz w:val="18"/>
        <w:szCs w:val="18"/>
        <w:lang w:eastAsia="zh-CN"/>
      </w:rPr>
      <w:t>斗门区市民服务中心信息化工程项目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0"/>
      </w:pBdr>
      <w:ind w:firstLine="480"/>
      <w:jc w:val="right"/>
    </w:pPr>
    <w:r>
      <w:rPr>
        <w:rFonts w:hint="eastAsia"/>
      </w:rPr>
      <w:t>市民服务中心（政务服务中心)信息化建设项目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6DDB49"/>
    <w:multiLevelType w:val="singleLevel"/>
    <w:tmpl w:val="806DDB49"/>
    <w:lvl w:ilvl="0" w:tentative="0">
      <w:start w:val="1"/>
      <w:numFmt w:val="bullet"/>
      <w:lvlText w:val=""/>
      <w:lvlJc w:val="left"/>
      <w:pPr>
        <w:ind w:left="420" w:hanging="420"/>
      </w:pPr>
      <w:rPr>
        <w:rFonts w:hint="default" w:ascii="Wingdings" w:hAnsi="Wingdings"/>
      </w:rPr>
    </w:lvl>
  </w:abstractNum>
  <w:abstractNum w:abstractNumId="1">
    <w:nsid w:val="8585F404"/>
    <w:multiLevelType w:val="singleLevel"/>
    <w:tmpl w:val="8585F404"/>
    <w:lvl w:ilvl="0" w:tentative="0">
      <w:start w:val="1"/>
      <w:numFmt w:val="chineseCounting"/>
      <w:suff w:val="nothing"/>
      <w:lvlText w:val="%1、"/>
      <w:lvlJc w:val="left"/>
      <w:pPr>
        <w:ind w:left="0" w:firstLine="420"/>
      </w:pPr>
      <w:rPr>
        <w:rFonts w:hint="eastAsia"/>
      </w:rPr>
    </w:lvl>
  </w:abstractNum>
  <w:abstractNum w:abstractNumId="2">
    <w:nsid w:val="A00A2909"/>
    <w:multiLevelType w:val="singleLevel"/>
    <w:tmpl w:val="A00A2909"/>
    <w:lvl w:ilvl="0" w:tentative="0">
      <w:start w:val="1"/>
      <w:numFmt w:val="decimal"/>
      <w:suff w:val="nothing"/>
      <w:lvlText w:val="%1、"/>
      <w:lvlJc w:val="left"/>
    </w:lvl>
  </w:abstractNum>
  <w:abstractNum w:abstractNumId="3">
    <w:nsid w:val="A4E737B9"/>
    <w:multiLevelType w:val="singleLevel"/>
    <w:tmpl w:val="A4E737B9"/>
    <w:lvl w:ilvl="0" w:tentative="0">
      <w:start w:val="1"/>
      <w:numFmt w:val="decimal"/>
      <w:suff w:val="nothing"/>
      <w:lvlText w:val="（%1）"/>
      <w:lvlJc w:val="left"/>
    </w:lvl>
  </w:abstractNum>
  <w:abstractNum w:abstractNumId="4">
    <w:nsid w:val="B8506431"/>
    <w:multiLevelType w:val="singleLevel"/>
    <w:tmpl w:val="B8506431"/>
    <w:lvl w:ilvl="0" w:tentative="0">
      <w:start w:val="1"/>
      <w:numFmt w:val="decimal"/>
      <w:suff w:val="nothing"/>
      <w:lvlText w:val="%1、"/>
      <w:lvlJc w:val="left"/>
    </w:lvl>
  </w:abstractNum>
  <w:abstractNum w:abstractNumId="5">
    <w:nsid w:val="DA02C692"/>
    <w:multiLevelType w:val="multilevel"/>
    <w:tmpl w:val="DA02C692"/>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ascii="黑体" w:hAnsi="黑体" w:eastAsia="黑体" w:cs="黑体"/>
      </w:rPr>
    </w:lvl>
    <w:lvl w:ilvl="3" w:tentative="0">
      <w:start w:val="1"/>
      <w:numFmt w:val="decimal"/>
      <w:pStyle w:val="5"/>
      <w:lvlText w:val="%1.%2.%3.%4."/>
      <w:lvlJc w:val="left"/>
      <w:pPr>
        <w:ind w:left="864" w:hanging="864"/>
      </w:pPr>
      <w:rPr>
        <w:rFonts w:hint="default" w:ascii="黑体" w:hAnsi="黑体" w:eastAsia="黑体" w:cs="黑体"/>
      </w:rPr>
    </w:lvl>
    <w:lvl w:ilvl="4" w:tentative="0">
      <w:start w:val="1"/>
      <w:numFmt w:val="decimal"/>
      <w:pStyle w:val="6"/>
      <w:lvlText w:val="%1.%2.%3.%4.%5."/>
      <w:lvlJc w:val="left"/>
      <w:pPr>
        <w:ind w:left="1008" w:hanging="1008"/>
      </w:pPr>
      <w:rPr>
        <w:rFonts w:hint="default" w:ascii="黑体" w:hAnsi="黑体" w:eastAsia="黑体" w:cs="黑体"/>
      </w:rPr>
    </w:lvl>
    <w:lvl w:ilvl="5" w:tentative="0">
      <w:start w:val="1"/>
      <w:numFmt w:val="decimal"/>
      <w:pStyle w:val="7"/>
      <w:lvlText w:val="%1.%2.%3.%4.%5.%6."/>
      <w:lvlJc w:val="left"/>
      <w:pPr>
        <w:ind w:left="2269" w:hanging="1151"/>
      </w:pPr>
      <w:rPr>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ascii="宋体" w:hAnsi="宋体" w:eastAsia="宋体" w:cs="宋体"/>
      </w:rPr>
    </w:lvl>
    <w:lvl w:ilvl="8" w:tentative="0">
      <w:start w:val="1"/>
      <w:numFmt w:val="decimal"/>
      <w:pStyle w:val="10"/>
      <w:lvlText w:val="%1.%2.%3.%4.%5.%6.%7.%8.%9."/>
      <w:lvlJc w:val="left"/>
      <w:pPr>
        <w:ind w:left="5128" w:hanging="1583"/>
      </w:pPr>
      <w:rPr>
        <w:rFonts w:hint="default" w:ascii="黑体" w:hAnsi="黑体" w:eastAsia="黑体" w:cs="黑体"/>
      </w:rPr>
    </w:lvl>
  </w:abstractNum>
  <w:abstractNum w:abstractNumId="6">
    <w:nsid w:val="DFFAD5A7"/>
    <w:multiLevelType w:val="singleLevel"/>
    <w:tmpl w:val="DFFAD5A7"/>
    <w:lvl w:ilvl="0" w:tentative="0">
      <w:start w:val="1"/>
      <w:numFmt w:val="bullet"/>
      <w:lvlText w:val=""/>
      <w:lvlJc w:val="left"/>
      <w:pPr>
        <w:ind w:left="420" w:hanging="420"/>
      </w:pPr>
      <w:rPr>
        <w:rFonts w:hint="default" w:ascii="Wingdings" w:hAnsi="Wingdings"/>
      </w:rPr>
    </w:lvl>
  </w:abstractNum>
  <w:abstractNum w:abstractNumId="7">
    <w:nsid w:val="F724EF7A"/>
    <w:multiLevelType w:val="singleLevel"/>
    <w:tmpl w:val="F724EF7A"/>
    <w:lvl w:ilvl="0" w:tentative="0">
      <w:start w:val="1"/>
      <w:numFmt w:val="decimal"/>
      <w:suff w:val="nothing"/>
      <w:lvlText w:val="（%1）"/>
      <w:lvlJc w:val="left"/>
    </w:lvl>
  </w:abstractNum>
  <w:abstractNum w:abstractNumId="8">
    <w:nsid w:val="FC1957E4"/>
    <w:multiLevelType w:val="singleLevel"/>
    <w:tmpl w:val="FC1957E4"/>
    <w:lvl w:ilvl="0" w:tentative="0">
      <w:start w:val="1"/>
      <w:numFmt w:val="bullet"/>
      <w:lvlText w:val=""/>
      <w:lvlJc w:val="left"/>
      <w:pPr>
        <w:ind w:left="420" w:hanging="420"/>
      </w:pPr>
      <w:rPr>
        <w:rFonts w:hint="default" w:ascii="Wingdings" w:hAnsi="Wingdings"/>
      </w:rPr>
    </w:lvl>
  </w:abstractNum>
  <w:abstractNum w:abstractNumId="9">
    <w:nsid w:val="FE23593A"/>
    <w:multiLevelType w:val="singleLevel"/>
    <w:tmpl w:val="FE23593A"/>
    <w:lvl w:ilvl="0" w:tentative="0">
      <w:start w:val="1"/>
      <w:numFmt w:val="decimal"/>
      <w:suff w:val="nothing"/>
      <w:lvlText w:val="（%1）"/>
      <w:lvlJc w:val="left"/>
    </w:lvl>
  </w:abstractNum>
  <w:abstractNum w:abstractNumId="10">
    <w:nsid w:val="0359117B"/>
    <w:multiLevelType w:val="singleLevel"/>
    <w:tmpl w:val="0359117B"/>
    <w:lvl w:ilvl="0" w:tentative="0">
      <w:start w:val="1"/>
      <w:numFmt w:val="decimal"/>
      <w:lvlText w:val="%1、"/>
      <w:lvlJc w:val="left"/>
      <w:pPr>
        <w:tabs>
          <w:tab w:val="left" w:pos="454"/>
        </w:tabs>
        <w:ind w:left="425" w:firstLine="29"/>
      </w:pPr>
      <w:rPr>
        <w:rFonts w:hint="default"/>
      </w:rPr>
    </w:lvl>
  </w:abstractNum>
  <w:abstractNum w:abstractNumId="11">
    <w:nsid w:val="153C43A1"/>
    <w:multiLevelType w:val="multilevel"/>
    <w:tmpl w:val="153C43A1"/>
    <w:lvl w:ilvl="0" w:tentative="0">
      <w:start w:val="1"/>
      <w:numFmt w:val="decimal"/>
      <w:lvlText w:val="（%1）"/>
      <w:lvlJc w:val="left"/>
      <w:pPr>
        <w:ind w:left="845" w:hanging="420"/>
      </w:pPr>
      <w:rPr>
        <w:rFonts w:hint="eastAsia"/>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2">
    <w:nsid w:val="16E87C79"/>
    <w:multiLevelType w:val="singleLevel"/>
    <w:tmpl w:val="16E87C79"/>
    <w:lvl w:ilvl="0" w:tentative="0">
      <w:start w:val="1"/>
      <w:numFmt w:val="chineseCounting"/>
      <w:suff w:val="nothing"/>
      <w:lvlText w:val="%1、"/>
      <w:lvlJc w:val="left"/>
      <w:pPr>
        <w:ind w:left="0" w:firstLine="420"/>
      </w:pPr>
      <w:rPr>
        <w:rFonts w:hint="eastAsia"/>
      </w:rPr>
    </w:lvl>
  </w:abstractNum>
  <w:abstractNum w:abstractNumId="13">
    <w:nsid w:val="2132F04E"/>
    <w:multiLevelType w:val="singleLevel"/>
    <w:tmpl w:val="2132F04E"/>
    <w:lvl w:ilvl="0" w:tentative="0">
      <w:start w:val="1"/>
      <w:numFmt w:val="decimal"/>
      <w:suff w:val="nothing"/>
      <w:lvlText w:val="（%1）"/>
      <w:lvlJc w:val="left"/>
    </w:lvl>
  </w:abstractNum>
  <w:abstractNum w:abstractNumId="14">
    <w:nsid w:val="24423114"/>
    <w:multiLevelType w:val="multilevel"/>
    <w:tmpl w:val="24423114"/>
    <w:lvl w:ilvl="0" w:tentative="0">
      <w:start w:val="1"/>
      <w:numFmt w:val="bullet"/>
      <w:lvlText w:val=""/>
      <w:lvlJc w:val="left"/>
      <w:pPr>
        <w:ind w:left="902" w:hanging="420"/>
      </w:pPr>
      <w:rPr>
        <w:rFonts w:hint="default" w:ascii="Wingdings" w:hAnsi="Wingdings"/>
      </w:rPr>
    </w:lvl>
    <w:lvl w:ilvl="1" w:tentative="0">
      <w:start w:val="1"/>
      <w:numFmt w:val="decimal"/>
      <w:lvlText w:val="%2."/>
      <w:lvlJc w:val="left"/>
      <w:pPr>
        <w:ind w:left="0" w:hanging="420"/>
      </w:pPr>
      <w:rPr>
        <w:rFonts w:hint="eastAsia"/>
      </w:rPr>
    </w:lvl>
    <w:lvl w:ilvl="2" w:tentative="0">
      <w:start w:val="1"/>
      <w:numFmt w:val="bullet"/>
      <w:lvlText w:val=""/>
      <w:lvlJc w:val="left"/>
      <w:pPr>
        <w:ind w:left="1742" w:hanging="420"/>
      </w:pPr>
      <w:rPr>
        <w:rFonts w:hint="default" w:ascii="Wingdings" w:hAnsi="Wingdings"/>
      </w:rPr>
    </w:lvl>
    <w:lvl w:ilvl="3" w:tentative="0">
      <w:start w:val="1"/>
      <w:numFmt w:val="bullet"/>
      <w:lvlText w:val=""/>
      <w:lvlJc w:val="left"/>
      <w:pPr>
        <w:ind w:left="2162" w:hanging="420"/>
      </w:pPr>
      <w:rPr>
        <w:rFonts w:hint="default" w:ascii="Wingdings" w:hAnsi="Wingdings"/>
      </w:rPr>
    </w:lvl>
    <w:lvl w:ilvl="4" w:tentative="0">
      <w:start w:val="1"/>
      <w:numFmt w:val="bullet"/>
      <w:lvlText w:val=""/>
      <w:lvlJc w:val="left"/>
      <w:pPr>
        <w:ind w:left="2582" w:hanging="420"/>
      </w:pPr>
      <w:rPr>
        <w:rFonts w:hint="default" w:ascii="Wingdings" w:hAnsi="Wingdings"/>
      </w:rPr>
    </w:lvl>
    <w:lvl w:ilvl="5" w:tentative="0">
      <w:start w:val="1"/>
      <w:numFmt w:val="bullet"/>
      <w:lvlText w:val=""/>
      <w:lvlJc w:val="left"/>
      <w:pPr>
        <w:ind w:left="3002" w:hanging="420"/>
      </w:pPr>
      <w:rPr>
        <w:rFonts w:hint="default" w:ascii="Wingdings" w:hAnsi="Wingdings"/>
      </w:rPr>
    </w:lvl>
    <w:lvl w:ilvl="6" w:tentative="0">
      <w:start w:val="1"/>
      <w:numFmt w:val="bullet"/>
      <w:lvlText w:val=""/>
      <w:lvlJc w:val="left"/>
      <w:pPr>
        <w:ind w:left="3422" w:hanging="420"/>
      </w:pPr>
      <w:rPr>
        <w:rFonts w:hint="default" w:ascii="Wingdings" w:hAnsi="Wingdings"/>
      </w:rPr>
    </w:lvl>
    <w:lvl w:ilvl="7" w:tentative="0">
      <w:start w:val="1"/>
      <w:numFmt w:val="bullet"/>
      <w:lvlText w:val=""/>
      <w:lvlJc w:val="left"/>
      <w:pPr>
        <w:ind w:left="3842" w:hanging="420"/>
      </w:pPr>
      <w:rPr>
        <w:rFonts w:hint="default" w:ascii="Wingdings" w:hAnsi="Wingdings"/>
      </w:rPr>
    </w:lvl>
    <w:lvl w:ilvl="8" w:tentative="0">
      <w:start w:val="1"/>
      <w:numFmt w:val="bullet"/>
      <w:lvlText w:val=""/>
      <w:lvlJc w:val="left"/>
      <w:pPr>
        <w:ind w:left="4262" w:hanging="420"/>
      </w:pPr>
      <w:rPr>
        <w:rFonts w:hint="default" w:ascii="Wingdings" w:hAnsi="Wingdings"/>
      </w:rPr>
    </w:lvl>
  </w:abstractNum>
  <w:abstractNum w:abstractNumId="15">
    <w:nsid w:val="2F4886B3"/>
    <w:multiLevelType w:val="singleLevel"/>
    <w:tmpl w:val="2F4886B3"/>
    <w:lvl w:ilvl="0" w:tentative="0">
      <w:start w:val="1"/>
      <w:numFmt w:val="decimal"/>
      <w:lvlText w:val="%1、"/>
      <w:lvlJc w:val="left"/>
      <w:pPr>
        <w:tabs>
          <w:tab w:val="left" w:pos="420"/>
        </w:tabs>
        <w:ind w:left="425" w:hanging="425"/>
      </w:pPr>
      <w:rPr>
        <w:rFonts w:hint="default"/>
      </w:rPr>
    </w:lvl>
  </w:abstractNum>
  <w:abstractNum w:abstractNumId="16">
    <w:nsid w:val="37A48233"/>
    <w:multiLevelType w:val="singleLevel"/>
    <w:tmpl w:val="37A48233"/>
    <w:lvl w:ilvl="0" w:tentative="0">
      <w:start w:val="2"/>
      <w:numFmt w:val="decimal"/>
      <w:suff w:val="nothing"/>
      <w:lvlText w:val="（%1）"/>
      <w:lvlJc w:val="left"/>
    </w:lvl>
  </w:abstractNum>
  <w:abstractNum w:abstractNumId="17">
    <w:nsid w:val="39F4255E"/>
    <w:multiLevelType w:val="singleLevel"/>
    <w:tmpl w:val="39F4255E"/>
    <w:lvl w:ilvl="0" w:tentative="0">
      <w:start w:val="1"/>
      <w:numFmt w:val="decimal"/>
      <w:suff w:val="nothing"/>
      <w:lvlText w:val="（%1）"/>
      <w:lvlJc w:val="left"/>
    </w:lvl>
  </w:abstractNum>
  <w:abstractNum w:abstractNumId="18">
    <w:nsid w:val="4C1EDDE3"/>
    <w:multiLevelType w:val="singleLevel"/>
    <w:tmpl w:val="4C1EDDE3"/>
    <w:lvl w:ilvl="0" w:tentative="0">
      <w:start w:val="1"/>
      <w:numFmt w:val="chineseCounting"/>
      <w:suff w:val="nothing"/>
      <w:lvlText w:val="%1、"/>
      <w:lvlJc w:val="left"/>
      <w:rPr>
        <w:rFonts w:hint="eastAsia"/>
      </w:rPr>
    </w:lvl>
  </w:abstractNum>
  <w:abstractNum w:abstractNumId="19">
    <w:nsid w:val="57DE3AC5"/>
    <w:multiLevelType w:val="singleLevel"/>
    <w:tmpl w:val="57DE3AC5"/>
    <w:lvl w:ilvl="0" w:tentative="0">
      <w:start w:val="9"/>
      <w:numFmt w:val="chineseCounting"/>
      <w:suff w:val="nothing"/>
      <w:lvlText w:val="%1、"/>
      <w:lvlJc w:val="left"/>
      <w:rPr>
        <w:rFonts w:hint="eastAsia"/>
      </w:rPr>
    </w:lvl>
  </w:abstractNum>
  <w:abstractNum w:abstractNumId="20">
    <w:nsid w:val="5F20328E"/>
    <w:multiLevelType w:val="singleLevel"/>
    <w:tmpl w:val="5F20328E"/>
    <w:lvl w:ilvl="0" w:tentative="0">
      <w:start w:val="1"/>
      <w:numFmt w:val="decimal"/>
      <w:suff w:val="nothing"/>
      <w:lvlText w:val="（%1）"/>
      <w:lvlJc w:val="left"/>
    </w:lvl>
  </w:abstractNum>
  <w:abstractNum w:abstractNumId="21">
    <w:nsid w:val="686EC625"/>
    <w:multiLevelType w:val="singleLevel"/>
    <w:tmpl w:val="686EC625"/>
    <w:lvl w:ilvl="0" w:tentative="0">
      <w:start w:val="1"/>
      <w:numFmt w:val="decimal"/>
      <w:suff w:val="nothing"/>
      <w:lvlText w:val="（%1）"/>
      <w:lvlJc w:val="left"/>
    </w:lvl>
  </w:abstractNum>
  <w:abstractNum w:abstractNumId="22">
    <w:nsid w:val="6AE93B99"/>
    <w:multiLevelType w:val="multilevel"/>
    <w:tmpl w:val="6AE93B99"/>
    <w:lvl w:ilvl="0" w:tentative="0">
      <w:start w:val="1"/>
      <w:numFmt w:val="japaneseCounting"/>
      <w:lvlText w:val="%1、"/>
      <w:lvlJc w:val="left"/>
      <w:pPr>
        <w:ind w:left="960" w:hanging="480"/>
      </w:pPr>
      <w:rPr>
        <w:rFonts w:hint="default"/>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3">
    <w:nsid w:val="6D977BEB"/>
    <w:multiLevelType w:val="singleLevel"/>
    <w:tmpl w:val="6D977BEB"/>
    <w:lvl w:ilvl="0" w:tentative="0">
      <w:start w:val="1"/>
      <w:numFmt w:val="chineseCounting"/>
      <w:suff w:val="nothing"/>
      <w:lvlText w:val="%1、"/>
      <w:lvlJc w:val="left"/>
      <w:pPr>
        <w:ind w:left="0" w:firstLine="420"/>
      </w:pPr>
      <w:rPr>
        <w:rFonts w:hint="eastAsia"/>
      </w:rPr>
    </w:lvl>
  </w:abstractNum>
  <w:abstractNum w:abstractNumId="24">
    <w:nsid w:val="732685E3"/>
    <w:multiLevelType w:val="singleLevel"/>
    <w:tmpl w:val="732685E3"/>
    <w:lvl w:ilvl="0" w:tentative="0">
      <w:start w:val="1"/>
      <w:numFmt w:val="decimal"/>
      <w:suff w:val="nothing"/>
      <w:lvlText w:val="（%1）"/>
      <w:lvlJc w:val="left"/>
    </w:lvl>
  </w:abstractNum>
  <w:abstractNum w:abstractNumId="25">
    <w:nsid w:val="73BDCBD2"/>
    <w:multiLevelType w:val="singleLevel"/>
    <w:tmpl w:val="73BDCBD2"/>
    <w:lvl w:ilvl="0" w:tentative="0">
      <w:start w:val="1"/>
      <w:numFmt w:val="bullet"/>
      <w:lvlText w:val=""/>
      <w:lvlJc w:val="left"/>
      <w:pPr>
        <w:ind w:left="420" w:hanging="420"/>
      </w:pPr>
      <w:rPr>
        <w:rFonts w:hint="default" w:ascii="Wingdings" w:hAnsi="Wingdings"/>
      </w:rPr>
    </w:lvl>
  </w:abstractNum>
  <w:abstractNum w:abstractNumId="26">
    <w:nsid w:val="7825620F"/>
    <w:multiLevelType w:val="singleLevel"/>
    <w:tmpl w:val="7825620F"/>
    <w:lvl w:ilvl="0" w:tentative="0">
      <w:start w:val="1"/>
      <w:numFmt w:val="chineseCounting"/>
      <w:suff w:val="nothing"/>
      <w:lvlText w:val="%1、"/>
      <w:lvlJc w:val="left"/>
      <w:pPr>
        <w:ind w:left="0" w:firstLine="420"/>
      </w:pPr>
      <w:rPr>
        <w:rFonts w:hint="eastAsia"/>
      </w:rPr>
    </w:lvl>
  </w:abstractNum>
  <w:num w:numId="1">
    <w:abstractNumId w:val="5"/>
  </w:num>
  <w:num w:numId="2">
    <w:abstractNumId w:val="22"/>
  </w:num>
  <w:num w:numId="3">
    <w:abstractNumId w:val="11"/>
  </w:num>
  <w:num w:numId="4">
    <w:abstractNumId w:val="4"/>
  </w:num>
  <w:num w:numId="5">
    <w:abstractNumId w:val="10"/>
  </w:num>
  <w:num w:numId="6">
    <w:abstractNumId w:val="12"/>
  </w:num>
  <w:num w:numId="7">
    <w:abstractNumId w:val="15"/>
  </w:num>
  <w:num w:numId="8">
    <w:abstractNumId w:val="26"/>
  </w:num>
  <w:num w:numId="9">
    <w:abstractNumId w:val="1"/>
  </w:num>
  <w:num w:numId="10">
    <w:abstractNumId w:val="23"/>
  </w:num>
  <w:num w:numId="11">
    <w:abstractNumId w:val="6"/>
  </w:num>
  <w:num w:numId="12">
    <w:abstractNumId w:val="2"/>
  </w:num>
  <w:num w:numId="13">
    <w:abstractNumId w:val="25"/>
  </w:num>
  <w:num w:numId="14">
    <w:abstractNumId w:val="8"/>
  </w:num>
  <w:num w:numId="15">
    <w:abstractNumId w:val="0"/>
  </w:num>
  <w:num w:numId="16">
    <w:abstractNumId w:val="17"/>
  </w:num>
  <w:num w:numId="17">
    <w:abstractNumId w:val="24"/>
  </w:num>
  <w:num w:numId="18">
    <w:abstractNumId w:val="20"/>
  </w:num>
  <w:num w:numId="19">
    <w:abstractNumId w:val="3"/>
  </w:num>
  <w:num w:numId="20">
    <w:abstractNumId w:val="7"/>
  </w:num>
  <w:num w:numId="21">
    <w:abstractNumId w:val="21"/>
  </w:num>
  <w:num w:numId="22">
    <w:abstractNumId w:val="9"/>
  </w:num>
  <w:num w:numId="23">
    <w:abstractNumId w:val="13"/>
  </w:num>
  <w:num w:numId="24">
    <w:abstractNumId w:val="16"/>
  </w:num>
  <w:num w:numId="25">
    <w:abstractNumId w:val="19"/>
  </w:num>
  <w:num w:numId="26">
    <w:abstractNumId w:val="14"/>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false"/>
  <w:bordersDoNotSurroundFooter w:val="false"/>
  <w:hideSpellingErrors/>
  <w:documentProtection w:enforcement="0"/>
  <w:defaultTabStop w:val="0"/>
  <w:drawingGridHorizontalSpacing w:val="120"/>
  <w:drawingGridVerticalSpacing w:val="163"/>
  <w:displayHorizontalDrawingGridEvery w:val="1"/>
  <w:displayVerticalDrawingGridEvery w:val="1"/>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IzMjhmM2IwMzQ2ZGEwNzUzYmI5YTRiYmJkZDNjMDcifQ=="/>
  </w:docVars>
  <w:rsids>
    <w:rsidRoot w:val="00172A27"/>
    <w:rsid w:val="000011FC"/>
    <w:rsid w:val="00001C72"/>
    <w:rsid w:val="00002388"/>
    <w:rsid w:val="000023A0"/>
    <w:rsid w:val="00003362"/>
    <w:rsid w:val="00003651"/>
    <w:rsid w:val="00003731"/>
    <w:rsid w:val="00004325"/>
    <w:rsid w:val="000049E5"/>
    <w:rsid w:val="000050CA"/>
    <w:rsid w:val="0000609A"/>
    <w:rsid w:val="00006176"/>
    <w:rsid w:val="0000641D"/>
    <w:rsid w:val="000064A0"/>
    <w:rsid w:val="00006A01"/>
    <w:rsid w:val="00010A86"/>
    <w:rsid w:val="00011144"/>
    <w:rsid w:val="00011988"/>
    <w:rsid w:val="00011D6E"/>
    <w:rsid w:val="000121FF"/>
    <w:rsid w:val="00012C8F"/>
    <w:rsid w:val="0001331E"/>
    <w:rsid w:val="00013601"/>
    <w:rsid w:val="00014303"/>
    <w:rsid w:val="0001448A"/>
    <w:rsid w:val="000150A7"/>
    <w:rsid w:val="00015690"/>
    <w:rsid w:val="00015D21"/>
    <w:rsid w:val="00015E8A"/>
    <w:rsid w:val="00015E9A"/>
    <w:rsid w:val="0001607A"/>
    <w:rsid w:val="00016145"/>
    <w:rsid w:val="000169E7"/>
    <w:rsid w:val="000202F1"/>
    <w:rsid w:val="00020347"/>
    <w:rsid w:val="00020B5A"/>
    <w:rsid w:val="00020FAB"/>
    <w:rsid w:val="00021A0D"/>
    <w:rsid w:val="00021A8D"/>
    <w:rsid w:val="00022036"/>
    <w:rsid w:val="00022774"/>
    <w:rsid w:val="00023051"/>
    <w:rsid w:val="0002372D"/>
    <w:rsid w:val="000238A0"/>
    <w:rsid w:val="00023DAB"/>
    <w:rsid w:val="00025506"/>
    <w:rsid w:val="0002573A"/>
    <w:rsid w:val="00025A23"/>
    <w:rsid w:val="000261F5"/>
    <w:rsid w:val="000263F4"/>
    <w:rsid w:val="00026599"/>
    <w:rsid w:val="00026752"/>
    <w:rsid w:val="00026C3B"/>
    <w:rsid w:val="00027394"/>
    <w:rsid w:val="00027A35"/>
    <w:rsid w:val="00027BD5"/>
    <w:rsid w:val="00030144"/>
    <w:rsid w:val="000307EC"/>
    <w:rsid w:val="000319FB"/>
    <w:rsid w:val="00032245"/>
    <w:rsid w:val="00032B0C"/>
    <w:rsid w:val="00032F47"/>
    <w:rsid w:val="00033092"/>
    <w:rsid w:val="000336DA"/>
    <w:rsid w:val="00033C62"/>
    <w:rsid w:val="0003434C"/>
    <w:rsid w:val="0003450A"/>
    <w:rsid w:val="00034F35"/>
    <w:rsid w:val="0003516E"/>
    <w:rsid w:val="00035A1C"/>
    <w:rsid w:val="00035F39"/>
    <w:rsid w:val="000363C8"/>
    <w:rsid w:val="0003693B"/>
    <w:rsid w:val="00036FF1"/>
    <w:rsid w:val="00037538"/>
    <w:rsid w:val="00037E3F"/>
    <w:rsid w:val="00040447"/>
    <w:rsid w:val="00040696"/>
    <w:rsid w:val="00040815"/>
    <w:rsid w:val="000409CB"/>
    <w:rsid w:val="000415C6"/>
    <w:rsid w:val="000415EF"/>
    <w:rsid w:val="00041601"/>
    <w:rsid w:val="00041905"/>
    <w:rsid w:val="00042662"/>
    <w:rsid w:val="0004285A"/>
    <w:rsid w:val="00042D20"/>
    <w:rsid w:val="00042E08"/>
    <w:rsid w:val="00042FFF"/>
    <w:rsid w:val="0004454B"/>
    <w:rsid w:val="0004469C"/>
    <w:rsid w:val="0004514F"/>
    <w:rsid w:val="00045894"/>
    <w:rsid w:val="00045B2D"/>
    <w:rsid w:val="00046701"/>
    <w:rsid w:val="000472E5"/>
    <w:rsid w:val="00047A1D"/>
    <w:rsid w:val="00047BC6"/>
    <w:rsid w:val="0005062B"/>
    <w:rsid w:val="00051275"/>
    <w:rsid w:val="00051CF3"/>
    <w:rsid w:val="00051ECB"/>
    <w:rsid w:val="0005210E"/>
    <w:rsid w:val="0005253D"/>
    <w:rsid w:val="00052B83"/>
    <w:rsid w:val="00053242"/>
    <w:rsid w:val="0005324A"/>
    <w:rsid w:val="0005350A"/>
    <w:rsid w:val="0005373D"/>
    <w:rsid w:val="000537E4"/>
    <w:rsid w:val="00053E23"/>
    <w:rsid w:val="00053E24"/>
    <w:rsid w:val="00053E82"/>
    <w:rsid w:val="00053FC1"/>
    <w:rsid w:val="00054BFB"/>
    <w:rsid w:val="00054CC4"/>
    <w:rsid w:val="00054CE0"/>
    <w:rsid w:val="00055191"/>
    <w:rsid w:val="00055DE9"/>
    <w:rsid w:val="00055E50"/>
    <w:rsid w:val="00056359"/>
    <w:rsid w:val="0005638D"/>
    <w:rsid w:val="0006170E"/>
    <w:rsid w:val="00061E6C"/>
    <w:rsid w:val="000622EF"/>
    <w:rsid w:val="00062893"/>
    <w:rsid w:val="00062CA2"/>
    <w:rsid w:val="00062E06"/>
    <w:rsid w:val="00063379"/>
    <w:rsid w:val="0006399B"/>
    <w:rsid w:val="00063B35"/>
    <w:rsid w:val="00063E9E"/>
    <w:rsid w:val="000641F4"/>
    <w:rsid w:val="00064D3C"/>
    <w:rsid w:val="00064FE5"/>
    <w:rsid w:val="0006521B"/>
    <w:rsid w:val="00065C6E"/>
    <w:rsid w:val="00065D68"/>
    <w:rsid w:val="00066332"/>
    <w:rsid w:val="00066775"/>
    <w:rsid w:val="00066C7E"/>
    <w:rsid w:val="00067238"/>
    <w:rsid w:val="00067BAC"/>
    <w:rsid w:val="00070D5D"/>
    <w:rsid w:val="00070F35"/>
    <w:rsid w:val="00071227"/>
    <w:rsid w:val="0007142C"/>
    <w:rsid w:val="0007157B"/>
    <w:rsid w:val="000726FF"/>
    <w:rsid w:val="00072FCB"/>
    <w:rsid w:val="00073284"/>
    <w:rsid w:val="00073323"/>
    <w:rsid w:val="00075A4A"/>
    <w:rsid w:val="00075CEF"/>
    <w:rsid w:val="00076A9F"/>
    <w:rsid w:val="00076B49"/>
    <w:rsid w:val="00076E9D"/>
    <w:rsid w:val="0007744E"/>
    <w:rsid w:val="0007775A"/>
    <w:rsid w:val="00077A2E"/>
    <w:rsid w:val="00077B59"/>
    <w:rsid w:val="00080F49"/>
    <w:rsid w:val="000817E2"/>
    <w:rsid w:val="00081917"/>
    <w:rsid w:val="00082403"/>
    <w:rsid w:val="00082C29"/>
    <w:rsid w:val="00082F95"/>
    <w:rsid w:val="000830D7"/>
    <w:rsid w:val="00083A47"/>
    <w:rsid w:val="00083D81"/>
    <w:rsid w:val="00083F40"/>
    <w:rsid w:val="00084501"/>
    <w:rsid w:val="00084628"/>
    <w:rsid w:val="0008494C"/>
    <w:rsid w:val="00084D14"/>
    <w:rsid w:val="000851EA"/>
    <w:rsid w:val="00086059"/>
    <w:rsid w:val="000861CD"/>
    <w:rsid w:val="0008622F"/>
    <w:rsid w:val="00087009"/>
    <w:rsid w:val="00087435"/>
    <w:rsid w:val="0009170B"/>
    <w:rsid w:val="00091E66"/>
    <w:rsid w:val="0009263A"/>
    <w:rsid w:val="00092661"/>
    <w:rsid w:val="00092933"/>
    <w:rsid w:val="00092978"/>
    <w:rsid w:val="00093197"/>
    <w:rsid w:val="00093E8B"/>
    <w:rsid w:val="000947D1"/>
    <w:rsid w:val="00094BFB"/>
    <w:rsid w:val="00094E84"/>
    <w:rsid w:val="0009541B"/>
    <w:rsid w:val="00095681"/>
    <w:rsid w:val="00095C10"/>
    <w:rsid w:val="000964BF"/>
    <w:rsid w:val="000964E1"/>
    <w:rsid w:val="00096B1F"/>
    <w:rsid w:val="00096C5C"/>
    <w:rsid w:val="00097C56"/>
    <w:rsid w:val="00097E65"/>
    <w:rsid w:val="000A02D1"/>
    <w:rsid w:val="000A0853"/>
    <w:rsid w:val="000A0A1F"/>
    <w:rsid w:val="000A0D3A"/>
    <w:rsid w:val="000A11F8"/>
    <w:rsid w:val="000A212C"/>
    <w:rsid w:val="000A25CD"/>
    <w:rsid w:val="000A2768"/>
    <w:rsid w:val="000A2938"/>
    <w:rsid w:val="000A3612"/>
    <w:rsid w:val="000A41BF"/>
    <w:rsid w:val="000A452E"/>
    <w:rsid w:val="000A4721"/>
    <w:rsid w:val="000A4C85"/>
    <w:rsid w:val="000A5211"/>
    <w:rsid w:val="000A53A1"/>
    <w:rsid w:val="000A59C9"/>
    <w:rsid w:val="000A5EC7"/>
    <w:rsid w:val="000A5F6D"/>
    <w:rsid w:val="000A6109"/>
    <w:rsid w:val="000A6B6E"/>
    <w:rsid w:val="000A6F99"/>
    <w:rsid w:val="000A7C09"/>
    <w:rsid w:val="000B021D"/>
    <w:rsid w:val="000B16D3"/>
    <w:rsid w:val="000B1B65"/>
    <w:rsid w:val="000B2044"/>
    <w:rsid w:val="000B20F7"/>
    <w:rsid w:val="000B24E4"/>
    <w:rsid w:val="000B2CC7"/>
    <w:rsid w:val="000B4385"/>
    <w:rsid w:val="000B4ACD"/>
    <w:rsid w:val="000B5979"/>
    <w:rsid w:val="000B5B7A"/>
    <w:rsid w:val="000B5BF1"/>
    <w:rsid w:val="000B634E"/>
    <w:rsid w:val="000B6825"/>
    <w:rsid w:val="000B6829"/>
    <w:rsid w:val="000B6C77"/>
    <w:rsid w:val="000B7B51"/>
    <w:rsid w:val="000B7BC4"/>
    <w:rsid w:val="000C0129"/>
    <w:rsid w:val="000C1144"/>
    <w:rsid w:val="000C12B0"/>
    <w:rsid w:val="000C1530"/>
    <w:rsid w:val="000C20C6"/>
    <w:rsid w:val="000C279D"/>
    <w:rsid w:val="000C2ADF"/>
    <w:rsid w:val="000C34FB"/>
    <w:rsid w:val="000C35E0"/>
    <w:rsid w:val="000C3754"/>
    <w:rsid w:val="000C3870"/>
    <w:rsid w:val="000C3EC0"/>
    <w:rsid w:val="000C41AF"/>
    <w:rsid w:val="000C44A3"/>
    <w:rsid w:val="000C4575"/>
    <w:rsid w:val="000C4722"/>
    <w:rsid w:val="000C51E8"/>
    <w:rsid w:val="000C66C7"/>
    <w:rsid w:val="000C6856"/>
    <w:rsid w:val="000C790D"/>
    <w:rsid w:val="000C7AFC"/>
    <w:rsid w:val="000D0060"/>
    <w:rsid w:val="000D1EF4"/>
    <w:rsid w:val="000D219A"/>
    <w:rsid w:val="000D2205"/>
    <w:rsid w:val="000D28DD"/>
    <w:rsid w:val="000D297A"/>
    <w:rsid w:val="000D2A3B"/>
    <w:rsid w:val="000D2EB5"/>
    <w:rsid w:val="000D3580"/>
    <w:rsid w:val="000D370F"/>
    <w:rsid w:val="000D3918"/>
    <w:rsid w:val="000D44F7"/>
    <w:rsid w:val="000D4681"/>
    <w:rsid w:val="000D4DF5"/>
    <w:rsid w:val="000D4F04"/>
    <w:rsid w:val="000D55AD"/>
    <w:rsid w:val="000D5630"/>
    <w:rsid w:val="000D5AF7"/>
    <w:rsid w:val="000D5D28"/>
    <w:rsid w:val="000D6176"/>
    <w:rsid w:val="000D6412"/>
    <w:rsid w:val="000D65E6"/>
    <w:rsid w:val="000D6B12"/>
    <w:rsid w:val="000D771F"/>
    <w:rsid w:val="000E001D"/>
    <w:rsid w:val="000E0268"/>
    <w:rsid w:val="000E21E0"/>
    <w:rsid w:val="000E2396"/>
    <w:rsid w:val="000E2F91"/>
    <w:rsid w:val="000E3230"/>
    <w:rsid w:val="000E34A2"/>
    <w:rsid w:val="000E3E3B"/>
    <w:rsid w:val="000E4065"/>
    <w:rsid w:val="000E459A"/>
    <w:rsid w:val="000E45B9"/>
    <w:rsid w:val="000E4918"/>
    <w:rsid w:val="000E49D2"/>
    <w:rsid w:val="000E4BAD"/>
    <w:rsid w:val="000E4C70"/>
    <w:rsid w:val="000E4EF8"/>
    <w:rsid w:val="000E4FF6"/>
    <w:rsid w:val="000E5260"/>
    <w:rsid w:val="000E5649"/>
    <w:rsid w:val="000E5FB6"/>
    <w:rsid w:val="000E6B27"/>
    <w:rsid w:val="000E72D2"/>
    <w:rsid w:val="000E7558"/>
    <w:rsid w:val="000F1781"/>
    <w:rsid w:val="000F1D5A"/>
    <w:rsid w:val="000F2A76"/>
    <w:rsid w:val="000F2E9F"/>
    <w:rsid w:val="000F345F"/>
    <w:rsid w:val="000F351E"/>
    <w:rsid w:val="000F3A3C"/>
    <w:rsid w:val="000F3B6A"/>
    <w:rsid w:val="000F3DF7"/>
    <w:rsid w:val="000F3F19"/>
    <w:rsid w:val="000F3F4C"/>
    <w:rsid w:val="000F3FA5"/>
    <w:rsid w:val="000F44DD"/>
    <w:rsid w:val="000F55F3"/>
    <w:rsid w:val="000F5DD4"/>
    <w:rsid w:val="000F60A7"/>
    <w:rsid w:val="000F6648"/>
    <w:rsid w:val="000F66EB"/>
    <w:rsid w:val="000F683D"/>
    <w:rsid w:val="000F6C8E"/>
    <w:rsid w:val="000F7435"/>
    <w:rsid w:val="000F77C8"/>
    <w:rsid w:val="00100291"/>
    <w:rsid w:val="00100908"/>
    <w:rsid w:val="0010172B"/>
    <w:rsid w:val="00101813"/>
    <w:rsid w:val="00101858"/>
    <w:rsid w:val="00101F50"/>
    <w:rsid w:val="00101F61"/>
    <w:rsid w:val="001024F3"/>
    <w:rsid w:val="00102A2C"/>
    <w:rsid w:val="00102CC9"/>
    <w:rsid w:val="001037BB"/>
    <w:rsid w:val="00103E12"/>
    <w:rsid w:val="001048B2"/>
    <w:rsid w:val="00104983"/>
    <w:rsid w:val="0010532E"/>
    <w:rsid w:val="00105519"/>
    <w:rsid w:val="001060AF"/>
    <w:rsid w:val="001065A4"/>
    <w:rsid w:val="0010666D"/>
    <w:rsid w:val="00106D99"/>
    <w:rsid w:val="00107188"/>
    <w:rsid w:val="001073B0"/>
    <w:rsid w:val="0010744C"/>
    <w:rsid w:val="00107696"/>
    <w:rsid w:val="001077D7"/>
    <w:rsid w:val="00110245"/>
    <w:rsid w:val="00110478"/>
    <w:rsid w:val="0011062A"/>
    <w:rsid w:val="00110745"/>
    <w:rsid w:val="0011089F"/>
    <w:rsid w:val="00110D46"/>
    <w:rsid w:val="00110DF2"/>
    <w:rsid w:val="00110E30"/>
    <w:rsid w:val="001113BD"/>
    <w:rsid w:val="001115EE"/>
    <w:rsid w:val="00112237"/>
    <w:rsid w:val="0011240B"/>
    <w:rsid w:val="001124B8"/>
    <w:rsid w:val="00112D6F"/>
    <w:rsid w:val="00112D84"/>
    <w:rsid w:val="00112E4B"/>
    <w:rsid w:val="001131F8"/>
    <w:rsid w:val="00115E45"/>
    <w:rsid w:val="001166E3"/>
    <w:rsid w:val="001167E3"/>
    <w:rsid w:val="0011712C"/>
    <w:rsid w:val="001176F1"/>
    <w:rsid w:val="00117A6B"/>
    <w:rsid w:val="00117B5A"/>
    <w:rsid w:val="00117F61"/>
    <w:rsid w:val="0012034B"/>
    <w:rsid w:val="00120477"/>
    <w:rsid w:val="001207C7"/>
    <w:rsid w:val="00121029"/>
    <w:rsid w:val="00121B8E"/>
    <w:rsid w:val="00122021"/>
    <w:rsid w:val="0012212E"/>
    <w:rsid w:val="0012276E"/>
    <w:rsid w:val="00122994"/>
    <w:rsid w:val="00122E55"/>
    <w:rsid w:val="001239A7"/>
    <w:rsid w:val="00123E6E"/>
    <w:rsid w:val="00123FC8"/>
    <w:rsid w:val="001242A1"/>
    <w:rsid w:val="00125AEB"/>
    <w:rsid w:val="00126495"/>
    <w:rsid w:val="001265F2"/>
    <w:rsid w:val="00126787"/>
    <w:rsid w:val="001273AD"/>
    <w:rsid w:val="00127450"/>
    <w:rsid w:val="00127598"/>
    <w:rsid w:val="00127619"/>
    <w:rsid w:val="001302DC"/>
    <w:rsid w:val="00130813"/>
    <w:rsid w:val="00130B18"/>
    <w:rsid w:val="00130EB6"/>
    <w:rsid w:val="00130F79"/>
    <w:rsid w:val="001313D2"/>
    <w:rsid w:val="00131E2F"/>
    <w:rsid w:val="00132031"/>
    <w:rsid w:val="00132380"/>
    <w:rsid w:val="001325C9"/>
    <w:rsid w:val="001327BD"/>
    <w:rsid w:val="0013311E"/>
    <w:rsid w:val="001331FD"/>
    <w:rsid w:val="00133C51"/>
    <w:rsid w:val="0013407B"/>
    <w:rsid w:val="00134998"/>
    <w:rsid w:val="00134AA2"/>
    <w:rsid w:val="001359B6"/>
    <w:rsid w:val="001359CF"/>
    <w:rsid w:val="00136B0A"/>
    <w:rsid w:val="00137433"/>
    <w:rsid w:val="0013762F"/>
    <w:rsid w:val="00137644"/>
    <w:rsid w:val="0014029A"/>
    <w:rsid w:val="00140BBD"/>
    <w:rsid w:val="00141A90"/>
    <w:rsid w:val="00142176"/>
    <w:rsid w:val="0014229F"/>
    <w:rsid w:val="00143686"/>
    <w:rsid w:val="001437E0"/>
    <w:rsid w:val="00143D5A"/>
    <w:rsid w:val="00143FA1"/>
    <w:rsid w:val="0014407D"/>
    <w:rsid w:val="00144640"/>
    <w:rsid w:val="0014494C"/>
    <w:rsid w:val="00144E11"/>
    <w:rsid w:val="00144E28"/>
    <w:rsid w:val="0014521F"/>
    <w:rsid w:val="00145519"/>
    <w:rsid w:val="0014579D"/>
    <w:rsid w:val="00145B17"/>
    <w:rsid w:val="0014659C"/>
    <w:rsid w:val="00150295"/>
    <w:rsid w:val="00150351"/>
    <w:rsid w:val="001505C1"/>
    <w:rsid w:val="00151600"/>
    <w:rsid w:val="0015183B"/>
    <w:rsid w:val="0015187E"/>
    <w:rsid w:val="00151F99"/>
    <w:rsid w:val="001520F2"/>
    <w:rsid w:val="00153073"/>
    <w:rsid w:val="0015361E"/>
    <w:rsid w:val="00154216"/>
    <w:rsid w:val="00154809"/>
    <w:rsid w:val="00155147"/>
    <w:rsid w:val="00155612"/>
    <w:rsid w:val="00155C88"/>
    <w:rsid w:val="00155CB4"/>
    <w:rsid w:val="00156067"/>
    <w:rsid w:val="001564FB"/>
    <w:rsid w:val="00156992"/>
    <w:rsid w:val="00156A47"/>
    <w:rsid w:val="00156B8E"/>
    <w:rsid w:val="00156BF5"/>
    <w:rsid w:val="00156E37"/>
    <w:rsid w:val="00156EC9"/>
    <w:rsid w:val="001570FF"/>
    <w:rsid w:val="001577B9"/>
    <w:rsid w:val="00157BE6"/>
    <w:rsid w:val="00157C2B"/>
    <w:rsid w:val="001600B6"/>
    <w:rsid w:val="001606BC"/>
    <w:rsid w:val="00160914"/>
    <w:rsid w:val="00160962"/>
    <w:rsid w:val="0016155D"/>
    <w:rsid w:val="00161A4A"/>
    <w:rsid w:val="00161A86"/>
    <w:rsid w:val="00161E8D"/>
    <w:rsid w:val="00162048"/>
    <w:rsid w:val="00162853"/>
    <w:rsid w:val="001629A3"/>
    <w:rsid w:val="00162E69"/>
    <w:rsid w:val="00163A2D"/>
    <w:rsid w:val="00163C8C"/>
    <w:rsid w:val="00164274"/>
    <w:rsid w:val="00164517"/>
    <w:rsid w:val="00164627"/>
    <w:rsid w:val="00164970"/>
    <w:rsid w:val="001649F0"/>
    <w:rsid w:val="00164C06"/>
    <w:rsid w:val="00164F78"/>
    <w:rsid w:val="00165299"/>
    <w:rsid w:val="001654D4"/>
    <w:rsid w:val="0016585F"/>
    <w:rsid w:val="00165B84"/>
    <w:rsid w:val="0016669D"/>
    <w:rsid w:val="00166DAF"/>
    <w:rsid w:val="00167348"/>
    <w:rsid w:val="00167597"/>
    <w:rsid w:val="00167A4F"/>
    <w:rsid w:val="00167AC5"/>
    <w:rsid w:val="00167D14"/>
    <w:rsid w:val="0017037F"/>
    <w:rsid w:val="00171876"/>
    <w:rsid w:val="00171A4E"/>
    <w:rsid w:val="00171C56"/>
    <w:rsid w:val="0017203F"/>
    <w:rsid w:val="001721B3"/>
    <w:rsid w:val="00172664"/>
    <w:rsid w:val="00172693"/>
    <w:rsid w:val="00172A27"/>
    <w:rsid w:val="00172E7C"/>
    <w:rsid w:val="00172FF6"/>
    <w:rsid w:val="00174782"/>
    <w:rsid w:val="00174841"/>
    <w:rsid w:val="00174F01"/>
    <w:rsid w:val="00175114"/>
    <w:rsid w:val="0017575D"/>
    <w:rsid w:val="00175A23"/>
    <w:rsid w:val="00175D8C"/>
    <w:rsid w:val="0017640E"/>
    <w:rsid w:val="001771EB"/>
    <w:rsid w:val="001774BD"/>
    <w:rsid w:val="001775BE"/>
    <w:rsid w:val="001776CD"/>
    <w:rsid w:val="00177D20"/>
    <w:rsid w:val="00177EB5"/>
    <w:rsid w:val="001805BD"/>
    <w:rsid w:val="001805CF"/>
    <w:rsid w:val="00180988"/>
    <w:rsid w:val="00180FFE"/>
    <w:rsid w:val="00181255"/>
    <w:rsid w:val="00181D80"/>
    <w:rsid w:val="00181F11"/>
    <w:rsid w:val="00181FBF"/>
    <w:rsid w:val="001832CB"/>
    <w:rsid w:val="00183663"/>
    <w:rsid w:val="00183A41"/>
    <w:rsid w:val="001840F4"/>
    <w:rsid w:val="00184726"/>
    <w:rsid w:val="0018511F"/>
    <w:rsid w:val="00185293"/>
    <w:rsid w:val="00185EA9"/>
    <w:rsid w:val="00185F4D"/>
    <w:rsid w:val="00185F59"/>
    <w:rsid w:val="00186ACB"/>
    <w:rsid w:val="0018754B"/>
    <w:rsid w:val="001879F4"/>
    <w:rsid w:val="00187BB7"/>
    <w:rsid w:val="00187BF7"/>
    <w:rsid w:val="00187C92"/>
    <w:rsid w:val="00190266"/>
    <w:rsid w:val="00190EFC"/>
    <w:rsid w:val="00190FA4"/>
    <w:rsid w:val="00191949"/>
    <w:rsid w:val="00191C5B"/>
    <w:rsid w:val="00192132"/>
    <w:rsid w:val="00192967"/>
    <w:rsid w:val="00192BAC"/>
    <w:rsid w:val="00193150"/>
    <w:rsid w:val="001932D7"/>
    <w:rsid w:val="00193389"/>
    <w:rsid w:val="00193715"/>
    <w:rsid w:val="00193A69"/>
    <w:rsid w:val="00193B23"/>
    <w:rsid w:val="0019430F"/>
    <w:rsid w:val="00194394"/>
    <w:rsid w:val="00194D30"/>
    <w:rsid w:val="00194F26"/>
    <w:rsid w:val="001958F0"/>
    <w:rsid w:val="00196166"/>
    <w:rsid w:val="0019616F"/>
    <w:rsid w:val="00196305"/>
    <w:rsid w:val="001965A3"/>
    <w:rsid w:val="00196A6E"/>
    <w:rsid w:val="00196CD0"/>
    <w:rsid w:val="00196FB0"/>
    <w:rsid w:val="001971E3"/>
    <w:rsid w:val="00197D7E"/>
    <w:rsid w:val="001A032B"/>
    <w:rsid w:val="001A0A35"/>
    <w:rsid w:val="001A0A5F"/>
    <w:rsid w:val="001A0CFB"/>
    <w:rsid w:val="001A1CDD"/>
    <w:rsid w:val="001A21F5"/>
    <w:rsid w:val="001A240E"/>
    <w:rsid w:val="001A2A03"/>
    <w:rsid w:val="001A2CE9"/>
    <w:rsid w:val="001A354E"/>
    <w:rsid w:val="001A3D4A"/>
    <w:rsid w:val="001A4663"/>
    <w:rsid w:val="001A4E68"/>
    <w:rsid w:val="001A4FC7"/>
    <w:rsid w:val="001A50BE"/>
    <w:rsid w:val="001A5229"/>
    <w:rsid w:val="001A5BF7"/>
    <w:rsid w:val="001A5C9B"/>
    <w:rsid w:val="001A5FB9"/>
    <w:rsid w:val="001A6099"/>
    <w:rsid w:val="001A6E13"/>
    <w:rsid w:val="001A706E"/>
    <w:rsid w:val="001A7700"/>
    <w:rsid w:val="001A7A53"/>
    <w:rsid w:val="001A7DE9"/>
    <w:rsid w:val="001A7E99"/>
    <w:rsid w:val="001B02CC"/>
    <w:rsid w:val="001B037F"/>
    <w:rsid w:val="001B04E3"/>
    <w:rsid w:val="001B0C45"/>
    <w:rsid w:val="001B1803"/>
    <w:rsid w:val="001B189C"/>
    <w:rsid w:val="001B1C8A"/>
    <w:rsid w:val="001B1FED"/>
    <w:rsid w:val="001B2048"/>
    <w:rsid w:val="001B215A"/>
    <w:rsid w:val="001B27EB"/>
    <w:rsid w:val="001B29F5"/>
    <w:rsid w:val="001B3AC5"/>
    <w:rsid w:val="001B407E"/>
    <w:rsid w:val="001B4F11"/>
    <w:rsid w:val="001B56D4"/>
    <w:rsid w:val="001B59E9"/>
    <w:rsid w:val="001B5FCA"/>
    <w:rsid w:val="001B67B8"/>
    <w:rsid w:val="001B6B26"/>
    <w:rsid w:val="001B7411"/>
    <w:rsid w:val="001B7E9A"/>
    <w:rsid w:val="001C0199"/>
    <w:rsid w:val="001C0C12"/>
    <w:rsid w:val="001C113B"/>
    <w:rsid w:val="001C1447"/>
    <w:rsid w:val="001C1698"/>
    <w:rsid w:val="001C16B3"/>
    <w:rsid w:val="001C1812"/>
    <w:rsid w:val="001C212A"/>
    <w:rsid w:val="001C2621"/>
    <w:rsid w:val="001C2A49"/>
    <w:rsid w:val="001C339D"/>
    <w:rsid w:val="001C4361"/>
    <w:rsid w:val="001C5013"/>
    <w:rsid w:val="001C58CF"/>
    <w:rsid w:val="001C5DBC"/>
    <w:rsid w:val="001C693B"/>
    <w:rsid w:val="001C6943"/>
    <w:rsid w:val="001C707D"/>
    <w:rsid w:val="001C780F"/>
    <w:rsid w:val="001C7DBD"/>
    <w:rsid w:val="001D2469"/>
    <w:rsid w:val="001D2644"/>
    <w:rsid w:val="001D27F1"/>
    <w:rsid w:val="001D2DAB"/>
    <w:rsid w:val="001D2DC9"/>
    <w:rsid w:val="001D2F46"/>
    <w:rsid w:val="001D3CD0"/>
    <w:rsid w:val="001D3EA3"/>
    <w:rsid w:val="001D4559"/>
    <w:rsid w:val="001D49A2"/>
    <w:rsid w:val="001D50E3"/>
    <w:rsid w:val="001D5384"/>
    <w:rsid w:val="001D557B"/>
    <w:rsid w:val="001D689E"/>
    <w:rsid w:val="001D6AFD"/>
    <w:rsid w:val="001D6F1D"/>
    <w:rsid w:val="001D706F"/>
    <w:rsid w:val="001D7237"/>
    <w:rsid w:val="001D7CD4"/>
    <w:rsid w:val="001D7FCB"/>
    <w:rsid w:val="001E0060"/>
    <w:rsid w:val="001E03CE"/>
    <w:rsid w:val="001E0A22"/>
    <w:rsid w:val="001E1591"/>
    <w:rsid w:val="001E1739"/>
    <w:rsid w:val="001E1C13"/>
    <w:rsid w:val="001E1DDA"/>
    <w:rsid w:val="001E220E"/>
    <w:rsid w:val="001E2551"/>
    <w:rsid w:val="001E27EF"/>
    <w:rsid w:val="001E3594"/>
    <w:rsid w:val="001E391F"/>
    <w:rsid w:val="001E3C9A"/>
    <w:rsid w:val="001E3EAF"/>
    <w:rsid w:val="001E3F3B"/>
    <w:rsid w:val="001E40EF"/>
    <w:rsid w:val="001E41DF"/>
    <w:rsid w:val="001E4EB8"/>
    <w:rsid w:val="001E5163"/>
    <w:rsid w:val="001E5315"/>
    <w:rsid w:val="001E562F"/>
    <w:rsid w:val="001E5972"/>
    <w:rsid w:val="001E634D"/>
    <w:rsid w:val="001E696D"/>
    <w:rsid w:val="001E6B87"/>
    <w:rsid w:val="001E6F29"/>
    <w:rsid w:val="001E7008"/>
    <w:rsid w:val="001E74A4"/>
    <w:rsid w:val="001E775B"/>
    <w:rsid w:val="001F004D"/>
    <w:rsid w:val="001F0ADF"/>
    <w:rsid w:val="001F1A77"/>
    <w:rsid w:val="001F1B73"/>
    <w:rsid w:val="001F2741"/>
    <w:rsid w:val="001F2A61"/>
    <w:rsid w:val="001F36E3"/>
    <w:rsid w:val="001F4415"/>
    <w:rsid w:val="001F4736"/>
    <w:rsid w:val="001F50AB"/>
    <w:rsid w:val="001F6009"/>
    <w:rsid w:val="001F6B93"/>
    <w:rsid w:val="001F6EA2"/>
    <w:rsid w:val="001F748E"/>
    <w:rsid w:val="001F7C8C"/>
    <w:rsid w:val="00200215"/>
    <w:rsid w:val="0020023B"/>
    <w:rsid w:val="00200646"/>
    <w:rsid w:val="00201328"/>
    <w:rsid w:val="002017D6"/>
    <w:rsid w:val="00202284"/>
    <w:rsid w:val="002034B4"/>
    <w:rsid w:val="002042F5"/>
    <w:rsid w:val="0020462A"/>
    <w:rsid w:val="002047FB"/>
    <w:rsid w:val="00204A00"/>
    <w:rsid w:val="00204C12"/>
    <w:rsid w:val="0020582D"/>
    <w:rsid w:val="002070E4"/>
    <w:rsid w:val="0021066B"/>
    <w:rsid w:val="00210F68"/>
    <w:rsid w:val="00211063"/>
    <w:rsid w:val="0021180A"/>
    <w:rsid w:val="00211E20"/>
    <w:rsid w:val="00211F1D"/>
    <w:rsid w:val="00211F27"/>
    <w:rsid w:val="00213407"/>
    <w:rsid w:val="002137CE"/>
    <w:rsid w:val="00213AC3"/>
    <w:rsid w:val="0021501A"/>
    <w:rsid w:val="00216073"/>
    <w:rsid w:val="0021611E"/>
    <w:rsid w:val="00216177"/>
    <w:rsid w:val="00216908"/>
    <w:rsid w:val="00216B21"/>
    <w:rsid w:val="00216B97"/>
    <w:rsid w:val="00217775"/>
    <w:rsid w:val="00217977"/>
    <w:rsid w:val="00217C59"/>
    <w:rsid w:val="00217D90"/>
    <w:rsid w:val="00217EAF"/>
    <w:rsid w:val="0022030B"/>
    <w:rsid w:val="00220E79"/>
    <w:rsid w:val="00221021"/>
    <w:rsid w:val="002217C3"/>
    <w:rsid w:val="002225FE"/>
    <w:rsid w:val="00222B83"/>
    <w:rsid w:val="002232BF"/>
    <w:rsid w:val="0022349A"/>
    <w:rsid w:val="00223E10"/>
    <w:rsid w:val="00223F5F"/>
    <w:rsid w:val="002247EF"/>
    <w:rsid w:val="00224D82"/>
    <w:rsid w:val="00225278"/>
    <w:rsid w:val="0022536B"/>
    <w:rsid w:val="00225779"/>
    <w:rsid w:val="00225812"/>
    <w:rsid w:val="002259DA"/>
    <w:rsid w:val="00226A5B"/>
    <w:rsid w:val="00226D2B"/>
    <w:rsid w:val="00226DAD"/>
    <w:rsid w:val="00227740"/>
    <w:rsid w:val="002277B3"/>
    <w:rsid w:val="00227F4E"/>
    <w:rsid w:val="00230423"/>
    <w:rsid w:val="00231450"/>
    <w:rsid w:val="00231A38"/>
    <w:rsid w:val="00231A84"/>
    <w:rsid w:val="00232329"/>
    <w:rsid w:val="00232502"/>
    <w:rsid w:val="00232617"/>
    <w:rsid w:val="00232D4D"/>
    <w:rsid w:val="00232DFA"/>
    <w:rsid w:val="002333CA"/>
    <w:rsid w:val="00233430"/>
    <w:rsid w:val="00234A8D"/>
    <w:rsid w:val="00234C48"/>
    <w:rsid w:val="00235A25"/>
    <w:rsid w:val="00237E53"/>
    <w:rsid w:val="00240BDC"/>
    <w:rsid w:val="00240F0C"/>
    <w:rsid w:val="002413C4"/>
    <w:rsid w:val="00241B50"/>
    <w:rsid w:val="00241BEC"/>
    <w:rsid w:val="00241D06"/>
    <w:rsid w:val="00241EDE"/>
    <w:rsid w:val="00242554"/>
    <w:rsid w:val="00242F3C"/>
    <w:rsid w:val="00242F3F"/>
    <w:rsid w:val="00244A20"/>
    <w:rsid w:val="00244A46"/>
    <w:rsid w:val="00244A5B"/>
    <w:rsid w:val="002451D1"/>
    <w:rsid w:val="002454B7"/>
    <w:rsid w:val="00245C4E"/>
    <w:rsid w:val="00245F4D"/>
    <w:rsid w:val="00245F92"/>
    <w:rsid w:val="002462B5"/>
    <w:rsid w:val="00246865"/>
    <w:rsid w:val="00246951"/>
    <w:rsid w:val="00247016"/>
    <w:rsid w:val="002475D6"/>
    <w:rsid w:val="00250092"/>
    <w:rsid w:val="00250541"/>
    <w:rsid w:val="002505A1"/>
    <w:rsid w:val="002505CB"/>
    <w:rsid w:val="00250D3E"/>
    <w:rsid w:val="00251017"/>
    <w:rsid w:val="002515FC"/>
    <w:rsid w:val="002527F2"/>
    <w:rsid w:val="002528E9"/>
    <w:rsid w:val="0025292E"/>
    <w:rsid w:val="0025299B"/>
    <w:rsid w:val="00252E3F"/>
    <w:rsid w:val="0025397A"/>
    <w:rsid w:val="00253A72"/>
    <w:rsid w:val="002547A2"/>
    <w:rsid w:val="00254996"/>
    <w:rsid w:val="002556BC"/>
    <w:rsid w:val="00255925"/>
    <w:rsid w:val="00256233"/>
    <w:rsid w:val="00257750"/>
    <w:rsid w:val="00257AF4"/>
    <w:rsid w:val="002601BD"/>
    <w:rsid w:val="002602E3"/>
    <w:rsid w:val="00260688"/>
    <w:rsid w:val="00260ED9"/>
    <w:rsid w:val="00260FD2"/>
    <w:rsid w:val="00261701"/>
    <w:rsid w:val="00261CB2"/>
    <w:rsid w:val="002624AF"/>
    <w:rsid w:val="0026279A"/>
    <w:rsid w:val="002631C2"/>
    <w:rsid w:val="0026334E"/>
    <w:rsid w:val="0026342B"/>
    <w:rsid w:val="00263654"/>
    <w:rsid w:val="002637C1"/>
    <w:rsid w:val="00263881"/>
    <w:rsid w:val="00263A1F"/>
    <w:rsid w:val="00263C89"/>
    <w:rsid w:val="0026450E"/>
    <w:rsid w:val="00264525"/>
    <w:rsid w:val="00264E0C"/>
    <w:rsid w:val="00265283"/>
    <w:rsid w:val="00265613"/>
    <w:rsid w:val="00265673"/>
    <w:rsid w:val="00266104"/>
    <w:rsid w:val="002663A0"/>
    <w:rsid w:val="002663CA"/>
    <w:rsid w:val="002665AB"/>
    <w:rsid w:val="00266817"/>
    <w:rsid w:val="002673D0"/>
    <w:rsid w:val="00267633"/>
    <w:rsid w:val="00267875"/>
    <w:rsid w:val="0026791D"/>
    <w:rsid w:val="00270450"/>
    <w:rsid w:val="00270476"/>
    <w:rsid w:val="00270754"/>
    <w:rsid w:val="00270F6F"/>
    <w:rsid w:val="00270FE2"/>
    <w:rsid w:val="00271107"/>
    <w:rsid w:val="002713BA"/>
    <w:rsid w:val="00271716"/>
    <w:rsid w:val="00271777"/>
    <w:rsid w:val="00271F79"/>
    <w:rsid w:val="00272BD1"/>
    <w:rsid w:val="00273CA0"/>
    <w:rsid w:val="002743A1"/>
    <w:rsid w:val="0027464F"/>
    <w:rsid w:val="00275087"/>
    <w:rsid w:val="0027625C"/>
    <w:rsid w:val="00276395"/>
    <w:rsid w:val="002763AD"/>
    <w:rsid w:val="00277072"/>
    <w:rsid w:val="00277194"/>
    <w:rsid w:val="00277496"/>
    <w:rsid w:val="002777A0"/>
    <w:rsid w:val="00277805"/>
    <w:rsid w:val="002778BD"/>
    <w:rsid w:val="002800FC"/>
    <w:rsid w:val="00280330"/>
    <w:rsid w:val="00280371"/>
    <w:rsid w:val="00281606"/>
    <w:rsid w:val="002821C2"/>
    <w:rsid w:val="00282659"/>
    <w:rsid w:val="002831F1"/>
    <w:rsid w:val="00283295"/>
    <w:rsid w:val="00283A31"/>
    <w:rsid w:val="00283C63"/>
    <w:rsid w:val="00284232"/>
    <w:rsid w:val="00284815"/>
    <w:rsid w:val="0028482A"/>
    <w:rsid w:val="00285085"/>
    <w:rsid w:val="00285716"/>
    <w:rsid w:val="0028594E"/>
    <w:rsid w:val="00286011"/>
    <w:rsid w:val="00286602"/>
    <w:rsid w:val="002866F5"/>
    <w:rsid w:val="00287BE0"/>
    <w:rsid w:val="00287ED1"/>
    <w:rsid w:val="002900BD"/>
    <w:rsid w:val="002903EF"/>
    <w:rsid w:val="002910B6"/>
    <w:rsid w:val="00292002"/>
    <w:rsid w:val="002924B7"/>
    <w:rsid w:val="0029256C"/>
    <w:rsid w:val="00292DA3"/>
    <w:rsid w:val="0029335C"/>
    <w:rsid w:val="00293749"/>
    <w:rsid w:val="00293C80"/>
    <w:rsid w:val="00293FA9"/>
    <w:rsid w:val="00293FEE"/>
    <w:rsid w:val="00294E2E"/>
    <w:rsid w:val="00295160"/>
    <w:rsid w:val="00295500"/>
    <w:rsid w:val="00295B52"/>
    <w:rsid w:val="00295EAA"/>
    <w:rsid w:val="0029672A"/>
    <w:rsid w:val="002967E7"/>
    <w:rsid w:val="00296C22"/>
    <w:rsid w:val="00297534"/>
    <w:rsid w:val="00297DF1"/>
    <w:rsid w:val="002A0186"/>
    <w:rsid w:val="002A0385"/>
    <w:rsid w:val="002A0E0F"/>
    <w:rsid w:val="002A11FA"/>
    <w:rsid w:val="002A13EA"/>
    <w:rsid w:val="002A17CF"/>
    <w:rsid w:val="002A19DB"/>
    <w:rsid w:val="002A1D91"/>
    <w:rsid w:val="002A2288"/>
    <w:rsid w:val="002A230E"/>
    <w:rsid w:val="002A2AA7"/>
    <w:rsid w:val="002A37C6"/>
    <w:rsid w:val="002A3A89"/>
    <w:rsid w:val="002A3E03"/>
    <w:rsid w:val="002A3E66"/>
    <w:rsid w:val="002A4158"/>
    <w:rsid w:val="002A4B81"/>
    <w:rsid w:val="002A525E"/>
    <w:rsid w:val="002A5594"/>
    <w:rsid w:val="002A5A00"/>
    <w:rsid w:val="002A5E51"/>
    <w:rsid w:val="002A5EC5"/>
    <w:rsid w:val="002A5F61"/>
    <w:rsid w:val="002A5F75"/>
    <w:rsid w:val="002A6812"/>
    <w:rsid w:val="002A682B"/>
    <w:rsid w:val="002A69B2"/>
    <w:rsid w:val="002A7645"/>
    <w:rsid w:val="002A7B7E"/>
    <w:rsid w:val="002A7F53"/>
    <w:rsid w:val="002B0BF9"/>
    <w:rsid w:val="002B14BB"/>
    <w:rsid w:val="002B14CC"/>
    <w:rsid w:val="002B1548"/>
    <w:rsid w:val="002B2384"/>
    <w:rsid w:val="002B252E"/>
    <w:rsid w:val="002B2D45"/>
    <w:rsid w:val="002B2D5E"/>
    <w:rsid w:val="002B3E00"/>
    <w:rsid w:val="002B4723"/>
    <w:rsid w:val="002B479A"/>
    <w:rsid w:val="002B50C2"/>
    <w:rsid w:val="002B50CF"/>
    <w:rsid w:val="002B571F"/>
    <w:rsid w:val="002B5AB7"/>
    <w:rsid w:val="002B5C2F"/>
    <w:rsid w:val="002B5DF4"/>
    <w:rsid w:val="002B6006"/>
    <w:rsid w:val="002B6D0B"/>
    <w:rsid w:val="002B70CB"/>
    <w:rsid w:val="002B741F"/>
    <w:rsid w:val="002B7B51"/>
    <w:rsid w:val="002B7B8C"/>
    <w:rsid w:val="002B7D11"/>
    <w:rsid w:val="002B7DC4"/>
    <w:rsid w:val="002C0666"/>
    <w:rsid w:val="002C0E67"/>
    <w:rsid w:val="002C1382"/>
    <w:rsid w:val="002C1C8E"/>
    <w:rsid w:val="002C20E1"/>
    <w:rsid w:val="002C291C"/>
    <w:rsid w:val="002C349E"/>
    <w:rsid w:val="002C36B6"/>
    <w:rsid w:val="002C3CB1"/>
    <w:rsid w:val="002C4BFA"/>
    <w:rsid w:val="002C55C0"/>
    <w:rsid w:val="002C55D8"/>
    <w:rsid w:val="002C5CC7"/>
    <w:rsid w:val="002C608A"/>
    <w:rsid w:val="002C6530"/>
    <w:rsid w:val="002C66BC"/>
    <w:rsid w:val="002C7210"/>
    <w:rsid w:val="002C7DFB"/>
    <w:rsid w:val="002D09BB"/>
    <w:rsid w:val="002D15D2"/>
    <w:rsid w:val="002D174E"/>
    <w:rsid w:val="002D17B2"/>
    <w:rsid w:val="002D2108"/>
    <w:rsid w:val="002D2142"/>
    <w:rsid w:val="002D2154"/>
    <w:rsid w:val="002D297E"/>
    <w:rsid w:val="002D2BA5"/>
    <w:rsid w:val="002D3231"/>
    <w:rsid w:val="002D3268"/>
    <w:rsid w:val="002D37F5"/>
    <w:rsid w:val="002D3904"/>
    <w:rsid w:val="002D41A7"/>
    <w:rsid w:val="002D4C21"/>
    <w:rsid w:val="002D4FE1"/>
    <w:rsid w:val="002D5007"/>
    <w:rsid w:val="002D5414"/>
    <w:rsid w:val="002D5EE8"/>
    <w:rsid w:val="002D5FAE"/>
    <w:rsid w:val="002D60FB"/>
    <w:rsid w:val="002D686E"/>
    <w:rsid w:val="002D7462"/>
    <w:rsid w:val="002D79AA"/>
    <w:rsid w:val="002E0271"/>
    <w:rsid w:val="002E145E"/>
    <w:rsid w:val="002E208A"/>
    <w:rsid w:val="002E229F"/>
    <w:rsid w:val="002E374C"/>
    <w:rsid w:val="002E43FB"/>
    <w:rsid w:val="002E461B"/>
    <w:rsid w:val="002E4AF3"/>
    <w:rsid w:val="002E4B12"/>
    <w:rsid w:val="002E5BBC"/>
    <w:rsid w:val="002E605B"/>
    <w:rsid w:val="002E734B"/>
    <w:rsid w:val="002E775C"/>
    <w:rsid w:val="002E7BA6"/>
    <w:rsid w:val="002E7BDD"/>
    <w:rsid w:val="002F08BF"/>
    <w:rsid w:val="002F0930"/>
    <w:rsid w:val="002F0E8B"/>
    <w:rsid w:val="002F13AD"/>
    <w:rsid w:val="002F167E"/>
    <w:rsid w:val="002F1E5F"/>
    <w:rsid w:val="002F2B1A"/>
    <w:rsid w:val="002F2D42"/>
    <w:rsid w:val="002F2F52"/>
    <w:rsid w:val="002F2FD8"/>
    <w:rsid w:val="002F2FEC"/>
    <w:rsid w:val="002F3C19"/>
    <w:rsid w:val="002F3C3B"/>
    <w:rsid w:val="002F4364"/>
    <w:rsid w:val="002F45EC"/>
    <w:rsid w:val="002F4674"/>
    <w:rsid w:val="002F4997"/>
    <w:rsid w:val="002F5D79"/>
    <w:rsid w:val="002F6120"/>
    <w:rsid w:val="002F6ABA"/>
    <w:rsid w:val="003001B2"/>
    <w:rsid w:val="00300688"/>
    <w:rsid w:val="003008EC"/>
    <w:rsid w:val="0030099C"/>
    <w:rsid w:val="00300E9B"/>
    <w:rsid w:val="00300FD5"/>
    <w:rsid w:val="00301099"/>
    <w:rsid w:val="003018BE"/>
    <w:rsid w:val="00301A7E"/>
    <w:rsid w:val="003026A2"/>
    <w:rsid w:val="00303D88"/>
    <w:rsid w:val="0030422B"/>
    <w:rsid w:val="00304483"/>
    <w:rsid w:val="00304836"/>
    <w:rsid w:val="00304C29"/>
    <w:rsid w:val="00304DA6"/>
    <w:rsid w:val="00305D61"/>
    <w:rsid w:val="0030612F"/>
    <w:rsid w:val="00306741"/>
    <w:rsid w:val="00306A61"/>
    <w:rsid w:val="00306C6B"/>
    <w:rsid w:val="003073DE"/>
    <w:rsid w:val="0030791B"/>
    <w:rsid w:val="003100B9"/>
    <w:rsid w:val="003106DC"/>
    <w:rsid w:val="00310BBF"/>
    <w:rsid w:val="00310E35"/>
    <w:rsid w:val="00310F93"/>
    <w:rsid w:val="00311276"/>
    <w:rsid w:val="00311761"/>
    <w:rsid w:val="00311FAA"/>
    <w:rsid w:val="00312656"/>
    <w:rsid w:val="00313B82"/>
    <w:rsid w:val="00314363"/>
    <w:rsid w:val="003145C6"/>
    <w:rsid w:val="00315670"/>
    <w:rsid w:val="00315794"/>
    <w:rsid w:val="00315A65"/>
    <w:rsid w:val="00315E21"/>
    <w:rsid w:val="003160DC"/>
    <w:rsid w:val="003165D2"/>
    <w:rsid w:val="00316BED"/>
    <w:rsid w:val="00316E5A"/>
    <w:rsid w:val="00317D75"/>
    <w:rsid w:val="00317EA8"/>
    <w:rsid w:val="0032059B"/>
    <w:rsid w:val="0032098F"/>
    <w:rsid w:val="00320B11"/>
    <w:rsid w:val="003218E8"/>
    <w:rsid w:val="00321EC2"/>
    <w:rsid w:val="00322664"/>
    <w:rsid w:val="003229CC"/>
    <w:rsid w:val="00322D24"/>
    <w:rsid w:val="00322D89"/>
    <w:rsid w:val="003235AB"/>
    <w:rsid w:val="00323ACF"/>
    <w:rsid w:val="00325CA6"/>
    <w:rsid w:val="003260F3"/>
    <w:rsid w:val="003262AD"/>
    <w:rsid w:val="0032690F"/>
    <w:rsid w:val="00326E0E"/>
    <w:rsid w:val="003273D3"/>
    <w:rsid w:val="00327467"/>
    <w:rsid w:val="0032756A"/>
    <w:rsid w:val="00327805"/>
    <w:rsid w:val="00327C8C"/>
    <w:rsid w:val="0033041C"/>
    <w:rsid w:val="00330521"/>
    <w:rsid w:val="00330D48"/>
    <w:rsid w:val="00330E0F"/>
    <w:rsid w:val="00331183"/>
    <w:rsid w:val="00331324"/>
    <w:rsid w:val="00331CC5"/>
    <w:rsid w:val="00331F60"/>
    <w:rsid w:val="0033212A"/>
    <w:rsid w:val="00332C3F"/>
    <w:rsid w:val="0033386B"/>
    <w:rsid w:val="00334320"/>
    <w:rsid w:val="00334E32"/>
    <w:rsid w:val="00335736"/>
    <w:rsid w:val="00335838"/>
    <w:rsid w:val="0033599D"/>
    <w:rsid w:val="00335CF9"/>
    <w:rsid w:val="00335E90"/>
    <w:rsid w:val="00336677"/>
    <w:rsid w:val="00336688"/>
    <w:rsid w:val="00336B46"/>
    <w:rsid w:val="00336BA3"/>
    <w:rsid w:val="00336CFC"/>
    <w:rsid w:val="00340673"/>
    <w:rsid w:val="0034115E"/>
    <w:rsid w:val="00341357"/>
    <w:rsid w:val="0034154F"/>
    <w:rsid w:val="00341A4F"/>
    <w:rsid w:val="00342320"/>
    <w:rsid w:val="00342631"/>
    <w:rsid w:val="00342A2D"/>
    <w:rsid w:val="003437F7"/>
    <w:rsid w:val="003438C5"/>
    <w:rsid w:val="00344526"/>
    <w:rsid w:val="003454C6"/>
    <w:rsid w:val="00345595"/>
    <w:rsid w:val="003459B4"/>
    <w:rsid w:val="00345AA0"/>
    <w:rsid w:val="003462F5"/>
    <w:rsid w:val="00346A6D"/>
    <w:rsid w:val="00346BE5"/>
    <w:rsid w:val="00347359"/>
    <w:rsid w:val="0034748F"/>
    <w:rsid w:val="003476D3"/>
    <w:rsid w:val="0034797D"/>
    <w:rsid w:val="00347C72"/>
    <w:rsid w:val="00350073"/>
    <w:rsid w:val="00350D66"/>
    <w:rsid w:val="00351CD5"/>
    <w:rsid w:val="00351E92"/>
    <w:rsid w:val="00351EE0"/>
    <w:rsid w:val="003520D5"/>
    <w:rsid w:val="00352A13"/>
    <w:rsid w:val="00352D65"/>
    <w:rsid w:val="00353392"/>
    <w:rsid w:val="003534F8"/>
    <w:rsid w:val="00353C6D"/>
    <w:rsid w:val="003547CF"/>
    <w:rsid w:val="003549B6"/>
    <w:rsid w:val="00354C28"/>
    <w:rsid w:val="00354F42"/>
    <w:rsid w:val="00355435"/>
    <w:rsid w:val="003555A6"/>
    <w:rsid w:val="00355F88"/>
    <w:rsid w:val="0035657A"/>
    <w:rsid w:val="00356F1D"/>
    <w:rsid w:val="00357195"/>
    <w:rsid w:val="00357530"/>
    <w:rsid w:val="003610A6"/>
    <w:rsid w:val="00361324"/>
    <w:rsid w:val="00361C94"/>
    <w:rsid w:val="00361C9B"/>
    <w:rsid w:val="00361D93"/>
    <w:rsid w:val="00362171"/>
    <w:rsid w:val="003622B1"/>
    <w:rsid w:val="00362A92"/>
    <w:rsid w:val="00362C9E"/>
    <w:rsid w:val="00362F25"/>
    <w:rsid w:val="003631C9"/>
    <w:rsid w:val="00363329"/>
    <w:rsid w:val="0036380D"/>
    <w:rsid w:val="00364269"/>
    <w:rsid w:val="003644DE"/>
    <w:rsid w:val="003647BA"/>
    <w:rsid w:val="00364FB1"/>
    <w:rsid w:val="00365FD4"/>
    <w:rsid w:val="00366950"/>
    <w:rsid w:val="0036716C"/>
    <w:rsid w:val="003679F1"/>
    <w:rsid w:val="00367B8D"/>
    <w:rsid w:val="00367CC2"/>
    <w:rsid w:val="00370841"/>
    <w:rsid w:val="003712F1"/>
    <w:rsid w:val="003718CF"/>
    <w:rsid w:val="00372E92"/>
    <w:rsid w:val="00372F9F"/>
    <w:rsid w:val="003737E1"/>
    <w:rsid w:val="003739BB"/>
    <w:rsid w:val="00374024"/>
    <w:rsid w:val="00374A09"/>
    <w:rsid w:val="0037546E"/>
    <w:rsid w:val="00375BAC"/>
    <w:rsid w:val="00375D99"/>
    <w:rsid w:val="0037606B"/>
    <w:rsid w:val="0037623D"/>
    <w:rsid w:val="00376792"/>
    <w:rsid w:val="00376A68"/>
    <w:rsid w:val="00376DB3"/>
    <w:rsid w:val="003773EC"/>
    <w:rsid w:val="00377E7A"/>
    <w:rsid w:val="00377FB8"/>
    <w:rsid w:val="00380202"/>
    <w:rsid w:val="003806D0"/>
    <w:rsid w:val="00380958"/>
    <w:rsid w:val="00380C41"/>
    <w:rsid w:val="00380C60"/>
    <w:rsid w:val="003810B2"/>
    <w:rsid w:val="00381517"/>
    <w:rsid w:val="0038235B"/>
    <w:rsid w:val="003826DD"/>
    <w:rsid w:val="00383836"/>
    <w:rsid w:val="0038383C"/>
    <w:rsid w:val="00383E6D"/>
    <w:rsid w:val="00383F94"/>
    <w:rsid w:val="003842AD"/>
    <w:rsid w:val="003848F9"/>
    <w:rsid w:val="00384AF6"/>
    <w:rsid w:val="00384BC5"/>
    <w:rsid w:val="003850E8"/>
    <w:rsid w:val="00385118"/>
    <w:rsid w:val="003851A2"/>
    <w:rsid w:val="00385B58"/>
    <w:rsid w:val="00385D5D"/>
    <w:rsid w:val="003861D1"/>
    <w:rsid w:val="00386910"/>
    <w:rsid w:val="00387056"/>
    <w:rsid w:val="00387091"/>
    <w:rsid w:val="0038770B"/>
    <w:rsid w:val="00390576"/>
    <w:rsid w:val="0039080E"/>
    <w:rsid w:val="00390C0F"/>
    <w:rsid w:val="00390DDC"/>
    <w:rsid w:val="00390FEE"/>
    <w:rsid w:val="003910CB"/>
    <w:rsid w:val="0039118D"/>
    <w:rsid w:val="003911DC"/>
    <w:rsid w:val="00391597"/>
    <w:rsid w:val="00391607"/>
    <w:rsid w:val="00393684"/>
    <w:rsid w:val="0039375F"/>
    <w:rsid w:val="00394DB3"/>
    <w:rsid w:val="00394EFB"/>
    <w:rsid w:val="003961B4"/>
    <w:rsid w:val="00396652"/>
    <w:rsid w:val="003970BF"/>
    <w:rsid w:val="00397247"/>
    <w:rsid w:val="00397752"/>
    <w:rsid w:val="00397AF1"/>
    <w:rsid w:val="003A0044"/>
    <w:rsid w:val="003A05C6"/>
    <w:rsid w:val="003A0705"/>
    <w:rsid w:val="003A0C8C"/>
    <w:rsid w:val="003A10FC"/>
    <w:rsid w:val="003A138B"/>
    <w:rsid w:val="003A1ECB"/>
    <w:rsid w:val="003A1EE5"/>
    <w:rsid w:val="003A2532"/>
    <w:rsid w:val="003A28CD"/>
    <w:rsid w:val="003A2C06"/>
    <w:rsid w:val="003A3526"/>
    <w:rsid w:val="003A36A6"/>
    <w:rsid w:val="003A4348"/>
    <w:rsid w:val="003A4375"/>
    <w:rsid w:val="003A4D34"/>
    <w:rsid w:val="003A56E2"/>
    <w:rsid w:val="003A5A70"/>
    <w:rsid w:val="003A5AAF"/>
    <w:rsid w:val="003A6067"/>
    <w:rsid w:val="003A646D"/>
    <w:rsid w:val="003A6A89"/>
    <w:rsid w:val="003A6C48"/>
    <w:rsid w:val="003A70BA"/>
    <w:rsid w:val="003A71F4"/>
    <w:rsid w:val="003A7EAA"/>
    <w:rsid w:val="003B08E1"/>
    <w:rsid w:val="003B0DC8"/>
    <w:rsid w:val="003B10E8"/>
    <w:rsid w:val="003B17F6"/>
    <w:rsid w:val="003B1A97"/>
    <w:rsid w:val="003B21D5"/>
    <w:rsid w:val="003B264A"/>
    <w:rsid w:val="003B2733"/>
    <w:rsid w:val="003B2779"/>
    <w:rsid w:val="003B2CFB"/>
    <w:rsid w:val="003B371C"/>
    <w:rsid w:val="003B3B70"/>
    <w:rsid w:val="003B3CA9"/>
    <w:rsid w:val="003B43EB"/>
    <w:rsid w:val="003B4680"/>
    <w:rsid w:val="003B471E"/>
    <w:rsid w:val="003B4796"/>
    <w:rsid w:val="003B4FD4"/>
    <w:rsid w:val="003B53C1"/>
    <w:rsid w:val="003B54DE"/>
    <w:rsid w:val="003B59AF"/>
    <w:rsid w:val="003B5C79"/>
    <w:rsid w:val="003B623D"/>
    <w:rsid w:val="003B6928"/>
    <w:rsid w:val="003B6BB3"/>
    <w:rsid w:val="003B7214"/>
    <w:rsid w:val="003B74BC"/>
    <w:rsid w:val="003C02EA"/>
    <w:rsid w:val="003C0415"/>
    <w:rsid w:val="003C04C7"/>
    <w:rsid w:val="003C04CA"/>
    <w:rsid w:val="003C0589"/>
    <w:rsid w:val="003C05D5"/>
    <w:rsid w:val="003C0AD0"/>
    <w:rsid w:val="003C0AEE"/>
    <w:rsid w:val="003C110F"/>
    <w:rsid w:val="003C12B9"/>
    <w:rsid w:val="003C1663"/>
    <w:rsid w:val="003C16B9"/>
    <w:rsid w:val="003C1BD1"/>
    <w:rsid w:val="003C21C0"/>
    <w:rsid w:val="003C25B0"/>
    <w:rsid w:val="003C32B3"/>
    <w:rsid w:val="003C3D32"/>
    <w:rsid w:val="003C3EBA"/>
    <w:rsid w:val="003C440E"/>
    <w:rsid w:val="003C481C"/>
    <w:rsid w:val="003C4BD0"/>
    <w:rsid w:val="003C5B62"/>
    <w:rsid w:val="003C5B7A"/>
    <w:rsid w:val="003C5EBC"/>
    <w:rsid w:val="003C6951"/>
    <w:rsid w:val="003C7313"/>
    <w:rsid w:val="003C7439"/>
    <w:rsid w:val="003C7484"/>
    <w:rsid w:val="003C7935"/>
    <w:rsid w:val="003C7A09"/>
    <w:rsid w:val="003D0030"/>
    <w:rsid w:val="003D01C4"/>
    <w:rsid w:val="003D0494"/>
    <w:rsid w:val="003D0947"/>
    <w:rsid w:val="003D09EB"/>
    <w:rsid w:val="003D17BD"/>
    <w:rsid w:val="003D181A"/>
    <w:rsid w:val="003D239F"/>
    <w:rsid w:val="003D2819"/>
    <w:rsid w:val="003D2B92"/>
    <w:rsid w:val="003D3075"/>
    <w:rsid w:val="003D3368"/>
    <w:rsid w:val="003D3D12"/>
    <w:rsid w:val="003D41AF"/>
    <w:rsid w:val="003D4892"/>
    <w:rsid w:val="003D4961"/>
    <w:rsid w:val="003D5985"/>
    <w:rsid w:val="003D5D2E"/>
    <w:rsid w:val="003D6241"/>
    <w:rsid w:val="003D6A68"/>
    <w:rsid w:val="003D6E1D"/>
    <w:rsid w:val="003D6F87"/>
    <w:rsid w:val="003E00A1"/>
    <w:rsid w:val="003E0E6C"/>
    <w:rsid w:val="003E1779"/>
    <w:rsid w:val="003E1BA5"/>
    <w:rsid w:val="003E2368"/>
    <w:rsid w:val="003E2AC6"/>
    <w:rsid w:val="003E2D54"/>
    <w:rsid w:val="003E3C7C"/>
    <w:rsid w:val="003E4168"/>
    <w:rsid w:val="003E4998"/>
    <w:rsid w:val="003E4A80"/>
    <w:rsid w:val="003E4D8C"/>
    <w:rsid w:val="003E593C"/>
    <w:rsid w:val="003E6477"/>
    <w:rsid w:val="003E6AAD"/>
    <w:rsid w:val="003E6B9A"/>
    <w:rsid w:val="003E74BE"/>
    <w:rsid w:val="003E7750"/>
    <w:rsid w:val="003E7CCC"/>
    <w:rsid w:val="003F03CC"/>
    <w:rsid w:val="003F06B5"/>
    <w:rsid w:val="003F0D5E"/>
    <w:rsid w:val="003F1885"/>
    <w:rsid w:val="003F1F0D"/>
    <w:rsid w:val="003F206A"/>
    <w:rsid w:val="003F2341"/>
    <w:rsid w:val="003F236E"/>
    <w:rsid w:val="003F2437"/>
    <w:rsid w:val="003F26D5"/>
    <w:rsid w:val="003F2784"/>
    <w:rsid w:val="003F2DD7"/>
    <w:rsid w:val="003F32C6"/>
    <w:rsid w:val="003F36FE"/>
    <w:rsid w:val="003F3762"/>
    <w:rsid w:val="003F3F51"/>
    <w:rsid w:val="003F4421"/>
    <w:rsid w:val="003F49EC"/>
    <w:rsid w:val="003F4AAA"/>
    <w:rsid w:val="003F4ACB"/>
    <w:rsid w:val="003F50EE"/>
    <w:rsid w:val="003F522D"/>
    <w:rsid w:val="003F625F"/>
    <w:rsid w:val="003F6BB7"/>
    <w:rsid w:val="003F6CFE"/>
    <w:rsid w:val="003F6F3F"/>
    <w:rsid w:val="003F7634"/>
    <w:rsid w:val="0040087C"/>
    <w:rsid w:val="00401188"/>
    <w:rsid w:val="004014C9"/>
    <w:rsid w:val="004017E8"/>
    <w:rsid w:val="00401A13"/>
    <w:rsid w:val="00401CE2"/>
    <w:rsid w:val="00401FAF"/>
    <w:rsid w:val="00401FC2"/>
    <w:rsid w:val="004028D4"/>
    <w:rsid w:val="00402A0E"/>
    <w:rsid w:val="00402B2B"/>
    <w:rsid w:val="00403033"/>
    <w:rsid w:val="0040347B"/>
    <w:rsid w:val="00403714"/>
    <w:rsid w:val="00404BE8"/>
    <w:rsid w:val="00404F9A"/>
    <w:rsid w:val="0040503A"/>
    <w:rsid w:val="0040515B"/>
    <w:rsid w:val="004051BC"/>
    <w:rsid w:val="0040522A"/>
    <w:rsid w:val="0040531D"/>
    <w:rsid w:val="00405861"/>
    <w:rsid w:val="004060DC"/>
    <w:rsid w:val="00406DE4"/>
    <w:rsid w:val="0040729E"/>
    <w:rsid w:val="00407D2C"/>
    <w:rsid w:val="00410A0B"/>
    <w:rsid w:val="0041131C"/>
    <w:rsid w:val="0041195E"/>
    <w:rsid w:val="00411AE5"/>
    <w:rsid w:val="00411D55"/>
    <w:rsid w:val="00411F0E"/>
    <w:rsid w:val="00412124"/>
    <w:rsid w:val="0041212C"/>
    <w:rsid w:val="004128A8"/>
    <w:rsid w:val="004129B7"/>
    <w:rsid w:val="00413293"/>
    <w:rsid w:val="004138A5"/>
    <w:rsid w:val="004138E9"/>
    <w:rsid w:val="00413D4A"/>
    <w:rsid w:val="00414A56"/>
    <w:rsid w:val="00414BB2"/>
    <w:rsid w:val="004154E1"/>
    <w:rsid w:val="004159F9"/>
    <w:rsid w:val="00415D56"/>
    <w:rsid w:val="00415EAB"/>
    <w:rsid w:val="0041670E"/>
    <w:rsid w:val="00416847"/>
    <w:rsid w:val="00417C4E"/>
    <w:rsid w:val="00417F64"/>
    <w:rsid w:val="0042047E"/>
    <w:rsid w:val="00420854"/>
    <w:rsid w:val="0042113B"/>
    <w:rsid w:val="00421E91"/>
    <w:rsid w:val="00421EA3"/>
    <w:rsid w:val="00422591"/>
    <w:rsid w:val="004229AC"/>
    <w:rsid w:val="00422B63"/>
    <w:rsid w:val="00423002"/>
    <w:rsid w:val="00423186"/>
    <w:rsid w:val="004235B8"/>
    <w:rsid w:val="00424C18"/>
    <w:rsid w:val="00425801"/>
    <w:rsid w:val="0042656D"/>
    <w:rsid w:val="004268BF"/>
    <w:rsid w:val="00426D2E"/>
    <w:rsid w:val="00426F80"/>
    <w:rsid w:val="00427060"/>
    <w:rsid w:val="0042727B"/>
    <w:rsid w:val="004301CF"/>
    <w:rsid w:val="0043062A"/>
    <w:rsid w:val="004311CC"/>
    <w:rsid w:val="004316F0"/>
    <w:rsid w:val="0043187E"/>
    <w:rsid w:val="00431948"/>
    <w:rsid w:val="00431ADA"/>
    <w:rsid w:val="00432ADA"/>
    <w:rsid w:val="00432D1C"/>
    <w:rsid w:val="0043361F"/>
    <w:rsid w:val="00433F23"/>
    <w:rsid w:val="00434312"/>
    <w:rsid w:val="004344E0"/>
    <w:rsid w:val="00434841"/>
    <w:rsid w:val="0043589A"/>
    <w:rsid w:val="004368A2"/>
    <w:rsid w:val="00436B01"/>
    <w:rsid w:val="00436C60"/>
    <w:rsid w:val="004375D7"/>
    <w:rsid w:val="0043771B"/>
    <w:rsid w:val="004377E3"/>
    <w:rsid w:val="004404AD"/>
    <w:rsid w:val="004404CB"/>
    <w:rsid w:val="004405D3"/>
    <w:rsid w:val="00440A06"/>
    <w:rsid w:val="00440A44"/>
    <w:rsid w:val="00440C4B"/>
    <w:rsid w:val="004411BA"/>
    <w:rsid w:val="0044180A"/>
    <w:rsid w:val="00441A5D"/>
    <w:rsid w:val="00441C44"/>
    <w:rsid w:val="00441C4C"/>
    <w:rsid w:val="00441C62"/>
    <w:rsid w:val="00442004"/>
    <w:rsid w:val="00442126"/>
    <w:rsid w:val="00442136"/>
    <w:rsid w:val="00442195"/>
    <w:rsid w:val="0044221C"/>
    <w:rsid w:val="00442B34"/>
    <w:rsid w:val="00443608"/>
    <w:rsid w:val="00444553"/>
    <w:rsid w:val="00444A35"/>
    <w:rsid w:val="00445525"/>
    <w:rsid w:val="004456B5"/>
    <w:rsid w:val="004457DC"/>
    <w:rsid w:val="00445E05"/>
    <w:rsid w:val="00446B38"/>
    <w:rsid w:val="00446CCD"/>
    <w:rsid w:val="0044722F"/>
    <w:rsid w:val="00447F46"/>
    <w:rsid w:val="004508C1"/>
    <w:rsid w:val="00450FDA"/>
    <w:rsid w:val="004511F3"/>
    <w:rsid w:val="0045142C"/>
    <w:rsid w:val="0045163D"/>
    <w:rsid w:val="0045177B"/>
    <w:rsid w:val="00452CEC"/>
    <w:rsid w:val="004531D3"/>
    <w:rsid w:val="0045320C"/>
    <w:rsid w:val="0045325D"/>
    <w:rsid w:val="00453A2E"/>
    <w:rsid w:val="00453B2E"/>
    <w:rsid w:val="00453E2B"/>
    <w:rsid w:val="0045478F"/>
    <w:rsid w:val="004551E2"/>
    <w:rsid w:val="00455837"/>
    <w:rsid w:val="00456032"/>
    <w:rsid w:val="004568FB"/>
    <w:rsid w:val="004572D0"/>
    <w:rsid w:val="0046040C"/>
    <w:rsid w:val="00460657"/>
    <w:rsid w:val="00460796"/>
    <w:rsid w:val="00460DFA"/>
    <w:rsid w:val="00461039"/>
    <w:rsid w:val="004614B0"/>
    <w:rsid w:val="0046196F"/>
    <w:rsid w:val="00461AFC"/>
    <w:rsid w:val="00462045"/>
    <w:rsid w:val="00462923"/>
    <w:rsid w:val="00463165"/>
    <w:rsid w:val="004632D8"/>
    <w:rsid w:val="00463592"/>
    <w:rsid w:val="00463609"/>
    <w:rsid w:val="00463677"/>
    <w:rsid w:val="004639F6"/>
    <w:rsid w:val="00464656"/>
    <w:rsid w:val="00465A1E"/>
    <w:rsid w:val="00465BC7"/>
    <w:rsid w:val="00465D7A"/>
    <w:rsid w:val="00467128"/>
    <w:rsid w:val="0047003D"/>
    <w:rsid w:val="0047088A"/>
    <w:rsid w:val="00470A0F"/>
    <w:rsid w:val="00470B87"/>
    <w:rsid w:val="00470D58"/>
    <w:rsid w:val="004713A8"/>
    <w:rsid w:val="004715C9"/>
    <w:rsid w:val="004715EA"/>
    <w:rsid w:val="00472900"/>
    <w:rsid w:val="00472AB8"/>
    <w:rsid w:val="00472CE9"/>
    <w:rsid w:val="0047335D"/>
    <w:rsid w:val="00473BE6"/>
    <w:rsid w:val="004740E8"/>
    <w:rsid w:val="00474A4E"/>
    <w:rsid w:val="00474F7D"/>
    <w:rsid w:val="004751D3"/>
    <w:rsid w:val="00475AAB"/>
    <w:rsid w:val="00475DEE"/>
    <w:rsid w:val="00476780"/>
    <w:rsid w:val="00476938"/>
    <w:rsid w:val="004772D8"/>
    <w:rsid w:val="004776C9"/>
    <w:rsid w:val="00477A35"/>
    <w:rsid w:val="004804F2"/>
    <w:rsid w:val="00480F0F"/>
    <w:rsid w:val="00481F46"/>
    <w:rsid w:val="00483633"/>
    <w:rsid w:val="0048383E"/>
    <w:rsid w:val="00483882"/>
    <w:rsid w:val="004838BC"/>
    <w:rsid w:val="00483E46"/>
    <w:rsid w:val="00484250"/>
    <w:rsid w:val="004851D0"/>
    <w:rsid w:val="00485343"/>
    <w:rsid w:val="0048579D"/>
    <w:rsid w:val="004858A4"/>
    <w:rsid w:val="00486111"/>
    <w:rsid w:val="00486580"/>
    <w:rsid w:val="004872FD"/>
    <w:rsid w:val="00487364"/>
    <w:rsid w:val="004873BF"/>
    <w:rsid w:val="0048749A"/>
    <w:rsid w:val="0048776C"/>
    <w:rsid w:val="00487E09"/>
    <w:rsid w:val="004901D6"/>
    <w:rsid w:val="0049033C"/>
    <w:rsid w:val="00490A92"/>
    <w:rsid w:val="004911BE"/>
    <w:rsid w:val="00491536"/>
    <w:rsid w:val="00492D7E"/>
    <w:rsid w:val="00492FE1"/>
    <w:rsid w:val="004933C7"/>
    <w:rsid w:val="00493402"/>
    <w:rsid w:val="00493606"/>
    <w:rsid w:val="00493CE4"/>
    <w:rsid w:val="00493F08"/>
    <w:rsid w:val="004943EA"/>
    <w:rsid w:val="00494D18"/>
    <w:rsid w:val="00494D4F"/>
    <w:rsid w:val="00494D62"/>
    <w:rsid w:val="00494F10"/>
    <w:rsid w:val="00494FBD"/>
    <w:rsid w:val="00495793"/>
    <w:rsid w:val="00495FF0"/>
    <w:rsid w:val="00496B16"/>
    <w:rsid w:val="00496C45"/>
    <w:rsid w:val="00496F02"/>
    <w:rsid w:val="004A01E0"/>
    <w:rsid w:val="004A0E12"/>
    <w:rsid w:val="004A102E"/>
    <w:rsid w:val="004A2729"/>
    <w:rsid w:val="004A3663"/>
    <w:rsid w:val="004A3904"/>
    <w:rsid w:val="004A3B96"/>
    <w:rsid w:val="004A3F85"/>
    <w:rsid w:val="004A44A9"/>
    <w:rsid w:val="004A5BB4"/>
    <w:rsid w:val="004A5C58"/>
    <w:rsid w:val="004A63A3"/>
    <w:rsid w:val="004A7889"/>
    <w:rsid w:val="004A7CD1"/>
    <w:rsid w:val="004B08ED"/>
    <w:rsid w:val="004B0AEF"/>
    <w:rsid w:val="004B102F"/>
    <w:rsid w:val="004B1322"/>
    <w:rsid w:val="004B1934"/>
    <w:rsid w:val="004B1B1C"/>
    <w:rsid w:val="004B1F20"/>
    <w:rsid w:val="004B22E1"/>
    <w:rsid w:val="004B296D"/>
    <w:rsid w:val="004B2C4B"/>
    <w:rsid w:val="004B312B"/>
    <w:rsid w:val="004B4822"/>
    <w:rsid w:val="004B4DB5"/>
    <w:rsid w:val="004B5430"/>
    <w:rsid w:val="004B58A2"/>
    <w:rsid w:val="004B5B06"/>
    <w:rsid w:val="004B6FDB"/>
    <w:rsid w:val="004B7FC9"/>
    <w:rsid w:val="004C0028"/>
    <w:rsid w:val="004C0464"/>
    <w:rsid w:val="004C05E5"/>
    <w:rsid w:val="004C0B05"/>
    <w:rsid w:val="004C11E5"/>
    <w:rsid w:val="004C1622"/>
    <w:rsid w:val="004C16B8"/>
    <w:rsid w:val="004C1972"/>
    <w:rsid w:val="004C1C6E"/>
    <w:rsid w:val="004C23E0"/>
    <w:rsid w:val="004C25CB"/>
    <w:rsid w:val="004C2FDF"/>
    <w:rsid w:val="004C34E8"/>
    <w:rsid w:val="004C3A5D"/>
    <w:rsid w:val="004C3ECF"/>
    <w:rsid w:val="004C3F74"/>
    <w:rsid w:val="004C4058"/>
    <w:rsid w:val="004C4219"/>
    <w:rsid w:val="004C492F"/>
    <w:rsid w:val="004C4C54"/>
    <w:rsid w:val="004C51BA"/>
    <w:rsid w:val="004C5BF6"/>
    <w:rsid w:val="004C5F95"/>
    <w:rsid w:val="004C6FB1"/>
    <w:rsid w:val="004C76EF"/>
    <w:rsid w:val="004C76F3"/>
    <w:rsid w:val="004C7961"/>
    <w:rsid w:val="004C7A6D"/>
    <w:rsid w:val="004C7ECB"/>
    <w:rsid w:val="004C7F94"/>
    <w:rsid w:val="004D0422"/>
    <w:rsid w:val="004D12AC"/>
    <w:rsid w:val="004D1FB7"/>
    <w:rsid w:val="004D305F"/>
    <w:rsid w:val="004D33EF"/>
    <w:rsid w:val="004D3974"/>
    <w:rsid w:val="004D478C"/>
    <w:rsid w:val="004D48F5"/>
    <w:rsid w:val="004D5465"/>
    <w:rsid w:val="004D5D09"/>
    <w:rsid w:val="004D6975"/>
    <w:rsid w:val="004D6F77"/>
    <w:rsid w:val="004D74B8"/>
    <w:rsid w:val="004D76AC"/>
    <w:rsid w:val="004D7FCA"/>
    <w:rsid w:val="004E0130"/>
    <w:rsid w:val="004E018E"/>
    <w:rsid w:val="004E029B"/>
    <w:rsid w:val="004E0B43"/>
    <w:rsid w:val="004E0DB3"/>
    <w:rsid w:val="004E123C"/>
    <w:rsid w:val="004E143B"/>
    <w:rsid w:val="004E18EC"/>
    <w:rsid w:val="004E2AC5"/>
    <w:rsid w:val="004E3B2A"/>
    <w:rsid w:val="004E45FF"/>
    <w:rsid w:val="004E464B"/>
    <w:rsid w:val="004E54E0"/>
    <w:rsid w:val="004E564D"/>
    <w:rsid w:val="004E58DD"/>
    <w:rsid w:val="004E6EA9"/>
    <w:rsid w:val="004E6F63"/>
    <w:rsid w:val="004E7669"/>
    <w:rsid w:val="004E77FD"/>
    <w:rsid w:val="004F0598"/>
    <w:rsid w:val="004F0BE4"/>
    <w:rsid w:val="004F1A7A"/>
    <w:rsid w:val="004F1DF7"/>
    <w:rsid w:val="004F2AF7"/>
    <w:rsid w:val="004F2C24"/>
    <w:rsid w:val="004F2CB5"/>
    <w:rsid w:val="004F2F0A"/>
    <w:rsid w:val="004F472F"/>
    <w:rsid w:val="004F4DA5"/>
    <w:rsid w:val="004F52B6"/>
    <w:rsid w:val="004F55CA"/>
    <w:rsid w:val="004F5634"/>
    <w:rsid w:val="004F5AC7"/>
    <w:rsid w:val="004F5BEC"/>
    <w:rsid w:val="004F60EA"/>
    <w:rsid w:val="004F616D"/>
    <w:rsid w:val="004F65F7"/>
    <w:rsid w:val="004F6642"/>
    <w:rsid w:val="004F6A39"/>
    <w:rsid w:val="004F6C02"/>
    <w:rsid w:val="004F79D1"/>
    <w:rsid w:val="005007CF"/>
    <w:rsid w:val="00500808"/>
    <w:rsid w:val="0050089F"/>
    <w:rsid w:val="00500E34"/>
    <w:rsid w:val="00501533"/>
    <w:rsid w:val="00501619"/>
    <w:rsid w:val="005017B7"/>
    <w:rsid w:val="00501856"/>
    <w:rsid w:val="00501A90"/>
    <w:rsid w:val="005021A4"/>
    <w:rsid w:val="00502E0F"/>
    <w:rsid w:val="0050328B"/>
    <w:rsid w:val="005032CE"/>
    <w:rsid w:val="005034AF"/>
    <w:rsid w:val="00504241"/>
    <w:rsid w:val="0050521C"/>
    <w:rsid w:val="00505BF6"/>
    <w:rsid w:val="00505D1B"/>
    <w:rsid w:val="00506EDD"/>
    <w:rsid w:val="0050709F"/>
    <w:rsid w:val="005077B3"/>
    <w:rsid w:val="00507B16"/>
    <w:rsid w:val="00507B3B"/>
    <w:rsid w:val="00507F49"/>
    <w:rsid w:val="00510326"/>
    <w:rsid w:val="00510744"/>
    <w:rsid w:val="005110C0"/>
    <w:rsid w:val="005112BD"/>
    <w:rsid w:val="00511717"/>
    <w:rsid w:val="00511B56"/>
    <w:rsid w:val="005120DA"/>
    <w:rsid w:val="00512518"/>
    <w:rsid w:val="00512566"/>
    <w:rsid w:val="00512782"/>
    <w:rsid w:val="0051339C"/>
    <w:rsid w:val="00513645"/>
    <w:rsid w:val="00513CE4"/>
    <w:rsid w:val="00513DEA"/>
    <w:rsid w:val="00513F49"/>
    <w:rsid w:val="0051463F"/>
    <w:rsid w:val="00514B82"/>
    <w:rsid w:val="00514DAA"/>
    <w:rsid w:val="0051558D"/>
    <w:rsid w:val="00515659"/>
    <w:rsid w:val="00515862"/>
    <w:rsid w:val="0051596C"/>
    <w:rsid w:val="0051653A"/>
    <w:rsid w:val="00516543"/>
    <w:rsid w:val="00516924"/>
    <w:rsid w:val="00516D82"/>
    <w:rsid w:val="00517184"/>
    <w:rsid w:val="005174FC"/>
    <w:rsid w:val="00517699"/>
    <w:rsid w:val="00517778"/>
    <w:rsid w:val="00520133"/>
    <w:rsid w:val="00520610"/>
    <w:rsid w:val="00520EAB"/>
    <w:rsid w:val="00521006"/>
    <w:rsid w:val="005210D6"/>
    <w:rsid w:val="0052119F"/>
    <w:rsid w:val="00521262"/>
    <w:rsid w:val="00521FE7"/>
    <w:rsid w:val="00522171"/>
    <w:rsid w:val="0052245F"/>
    <w:rsid w:val="00522C95"/>
    <w:rsid w:val="00522D38"/>
    <w:rsid w:val="00522EE9"/>
    <w:rsid w:val="0052399F"/>
    <w:rsid w:val="0052450B"/>
    <w:rsid w:val="00524746"/>
    <w:rsid w:val="00524DCA"/>
    <w:rsid w:val="0052576A"/>
    <w:rsid w:val="0052592C"/>
    <w:rsid w:val="00525B41"/>
    <w:rsid w:val="00525E83"/>
    <w:rsid w:val="00525F25"/>
    <w:rsid w:val="00526BE0"/>
    <w:rsid w:val="005274CD"/>
    <w:rsid w:val="00527CC1"/>
    <w:rsid w:val="005302A7"/>
    <w:rsid w:val="005310A8"/>
    <w:rsid w:val="0053158F"/>
    <w:rsid w:val="005328CA"/>
    <w:rsid w:val="005328F7"/>
    <w:rsid w:val="00532F71"/>
    <w:rsid w:val="005335F5"/>
    <w:rsid w:val="005336F7"/>
    <w:rsid w:val="0053378B"/>
    <w:rsid w:val="00533BFC"/>
    <w:rsid w:val="00534000"/>
    <w:rsid w:val="005341C8"/>
    <w:rsid w:val="0053439F"/>
    <w:rsid w:val="005346E0"/>
    <w:rsid w:val="005348F1"/>
    <w:rsid w:val="00534DD9"/>
    <w:rsid w:val="005366B7"/>
    <w:rsid w:val="005368F7"/>
    <w:rsid w:val="00536C2B"/>
    <w:rsid w:val="00536E7D"/>
    <w:rsid w:val="00537809"/>
    <w:rsid w:val="00537B24"/>
    <w:rsid w:val="00537E13"/>
    <w:rsid w:val="00540291"/>
    <w:rsid w:val="0054030C"/>
    <w:rsid w:val="00540622"/>
    <w:rsid w:val="00540714"/>
    <w:rsid w:val="00540908"/>
    <w:rsid w:val="00540CC3"/>
    <w:rsid w:val="005412EC"/>
    <w:rsid w:val="00541AAE"/>
    <w:rsid w:val="00541B40"/>
    <w:rsid w:val="005424F7"/>
    <w:rsid w:val="00542BC4"/>
    <w:rsid w:val="00543EAD"/>
    <w:rsid w:val="00543FAA"/>
    <w:rsid w:val="005444AD"/>
    <w:rsid w:val="005444FC"/>
    <w:rsid w:val="00545825"/>
    <w:rsid w:val="005459E8"/>
    <w:rsid w:val="00545C1B"/>
    <w:rsid w:val="00545DD5"/>
    <w:rsid w:val="00546401"/>
    <w:rsid w:val="0054673E"/>
    <w:rsid w:val="00546B8E"/>
    <w:rsid w:val="00547163"/>
    <w:rsid w:val="00547217"/>
    <w:rsid w:val="005474A6"/>
    <w:rsid w:val="00547947"/>
    <w:rsid w:val="00547E32"/>
    <w:rsid w:val="00547F7B"/>
    <w:rsid w:val="0055000E"/>
    <w:rsid w:val="00550983"/>
    <w:rsid w:val="00550D57"/>
    <w:rsid w:val="00550EA5"/>
    <w:rsid w:val="00550EC1"/>
    <w:rsid w:val="0055105D"/>
    <w:rsid w:val="00551155"/>
    <w:rsid w:val="005515E4"/>
    <w:rsid w:val="00551AE5"/>
    <w:rsid w:val="00551B3F"/>
    <w:rsid w:val="00552522"/>
    <w:rsid w:val="00553163"/>
    <w:rsid w:val="00553F1B"/>
    <w:rsid w:val="005541E3"/>
    <w:rsid w:val="005548DA"/>
    <w:rsid w:val="005549B6"/>
    <w:rsid w:val="00554AE0"/>
    <w:rsid w:val="005555A5"/>
    <w:rsid w:val="00555C72"/>
    <w:rsid w:val="005560A4"/>
    <w:rsid w:val="00556171"/>
    <w:rsid w:val="005561F9"/>
    <w:rsid w:val="00556233"/>
    <w:rsid w:val="005566F9"/>
    <w:rsid w:val="005569EC"/>
    <w:rsid w:val="00556DA6"/>
    <w:rsid w:val="005572BA"/>
    <w:rsid w:val="00557668"/>
    <w:rsid w:val="005579E0"/>
    <w:rsid w:val="00560123"/>
    <w:rsid w:val="00560850"/>
    <w:rsid w:val="00560E5A"/>
    <w:rsid w:val="005618B1"/>
    <w:rsid w:val="00561A81"/>
    <w:rsid w:val="00561B8B"/>
    <w:rsid w:val="00561F3C"/>
    <w:rsid w:val="00562018"/>
    <w:rsid w:val="005620B9"/>
    <w:rsid w:val="00563BE2"/>
    <w:rsid w:val="00564920"/>
    <w:rsid w:val="00564B4C"/>
    <w:rsid w:val="0056555D"/>
    <w:rsid w:val="0056591A"/>
    <w:rsid w:val="00565956"/>
    <w:rsid w:val="00565CD2"/>
    <w:rsid w:val="00565F14"/>
    <w:rsid w:val="00565FDD"/>
    <w:rsid w:val="005662D4"/>
    <w:rsid w:val="0056639D"/>
    <w:rsid w:val="00566905"/>
    <w:rsid w:val="00567CC1"/>
    <w:rsid w:val="00567E88"/>
    <w:rsid w:val="00570ADA"/>
    <w:rsid w:val="00570DDD"/>
    <w:rsid w:val="00571B2D"/>
    <w:rsid w:val="00572165"/>
    <w:rsid w:val="005721E9"/>
    <w:rsid w:val="005723EE"/>
    <w:rsid w:val="0057294B"/>
    <w:rsid w:val="00572E79"/>
    <w:rsid w:val="00572F6B"/>
    <w:rsid w:val="0057372C"/>
    <w:rsid w:val="00573ED5"/>
    <w:rsid w:val="0057437A"/>
    <w:rsid w:val="005745C6"/>
    <w:rsid w:val="00574B5C"/>
    <w:rsid w:val="00574D38"/>
    <w:rsid w:val="00574EF9"/>
    <w:rsid w:val="00575070"/>
    <w:rsid w:val="0057550D"/>
    <w:rsid w:val="00575521"/>
    <w:rsid w:val="005755AC"/>
    <w:rsid w:val="005756E7"/>
    <w:rsid w:val="00575852"/>
    <w:rsid w:val="00575F4C"/>
    <w:rsid w:val="00576365"/>
    <w:rsid w:val="00576B14"/>
    <w:rsid w:val="00577272"/>
    <w:rsid w:val="0057790C"/>
    <w:rsid w:val="0058036D"/>
    <w:rsid w:val="0058092B"/>
    <w:rsid w:val="00581612"/>
    <w:rsid w:val="005823A0"/>
    <w:rsid w:val="005825AB"/>
    <w:rsid w:val="005825E0"/>
    <w:rsid w:val="00582D43"/>
    <w:rsid w:val="00582D7B"/>
    <w:rsid w:val="00583342"/>
    <w:rsid w:val="00583AFD"/>
    <w:rsid w:val="00584948"/>
    <w:rsid w:val="00584D9F"/>
    <w:rsid w:val="005852A0"/>
    <w:rsid w:val="005856BB"/>
    <w:rsid w:val="00585719"/>
    <w:rsid w:val="00585B06"/>
    <w:rsid w:val="00585B63"/>
    <w:rsid w:val="00585E49"/>
    <w:rsid w:val="00586B2F"/>
    <w:rsid w:val="00586C16"/>
    <w:rsid w:val="005873F7"/>
    <w:rsid w:val="005877E9"/>
    <w:rsid w:val="00587BD1"/>
    <w:rsid w:val="00587D8D"/>
    <w:rsid w:val="00590252"/>
    <w:rsid w:val="0059066C"/>
    <w:rsid w:val="0059091F"/>
    <w:rsid w:val="005918CB"/>
    <w:rsid w:val="00592223"/>
    <w:rsid w:val="00592D28"/>
    <w:rsid w:val="005936FB"/>
    <w:rsid w:val="00593863"/>
    <w:rsid w:val="00593A0F"/>
    <w:rsid w:val="0059401A"/>
    <w:rsid w:val="00594130"/>
    <w:rsid w:val="00594920"/>
    <w:rsid w:val="00594A58"/>
    <w:rsid w:val="00594D26"/>
    <w:rsid w:val="00594F8A"/>
    <w:rsid w:val="0059521B"/>
    <w:rsid w:val="0059528B"/>
    <w:rsid w:val="005952BD"/>
    <w:rsid w:val="005956D5"/>
    <w:rsid w:val="00595D4F"/>
    <w:rsid w:val="00596259"/>
    <w:rsid w:val="00596CBC"/>
    <w:rsid w:val="0059763E"/>
    <w:rsid w:val="005A0296"/>
    <w:rsid w:val="005A0CED"/>
    <w:rsid w:val="005A0F98"/>
    <w:rsid w:val="005A101B"/>
    <w:rsid w:val="005A1712"/>
    <w:rsid w:val="005A2399"/>
    <w:rsid w:val="005A2D3D"/>
    <w:rsid w:val="005A2EE1"/>
    <w:rsid w:val="005A3B16"/>
    <w:rsid w:val="005A3EC0"/>
    <w:rsid w:val="005A44B7"/>
    <w:rsid w:val="005A4C30"/>
    <w:rsid w:val="005A4DE3"/>
    <w:rsid w:val="005A56ED"/>
    <w:rsid w:val="005A57D4"/>
    <w:rsid w:val="005A5A97"/>
    <w:rsid w:val="005A5BA4"/>
    <w:rsid w:val="005A5CE9"/>
    <w:rsid w:val="005A5E9D"/>
    <w:rsid w:val="005A5FA9"/>
    <w:rsid w:val="005A6038"/>
    <w:rsid w:val="005A6205"/>
    <w:rsid w:val="005A62CF"/>
    <w:rsid w:val="005A6A3D"/>
    <w:rsid w:val="005A72BA"/>
    <w:rsid w:val="005A74CC"/>
    <w:rsid w:val="005A77A7"/>
    <w:rsid w:val="005A7C97"/>
    <w:rsid w:val="005A7DE6"/>
    <w:rsid w:val="005B0670"/>
    <w:rsid w:val="005B07A0"/>
    <w:rsid w:val="005B0B00"/>
    <w:rsid w:val="005B2051"/>
    <w:rsid w:val="005B22AC"/>
    <w:rsid w:val="005B22C8"/>
    <w:rsid w:val="005B3178"/>
    <w:rsid w:val="005B31D4"/>
    <w:rsid w:val="005B35E1"/>
    <w:rsid w:val="005B3CF8"/>
    <w:rsid w:val="005B3FA0"/>
    <w:rsid w:val="005B40E1"/>
    <w:rsid w:val="005B427C"/>
    <w:rsid w:val="005B4771"/>
    <w:rsid w:val="005B4F49"/>
    <w:rsid w:val="005B5C1D"/>
    <w:rsid w:val="005B6162"/>
    <w:rsid w:val="005B6F00"/>
    <w:rsid w:val="005B73BC"/>
    <w:rsid w:val="005C0386"/>
    <w:rsid w:val="005C088A"/>
    <w:rsid w:val="005C1AAD"/>
    <w:rsid w:val="005C1E7D"/>
    <w:rsid w:val="005C23C5"/>
    <w:rsid w:val="005C2CC7"/>
    <w:rsid w:val="005C3327"/>
    <w:rsid w:val="005C3666"/>
    <w:rsid w:val="005C38A9"/>
    <w:rsid w:val="005C39FC"/>
    <w:rsid w:val="005C47B7"/>
    <w:rsid w:val="005C4975"/>
    <w:rsid w:val="005C535A"/>
    <w:rsid w:val="005C53FA"/>
    <w:rsid w:val="005C5810"/>
    <w:rsid w:val="005C5CF1"/>
    <w:rsid w:val="005C620E"/>
    <w:rsid w:val="005C69E8"/>
    <w:rsid w:val="005C6AC6"/>
    <w:rsid w:val="005C6C2E"/>
    <w:rsid w:val="005C72F2"/>
    <w:rsid w:val="005C7885"/>
    <w:rsid w:val="005C7F25"/>
    <w:rsid w:val="005D0230"/>
    <w:rsid w:val="005D06E2"/>
    <w:rsid w:val="005D0732"/>
    <w:rsid w:val="005D08DF"/>
    <w:rsid w:val="005D0978"/>
    <w:rsid w:val="005D0DB0"/>
    <w:rsid w:val="005D139F"/>
    <w:rsid w:val="005D1555"/>
    <w:rsid w:val="005D2268"/>
    <w:rsid w:val="005D236D"/>
    <w:rsid w:val="005D2555"/>
    <w:rsid w:val="005D36C1"/>
    <w:rsid w:val="005D388D"/>
    <w:rsid w:val="005D3D1A"/>
    <w:rsid w:val="005D7651"/>
    <w:rsid w:val="005D76AB"/>
    <w:rsid w:val="005D7A6F"/>
    <w:rsid w:val="005E0666"/>
    <w:rsid w:val="005E074A"/>
    <w:rsid w:val="005E0894"/>
    <w:rsid w:val="005E0DFC"/>
    <w:rsid w:val="005E1989"/>
    <w:rsid w:val="005E1FD7"/>
    <w:rsid w:val="005E210D"/>
    <w:rsid w:val="005E2E5C"/>
    <w:rsid w:val="005E31A3"/>
    <w:rsid w:val="005E360F"/>
    <w:rsid w:val="005E41BC"/>
    <w:rsid w:val="005E47A2"/>
    <w:rsid w:val="005E4CC5"/>
    <w:rsid w:val="005E4CF3"/>
    <w:rsid w:val="005E5099"/>
    <w:rsid w:val="005E5BEE"/>
    <w:rsid w:val="005E5F38"/>
    <w:rsid w:val="005E6603"/>
    <w:rsid w:val="005E6615"/>
    <w:rsid w:val="005E72E0"/>
    <w:rsid w:val="005F0147"/>
    <w:rsid w:val="005F0520"/>
    <w:rsid w:val="005F1151"/>
    <w:rsid w:val="005F1215"/>
    <w:rsid w:val="005F15D4"/>
    <w:rsid w:val="005F20AA"/>
    <w:rsid w:val="005F2289"/>
    <w:rsid w:val="005F23CB"/>
    <w:rsid w:val="005F2485"/>
    <w:rsid w:val="005F2E33"/>
    <w:rsid w:val="005F3469"/>
    <w:rsid w:val="005F3720"/>
    <w:rsid w:val="005F39FA"/>
    <w:rsid w:val="005F4059"/>
    <w:rsid w:val="005F49C3"/>
    <w:rsid w:val="005F6320"/>
    <w:rsid w:val="005F65C9"/>
    <w:rsid w:val="005F689C"/>
    <w:rsid w:val="005F6E3E"/>
    <w:rsid w:val="005F6ECD"/>
    <w:rsid w:val="005F7843"/>
    <w:rsid w:val="005F7B6B"/>
    <w:rsid w:val="00600E0D"/>
    <w:rsid w:val="00600E93"/>
    <w:rsid w:val="0060149B"/>
    <w:rsid w:val="0060158C"/>
    <w:rsid w:val="0060199A"/>
    <w:rsid w:val="00601C97"/>
    <w:rsid w:val="006021A3"/>
    <w:rsid w:val="00602777"/>
    <w:rsid w:val="006030C0"/>
    <w:rsid w:val="006034CE"/>
    <w:rsid w:val="00603B5C"/>
    <w:rsid w:val="00603CE3"/>
    <w:rsid w:val="00603FBE"/>
    <w:rsid w:val="006046CC"/>
    <w:rsid w:val="00604CA2"/>
    <w:rsid w:val="00604F8D"/>
    <w:rsid w:val="00605B28"/>
    <w:rsid w:val="006062DB"/>
    <w:rsid w:val="00606B1D"/>
    <w:rsid w:val="00606B33"/>
    <w:rsid w:val="0061017C"/>
    <w:rsid w:val="00610497"/>
    <w:rsid w:val="006111B3"/>
    <w:rsid w:val="00611779"/>
    <w:rsid w:val="00611E11"/>
    <w:rsid w:val="00612586"/>
    <w:rsid w:val="00612853"/>
    <w:rsid w:val="00612B8B"/>
    <w:rsid w:val="00612C0A"/>
    <w:rsid w:val="006138C2"/>
    <w:rsid w:val="00613E71"/>
    <w:rsid w:val="0061432C"/>
    <w:rsid w:val="00614333"/>
    <w:rsid w:val="00615276"/>
    <w:rsid w:val="006154E8"/>
    <w:rsid w:val="006155FD"/>
    <w:rsid w:val="0061583F"/>
    <w:rsid w:val="00615D51"/>
    <w:rsid w:val="00616279"/>
    <w:rsid w:val="00616694"/>
    <w:rsid w:val="006169B4"/>
    <w:rsid w:val="00617616"/>
    <w:rsid w:val="00617F57"/>
    <w:rsid w:val="0062066E"/>
    <w:rsid w:val="00620912"/>
    <w:rsid w:val="006213C7"/>
    <w:rsid w:val="006217A7"/>
    <w:rsid w:val="00621889"/>
    <w:rsid w:val="006218A7"/>
    <w:rsid w:val="00621A63"/>
    <w:rsid w:val="00621E2A"/>
    <w:rsid w:val="00622415"/>
    <w:rsid w:val="00622449"/>
    <w:rsid w:val="00622EE2"/>
    <w:rsid w:val="00623976"/>
    <w:rsid w:val="00624533"/>
    <w:rsid w:val="00624748"/>
    <w:rsid w:val="0062485C"/>
    <w:rsid w:val="00624CBC"/>
    <w:rsid w:val="00625154"/>
    <w:rsid w:val="00625C08"/>
    <w:rsid w:val="00625C13"/>
    <w:rsid w:val="00627850"/>
    <w:rsid w:val="00627FBA"/>
    <w:rsid w:val="006311C4"/>
    <w:rsid w:val="00631B7A"/>
    <w:rsid w:val="00631F79"/>
    <w:rsid w:val="0063254A"/>
    <w:rsid w:val="0063288D"/>
    <w:rsid w:val="00632FA3"/>
    <w:rsid w:val="00632FAC"/>
    <w:rsid w:val="00633964"/>
    <w:rsid w:val="00633A12"/>
    <w:rsid w:val="00633BD3"/>
    <w:rsid w:val="00633E6A"/>
    <w:rsid w:val="00634058"/>
    <w:rsid w:val="00634266"/>
    <w:rsid w:val="006343FA"/>
    <w:rsid w:val="006347EA"/>
    <w:rsid w:val="00634E57"/>
    <w:rsid w:val="006352DC"/>
    <w:rsid w:val="006362FF"/>
    <w:rsid w:val="00636719"/>
    <w:rsid w:val="00636B8D"/>
    <w:rsid w:val="00636F56"/>
    <w:rsid w:val="00637169"/>
    <w:rsid w:val="006371DB"/>
    <w:rsid w:val="00637D0A"/>
    <w:rsid w:val="0064005C"/>
    <w:rsid w:val="006400BF"/>
    <w:rsid w:val="0064089C"/>
    <w:rsid w:val="006422FC"/>
    <w:rsid w:val="006423AE"/>
    <w:rsid w:val="0064289F"/>
    <w:rsid w:val="00643045"/>
    <w:rsid w:val="006431CA"/>
    <w:rsid w:val="00643502"/>
    <w:rsid w:val="006438AD"/>
    <w:rsid w:val="00643E6A"/>
    <w:rsid w:val="00644EDF"/>
    <w:rsid w:val="0064604B"/>
    <w:rsid w:val="006471F1"/>
    <w:rsid w:val="0064774D"/>
    <w:rsid w:val="0064798E"/>
    <w:rsid w:val="0065017F"/>
    <w:rsid w:val="00650BC7"/>
    <w:rsid w:val="00651728"/>
    <w:rsid w:val="0065234D"/>
    <w:rsid w:val="0065236B"/>
    <w:rsid w:val="006527B8"/>
    <w:rsid w:val="00652843"/>
    <w:rsid w:val="006529BB"/>
    <w:rsid w:val="00652FFF"/>
    <w:rsid w:val="006536C8"/>
    <w:rsid w:val="0065395B"/>
    <w:rsid w:val="00653998"/>
    <w:rsid w:val="00653FCD"/>
    <w:rsid w:val="00654017"/>
    <w:rsid w:val="00654148"/>
    <w:rsid w:val="006544C1"/>
    <w:rsid w:val="006548E7"/>
    <w:rsid w:val="006549E5"/>
    <w:rsid w:val="00654F5C"/>
    <w:rsid w:val="00655628"/>
    <w:rsid w:val="0065598F"/>
    <w:rsid w:val="00655FEF"/>
    <w:rsid w:val="00656BD2"/>
    <w:rsid w:val="006570ED"/>
    <w:rsid w:val="006575D9"/>
    <w:rsid w:val="00657DBC"/>
    <w:rsid w:val="00657E67"/>
    <w:rsid w:val="00657E93"/>
    <w:rsid w:val="006606EB"/>
    <w:rsid w:val="00660C9C"/>
    <w:rsid w:val="00661D89"/>
    <w:rsid w:val="00661EC1"/>
    <w:rsid w:val="00662468"/>
    <w:rsid w:val="00662652"/>
    <w:rsid w:val="00662766"/>
    <w:rsid w:val="00662AF9"/>
    <w:rsid w:val="00662F19"/>
    <w:rsid w:val="00663A60"/>
    <w:rsid w:val="00663E25"/>
    <w:rsid w:val="00664016"/>
    <w:rsid w:val="006652AB"/>
    <w:rsid w:val="0066582D"/>
    <w:rsid w:val="00665B06"/>
    <w:rsid w:val="006660EE"/>
    <w:rsid w:val="0066669F"/>
    <w:rsid w:val="00666F42"/>
    <w:rsid w:val="00667C69"/>
    <w:rsid w:val="00667D24"/>
    <w:rsid w:val="0067000D"/>
    <w:rsid w:val="00670F96"/>
    <w:rsid w:val="00670FF8"/>
    <w:rsid w:val="00671588"/>
    <w:rsid w:val="00671605"/>
    <w:rsid w:val="00671A3D"/>
    <w:rsid w:val="00671E85"/>
    <w:rsid w:val="00672868"/>
    <w:rsid w:val="00672DD9"/>
    <w:rsid w:val="00673179"/>
    <w:rsid w:val="00673310"/>
    <w:rsid w:val="006752DF"/>
    <w:rsid w:val="00675438"/>
    <w:rsid w:val="00675A3F"/>
    <w:rsid w:val="00676648"/>
    <w:rsid w:val="006769CB"/>
    <w:rsid w:val="00676B0A"/>
    <w:rsid w:val="0067740A"/>
    <w:rsid w:val="00677B6E"/>
    <w:rsid w:val="00677F4E"/>
    <w:rsid w:val="0068001F"/>
    <w:rsid w:val="00680223"/>
    <w:rsid w:val="006803DF"/>
    <w:rsid w:val="006806F0"/>
    <w:rsid w:val="00680D05"/>
    <w:rsid w:val="00681249"/>
    <w:rsid w:val="00681419"/>
    <w:rsid w:val="00681669"/>
    <w:rsid w:val="00681DDA"/>
    <w:rsid w:val="006821B8"/>
    <w:rsid w:val="00682FBA"/>
    <w:rsid w:val="00683632"/>
    <w:rsid w:val="00683AE5"/>
    <w:rsid w:val="00683E01"/>
    <w:rsid w:val="00684988"/>
    <w:rsid w:val="00684C69"/>
    <w:rsid w:val="00685208"/>
    <w:rsid w:val="006853A3"/>
    <w:rsid w:val="00685FFF"/>
    <w:rsid w:val="00686142"/>
    <w:rsid w:val="006861CA"/>
    <w:rsid w:val="0068631D"/>
    <w:rsid w:val="006863B5"/>
    <w:rsid w:val="0068769E"/>
    <w:rsid w:val="006879EC"/>
    <w:rsid w:val="00690798"/>
    <w:rsid w:val="006916B4"/>
    <w:rsid w:val="006917D6"/>
    <w:rsid w:val="00691B91"/>
    <w:rsid w:val="0069215A"/>
    <w:rsid w:val="0069231C"/>
    <w:rsid w:val="00692339"/>
    <w:rsid w:val="00692552"/>
    <w:rsid w:val="006929E9"/>
    <w:rsid w:val="00692D85"/>
    <w:rsid w:val="00693080"/>
    <w:rsid w:val="006933B5"/>
    <w:rsid w:val="00693B74"/>
    <w:rsid w:val="006941EA"/>
    <w:rsid w:val="00694643"/>
    <w:rsid w:val="00694873"/>
    <w:rsid w:val="0069559B"/>
    <w:rsid w:val="00695686"/>
    <w:rsid w:val="00695B77"/>
    <w:rsid w:val="00695DC2"/>
    <w:rsid w:val="00695F44"/>
    <w:rsid w:val="0069634C"/>
    <w:rsid w:val="006963BD"/>
    <w:rsid w:val="00696550"/>
    <w:rsid w:val="006968E9"/>
    <w:rsid w:val="00697102"/>
    <w:rsid w:val="00697511"/>
    <w:rsid w:val="006978E0"/>
    <w:rsid w:val="006A06BE"/>
    <w:rsid w:val="006A1766"/>
    <w:rsid w:val="006A198F"/>
    <w:rsid w:val="006A2E81"/>
    <w:rsid w:val="006A3218"/>
    <w:rsid w:val="006A3556"/>
    <w:rsid w:val="006A3BD5"/>
    <w:rsid w:val="006A415C"/>
    <w:rsid w:val="006A41B0"/>
    <w:rsid w:val="006A440A"/>
    <w:rsid w:val="006A581C"/>
    <w:rsid w:val="006A60B6"/>
    <w:rsid w:val="006A6745"/>
    <w:rsid w:val="006A7593"/>
    <w:rsid w:val="006A7716"/>
    <w:rsid w:val="006A788D"/>
    <w:rsid w:val="006A7C7F"/>
    <w:rsid w:val="006B03D2"/>
    <w:rsid w:val="006B05B3"/>
    <w:rsid w:val="006B1991"/>
    <w:rsid w:val="006B222D"/>
    <w:rsid w:val="006B2458"/>
    <w:rsid w:val="006B267D"/>
    <w:rsid w:val="006B26B3"/>
    <w:rsid w:val="006B2844"/>
    <w:rsid w:val="006B2F35"/>
    <w:rsid w:val="006B33E5"/>
    <w:rsid w:val="006B3611"/>
    <w:rsid w:val="006B4ADA"/>
    <w:rsid w:val="006B4BD8"/>
    <w:rsid w:val="006B4CC4"/>
    <w:rsid w:val="006B4EC2"/>
    <w:rsid w:val="006B540A"/>
    <w:rsid w:val="006B5611"/>
    <w:rsid w:val="006B5A82"/>
    <w:rsid w:val="006B5EDD"/>
    <w:rsid w:val="006B6404"/>
    <w:rsid w:val="006B6F0A"/>
    <w:rsid w:val="006B71CB"/>
    <w:rsid w:val="006B7385"/>
    <w:rsid w:val="006B7431"/>
    <w:rsid w:val="006B7774"/>
    <w:rsid w:val="006C0DAE"/>
    <w:rsid w:val="006C1AE5"/>
    <w:rsid w:val="006C1BEF"/>
    <w:rsid w:val="006C1D96"/>
    <w:rsid w:val="006C1F8D"/>
    <w:rsid w:val="006C216D"/>
    <w:rsid w:val="006C21BB"/>
    <w:rsid w:val="006C2590"/>
    <w:rsid w:val="006C26CD"/>
    <w:rsid w:val="006C2AF8"/>
    <w:rsid w:val="006C2C18"/>
    <w:rsid w:val="006C2D37"/>
    <w:rsid w:val="006C30ED"/>
    <w:rsid w:val="006C3114"/>
    <w:rsid w:val="006C4608"/>
    <w:rsid w:val="006C4F61"/>
    <w:rsid w:val="006C4F8C"/>
    <w:rsid w:val="006C5F6F"/>
    <w:rsid w:val="006C6068"/>
    <w:rsid w:val="006C6950"/>
    <w:rsid w:val="006C7B9C"/>
    <w:rsid w:val="006D01F9"/>
    <w:rsid w:val="006D0EE9"/>
    <w:rsid w:val="006D110F"/>
    <w:rsid w:val="006D1115"/>
    <w:rsid w:val="006D11E3"/>
    <w:rsid w:val="006D1572"/>
    <w:rsid w:val="006D1600"/>
    <w:rsid w:val="006D174D"/>
    <w:rsid w:val="006D198A"/>
    <w:rsid w:val="006D1ACA"/>
    <w:rsid w:val="006D1FAD"/>
    <w:rsid w:val="006D4776"/>
    <w:rsid w:val="006D49D4"/>
    <w:rsid w:val="006D4B53"/>
    <w:rsid w:val="006D4D4F"/>
    <w:rsid w:val="006D6ACE"/>
    <w:rsid w:val="006D6F7F"/>
    <w:rsid w:val="006D7C7E"/>
    <w:rsid w:val="006E0390"/>
    <w:rsid w:val="006E0D2C"/>
    <w:rsid w:val="006E0D78"/>
    <w:rsid w:val="006E0E6F"/>
    <w:rsid w:val="006E0F52"/>
    <w:rsid w:val="006E181F"/>
    <w:rsid w:val="006E1A96"/>
    <w:rsid w:val="006E1DD1"/>
    <w:rsid w:val="006E2292"/>
    <w:rsid w:val="006E25FF"/>
    <w:rsid w:val="006E27FC"/>
    <w:rsid w:val="006E2A6A"/>
    <w:rsid w:val="006E2B98"/>
    <w:rsid w:val="006E2C3F"/>
    <w:rsid w:val="006E2E8F"/>
    <w:rsid w:val="006E3702"/>
    <w:rsid w:val="006E415D"/>
    <w:rsid w:val="006E4A67"/>
    <w:rsid w:val="006E4B14"/>
    <w:rsid w:val="006E5070"/>
    <w:rsid w:val="006E544A"/>
    <w:rsid w:val="006E5568"/>
    <w:rsid w:val="006E5AA5"/>
    <w:rsid w:val="006E604D"/>
    <w:rsid w:val="006E6593"/>
    <w:rsid w:val="006E6821"/>
    <w:rsid w:val="006E6CCA"/>
    <w:rsid w:val="006E7B91"/>
    <w:rsid w:val="006E7F8C"/>
    <w:rsid w:val="006F0F48"/>
    <w:rsid w:val="006F13F2"/>
    <w:rsid w:val="006F19A3"/>
    <w:rsid w:val="006F1CC1"/>
    <w:rsid w:val="006F1FDC"/>
    <w:rsid w:val="006F20B8"/>
    <w:rsid w:val="006F2931"/>
    <w:rsid w:val="006F2C61"/>
    <w:rsid w:val="006F2FC0"/>
    <w:rsid w:val="006F300C"/>
    <w:rsid w:val="006F32A2"/>
    <w:rsid w:val="006F32C1"/>
    <w:rsid w:val="006F3431"/>
    <w:rsid w:val="006F3494"/>
    <w:rsid w:val="006F42F1"/>
    <w:rsid w:val="006F43B8"/>
    <w:rsid w:val="006F4B38"/>
    <w:rsid w:val="006F5728"/>
    <w:rsid w:val="006F62F7"/>
    <w:rsid w:val="006F65A6"/>
    <w:rsid w:val="006F6C4E"/>
    <w:rsid w:val="006F7297"/>
    <w:rsid w:val="007008C1"/>
    <w:rsid w:val="00700926"/>
    <w:rsid w:val="00700D36"/>
    <w:rsid w:val="00701E67"/>
    <w:rsid w:val="00701EA8"/>
    <w:rsid w:val="00701F2C"/>
    <w:rsid w:val="0070225C"/>
    <w:rsid w:val="00702A82"/>
    <w:rsid w:val="00702D59"/>
    <w:rsid w:val="007030B2"/>
    <w:rsid w:val="007034FA"/>
    <w:rsid w:val="007038EB"/>
    <w:rsid w:val="00703A4B"/>
    <w:rsid w:val="00703C72"/>
    <w:rsid w:val="00703F54"/>
    <w:rsid w:val="00704D6C"/>
    <w:rsid w:val="00705DBB"/>
    <w:rsid w:val="0070626B"/>
    <w:rsid w:val="00706966"/>
    <w:rsid w:val="00706F36"/>
    <w:rsid w:val="007079EC"/>
    <w:rsid w:val="00710213"/>
    <w:rsid w:val="00710336"/>
    <w:rsid w:val="0071058A"/>
    <w:rsid w:val="00710EF3"/>
    <w:rsid w:val="00710F9A"/>
    <w:rsid w:val="00711E2D"/>
    <w:rsid w:val="0071206A"/>
    <w:rsid w:val="007131B0"/>
    <w:rsid w:val="00713264"/>
    <w:rsid w:val="007134E8"/>
    <w:rsid w:val="00714448"/>
    <w:rsid w:val="00714821"/>
    <w:rsid w:val="007150EE"/>
    <w:rsid w:val="007151F5"/>
    <w:rsid w:val="00715AFD"/>
    <w:rsid w:val="00715EDF"/>
    <w:rsid w:val="007160C5"/>
    <w:rsid w:val="007164CA"/>
    <w:rsid w:val="00716726"/>
    <w:rsid w:val="00716BB3"/>
    <w:rsid w:val="00716D7A"/>
    <w:rsid w:val="007173D0"/>
    <w:rsid w:val="0072046F"/>
    <w:rsid w:val="00720AA1"/>
    <w:rsid w:val="00720E49"/>
    <w:rsid w:val="00721442"/>
    <w:rsid w:val="00721769"/>
    <w:rsid w:val="0072188C"/>
    <w:rsid w:val="00721DC4"/>
    <w:rsid w:val="00721DE5"/>
    <w:rsid w:val="00722073"/>
    <w:rsid w:val="00722257"/>
    <w:rsid w:val="00722753"/>
    <w:rsid w:val="007232A9"/>
    <w:rsid w:val="007234C9"/>
    <w:rsid w:val="00723AA4"/>
    <w:rsid w:val="0072426B"/>
    <w:rsid w:val="00724A5C"/>
    <w:rsid w:val="00724B2E"/>
    <w:rsid w:val="00724FBE"/>
    <w:rsid w:val="00725159"/>
    <w:rsid w:val="00726496"/>
    <w:rsid w:val="007269E6"/>
    <w:rsid w:val="00726AEC"/>
    <w:rsid w:val="00726C44"/>
    <w:rsid w:val="00726F22"/>
    <w:rsid w:val="00726FE1"/>
    <w:rsid w:val="0072734F"/>
    <w:rsid w:val="00727DC1"/>
    <w:rsid w:val="0073053B"/>
    <w:rsid w:val="00730C19"/>
    <w:rsid w:val="0073137F"/>
    <w:rsid w:val="0073256A"/>
    <w:rsid w:val="007327D2"/>
    <w:rsid w:val="00734E19"/>
    <w:rsid w:val="00735422"/>
    <w:rsid w:val="00735B54"/>
    <w:rsid w:val="00735E1B"/>
    <w:rsid w:val="00736171"/>
    <w:rsid w:val="007368F7"/>
    <w:rsid w:val="00736977"/>
    <w:rsid w:val="00736A5F"/>
    <w:rsid w:val="007376FC"/>
    <w:rsid w:val="00737BDE"/>
    <w:rsid w:val="00737D40"/>
    <w:rsid w:val="007404BB"/>
    <w:rsid w:val="00740ADB"/>
    <w:rsid w:val="00740BF2"/>
    <w:rsid w:val="0074114F"/>
    <w:rsid w:val="0074115B"/>
    <w:rsid w:val="00741723"/>
    <w:rsid w:val="00741D1D"/>
    <w:rsid w:val="00741E04"/>
    <w:rsid w:val="00741E28"/>
    <w:rsid w:val="00742004"/>
    <w:rsid w:val="00742301"/>
    <w:rsid w:val="00742349"/>
    <w:rsid w:val="007427E2"/>
    <w:rsid w:val="00743208"/>
    <w:rsid w:val="007434F4"/>
    <w:rsid w:val="007459B0"/>
    <w:rsid w:val="00745B4E"/>
    <w:rsid w:val="007462A5"/>
    <w:rsid w:val="0074703D"/>
    <w:rsid w:val="00747586"/>
    <w:rsid w:val="0075024E"/>
    <w:rsid w:val="007508B2"/>
    <w:rsid w:val="00750A8D"/>
    <w:rsid w:val="00750DD2"/>
    <w:rsid w:val="0075142D"/>
    <w:rsid w:val="00751D5A"/>
    <w:rsid w:val="00751DF6"/>
    <w:rsid w:val="0075268D"/>
    <w:rsid w:val="0075278C"/>
    <w:rsid w:val="00753558"/>
    <w:rsid w:val="007537E0"/>
    <w:rsid w:val="00753C17"/>
    <w:rsid w:val="00754C03"/>
    <w:rsid w:val="00754ED1"/>
    <w:rsid w:val="007551EA"/>
    <w:rsid w:val="00755AB8"/>
    <w:rsid w:val="00755FAA"/>
    <w:rsid w:val="007563B9"/>
    <w:rsid w:val="00756487"/>
    <w:rsid w:val="00756759"/>
    <w:rsid w:val="00757762"/>
    <w:rsid w:val="00757876"/>
    <w:rsid w:val="00760400"/>
    <w:rsid w:val="00760534"/>
    <w:rsid w:val="007608B6"/>
    <w:rsid w:val="007615F7"/>
    <w:rsid w:val="00761602"/>
    <w:rsid w:val="0076213D"/>
    <w:rsid w:val="00762207"/>
    <w:rsid w:val="007625DD"/>
    <w:rsid w:val="00762977"/>
    <w:rsid w:val="00762E85"/>
    <w:rsid w:val="00762EFD"/>
    <w:rsid w:val="007631B2"/>
    <w:rsid w:val="007632A8"/>
    <w:rsid w:val="00763588"/>
    <w:rsid w:val="0076368B"/>
    <w:rsid w:val="00763D2A"/>
    <w:rsid w:val="00763FE5"/>
    <w:rsid w:val="00764092"/>
    <w:rsid w:val="0076437B"/>
    <w:rsid w:val="0076449A"/>
    <w:rsid w:val="00764538"/>
    <w:rsid w:val="00764A35"/>
    <w:rsid w:val="00765185"/>
    <w:rsid w:val="00765236"/>
    <w:rsid w:val="00766B1D"/>
    <w:rsid w:val="00766D9E"/>
    <w:rsid w:val="007670C1"/>
    <w:rsid w:val="00770083"/>
    <w:rsid w:val="00770118"/>
    <w:rsid w:val="00770186"/>
    <w:rsid w:val="007706C6"/>
    <w:rsid w:val="00770ABE"/>
    <w:rsid w:val="00770D1D"/>
    <w:rsid w:val="00770D4E"/>
    <w:rsid w:val="00770EE6"/>
    <w:rsid w:val="00771083"/>
    <w:rsid w:val="00771635"/>
    <w:rsid w:val="00772391"/>
    <w:rsid w:val="00772A22"/>
    <w:rsid w:val="00772ACD"/>
    <w:rsid w:val="00772CAD"/>
    <w:rsid w:val="00772D6B"/>
    <w:rsid w:val="00772FA5"/>
    <w:rsid w:val="007733F5"/>
    <w:rsid w:val="007735FD"/>
    <w:rsid w:val="007744B8"/>
    <w:rsid w:val="00774A89"/>
    <w:rsid w:val="00774AF3"/>
    <w:rsid w:val="00774C1F"/>
    <w:rsid w:val="00774C32"/>
    <w:rsid w:val="00774E3D"/>
    <w:rsid w:val="00774F3D"/>
    <w:rsid w:val="007751EC"/>
    <w:rsid w:val="007758E9"/>
    <w:rsid w:val="00775E81"/>
    <w:rsid w:val="00775F4C"/>
    <w:rsid w:val="00776186"/>
    <w:rsid w:val="00776392"/>
    <w:rsid w:val="007763FA"/>
    <w:rsid w:val="007765EC"/>
    <w:rsid w:val="0077792C"/>
    <w:rsid w:val="00777978"/>
    <w:rsid w:val="007779FE"/>
    <w:rsid w:val="00777B99"/>
    <w:rsid w:val="007804B7"/>
    <w:rsid w:val="007809AA"/>
    <w:rsid w:val="00781321"/>
    <w:rsid w:val="00781375"/>
    <w:rsid w:val="007817E3"/>
    <w:rsid w:val="0078183F"/>
    <w:rsid w:val="00782007"/>
    <w:rsid w:val="00782057"/>
    <w:rsid w:val="007823F2"/>
    <w:rsid w:val="0078319F"/>
    <w:rsid w:val="0078398B"/>
    <w:rsid w:val="00783D2E"/>
    <w:rsid w:val="00783FA5"/>
    <w:rsid w:val="007841CE"/>
    <w:rsid w:val="007842E0"/>
    <w:rsid w:val="00784856"/>
    <w:rsid w:val="007848AC"/>
    <w:rsid w:val="00784CBF"/>
    <w:rsid w:val="0078512A"/>
    <w:rsid w:val="00786505"/>
    <w:rsid w:val="0078672C"/>
    <w:rsid w:val="007869B6"/>
    <w:rsid w:val="00786C11"/>
    <w:rsid w:val="0078719C"/>
    <w:rsid w:val="007873F6"/>
    <w:rsid w:val="00787BAD"/>
    <w:rsid w:val="00787D40"/>
    <w:rsid w:val="00787D9A"/>
    <w:rsid w:val="0079039E"/>
    <w:rsid w:val="007909ED"/>
    <w:rsid w:val="00790A89"/>
    <w:rsid w:val="007914E4"/>
    <w:rsid w:val="0079180F"/>
    <w:rsid w:val="00791DD3"/>
    <w:rsid w:val="007923D0"/>
    <w:rsid w:val="00792481"/>
    <w:rsid w:val="0079249E"/>
    <w:rsid w:val="007925B6"/>
    <w:rsid w:val="00793219"/>
    <w:rsid w:val="0079329B"/>
    <w:rsid w:val="0079417B"/>
    <w:rsid w:val="0079428B"/>
    <w:rsid w:val="00794417"/>
    <w:rsid w:val="0079577C"/>
    <w:rsid w:val="00795986"/>
    <w:rsid w:val="007963ED"/>
    <w:rsid w:val="007969D8"/>
    <w:rsid w:val="00796CD1"/>
    <w:rsid w:val="00797265"/>
    <w:rsid w:val="00797865"/>
    <w:rsid w:val="00797D1E"/>
    <w:rsid w:val="007A065C"/>
    <w:rsid w:val="007A0B56"/>
    <w:rsid w:val="007A0CB7"/>
    <w:rsid w:val="007A1745"/>
    <w:rsid w:val="007A1B5B"/>
    <w:rsid w:val="007A23B4"/>
    <w:rsid w:val="007A29F0"/>
    <w:rsid w:val="007A3578"/>
    <w:rsid w:val="007A4559"/>
    <w:rsid w:val="007A46C8"/>
    <w:rsid w:val="007A5726"/>
    <w:rsid w:val="007A5D5A"/>
    <w:rsid w:val="007A6009"/>
    <w:rsid w:val="007A6990"/>
    <w:rsid w:val="007A6AB8"/>
    <w:rsid w:val="007A70C1"/>
    <w:rsid w:val="007A74B0"/>
    <w:rsid w:val="007A78C2"/>
    <w:rsid w:val="007B0100"/>
    <w:rsid w:val="007B03F3"/>
    <w:rsid w:val="007B09A2"/>
    <w:rsid w:val="007B0B44"/>
    <w:rsid w:val="007B1FFB"/>
    <w:rsid w:val="007B2508"/>
    <w:rsid w:val="007B2529"/>
    <w:rsid w:val="007B27D0"/>
    <w:rsid w:val="007B2B73"/>
    <w:rsid w:val="007B2BA9"/>
    <w:rsid w:val="007B2C7F"/>
    <w:rsid w:val="007B34B1"/>
    <w:rsid w:val="007B3624"/>
    <w:rsid w:val="007B370D"/>
    <w:rsid w:val="007B4476"/>
    <w:rsid w:val="007B4512"/>
    <w:rsid w:val="007B4648"/>
    <w:rsid w:val="007B474C"/>
    <w:rsid w:val="007B4813"/>
    <w:rsid w:val="007B5574"/>
    <w:rsid w:val="007B57D7"/>
    <w:rsid w:val="007B5E91"/>
    <w:rsid w:val="007B62C9"/>
    <w:rsid w:val="007B62F4"/>
    <w:rsid w:val="007B6B30"/>
    <w:rsid w:val="007B6EC9"/>
    <w:rsid w:val="007B6F56"/>
    <w:rsid w:val="007C06C8"/>
    <w:rsid w:val="007C190E"/>
    <w:rsid w:val="007C1EC0"/>
    <w:rsid w:val="007C2006"/>
    <w:rsid w:val="007C2887"/>
    <w:rsid w:val="007C289E"/>
    <w:rsid w:val="007C2E85"/>
    <w:rsid w:val="007C3120"/>
    <w:rsid w:val="007C317A"/>
    <w:rsid w:val="007C3F1A"/>
    <w:rsid w:val="007C413F"/>
    <w:rsid w:val="007C7AAD"/>
    <w:rsid w:val="007C7AD2"/>
    <w:rsid w:val="007D0010"/>
    <w:rsid w:val="007D04CB"/>
    <w:rsid w:val="007D062A"/>
    <w:rsid w:val="007D07A5"/>
    <w:rsid w:val="007D09BF"/>
    <w:rsid w:val="007D21F6"/>
    <w:rsid w:val="007D24A2"/>
    <w:rsid w:val="007D27B8"/>
    <w:rsid w:val="007D2F7C"/>
    <w:rsid w:val="007D3284"/>
    <w:rsid w:val="007D3E85"/>
    <w:rsid w:val="007D3F71"/>
    <w:rsid w:val="007D4070"/>
    <w:rsid w:val="007D4FFF"/>
    <w:rsid w:val="007D54FD"/>
    <w:rsid w:val="007D56DD"/>
    <w:rsid w:val="007D5C07"/>
    <w:rsid w:val="007D5C9B"/>
    <w:rsid w:val="007D6BB9"/>
    <w:rsid w:val="007D6F37"/>
    <w:rsid w:val="007D6F48"/>
    <w:rsid w:val="007D7626"/>
    <w:rsid w:val="007D7984"/>
    <w:rsid w:val="007D7B4D"/>
    <w:rsid w:val="007E0A07"/>
    <w:rsid w:val="007E0B83"/>
    <w:rsid w:val="007E1587"/>
    <w:rsid w:val="007E163F"/>
    <w:rsid w:val="007E1897"/>
    <w:rsid w:val="007E1C6C"/>
    <w:rsid w:val="007E1C8D"/>
    <w:rsid w:val="007E1DE5"/>
    <w:rsid w:val="007E21EE"/>
    <w:rsid w:val="007E250D"/>
    <w:rsid w:val="007E2C76"/>
    <w:rsid w:val="007E2EF7"/>
    <w:rsid w:val="007E3F8F"/>
    <w:rsid w:val="007E4481"/>
    <w:rsid w:val="007E4532"/>
    <w:rsid w:val="007E4886"/>
    <w:rsid w:val="007E4B40"/>
    <w:rsid w:val="007E4DAF"/>
    <w:rsid w:val="007E4E81"/>
    <w:rsid w:val="007E5741"/>
    <w:rsid w:val="007E58DA"/>
    <w:rsid w:val="007E5966"/>
    <w:rsid w:val="007E5CED"/>
    <w:rsid w:val="007E5D30"/>
    <w:rsid w:val="007E618A"/>
    <w:rsid w:val="007E6AA0"/>
    <w:rsid w:val="007E6E59"/>
    <w:rsid w:val="007E6FCA"/>
    <w:rsid w:val="007E7FB0"/>
    <w:rsid w:val="007E7FC7"/>
    <w:rsid w:val="007F0092"/>
    <w:rsid w:val="007F0138"/>
    <w:rsid w:val="007F022E"/>
    <w:rsid w:val="007F0655"/>
    <w:rsid w:val="007F13F6"/>
    <w:rsid w:val="007F17DF"/>
    <w:rsid w:val="007F1A52"/>
    <w:rsid w:val="007F1D03"/>
    <w:rsid w:val="007F27CB"/>
    <w:rsid w:val="007F2D01"/>
    <w:rsid w:val="007F31DB"/>
    <w:rsid w:val="007F3314"/>
    <w:rsid w:val="007F3D5A"/>
    <w:rsid w:val="007F4D29"/>
    <w:rsid w:val="007F4D7C"/>
    <w:rsid w:val="007F58A9"/>
    <w:rsid w:val="007F593B"/>
    <w:rsid w:val="007F5C1E"/>
    <w:rsid w:val="007F5E46"/>
    <w:rsid w:val="007F6858"/>
    <w:rsid w:val="007F69D7"/>
    <w:rsid w:val="007F6B6A"/>
    <w:rsid w:val="007F6DCE"/>
    <w:rsid w:val="007F70AF"/>
    <w:rsid w:val="007F7B0C"/>
    <w:rsid w:val="0080045D"/>
    <w:rsid w:val="00801074"/>
    <w:rsid w:val="008020A7"/>
    <w:rsid w:val="00802D64"/>
    <w:rsid w:val="0080302A"/>
    <w:rsid w:val="00803287"/>
    <w:rsid w:val="008032C8"/>
    <w:rsid w:val="008035D2"/>
    <w:rsid w:val="00803ED1"/>
    <w:rsid w:val="0080476C"/>
    <w:rsid w:val="00804B54"/>
    <w:rsid w:val="0080569E"/>
    <w:rsid w:val="00805940"/>
    <w:rsid w:val="00805E07"/>
    <w:rsid w:val="00806142"/>
    <w:rsid w:val="00806195"/>
    <w:rsid w:val="00806EDD"/>
    <w:rsid w:val="00807021"/>
    <w:rsid w:val="00807A05"/>
    <w:rsid w:val="00807A17"/>
    <w:rsid w:val="00807A28"/>
    <w:rsid w:val="00810BC5"/>
    <w:rsid w:val="00810E65"/>
    <w:rsid w:val="0081145A"/>
    <w:rsid w:val="00811A37"/>
    <w:rsid w:val="00811AED"/>
    <w:rsid w:val="00812072"/>
    <w:rsid w:val="008120F5"/>
    <w:rsid w:val="00812350"/>
    <w:rsid w:val="00812388"/>
    <w:rsid w:val="00813114"/>
    <w:rsid w:val="008138AC"/>
    <w:rsid w:val="00813D53"/>
    <w:rsid w:val="00814488"/>
    <w:rsid w:val="00814799"/>
    <w:rsid w:val="00814D8F"/>
    <w:rsid w:val="00814DDF"/>
    <w:rsid w:val="00814DFF"/>
    <w:rsid w:val="008150CD"/>
    <w:rsid w:val="00816359"/>
    <w:rsid w:val="00816707"/>
    <w:rsid w:val="008169E2"/>
    <w:rsid w:val="00816CE7"/>
    <w:rsid w:val="00816EA6"/>
    <w:rsid w:val="00817130"/>
    <w:rsid w:val="0081713A"/>
    <w:rsid w:val="00817767"/>
    <w:rsid w:val="00817AF3"/>
    <w:rsid w:val="00820109"/>
    <w:rsid w:val="00820242"/>
    <w:rsid w:val="008202EB"/>
    <w:rsid w:val="00820375"/>
    <w:rsid w:val="008204D5"/>
    <w:rsid w:val="008204E9"/>
    <w:rsid w:val="00820975"/>
    <w:rsid w:val="00820D6E"/>
    <w:rsid w:val="00821077"/>
    <w:rsid w:val="008214D6"/>
    <w:rsid w:val="00821678"/>
    <w:rsid w:val="00821A74"/>
    <w:rsid w:val="00822656"/>
    <w:rsid w:val="00822AE7"/>
    <w:rsid w:val="008239D4"/>
    <w:rsid w:val="008256FB"/>
    <w:rsid w:val="00826359"/>
    <w:rsid w:val="00826F7A"/>
    <w:rsid w:val="00827034"/>
    <w:rsid w:val="00827270"/>
    <w:rsid w:val="0082790A"/>
    <w:rsid w:val="00827BAE"/>
    <w:rsid w:val="00827E8F"/>
    <w:rsid w:val="008305E9"/>
    <w:rsid w:val="00830985"/>
    <w:rsid w:val="008317F9"/>
    <w:rsid w:val="00831B70"/>
    <w:rsid w:val="00831B98"/>
    <w:rsid w:val="00831D3E"/>
    <w:rsid w:val="00833CE0"/>
    <w:rsid w:val="0083407E"/>
    <w:rsid w:val="0083497C"/>
    <w:rsid w:val="00834A1D"/>
    <w:rsid w:val="00835056"/>
    <w:rsid w:val="0083555E"/>
    <w:rsid w:val="008358A4"/>
    <w:rsid w:val="00835ABD"/>
    <w:rsid w:val="00835C8D"/>
    <w:rsid w:val="00836175"/>
    <w:rsid w:val="0083619E"/>
    <w:rsid w:val="00837706"/>
    <w:rsid w:val="00837A49"/>
    <w:rsid w:val="0084054D"/>
    <w:rsid w:val="00840B88"/>
    <w:rsid w:val="00840F91"/>
    <w:rsid w:val="00840FEA"/>
    <w:rsid w:val="0084139F"/>
    <w:rsid w:val="00841D0D"/>
    <w:rsid w:val="0084201F"/>
    <w:rsid w:val="00842C11"/>
    <w:rsid w:val="00842F1E"/>
    <w:rsid w:val="008430AE"/>
    <w:rsid w:val="00844587"/>
    <w:rsid w:val="0084495E"/>
    <w:rsid w:val="00844A35"/>
    <w:rsid w:val="00845305"/>
    <w:rsid w:val="00845356"/>
    <w:rsid w:val="008454BE"/>
    <w:rsid w:val="00845C2B"/>
    <w:rsid w:val="008468F1"/>
    <w:rsid w:val="00846A9B"/>
    <w:rsid w:val="00850065"/>
    <w:rsid w:val="00850B51"/>
    <w:rsid w:val="00851101"/>
    <w:rsid w:val="00851120"/>
    <w:rsid w:val="008512CD"/>
    <w:rsid w:val="00851AE0"/>
    <w:rsid w:val="00851B28"/>
    <w:rsid w:val="00851F52"/>
    <w:rsid w:val="00851FB9"/>
    <w:rsid w:val="0085205B"/>
    <w:rsid w:val="008529DC"/>
    <w:rsid w:val="00853726"/>
    <w:rsid w:val="00853D9E"/>
    <w:rsid w:val="0085431C"/>
    <w:rsid w:val="0085437F"/>
    <w:rsid w:val="008555F6"/>
    <w:rsid w:val="008563ED"/>
    <w:rsid w:val="00856B01"/>
    <w:rsid w:val="008575BA"/>
    <w:rsid w:val="008575D7"/>
    <w:rsid w:val="00860082"/>
    <w:rsid w:val="008602CA"/>
    <w:rsid w:val="00860CD0"/>
    <w:rsid w:val="00861080"/>
    <w:rsid w:val="00861490"/>
    <w:rsid w:val="00861A5C"/>
    <w:rsid w:val="00862A1F"/>
    <w:rsid w:val="00862AC0"/>
    <w:rsid w:val="00862E53"/>
    <w:rsid w:val="00862EA7"/>
    <w:rsid w:val="0086315A"/>
    <w:rsid w:val="00864F6F"/>
    <w:rsid w:val="0086560A"/>
    <w:rsid w:val="008658A9"/>
    <w:rsid w:val="00865D21"/>
    <w:rsid w:val="0086607E"/>
    <w:rsid w:val="008667CD"/>
    <w:rsid w:val="0086682D"/>
    <w:rsid w:val="00866F65"/>
    <w:rsid w:val="0086735C"/>
    <w:rsid w:val="00867C80"/>
    <w:rsid w:val="00867F1E"/>
    <w:rsid w:val="00867F49"/>
    <w:rsid w:val="008700AE"/>
    <w:rsid w:val="008701C7"/>
    <w:rsid w:val="00870733"/>
    <w:rsid w:val="0087085B"/>
    <w:rsid w:val="00870D54"/>
    <w:rsid w:val="00871600"/>
    <w:rsid w:val="00872652"/>
    <w:rsid w:val="00872AB6"/>
    <w:rsid w:val="00872EBD"/>
    <w:rsid w:val="00873352"/>
    <w:rsid w:val="00873B87"/>
    <w:rsid w:val="0087500B"/>
    <w:rsid w:val="0087519D"/>
    <w:rsid w:val="0087528E"/>
    <w:rsid w:val="00875730"/>
    <w:rsid w:val="00875B52"/>
    <w:rsid w:val="0087663F"/>
    <w:rsid w:val="00876CB0"/>
    <w:rsid w:val="00876DAF"/>
    <w:rsid w:val="00877E50"/>
    <w:rsid w:val="00880468"/>
    <w:rsid w:val="00880B24"/>
    <w:rsid w:val="00880E5B"/>
    <w:rsid w:val="008817F9"/>
    <w:rsid w:val="00882445"/>
    <w:rsid w:val="008825B8"/>
    <w:rsid w:val="00883BAF"/>
    <w:rsid w:val="008849A8"/>
    <w:rsid w:val="00884C73"/>
    <w:rsid w:val="00884ECD"/>
    <w:rsid w:val="00885C1F"/>
    <w:rsid w:val="00885D97"/>
    <w:rsid w:val="00886417"/>
    <w:rsid w:val="00886A88"/>
    <w:rsid w:val="00886ABE"/>
    <w:rsid w:val="008900BE"/>
    <w:rsid w:val="008905E6"/>
    <w:rsid w:val="008908C9"/>
    <w:rsid w:val="00891825"/>
    <w:rsid w:val="00892389"/>
    <w:rsid w:val="00892C70"/>
    <w:rsid w:val="0089321B"/>
    <w:rsid w:val="00893DA4"/>
    <w:rsid w:val="00893E8E"/>
    <w:rsid w:val="00894078"/>
    <w:rsid w:val="00894188"/>
    <w:rsid w:val="008946B7"/>
    <w:rsid w:val="00895189"/>
    <w:rsid w:val="008952AB"/>
    <w:rsid w:val="00895A28"/>
    <w:rsid w:val="00895A35"/>
    <w:rsid w:val="00895E2E"/>
    <w:rsid w:val="00896166"/>
    <w:rsid w:val="00896335"/>
    <w:rsid w:val="00896B68"/>
    <w:rsid w:val="00897043"/>
    <w:rsid w:val="00897D74"/>
    <w:rsid w:val="00897F87"/>
    <w:rsid w:val="008A136A"/>
    <w:rsid w:val="008A1CB2"/>
    <w:rsid w:val="008A2059"/>
    <w:rsid w:val="008A22DE"/>
    <w:rsid w:val="008A25FC"/>
    <w:rsid w:val="008A2C4F"/>
    <w:rsid w:val="008A3512"/>
    <w:rsid w:val="008A35EF"/>
    <w:rsid w:val="008A381E"/>
    <w:rsid w:val="008A3C6C"/>
    <w:rsid w:val="008A3DAC"/>
    <w:rsid w:val="008A3EE3"/>
    <w:rsid w:val="008A40D0"/>
    <w:rsid w:val="008A40EC"/>
    <w:rsid w:val="008A41CE"/>
    <w:rsid w:val="008A4296"/>
    <w:rsid w:val="008A4837"/>
    <w:rsid w:val="008A4EB0"/>
    <w:rsid w:val="008A5EDA"/>
    <w:rsid w:val="008A6852"/>
    <w:rsid w:val="008A69F4"/>
    <w:rsid w:val="008A6A00"/>
    <w:rsid w:val="008A721B"/>
    <w:rsid w:val="008A7536"/>
    <w:rsid w:val="008B005D"/>
    <w:rsid w:val="008B069A"/>
    <w:rsid w:val="008B0770"/>
    <w:rsid w:val="008B10CA"/>
    <w:rsid w:val="008B189A"/>
    <w:rsid w:val="008B1C72"/>
    <w:rsid w:val="008B1CB4"/>
    <w:rsid w:val="008B212B"/>
    <w:rsid w:val="008B2312"/>
    <w:rsid w:val="008B305D"/>
    <w:rsid w:val="008B3AB6"/>
    <w:rsid w:val="008B3C8E"/>
    <w:rsid w:val="008B3D78"/>
    <w:rsid w:val="008B3FD8"/>
    <w:rsid w:val="008B440F"/>
    <w:rsid w:val="008B442A"/>
    <w:rsid w:val="008B4439"/>
    <w:rsid w:val="008B4966"/>
    <w:rsid w:val="008B4E2B"/>
    <w:rsid w:val="008B4F84"/>
    <w:rsid w:val="008B5155"/>
    <w:rsid w:val="008B51AD"/>
    <w:rsid w:val="008B5AE2"/>
    <w:rsid w:val="008B5BDA"/>
    <w:rsid w:val="008B6773"/>
    <w:rsid w:val="008B6786"/>
    <w:rsid w:val="008B6795"/>
    <w:rsid w:val="008B6839"/>
    <w:rsid w:val="008B687F"/>
    <w:rsid w:val="008B69B7"/>
    <w:rsid w:val="008B72E4"/>
    <w:rsid w:val="008C07BC"/>
    <w:rsid w:val="008C0854"/>
    <w:rsid w:val="008C1645"/>
    <w:rsid w:val="008C16EB"/>
    <w:rsid w:val="008C1BD4"/>
    <w:rsid w:val="008C1C8A"/>
    <w:rsid w:val="008C21FB"/>
    <w:rsid w:val="008C31C0"/>
    <w:rsid w:val="008C40B1"/>
    <w:rsid w:val="008C40E6"/>
    <w:rsid w:val="008C47E5"/>
    <w:rsid w:val="008C4909"/>
    <w:rsid w:val="008C4E5D"/>
    <w:rsid w:val="008C571A"/>
    <w:rsid w:val="008C5C23"/>
    <w:rsid w:val="008C6917"/>
    <w:rsid w:val="008C6F10"/>
    <w:rsid w:val="008C6FE7"/>
    <w:rsid w:val="008C7AA1"/>
    <w:rsid w:val="008D0175"/>
    <w:rsid w:val="008D077F"/>
    <w:rsid w:val="008D0BC5"/>
    <w:rsid w:val="008D17E3"/>
    <w:rsid w:val="008D1C8E"/>
    <w:rsid w:val="008D215F"/>
    <w:rsid w:val="008D2D39"/>
    <w:rsid w:val="008D2F20"/>
    <w:rsid w:val="008D3256"/>
    <w:rsid w:val="008D32C3"/>
    <w:rsid w:val="008D3652"/>
    <w:rsid w:val="008D48C3"/>
    <w:rsid w:val="008D4BC0"/>
    <w:rsid w:val="008D4D0E"/>
    <w:rsid w:val="008D59FE"/>
    <w:rsid w:val="008D681E"/>
    <w:rsid w:val="008D7384"/>
    <w:rsid w:val="008D76E3"/>
    <w:rsid w:val="008D7C77"/>
    <w:rsid w:val="008D7E67"/>
    <w:rsid w:val="008E0FAB"/>
    <w:rsid w:val="008E1025"/>
    <w:rsid w:val="008E1198"/>
    <w:rsid w:val="008E22E2"/>
    <w:rsid w:val="008E2BD4"/>
    <w:rsid w:val="008E2C9D"/>
    <w:rsid w:val="008E2D7C"/>
    <w:rsid w:val="008E2EEE"/>
    <w:rsid w:val="008E360E"/>
    <w:rsid w:val="008E3CEB"/>
    <w:rsid w:val="008E3CF1"/>
    <w:rsid w:val="008E401D"/>
    <w:rsid w:val="008E48FA"/>
    <w:rsid w:val="008E4EFA"/>
    <w:rsid w:val="008E4FFE"/>
    <w:rsid w:val="008E52B4"/>
    <w:rsid w:val="008E55ED"/>
    <w:rsid w:val="008E57FF"/>
    <w:rsid w:val="008E5EEC"/>
    <w:rsid w:val="008E66E3"/>
    <w:rsid w:val="008E6741"/>
    <w:rsid w:val="008E6A6F"/>
    <w:rsid w:val="008E6BA9"/>
    <w:rsid w:val="008E7313"/>
    <w:rsid w:val="008E7CBF"/>
    <w:rsid w:val="008E7D9C"/>
    <w:rsid w:val="008E7EC5"/>
    <w:rsid w:val="008F052F"/>
    <w:rsid w:val="008F09FC"/>
    <w:rsid w:val="008F0D21"/>
    <w:rsid w:val="008F0FAB"/>
    <w:rsid w:val="008F0FB8"/>
    <w:rsid w:val="008F137D"/>
    <w:rsid w:val="008F13A3"/>
    <w:rsid w:val="008F166B"/>
    <w:rsid w:val="008F17FD"/>
    <w:rsid w:val="008F19DF"/>
    <w:rsid w:val="008F1E80"/>
    <w:rsid w:val="008F2477"/>
    <w:rsid w:val="008F2B7B"/>
    <w:rsid w:val="008F2EFB"/>
    <w:rsid w:val="008F2FA1"/>
    <w:rsid w:val="008F3261"/>
    <w:rsid w:val="008F33A7"/>
    <w:rsid w:val="008F342A"/>
    <w:rsid w:val="008F3668"/>
    <w:rsid w:val="008F3E36"/>
    <w:rsid w:val="008F4EA8"/>
    <w:rsid w:val="008F4EDC"/>
    <w:rsid w:val="008F5084"/>
    <w:rsid w:val="008F5D0F"/>
    <w:rsid w:val="008F6465"/>
    <w:rsid w:val="008F64BB"/>
    <w:rsid w:val="008F654D"/>
    <w:rsid w:val="008F6D13"/>
    <w:rsid w:val="008F721D"/>
    <w:rsid w:val="008F7F5B"/>
    <w:rsid w:val="009002F5"/>
    <w:rsid w:val="009003E7"/>
    <w:rsid w:val="00900C43"/>
    <w:rsid w:val="00901681"/>
    <w:rsid w:val="009029EB"/>
    <w:rsid w:val="00902A29"/>
    <w:rsid w:val="00903543"/>
    <w:rsid w:val="00903706"/>
    <w:rsid w:val="00903A37"/>
    <w:rsid w:val="00904030"/>
    <w:rsid w:val="00904430"/>
    <w:rsid w:val="009048AF"/>
    <w:rsid w:val="0090598C"/>
    <w:rsid w:val="00906212"/>
    <w:rsid w:val="00906478"/>
    <w:rsid w:val="009066EA"/>
    <w:rsid w:val="00906820"/>
    <w:rsid w:val="00906860"/>
    <w:rsid w:val="00906C31"/>
    <w:rsid w:val="0090731F"/>
    <w:rsid w:val="0090769A"/>
    <w:rsid w:val="00907FAD"/>
    <w:rsid w:val="0091086D"/>
    <w:rsid w:val="00910941"/>
    <w:rsid w:val="00910EAB"/>
    <w:rsid w:val="00911CE6"/>
    <w:rsid w:val="00912727"/>
    <w:rsid w:val="0091272D"/>
    <w:rsid w:val="009130BB"/>
    <w:rsid w:val="00915246"/>
    <w:rsid w:val="00915370"/>
    <w:rsid w:val="0091613E"/>
    <w:rsid w:val="009164A8"/>
    <w:rsid w:val="0091712A"/>
    <w:rsid w:val="009172E3"/>
    <w:rsid w:val="0091767E"/>
    <w:rsid w:val="00920488"/>
    <w:rsid w:val="00920717"/>
    <w:rsid w:val="00920C47"/>
    <w:rsid w:val="00920CAE"/>
    <w:rsid w:val="00920CD7"/>
    <w:rsid w:val="00920EAE"/>
    <w:rsid w:val="00920ED8"/>
    <w:rsid w:val="00920FE0"/>
    <w:rsid w:val="009212AE"/>
    <w:rsid w:val="00921612"/>
    <w:rsid w:val="00922157"/>
    <w:rsid w:val="00922C8E"/>
    <w:rsid w:val="009234A4"/>
    <w:rsid w:val="00923A7D"/>
    <w:rsid w:val="00924DCE"/>
    <w:rsid w:val="00924E2C"/>
    <w:rsid w:val="009255F1"/>
    <w:rsid w:val="00926370"/>
    <w:rsid w:val="00926C43"/>
    <w:rsid w:val="00926C83"/>
    <w:rsid w:val="0092715F"/>
    <w:rsid w:val="009276DE"/>
    <w:rsid w:val="00927C16"/>
    <w:rsid w:val="00930109"/>
    <w:rsid w:val="009308B8"/>
    <w:rsid w:val="00930BA4"/>
    <w:rsid w:val="0093160F"/>
    <w:rsid w:val="009321FA"/>
    <w:rsid w:val="00932E2D"/>
    <w:rsid w:val="00932EB8"/>
    <w:rsid w:val="0093327E"/>
    <w:rsid w:val="0093362E"/>
    <w:rsid w:val="0093470A"/>
    <w:rsid w:val="0093472B"/>
    <w:rsid w:val="00934C36"/>
    <w:rsid w:val="00934EAF"/>
    <w:rsid w:val="009359E3"/>
    <w:rsid w:val="00936E48"/>
    <w:rsid w:val="00937349"/>
    <w:rsid w:val="009375B5"/>
    <w:rsid w:val="00937BC9"/>
    <w:rsid w:val="0094024D"/>
    <w:rsid w:val="0094144C"/>
    <w:rsid w:val="0094152F"/>
    <w:rsid w:val="00942777"/>
    <w:rsid w:val="00942889"/>
    <w:rsid w:val="009429C3"/>
    <w:rsid w:val="00943E09"/>
    <w:rsid w:val="00943F47"/>
    <w:rsid w:val="009448DC"/>
    <w:rsid w:val="009449E0"/>
    <w:rsid w:val="00945016"/>
    <w:rsid w:val="009454E4"/>
    <w:rsid w:val="00945638"/>
    <w:rsid w:val="00945661"/>
    <w:rsid w:val="0094579A"/>
    <w:rsid w:val="00945C2E"/>
    <w:rsid w:val="00945F4C"/>
    <w:rsid w:val="00946022"/>
    <w:rsid w:val="0094669B"/>
    <w:rsid w:val="009467D8"/>
    <w:rsid w:val="0094680E"/>
    <w:rsid w:val="00947958"/>
    <w:rsid w:val="00950002"/>
    <w:rsid w:val="009504E8"/>
    <w:rsid w:val="00950FB8"/>
    <w:rsid w:val="009514FC"/>
    <w:rsid w:val="00951A38"/>
    <w:rsid w:val="00951F15"/>
    <w:rsid w:val="00952C8A"/>
    <w:rsid w:val="00953267"/>
    <w:rsid w:val="009536E7"/>
    <w:rsid w:val="00953C61"/>
    <w:rsid w:val="009547AF"/>
    <w:rsid w:val="00954869"/>
    <w:rsid w:val="009551EF"/>
    <w:rsid w:val="0095564B"/>
    <w:rsid w:val="00955669"/>
    <w:rsid w:val="009559C6"/>
    <w:rsid w:val="00955F91"/>
    <w:rsid w:val="0095609F"/>
    <w:rsid w:val="0095638C"/>
    <w:rsid w:val="00956916"/>
    <w:rsid w:val="00957063"/>
    <w:rsid w:val="0095736D"/>
    <w:rsid w:val="00957613"/>
    <w:rsid w:val="009576A3"/>
    <w:rsid w:val="0096043F"/>
    <w:rsid w:val="00960654"/>
    <w:rsid w:val="00960A4E"/>
    <w:rsid w:val="00961C8A"/>
    <w:rsid w:val="00961EC8"/>
    <w:rsid w:val="009622F9"/>
    <w:rsid w:val="009623BE"/>
    <w:rsid w:val="00962401"/>
    <w:rsid w:val="00962D44"/>
    <w:rsid w:val="00962FDE"/>
    <w:rsid w:val="00962FF5"/>
    <w:rsid w:val="009634F1"/>
    <w:rsid w:val="009642A2"/>
    <w:rsid w:val="00964CC4"/>
    <w:rsid w:val="00964F76"/>
    <w:rsid w:val="00964FC7"/>
    <w:rsid w:val="00965047"/>
    <w:rsid w:val="00965392"/>
    <w:rsid w:val="0096569F"/>
    <w:rsid w:val="009658C4"/>
    <w:rsid w:val="00965949"/>
    <w:rsid w:val="00966332"/>
    <w:rsid w:val="00966506"/>
    <w:rsid w:val="00966C24"/>
    <w:rsid w:val="00967BD9"/>
    <w:rsid w:val="00967CE3"/>
    <w:rsid w:val="009705CC"/>
    <w:rsid w:val="0097067A"/>
    <w:rsid w:val="00970EB8"/>
    <w:rsid w:val="00970F26"/>
    <w:rsid w:val="0097127C"/>
    <w:rsid w:val="009712CD"/>
    <w:rsid w:val="009717D7"/>
    <w:rsid w:val="00971F37"/>
    <w:rsid w:val="00972A72"/>
    <w:rsid w:val="009731E6"/>
    <w:rsid w:val="009733B7"/>
    <w:rsid w:val="00973421"/>
    <w:rsid w:val="0097394D"/>
    <w:rsid w:val="00973E05"/>
    <w:rsid w:val="00973F1A"/>
    <w:rsid w:val="0097409C"/>
    <w:rsid w:val="009743F3"/>
    <w:rsid w:val="009750DB"/>
    <w:rsid w:val="0097622C"/>
    <w:rsid w:val="00976DB8"/>
    <w:rsid w:val="00977643"/>
    <w:rsid w:val="0098001D"/>
    <w:rsid w:val="0098070E"/>
    <w:rsid w:val="00980BB0"/>
    <w:rsid w:val="00981772"/>
    <w:rsid w:val="00982990"/>
    <w:rsid w:val="00983764"/>
    <w:rsid w:val="00983CC5"/>
    <w:rsid w:val="00985392"/>
    <w:rsid w:val="00985421"/>
    <w:rsid w:val="0098582C"/>
    <w:rsid w:val="00985900"/>
    <w:rsid w:val="00985E23"/>
    <w:rsid w:val="00986FFF"/>
    <w:rsid w:val="00987745"/>
    <w:rsid w:val="00987AEC"/>
    <w:rsid w:val="00987BE2"/>
    <w:rsid w:val="00987DB1"/>
    <w:rsid w:val="00990633"/>
    <w:rsid w:val="00990A40"/>
    <w:rsid w:val="0099121A"/>
    <w:rsid w:val="009915DC"/>
    <w:rsid w:val="0099188A"/>
    <w:rsid w:val="009918CF"/>
    <w:rsid w:val="0099205F"/>
    <w:rsid w:val="0099228A"/>
    <w:rsid w:val="009922D9"/>
    <w:rsid w:val="00992F50"/>
    <w:rsid w:val="00993047"/>
    <w:rsid w:val="009937E1"/>
    <w:rsid w:val="0099520A"/>
    <w:rsid w:val="00995800"/>
    <w:rsid w:val="00995807"/>
    <w:rsid w:val="00995A52"/>
    <w:rsid w:val="00995EDB"/>
    <w:rsid w:val="00996965"/>
    <w:rsid w:val="00996BA5"/>
    <w:rsid w:val="00997365"/>
    <w:rsid w:val="0099767A"/>
    <w:rsid w:val="009978E6"/>
    <w:rsid w:val="00997ACB"/>
    <w:rsid w:val="00997D8C"/>
    <w:rsid w:val="009A01BA"/>
    <w:rsid w:val="009A08D6"/>
    <w:rsid w:val="009A14F4"/>
    <w:rsid w:val="009A17A1"/>
    <w:rsid w:val="009A1C28"/>
    <w:rsid w:val="009A26F8"/>
    <w:rsid w:val="009A2C38"/>
    <w:rsid w:val="009A39B0"/>
    <w:rsid w:val="009A3CD2"/>
    <w:rsid w:val="009A3E0C"/>
    <w:rsid w:val="009A5BF9"/>
    <w:rsid w:val="009A6702"/>
    <w:rsid w:val="009A6F49"/>
    <w:rsid w:val="009A6FA1"/>
    <w:rsid w:val="009A6FD6"/>
    <w:rsid w:val="009A7927"/>
    <w:rsid w:val="009B01C8"/>
    <w:rsid w:val="009B02CF"/>
    <w:rsid w:val="009B0706"/>
    <w:rsid w:val="009B12B0"/>
    <w:rsid w:val="009B1B09"/>
    <w:rsid w:val="009B2044"/>
    <w:rsid w:val="009B2B1F"/>
    <w:rsid w:val="009B2CD4"/>
    <w:rsid w:val="009B3374"/>
    <w:rsid w:val="009B3A07"/>
    <w:rsid w:val="009B3F08"/>
    <w:rsid w:val="009B4126"/>
    <w:rsid w:val="009B47C4"/>
    <w:rsid w:val="009B4CE0"/>
    <w:rsid w:val="009B5145"/>
    <w:rsid w:val="009B51E0"/>
    <w:rsid w:val="009B560F"/>
    <w:rsid w:val="009B64E3"/>
    <w:rsid w:val="009B7405"/>
    <w:rsid w:val="009B756D"/>
    <w:rsid w:val="009B75D1"/>
    <w:rsid w:val="009B7B6F"/>
    <w:rsid w:val="009C05D0"/>
    <w:rsid w:val="009C0F99"/>
    <w:rsid w:val="009C10DE"/>
    <w:rsid w:val="009C15F2"/>
    <w:rsid w:val="009C1729"/>
    <w:rsid w:val="009C192D"/>
    <w:rsid w:val="009C1BEF"/>
    <w:rsid w:val="009C1DC5"/>
    <w:rsid w:val="009C226B"/>
    <w:rsid w:val="009C3629"/>
    <w:rsid w:val="009C3642"/>
    <w:rsid w:val="009C3714"/>
    <w:rsid w:val="009C3F91"/>
    <w:rsid w:val="009C46D8"/>
    <w:rsid w:val="009C5436"/>
    <w:rsid w:val="009C61C0"/>
    <w:rsid w:val="009C6626"/>
    <w:rsid w:val="009C6B52"/>
    <w:rsid w:val="009C6BA2"/>
    <w:rsid w:val="009C6D9E"/>
    <w:rsid w:val="009C7326"/>
    <w:rsid w:val="009C743D"/>
    <w:rsid w:val="009C7F6C"/>
    <w:rsid w:val="009D0707"/>
    <w:rsid w:val="009D1DD9"/>
    <w:rsid w:val="009D1F05"/>
    <w:rsid w:val="009D20E0"/>
    <w:rsid w:val="009D2808"/>
    <w:rsid w:val="009D2A41"/>
    <w:rsid w:val="009D3D94"/>
    <w:rsid w:val="009D45AD"/>
    <w:rsid w:val="009D520C"/>
    <w:rsid w:val="009D5669"/>
    <w:rsid w:val="009D576B"/>
    <w:rsid w:val="009D6880"/>
    <w:rsid w:val="009D6B38"/>
    <w:rsid w:val="009D6E2F"/>
    <w:rsid w:val="009D75BD"/>
    <w:rsid w:val="009D7F39"/>
    <w:rsid w:val="009E0867"/>
    <w:rsid w:val="009E08FF"/>
    <w:rsid w:val="009E0EDC"/>
    <w:rsid w:val="009E1754"/>
    <w:rsid w:val="009E2913"/>
    <w:rsid w:val="009E2DA0"/>
    <w:rsid w:val="009E3376"/>
    <w:rsid w:val="009E3811"/>
    <w:rsid w:val="009E3BD7"/>
    <w:rsid w:val="009E3CF5"/>
    <w:rsid w:val="009E421E"/>
    <w:rsid w:val="009E4A30"/>
    <w:rsid w:val="009E4D45"/>
    <w:rsid w:val="009E5045"/>
    <w:rsid w:val="009E51D8"/>
    <w:rsid w:val="009E5823"/>
    <w:rsid w:val="009E5A63"/>
    <w:rsid w:val="009E5E2A"/>
    <w:rsid w:val="009E6476"/>
    <w:rsid w:val="009E67CF"/>
    <w:rsid w:val="009E6FE1"/>
    <w:rsid w:val="009E72D4"/>
    <w:rsid w:val="009E73BE"/>
    <w:rsid w:val="009E7E48"/>
    <w:rsid w:val="009F0099"/>
    <w:rsid w:val="009F0AA6"/>
    <w:rsid w:val="009F0D6F"/>
    <w:rsid w:val="009F2259"/>
    <w:rsid w:val="009F28B6"/>
    <w:rsid w:val="009F2D2C"/>
    <w:rsid w:val="009F2E84"/>
    <w:rsid w:val="009F3257"/>
    <w:rsid w:val="009F3759"/>
    <w:rsid w:val="009F3F61"/>
    <w:rsid w:val="009F40CD"/>
    <w:rsid w:val="009F4DE4"/>
    <w:rsid w:val="009F5463"/>
    <w:rsid w:val="009F5852"/>
    <w:rsid w:val="009F5F34"/>
    <w:rsid w:val="009F6456"/>
    <w:rsid w:val="009F69EB"/>
    <w:rsid w:val="009F6C40"/>
    <w:rsid w:val="009F6FA7"/>
    <w:rsid w:val="00A00573"/>
    <w:rsid w:val="00A00662"/>
    <w:rsid w:val="00A00699"/>
    <w:rsid w:val="00A008E2"/>
    <w:rsid w:val="00A01116"/>
    <w:rsid w:val="00A012B6"/>
    <w:rsid w:val="00A01588"/>
    <w:rsid w:val="00A0219D"/>
    <w:rsid w:val="00A02310"/>
    <w:rsid w:val="00A02716"/>
    <w:rsid w:val="00A0288B"/>
    <w:rsid w:val="00A028D7"/>
    <w:rsid w:val="00A02AE9"/>
    <w:rsid w:val="00A02E71"/>
    <w:rsid w:val="00A032D3"/>
    <w:rsid w:val="00A0440B"/>
    <w:rsid w:val="00A04526"/>
    <w:rsid w:val="00A04B61"/>
    <w:rsid w:val="00A04B67"/>
    <w:rsid w:val="00A05067"/>
    <w:rsid w:val="00A05934"/>
    <w:rsid w:val="00A061D0"/>
    <w:rsid w:val="00A063EC"/>
    <w:rsid w:val="00A064C6"/>
    <w:rsid w:val="00A06CFD"/>
    <w:rsid w:val="00A06DFE"/>
    <w:rsid w:val="00A07269"/>
    <w:rsid w:val="00A072D1"/>
    <w:rsid w:val="00A07A87"/>
    <w:rsid w:val="00A1003C"/>
    <w:rsid w:val="00A10442"/>
    <w:rsid w:val="00A10D11"/>
    <w:rsid w:val="00A125EE"/>
    <w:rsid w:val="00A127CA"/>
    <w:rsid w:val="00A12FCA"/>
    <w:rsid w:val="00A133E0"/>
    <w:rsid w:val="00A142A7"/>
    <w:rsid w:val="00A14653"/>
    <w:rsid w:val="00A148F1"/>
    <w:rsid w:val="00A14CBA"/>
    <w:rsid w:val="00A14CC6"/>
    <w:rsid w:val="00A151FF"/>
    <w:rsid w:val="00A156B6"/>
    <w:rsid w:val="00A15964"/>
    <w:rsid w:val="00A166FC"/>
    <w:rsid w:val="00A168E0"/>
    <w:rsid w:val="00A16B14"/>
    <w:rsid w:val="00A17455"/>
    <w:rsid w:val="00A174C6"/>
    <w:rsid w:val="00A17F02"/>
    <w:rsid w:val="00A2013F"/>
    <w:rsid w:val="00A2015D"/>
    <w:rsid w:val="00A204F0"/>
    <w:rsid w:val="00A20579"/>
    <w:rsid w:val="00A20FEB"/>
    <w:rsid w:val="00A21BE2"/>
    <w:rsid w:val="00A2341F"/>
    <w:rsid w:val="00A23791"/>
    <w:rsid w:val="00A23CB1"/>
    <w:rsid w:val="00A240F5"/>
    <w:rsid w:val="00A24CC7"/>
    <w:rsid w:val="00A24E71"/>
    <w:rsid w:val="00A2517B"/>
    <w:rsid w:val="00A25492"/>
    <w:rsid w:val="00A25903"/>
    <w:rsid w:val="00A26C08"/>
    <w:rsid w:val="00A26C3C"/>
    <w:rsid w:val="00A26E19"/>
    <w:rsid w:val="00A27242"/>
    <w:rsid w:val="00A2727D"/>
    <w:rsid w:val="00A2755F"/>
    <w:rsid w:val="00A27815"/>
    <w:rsid w:val="00A27C6B"/>
    <w:rsid w:val="00A30568"/>
    <w:rsid w:val="00A30792"/>
    <w:rsid w:val="00A30A55"/>
    <w:rsid w:val="00A30D31"/>
    <w:rsid w:val="00A313F3"/>
    <w:rsid w:val="00A31486"/>
    <w:rsid w:val="00A31B29"/>
    <w:rsid w:val="00A31BB5"/>
    <w:rsid w:val="00A323D3"/>
    <w:rsid w:val="00A3265A"/>
    <w:rsid w:val="00A32C19"/>
    <w:rsid w:val="00A32CFC"/>
    <w:rsid w:val="00A33079"/>
    <w:rsid w:val="00A3337B"/>
    <w:rsid w:val="00A33637"/>
    <w:rsid w:val="00A33C83"/>
    <w:rsid w:val="00A33DAB"/>
    <w:rsid w:val="00A34368"/>
    <w:rsid w:val="00A343E0"/>
    <w:rsid w:val="00A34C56"/>
    <w:rsid w:val="00A34E70"/>
    <w:rsid w:val="00A34FC5"/>
    <w:rsid w:val="00A3572A"/>
    <w:rsid w:val="00A35890"/>
    <w:rsid w:val="00A359F1"/>
    <w:rsid w:val="00A35B99"/>
    <w:rsid w:val="00A36EB6"/>
    <w:rsid w:val="00A373B4"/>
    <w:rsid w:val="00A43A8F"/>
    <w:rsid w:val="00A43C91"/>
    <w:rsid w:val="00A43DFA"/>
    <w:rsid w:val="00A444BD"/>
    <w:rsid w:val="00A4485D"/>
    <w:rsid w:val="00A4491A"/>
    <w:rsid w:val="00A44970"/>
    <w:rsid w:val="00A44995"/>
    <w:rsid w:val="00A44A67"/>
    <w:rsid w:val="00A46222"/>
    <w:rsid w:val="00A4685C"/>
    <w:rsid w:val="00A46940"/>
    <w:rsid w:val="00A46BC6"/>
    <w:rsid w:val="00A46E3E"/>
    <w:rsid w:val="00A4714B"/>
    <w:rsid w:val="00A4730A"/>
    <w:rsid w:val="00A505F2"/>
    <w:rsid w:val="00A50AF0"/>
    <w:rsid w:val="00A5133C"/>
    <w:rsid w:val="00A5148C"/>
    <w:rsid w:val="00A51580"/>
    <w:rsid w:val="00A51C22"/>
    <w:rsid w:val="00A5220F"/>
    <w:rsid w:val="00A525EA"/>
    <w:rsid w:val="00A52C6B"/>
    <w:rsid w:val="00A52CCA"/>
    <w:rsid w:val="00A535D0"/>
    <w:rsid w:val="00A53AB6"/>
    <w:rsid w:val="00A54033"/>
    <w:rsid w:val="00A543C1"/>
    <w:rsid w:val="00A54523"/>
    <w:rsid w:val="00A54568"/>
    <w:rsid w:val="00A5456F"/>
    <w:rsid w:val="00A54B76"/>
    <w:rsid w:val="00A552C7"/>
    <w:rsid w:val="00A55953"/>
    <w:rsid w:val="00A569EF"/>
    <w:rsid w:val="00A56C13"/>
    <w:rsid w:val="00A5753F"/>
    <w:rsid w:val="00A57807"/>
    <w:rsid w:val="00A579B9"/>
    <w:rsid w:val="00A57E98"/>
    <w:rsid w:val="00A606FE"/>
    <w:rsid w:val="00A6095C"/>
    <w:rsid w:val="00A609F7"/>
    <w:rsid w:val="00A60BE9"/>
    <w:rsid w:val="00A60F0C"/>
    <w:rsid w:val="00A6122C"/>
    <w:rsid w:val="00A61A97"/>
    <w:rsid w:val="00A61BED"/>
    <w:rsid w:val="00A61EA1"/>
    <w:rsid w:val="00A624C8"/>
    <w:rsid w:val="00A6257D"/>
    <w:rsid w:val="00A64A89"/>
    <w:rsid w:val="00A64B77"/>
    <w:rsid w:val="00A65B6C"/>
    <w:rsid w:val="00A66D0C"/>
    <w:rsid w:val="00A66DCB"/>
    <w:rsid w:val="00A67A33"/>
    <w:rsid w:val="00A67C5F"/>
    <w:rsid w:val="00A67CD5"/>
    <w:rsid w:val="00A70002"/>
    <w:rsid w:val="00A71A0D"/>
    <w:rsid w:val="00A71B44"/>
    <w:rsid w:val="00A71EB9"/>
    <w:rsid w:val="00A72834"/>
    <w:rsid w:val="00A72A0A"/>
    <w:rsid w:val="00A72B9F"/>
    <w:rsid w:val="00A731F5"/>
    <w:rsid w:val="00A7455F"/>
    <w:rsid w:val="00A74CC0"/>
    <w:rsid w:val="00A75702"/>
    <w:rsid w:val="00A7571A"/>
    <w:rsid w:val="00A75753"/>
    <w:rsid w:val="00A75AF5"/>
    <w:rsid w:val="00A761EA"/>
    <w:rsid w:val="00A766A0"/>
    <w:rsid w:val="00A7728A"/>
    <w:rsid w:val="00A77AF2"/>
    <w:rsid w:val="00A77DE3"/>
    <w:rsid w:val="00A77EE6"/>
    <w:rsid w:val="00A77F2E"/>
    <w:rsid w:val="00A80BE1"/>
    <w:rsid w:val="00A81802"/>
    <w:rsid w:val="00A83D03"/>
    <w:rsid w:val="00A84297"/>
    <w:rsid w:val="00A84520"/>
    <w:rsid w:val="00A84821"/>
    <w:rsid w:val="00A84B1C"/>
    <w:rsid w:val="00A84BA4"/>
    <w:rsid w:val="00A85406"/>
    <w:rsid w:val="00A855C4"/>
    <w:rsid w:val="00A85B00"/>
    <w:rsid w:val="00A85D14"/>
    <w:rsid w:val="00A86210"/>
    <w:rsid w:val="00A8622E"/>
    <w:rsid w:val="00A86CD4"/>
    <w:rsid w:val="00A86D11"/>
    <w:rsid w:val="00A873F5"/>
    <w:rsid w:val="00A87A58"/>
    <w:rsid w:val="00A87B01"/>
    <w:rsid w:val="00A904D0"/>
    <w:rsid w:val="00A90723"/>
    <w:rsid w:val="00A911A8"/>
    <w:rsid w:val="00A91300"/>
    <w:rsid w:val="00A92370"/>
    <w:rsid w:val="00A924CE"/>
    <w:rsid w:val="00A92D62"/>
    <w:rsid w:val="00A92FD7"/>
    <w:rsid w:val="00A9395E"/>
    <w:rsid w:val="00A93B7A"/>
    <w:rsid w:val="00A93BBF"/>
    <w:rsid w:val="00A94A2F"/>
    <w:rsid w:val="00A95FBD"/>
    <w:rsid w:val="00A96373"/>
    <w:rsid w:val="00A964B5"/>
    <w:rsid w:val="00A96DCA"/>
    <w:rsid w:val="00A9703A"/>
    <w:rsid w:val="00A97BE5"/>
    <w:rsid w:val="00AA0150"/>
    <w:rsid w:val="00AA124B"/>
    <w:rsid w:val="00AA1540"/>
    <w:rsid w:val="00AA1CE1"/>
    <w:rsid w:val="00AA1EF5"/>
    <w:rsid w:val="00AA244C"/>
    <w:rsid w:val="00AA25A3"/>
    <w:rsid w:val="00AA27C9"/>
    <w:rsid w:val="00AA388D"/>
    <w:rsid w:val="00AA3F97"/>
    <w:rsid w:val="00AA4135"/>
    <w:rsid w:val="00AA4A5E"/>
    <w:rsid w:val="00AA55B1"/>
    <w:rsid w:val="00AA7845"/>
    <w:rsid w:val="00AA7F8F"/>
    <w:rsid w:val="00AB032A"/>
    <w:rsid w:val="00AB0442"/>
    <w:rsid w:val="00AB04CD"/>
    <w:rsid w:val="00AB1E5D"/>
    <w:rsid w:val="00AB21C2"/>
    <w:rsid w:val="00AB2502"/>
    <w:rsid w:val="00AB25EE"/>
    <w:rsid w:val="00AB2688"/>
    <w:rsid w:val="00AB2A66"/>
    <w:rsid w:val="00AB2AA1"/>
    <w:rsid w:val="00AB2C67"/>
    <w:rsid w:val="00AB2DDA"/>
    <w:rsid w:val="00AB32A1"/>
    <w:rsid w:val="00AB34DE"/>
    <w:rsid w:val="00AB3EBA"/>
    <w:rsid w:val="00AB4020"/>
    <w:rsid w:val="00AB43C8"/>
    <w:rsid w:val="00AB4830"/>
    <w:rsid w:val="00AB4B1C"/>
    <w:rsid w:val="00AB4CDA"/>
    <w:rsid w:val="00AB4EBD"/>
    <w:rsid w:val="00AB5B80"/>
    <w:rsid w:val="00AB624F"/>
    <w:rsid w:val="00AB6488"/>
    <w:rsid w:val="00AB699D"/>
    <w:rsid w:val="00AB6B00"/>
    <w:rsid w:val="00AB6B7B"/>
    <w:rsid w:val="00AB6DFD"/>
    <w:rsid w:val="00AB6FE4"/>
    <w:rsid w:val="00AB7239"/>
    <w:rsid w:val="00AB79AB"/>
    <w:rsid w:val="00AB7C0F"/>
    <w:rsid w:val="00AC08B5"/>
    <w:rsid w:val="00AC0E4F"/>
    <w:rsid w:val="00AC10C2"/>
    <w:rsid w:val="00AC1C9B"/>
    <w:rsid w:val="00AC1E1B"/>
    <w:rsid w:val="00AC20ED"/>
    <w:rsid w:val="00AC2179"/>
    <w:rsid w:val="00AC2527"/>
    <w:rsid w:val="00AC25AB"/>
    <w:rsid w:val="00AC3655"/>
    <w:rsid w:val="00AC3D23"/>
    <w:rsid w:val="00AC3D4D"/>
    <w:rsid w:val="00AC476F"/>
    <w:rsid w:val="00AC4E3C"/>
    <w:rsid w:val="00AC512F"/>
    <w:rsid w:val="00AC5966"/>
    <w:rsid w:val="00AC5B65"/>
    <w:rsid w:val="00AC5D03"/>
    <w:rsid w:val="00AC618D"/>
    <w:rsid w:val="00AC6A3F"/>
    <w:rsid w:val="00AC7645"/>
    <w:rsid w:val="00AC79A7"/>
    <w:rsid w:val="00AD006D"/>
    <w:rsid w:val="00AD010A"/>
    <w:rsid w:val="00AD0217"/>
    <w:rsid w:val="00AD0627"/>
    <w:rsid w:val="00AD09A2"/>
    <w:rsid w:val="00AD2623"/>
    <w:rsid w:val="00AD2842"/>
    <w:rsid w:val="00AD2A0E"/>
    <w:rsid w:val="00AD2B45"/>
    <w:rsid w:val="00AD2EE9"/>
    <w:rsid w:val="00AD33B3"/>
    <w:rsid w:val="00AD471B"/>
    <w:rsid w:val="00AD538B"/>
    <w:rsid w:val="00AD6011"/>
    <w:rsid w:val="00AD6396"/>
    <w:rsid w:val="00AD64C0"/>
    <w:rsid w:val="00AD6870"/>
    <w:rsid w:val="00AD6A19"/>
    <w:rsid w:val="00AD6A27"/>
    <w:rsid w:val="00AD7021"/>
    <w:rsid w:val="00AD7068"/>
    <w:rsid w:val="00AD7D72"/>
    <w:rsid w:val="00AD7EEE"/>
    <w:rsid w:val="00AD7F2A"/>
    <w:rsid w:val="00AE0350"/>
    <w:rsid w:val="00AE0376"/>
    <w:rsid w:val="00AE05E7"/>
    <w:rsid w:val="00AE07EE"/>
    <w:rsid w:val="00AE177D"/>
    <w:rsid w:val="00AE187B"/>
    <w:rsid w:val="00AE1B3E"/>
    <w:rsid w:val="00AE1FFC"/>
    <w:rsid w:val="00AE24CD"/>
    <w:rsid w:val="00AE289D"/>
    <w:rsid w:val="00AE329A"/>
    <w:rsid w:val="00AE3462"/>
    <w:rsid w:val="00AE49E1"/>
    <w:rsid w:val="00AE51B1"/>
    <w:rsid w:val="00AE5BB9"/>
    <w:rsid w:val="00AE636C"/>
    <w:rsid w:val="00AE6725"/>
    <w:rsid w:val="00AE77BC"/>
    <w:rsid w:val="00AF0675"/>
    <w:rsid w:val="00AF0982"/>
    <w:rsid w:val="00AF09C5"/>
    <w:rsid w:val="00AF1759"/>
    <w:rsid w:val="00AF213F"/>
    <w:rsid w:val="00AF296E"/>
    <w:rsid w:val="00AF2C3A"/>
    <w:rsid w:val="00AF316C"/>
    <w:rsid w:val="00AF3191"/>
    <w:rsid w:val="00AF360E"/>
    <w:rsid w:val="00AF3BC9"/>
    <w:rsid w:val="00AF45A2"/>
    <w:rsid w:val="00AF4938"/>
    <w:rsid w:val="00AF4D80"/>
    <w:rsid w:val="00AF5527"/>
    <w:rsid w:val="00AF6025"/>
    <w:rsid w:val="00AF62C7"/>
    <w:rsid w:val="00AF65B9"/>
    <w:rsid w:val="00AF67EF"/>
    <w:rsid w:val="00AF72D8"/>
    <w:rsid w:val="00B0070F"/>
    <w:rsid w:val="00B00B0B"/>
    <w:rsid w:val="00B01548"/>
    <w:rsid w:val="00B01802"/>
    <w:rsid w:val="00B01DBC"/>
    <w:rsid w:val="00B02495"/>
    <w:rsid w:val="00B02E5D"/>
    <w:rsid w:val="00B03086"/>
    <w:rsid w:val="00B0478B"/>
    <w:rsid w:val="00B047BB"/>
    <w:rsid w:val="00B06121"/>
    <w:rsid w:val="00B06907"/>
    <w:rsid w:val="00B06C21"/>
    <w:rsid w:val="00B07362"/>
    <w:rsid w:val="00B074AA"/>
    <w:rsid w:val="00B0754A"/>
    <w:rsid w:val="00B078F3"/>
    <w:rsid w:val="00B101C1"/>
    <w:rsid w:val="00B10876"/>
    <w:rsid w:val="00B10AF0"/>
    <w:rsid w:val="00B10E2D"/>
    <w:rsid w:val="00B11E72"/>
    <w:rsid w:val="00B12EEB"/>
    <w:rsid w:val="00B133CA"/>
    <w:rsid w:val="00B13704"/>
    <w:rsid w:val="00B1383C"/>
    <w:rsid w:val="00B138FE"/>
    <w:rsid w:val="00B13901"/>
    <w:rsid w:val="00B13DB4"/>
    <w:rsid w:val="00B13DED"/>
    <w:rsid w:val="00B14D8C"/>
    <w:rsid w:val="00B150F1"/>
    <w:rsid w:val="00B15436"/>
    <w:rsid w:val="00B15A55"/>
    <w:rsid w:val="00B16342"/>
    <w:rsid w:val="00B16FA0"/>
    <w:rsid w:val="00B170FD"/>
    <w:rsid w:val="00B177A8"/>
    <w:rsid w:val="00B178F4"/>
    <w:rsid w:val="00B17900"/>
    <w:rsid w:val="00B17FD1"/>
    <w:rsid w:val="00B2011F"/>
    <w:rsid w:val="00B20293"/>
    <w:rsid w:val="00B20F27"/>
    <w:rsid w:val="00B20FE3"/>
    <w:rsid w:val="00B21188"/>
    <w:rsid w:val="00B21846"/>
    <w:rsid w:val="00B221B3"/>
    <w:rsid w:val="00B223FF"/>
    <w:rsid w:val="00B22C41"/>
    <w:rsid w:val="00B23AD9"/>
    <w:rsid w:val="00B23B46"/>
    <w:rsid w:val="00B23EC3"/>
    <w:rsid w:val="00B2425D"/>
    <w:rsid w:val="00B24491"/>
    <w:rsid w:val="00B249A4"/>
    <w:rsid w:val="00B24ECA"/>
    <w:rsid w:val="00B254B6"/>
    <w:rsid w:val="00B26081"/>
    <w:rsid w:val="00B261CD"/>
    <w:rsid w:val="00B26A6A"/>
    <w:rsid w:val="00B26AD7"/>
    <w:rsid w:val="00B27BF7"/>
    <w:rsid w:val="00B27E8D"/>
    <w:rsid w:val="00B27F82"/>
    <w:rsid w:val="00B30103"/>
    <w:rsid w:val="00B301D8"/>
    <w:rsid w:val="00B30429"/>
    <w:rsid w:val="00B309C0"/>
    <w:rsid w:val="00B311A6"/>
    <w:rsid w:val="00B311C6"/>
    <w:rsid w:val="00B31B5F"/>
    <w:rsid w:val="00B31BDE"/>
    <w:rsid w:val="00B31F7C"/>
    <w:rsid w:val="00B31FD5"/>
    <w:rsid w:val="00B32166"/>
    <w:rsid w:val="00B3245B"/>
    <w:rsid w:val="00B32A60"/>
    <w:rsid w:val="00B32AE3"/>
    <w:rsid w:val="00B32BD3"/>
    <w:rsid w:val="00B32F8F"/>
    <w:rsid w:val="00B33055"/>
    <w:rsid w:val="00B33078"/>
    <w:rsid w:val="00B33978"/>
    <w:rsid w:val="00B33ED5"/>
    <w:rsid w:val="00B3401F"/>
    <w:rsid w:val="00B34115"/>
    <w:rsid w:val="00B34398"/>
    <w:rsid w:val="00B34508"/>
    <w:rsid w:val="00B34C4A"/>
    <w:rsid w:val="00B35468"/>
    <w:rsid w:val="00B35830"/>
    <w:rsid w:val="00B35888"/>
    <w:rsid w:val="00B35FA0"/>
    <w:rsid w:val="00B36549"/>
    <w:rsid w:val="00B36618"/>
    <w:rsid w:val="00B366C5"/>
    <w:rsid w:val="00B367FD"/>
    <w:rsid w:val="00B36BC2"/>
    <w:rsid w:val="00B36E60"/>
    <w:rsid w:val="00B37361"/>
    <w:rsid w:val="00B37457"/>
    <w:rsid w:val="00B37BBD"/>
    <w:rsid w:val="00B37DAF"/>
    <w:rsid w:val="00B37DBF"/>
    <w:rsid w:val="00B37E95"/>
    <w:rsid w:val="00B406E9"/>
    <w:rsid w:val="00B41386"/>
    <w:rsid w:val="00B4143E"/>
    <w:rsid w:val="00B415D7"/>
    <w:rsid w:val="00B41F40"/>
    <w:rsid w:val="00B427B3"/>
    <w:rsid w:val="00B42BCB"/>
    <w:rsid w:val="00B42E00"/>
    <w:rsid w:val="00B435B8"/>
    <w:rsid w:val="00B43A7D"/>
    <w:rsid w:val="00B43B58"/>
    <w:rsid w:val="00B44561"/>
    <w:rsid w:val="00B446AA"/>
    <w:rsid w:val="00B4510A"/>
    <w:rsid w:val="00B45131"/>
    <w:rsid w:val="00B459E3"/>
    <w:rsid w:val="00B45F9E"/>
    <w:rsid w:val="00B475E6"/>
    <w:rsid w:val="00B47B23"/>
    <w:rsid w:val="00B5028B"/>
    <w:rsid w:val="00B50552"/>
    <w:rsid w:val="00B50F31"/>
    <w:rsid w:val="00B5135F"/>
    <w:rsid w:val="00B51511"/>
    <w:rsid w:val="00B516EA"/>
    <w:rsid w:val="00B520D2"/>
    <w:rsid w:val="00B5221C"/>
    <w:rsid w:val="00B53D37"/>
    <w:rsid w:val="00B53F0C"/>
    <w:rsid w:val="00B541B2"/>
    <w:rsid w:val="00B544B7"/>
    <w:rsid w:val="00B546DD"/>
    <w:rsid w:val="00B54A62"/>
    <w:rsid w:val="00B54BB5"/>
    <w:rsid w:val="00B54F40"/>
    <w:rsid w:val="00B55493"/>
    <w:rsid w:val="00B55FA3"/>
    <w:rsid w:val="00B56865"/>
    <w:rsid w:val="00B568B1"/>
    <w:rsid w:val="00B56B6A"/>
    <w:rsid w:val="00B56E4B"/>
    <w:rsid w:val="00B600DA"/>
    <w:rsid w:val="00B60212"/>
    <w:rsid w:val="00B60E8A"/>
    <w:rsid w:val="00B61F29"/>
    <w:rsid w:val="00B62C74"/>
    <w:rsid w:val="00B635D5"/>
    <w:rsid w:val="00B63796"/>
    <w:rsid w:val="00B6381D"/>
    <w:rsid w:val="00B63A3C"/>
    <w:rsid w:val="00B63B68"/>
    <w:rsid w:val="00B64585"/>
    <w:rsid w:val="00B64B7C"/>
    <w:rsid w:val="00B64BBD"/>
    <w:rsid w:val="00B65050"/>
    <w:rsid w:val="00B658F1"/>
    <w:rsid w:val="00B6644B"/>
    <w:rsid w:val="00B66546"/>
    <w:rsid w:val="00B66A32"/>
    <w:rsid w:val="00B66C40"/>
    <w:rsid w:val="00B67BA4"/>
    <w:rsid w:val="00B67FFD"/>
    <w:rsid w:val="00B70877"/>
    <w:rsid w:val="00B70F34"/>
    <w:rsid w:val="00B71023"/>
    <w:rsid w:val="00B72152"/>
    <w:rsid w:val="00B72655"/>
    <w:rsid w:val="00B72664"/>
    <w:rsid w:val="00B728B5"/>
    <w:rsid w:val="00B72951"/>
    <w:rsid w:val="00B72A32"/>
    <w:rsid w:val="00B72E94"/>
    <w:rsid w:val="00B72EB6"/>
    <w:rsid w:val="00B732F2"/>
    <w:rsid w:val="00B73FA8"/>
    <w:rsid w:val="00B73FD2"/>
    <w:rsid w:val="00B741E9"/>
    <w:rsid w:val="00B74613"/>
    <w:rsid w:val="00B74BC4"/>
    <w:rsid w:val="00B74F7C"/>
    <w:rsid w:val="00B75221"/>
    <w:rsid w:val="00B752E2"/>
    <w:rsid w:val="00B75545"/>
    <w:rsid w:val="00B75F49"/>
    <w:rsid w:val="00B761AA"/>
    <w:rsid w:val="00B76277"/>
    <w:rsid w:val="00B76745"/>
    <w:rsid w:val="00B76D60"/>
    <w:rsid w:val="00B7719A"/>
    <w:rsid w:val="00B775AD"/>
    <w:rsid w:val="00B77D6A"/>
    <w:rsid w:val="00B80127"/>
    <w:rsid w:val="00B80F3F"/>
    <w:rsid w:val="00B81546"/>
    <w:rsid w:val="00B8156A"/>
    <w:rsid w:val="00B815CD"/>
    <w:rsid w:val="00B8230D"/>
    <w:rsid w:val="00B82322"/>
    <w:rsid w:val="00B82BE3"/>
    <w:rsid w:val="00B8300C"/>
    <w:rsid w:val="00B83556"/>
    <w:rsid w:val="00B835B9"/>
    <w:rsid w:val="00B83ADC"/>
    <w:rsid w:val="00B843F4"/>
    <w:rsid w:val="00B8472A"/>
    <w:rsid w:val="00B849D7"/>
    <w:rsid w:val="00B84E1C"/>
    <w:rsid w:val="00B8536E"/>
    <w:rsid w:val="00B8571B"/>
    <w:rsid w:val="00B86326"/>
    <w:rsid w:val="00B868E7"/>
    <w:rsid w:val="00B86CCA"/>
    <w:rsid w:val="00B86F44"/>
    <w:rsid w:val="00B87470"/>
    <w:rsid w:val="00B87582"/>
    <w:rsid w:val="00B87663"/>
    <w:rsid w:val="00B87A38"/>
    <w:rsid w:val="00B9022E"/>
    <w:rsid w:val="00B902A2"/>
    <w:rsid w:val="00B9053D"/>
    <w:rsid w:val="00B9069D"/>
    <w:rsid w:val="00B90A81"/>
    <w:rsid w:val="00B90D06"/>
    <w:rsid w:val="00B91349"/>
    <w:rsid w:val="00B91487"/>
    <w:rsid w:val="00B9157E"/>
    <w:rsid w:val="00B91A9F"/>
    <w:rsid w:val="00B91CE2"/>
    <w:rsid w:val="00B930BE"/>
    <w:rsid w:val="00B936DD"/>
    <w:rsid w:val="00B9386A"/>
    <w:rsid w:val="00B93CD8"/>
    <w:rsid w:val="00B9417D"/>
    <w:rsid w:val="00B941F7"/>
    <w:rsid w:val="00B94279"/>
    <w:rsid w:val="00B9428A"/>
    <w:rsid w:val="00B944AC"/>
    <w:rsid w:val="00B95154"/>
    <w:rsid w:val="00B97184"/>
    <w:rsid w:val="00B977D2"/>
    <w:rsid w:val="00B97DC5"/>
    <w:rsid w:val="00BA0BC8"/>
    <w:rsid w:val="00BA0EB3"/>
    <w:rsid w:val="00BA29FD"/>
    <w:rsid w:val="00BA2BFD"/>
    <w:rsid w:val="00BA2F87"/>
    <w:rsid w:val="00BA3155"/>
    <w:rsid w:val="00BA3690"/>
    <w:rsid w:val="00BA3A45"/>
    <w:rsid w:val="00BA3E38"/>
    <w:rsid w:val="00BA4559"/>
    <w:rsid w:val="00BA46C2"/>
    <w:rsid w:val="00BA4C6B"/>
    <w:rsid w:val="00BA4EFB"/>
    <w:rsid w:val="00BA6582"/>
    <w:rsid w:val="00BA6E62"/>
    <w:rsid w:val="00BA6F82"/>
    <w:rsid w:val="00BA7332"/>
    <w:rsid w:val="00BA73EA"/>
    <w:rsid w:val="00BA7862"/>
    <w:rsid w:val="00BA7D33"/>
    <w:rsid w:val="00BB0C97"/>
    <w:rsid w:val="00BB1DF8"/>
    <w:rsid w:val="00BB2012"/>
    <w:rsid w:val="00BB2DE5"/>
    <w:rsid w:val="00BB3275"/>
    <w:rsid w:val="00BB34F2"/>
    <w:rsid w:val="00BB3A67"/>
    <w:rsid w:val="00BB3BE8"/>
    <w:rsid w:val="00BB436B"/>
    <w:rsid w:val="00BB451F"/>
    <w:rsid w:val="00BB4986"/>
    <w:rsid w:val="00BB55F0"/>
    <w:rsid w:val="00BB5D8A"/>
    <w:rsid w:val="00BB6796"/>
    <w:rsid w:val="00BB6F97"/>
    <w:rsid w:val="00BB7063"/>
    <w:rsid w:val="00BB70A1"/>
    <w:rsid w:val="00BB74AF"/>
    <w:rsid w:val="00BC0466"/>
    <w:rsid w:val="00BC048E"/>
    <w:rsid w:val="00BC18EB"/>
    <w:rsid w:val="00BC1C85"/>
    <w:rsid w:val="00BC1DEE"/>
    <w:rsid w:val="00BC1F73"/>
    <w:rsid w:val="00BC248D"/>
    <w:rsid w:val="00BC2592"/>
    <w:rsid w:val="00BC2A2F"/>
    <w:rsid w:val="00BC2B7A"/>
    <w:rsid w:val="00BC2BAA"/>
    <w:rsid w:val="00BC3332"/>
    <w:rsid w:val="00BC3598"/>
    <w:rsid w:val="00BC3DF4"/>
    <w:rsid w:val="00BC3E02"/>
    <w:rsid w:val="00BC4A7A"/>
    <w:rsid w:val="00BC51D9"/>
    <w:rsid w:val="00BC5299"/>
    <w:rsid w:val="00BC52DE"/>
    <w:rsid w:val="00BC53DB"/>
    <w:rsid w:val="00BC5FF2"/>
    <w:rsid w:val="00BC602F"/>
    <w:rsid w:val="00BC6BB0"/>
    <w:rsid w:val="00BC6E4F"/>
    <w:rsid w:val="00BC74B1"/>
    <w:rsid w:val="00BC7605"/>
    <w:rsid w:val="00BD0366"/>
    <w:rsid w:val="00BD05CF"/>
    <w:rsid w:val="00BD0A1B"/>
    <w:rsid w:val="00BD0CE2"/>
    <w:rsid w:val="00BD0DD4"/>
    <w:rsid w:val="00BD16FB"/>
    <w:rsid w:val="00BD1D0B"/>
    <w:rsid w:val="00BD213E"/>
    <w:rsid w:val="00BD2860"/>
    <w:rsid w:val="00BD2917"/>
    <w:rsid w:val="00BD2B69"/>
    <w:rsid w:val="00BD2BD6"/>
    <w:rsid w:val="00BD2D45"/>
    <w:rsid w:val="00BD3159"/>
    <w:rsid w:val="00BD3186"/>
    <w:rsid w:val="00BD3CA3"/>
    <w:rsid w:val="00BD3DA0"/>
    <w:rsid w:val="00BD3DF7"/>
    <w:rsid w:val="00BD418F"/>
    <w:rsid w:val="00BD452B"/>
    <w:rsid w:val="00BD45FA"/>
    <w:rsid w:val="00BD4E5B"/>
    <w:rsid w:val="00BD4F56"/>
    <w:rsid w:val="00BD5039"/>
    <w:rsid w:val="00BD57A4"/>
    <w:rsid w:val="00BD6094"/>
    <w:rsid w:val="00BD652A"/>
    <w:rsid w:val="00BD66EA"/>
    <w:rsid w:val="00BD71DE"/>
    <w:rsid w:val="00BD743E"/>
    <w:rsid w:val="00BD79AB"/>
    <w:rsid w:val="00BE050A"/>
    <w:rsid w:val="00BE0A34"/>
    <w:rsid w:val="00BE1184"/>
    <w:rsid w:val="00BE13BA"/>
    <w:rsid w:val="00BE14A2"/>
    <w:rsid w:val="00BE19F0"/>
    <w:rsid w:val="00BE1C0A"/>
    <w:rsid w:val="00BE3554"/>
    <w:rsid w:val="00BE3A53"/>
    <w:rsid w:val="00BE52DC"/>
    <w:rsid w:val="00BE5639"/>
    <w:rsid w:val="00BE5D80"/>
    <w:rsid w:val="00BE6112"/>
    <w:rsid w:val="00BE619A"/>
    <w:rsid w:val="00BE6D13"/>
    <w:rsid w:val="00BE70AE"/>
    <w:rsid w:val="00BE7863"/>
    <w:rsid w:val="00BF0104"/>
    <w:rsid w:val="00BF03B2"/>
    <w:rsid w:val="00BF0592"/>
    <w:rsid w:val="00BF0DD5"/>
    <w:rsid w:val="00BF1384"/>
    <w:rsid w:val="00BF1E20"/>
    <w:rsid w:val="00BF1EEF"/>
    <w:rsid w:val="00BF2DA7"/>
    <w:rsid w:val="00BF31CE"/>
    <w:rsid w:val="00BF326D"/>
    <w:rsid w:val="00BF331B"/>
    <w:rsid w:val="00BF36B5"/>
    <w:rsid w:val="00BF4DA1"/>
    <w:rsid w:val="00BF4F3C"/>
    <w:rsid w:val="00BF5026"/>
    <w:rsid w:val="00BF5C3A"/>
    <w:rsid w:val="00BF5E43"/>
    <w:rsid w:val="00BF63EF"/>
    <w:rsid w:val="00BF68C1"/>
    <w:rsid w:val="00BF707C"/>
    <w:rsid w:val="00BF77A8"/>
    <w:rsid w:val="00BF7A7C"/>
    <w:rsid w:val="00C00535"/>
    <w:rsid w:val="00C00C5D"/>
    <w:rsid w:val="00C01737"/>
    <w:rsid w:val="00C01C2C"/>
    <w:rsid w:val="00C01F06"/>
    <w:rsid w:val="00C01FF0"/>
    <w:rsid w:val="00C02068"/>
    <w:rsid w:val="00C02614"/>
    <w:rsid w:val="00C02BAE"/>
    <w:rsid w:val="00C0378D"/>
    <w:rsid w:val="00C03D4C"/>
    <w:rsid w:val="00C03E9B"/>
    <w:rsid w:val="00C046AB"/>
    <w:rsid w:val="00C048A1"/>
    <w:rsid w:val="00C051C1"/>
    <w:rsid w:val="00C05E09"/>
    <w:rsid w:val="00C0713D"/>
    <w:rsid w:val="00C074DA"/>
    <w:rsid w:val="00C10971"/>
    <w:rsid w:val="00C10EB6"/>
    <w:rsid w:val="00C117B4"/>
    <w:rsid w:val="00C11934"/>
    <w:rsid w:val="00C11B6C"/>
    <w:rsid w:val="00C11D5E"/>
    <w:rsid w:val="00C11D8B"/>
    <w:rsid w:val="00C1200B"/>
    <w:rsid w:val="00C12135"/>
    <w:rsid w:val="00C12349"/>
    <w:rsid w:val="00C12786"/>
    <w:rsid w:val="00C127BC"/>
    <w:rsid w:val="00C12AD9"/>
    <w:rsid w:val="00C13215"/>
    <w:rsid w:val="00C13269"/>
    <w:rsid w:val="00C1385C"/>
    <w:rsid w:val="00C13F8A"/>
    <w:rsid w:val="00C140EE"/>
    <w:rsid w:val="00C1487E"/>
    <w:rsid w:val="00C149DA"/>
    <w:rsid w:val="00C15190"/>
    <w:rsid w:val="00C15521"/>
    <w:rsid w:val="00C15BBD"/>
    <w:rsid w:val="00C161A3"/>
    <w:rsid w:val="00C167A3"/>
    <w:rsid w:val="00C169AE"/>
    <w:rsid w:val="00C16B81"/>
    <w:rsid w:val="00C16C95"/>
    <w:rsid w:val="00C16FC4"/>
    <w:rsid w:val="00C1711A"/>
    <w:rsid w:val="00C211D9"/>
    <w:rsid w:val="00C218BF"/>
    <w:rsid w:val="00C2196B"/>
    <w:rsid w:val="00C21C7B"/>
    <w:rsid w:val="00C21E0F"/>
    <w:rsid w:val="00C222CA"/>
    <w:rsid w:val="00C22707"/>
    <w:rsid w:val="00C229F6"/>
    <w:rsid w:val="00C23837"/>
    <w:rsid w:val="00C23CAF"/>
    <w:rsid w:val="00C23EB4"/>
    <w:rsid w:val="00C23F40"/>
    <w:rsid w:val="00C246F9"/>
    <w:rsid w:val="00C252E0"/>
    <w:rsid w:val="00C257AF"/>
    <w:rsid w:val="00C25A40"/>
    <w:rsid w:val="00C25BB1"/>
    <w:rsid w:val="00C26112"/>
    <w:rsid w:val="00C264F5"/>
    <w:rsid w:val="00C27116"/>
    <w:rsid w:val="00C27F52"/>
    <w:rsid w:val="00C307F6"/>
    <w:rsid w:val="00C309D7"/>
    <w:rsid w:val="00C309E4"/>
    <w:rsid w:val="00C30B8C"/>
    <w:rsid w:val="00C31191"/>
    <w:rsid w:val="00C31480"/>
    <w:rsid w:val="00C31807"/>
    <w:rsid w:val="00C3283E"/>
    <w:rsid w:val="00C32F4B"/>
    <w:rsid w:val="00C33158"/>
    <w:rsid w:val="00C339A5"/>
    <w:rsid w:val="00C34055"/>
    <w:rsid w:val="00C3511B"/>
    <w:rsid w:val="00C35611"/>
    <w:rsid w:val="00C3562C"/>
    <w:rsid w:val="00C3580A"/>
    <w:rsid w:val="00C36526"/>
    <w:rsid w:val="00C36603"/>
    <w:rsid w:val="00C36678"/>
    <w:rsid w:val="00C36739"/>
    <w:rsid w:val="00C3681B"/>
    <w:rsid w:val="00C36F2F"/>
    <w:rsid w:val="00C36F86"/>
    <w:rsid w:val="00C36FC9"/>
    <w:rsid w:val="00C3711A"/>
    <w:rsid w:val="00C37BD9"/>
    <w:rsid w:val="00C37C89"/>
    <w:rsid w:val="00C37E0A"/>
    <w:rsid w:val="00C37F2E"/>
    <w:rsid w:val="00C4024C"/>
    <w:rsid w:val="00C40C1A"/>
    <w:rsid w:val="00C40D99"/>
    <w:rsid w:val="00C40E58"/>
    <w:rsid w:val="00C41DC4"/>
    <w:rsid w:val="00C42C55"/>
    <w:rsid w:val="00C42EA4"/>
    <w:rsid w:val="00C4310F"/>
    <w:rsid w:val="00C431E8"/>
    <w:rsid w:val="00C43EF8"/>
    <w:rsid w:val="00C44838"/>
    <w:rsid w:val="00C450B6"/>
    <w:rsid w:val="00C450C8"/>
    <w:rsid w:val="00C453A6"/>
    <w:rsid w:val="00C45893"/>
    <w:rsid w:val="00C46187"/>
    <w:rsid w:val="00C464D0"/>
    <w:rsid w:val="00C465DD"/>
    <w:rsid w:val="00C46793"/>
    <w:rsid w:val="00C46B02"/>
    <w:rsid w:val="00C47ECA"/>
    <w:rsid w:val="00C50100"/>
    <w:rsid w:val="00C502F3"/>
    <w:rsid w:val="00C50965"/>
    <w:rsid w:val="00C51DE0"/>
    <w:rsid w:val="00C5203D"/>
    <w:rsid w:val="00C5248A"/>
    <w:rsid w:val="00C532B1"/>
    <w:rsid w:val="00C538ED"/>
    <w:rsid w:val="00C544DF"/>
    <w:rsid w:val="00C55EC9"/>
    <w:rsid w:val="00C563F4"/>
    <w:rsid w:val="00C5670C"/>
    <w:rsid w:val="00C56AA5"/>
    <w:rsid w:val="00C571CB"/>
    <w:rsid w:val="00C573C2"/>
    <w:rsid w:val="00C5793C"/>
    <w:rsid w:val="00C57D72"/>
    <w:rsid w:val="00C60C17"/>
    <w:rsid w:val="00C61114"/>
    <w:rsid w:val="00C612E5"/>
    <w:rsid w:val="00C6149E"/>
    <w:rsid w:val="00C62054"/>
    <w:rsid w:val="00C62485"/>
    <w:rsid w:val="00C626BC"/>
    <w:rsid w:val="00C629C1"/>
    <w:rsid w:val="00C62AFF"/>
    <w:rsid w:val="00C62B97"/>
    <w:rsid w:val="00C62CA4"/>
    <w:rsid w:val="00C6365D"/>
    <w:rsid w:val="00C64457"/>
    <w:rsid w:val="00C644BB"/>
    <w:rsid w:val="00C645C0"/>
    <w:rsid w:val="00C6496B"/>
    <w:rsid w:val="00C649F1"/>
    <w:rsid w:val="00C64C08"/>
    <w:rsid w:val="00C64F0E"/>
    <w:rsid w:val="00C65525"/>
    <w:rsid w:val="00C655C1"/>
    <w:rsid w:val="00C65EBF"/>
    <w:rsid w:val="00C66266"/>
    <w:rsid w:val="00C6682A"/>
    <w:rsid w:val="00C67039"/>
    <w:rsid w:val="00C67B0B"/>
    <w:rsid w:val="00C70215"/>
    <w:rsid w:val="00C70663"/>
    <w:rsid w:val="00C70B69"/>
    <w:rsid w:val="00C7149B"/>
    <w:rsid w:val="00C71652"/>
    <w:rsid w:val="00C71BAC"/>
    <w:rsid w:val="00C71D4C"/>
    <w:rsid w:val="00C71E35"/>
    <w:rsid w:val="00C7213C"/>
    <w:rsid w:val="00C7215F"/>
    <w:rsid w:val="00C721E8"/>
    <w:rsid w:val="00C72498"/>
    <w:rsid w:val="00C72922"/>
    <w:rsid w:val="00C7312A"/>
    <w:rsid w:val="00C7455C"/>
    <w:rsid w:val="00C7470A"/>
    <w:rsid w:val="00C74D3A"/>
    <w:rsid w:val="00C75086"/>
    <w:rsid w:val="00C75177"/>
    <w:rsid w:val="00C75379"/>
    <w:rsid w:val="00C7562E"/>
    <w:rsid w:val="00C75B52"/>
    <w:rsid w:val="00C75F23"/>
    <w:rsid w:val="00C764F4"/>
    <w:rsid w:val="00C765D9"/>
    <w:rsid w:val="00C76D2E"/>
    <w:rsid w:val="00C7712D"/>
    <w:rsid w:val="00C772F6"/>
    <w:rsid w:val="00C775EA"/>
    <w:rsid w:val="00C77746"/>
    <w:rsid w:val="00C801B7"/>
    <w:rsid w:val="00C8039B"/>
    <w:rsid w:val="00C80754"/>
    <w:rsid w:val="00C80A58"/>
    <w:rsid w:val="00C80CBC"/>
    <w:rsid w:val="00C813F4"/>
    <w:rsid w:val="00C81B33"/>
    <w:rsid w:val="00C8291D"/>
    <w:rsid w:val="00C82A22"/>
    <w:rsid w:val="00C83321"/>
    <w:rsid w:val="00C83555"/>
    <w:rsid w:val="00C83A00"/>
    <w:rsid w:val="00C84054"/>
    <w:rsid w:val="00C841CF"/>
    <w:rsid w:val="00C8462D"/>
    <w:rsid w:val="00C84CD6"/>
    <w:rsid w:val="00C8518D"/>
    <w:rsid w:val="00C853BC"/>
    <w:rsid w:val="00C85CAC"/>
    <w:rsid w:val="00C86400"/>
    <w:rsid w:val="00C8659F"/>
    <w:rsid w:val="00C86A50"/>
    <w:rsid w:val="00C86C1D"/>
    <w:rsid w:val="00C8734A"/>
    <w:rsid w:val="00C87365"/>
    <w:rsid w:val="00C87589"/>
    <w:rsid w:val="00C87645"/>
    <w:rsid w:val="00C87880"/>
    <w:rsid w:val="00C90111"/>
    <w:rsid w:val="00C90703"/>
    <w:rsid w:val="00C91088"/>
    <w:rsid w:val="00C912C5"/>
    <w:rsid w:val="00C920C6"/>
    <w:rsid w:val="00C92662"/>
    <w:rsid w:val="00C928D1"/>
    <w:rsid w:val="00C92EE1"/>
    <w:rsid w:val="00C93964"/>
    <w:rsid w:val="00C93A82"/>
    <w:rsid w:val="00C93CA2"/>
    <w:rsid w:val="00C94034"/>
    <w:rsid w:val="00C94646"/>
    <w:rsid w:val="00C94824"/>
    <w:rsid w:val="00C95362"/>
    <w:rsid w:val="00C95C86"/>
    <w:rsid w:val="00C95F90"/>
    <w:rsid w:val="00C96D53"/>
    <w:rsid w:val="00C97245"/>
    <w:rsid w:val="00C9758F"/>
    <w:rsid w:val="00CA0546"/>
    <w:rsid w:val="00CA0DE0"/>
    <w:rsid w:val="00CA101A"/>
    <w:rsid w:val="00CA1093"/>
    <w:rsid w:val="00CA1BC6"/>
    <w:rsid w:val="00CA1F07"/>
    <w:rsid w:val="00CA2175"/>
    <w:rsid w:val="00CA23D6"/>
    <w:rsid w:val="00CA2459"/>
    <w:rsid w:val="00CA260D"/>
    <w:rsid w:val="00CA2C62"/>
    <w:rsid w:val="00CA307A"/>
    <w:rsid w:val="00CA361E"/>
    <w:rsid w:val="00CA39C6"/>
    <w:rsid w:val="00CA51DA"/>
    <w:rsid w:val="00CA5C29"/>
    <w:rsid w:val="00CA5E7C"/>
    <w:rsid w:val="00CA635F"/>
    <w:rsid w:val="00CA65B0"/>
    <w:rsid w:val="00CA7D16"/>
    <w:rsid w:val="00CB0553"/>
    <w:rsid w:val="00CB07A8"/>
    <w:rsid w:val="00CB08A0"/>
    <w:rsid w:val="00CB0C7E"/>
    <w:rsid w:val="00CB1022"/>
    <w:rsid w:val="00CB1166"/>
    <w:rsid w:val="00CB256D"/>
    <w:rsid w:val="00CB36CE"/>
    <w:rsid w:val="00CB3762"/>
    <w:rsid w:val="00CB3C22"/>
    <w:rsid w:val="00CB5A80"/>
    <w:rsid w:val="00CB5C72"/>
    <w:rsid w:val="00CB6118"/>
    <w:rsid w:val="00CB64CE"/>
    <w:rsid w:val="00CB65C7"/>
    <w:rsid w:val="00CB6B17"/>
    <w:rsid w:val="00CB77E4"/>
    <w:rsid w:val="00CB7E1C"/>
    <w:rsid w:val="00CB7F86"/>
    <w:rsid w:val="00CC0564"/>
    <w:rsid w:val="00CC0BF5"/>
    <w:rsid w:val="00CC1520"/>
    <w:rsid w:val="00CC1760"/>
    <w:rsid w:val="00CC1773"/>
    <w:rsid w:val="00CC2298"/>
    <w:rsid w:val="00CC262E"/>
    <w:rsid w:val="00CC2664"/>
    <w:rsid w:val="00CC2817"/>
    <w:rsid w:val="00CC39A2"/>
    <w:rsid w:val="00CC4532"/>
    <w:rsid w:val="00CC4968"/>
    <w:rsid w:val="00CC514B"/>
    <w:rsid w:val="00CC561D"/>
    <w:rsid w:val="00CC56FA"/>
    <w:rsid w:val="00CC5CAD"/>
    <w:rsid w:val="00CC64FB"/>
    <w:rsid w:val="00CC723E"/>
    <w:rsid w:val="00CC7760"/>
    <w:rsid w:val="00CC7D43"/>
    <w:rsid w:val="00CC7D82"/>
    <w:rsid w:val="00CD04AA"/>
    <w:rsid w:val="00CD089A"/>
    <w:rsid w:val="00CD0B69"/>
    <w:rsid w:val="00CD1751"/>
    <w:rsid w:val="00CD22A3"/>
    <w:rsid w:val="00CD2CF5"/>
    <w:rsid w:val="00CD36F6"/>
    <w:rsid w:val="00CD3999"/>
    <w:rsid w:val="00CD3AE9"/>
    <w:rsid w:val="00CD3C10"/>
    <w:rsid w:val="00CD3F51"/>
    <w:rsid w:val="00CD4186"/>
    <w:rsid w:val="00CD49DA"/>
    <w:rsid w:val="00CD56D7"/>
    <w:rsid w:val="00CD56E3"/>
    <w:rsid w:val="00CD5712"/>
    <w:rsid w:val="00CD5827"/>
    <w:rsid w:val="00CD5C95"/>
    <w:rsid w:val="00CD6E0B"/>
    <w:rsid w:val="00CD6F0A"/>
    <w:rsid w:val="00CD6FB8"/>
    <w:rsid w:val="00CD7365"/>
    <w:rsid w:val="00CD7368"/>
    <w:rsid w:val="00CD7977"/>
    <w:rsid w:val="00CD7BB5"/>
    <w:rsid w:val="00CD7D75"/>
    <w:rsid w:val="00CE00CB"/>
    <w:rsid w:val="00CE0766"/>
    <w:rsid w:val="00CE1176"/>
    <w:rsid w:val="00CE202E"/>
    <w:rsid w:val="00CE2BFB"/>
    <w:rsid w:val="00CE2CC6"/>
    <w:rsid w:val="00CE2F97"/>
    <w:rsid w:val="00CE31E1"/>
    <w:rsid w:val="00CE339A"/>
    <w:rsid w:val="00CE35E0"/>
    <w:rsid w:val="00CE37EE"/>
    <w:rsid w:val="00CE39E6"/>
    <w:rsid w:val="00CE3E4D"/>
    <w:rsid w:val="00CE4083"/>
    <w:rsid w:val="00CE45C8"/>
    <w:rsid w:val="00CE4889"/>
    <w:rsid w:val="00CE51D6"/>
    <w:rsid w:val="00CE5C21"/>
    <w:rsid w:val="00CE60A9"/>
    <w:rsid w:val="00CE6989"/>
    <w:rsid w:val="00CE6CA1"/>
    <w:rsid w:val="00CE6CA9"/>
    <w:rsid w:val="00CE6D22"/>
    <w:rsid w:val="00CE6DBC"/>
    <w:rsid w:val="00CE72E7"/>
    <w:rsid w:val="00CE7A43"/>
    <w:rsid w:val="00CF03ED"/>
    <w:rsid w:val="00CF04C2"/>
    <w:rsid w:val="00CF1807"/>
    <w:rsid w:val="00CF1971"/>
    <w:rsid w:val="00CF1CC9"/>
    <w:rsid w:val="00CF20C2"/>
    <w:rsid w:val="00CF20EB"/>
    <w:rsid w:val="00CF29DA"/>
    <w:rsid w:val="00CF4168"/>
    <w:rsid w:val="00CF4237"/>
    <w:rsid w:val="00CF4C67"/>
    <w:rsid w:val="00CF50AD"/>
    <w:rsid w:val="00CF5130"/>
    <w:rsid w:val="00CF513D"/>
    <w:rsid w:val="00CF51F6"/>
    <w:rsid w:val="00CF5244"/>
    <w:rsid w:val="00CF5365"/>
    <w:rsid w:val="00CF5B67"/>
    <w:rsid w:val="00CF6184"/>
    <w:rsid w:val="00CF623A"/>
    <w:rsid w:val="00CF63F9"/>
    <w:rsid w:val="00CF650A"/>
    <w:rsid w:val="00CF6DA2"/>
    <w:rsid w:val="00CF6EEA"/>
    <w:rsid w:val="00CF703D"/>
    <w:rsid w:val="00CF76CF"/>
    <w:rsid w:val="00CF7FF1"/>
    <w:rsid w:val="00D01137"/>
    <w:rsid w:val="00D01311"/>
    <w:rsid w:val="00D019C4"/>
    <w:rsid w:val="00D01E9C"/>
    <w:rsid w:val="00D024A7"/>
    <w:rsid w:val="00D0276C"/>
    <w:rsid w:val="00D0290B"/>
    <w:rsid w:val="00D02916"/>
    <w:rsid w:val="00D02957"/>
    <w:rsid w:val="00D037C8"/>
    <w:rsid w:val="00D03DBC"/>
    <w:rsid w:val="00D04039"/>
    <w:rsid w:val="00D040F8"/>
    <w:rsid w:val="00D04186"/>
    <w:rsid w:val="00D04B6F"/>
    <w:rsid w:val="00D04E36"/>
    <w:rsid w:val="00D0513D"/>
    <w:rsid w:val="00D055A5"/>
    <w:rsid w:val="00D057C2"/>
    <w:rsid w:val="00D05BBD"/>
    <w:rsid w:val="00D05CE5"/>
    <w:rsid w:val="00D0622C"/>
    <w:rsid w:val="00D06265"/>
    <w:rsid w:val="00D06A68"/>
    <w:rsid w:val="00D06DA3"/>
    <w:rsid w:val="00D106F2"/>
    <w:rsid w:val="00D108C9"/>
    <w:rsid w:val="00D10F68"/>
    <w:rsid w:val="00D1156D"/>
    <w:rsid w:val="00D1163B"/>
    <w:rsid w:val="00D121EA"/>
    <w:rsid w:val="00D1236D"/>
    <w:rsid w:val="00D127EC"/>
    <w:rsid w:val="00D128C3"/>
    <w:rsid w:val="00D12D20"/>
    <w:rsid w:val="00D13066"/>
    <w:rsid w:val="00D133A0"/>
    <w:rsid w:val="00D138E3"/>
    <w:rsid w:val="00D14135"/>
    <w:rsid w:val="00D14B81"/>
    <w:rsid w:val="00D14DE8"/>
    <w:rsid w:val="00D16730"/>
    <w:rsid w:val="00D17B25"/>
    <w:rsid w:val="00D206CA"/>
    <w:rsid w:val="00D218FB"/>
    <w:rsid w:val="00D21F0C"/>
    <w:rsid w:val="00D23189"/>
    <w:rsid w:val="00D231DE"/>
    <w:rsid w:val="00D234F7"/>
    <w:rsid w:val="00D238BF"/>
    <w:rsid w:val="00D24E81"/>
    <w:rsid w:val="00D24FF0"/>
    <w:rsid w:val="00D254B4"/>
    <w:rsid w:val="00D25670"/>
    <w:rsid w:val="00D25799"/>
    <w:rsid w:val="00D25D29"/>
    <w:rsid w:val="00D26273"/>
    <w:rsid w:val="00D26395"/>
    <w:rsid w:val="00D265C9"/>
    <w:rsid w:val="00D2692E"/>
    <w:rsid w:val="00D26941"/>
    <w:rsid w:val="00D27424"/>
    <w:rsid w:val="00D27800"/>
    <w:rsid w:val="00D304FE"/>
    <w:rsid w:val="00D317FE"/>
    <w:rsid w:val="00D31A99"/>
    <w:rsid w:val="00D321B0"/>
    <w:rsid w:val="00D32302"/>
    <w:rsid w:val="00D32570"/>
    <w:rsid w:val="00D3271C"/>
    <w:rsid w:val="00D32C8C"/>
    <w:rsid w:val="00D32F64"/>
    <w:rsid w:val="00D331DF"/>
    <w:rsid w:val="00D337C2"/>
    <w:rsid w:val="00D3478A"/>
    <w:rsid w:val="00D35362"/>
    <w:rsid w:val="00D3543B"/>
    <w:rsid w:val="00D355A4"/>
    <w:rsid w:val="00D369C4"/>
    <w:rsid w:val="00D3703F"/>
    <w:rsid w:val="00D372E7"/>
    <w:rsid w:val="00D407EA"/>
    <w:rsid w:val="00D4123F"/>
    <w:rsid w:val="00D41A41"/>
    <w:rsid w:val="00D41A8B"/>
    <w:rsid w:val="00D421E8"/>
    <w:rsid w:val="00D42C46"/>
    <w:rsid w:val="00D42D92"/>
    <w:rsid w:val="00D430A9"/>
    <w:rsid w:val="00D439E1"/>
    <w:rsid w:val="00D43E88"/>
    <w:rsid w:val="00D44661"/>
    <w:rsid w:val="00D44E84"/>
    <w:rsid w:val="00D451E5"/>
    <w:rsid w:val="00D462B1"/>
    <w:rsid w:val="00D465D0"/>
    <w:rsid w:val="00D50251"/>
    <w:rsid w:val="00D50618"/>
    <w:rsid w:val="00D52045"/>
    <w:rsid w:val="00D5235C"/>
    <w:rsid w:val="00D530A3"/>
    <w:rsid w:val="00D535EA"/>
    <w:rsid w:val="00D5373C"/>
    <w:rsid w:val="00D53C1C"/>
    <w:rsid w:val="00D53F7E"/>
    <w:rsid w:val="00D541DC"/>
    <w:rsid w:val="00D54489"/>
    <w:rsid w:val="00D54610"/>
    <w:rsid w:val="00D548A3"/>
    <w:rsid w:val="00D5493A"/>
    <w:rsid w:val="00D55520"/>
    <w:rsid w:val="00D5598D"/>
    <w:rsid w:val="00D57575"/>
    <w:rsid w:val="00D6073A"/>
    <w:rsid w:val="00D60C3C"/>
    <w:rsid w:val="00D616F5"/>
    <w:rsid w:val="00D61DBD"/>
    <w:rsid w:val="00D628DE"/>
    <w:rsid w:val="00D63216"/>
    <w:rsid w:val="00D63515"/>
    <w:rsid w:val="00D635E3"/>
    <w:rsid w:val="00D637FA"/>
    <w:rsid w:val="00D638FF"/>
    <w:rsid w:val="00D63A3D"/>
    <w:rsid w:val="00D6437F"/>
    <w:rsid w:val="00D64C50"/>
    <w:rsid w:val="00D64E85"/>
    <w:rsid w:val="00D658E1"/>
    <w:rsid w:val="00D65D09"/>
    <w:rsid w:val="00D6676F"/>
    <w:rsid w:val="00D6698A"/>
    <w:rsid w:val="00D669F9"/>
    <w:rsid w:val="00D67213"/>
    <w:rsid w:val="00D67765"/>
    <w:rsid w:val="00D67A7C"/>
    <w:rsid w:val="00D70833"/>
    <w:rsid w:val="00D7102E"/>
    <w:rsid w:val="00D7166A"/>
    <w:rsid w:val="00D716D3"/>
    <w:rsid w:val="00D71C3E"/>
    <w:rsid w:val="00D72409"/>
    <w:rsid w:val="00D7304C"/>
    <w:rsid w:val="00D73FBF"/>
    <w:rsid w:val="00D7483C"/>
    <w:rsid w:val="00D7492F"/>
    <w:rsid w:val="00D757DF"/>
    <w:rsid w:val="00D75CC9"/>
    <w:rsid w:val="00D7663A"/>
    <w:rsid w:val="00D76E74"/>
    <w:rsid w:val="00D77CAC"/>
    <w:rsid w:val="00D80158"/>
    <w:rsid w:val="00D80874"/>
    <w:rsid w:val="00D81202"/>
    <w:rsid w:val="00D8140E"/>
    <w:rsid w:val="00D81542"/>
    <w:rsid w:val="00D81F53"/>
    <w:rsid w:val="00D82143"/>
    <w:rsid w:val="00D82600"/>
    <w:rsid w:val="00D8266C"/>
    <w:rsid w:val="00D82B04"/>
    <w:rsid w:val="00D83B2A"/>
    <w:rsid w:val="00D83C6C"/>
    <w:rsid w:val="00D8417D"/>
    <w:rsid w:val="00D84295"/>
    <w:rsid w:val="00D84648"/>
    <w:rsid w:val="00D84BF9"/>
    <w:rsid w:val="00D84CF9"/>
    <w:rsid w:val="00D85074"/>
    <w:rsid w:val="00D851D6"/>
    <w:rsid w:val="00D853E3"/>
    <w:rsid w:val="00D855AB"/>
    <w:rsid w:val="00D85D42"/>
    <w:rsid w:val="00D8642F"/>
    <w:rsid w:val="00D86DDF"/>
    <w:rsid w:val="00D86E4B"/>
    <w:rsid w:val="00D86FF8"/>
    <w:rsid w:val="00D87070"/>
    <w:rsid w:val="00D8729E"/>
    <w:rsid w:val="00D903B9"/>
    <w:rsid w:val="00D90A8A"/>
    <w:rsid w:val="00D90DD6"/>
    <w:rsid w:val="00D90DE5"/>
    <w:rsid w:val="00D922A3"/>
    <w:rsid w:val="00D922EE"/>
    <w:rsid w:val="00D924F6"/>
    <w:rsid w:val="00D92573"/>
    <w:rsid w:val="00D92ACF"/>
    <w:rsid w:val="00D92E2E"/>
    <w:rsid w:val="00D92F4E"/>
    <w:rsid w:val="00D93D4B"/>
    <w:rsid w:val="00D93EBD"/>
    <w:rsid w:val="00D940D0"/>
    <w:rsid w:val="00D94468"/>
    <w:rsid w:val="00D944B8"/>
    <w:rsid w:val="00D949F0"/>
    <w:rsid w:val="00D9507B"/>
    <w:rsid w:val="00D950C6"/>
    <w:rsid w:val="00D95A07"/>
    <w:rsid w:val="00D95A3D"/>
    <w:rsid w:val="00D95C08"/>
    <w:rsid w:val="00D96D11"/>
    <w:rsid w:val="00D96FEB"/>
    <w:rsid w:val="00D97C56"/>
    <w:rsid w:val="00DA12C0"/>
    <w:rsid w:val="00DA14A9"/>
    <w:rsid w:val="00DA14C4"/>
    <w:rsid w:val="00DA15CF"/>
    <w:rsid w:val="00DA183A"/>
    <w:rsid w:val="00DA2068"/>
    <w:rsid w:val="00DA21E1"/>
    <w:rsid w:val="00DA22AD"/>
    <w:rsid w:val="00DA249F"/>
    <w:rsid w:val="00DA2711"/>
    <w:rsid w:val="00DA3080"/>
    <w:rsid w:val="00DA437F"/>
    <w:rsid w:val="00DA4955"/>
    <w:rsid w:val="00DA500E"/>
    <w:rsid w:val="00DA510F"/>
    <w:rsid w:val="00DA51D2"/>
    <w:rsid w:val="00DA56DF"/>
    <w:rsid w:val="00DA59BA"/>
    <w:rsid w:val="00DA60BA"/>
    <w:rsid w:val="00DA6239"/>
    <w:rsid w:val="00DA6332"/>
    <w:rsid w:val="00DA6BD2"/>
    <w:rsid w:val="00DA7273"/>
    <w:rsid w:val="00DA781E"/>
    <w:rsid w:val="00DA7F13"/>
    <w:rsid w:val="00DB0256"/>
    <w:rsid w:val="00DB033A"/>
    <w:rsid w:val="00DB060F"/>
    <w:rsid w:val="00DB0715"/>
    <w:rsid w:val="00DB12BD"/>
    <w:rsid w:val="00DB1309"/>
    <w:rsid w:val="00DB1D0E"/>
    <w:rsid w:val="00DB249B"/>
    <w:rsid w:val="00DB30AA"/>
    <w:rsid w:val="00DB31A7"/>
    <w:rsid w:val="00DB3647"/>
    <w:rsid w:val="00DB3F99"/>
    <w:rsid w:val="00DB4817"/>
    <w:rsid w:val="00DB489B"/>
    <w:rsid w:val="00DB4BC0"/>
    <w:rsid w:val="00DB4DB6"/>
    <w:rsid w:val="00DB4FFC"/>
    <w:rsid w:val="00DB5A5A"/>
    <w:rsid w:val="00DB6F24"/>
    <w:rsid w:val="00DB7050"/>
    <w:rsid w:val="00DB7B47"/>
    <w:rsid w:val="00DB7BA6"/>
    <w:rsid w:val="00DB7C55"/>
    <w:rsid w:val="00DB7F61"/>
    <w:rsid w:val="00DC26E2"/>
    <w:rsid w:val="00DC26F5"/>
    <w:rsid w:val="00DC2D84"/>
    <w:rsid w:val="00DC30F7"/>
    <w:rsid w:val="00DC3713"/>
    <w:rsid w:val="00DC46ED"/>
    <w:rsid w:val="00DC492B"/>
    <w:rsid w:val="00DC5409"/>
    <w:rsid w:val="00DC5FB9"/>
    <w:rsid w:val="00DC60A2"/>
    <w:rsid w:val="00DC69CC"/>
    <w:rsid w:val="00DC6BA8"/>
    <w:rsid w:val="00DC7C24"/>
    <w:rsid w:val="00DD0167"/>
    <w:rsid w:val="00DD0260"/>
    <w:rsid w:val="00DD0705"/>
    <w:rsid w:val="00DD181D"/>
    <w:rsid w:val="00DD1891"/>
    <w:rsid w:val="00DD1C1E"/>
    <w:rsid w:val="00DD1F40"/>
    <w:rsid w:val="00DD244F"/>
    <w:rsid w:val="00DD2898"/>
    <w:rsid w:val="00DD2905"/>
    <w:rsid w:val="00DD2A70"/>
    <w:rsid w:val="00DD2D73"/>
    <w:rsid w:val="00DD32FE"/>
    <w:rsid w:val="00DD3517"/>
    <w:rsid w:val="00DD36B6"/>
    <w:rsid w:val="00DD496F"/>
    <w:rsid w:val="00DD4A54"/>
    <w:rsid w:val="00DD50FA"/>
    <w:rsid w:val="00DD523E"/>
    <w:rsid w:val="00DD54B5"/>
    <w:rsid w:val="00DD559E"/>
    <w:rsid w:val="00DD574A"/>
    <w:rsid w:val="00DD57CC"/>
    <w:rsid w:val="00DD5E53"/>
    <w:rsid w:val="00DD603C"/>
    <w:rsid w:val="00DD6787"/>
    <w:rsid w:val="00DD698D"/>
    <w:rsid w:val="00DD6F1B"/>
    <w:rsid w:val="00DD74FD"/>
    <w:rsid w:val="00DD76BF"/>
    <w:rsid w:val="00DE058C"/>
    <w:rsid w:val="00DE0831"/>
    <w:rsid w:val="00DE0A6F"/>
    <w:rsid w:val="00DE0AA9"/>
    <w:rsid w:val="00DE11B4"/>
    <w:rsid w:val="00DE1B2B"/>
    <w:rsid w:val="00DE332E"/>
    <w:rsid w:val="00DE37EC"/>
    <w:rsid w:val="00DE429B"/>
    <w:rsid w:val="00DE463E"/>
    <w:rsid w:val="00DE4915"/>
    <w:rsid w:val="00DE4A58"/>
    <w:rsid w:val="00DE4A92"/>
    <w:rsid w:val="00DE4DF2"/>
    <w:rsid w:val="00DE532E"/>
    <w:rsid w:val="00DE5A51"/>
    <w:rsid w:val="00DE6018"/>
    <w:rsid w:val="00DE65BC"/>
    <w:rsid w:val="00DE6E07"/>
    <w:rsid w:val="00DE73F4"/>
    <w:rsid w:val="00DE789E"/>
    <w:rsid w:val="00DF05B0"/>
    <w:rsid w:val="00DF071C"/>
    <w:rsid w:val="00DF0933"/>
    <w:rsid w:val="00DF0ACC"/>
    <w:rsid w:val="00DF0E7A"/>
    <w:rsid w:val="00DF1362"/>
    <w:rsid w:val="00DF14F4"/>
    <w:rsid w:val="00DF1643"/>
    <w:rsid w:val="00DF256B"/>
    <w:rsid w:val="00DF290B"/>
    <w:rsid w:val="00DF2BF2"/>
    <w:rsid w:val="00DF30DC"/>
    <w:rsid w:val="00DF31DC"/>
    <w:rsid w:val="00DF36A1"/>
    <w:rsid w:val="00DF419F"/>
    <w:rsid w:val="00DF437C"/>
    <w:rsid w:val="00DF4668"/>
    <w:rsid w:val="00DF49B5"/>
    <w:rsid w:val="00DF4B93"/>
    <w:rsid w:val="00DF5E57"/>
    <w:rsid w:val="00DF6207"/>
    <w:rsid w:val="00DF66DC"/>
    <w:rsid w:val="00DF6703"/>
    <w:rsid w:val="00DF6E13"/>
    <w:rsid w:val="00DF7256"/>
    <w:rsid w:val="00DF72C7"/>
    <w:rsid w:val="00E0026B"/>
    <w:rsid w:val="00E00469"/>
    <w:rsid w:val="00E0057E"/>
    <w:rsid w:val="00E008EF"/>
    <w:rsid w:val="00E00A20"/>
    <w:rsid w:val="00E00DDD"/>
    <w:rsid w:val="00E01F6D"/>
    <w:rsid w:val="00E0278C"/>
    <w:rsid w:val="00E02908"/>
    <w:rsid w:val="00E02909"/>
    <w:rsid w:val="00E0296E"/>
    <w:rsid w:val="00E02F01"/>
    <w:rsid w:val="00E0359E"/>
    <w:rsid w:val="00E04260"/>
    <w:rsid w:val="00E04313"/>
    <w:rsid w:val="00E04BB5"/>
    <w:rsid w:val="00E04BCF"/>
    <w:rsid w:val="00E05144"/>
    <w:rsid w:val="00E0559C"/>
    <w:rsid w:val="00E05849"/>
    <w:rsid w:val="00E062A5"/>
    <w:rsid w:val="00E066D9"/>
    <w:rsid w:val="00E06B15"/>
    <w:rsid w:val="00E06BEB"/>
    <w:rsid w:val="00E06F1C"/>
    <w:rsid w:val="00E073FB"/>
    <w:rsid w:val="00E10408"/>
    <w:rsid w:val="00E10799"/>
    <w:rsid w:val="00E10A1A"/>
    <w:rsid w:val="00E1124C"/>
    <w:rsid w:val="00E11551"/>
    <w:rsid w:val="00E127F1"/>
    <w:rsid w:val="00E130E9"/>
    <w:rsid w:val="00E13923"/>
    <w:rsid w:val="00E14A39"/>
    <w:rsid w:val="00E14EA9"/>
    <w:rsid w:val="00E15373"/>
    <w:rsid w:val="00E15B02"/>
    <w:rsid w:val="00E15EC9"/>
    <w:rsid w:val="00E15FC9"/>
    <w:rsid w:val="00E166EC"/>
    <w:rsid w:val="00E1693D"/>
    <w:rsid w:val="00E16FB5"/>
    <w:rsid w:val="00E172F7"/>
    <w:rsid w:val="00E176EC"/>
    <w:rsid w:val="00E17896"/>
    <w:rsid w:val="00E17A1B"/>
    <w:rsid w:val="00E17CA2"/>
    <w:rsid w:val="00E211EF"/>
    <w:rsid w:val="00E21BB4"/>
    <w:rsid w:val="00E2203F"/>
    <w:rsid w:val="00E228E8"/>
    <w:rsid w:val="00E23A21"/>
    <w:rsid w:val="00E2450B"/>
    <w:rsid w:val="00E24780"/>
    <w:rsid w:val="00E24BC7"/>
    <w:rsid w:val="00E2526B"/>
    <w:rsid w:val="00E27365"/>
    <w:rsid w:val="00E2747D"/>
    <w:rsid w:val="00E27F12"/>
    <w:rsid w:val="00E300EC"/>
    <w:rsid w:val="00E3073C"/>
    <w:rsid w:val="00E31277"/>
    <w:rsid w:val="00E31484"/>
    <w:rsid w:val="00E31A0C"/>
    <w:rsid w:val="00E3223F"/>
    <w:rsid w:val="00E32B6F"/>
    <w:rsid w:val="00E33564"/>
    <w:rsid w:val="00E335DD"/>
    <w:rsid w:val="00E337FB"/>
    <w:rsid w:val="00E33CD1"/>
    <w:rsid w:val="00E34634"/>
    <w:rsid w:val="00E34861"/>
    <w:rsid w:val="00E349E6"/>
    <w:rsid w:val="00E34AA0"/>
    <w:rsid w:val="00E354EE"/>
    <w:rsid w:val="00E358A5"/>
    <w:rsid w:val="00E35EEC"/>
    <w:rsid w:val="00E3641E"/>
    <w:rsid w:val="00E3649D"/>
    <w:rsid w:val="00E36750"/>
    <w:rsid w:val="00E36808"/>
    <w:rsid w:val="00E36C4D"/>
    <w:rsid w:val="00E36D06"/>
    <w:rsid w:val="00E36FF8"/>
    <w:rsid w:val="00E37439"/>
    <w:rsid w:val="00E37E3C"/>
    <w:rsid w:val="00E40014"/>
    <w:rsid w:val="00E4041E"/>
    <w:rsid w:val="00E40505"/>
    <w:rsid w:val="00E40B2D"/>
    <w:rsid w:val="00E40D4C"/>
    <w:rsid w:val="00E41F0E"/>
    <w:rsid w:val="00E41F42"/>
    <w:rsid w:val="00E42066"/>
    <w:rsid w:val="00E426F6"/>
    <w:rsid w:val="00E429B6"/>
    <w:rsid w:val="00E42F14"/>
    <w:rsid w:val="00E43223"/>
    <w:rsid w:val="00E43558"/>
    <w:rsid w:val="00E43F98"/>
    <w:rsid w:val="00E44593"/>
    <w:rsid w:val="00E44AAC"/>
    <w:rsid w:val="00E4550D"/>
    <w:rsid w:val="00E465A0"/>
    <w:rsid w:val="00E46E9E"/>
    <w:rsid w:val="00E46E9F"/>
    <w:rsid w:val="00E46EFB"/>
    <w:rsid w:val="00E4780C"/>
    <w:rsid w:val="00E47925"/>
    <w:rsid w:val="00E47C50"/>
    <w:rsid w:val="00E50101"/>
    <w:rsid w:val="00E501F7"/>
    <w:rsid w:val="00E50E42"/>
    <w:rsid w:val="00E51EC0"/>
    <w:rsid w:val="00E52BDE"/>
    <w:rsid w:val="00E53792"/>
    <w:rsid w:val="00E53859"/>
    <w:rsid w:val="00E53A62"/>
    <w:rsid w:val="00E53D48"/>
    <w:rsid w:val="00E53DEA"/>
    <w:rsid w:val="00E5428F"/>
    <w:rsid w:val="00E54D69"/>
    <w:rsid w:val="00E54E54"/>
    <w:rsid w:val="00E54F4D"/>
    <w:rsid w:val="00E54F64"/>
    <w:rsid w:val="00E56621"/>
    <w:rsid w:val="00E56724"/>
    <w:rsid w:val="00E57719"/>
    <w:rsid w:val="00E57767"/>
    <w:rsid w:val="00E60085"/>
    <w:rsid w:val="00E601D7"/>
    <w:rsid w:val="00E60C7E"/>
    <w:rsid w:val="00E61F23"/>
    <w:rsid w:val="00E6233F"/>
    <w:rsid w:val="00E62C38"/>
    <w:rsid w:val="00E63035"/>
    <w:rsid w:val="00E63770"/>
    <w:rsid w:val="00E63E06"/>
    <w:rsid w:val="00E6480C"/>
    <w:rsid w:val="00E64834"/>
    <w:rsid w:val="00E64A5B"/>
    <w:rsid w:val="00E64D6A"/>
    <w:rsid w:val="00E650A6"/>
    <w:rsid w:val="00E65D9D"/>
    <w:rsid w:val="00E66BC2"/>
    <w:rsid w:val="00E66BF6"/>
    <w:rsid w:val="00E670C1"/>
    <w:rsid w:val="00E67203"/>
    <w:rsid w:val="00E672B4"/>
    <w:rsid w:val="00E674D6"/>
    <w:rsid w:val="00E67F73"/>
    <w:rsid w:val="00E7031E"/>
    <w:rsid w:val="00E706FF"/>
    <w:rsid w:val="00E70DA0"/>
    <w:rsid w:val="00E714FC"/>
    <w:rsid w:val="00E72096"/>
    <w:rsid w:val="00E722AE"/>
    <w:rsid w:val="00E72A74"/>
    <w:rsid w:val="00E72C6F"/>
    <w:rsid w:val="00E72F6D"/>
    <w:rsid w:val="00E7339B"/>
    <w:rsid w:val="00E73D03"/>
    <w:rsid w:val="00E73FFF"/>
    <w:rsid w:val="00E745A4"/>
    <w:rsid w:val="00E74BDD"/>
    <w:rsid w:val="00E7568A"/>
    <w:rsid w:val="00E75AA7"/>
    <w:rsid w:val="00E76CF8"/>
    <w:rsid w:val="00E772C5"/>
    <w:rsid w:val="00E77F2D"/>
    <w:rsid w:val="00E80032"/>
    <w:rsid w:val="00E80592"/>
    <w:rsid w:val="00E806AD"/>
    <w:rsid w:val="00E8110D"/>
    <w:rsid w:val="00E811C9"/>
    <w:rsid w:val="00E81704"/>
    <w:rsid w:val="00E819F1"/>
    <w:rsid w:val="00E81A3A"/>
    <w:rsid w:val="00E81A79"/>
    <w:rsid w:val="00E82240"/>
    <w:rsid w:val="00E83738"/>
    <w:rsid w:val="00E83A4A"/>
    <w:rsid w:val="00E83C74"/>
    <w:rsid w:val="00E83E07"/>
    <w:rsid w:val="00E84368"/>
    <w:rsid w:val="00E844D7"/>
    <w:rsid w:val="00E8451D"/>
    <w:rsid w:val="00E84CD4"/>
    <w:rsid w:val="00E85539"/>
    <w:rsid w:val="00E85540"/>
    <w:rsid w:val="00E864F4"/>
    <w:rsid w:val="00E867BB"/>
    <w:rsid w:val="00E86A94"/>
    <w:rsid w:val="00E871D0"/>
    <w:rsid w:val="00E8753B"/>
    <w:rsid w:val="00E9000B"/>
    <w:rsid w:val="00E900D6"/>
    <w:rsid w:val="00E909DA"/>
    <w:rsid w:val="00E90ECB"/>
    <w:rsid w:val="00E914E1"/>
    <w:rsid w:val="00E91608"/>
    <w:rsid w:val="00E9184F"/>
    <w:rsid w:val="00E918D6"/>
    <w:rsid w:val="00E91E8E"/>
    <w:rsid w:val="00E91FE4"/>
    <w:rsid w:val="00E92BDA"/>
    <w:rsid w:val="00E935B2"/>
    <w:rsid w:val="00E93E8B"/>
    <w:rsid w:val="00E93F01"/>
    <w:rsid w:val="00E946F4"/>
    <w:rsid w:val="00E960E2"/>
    <w:rsid w:val="00E96223"/>
    <w:rsid w:val="00E96E8A"/>
    <w:rsid w:val="00E96F9D"/>
    <w:rsid w:val="00EA00D3"/>
    <w:rsid w:val="00EA0A79"/>
    <w:rsid w:val="00EA0B5D"/>
    <w:rsid w:val="00EA0E3C"/>
    <w:rsid w:val="00EA13AB"/>
    <w:rsid w:val="00EA15A4"/>
    <w:rsid w:val="00EA1799"/>
    <w:rsid w:val="00EA1AEA"/>
    <w:rsid w:val="00EA25AB"/>
    <w:rsid w:val="00EA2653"/>
    <w:rsid w:val="00EA270E"/>
    <w:rsid w:val="00EA2F3E"/>
    <w:rsid w:val="00EA30EE"/>
    <w:rsid w:val="00EA4039"/>
    <w:rsid w:val="00EA410A"/>
    <w:rsid w:val="00EA4185"/>
    <w:rsid w:val="00EA47EA"/>
    <w:rsid w:val="00EA4800"/>
    <w:rsid w:val="00EA4A36"/>
    <w:rsid w:val="00EA5A0C"/>
    <w:rsid w:val="00EA6724"/>
    <w:rsid w:val="00EA6E41"/>
    <w:rsid w:val="00EA7305"/>
    <w:rsid w:val="00EA79AE"/>
    <w:rsid w:val="00EB051A"/>
    <w:rsid w:val="00EB0B2E"/>
    <w:rsid w:val="00EB20A8"/>
    <w:rsid w:val="00EB218E"/>
    <w:rsid w:val="00EB32E8"/>
    <w:rsid w:val="00EB3DC6"/>
    <w:rsid w:val="00EB3F1F"/>
    <w:rsid w:val="00EB402E"/>
    <w:rsid w:val="00EB4040"/>
    <w:rsid w:val="00EB5058"/>
    <w:rsid w:val="00EB5626"/>
    <w:rsid w:val="00EB5E0E"/>
    <w:rsid w:val="00EB5E96"/>
    <w:rsid w:val="00EB62B9"/>
    <w:rsid w:val="00EB6C83"/>
    <w:rsid w:val="00EB6D89"/>
    <w:rsid w:val="00EB7061"/>
    <w:rsid w:val="00EB72A3"/>
    <w:rsid w:val="00EB72A4"/>
    <w:rsid w:val="00EB7305"/>
    <w:rsid w:val="00EB739A"/>
    <w:rsid w:val="00EB73CC"/>
    <w:rsid w:val="00EB76FA"/>
    <w:rsid w:val="00EB7C7B"/>
    <w:rsid w:val="00EB7DE2"/>
    <w:rsid w:val="00EC082F"/>
    <w:rsid w:val="00EC10BA"/>
    <w:rsid w:val="00EC129B"/>
    <w:rsid w:val="00EC1570"/>
    <w:rsid w:val="00EC188A"/>
    <w:rsid w:val="00EC1CCB"/>
    <w:rsid w:val="00EC2376"/>
    <w:rsid w:val="00EC23B6"/>
    <w:rsid w:val="00EC28DA"/>
    <w:rsid w:val="00EC29C6"/>
    <w:rsid w:val="00EC2D2A"/>
    <w:rsid w:val="00EC3BD7"/>
    <w:rsid w:val="00EC3C50"/>
    <w:rsid w:val="00EC4A93"/>
    <w:rsid w:val="00EC586D"/>
    <w:rsid w:val="00EC5E29"/>
    <w:rsid w:val="00EC625D"/>
    <w:rsid w:val="00EC69DA"/>
    <w:rsid w:val="00EC6FC7"/>
    <w:rsid w:val="00EC73A8"/>
    <w:rsid w:val="00EC7AE5"/>
    <w:rsid w:val="00EC7B30"/>
    <w:rsid w:val="00EC7F0A"/>
    <w:rsid w:val="00ED00DB"/>
    <w:rsid w:val="00ED03A4"/>
    <w:rsid w:val="00ED0500"/>
    <w:rsid w:val="00ED0849"/>
    <w:rsid w:val="00ED0A22"/>
    <w:rsid w:val="00ED0BEE"/>
    <w:rsid w:val="00ED2128"/>
    <w:rsid w:val="00ED25C5"/>
    <w:rsid w:val="00ED278E"/>
    <w:rsid w:val="00ED39A4"/>
    <w:rsid w:val="00ED40EB"/>
    <w:rsid w:val="00ED434A"/>
    <w:rsid w:val="00ED4377"/>
    <w:rsid w:val="00ED4899"/>
    <w:rsid w:val="00ED4B7E"/>
    <w:rsid w:val="00ED4C97"/>
    <w:rsid w:val="00ED53C2"/>
    <w:rsid w:val="00ED5430"/>
    <w:rsid w:val="00ED57BC"/>
    <w:rsid w:val="00ED5A6C"/>
    <w:rsid w:val="00ED5BD3"/>
    <w:rsid w:val="00ED6160"/>
    <w:rsid w:val="00ED6308"/>
    <w:rsid w:val="00ED7174"/>
    <w:rsid w:val="00ED7464"/>
    <w:rsid w:val="00ED7F16"/>
    <w:rsid w:val="00EE01CA"/>
    <w:rsid w:val="00EE04D3"/>
    <w:rsid w:val="00EE0B2D"/>
    <w:rsid w:val="00EE0F7C"/>
    <w:rsid w:val="00EE1FDC"/>
    <w:rsid w:val="00EE2C5B"/>
    <w:rsid w:val="00EE2F1B"/>
    <w:rsid w:val="00EE2F82"/>
    <w:rsid w:val="00EE3D12"/>
    <w:rsid w:val="00EE4221"/>
    <w:rsid w:val="00EE5133"/>
    <w:rsid w:val="00EE58FA"/>
    <w:rsid w:val="00EE590A"/>
    <w:rsid w:val="00EE5B02"/>
    <w:rsid w:val="00EE5CB9"/>
    <w:rsid w:val="00EE664F"/>
    <w:rsid w:val="00EE6A2F"/>
    <w:rsid w:val="00EE6E82"/>
    <w:rsid w:val="00EE7FE3"/>
    <w:rsid w:val="00EF0DEC"/>
    <w:rsid w:val="00EF15A9"/>
    <w:rsid w:val="00EF1669"/>
    <w:rsid w:val="00EF17F6"/>
    <w:rsid w:val="00EF1911"/>
    <w:rsid w:val="00EF19F9"/>
    <w:rsid w:val="00EF1A66"/>
    <w:rsid w:val="00EF1C05"/>
    <w:rsid w:val="00EF1F83"/>
    <w:rsid w:val="00EF2431"/>
    <w:rsid w:val="00EF2662"/>
    <w:rsid w:val="00EF3012"/>
    <w:rsid w:val="00EF316A"/>
    <w:rsid w:val="00EF3858"/>
    <w:rsid w:val="00EF3D0F"/>
    <w:rsid w:val="00EF3EF5"/>
    <w:rsid w:val="00EF4044"/>
    <w:rsid w:val="00EF42D3"/>
    <w:rsid w:val="00EF42EA"/>
    <w:rsid w:val="00EF43CF"/>
    <w:rsid w:val="00EF47DA"/>
    <w:rsid w:val="00EF4AAB"/>
    <w:rsid w:val="00EF5C47"/>
    <w:rsid w:val="00EF5F6E"/>
    <w:rsid w:val="00EF6C11"/>
    <w:rsid w:val="00EF6D7B"/>
    <w:rsid w:val="00F00224"/>
    <w:rsid w:val="00F00981"/>
    <w:rsid w:val="00F014AC"/>
    <w:rsid w:val="00F020F3"/>
    <w:rsid w:val="00F02BBA"/>
    <w:rsid w:val="00F03058"/>
    <w:rsid w:val="00F03098"/>
    <w:rsid w:val="00F03660"/>
    <w:rsid w:val="00F03DEC"/>
    <w:rsid w:val="00F042C5"/>
    <w:rsid w:val="00F04302"/>
    <w:rsid w:val="00F04C45"/>
    <w:rsid w:val="00F04FF4"/>
    <w:rsid w:val="00F0557F"/>
    <w:rsid w:val="00F05A4C"/>
    <w:rsid w:val="00F05DBD"/>
    <w:rsid w:val="00F0620A"/>
    <w:rsid w:val="00F064AC"/>
    <w:rsid w:val="00F06508"/>
    <w:rsid w:val="00F06BA5"/>
    <w:rsid w:val="00F0725A"/>
    <w:rsid w:val="00F07B50"/>
    <w:rsid w:val="00F10174"/>
    <w:rsid w:val="00F102DB"/>
    <w:rsid w:val="00F108A3"/>
    <w:rsid w:val="00F115EE"/>
    <w:rsid w:val="00F11E17"/>
    <w:rsid w:val="00F1224B"/>
    <w:rsid w:val="00F12730"/>
    <w:rsid w:val="00F12E9B"/>
    <w:rsid w:val="00F13883"/>
    <w:rsid w:val="00F13B5E"/>
    <w:rsid w:val="00F14304"/>
    <w:rsid w:val="00F14835"/>
    <w:rsid w:val="00F157DF"/>
    <w:rsid w:val="00F1607E"/>
    <w:rsid w:val="00F160F3"/>
    <w:rsid w:val="00F17637"/>
    <w:rsid w:val="00F200B3"/>
    <w:rsid w:val="00F2028C"/>
    <w:rsid w:val="00F204FB"/>
    <w:rsid w:val="00F21949"/>
    <w:rsid w:val="00F21EC1"/>
    <w:rsid w:val="00F222EF"/>
    <w:rsid w:val="00F22446"/>
    <w:rsid w:val="00F236AE"/>
    <w:rsid w:val="00F23C88"/>
    <w:rsid w:val="00F24142"/>
    <w:rsid w:val="00F24ED7"/>
    <w:rsid w:val="00F257BB"/>
    <w:rsid w:val="00F25A24"/>
    <w:rsid w:val="00F25FED"/>
    <w:rsid w:val="00F26271"/>
    <w:rsid w:val="00F275C4"/>
    <w:rsid w:val="00F275E4"/>
    <w:rsid w:val="00F279DC"/>
    <w:rsid w:val="00F27D5D"/>
    <w:rsid w:val="00F304FC"/>
    <w:rsid w:val="00F30B48"/>
    <w:rsid w:val="00F31CA7"/>
    <w:rsid w:val="00F31D67"/>
    <w:rsid w:val="00F31EBD"/>
    <w:rsid w:val="00F325BF"/>
    <w:rsid w:val="00F32938"/>
    <w:rsid w:val="00F343D0"/>
    <w:rsid w:val="00F35206"/>
    <w:rsid w:val="00F3673E"/>
    <w:rsid w:val="00F368C1"/>
    <w:rsid w:val="00F36F66"/>
    <w:rsid w:val="00F3703B"/>
    <w:rsid w:val="00F37080"/>
    <w:rsid w:val="00F40018"/>
    <w:rsid w:val="00F40121"/>
    <w:rsid w:val="00F406A8"/>
    <w:rsid w:val="00F40DC6"/>
    <w:rsid w:val="00F4124A"/>
    <w:rsid w:val="00F414C8"/>
    <w:rsid w:val="00F41CBD"/>
    <w:rsid w:val="00F4204A"/>
    <w:rsid w:val="00F42333"/>
    <w:rsid w:val="00F42534"/>
    <w:rsid w:val="00F42B1B"/>
    <w:rsid w:val="00F43976"/>
    <w:rsid w:val="00F44147"/>
    <w:rsid w:val="00F44256"/>
    <w:rsid w:val="00F44634"/>
    <w:rsid w:val="00F44967"/>
    <w:rsid w:val="00F44A78"/>
    <w:rsid w:val="00F45355"/>
    <w:rsid w:val="00F454AA"/>
    <w:rsid w:val="00F455CE"/>
    <w:rsid w:val="00F45D47"/>
    <w:rsid w:val="00F45E72"/>
    <w:rsid w:val="00F470AF"/>
    <w:rsid w:val="00F47149"/>
    <w:rsid w:val="00F477C5"/>
    <w:rsid w:val="00F506A6"/>
    <w:rsid w:val="00F50853"/>
    <w:rsid w:val="00F50E39"/>
    <w:rsid w:val="00F51245"/>
    <w:rsid w:val="00F51355"/>
    <w:rsid w:val="00F515F3"/>
    <w:rsid w:val="00F51C77"/>
    <w:rsid w:val="00F51CB4"/>
    <w:rsid w:val="00F51D88"/>
    <w:rsid w:val="00F523E6"/>
    <w:rsid w:val="00F52937"/>
    <w:rsid w:val="00F53227"/>
    <w:rsid w:val="00F5384B"/>
    <w:rsid w:val="00F54149"/>
    <w:rsid w:val="00F555EC"/>
    <w:rsid w:val="00F559F9"/>
    <w:rsid w:val="00F5622E"/>
    <w:rsid w:val="00F56272"/>
    <w:rsid w:val="00F56764"/>
    <w:rsid w:val="00F572E3"/>
    <w:rsid w:val="00F5735A"/>
    <w:rsid w:val="00F573F7"/>
    <w:rsid w:val="00F600F1"/>
    <w:rsid w:val="00F60328"/>
    <w:rsid w:val="00F603DC"/>
    <w:rsid w:val="00F60B9C"/>
    <w:rsid w:val="00F60FDC"/>
    <w:rsid w:val="00F61127"/>
    <w:rsid w:val="00F613C8"/>
    <w:rsid w:val="00F61EE7"/>
    <w:rsid w:val="00F6215D"/>
    <w:rsid w:val="00F623C9"/>
    <w:rsid w:val="00F6273E"/>
    <w:rsid w:val="00F62E53"/>
    <w:rsid w:val="00F62E57"/>
    <w:rsid w:val="00F635DF"/>
    <w:rsid w:val="00F6425D"/>
    <w:rsid w:val="00F642D6"/>
    <w:rsid w:val="00F644D7"/>
    <w:rsid w:val="00F648DB"/>
    <w:rsid w:val="00F64B8C"/>
    <w:rsid w:val="00F64FCD"/>
    <w:rsid w:val="00F6583B"/>
    <w:rsid w:val="00F65949"/>
    <w:rsid w:val="00F66170"/>
    <w:rsid w:val="00F6634D"/>
    <w:rsid w:val="00F6671C"/>
    <w:rsid w:val="00F66855"/>
    <w:rsid w:val="00F67141"/>
    <w:rsid w:val="00F6716E"/>
    <w:rsid w:val="00F67A77"/>
    <w:rsid w:val="00F7008B"/>
    <w:rsid w:val="00F70843"/>
    <w:rsid w:val="00F70E6D"/>
    <w:rsid w:val="00F71627"/>
    <w:rsid w:val="00F718CD"/>
    <w:rsid w:val="00F71BFD"/>
    <w:rsid w:val="00F7212C"/>
    <w:rsid w:val="00F7228B"/>
    <w:rsid w:val="00F72558"/>
    <w:rsid w:val="00F74078"/>
    <w:rsid w:val="00F740A7"/>
    <w:rsid w:val="00F74116"/>
    <w:rsid w:val="00F74ACA"/>
    <w:rsid w:val="00F74DAC"/>
    <w:rsid w:val="00F750DC"/>
    <w:rsid w:val="00F752C5"/>
    <w:rsid w:val="00F7569E"/>
    <w:rsid w:val="00F75701"/>
    <w:rsid w:val="00F75825"/>
    <w:rsid w:val="00F75995"/>
    <w:rsid w:val="00F76B6D"/>
    <w:rsid w:val="00F76CE5"/>
    <w:rsid w:val="00F76E77"/>
    <w:rsid w:val="00F76EEE"/>
    <w:rsid w:val="00F773DF"/>
    <w:rsid w:val="00F777BA"/>
    <w:rsid w:val="00F778B4"/>
    <w:rsid w:val="00F77AB7"/>
    <w:rsid w:val="00F80514"/>
    <w:rsid w:val="00F80C4F"/>
    <w:rsid w:val="00F80DB8"/>
    <w:rsid w:val="00F810CF"/>
    <w:rsid w:val="00F811BC"/>
    <w:rsid w:val="00F8137F"/>
    <w:rsid w:val="00F81AA6"/>
    <w:rsid w:val="00F81C78"/>
    <w:rsid w:val="00F821CD"/>
    <w:rsid w:val="00F82B68"/>
    <w:rsid w:val="00F82C89"/>
    <w:rsid w:val="00F83B3A"/>
    <w:rsid w:val="00F842F3"/>
    <w:rsid w:val="00F852DE"/>
    <w:rsid w:val="00F85A0A"/>
    <w:rsid w:val="00F86224"/>
    <w:rsid w:val="00F8681D"/>
    <w:rsid w:val="00F8729B"/>
    <w:rsid w:val="00F873FC"/>
    <w:rsid w:val="00F877CC"/>
    <w:rsid w:val="00F87BBC"/>
    <w:rsid w:val="00F902EA"/>
    <w:rsid w:val="00F904D4"/>
    <w:rsid w:val="00F90F2B"/>
    <w:rsid w:val="00F919F9"/>
    <w:rsid w:val="00F92175"/>
    <w:rsid w:val="00F924C3"/>
    <w:rsid w:val="00F9320F"/>
    <w:rsid w:val="00F93264"/>
    <w:rsid w:val="00F93430"/>
    <w:rsid w:val="00F935F3"/>
    <w:rsid w:val="00F9471A"/>
    <w:rsid w:val="00F949AA"/>
    <w:rsid w:val="00F94C0E"/>
    <w:rsid w:val="00F95AB3"/>
    <w:rsid w:val="00F95C7D"/>
    <w:rsid w:val="00F95E3D"/>
    <w:rsid w:val="00F960F9"/>
    <w:rsid w:val="00F9622B"/>
    <w:rsid w:val="00F963B2"/>
    <w:rsid w:val="00F9680C"/>
    <w:rsid w:val="00F969C9"/>
    <w:rsid w:val="00F96B7D"/>
    <w:rsid w:val="00F96DE2"/>
    <w:rsid w:val="00FA064B"/>
    <w:rsid w:val="00FA0DAD"/>
    <w:rsid w:val="00FA14DE"/>
    <w:rsid w:val="00FA1CEF"/>
    <w:rsid w:val="00FA227B"/>
    <w:rsid w:val="00FA28DE"/>
    <w:rsid w:val="00FA3DA9"/>
    <w:rsid w:val="00FA3E4C"/>
    <w:rsid w:val="00FA4147"/>
    <w:rsid w:val="00FA4E66"/>
    <w:rsid w:val="00FA4F1F"/>
    <w:rsid w:val="00FA5510"/>
    <w:rsid w:val="00FA59BA"/>
    <w:rsid w:val="00FA59BB"/>
    <w:rsid w:val="00FA6403"/>
    <w:rsid w:val="00FA7149"/>
    <w:rsid w:val="00FA7B7C"/>
    <w:rsid w:val="00FA7D9E"/>
    <w:rsid w:val="00FA7E3C"/>
    <w:rsid w:val="00FB0114"/>
    <w:rsid w:val="00FB0141"/>
    <w:rsid w:val="00FB06AF"/>
    <w:rsid w:val="00FB0B27"/>
    <w:rsid w:val="00FB0B3B"/>
    <w:rsid w:val="00FB12BE"/>
    <w:rsid w:val="00FB1616"/>
    <w:rsid w:val="00FB1B93"/>
    <w:rsid w:val="00FB2668"/>
    <w:rsid w:val="00FB3292"/>
    <w:rsid w:val="00FB3389"/>
    <w:rsid w:val="00FB3DDC"/>
    <w:rsid w:val="00FB3E8C"/>
    <w:rsid w:val="00FB4414"/>
    <w:rsid w:val="00FB4C0C"/>
    <w:rsid w:val="00FB5BA4"/>
    <w:rsid w:val="00FB6568"/>
    <w:rsid w:val="00FB66A3"/>
    <w:rsid w:val="00FB6B86"/>
    <w:rsid w:val="00FB70CF"/>
    <w:rsid w:val="00FB71D8"/>
    <w:rsid w:val="00FB7506"/>
    <w:rsid w:val="00FB7CF2"/>
    <w:rsid w:val="00FB7CF4"/>
    <w:rsid w:val="00FC0CDB"/>
    <w:rsid w:val="00FC167A"/>
    <w:rsid w:val="00FC195C"/>
    <w:rsid w:val="00FC1C79"/>
    <w:rsid w:val="00FC2E13"/>
    <w:rsid w:val="00FC2F0D"/>
    <w:rsid w:val="00FC3927"/>
    <w:rsid w:val="00FC3ABE"/>
    <w:rsid w:val="00FC3E9F"/>
    <w:rsid w:val="00FC42D6"/>
    <w:rsid w:val="00FC4338"/>
    <w:rsid w:val="00FC4EA0"/>
    <w:rsid w:val="00FC4F76"/>
    <w:rsid w:val="00FC5889"/>
    <w:rsid w:val="00FC64B5"/>
    <w:rsid w:val="00FC660F"/>
    <w:rsid w:val="00FC7CAC"/>
    <w:rsid w:val="00FC7D1F"/>
    <w:rsid w:val="00FD00CD"/>
    <w:rsid w:val="00FD02E5"/>
    <w:rsid w:val="00FD03C0"/>
    <w:rsid w:val="00FD0428"/>
    <w:rsid w:val="00FD09AC"/>
    <w:rsid w:val="00FD165C"/>
    <w:rsid w:val="00FD1972"/>
    <w:rsid w:val="00FD272F"/>
    <w:rsid w:val="00FD2919"/>
    <w:rsid w:val="00FD32EF"/>
    <w:rsid w:val="00FD3610"/>
    <w:rsid w:val="00FD397A"/>
    <w:rsid w:val="00FD3E66"/>
    <w:rsid w:val="00FD4239"/>
    <w:rsid w:val="00FD4D4A"/>
    <w:rsid w:val="00FD568D"/>
    <w:rsid w:val="00FD56A3"/>
    <w:rsid w:val="00FD59E5"/>
    <w:rsid w:val="00FD5A83"/>
    <w:rsid w:val="00FD5BB1"/>
    <w:rsid w:val="00FD5C79"/>
    <w:rsid w:val="00FD66B2"/>
    <w:rsid w:val="00FD66F2"/>
    <w:rsid w:val="00FD7291"/>
    <w:rsid w:val="00FD72DA"/>
    <w:rsid w:val="00FD7333"/>
    <w:rsid w:val="00FD7B2C"/>
    <w:rsid w:val="00FE046E"/>
    <w:rsid w:val="00FE04A8"/>
    <w:rsid w:val="00FE0D70"/>
    <w:rsid w:val="00FE0F09"/>
    <w:rsid w:val="00FE15DD"/>
    <w:rsid w:val="00FE2E8D"/>
    <w:rsid w:val="00FE2FD6"/>
    <w:rsid w:val="00FE3049"/>
    <w:rsid w:val="00FE3B92"/>
    <w:rsid w:val="00FE3C83"/>
    <w:rsid w:val="00FE3CBA"/>
    <w:rsid w:val="00FE43A0"/>
    <w:rsid w:val="00FE4D0C"/>
    <w:rsid w:val="00FE4DEB"/>
    <w:rsid w:val="00FE52AC"/>
    <w:rsid w:val="00FE5CB8"/>
    <w:rsid w:val="00FE5D4D"/>
    <w:rsid w:val="00FE6013"/>
    <w:rsid w:val="00FE6635"/>
    <w:rsid w:val="00FE73A1"/>
    <w:rsid w:val="00FE7712"/>
    <w:rsid w:val="00FE77F2"/>
    <w:rsid w:val="00FF0057"/>
    <w:rsid w:val="00FF062B"/>
    <w:rsid w:val="00FF117D"/>
    <w:rsid w:val="00FF12C1"/>
    <w:rsid w:val="00FF1316"/>
    <w:rsid w:val="00FF2317"/>
    <w:rsid w:val="00FF262B"/>
    <w:rsid w:val="00FF3660"/>
    <w:rsid w:val="00FF485C"/>
    <w:rsid w:val="00FF49C0"/>
    <w:rsid w:val="00FF55C1"/>
    <w:rsid w:val="00FF56BD"/>
    <w:rsid w:val="00FF5707"/>
    <w:rsid w:val="00FF59EF"/>
    <w:rsid w:val="00FF5B92"/>
    <w:rsid w:val="00FF5E30"/>
    <w:rsid w:val="00FF5F9E"/>
    <w:rsid w:val="00FF63C9"/>
    <w:rsid w:val="00FF6427"/>
    <w:rsid w:val="00FF6897"/>
    <w:rsid w:val="00FF6D86"/>
    <w:rsid w:val="00FF713C"/>
    <w:rsid w:val="00FF77EE"/>
    <w:rsid w:val="010030EE"/>
    <w:rsid w:val="010A7D19"/>
    <w:rsid w:val="01156A37"/>
    <w:rsid w:val="01163EC6"/>
    <w:rsid w:val="011D176F"/>
    <w:rsid w:val="012150BC"/>
    <w:rsid w:val="01277A74"/>
    <w:rsid w:val="012C5315"/>
    <w:rsid w:val="012F472B"/>
    <w:rsid w:val="01397BB2"/>
    <w:rsid w:val="013B0DE8"/>
    <w:rsid w:val="01446E95"/>
    <w:rsid w:val="014A6E82"/>
    <w:rsid w:val="014B6838"/>
    <w:rsid w:val="015024C4"/>
    <w:rsid w:val="01527EDF"/>
    <w:rsid w:val="015C4E4C"/>
    <w:rsid w:val="01611C86"/>
    <w:rsid w:val="0167398B"/>
    <w:rsid w:val="01710365"/>
    <w:rsid w:val="017149A3"/>
    <w:rsid w:val="017716F4"/>
    <w:rsid w:val="017F2B3C"/>
    <w:rsid w:val="01806516"/>
    <w:rsid w:val="018856AF"/>
    <w:rsid w:val="018C18F2"/>
    <w:rsid w:val="01AE2506"/>
    <w:rsid w:val="01B3344B"/>
    <w:rsid w:val="01C0309B"/>
    <w:rsid w:val="01C919BF"/>
    <w:rsid w:val="01D60B10"/>
    <w:rsid w:val="01D6240A"/>
    <w:rsid w:val="01DE4C5E"/>
    <w:rsid w:val="01DE7A7A"/>
    <w:rsid w:val="01E831AB"/>
    <w:rsid w:val="01F9035B"/>
    <w:rsid w:val="01FF3502"/>
    <w:rsid w:val="02050E62"/>
    <w:rsid w:val="0215762C"/>
    <w:rsid w:val="0217762E"/>
    <w:rsid w:val="021C23B4"/>
    <w:rsid w:val="022118BC"/>
    <w:rsid w:val="02250E1C"/>
    <w:rsid w:val="022956C3"/>
    <w:rsid w:val="022A6766"/>
    <w:rsid w:val="02317AF5"/>
    <w:rsid w:val="02343C4E"/>
    <w:rsid w:val="02427CAC"/>
    <w:rsid w:val="024D1BF4"/>
    <w:rsid w:val="024E4E48"/>
    <w:rsid w:val="025248C8"/>
    <w:rsid w:val="02532161"/>
    <w:rsid w:val="025435F0"/>
    <w:rsid w:val="025457B0"/>
    <w:rsid w:val="02571C51"/>
    <w:rsid w:val="0257564F"/>
    <w:rsid w:val="025C32F7"/>
    <w:rsid w:val="02624152"/>
    <w:rsid w:val="0264596A"/>
    <w:rsid w:val="02746BAB"/>
    <w:rsid w:val="027B124C"/>
    <w:rsid w:val="027C1D27"/>
    <w:rsid w:val="027C2F8D"/>
    <w:rsid w:val="027C5214"/>
    <w:rsid w:val="02816010"/>
    <w:rsid w:val="028B1144"/>
    <w:rsid w:val="028B3ADB"/>
    <w:rsid w:val="028B4103"/>
    <w:rsid w:val="028C11CF"/>
    <w:rsid w:val="028E103C"/>
    <w:rsid w:val="02954A69"/>
    <w:rsid w:val="02AA71F5"/>
    <w:rsid w:val="02AF69F7"/>
    <w:rsid w:val="02B33B17"/>
    <w:rsid w:val="02B60179"/>
    <w:rsid w:val="02BA3F8E"/>
    <w:rsid w:val="02BA4309"/>
    <w:rsid w:val="02BB01B7"/>
    <w:rsid w:val="02BD01A5"/>
    <w:rsid w:val="02BD27C2"/>
    <w:rsid w:val="02CA44A6"/>
    <w:rsid w:val="02DA7875"/>
    <w:rsid w:val="02DC3125"/>
    <w:rsid w:val="02E467CD"/>
    <w:rsid w:val="02E5179D"/>
    <w:rsid w:val="02E806FA"/>
    <w:rsid w:val="02F22C48"/>
    <w:rsid w:val="02F97634"/>
    <w:rsid w:val="02FE2DA6"/>
    <w:rsid w:val="03084CFA"/>
    <w:rsid w:val="030D1D54"/>
    <w:rsid w:val="031406D1"/>
    <w:rsid w:val="031421DE"/>
    <w:rsid w:val="032357B8"/>
    <w:rsid w:val="032D5A79"/>
    <w:rsid w:val="03391919"/>
    <w:rsid w:val="033E3BC1"/>
    <w:rsid w:val="034C108A"/>
    <w:rsid w:val="035937A7"/>
    <w:rsid w:val="03600B1A"/>
    <w:rsid w:val="03611024"/>
    <w:rsid w:val="03685798"/>
    <w:rsid w:val="036A418E"/>
    <w:rsid w:val="03803CD5"/>
    <w:rsid w:val="03844C5A"/>
    <w:rsid w:val="03891E54"/>
    <w:rsid w:val="038C49F2"/>
    <w:rsid w:val="03911FB6"/>
    <w:rsid w:val="03935405"/>
    <w:rsid w:val="03A02B1B"/>
    <w:rsid w:val="03A50AED"/>
    <w:rsid w:val="03A96C0F"/>
    <w:rsid w:val="03B94624"/>
    <w:rsid w:val="03BE2CBF"/>
    <w:rsid w:val="03C85BD1"/>
    <w:rsid w:val="03CE5F43"/>
    <w:rsid w:val="03D56844"/>
    <w:rsid w:val="03D60954"/>
    <w:rsid w:val="03DC7FF8"/>
    <w:rsid w:val="03E452D9"/>
    <w:rsid w:val="03E671A8"/>
    <w:rsid w:val="03E77CFB"/>
    <w:rsid w:val="03F65B58"/>
    <w:rsid w:val="04005E83"/>
    <w:rsid w:val="040834AE"/>
    <w:rsid w:val="04096F7B"/>
    <w:rsid w:val="040A677C"/>
    <w:rsid w:val="040E429B"/>
    <w:rsid w:val="04105F3A"/>
    <w:rsid w:val="041B6CAE"/>
    <w:rsid w:val="04236B17"/>
    <w:rsid w:val="04256B02"/>
    <w:rsid w:val="042E0D7D"/>
    <w:rsid w:val="042E3BB5"/>
    <w:rsid w:val="04304EE6"/>
    <w:rsid w:val="04335DA6"/>
    <w:rsid w:val="04375321"/>
    <w:rsid w:val="0438160E"/>
    <w:rsid w:val="043B5C9B"/>
    <w:rsid w:val="044634DD"/>
    <w:rsid w:val="044955CA"/>
    <w:rsid w:val="0459651A"/>
    <w:rsid w:val="045D1075"/>
    <w:rsid w:val="047B09B6"/>
    <w:rsid w:val="047F3A7A"/>
    <w:rsid w:val="04801B6A"/>
    <w:rsid w:val="04806B11"/>
    <w:rsid w:val="04880F8E"/>
    <w:rsid w:val="048B2A85"/>
    <w:rsid w:val="048E20F3"/>
    <w:rsid w:val="04923F96"/>
    <w:rsid w:val="04A42800"/>
    <w:rsid w:val="04AA33E5"/>
    <w:rsid w:val="04AC7907"/>
    <w:rsid w:val="04B410DD"/>
    <w:rsid w:val="04B554C8"/>
    <w:rsid w:val="04B817EC"/>
    <w:rsid w:val="04BB75A4"/>
    <w:rsid w:val="04C57D66"/>
    <w:rsid w:val="04CE795C"/>
    <w:rsid w:val="04D31337"/>
    <w:rsid w:val="04D3792C"/>
    <w:rsid w:val="04D87B8B"/>
    <w:rsid w:val="04DA2A3F"/>
    <w:rsid w:val="04E84DE3"/>
    <w:rsid w:val="04EB2BBD"/>
    <w:rsid w:val="04ED7BB9"/>
    <w:rsid w:val="04F76DD4"/>
    <w:rsid w:val="04FC263C"/>
    <w:rsid w:val="050235C4"/>
    <w:rsid w:val="05031C1C"/>
    <w:rsid w:val="050D2A9B"/>
    <w:rsid w:val="05123170"/>
    <w:rsid w:val="05182C6D"/>
    <w:rsid w:val="051C2CDE"/>
    <w:rsid w:val="051E25B2"/>
    <w:rsid w:val="051E5DC9"/>
    <w:rsid w:val="05232EB0"/>
    <w:rsid w:val="052E4F66"/>
    <w:rsid w:val="053502BA"/>
    <w:rsid w:val="053C6EDC"/>
    <w:rsid w:val="05404D19"/>
    <w:rsid w:val="05410997"/>
    <w:rsid w:val="05586388"/>
    <w:rsid w:val="055D35D4"/>
    <w:rsid w:val="055D43C5"/>
    <w:rsid w:val="056B1570"/>
    <w:rsid w:val="05717294"/>
    <w:rsid w:val="05740860"/>
    <w:rsid w:val="05762078"/>
    <w:rsid w:val="05781A09"/>
    <w:rsid w:val="057D4C27"/>
    <w:rsid w:val="0580501B"/>
    <w:rsid w:val="05820497"/>
    <w:rsid w:val="05872E7F"/>
    <w:rsid w:val="05876466"/>
    <w:rsid w:val="058846BC"/>
    <w:rsid w:val="059112FA"/>
    <w:rsid w:val="05923FA2"/>
    <w:rsid w:val="059641B7"/>
    <w:rsid w:val="05991B07"/>
    <w:rsid w:val="059B6BAF"/>
    <w:rsid w:val="059D0EB5"/>
    <w:rsid w:val="05A7590B"/>
    <w:rsid w:val="05AA653C"/>
    <w:rsid w:val="05AD51FF"/>
    <w:rsid w:val="05B05484"/>
    <w:rsid w:val="05B72A07"/>
    <w:rsid w:val="05BB42A5"/>
    <w:rsid w:val="05C00EF6"/>
    <w:rsid w:val="05C67236"/>
    <w:rsid w:val="05CC020D"/>
    <w:rsid w:val="05CC464F"/>
    <w:rsid w:val="05CC64B2"/>
    <w:rsid w:val="05D05083"/>
    <w:rsid w:val="05D215EF"/>
    <w:rsid w:val="05E01C75"/>
    <w:rsid w:val="05E337FC"/>
    <w:rsid w:val="05E972FA"/>
    <w:rsid w:val="05F2026E"/>
    <w:rsid w:val="05F538B9"/>
    <w:rsid w:val="05F61781"/>
    <w:rsid w:val="05F9301F"/>
    <w:rsid w:val="05FA6D90"/>
    <w:rsid w:val="05FB6D97"/>
    <w:rsid w:val="06036076"/>
    <w:rsid w:val="060C3A41"/>
    <w:rsid w:val="060D6B95"/>
    <w:rsid w:val="062166E5"/>
    <w:rsid w:val="06231E4A"/>
    <w:rsid w:val="06253056"/>
    <w:rsid w:val="062634B6"/>
    <w:rsid w:val="062A1E7B"/>
    <w:rsid w:val="06361B7E"/>
    <w:rsid w:val="063A1D69"/>
    <w:rsid w:val="063D3278"/>
    <w:rsid w:val="06417756"/>
    <w:rsid w:val="0646362D"/>
    <w:rsid w:val="064C339F"/>
    <w:rsid w:val="06510766"/>
    <w:rsid w:val="065271A2"/>
    <w:rsid w:val="066606B5"/>
    <w:rsid w:val="06740E4F"/>
    <w:rsid w:val="06757391"/>
    <w:rsid w:val="0676198A"/>
    <w:rsid w:val="06772950"/>
    <w:rsid w:val="06786D37"/>
    <w:rsid w:val="067C619D"/>
    <w:rsid w:val="067F1777"/>
    <w:rsid w:val="068428E9"/>
    <w:rsid w:val="06A109A1"/>
    <w:rsid w:val="06A8657A"/>
    <w:rsid w:val="06A95902"/>
    <w:rsid w:val="06B14AFE"/>
    <w:rsid w:val="06B169C0"/>
    <w:rsid w:val="06B4541B"/>
    <w:rsid w:val="06C05D84"/>
    <w:rsid w:val="06C13B3D"/>
    <w:rsid w:val="06C453DB"/>
    <w:rsid w:val="06C60988"/>
    <w:rsid w:val="06C82C0C"/>
    <w:rsid w:val="06CD0FD8"/>
    <w:rsid w:val="06DA69AD"/>
    <w:rsid w:val="06E11AE9"/>
    <w:rsid w:val="06E66B95"/>
    <w:rsid w:val="06E83891"/>
    <w:rsid w:val="06EC4F03"/>
    <w:rsid w:val="06F20372"/>
    <w:rsid w:val="06F73EF7"/>
    <w:rsid w:val="06F8552F"/>
    <w:rsid w:val="06FB7D16"/>
    <w:rsid w:val="07037EE5"/>
    <w:rsid w:val="070B0198"/>
    <w:rsid w:val="070B125C"/>
    <w:rsid w:val="070D4F0F"/>
    <w:rsid w:val="070E39F0"/>
    <w:rsid w:val="0712293F"/>
    <w:rsid w:val="07135846"/>
    <w:rsid w:val="07177C01"/>
    <w:rsid w:val="072926C8"/>
    <w:rsid w:val="072C238B"/>
    <w:rsid w:val="072D7D95"/>
    <w:rsid w:val="072E771C"/>
    <w:rsid w:val="073B1BEC"/>
    <w:rsid w:val="074C2DC4"/>
    <w:rsid w:val="075C73C2"/>
    <w:rsid w:val="075D7513"/>
    <w:rsid w:val="075F4DBD"/>
    <w:rsid w:val="07610A20"/>
    <w:rsid w:val="0765101D"/>
    <w:rsid w:val="076726EA"/>
    <w:rsid w:val="076E33FE"/>
    <w:rsid w:val="07745D36"/>
    <w:rsid w:val="07754928"/>
    <w:rsid w:val="077641BB"/>
    <w:rsid w:val="077D7AD1"/>
    <w:rsid w:val="07820AD9"/>
    <w:rsid w:val="07823CB9"/>
    <w:rsid w:val="07904BA3"/>
    <w:rsid w:val="079359D2"/>
    <w:rsid w:val="079C1EB4"/>
    <w:rsid w:val="07A026FE"/>
    <w:rsid w:val="07A262C6"/>
    <w:rsid w:val="07AB0171"/>
    <w:rsid w:val="07B05960"/>
    <w:rsid w:val="07B23B55"/>
    <w:rsid w:val="07B261BA"/>
    <w:rsid w:val="07B40FAC"/>
    <w:rsid w:val="07B75918"/>
    <w:rsid w:val="07BA36D7"/>
    <w:rsid w:val="07BC00CF"/>
    <w:rsid w:val="07C35D3D"/>
    <w:rsid w:val="07C371BE"/>
    <w:rsid w:val="07CB0DF0"/>
    <w:rsid w:val="07CD02C0"/>
    <w:rsid w:val="07CD6831"/>
    <w:rsid w:val="07D13A78"/>
    <w:rsid w:val="07E21618"/>
    <w:rsid w:val="07EF46DA"/>
    <w:rsid w:val="07F32DFA"/>
    <w:rsid w:val="07FD6DF7"/>
    <w:rsid w:val="080447D3"/>
    <w:rsid w:val="080558C2"/>
    <w:rsid w:val="08160BA5"/>
    <w:rsid w:val="081D6AAB"/>
    <w:rsid w:val="0820446F"/>
    <w:rsid w:val="082A1778"/>
    <w:rsid w:val="082B2D5C"/>
    <w:rsid w:val="08387E2F"/>
    <w:rsid w:val="083C06B5"/>
    <w:rsid w:val="0841638B"/>
    <w:rsid w:val="084A7B62"/>
    <w:rsid w:val="08591B53"/>
    <w:rsid w:val="085A7D7E"/>
    <w:rsid w:val="085C1889"/>
    <w:rsid w:val="08606BE5"/>
    <w:rsid w:val="086B7D14"/>
    <w:rsid w:val="086F28F7"/>
    <w:rsid w:val="086F75C9"/>
    <w:rsid w:val="08780E03"/>
    <w:rsid w:val="087B6CA5"/>
    <w:rsid w:val="088A04E6"/>
    <w:rsid w:val="08917B75"/>
    <w:rsid w:val="08933A21"/>
    <w:rsid w:val="08937564"/>
    <w:rsid w:val="08955281"/>
    <w:rsid w:val="089963F4"/>
    <w:rsid w:val="089E7068"/>
    <w:rsid w:val="089F7EAE"/>
    <w:rsid w:val="08A6652D"/>
    <w:rsid w:val="08AD32EB"/>
    <w:rsid w:val="08AF5463"/>
    <w:rsid w:val="08B0212A"/>
    <w:rsid w:val="08B25425"/>
    <w:rsid w:val="08BD67B8"/>
    <w:rsid w:val="08C07EAA"/>
    <w:rsid w:val="08C160AA"/>
    <w:rsid w:val="08CB5871"/>
    <w:rsid w:val="08D07666"/>
    <w:rsid w:val="08D13DE0"/>
    <w:rsid w:val="08D750B9"/>
    <w:rsid w:val="08DA2D71"/>
    <w:rsid w:val="08DF155E"/>
    <w:rsid w:val="08F875BE"/>
    <w:rsid w:val="09030284"/>
    <w:rsid w:val="090410A9"/>
    <w:rsid w:val="09102B5A"/>
    <w:rsid w:val="09175C96"/>
    <w:rsid w:val="09195918"/>
    <w:rsid w:val="091B67A2"/>
    <w:rsid w:val="092152AD"/>
    <w:rsid w:val="0923057F"/>
    <w:rsid w:val="09271825"/>
    <w:rsid w:val="09280F57"/>
    <w:rsid w:val="092F759B"/>
    <w:rsid w:val="09383E5F"/>
    <w:rsid w:val="093A7267"/>
    <w:rsid w:val="093C56FD"/>
    <w:rsid w:val="09412999"/>
    <w:rsid w:val="094509E5"/>
    <w:rsid w:val="0946657C"/>
    <w:rsid w:val="0948283A"/>
    <w:rsid w:val="094D0BED"/>
    <w:rsid w:val="094D25D7"/>
    <w:rsid w:val="095360E8"/>
    <w:rsid w:val="09756E61"/>
    <w:rsid w:val="09866978"/>
    <w:rsid w:val="098A35D7"/>
    <w:rsid w:val="09987E96"/>
    <w:rsid w:val="099B457D"/>
    <w:rsid w:val="09A637A0"/>
    <w:rsid w:val="09A865A0"/>
    <w:rsid w:val="09B03C0F"/>
    <w:rsid w:val="09B07E99"/>
    <w:rsid w:val="09B216AF"/>
    <w:rsid w:val="09B44F11"/>
    <w:rsid w:val="09B7217E"/>
    <w:rsid w:val="09B97550"/>
    <w:rsid w:val="09C104D9"/>
    <w:rsid w:val="09C27934"/>
    <w:rsid w:val="09C7253C"/>
    <w:rsid w:val="09CB58F6"/>
    <w:rsid w:val="09D07270"/>
    <w:rsid w:val="09D75C1E"/>
    <w:rsid w:val="09D76B1C"/>
    <w:rsid w:val="09DD5C03"/>
    <w:rsid w:val="09FA0340"/>
    <w:rsid w:val="09FB3E99"/>
    <w:rsid w:val="0A094C6F"/>
    <w:rsid w:val="0A1B732D"/>
    <w:rsid w:val="0A1D6650"/>
    <w:rsid w:val="0A2467FB"/>
    <w:rsid w:val="0A2C5EE0"/>
    <w:rsid w:val="0A2E1A6A"/>
    <w:rsid w:val="0A33265C"/>
    <w:rsid w:val="0A4A7D08"/>
    <w:rsid w:val="0A4E393A"/>
    <w:rsid w:val="0A592106"/>
    <w:rsid w:val="0A595E3B"/>
    <w:rsid w:val="0A5F20CB"/>
    <w:rsid w:val="0A603173"/>
    <w:rsid w:val="0A694002"/>
    <w:rsid w:val="0A6A1BE9"/>
    <w:rsid w:val="0A7745B6"/>
    <w:rsid w:val="0A804C40"/>
    <w:rsid w:val="0A883693"/>
    <w:rsid w:val="0A887A16"/>
    <w:rsid w:val="0A896B32"/>
    <w:rsid w:val="0A8A7DE0"/>
    <w:rsid w:val="0A8C28BB"/>
    <w:rsid w:val="0A954880"/>
    <w:rsid w:val="0A99092D"/>
    <w:rsid w:val="0A9A430B"/>
    <w:rsid w:val="0A9B01ED"/>
    <w:rsid w:val="0AA81706"/>
    <w:rsid w:val="0AAC38BB"/>
    <w:rsid w:val="0AD11E75"/>
    <w:rsid w:val="0AD31A5E"/>
    <w:rsid w:val="0AD355DC"/>
    <w:rsid w:val="0ADD7177"/>
    <w:rsid w:val="0AE205C6"/>
    <w:rsid w:val="0AEC4F01"/>
    <w:rsid w:val="0AED4778"/>
    <w:rsid w:val="0AF02C43"/>
    <w:rsid w:val="0AF27862"/>
    <w:rsid w:val="0AF54308"/>
    <w:rsid w:val="0AF659E5"/>
    <w:rsid w:val="0AFB167C"/>
    <w:rsid w:val="0AFF0EE4"/>
    <w:rsid w:val="0B021535"/>
    <w:rsid w:val="0B0617ED"/>
    <w:rsid w:val="0B092B7C"/>
    <w:rsid w:val="0B0B70AA"/>
    <w:rsid w:val="0B106E41"/>
    <w:rsid w:val="0B132DEC"/>
    <w:rsid w:val="0B184BA1"/>
    <w:rsid w:val="0B21170C"/>
    <w:rsid w:val="0B276707"/>
    <w:rsid w:val="0B2A0395"/>
    <w:rsid w:val="0B3C7C36"/>
    <w:rsid w:val="0B3F7726"/>
    <w:rsid w:val="0B4C644E"/>
    <w:rsid w:val="0B4E1886"/>
    <w:rsid w:val="0B5262AD"/>
    <w:rsid w:val="0B56456D"/>
    <w:rsid w:val="0B635D6A"/>
    <w:rsid w:val="0B6727D9"/>
    <w:rsid w:val="0B6947A3"/>
    <w:rsid w:val="0B705C68"/>
    <w:rsid w:val="0B710C02"/>
    <w:rsid w:val="0B772A1C"/>
    <w:rsid w:val="0B796AE0"/>
    <w:rsid w:val="0B7C276F"/>
    <w:rsid w:val="0B7F6C4E"/>
    <w:rsid w:val="0B867E39"/>
    <w:rsid w:val="0B892552"/>
    <w:rsid w:val="0B8A6A86"/>
    <w:rsid w:val="0B8B471A"/>
    <w:rsid w:val="0B8F1523"/>
    <w:rsid w:val="0B971310"/>
    <w:rsid w:val="0BA34265"/>
    <w:rsid w:val="0BA5110A"/>
    <w:rsid w:val="0BA61FBE"/>
    <w:rsid w:val="0BA918AE"/>
    <w:rsid w:val="0BA92F85"/>
    <w:rsid w:val="0BA94BA0"/>
    <w:rsid w:val="0BAF2F6D"/>
    <w:rsid w:val="0BB27EF8"/>
    <w:rsid w:val="0BB51797"/>
    <w:rsid w:val="0BB579E9"/>
    <w:rsid w:val="0BBC14FA"/>
    <w:rsid w:val="0BBC48D3"/>
    <w:rsid w:val="0BC36E31"/>
    <w:rsid w:val="0BC451E3"/>
    <w:rsid w:val="0BCD4D32"/>
    <w:rsid w:val="0BD240F7"/>
    <w:rsid w:val="0BD25035"/>
    <w:rsid w:val="0BD95A94"/>
    <w:rsid w:val="0BE125FA"/>
    <w:rsid w:val="0BEB3937"/>
    <w:rsid w:val="0BEB51B8"/>
    <w:rsid w:val="0BF21911"/>
    <w:rsid w:val="0BF756DF"/>
    <w:rsid w:val="0C00427A"/>
    <w:rsid w:val="0C0D15D3"/>
    <w:rsid w:val="0C101B8E"/>
    <w:rsid w:val="0C141CA3"/>
    <w:rsid w:val="0C1969B6"/>
    <w:rsid w:val="0C1E0CB3"/>
    <w:rsid w:val="0C25728A"/>
    <w:rsid w:val="0C2607DF"/>
    <w:rsid w:val="0C29269A"/>
    <w:rsid w:val="0C312D63"/>
    <w:rsid w:val="0C3923C8"/>
    <w:rsid w:val="0C3C4561"/>
    <w:rsid w:val="0C3C494E"/>
    <w:rsid w:val="0C430C6B"/>
    <w:rsid w:val="0C436DA2"/>
    <w:rsid w:val="0C4E5F8B"/>
    <w:rsid w:val="0C4F2C1E"/>
    <w:rsid w:val="0C5376E1"/>
    <w:rsid w:val="0C5B44D7"/>
    <w:rsid w:val="0C5F44B4"/>
    <w:rsid w:val="0C611DCB"/>
    <w:rsid w:val="0C674231"/>
    <w:rsid w:val="0C6B6C9F"/>
    <w:rsid w:val="0C7235FE"/>
    <w:rsid w:val="0C7344AF"/>
    <w:rsid w:val="0C743400"/>
    <w:rsid w:val="0C7927C4"/>
    <w:rsid w:val="0C7C0554"/>
    <w:rsid w:val="0C8B28D7"/>
    <w:rsid w:val="0C8E15E8"/>
    <w:rsid w:val="0CAB1A9A"/>
    <w:rsid w:val="0CB832EC"/>
    <w:rsid w:val="0CBC3AA6"/>
    <w:rsid w:val="0CC53736"/>
    <w:rsid w:val="0CDE6ACB"/>
    <w:rsid w:val="0CE00A95"/>
    <w:rsid w:val="0CE21FA1"/>
    <w:rsid w:val="0CE32513"/>
    <w:rsid w:val="0CFD1647"/>
    <w:rsid w:val="0CFE2CC9"/>
    <w:rsid w:val="0D0154B4"/>
    <w:rsid w:val="0D0B340C"/>
    <w:rsid w:val="0D0D62C5"/>
    <w:rsid w:val="0D0F4FB0"/>
    <w:rsid w:val="0D165067"/>
    <w:rsid w:val="0D1B52AD"/>
    <w:rsid w:val="0D2070E4"/>
    <w:rsid w:val="0D242FFA"/>
    <w:rsid w:val="0D2503E7"/>
    <w:rsid w:val="0D263B97"/>
    <w:rsid w:val="0D2B72AB"/>
    <w:rsid w:val="0D2D27E0"/>
    <w:rsid w:val="0D307327"/>
    <w:rsid w:val="0D341270"/>
    <w:rsid w:val="0D341CD5"/>
    <w:rsid w:val="0D4A5F0F"/>
    <w:rsid w:val="0D4C612B"/>
    <w:rsid w:val="0D4E59FF"/>
    <w:rsid w:val="0D524B9C"/>
    <w:rsid w:val="0D54361A"/>
    <w:rsid w:val="0D556D8D"/>
    <w:rsid w:val="0D57238E"/>
    <w:rsid w:val="0D58062B"/>
    <w:rsid w:val="0D5D5C42"/>
    <w:rsid w:val="0D5E30A2"/>
    <w:rsid w:val="0D667C7E"/>
    <w:rsid w:val="0D684B54"/>
    <w:rsid w:val="0D9825DA"/>
    <w:rsid w:val="0D997BFC"/>
    <w:rsid w:val="0D9A50E8"/>
    <w:rsid w:val="0D9C10BE"/>
    <w:rsid w:val="0D9F7E39"/>
    <w:rsid w:val="0DAB4BFF"/>
    <w:rsid w:val="0DB34764"/>
    <w:rsid w:val="0DBE2B84"/>
    <w:rsid w:val="0DC36650"/>
    <w:rsid w:val="0DCB52A1"/>
    <w:rsid w:val="0DE566ED"/>
    <w:rsid w:val="0DEE2D3E"/>
    <w:rsid w:val="0DEF71E2"/>
    <w:rsid w:val="0DFB1219"/>
    <w:rsid w:val="0E037116"/>
    <w:rsid w:val="0E1311EC"/>
    <w:rsid w:val="0E157DB5"/>
    <w:rsid w:val="0E17414A"/>
    <w:rsid w:val="0E1B7FD7"/>
    <w:rsid w:val="0E1D3670"/>
    <w:rsid w:val="0E26072A"/>
    <w:rsid w:val="0E2B703B"/>
    <w:rsid w:val="0E2F3A82"/>
    <w:rsid w:val="0E407A3D"/>
    <w:rsid w:val="0E4B63E2"/>
    <w:rsid w:val="0E551521"/>
    <w:rsid w:val="0E576441"/>
    <w:rsid w:val="0E5A6CFB"/>
    <w:rsid w:val="0E5B420B"/>
    <w:rsid w:val="0E5D6419"/>
    <w:rsid w:val="0E6354DA"/>
    <w:rsid w:val="0E646B6B"/>
    <w:rsid w:val="0E686875"/>
    <w:rsid w:val="0E6C7518"/>
    <w:rsid w:val="0E6F3E7F"/>
    <w:rsid w:val="0E6F5F1C"/>
    <w:rsid w:val="0E773920"/>
    <w:rsid w:val="0E794CFD"/>
    <w:rsid w:val="0E7A39DD"/>
    <w:rsid w:val="0E7A6E7B"/>
    <w:rsid w:val="0E7D790E"/>
    <w:rsid w:val="0E8642A4"/>
    <w:rsid w:val="0E8D6DF5"/>
    <w:rsid w:val="0EA1337F"/>
    <w:rsid w:val="0EA7186A"/>
    <w:rsid w:val="0EAF071F"/>
    <w:rsid w:val="0ED2694B"/>
    <w:rsid w:val="0EE20777"/>
    <w:rsid w:val="0EE3661B"/>
    <w:rsid w:val="0EEC3811"/>
    <w:rsid w:val="0EEE56EB"/>
    <w:rsid w:val="0EF556EB"/>
    <w:rsid w:val="0EFC2E98"/>
    <w:rsid w:val="0EFC45EC"/>
    <w:rsid w:val="0EFD64AA"/>
    <w:rsid w:val="0EFE3455"/>
    <w:rsid w:val="0F0654B6"/>
    <w:rsid w:val="0F066B29"/>
    <w:rsid w:val="0F07553D"/>
    <w:rsid w:val="0F094C3D"/>
    <w:rsid w:val="0F154707"/>
    <w:rsid w:val="0F1669F0"/>
    <w:rsid w:val="0F1A64E0"/>
    <w:rsid w:val="0F1B5D9C"/>
    <w:rsid w:val="0F1D7219"/>
    <w:rsid w:val="0F2904D1"/>
    <w:rsid w:val="0F2C566D"/>
    <w:rsid w:val="0F2C6214"/>
    <w:rsid w:val="0F3876C0"/>
    <w:rsid w:val="0F4C645B"/>
    <w:rsid w:val="0F4D3D6A"/>
    <w:rsid w:val="0F4D5A3F"/>
    <w:rsid w:val="0F6213BA"/>
    <w:rsid w:val="0F63075F"/>
    <w:rsid w:val="0F6C3FF2"/>
    <w:rsid w:val="0F711B7F"/>
    <w:rsid w:val="0F783207"/>
    <w:rsid w:val="0F7F7CBF"/>
    <w:rsid w:val="0F81487D"/>
    <w:rsid w:val="0F833F19"/>
    <w:rsid w:val="0F837FDA"/>
    <w:rsid w:val="0F8B2F3A"/>
    <w:rsid w:val="0F8C6CB2"/>
    <w:rsid w:val="0F9228E9"/>
    <w:rsid w:val="0F9645F6"/>
    <w:rsid w:val="0F9C7D1F"/>
    <w:rsid w:val="0FAD3DB1"/>
    <w:rsid w:val="0FB029A1"/>
    <w:rsid w:val="0FB44E40"/>
    <w:rsid w:val="0FBA6BEC"/>
    <w:rsid w:val="0FBB401B"/>
    <w:rsid w:val="0FC070AA"/>
    <w:rsid w:val="0FC1695C"/>
    <w:rsid w:val="0FC233DF"/>
    <w:rsid w:val="0FC4644C"/>
    <w:rsid w:val="0FC51DF0"/>
    <w:rsid w:val="0FC775BD"/>
    <w:rsid w:val="0FCB1589"/>
    <w:rsid w:val="0FCC16AF"/>
    <w:rsid w:val="0FCE2323"/>
    <w:rsid w:val="0FD10020"/>
    <w:rsid w:val="0FD75CCA"/>
    <w:rsid w:val="0FDA1F15"/>
    <w:rsid w:val="0FE228FB"/>
    <w:rsid w:val="0FEE34C9"/>
    <w:rsid w:val="100B132C"/>
    <w:rsid w:val="101F27AB"/>
    <w:rsid w:val="10211431"/>
    <w:rsid w:val="10294501"/>
    <w:rsid w:val="102B4F9E"/>
    <w:rsid w:val="10353584"/>
    <w:rsid w:val="103A16D4"/>
    <w:rsid w:val="103B40E3"/>
    <w:rsid w:val="10465D3A"/>
    <w:rsid w:val="104D4694"/>
    <w:rsid w:val="105062E9"/>
    <w:rsid w:val="10507CE0"/>
    <w:rsid w:val="10551809"/>
    <w:rsid w:val="105D5149"/>
    <w:rsid w:val="10600C00"/>
    <w:rsid w:val="106612B1"/>
    <w:rsid w:val="106B5E99"/>
    <w:rsid w:val="10766039"/>
    <w:rsid w:val="10802868"/>
    <w:rsid w:val="108F25B6"/>
    <w:rsid w:val="10A74D0F"/>
    <w:rsid w:val="10A9098D"/>
    <w:rsid w:val="10B61C33"/>
    <w:rsid w:val="10B75289"/>
    <w:rsid w:val="10BC4D01"/>
    <w:rsid w:val="10BC62F1"/>
    <w:rsid w:val="10C4274E"/>
    <w:rsid w:val="10C53786"/>
    <w:rsid w:val="10CA1840"/>
    <w:rsid w:val="10CD5362"/>
    <w:rsid w:val="10D54409"/>
    <w:rsid w:val="10D75D0B"/>
    <w:rsid w:val="10E5667A"/>
    <w:rsid w:val="10EE0A60"/>
    <w:rsid w:val="10F76B40"/>
    <w:rsid w:val="10FB4C88"/>
    <w:rsid w:val="11030B9D"/>
    <w:rsid w:val="110E534D"/>
    <w:rsid w:val="111B02EE"/>
    <w:rsid w:val="111C0311"/>
    <w:rsid w:val="111C3B34"/>
    <w:rsid w:val="111E4063"/>
    <w:rsid w:val="11253066"/>
    <w:rsid w:val="11292A0B"/>
    <w:rsid w:val="112A1399"/>
    <w:rsid w:val="113118BF"/>
    <w:rsid w:val="11345598"/>
    <w:rsid w:val="11366ED6"/>
    <w:rsid w:val="113C6BF4"/>
    <w:rsid w:val="1140792E"/>
    <w:rsid w:val="11495B57"/>
    <w:rsid w:val="114A0BD3"/>
    <w:rsid w:val="114B40F4"/>
    <w:rsid w:val="115D7062"/>
    <w:rsid w:val="116333FB"/>
    <w:rsid w:val="11681684"/>
    <w:rsid w:val="116B3023"/>
    <w:rsid w:val="116C0B49"/>
    <w:rsid w:val="116C5EA7"/>
    <w:rsid w:val="116D47EF"/>
    <w:rsid w:val="116E0937"/>
    <w:rsid w:val="11703722"/>
    <w:rsid w:val="117268E9"/>
    <w:rsid w:val="117421EC"/>
    <w:rsid w:val="117831A5"/>
    <w:rsid w:val="118002EE"/>
    <w:rsid w:val="11812847"/>
    <w:rsid w:val="11830FBA"/>
    <w:rsid w:val="11902816"/>
    <w:rsid w:val="1191102F"/>
    <w:rsid w:val="11943BFC"/>
    <w:rsid w:val="11952B1D"/>
    <w:rsid w:val="11954CF9"/>
    <w:rsid w:val="11966D2B"/>
    <w:rsid w:val="11982D33"/>
    <w:rsid w:val="11A2157C"/>
    <w:rsid w:val="11AE1162"/>
    <w:rsid w:val="11AE565F"/>
    <w:rsid w:val="11B30526"/>
    <w:rsid w:val="11B85B3D"/>
    <w:rsid w:val="11BF6A3B"/>
    <w:rsid w:val="11C83D18"/>
    <w:rsid w:val="11C95F9C"/>
    <w:rsid w:val="11CC15E8"/>
    <w:rsid w:val="11CE710E"/>
    <w:rsid w:val="11D07A25"/>
    <w:rsid w:val="11D3147D"/>
    <w:rsid w:val="11DE6034"/>
    <w:rsid w:val="11E436CE"/>
    <w:rsid w:val="11EC537B"/>
    <w:rsid w:val="11EE77B0"/>
    <w:rsid w:val="11F254F3"/>
    <w:rsid w:val="11F32DBF"/>
    <w:rsid w:val="11FD5C45"/>
    <w:rsid w:val="11FF7F61"/>
    <w:rsid w:val="12045226"/>
    <w:rsid w:val="1206051E"/>
    <w:rsid w:val="121162EA"/>
    <w:rsid w:val="1212349F"/>
    <w:rsid w:val="12241374"/>
    <w:rsid w:val="12253E13"/>
    <w:rsid w:val="1234507C"/>
    <w:rsid w:val="123614B1"/>
    <w:rsid w:val="12381C8A"/>
    <w:rsid w:val="12486A9B"/>
    <w:rsid w:val="124F7DFA"/>
    <w:rsid w:val="12502D39"/>
    <w:rsid w:val="125735A8"/>
    <w:rsid w:val="12633CFA"/>
    <w:rsid w:val="12703F26"/>
    <w:rsid w:val="12753A2E"/>
    <w:rsid w:val="127A786B"/>
    <w:rsid w:val="127E0B34"/>
    <w:rsid w:val="128F15C7"/>
    <w:rsid w:val="129C0D94"/>
    <w:rsid w:val="12A047C7"/>
    <w:rsid w:val="12A4492F"/>
    <w:rsid w:val="12A50B29"/>
    <w:rsid w:val="12AA7B7B"/>
    <w:rsid w:val="12AF1625"/>
    <w:rsid w:val="12B17711"/>
    <w:rsid w:val="12C35E26"/>
    <w:rsid w:val="12CC50C3"/>
    <w:rsid w:val="12D55D53"/>
    <w:rsid w:val="12D746E8"/>
    <w:rsid w:val="12DA07B3"/>
    <w:rsid w:val="12DC3AAD"/>
    <w:rsid w:val="12E10D47"/>
    <w:rsid w:val="12E74AFE"/>
    <w:rsid w:val="12EF37E0"/>
    <w:rsid w:val="12F2058C"/>
    <w:rsid w:val="12FB3592"/>
    <w:rsid w:val="12FB4B4E"/>
    <w:rsid w:val="130D01DD"/>
    <w:rsid w:val="131D034D"/>
    <w:rsid w:val="132B1184"/>
    <w:rsid w:val="13341E43"/>
    <w:rsid w:val="13373B6D"/>
    <w:rsid w:val="133856D1"/>
    <w:rsid w:val="133A2E9F"/>
    <w:rsid w:val="133B30E8"/>
    <w:rsid w:val="134F6A1D"/>
    <w:rsid w:val="13516199"/>
    <w:rsid w:val="135879D1"/>
    <w:rsid w:val="136D7A05"/>
    <w:rsid w:val="1370511B"/>
    <w:rsid w:val="13732270"/>
    <w:rsid w:val="137740BC"/>
    <w:rsid w:val="137B093D"/>
    <w:rsid w:val="137B4DA9"/>
    <w:rsid w:val="137D31CF"/>
    <w:rsid w:val="138836C6"/>
    <w:rsid w:val="138959E3"/>
    <w:rsid w:val="138F4845"/>
    <w:rsid w:val="139D445C"/>
    <w:rsid w:val="13A04439"/>
    <w:rsid w:val="13A76B3A"/>
    <w:rsid w:val="13AB644B"/>
    <w:rsid w:val="13AE4221"/>
    <w:rsid w:val="13BB78C7"/>
    <w:rsid w:val="13C45ED4"/>
    <w:rsid w:val="13C76D23"/>
    <w:rsid w:val="13CF31D3"/>
    <w:rsid w:val="13D10025"/>
    <w:rsid w:val="13D650BD"/>
    <w:rsid w:val="13DC7E8E"/>
    <w:rsid w:val="13E729A1"/>
    <w:rsid w:val="13EE6DE3"/>
    <w:rsid w:val="13F46BDA"/>
    <w:rsid w:val="13F6311E"/>
    <w:rsid w:val="13F75559"/>
    <w:rsid w:val="13F943C3"/>
    <w:rsid w:val="13FB3F39"/>
    <w:rsid w:val="13FF7A53"/>
    <w:rsid w:val="140137CB"/>
    <w:rsid w:val="14157007"/>
    <w:rsid w:val="14231135"/>
    <w:rsid w:val="142A4951"/>
    <w:rsid w:val="142F2398"/>
    <w:rsid w:val="142F450A"/>
    <w:rsid w:val="14300A2C"/>
    <w:rsid w:val="1431039F"/>
    <w:rsid w:val="1434029E"/>
    <w:rsid w:val="14363F02"/>
    <w:rsid w:val="143E4C7B"/>
    <w:rsid w:val="143F0797"/>
    <w:rsid w:val="14407351"/>
    <w:rsid w:val="144B7F68"/>
    <w:rsid w:val="145204CA"/>
    <w:rsid w:val="14554BD6"/>
    <w:rsid w:val="145A4D8F"/>
    <w:rsid w:val="145E19F1"/>
    <w:rsid w:val="145E744D"/>
    <w:rsid w:val="146141DF"/>
    <w:rsid w:val="14676F6E"/>
    <w:rsid w:val="14697F5B"/>
    <w:rsid w:val="146E1BF7"/>
    <w:rsid w:val="147238BB"/>
    <w:rsid w:val="1475655B"/>
    <w:rsid w:val="147B4BCC"/>
    <w:rsid w:val="14856CE1"/>
    <w:rsid w:val="149D21A5"/>
    <w:rsid w:val="14A021FA"/>
    <w:rsid w:val="14A13EEA"/>
    <w:rsid w:val="14A77F72"/>
    <w:rsid w:val="14B30209"/>
    <w:rsid w:val="14BA432B"/>
    <w:rsid w:val="14BB6070"/>
    <w:rsid w:val="14C41839"/>
    <w:rsid w:val="14C42C85"/>
    <w:rsid w:val="14DE5E04"/>
    <w:rsid w:val="14E27172"/>
    <w:rsid w:val="14E31122"/>
    <w:rsid w:val="14E3669A"/>
    <w:rsid w:val="14ED01F3"/>
    <w:rsid w:val="14EF66FB"/>
    <w:rsid w:val="14F1386F"/>
    <w:rsid w:val="14F41C6F"/>
    <w:rsid w:val="14F46542"/>
    <w:rsid w:val="14F4712E"/>
    <w:rsid w:val="15005C23"/>
    <w:rsid w:val="15014975"/>
    <w:rsid w:val="15062CF1"/>
    <w:rsid w:val="150A60CA"/>
    <w:rsid w:val="150C5862"/>
    <w:rsid w:val="150E2BA2"/>
    <w:rsid w:val="15142E9A"/>
    <w:rsid w:val="15205ED3"/>
    <w:rsid w:val="1527507F"/>
    <w:rsid w:val="15375D01"/>
    <w:rsid w:val="154B0CB5"/>
    <w:rsid w:val="154D7B63"/>
    <w:rsid w:val="154F32B0"/>
    <w:rsid w:val="15547B2E"/>
    <w:rsid w:val="15695422"/>
    <w:rsid w:val="156A1844"/>
    <w:rsid w:val="156F0C08"/>
    <w:rsid w:val="15735100"/>
    <w:rsid w:val="15787A38"/>
    <w:rsid w:val="1579485D"/>
    <w:rsid w:val="157B2F23"/>
    <w:rsid w:val="15875F52"/>
    <w:rsid w:val="158A5520"/>
    <w:rsid w:val="159266A5"/>
    <w:rsid w:val="1594241D"/>
    <w:rsid w:val="15990EDA"/>
    <w:rsid w:val="15992395"/>
    <w:rsid w:val="15993A23"/>
    <w:rsid w:val="159C2767"/>
    <w:rsid w:val="159D18B8"/>
    <w:rsid w:val="15A066A1"/>
    <w:rsid w:val="15AA5F17"/>
    <w:rsid w:val="15AB21C4"/>
    <w:rsid w:val="15B605E5"/>
    <w:rsid w:val="15B81EB3"/>
    <w:rsid w:val="15BA44BE"/>
    <w:rsid w:val="15BB5BFB"/>
    <w:rsid w:val="15BB7C62"/>
    <w:rsid w:val="15D078F9"/>
    <w:rsid w:val="15D373E9"/>
    <w:rsid w:val="15D44E88"/>
    <w:rsid w:val="15D63EB2"/>
    <w:rsid w:val="15D64DB8"/>
    <w:rsid w:val="15DB335B"/>
    <w:rsid w:val="15E71B6F"/>
    <w:rsid w:val="15E839EB"/>
    <w:rsid w:val="15F7158A"/>
    <w:rsid w:val="15FD11AC"/>
    <w:rsid w:val="160476AE"/>
    <w:rsid w:val="160542DE"/>
    <w:rsid w:val="160E0ADB"/>
    <w:rsid w:val="160E33B3"/>
    <w:rsid w:val="16133C89"/>
    <w:rsid w:val="16135A47"/>
    <w:rsid w:val="162609D8"/>
    <w:rsid w:val="164976AB"/>
    <w:rsid w:val="16500A3A"/>
    <w:rsid w:val="16505150"/>
    <w:rsid w:val="16556050"/>
    <w:rsid w:val="16646293"/>
    <w:rsid w:val="166A7F1E"/>
    <w:rsid w:val="166E4AF2"/>
    <w:rsid w:val="167B015A"/>
    <w:rsid w:val="16825CA8"/>
    <w:rsid w:val="168D7598"/>
    <w:rsid w:val="168F16B2"/>
    <w:rsid w:val="16907A05"/>
    <w:rsid w:val="16A1429D"/>
    <w:rsid w:val="16A444D2"/>
    <w:rsid w:val="16AA52A3"/>
    <w:rsid w:val="16AF3771"/>
    <w:rsid w:val="16B23811"/>
    <w:rsid w:val="16B55F33"/>
    <w:rsid w:val="16B600C5"/>
    <w:rsid w:val="16BE1807"/>
    <w:rsid w:val="16C268FD"/>
    <w:rsid w:val="16C460D1"/>
    <w:rsid w:val="16C52053"/>
    <w:rsid w:val="16CF3F8A"/>
    <w:rsid w:val="16DF4D10"/>
    <w:rsid w:val="16E236D1"/>
    <w:rsid w:val="16EA2FF4"/>
    <w:rsid w:val="16EE795E"/>
    <w:rsid w:val="16F92E7F"/>
    <w:rsid w:val="16FA5C48"/>
    <w:rsid w:val="17035AAC"/>
    <w:rsid w:val="1706734A"/>
    <w:rsid w:val="17104610"/>
    <w:rsid w:val="17127A9D"/>
    <w:rsid w:val="171815B0"/>
    <w:rsid w:val="171C4DC0"/>
    <w:rsid w:val="173739A8"/>
    <w:rsid w:val="173A1718"/>
    <w:rsid w:val="173C0FBE"/>
    <w:rsid w:val="177411BB"/>
    <w:rsid w:val="1776627E"/>
    <w:rsid w:val="177958CE"/>
    <w:rsid w:val="177E19A7"/>
    <w:rsid w:val="178D587C"/>
    <w:rsid w:val="17983425"/>
    <w:rsid w:val="179E5116"/>
    <w:rsid w:val="17A74689"/>
    <w:rsid w:val="17A852B9"/>
    <w:rsid w:val="17A94AB2"/>
    <w:rsid w:val="17AA4A40"/>
    <w:rsid w:val="17AA6084"/>
    <w:rsid w:val="17B27C49"/>
    <w:rsid w:val="17BA4AE9"/>
    <w:rsid w:val="17BE19D3"/>
    <w:rsid w:val="17CB30FB"/>
    <w:rsid w:val="17CF1A15"/>
    <w:rsid w:val="17D260B4"/>
    <w:rsid w:val="17EE0FBD"/>
    <w:rsid w:val="17FF1902"/>
    <w:rsid w:val="18010E4A"/>
    <w:rsid w:val="1816180F"/>
    <w:rsid w:val="181961C0"/>
    <w:rsid w:val="181C1E6B"/>
    <w:rsid w:val="182478A6"/>
    <w:rsid w:val="183A374F"/>
    <w:rsid w:val="183A48A9"/>
    <w:rsid w:val="18456FA9"/>
    <w:rsid w:val="18484B29"/>
    <w:rsid w:val="18542476"/>
    <w:rsid w:val="185540E5"/>
    <w:rsid w:val="18730432"/>
    <w:rsid w:val="1876528F"/>
    <w:rsid w:val="18842074"/>
    <w:rsid w:val="18842C1C"/>
    <w:rsid w:val="188C7A7E"/>
    <w:rsid w:val="189746FE"/>
    <w:rsid w:val="1898419B"/>
    <w:rsid w:val="189A5707"/>
    <w:rsid w:val="189C7F66"/>
    <w:rsid w:val="189E74FF"/>
    <w:rsid w:val="18AD2EBC"/>
    <w:rsid w:val="18B13E26"/>
    <w:rsid w:val="18B301C1"/>
    <w:rsid w:val="18C0505C"/>
    <w:rsid w:val="18CD45C3"/>
    <w:rsid w:val="18D36A9B"/>
    <w:rsid w:val="18E57D29"/>
    <w:rsid w:val="18EA4C5B"/>
    <w:rsid w:val="18ED2938"/>
    <w:rsid w:val="18EE1821"/>
    <w:rsid w:val="18EE41B9"/>
    <w:rsid w:val="18F06FEA"/>
    <w:rsid w:val="18F558C8"/>
    <w:rsid w:val="18F71FD6"/>
    <w:rsid w:val="18FE477D"/>
    <w:rsid w:val="19022096"/>
    <w:rsid w:val="190A4409"/>
    <w:rsid w:val="190D1F22"/>
    <w:rsid w:val="190E4589"/>
    <w:rsid w:val="191044B0"/>
    <w:rsid w:val="19121FD6"/>
    <w:rsid w:val="191404BB"/>
    <w:rsid w:val="1934106B"/>
    <w:rsid w:val="193B2178"/>
    <w:rsid w:val="193C7C8C"/>
    <w:rsid w:val="193D42C9"/>
    <w:rsid w:val="1956042A"/>
    <w:rsid w:val="19626248"/>
    <w:rsid w:val="196640D0"/>
    <w:rsid w:val="196A1A21"/>
    <w:rsid w:val="196A3BC0"/>
    <w:rsid w:val="19783C23"/>
    <w:rsid w:val="197F0268"/>
    <w:rsid w:val="19874772"/>
    <w:rsid w:val="19964EC2"/>
    <w:rsid w:val="199F6C5D"/>
    <w:rsid w:val="19A15326"/>
    <w:rsid w:val="19B17FFD"/>
    <w:rsid w:val="19B66C02"/>
    <w:rsid w:val="19BD79CF"/>
    <w:rsid w:val="19C77265"/>
    <w:rsid w:val="19CA465F"/>
    <w:rsid w:val="19CC5996"/>
    <w:rsid w:val="19CD0B66"/>
    <w:rsid w:val="19D66308"/>
    <w:rsid w:val="19EC47D7"/>
    <w:rsid w:val="19ED659F"/>
    <w:rsid w:val="19F5295D"/>
    <w:rsid w:val="1A1435DB"/>
    <w:rsid w:val="1A143B2C"/>
    <w:rsid w:val="1A18186E"/>
    <w:rsid w:val="1A1B310D"/>
    <w:rsid w:val="1A2A2A8E"/>
    <w:rsid w:val="1A3313FF"/>
    <w:rsid w:val="1A344F86"/>
    <w:rsid w:val="1A366198"/>
    <w:rsid w:val="1A3A35B9"/>
    <w:rsid w:val="1A3D16F1"/>
    <w:rsid w:val="1A3F504D"/>
    <w:rsid w:val="1A400DC5"/>
    <w:rsid w:val="1A5434FC"/>
    <w:rsid w:val="1A551863"/>
    <w:rsid w:val="1A5605E9"/>
    <w:rsid w:val="1A59786C"/>
    <w:rsid w:val="1A5D54D3"/>
    <w:rsid w:val="1A6142F3"/>
    <w:rsid w:val="1A625A89"/>
    <w:rsid w:val="1A642D06"/>
    <w:rsid w:val="1A6E148E"/>
    <w:rsid w:val="1A70141B"/>
    <w:rsid w:val="1A773E4F"/>
    <w:rsid w:val="1A855B5F"/>
    <w:rsid w:val="1A8C3DC6"/>
    <w:rsid w:val="1A8F1A17"/>
    <w:rsid w:val="1A9E316D"/>
    <w:rsid w:val="1A9F5AEC"/>
    <w:rsid w:val="1AB87CFD"/>
    <w:rsid w:val="1ABD1360"/>
    <w:rsid w:val="1ABE1F04"/>
    <w:rsid w:val="1AC76DF0"/>
    <w:rsid w:val="1ACC5F5C"/>
    <w:rsid w:val="1ACD08AB"/>
    <w:rsid w:val="1AD61006"/>
    <w:rsid w:val="1AD67034"/>
    <w:rsid w:val="1AD842D5"/>
    <w:rsid w:val="1AE85459"/>
    <w:rsid w:val="1B073BAB"/>
    <w:rsid w:val="1B073DE2"/>
    <w:rsid w:val="1B0760BC"/>
    <w:rsid w:val="1B0C0358"/>
    <w:rsid w:val="1B0C1AB2"/>
    <w:rsid w:val="1B0E67CD"/>
    <w:rsid w:val="1B1224B2"/>
    <w:rsid w:val="1B153125"/>
    <w:rsid w:val="1B2279CF"/>
    <w:rsid w:val="1B2330F5"/>
    <w:rsid w:val="1B29021F"/>
    <w:rsid w:val="1B2D59ED"/>
    <w:rsid w:val="1B304904"/>
    <w:rsid w:val="1B365952"/>
    <w:rsid w:val="1B3736C7"/>
    <w:rsid w:val="1B3A5427"/>
    <w:rsid w:val="1B446B4C"/>
    <w:rsid w:val="1B4C0362"/>
    <w:rsid w:val="1B4D72F6"/>
    <w:rsid w:val="1B54084A"/>
    <w:rsid w:val="1B54406C"/>
    <w:rsid w:val="1B6114EF"/>
    <w:rsid w:val="1B6610FC"/>
    <w:rsid w:val="1B67528D"/>
    <w:rsid w:val="1B6805B4"/>
    <w:rsid w:val="1B7749BD"/>
    <w:rsid w:val="1B7C4126"/>
    <w:rsid w:val="1B7F26AC"/>
    <w:rsid w:val="1B842FEC"/>
    <w:rsid w:val="1B845C70"/>
    <w:rsid w:val="1B8F7480"/>
    <w:rsid w:val="1B976E9A"/>
    <w:rsid w:val="1BA21492"/>
    <w:rsid w:val="1BA809CC"/>
    <w:rsid w:val="1BBD091F"/>
    <w:rsid w:val="1BBD7FE9"/>
    <w:rsid w:val="1BD22D11"/>
    <w:rsid w:val="1BDB0BFF"/>
    <w:rsid w:val="1BDB0DA5"/>
    <w:rsid w:val="1BE04F0C"/>
    <w:rsid w:val="1BE24F7B"/>
    <w:rsid w:val="1BE5562E"/>
    <w:rsid w:val="1BE97434"/>
    <w:rsid w:val="1BEA548C"/>
    <w:rsid w:val="1BEA64F5"/>
    <w:rsid w:val="1BEE45C6"/>
    <w:rsid w:val="1BF10321"/>
    <w:rsid w:val="1BF11F42"/>
    <w:rsid w:val="1BFD7FA9"/>
    <w:rsid w:val="1C0877F3"/>
    <w:rsid w:val="1C0D0BCA"/>
    <w:rsid w:val="1C0F29EC"/>
    <w:rsid w:val="1C0F3D5D"/>
    <w:rsid w:val="1C13243B"/>
    <w:rsid w:val="1C18387B"/>
    <w:rsid w:val="1C19367C"/>
    <w:rsid w:val="1C197B20"/>
    <w:rsid w:val="1C1A3173"/>
    <w:rsid w:val="1C1A6100"/>
    <w:rsid w:val="1C2D7127"/>
    <w:rsid w:val="1C3913EC"/>
    <w:rsid w:val="1C48331A"/>
    <w:rsid w:val="1C4C1CA3"/>
    <w:rsid w:val="1C4E51E9"/>
    <w:rsid w:val="1C5844AE"/>
    <w:rsid w:val="1C5E0771"/>
    <w:rsid w:val="1C6C249B"/>
    <w:rsid w:val="1C6C2EAA"/>
    <w:rsid w:val="1C800AD2"/>
    <w:rsid w:val="1C87719F"/>
    <w:rsid w:val="1C8907DC"/>
    <w:rsid w:val="1C8C1DA7"/>
    <w:rsid w:val="1C9101CC"/>
    <w:rsid w:val="1C9219F1"/>
    <w:rsid w:val="1C9C6787"/>
    <w:rsid w:val="1CA27E99"/>
    <w:rsid w:val="1CA73B66"/>
    <w:rsid w:val="1CAB6104"/>
    <w:rsid w:val="1CB1237A"/>
    <w:rsid w:val="1CD423AD"/>
    <w:rsid w:val="1CD452A1"/>
    <w:rsid w:val="1CE4012E"/>
    <w:rsid w:val="1CEB340B"/>
    <w:rsid w:val="1CF2284B"/>
    <w:rsid w:val="1CF37625"/>
    <w:rsid w:val="1CFC0FF0"/>
    <w:rsid w:val="1CFC5477"/>
    <w:rsid w:val="1D007C0D"/>
    <w:rsid w:val="1D0165EA"/>
    <w:rsid w:val="1D0544DE"/>
    <w:rsid w:val="1D054D33"/>
    <w:rsid w:val="1D0825CD"/>
    <w:rsid w:val="1D126A49"/>
    <w:rsid w:val="1D132A54"/>
    <w:rsid w:val="1D154C08"/>
    <w:rsid w:val="1D1E4160"/>
    <w:rsid w:val="1D22018B"/>
    <w:rsid w:val="1D224ABC"/>
    <w:rsid w:val="1D253DA3"/>
    <w:rsid w:val="1D2B7B0B"/>
    <w:rsid w:val="1D2C5587"/>
    <w:rsid w:val="1D420E19"/>
    <w:rsid w:val="1D447EF4"/>
    <w:rsid w:val="1D464DC3"/>
    <w:rsid w:val="1D4B133C"/>
    <w:rsid w:val="1D5220EF"/>
    <w:rsid w:val="1D543429"/>
    <w:rsid w:val="1D5C735B"/>
    <w:rsid w:val="1D5D3FE3"/>
    <w:rsid w:val="1D606596"/>
    <w:rsid w:val="1D61421C"/>
    <w:rsid w:val="1D6C3439"/>
    <w:rsid w:val="1D7535EB"/>
    <w:rsid w:val="1D8078E5"/>
    <w:rsid w:val="1D822DBF"/>
    <w:rsid w:val="1D93607D"/>
    <w:rsid w:val="1DA86AD5"/>
    <w:rsid w:val="1DB06C75"/>
    <w:rsid w:val="1DC11319"/>
    <w:rsid w:val="1DC83382"/>
    <w:rsid w:val="1DCF663E"/>
    <w:rsid w:val="1DD137D0"/>
    <w:rsid w:val="1DD22755"/>
    <w:rsid w:val="1DD737EE"/>
    <w:rsid w:val="1DDD4F7E"/>
    <w:rsid w:val="1DE1641B"/>
    <w:rsid w:val="1DEB181E"/>
    <w:rsid w:val="1DEF28E6"/>
    <w:rsid w:val="1DFA0AB0"/>
    <w:rsid w:val="1DFA6837"/>
    <w:rsid w:val="1DFF27DA"/>
    <w:rsid w:val="1E0658DD"/>
    <w:rsid w:val="1E0C07D7"/>
    <w:rsid w:val="1E0C2AF1"/>
    <w:rsid w:val="1E114F52"/>
    <w:rsid w:val="1E193E07"/>
    <w:rsid w:val="1E1D38F7"/>
    <w:rsid w:val="1E1F4BF2"/>
    <w:rsid w:val="1E2139A5"/>
    <w:rsid w:val="1E234C86"/>
    <w:rsid w:val="1E2E0977"/>
    <w:rsid w:val="1E321056"/>
    <w:rsid w:val="1E3B5065"/>
    <w:rsid w:val="1E3C64F5"/>
    <w:rsid w:val="1E440681"/>
    <w:rsid w:val="1E47249C"/>
    <w:rsid w:val="1E472722"/>
    <w:rsid w:val="1E4F21A5"/>
    <w:rsid w:val="1E4F7829"/>
    <w:rsid w:val="1E5C3799"/>
    <w:rsid w:val="1E5D469E"/>
    <w:rsid w:val="1E5E37F8"/>
    <w:rsid w:val="1E643735"/>
    <w:rsid w:val="1E643BE7"/>
    <w:rsid w:val="1E69067A"/>
    <w:rsid w:val="1E822A7D"/>
    <w:rsid w:val="1E8B2E9E"/>
    <w:rsid w:val="1E93334F"/>
    <w:rsid w:val="1EA54639"/>
    <w:rsid w:val="1EA85C35"/>
    <w:rsid w:val="1EAD3409"/>
    <w:rsid w:val="1EAE09F3"/>
    <w:rsid w:val="1EB5485A"/>
    <w:rsid w:val="1EB7410B"/>
    <w:rsid w:val="1EC328CB"/>
    <w:rsid w:val="1EC43D73"/>
    <w:rsid w:val="1ECB3353"/>
    <w:rsid w:val="1ECE2AE8"/>
    <w:rsid w:val="1ED41ADC"/>
    <w:rsid w:val="1ED832E8"/>
    <w:rsid w:val="1EDA0210"/>
    <w:rsid w:val="1EDD384A"/>
    <w:rsid w:val="1EDE3604"/>
    <w:rsid w:val="1EEF4C59"/>
    <w:rsid w:val="1F08416F"/>
    <w:rsid w:val="1F087822"/>
    <w:rsid w:val="1F0D179A"/>
    <w:rsid w:val="1F0E40F9"/>
    <w:rsid w:val="1F183E91"/>
    <w:rsid w:val="1F1F4D87"/>
    <w:rsid w:val="1F1F7107"/>
    <w:rsid w:val="1F201259"/>
    <w:rsid w:val="1F20597B"/>
    <w:rsid w:val="1F251C50"/>
    <w:rsid w:val="1F265BAC"/>
    <w:rsid w:val="1F341AFA"/>
    <w:rsid w:val="1F3723A9"/>
    <w:rsid w:val="1F40325E"/>
    <w:rsid w:val="1F4629DA"/>
    <w:rsid w:val="1F482F64"/>
    <w:rsid w:val="1F502961"/>
    <w:rsid w:val="1F510437"/>
    <w:rsid w:val="1F57394F"/>
    <w:rsid w:val="1F601E7E"/>
    <w:rsid w:val="1F6A2350"/>
    <w:rsid w:val="1F754AD6"/>
    <w:rsid w:val="1F7B786F"/>
    <w:rsid w:val="1F852AAF"/>
    <w:rsid w:val="1F8D3DBA"/>
    <w:rsid w:val="1F9113C3"/>
    <w:rsid w:val="1F926EF0"/>
    <w:rsid w:val="1F961E0C"/>
    <w:rsid w:val="1F99097D"/>
    <w:rsid w:val="1F9D6372"/>
    <w:rsid w:val="1F9F0D7A"/>
    <w:rsid w:val="1FAA740D"/>
    <w:rsid w:val="1FAE0BA9"/>
    <w:rsid w:val="1FAE6BD0"/>
    <w:rsid w:val="1FB53A2A"/>
    <w:rsid w:val="1FB65DB1"/>
    <w:rsid w:val="1FC43B85"/>
    <w:rsid w:val="1FC5233B"/>
    <w:rsid w:val="1FC54372"/>
    <w:rsid w:val="1FC7739F"/>
    <w:rsid w:val="1FCA53B9"/>
    <w:rsid w:val="1FCB4F11"/>
    <w:rsid w:val="1FD16044"/>
    <w:rsid w:val="1FD55B0C"/>
    <w:rsid w:val="1FD55D41"/>
    <w:rsid w:val="1FD732D0"/>
    <w:rsid w:val="1FDD3CBB"/>
    <w:rsid w:val="1FE05750"/>
    <w:rsid w:val="20020FF7"/>
    <w:rsid w:val="200C59D1"/>
    <w:rsid w:val="2013335E"/>
    <w:rsid w:val="201651A8"/>
    <w:rsid w:val="201D5E8A"/>
    <w:rsid w:val="20314CDF"/>
    <w:rsid w:val="20370A43"/>
    <w:rsid w:val="203C2255"/>
    <w:rsid w:val="20492A76"/>
    <w:rsid w:val="20503055"/>
    <w:rsid w:val="20516A71"/>
    <w:rsid w:val="20576E6A"/>
    <w:rsid w:val="205E1FA5"/>
    <w:rsid w:val="20613946"/>
    <w:rsid w:val="206A0162"/>
    <w:rsid w:val="206F25DA"/>
    <w:rsid w:val="20743577"/>
    <w:rsid w:val="20784E15"/>
    <w:rsid w:val="20816EC3"/>
    <w:rsid w:val="20824619"/>
    <w:rsid w:val="20887022"/>
    <w:rsid w:val="20891992"/>
    <w:rsid w:val="208A494E"/>
    <w:rsid w:val="20914128"/>
    <w:rsid w:val="20917462"/>
    <w:rsid w:val="209E05F3"/>
    <w:rsid w:val="209F7654"/>
    <w:rsid w:val="20A420AE"/>
    <w:rsid w:val="20AA17C6"/>
    <w:rsid w:val="20AA343C"/>
    <w:rsid w:val="20AC2D10"/>
    <w:rsid w:val="20AC5FD4"/>
    <w:rsid w:val="20B40A19"/>
    <w:rsid w:val="20B90CF3"/>
    <w:rsid w:val="20BE3E18"/>
    <w:rsid w:val="20BE4872"/>
    <w:rsid w:val="20C70D7E"/>
    <w:rsid w:val="20CC6F0F"/>
    <w:rsid w:val="20D37B82"/>
    <w:rsid w:val="20D44015"/>
    <w:rsid w:val="20D603D3"/>
    <w:rsid w:val="20D819E9"/>
    <w:rsid w:val="20D91EB5"/>
    <w:rsid w:val="20D96AD6"/>
    <w:rsid w:val="20DC456D"/>
    <w:rsid w:val="20DE6E5E"/>
    <w:rsid w:val="20E35CC8"/>
    <w:rsid w:val="20E71BFB"/>
    <w:rsid w:val="20EA55E7"/>
    <w:rsid w:val="20EE50D7"/>
    <w:rsid w:val="20F37EA8"/>
    <w:rsid w:val="20F51071"/>
    <w:rsid w:val="20FD3E2F"/>
    <w:rsid w:val="20FD5B9A"/>
    <w:rsid w:val="210112AE"/>
    <w:rsid w:val="21043716"/>
    <w:rsid w:val="21094EBA"/>
    <w:rsid w:val="210E63A8"/>
    <w:rsid w:val="21172664"/>
    <w:rsid w:val="21286C5C"/>
    <w:rsid w:val="212B00D9"/>
    <w:rsid w:val="213662EB"/>
    <w:rsid w:val="213F13B1"/>
    <w:rsid w:val="21416659"/>
    <w:rsid w:val="21427C3C"/>
    <w:rsid w:val="21460A2B"/>
    <w:rsid w:val="214E201A"/>
    <w:rsid w:val="21514168"/>
    <w:rsid w:val="21537E97"/>
    <w:rsid w:val="215533A8"/>
    <w:rsid w:val="21565DEC"/>
    <w:rsid w:val="215B4A9B"/>
    <w:rsid w:val="215E361E"/>
    <w:rsid w:val="215F5E82"/>
    <w:rsid w:val="21612FA5"/>
    <w:rsid w:val="21680048"/>
    <w:rsid w:val="21706F85"/>
    <w:rsid w:val="21713385"/>
    <w:rsid w:val="217F21D3"/>
    <w:rsid w:val="217F6677"/>
    <w:rsid w:val="2184240A"/>
    <w:rsid w:val="218F1FB9"/>
    <w:rsid w:val="21931B28"/>
    <w:rsid w:val="219C2243"/>
    <w:rsid w:val="21A60A43"/>
    <w:rsid w:val="21AD0AEE"/>
    <w:rsid w:val="21C74737"/>
    <w:rsid w:val="21C83084"/>
    <w:rsid w:val="21D27E45"/>
    <w:rsid w:val="21D53277"/>
    <w:rsid w:val="21D64AFB"/>
    <w:rsid w:val="21DD2258"/>
    <w:rsid w:val="21E926E8"/>
    <w:rsid w:val="21EF74F6"/>
    <w:rsid w:val="21F22A04"/>
    <w:rsid w:val="21F4496F"/>
    <w:rsid w:val="21F4671D"/>
    <w:rsid w:val="220270AF"/>
    <w:rsid w:val="220572F8"/>
    <w:rsid w:val="220A2BF6"/>
    <w:rsid w:val="220E654C"/>
    <w:rsid w:val="221A5AEA"/>
    <w:rsid w:val="2226728D"/>
    <w:rsid w:val="222A3EB3"/>
    <w:rsid w:val="22377A02"/>
    <w:rsid w:val="22385FFB"/>
    <w:rsid w:val="223F7C71"/>
    <w:rsid w:val="22451E65"/>
    <w:rsid w:val="22496472"/>
    <w:rsid w:val="224A3FBE"/>
    <w:rsid w:val="224C5A6E"/>
    <w:rsid w:val="224C7AC2"/>
    <w:rsid w:val="22500680"/>
    <w:rsid w:val="22567111"/>
    <w:rsid w:val="22570B4B"/>
    <w:rsid w:val="225C28D9"/>
    <w:rsid w:val="22603DB2"/>
    <w:rsid w:val="22633294"/>
    <w:rsid w:val="22665141"/>
    <w:rsid w:val="22682322"/>
    <w:rsid w:val="22733580"/>
    <w:rsid w:val="22733ED9"/>
    <w:rsid w:val="22742C19"/>
    <w:rsid w:val="22862287"/>
    <w:rsid w:val="22886135"/>
    <w:rsid w:val="228B7B4C"/>
    <w:rsid w:val="228F2A6B"/>
    <w:rsid w:val="2295036D"/>
    <w:rsid w:val="22952481"/>
    <w:rsid w:val="229852B4"/>
    <w:rsid w:val="22A92312"/>
    <w:rsid w:val="22AF1947"/>
    <w:rsid w:val="22B766A5"/>
    <w:rsid w:val="22B82AE7"/>
    <w:rsid w:val="22C144B4"/>
    <w:rsid w:val="22C24A6D"/>
    <w:rsid w:val="22C46136"/>
    <w:rsid w:val="22CB412A"/>
    <w:rsid w:val="22D25066"/>
    <w:rsid w:val="22D476E7"/>
    <w:rsid w:val="22D81E8A"/>
    <w:rsid w:val="22EA5D72"/>
    <w:rsid w:val="22F34A05"/>
    <w:rsid w:val="22F8794F"/>
    <w:rsid w:val="22FA47E3"/>
    <w:rsid w:val="22FE7D46"/>
    <w:rsid w:val="2307246D"/>
    <w:rsid w:val="23104797"/>
    <w:rsid w:val="23115916"/>
    <w:rsid w:val="23155123"/>
    <w:rsid w:val="231873AC"/>
    <w:rsid w:val="23197FC6"/>
    <w:rsid w:val="231C7345"/>
    <w:rsid w:val="231D3B00"/>
    <w:rsid w:val="2329373C"/>
    <w:rsid w:val="232A0E12"/>
    <w:rsid w:val="232D45F4"/>
    <w:rsid w:val="232F19D7"/>
    <w:rsid w:val="233012E3"/>
    <w:rsid w:val="23301C5D"/>
    <w:rsid w:val="233B65CE"/>
    <w:rsid w:val="233D6E63"/>
    <w:rsid w:val="233E0266"/>
    <w:rsid w:val="234B129F"/>
    <w:rsid w:val="234E3B9A"/>
    <w:rsid w:val="23575A7C"/>
    <w:rsid w:val="235F78DE"/>
    <w:rsid w:val="23653BE6"/>
    <w:rsid w:val="2366364A"/>
    <w:rsid w:val="236973B4"/>
    <w:rsid w:val="23750355"/>
    <w:rsid w:val="23784E17"/>
    <w:rsid w:val="2378526A"/>
    <w:rsid w:val="237F7E98"/>
    <w:rsid w:val="23825F18"/>
    <w:rsid w:val="238368EE"/>
    <w:rsid w:val="238B0D7A"/>
    <w:rsid w:val="238C05EB"/>
    <w:rsid w:val="238E7063"/>
    <w:rsid w:val="23A43088"/>
    <w:rsid w:val="23A63BC3"/>
    <w:rsid w:val="23A77E84"/>
    <w:rsid w:val="23B31D87"/>
    <w:rsid w:val="23B51E58"/>
    <w:rsid w:val="23B538F9"/>
    <w:rsid w:val="23BA7B18"/>
    <w:rsid w:val="23BE18B6"/>
    <w:rsid w:val="23C375BE"/>
    <w:rsid w:val="23C53FBE"/>
    <w:rsid w:val="23C71B47"/>
    <w:rsid w:val="23CB624C"/>
    <w:rsid w:val="23CC1C6B"/>
    <w:rsid w:val="23CD61AC"/>
    <w:rsid w:val="23CF0B6B"/>
    <w:rsid w:val="23D5721E"/>
    <w:rsid w:val="23DB0FDF"/>
    <w:rsid w:val="23DF6B74"/>
    <w:rsid w:val="23E32E20"/>
    <w:rsid w:val="23E46FA0"/>
    <w:rsid w:val="23EE4500"/>
    <w:rsid w:val="23EF3FDD"/>
    <w:rsid w:val="23F001FD"/>
    <w:rsid w:val="23F432AA"/>
    <w:rsid w:val="24093467"/>
    <w:rsid w:val="240F25FE"/>
    <w:rsid w:val="241155FA"/>
    <w:rsid w:val="241938C6"/>
    <w:rsid w:val="241B4550"/>
    <w:rsid w:val="2421586C"/>
    <w:rsid w:val="24217E53"/>
    <w:rsid w:val="24242F18"/>
    <w:rsid w:val="242722DE"/>
    <w:rsid w:val="243A75D6"/>
    <w:rsid w:val="243B4464"/>
    <w:rsid w:val="243D4464"/>
    <w:rsid w:val="243E6375"/>
    <w:rsid w:val="24547A80"/>
    <w:rsid w:val="245C36AA"/>
    <w:rsid w:val="247000B5"/>
    <w:rsid w:val="24736CE8"/>
    <w:rsid w:val="247A18E9"/>
    <w:rsid w:val="247B37A6"/>
    <w:rsid w:val="2489070A"/>
    <w:rsid w:val="24915260"/>
    <w:rsid w:val="24942FF7"/>
    <w:rsid w:val="249652E1"/>
    <w:rsid w:val="249B23C3"/>
    <w:rsid w:val="24A16BE3"/>
    <w:rsid w:val="24A9349C"/>
    <w:rsid w:val="24AD52A9"/>
    <w:rsid w:val="24AD743A"/>
    <w:rsid w:val="24B35957"/>
    <w:rsid w:val="24CA73EE"/>
    <w:rsid w:val="24CD1D48"/>
    <w:rsid w:val="24CF2DB7"/>
    <w:rsid w:val="24CF3AD2"/>
    <w:rsid w:val="24DE176E"/>
    <w:rsid w:val="24EA2BCD"/>
    <w:rsid w:val="24EC647A"/>
    <w:rsid w:val="24ED0499"/>
    <w:rsid w:val="24EE7D9B"/>
    <w:rsid w:val="24F15196"/>
    <w:rsid w:val="24F632A5"/>
    <w:rsid w:val="24F955B0"/>
    <w:rsid w:val="24F97089"/>
    <w:rsid w:val="24FB2136"/>
    <w:rsid w:val="25122ADA"/>
    <w:rsid w:val="251B2C94"/>
    <w:rsid w:val="251F79D1"/>
    <w:rsid w:val="25317C88"/>
    <w:rsid w:val="253566CE"/>
    <w:rsid w:val="25377454"/>
    <w:rsid w:val="2548391D"/>
    <w:rsid w:val="25496D80"/>
    <w:rsid w:val="254E73D4"/>
    <w:rsid w:val="255319AC"/>
    <w:rsid w:val="255B25F6"/>
    <w:rsid w:val="255E0E6D"/>
    <w:rsid w:val="256C342C"/>
    <w:rsid w:val="257151B9"/>
    <w:rsid w:val="25760AB0"/>
    <w:rsid w:val="257739C1"/>
    <w:rsid w:val="25777D91"/>
    <w:rsid w:val="257A11B7"/>
    <w:rsid w:val="257A4AAF"/>
    <w:rsid w:val="25800D26"/>
    <w:rsid w:val="259C1EC3"/>
    <w:rsid w:val="259D15DF"/>
    <w:rsid w:val="259E7E90"/>
    <w:rsid w:val="259F5A1E"/>
    <w:rsid w:val="25AD01C7"/>
    <w:rsid w:val="25B21131"/>
    <w:rsid w:val="25B3069D"/>
    <w:rsid w:val="25B709D1"/>
    <w:rsid w:val="25B85FF9"/>
    <w:rsid w:val="25BB0C68"/>
    <w:rsid w:val="25BC6F1F"/>
    <w:rsid w:val="25BD32CA"/>
    <w:rsid w:val="25C54F0B"/>
    <w:rsid w:val="25C7757A"/>
    <w:rsid w:val="25C96113"/>
    <w:rsid w:val="25DF23AC"/>
    <w:rsid w:val="25E46AA9"/>
    <w:rsid w:val="25E75C6A"/>
    <w:rsid w:val="25E93CE5"/>
    <w:rsid w:val="25F202D7"/>
    <w:rsid w:val="25F57A8F"/>
    <w:rsid w:val="25FA3B7B"/>
    <w:rsid w:val="25FB50D2"/>
    <w:rsid w:val="25FC0296"/>
    <w:rsid w:val="260158AC"/>
    <w:rsid w:val="261F5D33"/>
    <w:rsid w:val="262339B3"/>
    <w:rsid w:val="262341A7"/>
    <w:rsid w:val="262A4670"/>
    <w:rsid w:val="26497436"/>
    <w:rsid w:val="265500FC"/>
    <w:rsid w:val="26567853"/>
    <w:rsid w:val="26594B5D"/>
    <w:rsid w:val="265C2AE3"/>
    <w:rsid w:val="265C687C"/>
    <w:rsid w:val="26611E27"/>
    <w:rsid w:val="26630315"/>
    <w:rsid w:val="266D2F42"/>
    <w:rsid w:val="26705B30"/>
    <w:rsid w:val="26711DC1"/>
    <w:rsid w:val="267650E3"/>
    <w:rsid w:val="267D2AD0"/>
    <w:rsid w:val="267F0C45"/>
    <w:rsid w:val="26873DCC"/>
    <w:rsid w:val="269277C0"/>
    <w:rsid w:val="2697423D"/>
    <w:rsid w:val="26A30712"/>
    <w:rsid w:val="26AA1AA0"/>
    <w:rsid w:val="26B47A3B"/>
    <w:rsid w:val="26B80661"/>
    <w:rsid w:val="26B91CE3"/>
    <w:rsid w:val="26BC05C1"/>
    <w:rsid w:val="26C225EA"/>
    <w:rsid w:val="26C54B2C"/>
    <w:rsid w:val="26CB74A4"/>
    <w:rsid w:val="26CE7AF2"/>
    <w:rsid w:val="26D55911"/>
    <w:rsid w:val="26D760A3"/>
    <w:rsid w:val="26DE4BD7"/>
    <w:rsid w:val="26EB3E67"/>
    <w:rsid w:val="26F86CAF"/>
    <w:rsid w:val="26FB2B78"/>
    <w:rsid w:val="27035E70"/>
    <w:rsid w:val="27037402"/>
    <w:rsid w:val="270844FB"/>
    <w:rsid w:val="270C275B"/>
    <w:rsid w:val="27113904"/>
    <w:rsid w:val="2718580E"/>
    <w:rsid w:val="27196C26"/>
    <w:rsid w:val="273740AB"/>
    <w:rsid w:val="27432A0D"/>
    <w:rsid w:val="274570EF"/>
    <w:rsid w:val="27467D12"/>
    <w:rsid w:val="274B460C"/>
    <w:rsid w:val="27535EAD"/>
    <w:rsid w:val="27594EE3"/>
    <w:rsid w:val="27613874"/>
    <w:rsid w:val="2768079F"/>
    <w:rsid w:val="276D09AD"/>
    <w:rsid w:val="27764078"/>
    <w:rsid w:val="277B782C"/>
    <w:rsid w:val="277E048B"/>
    <w:rsid w:val="27807BE0"/>
    <w:rsid w:val="27840BC4"/>
    <w:rsid w:val="27891F1F"/>
    <w:rsid w:val="278B39A0"/>
    <w:rsid w:val="27952D0C"/>
    <w:rsid w:val="27AD1BF4"/>
    <w:rsid w:val="27AE55C0"/>
    <w:rsid w:val="27B01A27"/>
    <w:rsid w:val="27BF77C0"/>
    <w:rsid w:val="27C85FD9"/>
    <w:rsid w:val="27D47AFB"/>
    <w:rsid w:val="27D8088F"/>
    <w:rsid w:val="27DD40F7"/>
    <w:rsid w:val="27E379F9"/>
    <w:rsid w:val="27E5180D"/>
    <w:rsid w:val="27ED7DE4"/>
    <w:rsid w:val="27F07987"/>
    <w:rsid w:val="27F136FF"/>
    <w:rsid w:val="27F33914"/>
    <w:rsid w:val="27F57116"/>
    <w:rsid w:val="27F5711F"/>
    <w:rsid w:val="27F82CDF"/>
    <w:rsid w:val="27FB7F72"/>
    <w:rsid w:val="280A3B62"/>
    <w:rsid w:val="280E2820"/>
    <w:rsid w:val="280F435B"/>
    <w:rsid w:val="281D6CC2"/>
    <w:rsid w:val="281F2689"/>
    <w:rsid w:val="28271A9C"/>
    <w:rsid w:val="282C4737"/>
    <w:rsid w:val="282F2104"/>
    <w:rsid w:val="283106A2"/>
    <w:rsid w:val="28343622"/>
    <w:rsid w:val="2837234C"/>
    <w:rsid w:val="283946CF"/>
    <w:rsid w:val="28397BB7"/>
    <w:rsid w:val="283D467A"/>
    <w:rsid w:val="283F090E"/>
    <w:rsid w:val="28464EB7"/>
    <w:rsid w:val="285B1B84"/>
    <w:rsid w:val="286D509C"/>
    <w:rsid w:val="286F1256"/>
    <w:rsid w:val="28700AC7"/>
    <w:rsid w:val="287A1946"/>
    <w:rsid w:val="287A5C93"/>
    <w:rsid w:val="287B2E22"/>
    <w:rsid w:val="28805C34"/>
    <w:rsid w:val="28877788"/>
    <w:rsid w:val="288A6BD7"/>
    <w:rsid w:val="289774A5"/>
    <w:rsid w:val="289C0CC5"/>
    <w:rsid w:val="289E3886"/>
    <w:rsid w:val="28A30E9D"/>
    <w:rsid w:val="28B52B84"/>
    <w:rsid w:val="28B62055"/>
    <w:rsid w:val="28B6530D"/>
    <w:rsid w:val="28B900D0"/>
    <w:rsid w:val="28BA0576"/>
    <w:rsid w:val="28BE1200"/>
    <w:rsid w:val="28BE433A"/>
    <w:rsid w:val="28C113CE"/>
    <w:rsid w:val="28D07C9B"/>
    <w:rsid w:val="28D252DE"/>
    <w:rsid w:val="28D9666D"/>
    <w:rsid w:val="28DB489F"/>
    <w:rsid w:val="28E412E8"/>
    <w:rsid w:val="28E701B9"/>
    <w:rsid w:val="28F51EF5"/>
    <w:rsid w:val="28F56991"/>
    <w:rsid w:val="28F6307A"/>
    <w:rsid w:val="28F72F97"/>
    <w:rsid w:val="28FD75EE"/>
    <w:rsid w:val="290048E2"/>
    <w:rsid w:val="29013ECB"/>
    <w:rsid w:val="290731DA"/>
    <w:rsid w:val="29075556"/>
    <w:rsid w:val="290819A0"/>
    <w:rsid w:val="290D04A9"/>
    <w:rsid w:val="29115E06"/>
    <w:rsid w:val="2914220C"/>
    <w:rsid w:val="29176798"/>
    <w:rsid w:val="291D20EF"/>
    <w:rsid w:val="291F125C"/>
    <w:rsid w:val="2920153E"/>
    <w:rsid w:val="29312027"/>
    <w:rsid w:val="29355407"/>
    <w:rsid w:val="29362887"/>
    <w:rsid w:val="2944442E"/>
    <w:rsid w:val="29451CC9"/>
    <w:rsid w:val="29490D39"/>
    <w:rsid w:val="294A05A4"/>
    <w:rsid w:val="294F7972"/>
    <w:rsid w:val="29601B37"/>
    <w:rsid w:val="29610A2E"/>
    <w:rsid w:val="29612689"/>
    <w:rsid w:val="296240D2"/>
    <w:rsid w:val="296248B4"/>
    <w:rsid w:val="296929CD"/>
    <w:rsid w:val="296F5223"/>
    <w:rsid w:val="296F6FD1"/>
    <w:rsid w:val="297212A8"/>
    <w:rsid w:val="297B3BC8"/>
    <w:rsid w:val="298E56A9"/>
    <w:rsid w:val="299E47C2"/>
    <w:rsid w:val="29AF524F"/>
    <w:rsid w:val="29B84AC1"/>
    <w:rsid w:val="29CB0B76"/>
    <w:rsid w:val="29D21C22"/>
    <w:rsid w:val="29D60B4D"/>
    <w:rsid w:val="29D7787C"/>
    <w:rsid w:val="29DE108B"/>
    <w:rsid w:val="29E03805"/>
    <w:rsid w:val="29E3394D"/>
    <w:rsid w:val="29E95A6F"/>
    <w:rsid w:val="2A0400B7"/>
    <w:rsid w:val="2A082061"/>
    <w:rsid w:val="2A1E7FCA"/>
    <w:rsid w:val="2A202734"/>
    <w:rsid w:val="2A2D200B"/>
    <w:rsid w:val="2A2F46E8"/>
    <w:rsid w:val="2A391AB9"/>
    <w:rsid w:val="2A39664F"/>
    <w:rsid w:val="2A3D625A"/>
    <w:rsid w:val="2A4258B3"/>
    <w:rsid w:val="2A457E28"/>
    <w:rsid w:val="2A4B3809"/>
    <w:rsid w:val="2A510201"/>
    <w:rsid w:val="2A5F1C14"/>
    <w:rsid w:val="2A5F6277"/>
    <w:rsid w:val="2A844C48"/>
    <w:rsid w:val="2A846F15"/>
    <w:rsid w:val="2A8D2287"/>
    <w:rsid w:val="2A913100"/>
    <w:rsid w:val="2A9250EA"/>
    <w:rsid w:val="2A946CEF"/>
    <w:rsid w:val="2A9D5210"/>
    <w:rsid w:val="2A9E7B6E"/>
    <w:rsid w:val="2AA11403"/>
    <w:rsid w:val="2AA33CA7"/>
    <w:rsid w:val="2AA424D8"/>
    <w:rsid w:val="2AAE01E7"/>
    <w:rsid w:val="2AB075FA"/>
    <w:rsid w:val="2ABB3F26"/>
    <w:rsid w:val="2AC80BCD"/>
    <w:rsid w:val="2AD0687B"/>
    <w:rsid w:val="2AD13F09"/>
    <w:rsid w:val="2AD27615"/>
    <w:rsid w:val="2ADB0753"/>
    <w:rsid w:val="2ADC4F11"/>
    <w:rsid w:val="2AE05DA1"/>
    <w:rsid w:val="2AE537F2"/>
    <w:rsid w:val="2AEA3129"/>
    <w:rsid w:val="2AEB2687"/>
    <w:rsid w:val="2AFB6D6E"/>
    <w:rsid w:val="2AFF72FC"/>
    <w:rsid w:val="2B05235F"/>
    <w:rsid w:val="2B08148B"/>
    <w:rsid w:val="2B0A2E19"/>
    <w:rsid w:val="2B0D6237"/>
    <w:rsid w:val="2B1024B2"/>
    <w:rsid w:val="2B151077"/>
    <w:rsid w:val="2B2160A9"/>
    <w:rsid w:val="2B312799"/>
    <w:rsid w:val="2B335D46"/>
    <w:rsid w:val="2B3D73D2"/>
    <w:rsid w:val="2B3F7EF3"/>
    <w:rsid w:val="2B404781"/>
    <w:rsid w:val="2B431417"/>
    <w:rsid w:val="2B441BCF"/>
    <w:rsid w:val="2B4A6F49"/>
    <w:rsid w:val="2B5246E7"/>
    <w:rsid w:val="2B54647E"/>
    <w:rsid w:val="2B5B3F80"/>
    <w:rsid w:val="2B607D2C"/>
    <w:rsid w:val="2B6A0DDE"/>
    <w:rsid w:val="2B760CAC"/>
    <w:rsid w:val="2B803634"/>
    <w:rsid w:val="2B95320E"/>
    <w:rsid w:val="2B995ADD"/>
    <w:rsid w:val="2B9B3029"/>
    <w:rsid w:val="2BAE2038"/>
    <w:rsid w:val="2BBF0937"/>
    <w:rsid w:val="2BCE43DC"/>
    <w:rsid w:val="2BD66A96"/>
    <w:rsid w:val="2BD82C0B"/>
    <w:rsid w:val="2BE17B15"/>
    <w:rsid w:val="2BE37449"/>
    <w:rsid w:val="2BE47802"/>
    <w:rsid w:val="2BEC46A8"/>
    <w:rsid w:val="2BF0173C"/>
    <w:rsid w:val="2BF043F9"/>
    <w:rsid w:val="2BF05F08"/>
    <w:rsid w:val="2BF8006C"/>
    <w:rsid w:val="2BFA580E"/>
    <w:rsid w:val="2BFC1952"/>
    <w:rsid w:val="2BFE66FA"/>
    <w:rsid w:val="2C027343"/>
    <w:rsid w:val="2C0559CB"/>
    <w:rsid w:val="2C1212D4"/>
    <w:rsid w:val="2C121BCC"/>
    <w:rsid w:val="2C133D9F"/>
    <w:rsid w:val="2C182311"/>
    <w:rsid w:val="2C2B5431"/>
    <w:rsid w:val="2C2E4F21"/>
    <w:rsid w:val="2C310493"/>
    <w:rsid w:val="2C35005E"/>
    <w:rsid w:val="2C401D21"/>
    <w:rsid w:val="2C4948D5"/>
    <w:rsid w:val="2C4B7881"/>
    <w:rsid w:val="2C574478"/>
    <w:rsid w:val="2C5767A4"/>
    <w:rsid w:val="2C70332B"/>
    <w:rsid w:val="2C7301B7"/>
    <w:rsid w:val="2C7A714B"/>
    <w:rsid w:val="2C7B7B25"/>
    <w:rsid w:val="2C7C18CE"/>
    <w:rsid w:val="2C7C72F8"/>
    <w:rsid w:val="2C892158"/>
    <w:rsid w:val="2C907AAC"/>
    <w:rsid w:val="2C9171F8"/>
    <w:rsid w:val="2C9D4877"/>
    <w:rsid w:val="2CA40D8B"/>
    <w:rsid w:val="2CA578B0"/>
    <w:rsid w:val="2CA84684"/>
    <w:rsid w:val="2CA86DBF"/>
    <w:rsid w:val="2CA950F9"/>
    <w:rsid w:val="2CAE56E3"/>
    <w:rsid w:val="2CC11E74"/>
    <w:rsid w:val="2CC25454"/>
    <w:rsid w:val="2CCB21A3"/>
    <w:rsid w:val="2CCF386A"/>
    <w:rsid w:val="2CD3611E"/>
    <w:rsid w:val="2CD51841"/>
    <w:rsid w:val="2CD522A4"/>
    <w:rsid w:val="2CD82749"/>
    <w:rsid w:val="2CDB2C90"/>
    <w:rsid w:val="2CDE14C1"/>
    <w:rsid w:val="2CE120E1"/>
    <w:rsid w:val="2CE80DC8"/>
    <w:rsid w:val="2CEB2208"/>
    <w:rsid w:val="2CEC262F"/>
    <w:rsid w:val="2CF173F5"/>
    <w:rsid w:val="2CFA4C4E"/>
    <w:rsid w:val="2CFB2BDF"/>
    <w:rsid w:val="2D0115D8"/>
    <w:rsid w:val="2D016BD6"/>
    <w:rsid w:val="2D095047"/>
    <w:rsid w:val="2D0C670E"/>
    <w:rsid w:val="2D1A60DE"/>
    <w:rsid w:val="2D2F24BD"/>
    <w:rsid w:val="2D3E60AD"/>
    <w:rsid w:val="2D424FEB"/>
    <w:rsid w:val="2D431A7C"/>
    <w:rsid w:val="2D442249"/>
    <w:rsid w:val="2D50634E"/>
    <w:rsid w:val="2D5D6DE9"/>
    <w:rsid w:val="2D5D7481"/>
    <w:rsid w:val="2D684463"/>
    <w:rsid w:val="2D720D75"/>
    <w:rsid w:val="2D83386F"/>
    <w:rsid w:val="2D84171E"/>
    <w:rsid w:val="2D845151"/>
    <w:rsid w:val="2D8D13B1"/>
    <w:rsid w:val="2D8E57F6"/>
    <w:rsid w:val="2D9B0F25"/>
    <w:rsid w:val="2D9F2FC1"/>
    <w:rsid w:val="2DA877CA"/>
    <w:rsid w:val="2DB17BB8"/>
    <w:rsid w:val="2DB20368"/>
    <w:rsid w:val="2DB25117"/>
    <w:rsid w:val="2DB43204"/>
    <w:rsid w:val="2DB651CE"/>
    <w:rsid w:val="2DB7070E"/>
    <w:rsid w:val="2DBD6F8B"/>
    <w:rsid w:val="2DC247B5"/>
    <w:rsid w:val="2DC72F38"/>
    <w:rsid w:val="2DDD4CAA"/>
    <w:rsid w:val="2DE03FA2"/>
    <w:rsid w:val="2DE73DBF"/>
    <w:rsid w:val="2DE92331"/>
    <w:rsid w:val="2DF003B8"/>
    <w:rsid w:val="2DF53F49"/>
    <w:rsid w:val="2DF623C1"/>
    <w:rsid w:val="2E021830"/>
    <w:rsid w:val="2E085A17"/>
    <w:rsid w:val="2E170019"/>
    <w:rsid w:val="2E1D27B6"/>
    <w:rsid w:val="2E254E84"/>
    <w:rsid w:val="2E310CF9"/>
    <w:rsid w:val="2E350140"/>
    <w:rsid w:val="2E3604E4"/>
    <w:rsid w:val="2E374561"/>
    <w:rsid w:val="2E380434"/>
    <w:rsid w:val="2E395F21"/>
    <w:rsid w:val="2E4B4CE2"/>
    <w:rsid w:val="2E4D7A82"/>
    <w:rsid w:val="2E5A0250"/>
    <w:rsid w:val="2E5D477B"/>
    <w:rsid w:val="2E620E8B"/>
    <w:rsid w:val="2E6509B3"/>
    <w:rsid w:val="2E652864"/>
    <w:rsid w:val="2E6611AB"/>
    <w:rsid w:val="2E6E0E89"/>
    <w:rsid w:val="2E71271F"/>
    <w:rsid w:val="2E714C2A"/>
    <w:rsid w:val="2E76670C"/>
    <w:rsid w:val="2E82659B"/>
    <w:rsid w:val="2E87465D"/>
    <w:rsid w:val="2E933762"/>
    <w:rsid w:val="2E9C39B0"/>
    <w:rsid w:val="2E9C40AF"/>
    <w:rsid w:val="2EA3476D"/>
    <w:rsid w:val="2EAE4A13"/>
    <w:rsid w:val="2EB20D04"/>
    <w:rsid w:val="2EB54060"/>
    <w:rsid w:val="2EBD433B"/>
    <w:rsid w:val="2EC0445C"/>
    <w:rsid w:val="2EC35DF5"/>
    <w:rsid w:val="2EC800D6"/>
    <w:rsid w:val="2ECE652F"/>
    <w:rsid w:val="2EDB1156"/>
    <w:rsid w:val="2EDE49DD"/>
    <w:rsid w:val="2EE713B8"/>
    <w:rsid w:val="2EED4C71"/>
    <w:rsid w:val="2EFA10EB"/>
    <w:rsid w:val="2F0142D9"/>
    <w:rsid w:val="2F032695"/>
    <w:rsid w:val="2F0361F1"/>
    <w:rsid w:val="2F094F89"/>
    <w:rsid w:val="2F0B13DC"/>
    <w:rsid w:val="2F0C18D0"/>
    <w:rsid w:val="2F2E2F31"/>
    <w:rsid w:val="2F3678C7"/>
    <w:rsid w:val="2F38284B"/>
    <w:rsid w:val="2F39300F"/>
    <w:rsid w:val="2F3E3A6B"/>
    <w:rsid w:val="2F426A7F"/>
    <w:rsid w:val="2F466B61"/>
    <w:rsid w:val="2F47330D"/>
    <w:rsid w:val="2F477220"/>
    <w:rsid w:val="2F50203C"/>
    <w:rsid w:val="2F511653"/>
    <w:rsid w:val="2F532FCB"/>
    <w:rsid w:val="2F55523E"/>
    <w:rsid w:val="2F670509"/>
    <w:rsid w:val="2F7013AD"/>
    <w:rsid w:val="2F8E7355"/>
    <w:rsid w:val="2FA36573"/>
    <w:rsid w:val="2FA44119"/>
    <w:rsid w:val="2FB12F6A"/>
    <w:rsid w:val="2FB46BCA"/>
    <w:rsid w:val="2FB5399F"/>
    <w:rsid w:val="2FB71009"/>
    <w:rsid w:val="2FB90FA6"/>
    <w:rsid w:val="2FCC248E"/>
    <w:rsid w:val="2FCC2B62"/>
    <w:rsid w:val="2FCC49F9"/>
    <w:rsid w:val="2FD16B2C"/>
    <w:rsid w:val="2FD34F64"/>
    <w:rsid w:val="2FDB716E"/>
    <w:rsid w:val="2FDE2380"/>
    <w:rsid w:val="2FE204FD"/>
    <w:rsid w:val="2FF65AA4"/>
    <w:rsid w:val="2FF75BA9"/>
    <w:rsid w:val="2FFD5337"/>
    <w:rsid w:val="300937F2"/>
    <w:rsid w:val="300A1BBA"/>
    <w:rsid w:val="3029405E"/>
    <w:rsid w:val="30311BFE"/>
    <w:rsid w:val="303F3F83"/>
    <w:rsid w:val="304527EA"/>
    <w:rsid w:val="30467EE1"/>
    <w:rsid w:val="304C2404"/>
    <w:rsid w:val="304E7940"/>
    <w:rsid w:val="304F02D9"/>
    <w:rsid w:val="30561C3B"/>
    <w:rsid w:val="305D7B83"/>
    <w:rsid w:val="305E7C77"/>
    <w:rsid w:val="3067571B"/>
    <w:rsid w:val="30705B08"/>
    <w:rsid w:val="307544D0"/>
    <w:rsid w:val="30772C7D"/>
    <w:rsid w:val="30890978"/>
    <w:rsid w:val="308C0468"/>
    <w:rsid w:val="308D6E04"/>
    <w:rsid w:val="30986E0D"/>
    <w:rsid w:val="309D2676"/>
    <w:rsid w:val="30A1365D"/>
    <w:rsid w:val="30A32A16"/>
    <w:rsid w:val="30B00DBD"/>
    <w:rsid w:val="30B579BF"/>
    <w:rsid w:val="30B87DA9"/>
    <w:rsid w:val="30B96065"/>
    <w:rsid w:val="30BB2AFC"/>
    <w:rsid w:val="30BD0622"/>
    <w:rsid w:val="30BF75E6"/>
    <w:rsid w:val="30C0765E"/>
    <w:rsid w:val="30C714A1"/>
    <w:rsid w:val="30CA334A"/>
    <w:rsid w:val="30CD2F5B"/>
    <w:rsid w:val="30CE0A81"/>
    <w:rsid w:val="30CE282F"/>
    <w:rsid w:val="30CE6CD3"/>
    <w:rsid w:val="30D00355"/>
    <w:rsid w:val="30D41EAC"/>
    <w:rsid w:val="30D757C5"/>
    <w:rsid w:val="30D836AE"/>
    <w:rsid w:val="30F00D74"/>
    <w:rsid w:val="30F2476F"/>
    <w:rsid w:val="30F63F81"/>
    <w:rsid w:val="30FC114A"/>
    <w:rsid w:val="30FF27A0"/>
    <w:rsid w:val="31006689"/>
    <w:rsid w:val="310514A0"/>
    <w:rsid w:val="310571D5"/>
    <w:rsid w:val="31077AEF"/>
    <w:rsid w:val="310B6FEE"/>
    <w:rsid w:val="310F3573"/>
    <w:rsid w:val="31195478"/>
    <w:rsid w:val="311F3D96"/>
    <w:rsid w:val="31216E03"/>
    <w:rsid w:val="312468F3"/>
    <w:rsid w:val="312968EB"/>
    <w:rsid w:val="31310CA9"/>
    <w:rsid w:val="3137759A"/>
    <w:rsid w:val="313D7E27"/>
    <w:rsid w:val="314A2990"/>
    <w:rsid w:val="3159659D"/>
    <w:rsid w:val="315F35DD"/>
    <w:rsid w:val="316550DA"/>
    <w:rsid w:val="316E44E2"/>
    <w:rsid w:val="317512FB"/>
    <w:rsid w:val="31774C75"/>
    <w:rsid w:val="317956DE"/>
    <w:rsid w:val="318008AB"/>
    <w:rsid w:val="318A3471"/>
    <w:rsid w:val="318A4C99"/>
    <w:rsid w:val="318F7FC6"/>
    <w:rsid w:val="31B60F84"/>
    <w:rsid w:val="31C466F2"/>
    <w:rsid w:val="31C932C3"/>
    <w:rsid w:val="31CD6F8B"/>
    <w:rsid w:val="31CE5A8A"/>
    <w:rsid w:val="31CF685F"/>
    <w:rsid w:val="31D85FEC"/>
    <w:rsid w:val="31EB71B5"/>
    <w:rsid w:val="31EE06F3"/>
    <w:rsid w:val="31F20502"/>
    <w:rsid w:val="31F25F89"/>
    <w:rsid w:val="31F412AF"/>
    <w:rsid w:val="31F4543E"/>
    <w:rsid w:val="31FE66B2"/>
    <w:rsid w:val="320301D8"/>
    <w:rsid w:val="3203475A"/>
    <w:rsid w:val="32057DF7"/>
    <w:rsid w:val="32065FEB"/>
    <w:rsid w:val="321B1AA4"/>
    <w:rsid w:val="321D4C62"/>
    <w:rsid w:val="321E5114"/>
    <w:rsid w:val="322C6D1C"/>
    <w:rsid w:val="322F7BB9"/>
    <w:rsid w:val="32384425"/>
    <w:rsid w:val="324232AE"/>
    <w:rsid w:val="32560D2E"/>
    <w:rsid w:val="32594B3C"/>
    <w:rsid w:val="325A6D90"/>
    <w:rsid w:val="326E469E"/>
    <w:rsid w:val="326F1422"/>
    <w:rsid w:val="327115DF"/>
    <w:rsid w:val="327B0A60"/>
    <w:rsid w:val="327C3BBD"/>
    <w:rsid w:val="3280340F"/>
    <w:rsid w:val="328B5E9E"/>
    <w:rsid w:val="329813D2"/>
    <w:rsid w:val="329C6918"/>
    <w:rsid w:val="32A23BE6"/>
    <w:rsid w:val="32A61AD2"/>
    <w:rsid w:val="32A61CB5"/>
    <w:rsid w:val="32AA5420"/>
    <w:rsid w:val="32AD4CC0"/>
    <w:rsid w:val="32BF2B72"/>
    <w:rsid w:val="32C1089D"/>
    <w:rsid w:val="32C56C94"/>
    <w:rsid w:val="32D445A1"/>
    <w:rsid w:val="32DA195F"/>
    <w:rsid w:val="32DB6FEC"/>
    <w:rsid w:val="32DC7D32"/>
    <w:rsid w:val="32DD0373"/>
    <w:rsid w:val="32E03F04"/>
    <w:rsid w:val="32E20814"/>
    <w:rsid w:val="32E96701"/>
    <w:rsid w:val="32ED772B"/>
    <w:rsid w:val="32F946EF"/>
    <w:rsid w:val="32FB08E1"/>
    <w:rsid w:val="330A6B0C"/>
    <w:rsid w:val="33105381"/>
    <w:rsid w:val="33133AB6"/>
    <w:rsid w:val="331F3816"/>
    <w:rsid w:val="33230E14"/>
    <w:rsid w:val="332574B5"/>
    <w:rsid w:val="33260700"/>
    <w:rsid w:val="334910D4"/>
    <w:rsid w:val="334943EF"/>
    <w:rsid w:val="335248BB"/>
    <w:rsid w:val="33606543"/>
    <w:rsid w:val="336B0DF5"/>
    <w:rsid w:val="33733FFA"/>
    <w:rsid w:val="337A143D"/>
    <w:rsid w:val="337D18C1"/>
    <w:rsid w:val="337E22EA"/>
    <w:rsid w:val="338156D7"/>
    <w:rsid w:val="33886F5A"/>
    <w:rsid w:val="338A1A9A"/>
    <w:rsid w:val="33947D60"/>
    <w:rsid w:val="339A539E"/>
    <w:rsid w:val="339E473B"/>
    <w:rsid w:val="33A25E09"/>
    <w:rsid w:val="33A31AAD"/>
    <w:rsid w:val="33A87367"/>
    <w:rsid w:val="33AB50A9"/>
    <w:rsid w:val="33B3392E"/>
    <w:rsid w:val="33B64277"/>
    <w:rsid w:val="33BB60DF"/>
    <w:rsid w:val="33BC7221"/>
    <w:rsid w:val="33C341A1"/>
    <w:rsid w:val="33C3420D"/>
    <w:rsid w:val="33CB12BB"/>
    <w:rsid w:val="33D15C38"/>
    <w:rsid w:val="33D20888"/>
    <w:rsid w:val="33D30B6A"/>
    <w:rsid w:val="33D820C1"/>
    <w:rsid w:val="33DA14EB"/>
    <w:rsid w:val="33DD54C6"/>
    <w:rsid w:val="33E64902"/>
    <w:rsid w:val="33E96710"/>
    <w:rsid w:val="33E9E623"/>
    <w:rsid w:val="33ED182B"/>
    <w:rsid w:val="33EF477D"/>
    <w:rsid w:val="33F425AD"/>
    <w:rsid w:val="33F6716A"/>
    <w:rsid w:val="34014184"/>
    <w:rsid w:val="34027417"/>
    <w:rsid w:val="34087FD5"/>
    <w:rsid w:val="34092359"/>
    <w:rsid w:val="34122845"/>
    <w:rsid w:val="3412791F"/>
    <w:rsid w:val="34256C0A"/>
    <w:rsid w:val="34264730"/>
    <w:rsid w:val="342A0FB3"/>
    <w:rsid w:val="342C0199"/>
    <w:rsid w:val="342D5B8B"/>
    <w:rsid w:val="342D7A4D"/>
    <w:rsid w:val="342E3779"/>
    <w:rsid w:val="342F49A0"/>
    <w:rsid w:val="342F5CDB"/>
    <w:rsid w:val="34316611"/>
    <w:rsid w:val="343A4709"/>
    <w:rsid w:val="343C7170"/>
    <w:rsid w:val="343E0CF6"/>
    <w:rsid w:val="34496D9C"/>
    <w:rsid w:val="344F012B"/>
    <w:rsid w:val="34513D87"/>
    <w:rsid w:val="3458140D"/>
    <w:rsid w:val="34621BB8"/>
    <w:rsid w:val="346239BA"/>
    <w:rsid w:val="34711E4F"/>
    <w:rsid w:val="34745E56"/>
    <w:rsid w:val="347C2CB8"/>
    <w:rsid w:val="348569EA"/>
    <w:rsid w:val="348813C5"/>
    <w:rsid w:val="34A0416F"/>
    <w:rsid w:val="34B953D9"/>
    <w:rsid w:val="34BE3010"/>
    <w:rsid w:val="34C1700C"/>
    <w:rsid w:val="34CC3DC9"/>
    <w:rsid w:val="34DB551B"/>
    <w:rsid w:val="34DF5DBB"/>
    <w:rsid w:val="34E20CCF"/>
    <w:rsid w:val="34E24D9D"/>
    <w:rsid w:val="34EA2AAD"/>
    <w:rsid w:val="34EC49BB"/>
    <w:rsid w:val="34ED2FBE"/>
    <w:rsid w:val="34F05299"/>
    <w:rsid w:val="34F12F90"/>
    <w:rsid w:val="34F63E26"/>
    <w:rsid w:val="34F65DA4"/>
    <w:rsid w:val="3507227F"/>
    <w:rsid w:val="35123632"/>
    <w:rsid w:val="35134CB4"/>
    <w:rsid w:val="35163796"/>
    <w:rsid w:val="35173B78"/>
    <w:rsid w:val="351E0BFC"/>
    <w:rsid w:val="3523369F"/>
    <w:rsid w:val="35380964"/>
    <w:rsid w:val="353A4937"/>
    <w:rsid w:val="354474E9"/>
    <w:rsid w:val="354A1C7C"/>
    <w:rsid w:val="354D39AC"/>
    <w:rsid w:val="354D6418"/>
    <w:rsid w:val="354D6668"/>
    <w:rsid w:val="35530E96"/>
    <w:rsid w:val="3553760D"/>
    <w:rsid w:val="355F30F0"/>
    <w:rsid w:val="356C17BB"/>
    <w:rsid w:val="35720D3A"/>
    <w:rsid w:val="357608CE"/>
    <w:rsid w:val="358677E3"/>
    <w:rsid w:val="358C3258"/>
    <w:rsid w:val="359022CE"/>
    <w:rsid w:val="35973529"/>
    <w:rsid w:val="35A6560B"/>
    <w:rsid w:val="35B167E2"/>
    <w:rsid w:val="35B41C5B"/>
    <w:rsid w:val="35BF175E"/>
    <w:rsid w:val="35C377B9"/>
    <w:rsid w:val="35C407B5"/>
    <w:rsid w:val="35C87D7D"/>
    <w:rsid w:val="35D1140F"/>
    <w:rsid w:val="35D50A51"/>
    <w:rsid w:val="35DA1C76"/>
    <w:rsid w:val="35DD1B3F"/>
    <w:rsid w:val="35E07257"/>
    <w:rsid w:val="35E67A42"/>
    <w:rsid w:val="35F03248"/>
    <w:rsid w:val="35F7165A"/>
    <w:rsid w:val="35F76E7C"/>
    <w:rsid w:val="35FA5E74"/>
    <w:rsid w:val="35FD133C"/>
    <w:rsid w:val="360016CD"/>
    <w:rsid w:val="36051449"/>
    <w:rsid w:val="360C127E"/>
    <w:rsid w:val="36113F0C"/>
    <w:rsid w:val="36117027"/>
    <w:rsid w:val="36156803"/>
    <w:rsid w:val="361A336C"/>
    <w:rsid w:val="362C38CC"/>
    <w:rsid w:val="36346490"/>
    <w:rsid w:val="363978B7"/>
    <w:rsid w:val="363B0967"/>
    <w:rsid w:val="363D6170"/>
    <w:rsid w:val="36454501"/>
    <w:rsid w:val="3647730B"/>
    <w:rsid w:val="3649559D"/>
    <w:rsid w:val="364F27DE"/>
    <w:rsid w:val="36531C6F"/>
    <w:rsid w:val="3656754F"/>
    <w:rsid w:val="36570A64"/>
    <w:rsid w:val="365B2CDD"/>
    <w:rsid w:val="365C07B9"/>
    <w:rsid w:val="36602363"/>
    <w:rsid w:val="36624BA8"/>
    <w:rsid w:val="366458D5"/>
    <w:rsid w:val="366A124C"/>
    <w:rsid w:val="367E16BB"/>
    <w:rsid w:val="368232F5"/>
    <w:rsid w:val="36860ABD"/>
    <w:rsid w:val="368942AB"/>
    <w:rsid w:val="368A43CE"/>
    <w:rsid w:val="368C4D1E"/>
    <w:rsid w:val="36922340"/>
    <w:rsid w:val="369E1EDE"/>
    <w:rsid w:val="36A52284"/>
    <w:rsid w:val="36AE2EA9"/>
    <w:rsid w:val="36B96EED"/>
    <w:rsid w:val="36BD072A"/>
    <w:rsid w:val="36CC2857"/>
    <w:rsid w:val="36CE50A8"/>
    <w:rsid w:val="36D05395"/>
    <w:rsid w:val="36D26BC2"/>
    <w:rsid w:val="36DA5BBF"/>
    <w:rsid w:val="36E27034"/>
    <w:rsid w:val="36F569C9"/>
    <w:rsid w:val="36F84EF1"/>
    <w:rsid w:val="36FF2879"/>
    <w:rsid w:val="37092813"/>
    <w:rsid w:val="37127839"/>
    <w:rsid w:val="371708EF"/>
    <w:rsid w:val="3719237B"/>
    <w:rsid w:val="371A67CE"/>
    <w:rsid w:val="371E300C"/>
    <w:rsid w:val="3720190B"/>
    <w:rsid w:val="3722384F"/>
    <w:rsid w:val="3731107A"/>
    <w:rsid w:val="37321D6A"/>
    <w:rsid w:val="373556F6"/>
    <w:rsid w:val="37396540"/>
    <w:rsid w:val="374038FA"/>
    <w:rsid w:val="374E3AA0"/>
    <w:rsid w:val="37503F9E"/>
    <w:rsid w:val="37517D16"/>
    <w:rsid w:val="375738E6"/>
    <w:rsid w:val="375872F6"/>
    <w:rsid w:val="375A09E1"/>
    <w:rsid w:val="375C238B"/>
    <w:rsid w:val="375C7097"/>
    <w:rsid w:val="376770E8"/>
    <w:rsid w:val="376A4988"/>
    <w:rsid w:val="37735EDE"/>
    <w:rsid w:val="37805253"/>
    <w:rsid w:val="3788090B"/>
    <w:rsid w:val="378D1823"/>
    <w:rsid w:val="37974852"/>
    <w:rsid w:val="379A5B9E"/>
    <w:rsid w:val="379D2298"/>
    <w:rsid w:val="37A03F88"/>
    <w:rsid w:val="37A3563C"/>
    <w:rsid w:val="37A552B5"/>
    <w:rsid w:val="37B41306"/>
    <w:rsid w:val="37B7401D"/>
    <w:rsid w:val="37BE1BE9"/>
    <w:rsid w:val="37C167BE"/>
    <w:rsid w:val="37C71887"/>
    <w:rsid w:val="37D050DF"/>
    <w:rsid w:val="37E75918"/>
    <w:rsid w:val="37F406DB"/>
    <w:rsid w:val="37F53759"/>
    <w:rsid w:val="38002606"/>
    <w:rsid w:val="38044602"/>
    <w:rsid w:val="38080D1C"/>
    <w:rsid w:val="380C1A90"/>
    <w:rsid w:val="380C2C55"/>
    <w:rsid w:val="381079F4"/>
    <w:rsid w:val="381656BF"/>
    <w:rsid w:val="3817142C"/>
    <w:rsid w:val="3821159D"/>
    <w:rsid w:val="38222D8A"/>
    <w:rsid w:val="382D3B15"/>
    <w:rsid w:val="38381F1C"/>
    <w:rsid w:val="383B1D07"/>
    <w:rsid w:val="38403FEF"/>
    <w:rsid w:val="384314FF"/>
    <w:rsid w:val="38435737"/>
    <w:rsid w:val="38464719"/>
    <w:rsid w:val="385B69DA"/>
    <w:rsid w:val="385D20A6"/>
    <w:rsid w:val="3862667F"/>
    <w:rsid w:val="386341A5"/>
    <w:rsid w:val="38653A79"/>
    <w:rsid w:val="386C096B"/>
    <w:rsid w:val="3870697D"/>
    <w:rsid w:val="3872263A"/>
    <w:rsid w:val="38726A90"/>
    <w:rsid w:val="38773186"/>
    <w:rsid w:val="38775296"/>
    <w:rsid w:val="387C465C"/>
    <w:rsid w:val="3889636C"/>
    <w:rsid w:val="388F541E"/>
    <w:rsid w:val="3891676B"/>
    <w:rsid w:val="3892789B"/>
    <w:rsid w:val="389704A2"/>
    <w:rsid w:val="389A33CF"/>
    <w:rsid w:val="38A0531D"/>
    <w:rsid w:val="38A345A1"/>
    <w:rsid w:val="38AD0380"/>
    <w:rsid w:val="38AD1D30"/>
    <w:rsid w:val="38C3282E"/>
    <w:rsid w:val="38C57A8D"/>
    <w:rsid w:val="38C763D0"/>
    <w:rsid w:val="38C8576F"/>
    <w:rsid w:val="38C87C13"/>
    <w:rsid w:val="38D06DAD"/>
    <w:rsid w:val="38D44DA9"/>
    <w:rsid w:val="38D70687"/>
    <w:rsid w:val="38DA1D4D"/>
    <w:rsid w:val="38E36364"/>
    <w:rsid w:val="38EF77E6"/>
    <w:rsid w:val="38EF7AD2"/>
    <w:rsid w:val="39002DFE"/>
    <w:rsid w:val="391C5D6C"/>
    <w:rsid w:val="392E6B89"/>
    <w:rsid w:val="3930188D"/>
    <w:rsid w:val="39363667"/>
    <w:rsid w:val="39483DF9"/>
    <w:rsid w:val="39495149"/>
    <w:rsid w:val="39532373"/>
    <w:rsid w:val="39625CE9"/>
    <w:rsid w:val="396445F3"/>
    <w:rsid w:val="396446A9"/>
    <w:rsid w:val="39650B36"/>
    <w:rsid w:val="396C52DB"/>
    <w:rsid w:val="396E2E01"/>
    <w:rsid w:val="397A22ED"/>
    <w:rsid w:val="3980611E"/>
    <w:rsid w:val="39904B26"/>
    <w:rsid w:val="39932868"/>
    <w:rsid w:val="39942707"/>
    <w:rsid w:val="39987E7E"/>
    <w:rsid w:val="39A54274"/>
    <w:rsid w:val="39A87497"/>
    <w:rsid w:val="39AD0B5F"/>
    <w:rsid w:val="39B32F0A"/>
    <w:rsid w:val="39B4157B"/>
    <w:rsid w:val="39B73A2A"/>
    <w:rsid w:val="39C2735A"/>
    <w:rsid w:val="39C93343"/>
    <w:rsid w:val="39CC3D0C"/>
    <w:rsid w:val="39DD11A6"/>
    <w:rsid w:val="39E46138"/>
    <w:rsid w:val="39EA14C8"/>
    <w:rsid w:val="39F01A68"/>
    <w:rsid w:val="39F778B6"/>
    <w:rsid w:val="39F8091D"/>
    <w:rsid w:val="39F86B78"/>
    <w:rsid w:val="3A005693"/>
    <w:rsid w:val="3A06416C"/>
    <w:rsid w:val="3A085236"/>
    <w:rsid w:val="3A12421C"/>
    <w:rsid w:val="3A1439A9"/>
    <w:rsid w:val="3A165E51"/>
    <w:rsid w:val="3A211C22"/>
    <w:rsid w:val="3A300A33"/>
    <w:rsid w:val="3A3F4F25"/>
    <w:rsid w:val="3A4554C0"/>
    <w:rsid w:val="3A4610C1"/>
    <w:rsid w:val="3A4B2CB4"/>
    <w:rsid w:val="3A4D2A17"/>
    <w:rsid w:val="3A4D76C4"/>
    <w:rsid w:val="3A4E2F9A"/>
    <w:rsid w:val="3A4F6E55"/>
    <w:rsid w:val="3A5821B8"/>
    <w:rsid w:val="3A5E69D2"/>
    <w:rsid w:val="3A621874"/>
    <w:rsid w:val="3A660E91"/>
    <w:rsid w:val="3A722372"/>
    <w:rsid w:val="3A742699"/>
    <w:rsid w:val="3A755F23"/>
    <w:rsid w:val="3A757201"/>
    <w:rsid w:val="3A7E7113"/>
    <w:rsid w:val="3A882FBD"/>
    <w:rsid w:val="3A886671"/>
    <w:rsid w:val="3A904C7E"/>
    <w:rsid w:val="3A91533E"/>
    <w:rsid w:val="3A9C399E"/>
    <w:rsid w:val="3AAB598F"/>
    <w:rsid w:val="3AB111F7"/>
    <w:rsid w:val="3AB11CC0"/>
    <w:rsid w:val="3ABC00D6"/>
    <w:rsid w:val="3AC91551"/>
    <w:rsid w:val="3AD66A5D"/>
    <w:rsid w:val="3AD969A0"/>
    <w:rsid w:val="3ADA45DE"/>
    <w:rsid w:val="3ADB2718"/>
    <w:rsid w:val="3ADB44C6"/>
    <w:rsid w:val="3ADB6274"/>
    <w:rsid w:val="3AE315CD"/>
    <w:rsid w:val="3AE80991"/>
    <w:rsid w:val="3AFA44C6"/>
    <w:rsid w:val="3AFB5BB1"/>
    <w:rsid w:val="3AFE5B99"/>
    <w:rsid w:val="3AFF7F75"/>
    <w:rsid w:val="3B005CDB"/>
    <w:rsid w:val="3B023801"/>
    <w:rsid w:val="3B042D0E"/>
    <w:rsid w:val="3B057253"/>
    <w:rsid w:val="3B070E17"/>
    <w:rsid w:val="3B095E3E"/>
    <w:rsid w:val="3B0F0545"/>
    <w:rsid w:val="3B173090"/>
    <w:rsid w:val="3B183024"/>
    <w:rsid w:val="3B1C5C19"/>
    <w:rsid w:val="3B1D1E26"/>
    <w:rsid w:val="3B2D4BB5"/>
    <w:rsid w:val="3B302C0B"/>
    <w:rsid w:val="3B3641D4"/>
    <w:rsid w:val="3B510A5E"/>
    <w:rsid w:val="3B532EF7"/>
    <w:rsid w:val="3B535FC9"/>
    <w:rsid w:val="3B5E16D0"/>
    <w:rsid w:val="3B5F5C84"/>
    <w:rsid w:val="3B6A0A1B"/>
    <w:rsid w:val="3B6C511E"/>
    <w:rsid w:val="3B6D83E1"/>
    <w:rsid w:val="3B6E3655"/>
    <w:rsid w:val="3B7434A2"/>
    <w:rsid w:val="3B7C0908"/>
    <w:rsid w:val="3B824942"/>
    <w:rsid w:val="3B8B38E6"/>
    <w:rsid w:val="3B8E597A"/>
    <w:rsid w:val="3B963FB3"/>
    <w:rsid w:val="3B980E75"/>
    <w:rsid w:val="3B9A162F"/>
    <w:rsid w:val="3BA122B4"/>
    <w:rsid w:val="3BA23AE4"/>
    <w:rsid w:val="3BA27A90"/>
    <w:rsid w:val="3BA31EB8"/>
    <w:rsid w:val="3BA47BE5"/>
    <w:rsid w:val="3BA7084C"/>
    <w:rsid w:val="3BAD5666"/>
    <w:rsid w:val="3BAD58D2"/>
    <w:rsid w:val="3BBA6A36"/>
    <w:rsid w:val="3BBC03AB"/>
    <w:rsid w:val="3BBD1616"/>
    <w:rsid w:val="3BC537EA"/>
    <w:rsid w:val="3BDB7890"/>
    <w:rsid w:val="3BE600C8"/>
    <w:rsid w:val="3BE74243"/>
    <w:rsid w:val="3BE7589C"/>
    <w:rsid w:val="3BF47763"/>
    <w:rsid w:val="3C0077E3"/>
    <w:rsid w:val="3C087A64"/>
    <w:rsid w:val="3C0C59AB"/>
    <w:rsid w:val="3C105F0F"/>
    <w:rsid w:val="3C1A4E67"/>
    <w:rsid w:val="3C1A7270"/>
    <w:rsid w:val="3C1C4D96"/>
    <w:rsid w:val="3C1F03E3"/>
    <w:rsid w:val="3C1F128F"/>
    <w:rsid w:val="3C220719"/>
    <w:rsid w:val="3C236125"/>
    <w:rsid w:val="3C2B11CA"/>
    <w:rsid w:val="3C3C71E7"/>
    <w:rsid w:val="3C3E4539"/>
    <w:rsid w:val="3C3F0A85"/>
    <w:rsid w:val="3C412C0F"/>
    <w:rsid w:val="3C474EFD"/>
    <w:rsid w:val="3C49529C"/>
    <w:rsid w:val="3C586E96"/>
    <w:rsid w:val="3C611D6D"/>
    <w:rsid w:val="3C687F58"/>
    <w:rsid w:val="3C6D48B7"/>
    <w:rsid w:val="3C6E3368"/>
    <w:rsid w:val="3C7560CE"/>
    <w:rsid w:val="3C8618CD"/>
    <w:rsid w:val="3C88242C"/>
    <w:rsid w:val="3C8D5A90"/>
    <w:rsid w:val="3C9534D8"/>
    <w:rsid w:val="3C980D47"/>
    <w:rsid w:val="3C9C2068"/>
    <w:rsid w:val="3C9D0EB2"/>
    <w:rsid w:val="3C9D21D3"/>
    <w:rsid w:val="3CAA30A5"/>
    <w:rsid w:val="3CAD27C7"/>
    <w:rsid w:val="3CB1151A"/>
    <w:rsid w:val="3CB7431F"/>
    <w:rsid w:val="3CB86F76"/>
    <w:rsid w:val="3CC05F9B"/>
    <w:rsid w:val="3CC323A5"/>
    <w:rsid w:val="3CC60AE9"/>
    <w:rsid w:val="3CD4275B"/>
    <w:rsid w:val="3CD6666A"/>
    <w:rsid w:val="3CE27D8E"/>
    <w:rsid w:val="3CE8111C"/>
    <w:rsid w:val="3CEE6AFF"/>
    <w:rsid w:val="3CF81D6E"/>
    <w:rsid w:val="3CFD11C9"/>
    <w:rsid w:val="3D057D8B"/>
    <w:rsid w:val="3D06335F"/>
    <w:rsid w:val="3D075683"/>
    <w:rsid w:val="3D083905"/>
    <w:rsid w:val="3D0A6283"/>
    <w:rsid w:val="3D136199"/>
    <w:rsid w:val="3D1C7771"/>
    <w:rsid w:val="3D1D0DC6"/>
    <w:rsid w:val="3D2F129A"/>
    <w:rsid w:val="3D3B50F4"/>
    <w:rsid w:val="3D3C6B80"/>
    <w:rsid w:val="3D4070E8"/>
    <w:rsid w:val="3D424389"/>
    <w:rsid w:val="3D4471C6"/>
    <w:rsid w:val="3D462DE8"/>
    <w:rsid w:val="3D475E43"/>
    <w:rsid w:val="3D49524D"/>
    <w:rsid w:val="3D5A014D"/>
    <w:rsid w:val="3D5F389F"/>
    <w:rsid w:val="3D6B3D0E"/>
    <w:rsid w:val="3D6C656C"/>
    <w:rsid w:val="3D6E25E7"/>
    <w:rsid w:val="3D721602"/>
    <w:rsid w:val="3D7300CC"/>
    <w:rsid w:val="3D771DC8"/>
    <w:rsid w:val="3D793437"/>
    <w:rsid w:val="3D7B3D3F"/>
    <w:rsid w:val="3D7E39E5"/>
    <w:rsid w:val="3D7F1BAF"/>
    <w:rsid w:val="3D882AD2"/>
    <w:rsid w:val="3D891FB8"/>
    <w:rsid w:val="3D8C3313"/>
    <w:rsid w:val="3D9467A9"/>
    <w:rsid w:val="3D980F2D"/>
    <w:rsid w:val="3D9F4006"/>
    <w:rsid w:val="3DA06C71"/>
    <w:rsid w:val="3DA23B2F"/>
    <w:rsid w:val="3DAE3DE4"/>
    <w:rsid w:val="3DBA4867"/>
    <w:rsid w:val="3DBF2F07"/>
    <w:rsid w:val="3DC36CA3"/>
    <w:rsid w:val="3DC60AE7"/>
    <w:rsid w:val="3DC95673"/>
    <w:rsid w:val="3DE36408"/>
    <w:rsid w:val="3DE418E4"/>
    <w:rsid w:val="3DE653B8"/>
    <w:rsid w:val="3DEE62BF"/>
    <w:rsid w:val="3DF16C2E"/>
    <w:rsid w:val="3DF40A9C"/>
    <w:rsid w:val="3DFA21D8"/>
    <w:rsid w:val="3E034652"/>
    <w:rsid w:val="3E037681"/>
    <w:rsid w:val="3E037E7F"/>
    <w:rsid w:val="3E083824"/>
    <w:rsid w:val="3E13486B"/>
    <w:rsid w:val="3E142583"/>
    <w:rsid w:val="3E1F261B"/>
    <w:rsid w:val="3E237BAF"/>
    <w:rsid w:val="3E2451FD"/>
    <w:rsid w:val="3E2857A3"/>
    <w:rsid w:val="3E2B3E7E"/>
    <w:rsid w:val="3E2E05FD"/>
    <w:rsid w:val="3E2F0AEF"/>
    <w:rsid w:val="3E2F4DF3"/>
    <w:rsid w:val="3E3162C5"/>
    <w:rsid w:val="3E3618FD"/>
    <w:rsid w:val="3E3729E7"/>
    <w:rsid w:val="3E401EE9"/>
    <w:rsid w:val="3E403894"/>
    <w:rsid w:val="3E487AA3"/>
    <w:rsid w:val="3E495BEB"/>
    <w:rsid w:val="3E4F2D58"/>
    <w:rsid w:val="3E50420B"/>
    <w:rsid w:val="3E6157AA"/>
    <w:rsid w:val="3E636025"/>
    <w:rsid w:val="3E684E98"/>
    <w:rsid w:val="3E6D18D9"/>
    <w:rsid w:val="3E6D39C0"/>
    <w:rsid w:val="3E6E11AD"/>
    <w:rsid w:val="3E75253C"/>
    <w:rsid w:val="3E760934"/>
    <w:rsid w:val="3E765BB3"/>
    <w:rsid w:val="3E7A0561"/>
    <w:rsid w:val="3E7F32C3"/>
    <w:rsid w:val="3E815A5C"/>
    <w:rsid w:val="3E8F05EB"/>
    <w:rsid w:val="3E957042"/>
    <w:rsid w:val="3E964D99"/>
    <w:rsid w:val="3E975445"/>
    <w:rsid w:val="3EA352FB"/>
    <w:rsid w:val="3EA846BF"/>
    <w:rsid w:val="3EA90E20"/>
    <w:rsid w:val="3EAC7B12"/>
    <w:rsid w:val="3EAE73D2"/>
    <w:rsid w:val="3EB017C6"/>
    <w:rsid w:val="3EB219E2"/>
    <w:rsid w:val="3EC24D86"/>
    <w:rsid w:val="3ECD03B6"/>
    <w:rsid w:val="3EDA1614"/>
    <w:rsid w:val="3EDA2B13"/>
    <w:rsid w:val="3EDF22AE"/>
    <w:rsid w:val="3EE13A44"/>
    <w:rsid w:val="3EE651E8"/>
    <w:rsid w:val="3EE85404"/>
    <w:rsid w:val="3EE871B2"/>
    <w:rsid w:val="3EE921A9"/>
    <w:rsid w:val="3EF17445"/>
    <w:rsid w:val="3EF53C92"/>
    <w:rsid w:val="3EF552CC"/>
    <w:rsid w:val="3EF566CB"/>
    <w:rsid w:val="3F0C61E9"/>
    <w:rsid w:val="3F126FD8"/>
    <w:rsid w:val="3F130AC3"/>
    <w:rsid w:val="3F133A69"/>
    <w:rsid w:val="3F1439EF"/>
    <w:rsid w:val="3F1955BD"/>
    <w:rsid w:val="3F1A7CC1"/>
    <w:rsid w:val="3F1D0D78"/>
    <w:rsid w:val="3F1D4969"/>
    <w:rsid w:val="3F2648C7"/>
    <w:rsid w:val="3F3074A6"/>
    <w:rsid w:val="3F343EE7"/>
    <w:rsid w:val="3F357817"/>
    <w:rsid w:val="3F3D30E2"/>
    <w:rsid w:val="3F462708"/>
    <w:rsid w:val="3F470015"/>
    <w:rsid w:val="3F4A5A53"/>
    <w:rsid w:val="3F4D5963"/>
    <w:rsid w:val="3F5327EC"/>
    <w:rsid w:val="3F5B6489"/>
    <w:rsid w:val="3F6638CD"/>
    <w:rsid w:val="3F6D5AA9"/>
    <w:rsid w:val="3F765FCD"/>
    <w:rsid w:val="3F775A1B"/>
    <w:rsid w:val="3F7A4F45"/>
    <w:rsid w:val="3F7F03E3"/>
    <w:rsid w:val="3F8139F8"/>
    <w:rsid w:val="3F847EAC"/>
    <w:rsid w:val="3F8C5D8F"/>
    <w:rsid w:val="3F901841"/>
    <w:rsid w:val="3F904C99"/>
    <w:rsid w:val="3F970711"/>
    <w:rsid w:val="3F9950F1"/>
    <w:rsid w:val="3F9C217F"/>
    <w:rsid w:val="3F9D555A"/>
    <w:rsid w:val="3FAA090B"/>
    <w:rsid w:val="3FBA1041"/>
    <w:rsid w:val="3FC072F1"/>
    <w:rsid w:val="3FC10543"/>
    <w:rsid w:val="3FC76EC2"/>
    <w:rsid w:val="3FC77734"/>
    <w:rsid w:val="3FCB5765"/>
    <w:rsid w:val="3FD5620B"/>
    <w:rsid w:val="3FD85478"/>
    <w:rsid w:val="3FDF207F"/>
    <w:rsid w:val="3FE0032C"/>
    <w:rsid w:val="3FE15D46"/>
    <w:rsid w:val="3FED6789"/>
    <w:rsid w:val="3FF0110E"/>
    <w:rsid w:val="3FF35301"/>
    <w:rsid w:val="3FF46985"/>
    <w:rsid w:val="3FF6382A"/>
    <w:rsid w:val="4003607E"/>
    <w:rsid w:val="400E19A0"/>
    <w:rsid w:val="401933EE"/>
    <w:rsid w:val="401F58CB"/>
    <w:rsid w:val="40201C63"/>
    <w:rsid w:val="402266F3"/>
    <w:rsid w:val="402C0F0A"/>
    <w:rsid w:val="4035319B"/>
    <w:rsid w:val="403B691E"/>
    <w:rsid w:val="403C3BE9"/>
    <w:rsid w:val="40464190"/>
    <w:rsid w:val="404B6F8B"/>
    <w:rsid w:val="405164EF"/>
    <w:rsid w:val="40580868"/>
    <w:rsid w:val="40580FA6"/>
    <w:rsid w:val="405B458A"/>
    <w:rsid w:val="40606E2A"/>
    <w:rsid w:val="40610FCA"/>
    <w:rsid w:val="40682F69"/>
    <w:rsid w:val="40691E10"/>
    <w:rsid w:val="406C2E30"/>
    <w:rsid w:val="406E220C"/>
    <w:rsid w:val="407F0631"/>
    <w:rsid w:val="408379AD"/>
    <w:rsid w:val="408847A8"/>
    <w:rsid w:val="408903B8"/>
    <w:rsid w:val="4090365D"/>
    <w:rsid w:val="4092099C"/>
    <w:rsid w:val="409251BF"/>
    <w:rsid w:val="409F0FD1"/>
    <w:rsid w:val="409F3034"/>
    <w:rsid w:val="40A968D5"/>
    <w:rsid w:val="40AC7732"/>
    <w:rsid w:val="40B732E0"/>
    <w:rsid w:val="40BF1418"/>
    <w:rsid w:val="40BF2194"/>
    <w:rsid w:val="40CA1BEA"/>
    <w:rsid w:val="40CE4CF5"/>
    <w:rsid w:val="40D43E92"/>
    <w:rsid w:val="40D44699"/>
    <w:rsid w:val="40D64DD7"/>
    <w:rsid w:val="40E14FFC"/>
    <w:rsid w:val="40E2535B"/>
    <w:rsid w:val="40E46310"/>
    <w:rsid w:val="40E6372D"/>
    <w:rsid w:val="40F018A9"/>
    <w:rsid w:val="40F721D5"/>
    <w:rsid w:val="40FF07E3"/>
    <w:rsid w:val="41002B9E"/>
    <w:rsid w:val="41037756"/>
    <w:rsid w:val="41136A42"/>
    <w:rsid w:val="41184326"/>
    <w:rsid w:val="412D0833"/>
    <w:rsid w:val="41326E0A"/>
    <w:rsid w:val="41360429"/>
    <w:rsid w:val="413B7A6D"/>
    <w:rsid w:val="413E755D"/>
    <w:rsid w:val="41410E54"/>
    <w:rsid w:val="414B761E"/>
    <w:rsid w:val="414C0DDD"/>
    <w:rsid w:val="415063DD"/>
    <w:rsid w:val="41533D2F"/>
    <w:rsid w:val="4155523E"/>
    <w:rsid w:val="416370F8"/>
    <w:rsid w:val="416926E5"/>
    <w:rsid w:val="416E549C"/>
    <w:rsid w:val="41704329"/>
    <w:rsid w:val="41715604"/>
    <w:rsid w:val="4175278E"/>
    <w:rsid w:val="41771CE1"/>
    <w:rsid w:val="41794FED"/>
    <w:rsid w:val="417967E7"/>
    <w:rsid w:val="417C16E9"/>
    <w:rsid w:val="417D4845"/>
    <w:rsid w:val="4182569C"/>
    <w:rsid w:val="41825935"/>
    <w:rsid w:val="418313F6"/>
    <w:rsid w:val="41874A60"/>
    <w:rsid w:val="418933A0"/>
    <w:rsid w:val="418E0175"/>
    <w:rsid w:val="419A2A17"/>
    <w:rsid w:val="419D0727"/>
    <w:rsid w:val="419F1267"/>
    <w:rsid w:val="41A25D3E"/>
    <w:rsid w:val="41A62C73"/>
    <w:rsid w:val="41B10E94"/>
    <w:rsid w:val="41BD3994"/>
    <w:rsid w:val="41BE0BBC"/>
    <w:rsid w:val="41C07F72"/>
    <w:rsid w:val="41C30DA8"/>
    <w:rsid w:val="41C77552"/>
    <w:rsid w:val="41CA257F"/>
    <w:rsid w:val="41CB6BA1"/>
    <w:rsid w:val="41CF2738"/>
    <w:rsid w:val="41D77DD9"/>
    <w:rsid w:val="41DA4901"/>
    <w:rsid w:val="41DD0B24"/>
    <w:rsid w:val="41E00614"/>
    <w:rsid w:val="41E138F3"/>
    <w:rsid w:val="41EC293D"/>
    <w:rsid w:val="41F365D4"/>
    <w:rsid w:val="41F4052C"/>
    <w:rsid w:val="42067015"/>
    <w:rsid w:val="420E72C1"/>
    <w:rsid w:val="42133F79"/>
    <w:rsid w:val="42154762"/>
    <w:rsid w:val="42162288"/>
    <w:rsid w:val="4216563A"/>
    <w:rsid w:val="42191654"/>
    <w:rsid w:val="421D5973"/>
    <w:rsid w:val="421F2EEA"/>
    <w:rsid w:val="42212D04"/>
    <w:rsid w:val="42246753"/>
    <w:rsid w:val="42257FDF"/>
    <w:rsid w:val="4232322E"/>
    <w:rsid w:val="42390F8D"/>
    <w:rsid w:val="42470693"/>
    <w:rsid w:val="4249440B"/>
    <w:rsid w:val="42563C00"/>
    <w:rsid w:val="426052B1"/>
    <w:rsid w:val="42667E40"/>
    <w:rsid w:val="4268443A"/>
    <w:rsid w:val="426B5A1D"/>
    <w:rsid w:val="426F7C33"/>
    <w:rsid w:val="427174BE"/>
    <w:rsid w:val="42762785"/>
    <w:rsid w:val="4282095D"/>
    <w:rsid w:val="42845197"/>
    <w:rsid w:val="428B4F29"/>
    <w:rsid w:val="42931283"/>
    <w:rsid w:val="4295453E"/>
    <w:rsid w:val="42977716"/>
    <w:rsid w:val="42986A8D"/>
    <w:rsid w:val="42A43E05"/>
    <w:rsid w:val="42B42013"/>
    <w:rsid w:val="42B420D3"/>
    <w:rsid w:val="42BD75EC"/>
    <w:rsid w:val="42BF5DC9"/>
    <w:rsid w:val="42C2710B"/>
    <w:rsid w:val="42C91469"/>
    <w:rsid w:val="42D20C39"/>
    <w:rsid w:val="42D27BB6"/>
    <w:rsid w:val="42D43A30"/>
    <w:rsid w:val="42D7742B"/>
    <w:rsid w:val="42DA3024"/>
    <w:rsid w:val="42F45CBD"/>
    <w:rsid w:val="42F551C4"/>
    <w:rsid w:val="42FB4666"/>
    <w:rsid w:val="42FF2A90"/>
    <w:rsid w:val="430E5437"/>
    <w:rsid w:val="4316576B"/>
    <w:rsid w:val="431F6535"/>
    <w:rsid w:val="432664FB"/>
    <w:rsid w:val="43337E46"/>
    <w:rsid w:val="43345E8D"/>
    <w:rsid w:val="43360834"/>
    <w:rsid w:val="43385BDC"/>
    <w:rsid w:val="43397FDC"/>
    <w:rsid w:val="433E55F2"/>
    <w:rsid w:val="43413334"/>
    <w:rsid w:val="43571877"/>
    <w:rsid w:val="435E70E0"/>
    <w:rsid w:val="43610A79"/>
    <w:rsid w:val="436260E0"/>
    <w:rsid w:val="43653265"/>
    <w:rsid w:val="436D4129"/>
    <w:rsid w:val="43780881"/>
    <w:rsid w:val="437B23A2"/>
    <w:rsid w:val="43896F34"/>
    <w:rsid w:val="438D3568"/>
    <w:rsid w:val="439110AE"/>
    <w:rsid w:val="439369B8"/>
    <w:rsid w:val="439549DD"/>
    <w:rsid w:val="439E45A5"/>
    <w:rsid w:val="43AC5551"/>
    <w:rsid w:val="43AC6A00"/>
    <w:rsid w:val="43AC6D3C"/>
    <w:rsid w:val="43B2576D"/>
    <w:rsid w:val="43B6162D"/>
    <w:rsid w:val="43B85622"/>
    <w:rsid w:val="43B963C5"/>
    <w:rsid w:val="43BC7D6F"/>
    <w:rsid w:val="43BD04DC"/>
    <w:rsid w:val="43D877F5"/>
    <w:rsid w:val="43DA5A15"/>
    <w:rsid w:val="43E066A9"/>
    <w:rsid w:val="43E16B1B"/>
    <w:rsid w:val="43F32881"/>
    <w:rsid w:val="43F74D8A"/>
    <w:rsid w:val="43FD6941"/>
    <w:rsid w:val="44007E3C"/>
    <w:rsid w:val="440A7BCA"/>
    <w:rsid w:val="440F032C"/>
    <w:rsid w:val="44142B3A"/>
    <w:rsid w:val="441A6054"/>
    <w:rsid w:val="44317DCE"/>
    <w:rsid w:val="443318BA"/>
    <w:rsid w:val="443D1D4E"/>
    <w:rsid w:val="443F5452"/>
    <w:rsid w:val="444226A5"/>
    <w:rsid w:val="4446635C"/>
    <w:rsid w:val="44510490"/>
    <w:rsid w:val="44582DE9"/>
    <w:rsid w:val="445A627B"/>
    <w:rsid w:val="44621F0C"/>
    <w:rsid w:val="44622D56"/>
    <w:rsid w:val="446F5EA0"/>
    <w:rsid w:val="4471308E"/>
    <w:rsid w:val="44800F92"/>
    <w:rsid w:val="44827761"/>
    <w:rsid w:val="448D01AA"/>
    <w:rsid w:val="448E723D"/>
    <w:rsid w:val="44913E48"/>
    <w:rsid w:val="44954610"/>
    <w:rsid w:val="449C4C33"/>
    <w:rsid w:val="449F7E74"/>
    <w:rsid w:val="44AE0556"/>
    <w:rsid w:val="44B2396A"/>
    <w:rsid w:val="44C11C1D"/>
    <w:rsid w:val="44D4787D"/>
    <w:rsid w:val="44D70A23"/>
    <w:rsid w:val="44D84106"/>
    <w:rsid w:val="44DB0F3A"/>
    <w:rsid w:val="44E421C9"/>
    <w:rsid w:val="44E818A0"/>
    <w:rsid w:val="44E81AC6"/>
    <w:rsid w:val="44EC5840"/>
    <w:rsid w:val="44ED7CA9"/>
    <w:rsid w:val="44F55248"/>
    <w:rsid w:val="450D278D"/>
    <w:rsid w:val="45120AE5"/>
    <w:rsid w:val="451C7D78"/>
    <w:rsid w:val="452223B1"/>
    <w:rsid w:val="453C7C4C"/>
    <w:rsid w:val="453D0074"/>
    <w:rsid w:val="45435142"/>
    <w:rsid w:val="454C657E"/>
    <w:rsid w:val="454D0B18"/>
    <w:rsid w:val="454F0FD7"/>
    <w:rsid w:val="455B3988"/>
    <w:rsid w:val="455B7A97"/>
    <w:rsid w:val="456C6748"/>
    <w:rsid w:val="4583118F"/>
    <w:rsid w:val="45913FB3"/>
    <w:rsid w:val="459D3CB7"/>
    <w:rsid w:val="45A04DE9"/>
    <w:rsid w:val="45A154DE"/>
    <w:rsid w:val="45AA36D8"/>
    <w:rsid w:val="45AB5068"/>
    <w:rsid w:val="45B1037F"/>
    <w:rsid w:val="45B835CE"/>
    <w:rsid w:val="45BB0D88"/>
    <w:rsid w:val="45C7429B"/>
    <w:rsid w:val="45C90221"/>
    <w:rsid w:val="45D82E39"/>
    <w:rsid w:val="45DA0A85"/>
    <w:rsid w:val="45DE68E2"/>
    <w:rsid w:val="45E831FF"/>
    <w:rsid w:val="45FB041C"/>
    <w:rsid w:val="45FB6FE8"/>
    <w:rsid w:val="45FC3543"/>
    <w:rsid w:val="45FF375F"/>
    <w:rsid w:val="4618187A"/>
    <w:rsid w:val="46257717"/>
    <w:rsid w:val="462821E3"/>
    <w:rsid w:val="46296E54"/>
    <w:rsid w:val="462B3C6E"/>
    <w:rsid w:val="46301063"/>
    <w:rsid w:val="463404BD"/>
    <w:rsid w:val="46380A1F"/>
    <w:rsid w:val="46391C67"/>
    <w:rsid w:val="463B22BD"/>
    <w:rsid w:val="464D7A93"/>
    <w:rsid w:val="466022AC"/>
    <w:rsid w:val="4665558C"/>
    <w:rsid w:val="466F6FD1"/>
    <w:rsid w:val="46713160"/>
    <w:rsid w:val="46731A57"/>
    <w:rsid w:val="46734659"/>
    <w:rsid w:val="46776B70"/>
    <w:rsid w:val="46780545"/>
    <w:rsid w:val="46780689"/>
    <w:rsid w:val="4682613E"/>
    <w:rsid w:val="469043B7"/>
    <w:rsid w:val="46935C55"/>
    <w:rsid w:val="469503EA"/>
    <w:rsid w:val="469D0882"/>
    <w:rsid w:val="469D50BD"/>
    <w:rsid w:val="46A07740"/>
    <w:rsid w:val="46A3723F"/>
    <w:rsid w:val="46B344E9"/>
    <w:rsid w:val="46BD2CD2"/>
    <w:rsid w:val="46C87D77"/>
    <w:rsid w:val="46C87FF5"/>
    <w:rsid w:val="46D85967"/>
    <w:rsid w:val="46D9270D"/>
    <w:rsid w:val="46DD069C"/>
    <w:rsid w:val="46DF5186"/>
    <w:rsid w:val="46E12E64"/>
    <w:rsid w:val="46E57D81"/>
    <w:rsid w:val="46E6135B"/>
    <w:rsid w:val="46E82445"/>
    <w:rsid w:val="46E90927"/>
    <w:rsid w:val="46F10A14"/>
    <w:rsid w:val="46F25DEB"/>
    <w:rsid w:val="46F44321"/>
    <w:rsid w:val="46F47B59"/>
    <w:rsid w:val="46F50118"/>
    <w:rsid w:val="46FA2502"/>
    <w:rsid w:val="47027007"/>
    <w:rsid w:val="470459DB"/>
    <w:rsid w:val="47053FC1"/>
    <w:rsid w:val="470923BB"/>
    <w:rsid w:val="470962D2"/>
    <w:rsid w:val="47176886"/>
    <w:rsid w:val="471D6B22"/>
    <w:rsid w:val="471F1BDF"/>
    <w:rsid w:val="472029EE"/>
    <w:rsid w:val="47224EB1"/>
    <w:rsid w:val="472D4FA9"/>
    <w:rsid w:val="472E3FE5"/>
    <w:rsid w:val="472E53E3"/>
    <w:rsid w:val="4732546E"/>
    <w:rsid w:val="47386321"/>
    <w:rsid w:val="4739541C"/>
    <w:rsid w:val="473B2E39"/>
    <w:rsid w:val="4746716B"/>
    <w:rsid w:val="474B6405"/>
    <w:rsid w:val="475312C3"/>
    <w:rsid w:val="4755394E"/>
    <w:rsid w:val="47556A22"/>
    <w:rsid w:val="47592821"/>
    <w:rsid w:val="47634C7E"/>
    <w:rsid w:val="476517A4"/>
    <w:rsid w:val="476870E2"/>
    <w:rsid w:val="476A1887"/>
    <w:rsid w:val="476B7AF0"/>
    <w:rsid w:val="47727F60"/>
    <w:rsid w:val="47753A51"/>
    <w:rsid w:val="47762359"/>
    <w:rsid w:val="47771DE6"/>
    <w:rsid w:val="478A0CA0"/>
    <w:rsid w:val="478B21DA"/>
    <w:rsid w:val="47911CFE"/>
    <w:rsid w:val="47972E48"/>
    <w:rsid w:val="4799611B"/>
    <w:rsid w:val="47A32531"/>
    <w:rsid w:val="47A51D5A"/>
    <w:rsid w:val="47A81BD4"/>
    <w:rsid w:val="47AF4ADF"/>
    <w:rsid w:val="47B35F9C"/>
    <w:rsid w:val="47BA327F"/>
    <w:rsid w:val="47CC00D0"/>
    <w:rsid w:val="47CD33E9"/>
    <w:rsid w:val="47CF6C90"/>
    <w:rsid w:val="47D4265F"/>
    <w:rsid w:val="47D664C5"/>
    <w:rsid w:val="47D71627"/>
    <w:rsid w:val="47E10C42"/>
    <w:rsid w:val="47EA000F"/>
    <w:rsid w:val="47FC782A"/>
    <w:rsid w:val="48013092"/>
    <w:rsid w:val="480207C8"/>
    <w:rsid w:val="480A42F4"/>
    <w:rsid w:val="480D2772"/>
    <w:rsid w:val="480D6A79"/>
    <w:rsid w:val="48171544"/>
    <w:rsid w:val="481D7265"/>
    <w:rsid w:val="481E34C5"/>
    <w:rsid w:val="4820457A"/>
    <w:rsid w:val="482F362F"/>
    <w:rsid w:val="4830673E"/>
    <w:rsid w:val="4831686C"/>
    <w:rsid w:val="483D52AA"/>
    <w:rsid w:val="484315B6"/>
    <w:rsid w:val="484418FD"/>
    <w:rsid w:val="484C1F14"/>
    <w:rsid w:val="484D2ADC"/>
    <w:rsid w:val="484E019F"/>
    <w:rsid w:val="48517A59"/>
    <w:rsid w:val="48524319"/>
    <w:rsid w:val="48541414"/>
    <w:rsid w:val="48557733"/>
    <w:rsid w:val="486024AF"/>
    <w:rsid w:val="48633C5D"/>
    <w:rsid w:val="48645750"/>
    <w:rsid w:val="486E697A"/>
    <w:rsid w:val="487204B7"/>
    <w:rsid w:val="48733F90"/>
    <w:rsid w:val="48740597"/>
    <w:rsid w:val="48762EB7"/>
    <w:rsid w:val="4876582E"/>
    <w:rsid w:val="487E3BD0"/>
    <w:rsid w:val="487E3E0C"/>
    <w:rsid w:val="48861A37"/>
    <w:rsid w:val="4886631E"/>
    <w:rsid w:val="488B0E92"/>
    <w:rsid w:val="48956CBE"/>
    <w:rsid w:val="48984B6E"/>
    <w:rsid w:val="489C2980"/>
    <w:rsid w:val="48A30B84"/>
    <w:rsid w:val="48A47DED"/>
    <w:rsid w:val="48A57EC2"/>
    <w:rsid w:val="48A763B2"/>
    <w:rsid w:val="48A94193"/>
    <w:rsid w:val="48BC3CDF"/>
    <w:rsid w:val="48C46D6B"/>
    <w:rsid w:val="48CE248D"/>
    <w:rsid w:val="48DB4C44"/>
    <w:rsid w:val="48DD4466"/>
    <w:rsid w:val="48E2603E"/>
    <w:rsid w:val="48E63F76"/>
    <w:rsid w:val="48EE3617"/>
    <w:rsid w:val="4907174B"/>
    <w:rsid w:val="490961CB"/>
    <w:rsid w:val="490C3184"/>
    <w:rsid w:val="491539D4"/>
    <w:rsid w:val="49155F88"/>
    <w:rsid w:val="49176C24"/>
    <w:rsid w:val="491935CB"/>
    <w:rsid w:val="49284C7C"/>
    <w:rsid w:val="492F45F3"/>
    <w:rsid w:val="493650F1"/>
    <w:rsid w:val="4937356A"/>
    <w:rsid w:val="493909BF"/>
    <w:rsid w:val="494624DA"/>
    <w:rsid w:val="494B0A69"/>
    <w:rsid w:val="494F4317"/>
    <w:rsid w:val="49534285"/>
    <w:rsid w:val="4958073B"/>
    <w:rsid w:val="49583D31"/>
    <w:rsid w:val="495D5D49"/>
    <w:rsid w:val="49633B6E"/>
    <w:rsid w:val="496658A3"/>
    <w:rsid w:val="49746212"/>
    <w:rsid w:val="497762DF"/>
    <w:rsid w:val="49782876"/>
    <w:rsid w:val="497C185C"/>
    <w:rsid w:val="4982029B"/>
    <w:rsid w:val="498615A6"/>
    <w:rsid w:val="49875E60"/>
    <w:rsid w:val="499061F8"/>
    <w:rsid w:val="49922166"/>
    <w:rsid w:val="499454D6"/>
    <w:rsid w:val="49997D2E"/>
    <w:rsid w:val="499A2857"/>
    <w:rsid w:val="49A932A2"/>
    <w:rsid w:val="49AF69ED"/>
    <w:rsid w:val="49B06C63"/>
    <w:rsid w:val="49BB4972"/>
    <w:rsid w:val="49C3366E"/>
    <w:rsid w:val="49C55C57"/>
    <w:rsid w:val="49D46CB0"/>
    <w:rsid w:val="49E84353"/>
    <w:rsid w:val="49EA5DB5"/>
    <w:rsid w:val="49EA7602"/>
    <w:rsid w:val="49ED5FD5"/>
    <w:rsid w:val="49EF1838"/>
    <w:rsid w:val="49F14068"/>
    <w:rsid w:val="4A1C6F86"/>
    <w:rsid w:val="4A212502"/>
    <w:rsid w:val="4A291B8A"/>
    <w:rsid w:val="4A2A4174"/>
    <w:rsid w:val="4A2B5DE7"/>
    <w:rsid w:val="4A2E31C4"/>
    <w:rsid w:val="4A38767E"/>
    <w:rsid w:val="4A3C5930"/>
    <w:rsid w:val="4A41636E"/>
    <w:rsid w:val="4A421E6C"/>
    <w:rsid w:val="4A4813B2"/>
    <w:rsid w:val="4A4E6A63"/>
    <w:rsid w:val="4A5153AB"/>
    <w:rsid w:val="4A5B24C6"/>
    <w:rsid w:val="4A6739B5"/>
    <w:rsid w:val="4A677B24"/>
    <w:rsid w:val="4A71437D"/>
    <w:rsid w:val="4A724F54"/>
    <w:rsid w:val="4A772D95"/>
    <w:rsid w:val="4A7732CE"/>
    <w:rsid w:val="4A7A3C3A"/>
    <w:rsid w:val="4A7C3B90"/>
    <w:rsid w:val="4A7E6C1C"/>
    <w:rsid w:val="4A890F96"/>
    <w:rsid w:val="4A8B09F4"/>
    <w:rsid w:val="4A8C7FE8"/>
    <w:rsid w:val="4AB144C4"/>
    <w:rsid w:val="4AB321AA"/>
    <w:rsid w:val="4AB91C50"/>
    <w:rsid w:val="4AB9626F"/>
    <w:rsid w:val="4AC322A6"/>
    <w:rsid w:val="4AC63270"/>
    <w:rsid w:val="4AD92B73"/>
    <w:rsid w:val="4ADD78AD"/>
    <w:rsid w:val="4ADF3B5F"/>
    <w:rsid w:val="4AE63639"/>
    <w:rsid w:val="4AF15640"/>
    <w:rsid w:val="4AF34F14"/>
    <w:rsid w:val="4AF36A47"/>
    <w:rsid w:val="4AF43A0E"/>
    <w:rsid w:val="4B0435C5"/>
    <w:rsid w:val="4B062C1F"/>
    <w:rsid w:val="4B105AC6"/>
    <w:rsid w:val="4B1650A7"/>
    <w:rsid w:val="4B177D19"/>
    <w:rsid w:val="4B1B732B"/>
    <w:rsid w:val="4B1E2F35"/>
    <w:rsid w:val="4B2574A1"/>
    <w:rsid w:val="4B2B5A96"/>
    <w:rsid w:val="4B2E419E"/>
    <w:rsid w:val="4B346CEE"/>
    <w:rsid w:val="4B3535B7"/>
    <w:rsid w:val="4B35377F"/>
    <w:rsid w:val="4B366B43"/>
    <w:rsid w:val="4B3C4B0D"/>
    <w:rsid w:val="4B3F0159"/>
    <w:rsid w:val="4B413013"/>
    <w:rsid w:val="4B480A8C"/>
    <w:rsid w:val="4B49754D"/>
    <w:rsid w:val="4B4B73DD"/>
    <w:rsid w:val="4B4D0C6E"/>
    <w:rsid w:val="4B5270C4"/>
    <w:rsid w:val="4B53558D"/>
    <w:rsid w:val="4B553A9B"/>
    <w:rsid w:val="4B5D2CD5"/>
    <w:rsid w:val="4B5E0F27"/>
    <w:rsid w:val="4B5E42D3"/>
    <w:rsid w:val="4B5F07FC"/>
    <w:rsid w:val="4B602410"/>
    <w:rsid w:val="4B7818BD"/>
    <w:rsid w:val="4B7E7287"/>
    <w:rsid w:val="4B8010AE"/>
    <w:rsid w:val="4B806333"/>
    <w:rsid w:val="4B831E79"/>
    <w:rsid w:val="4B8526CA"/>
    <w:rsid w:val="4B860EEC"/>
    <w:rsid w:val="4B867A5E"/>
    <w:rsid w:val="4B936352"/>
    <w:rsid w:val="4B9965E3"/>
    <w:rsid w:val="4B9C69A3"/>
    <w:rsid w:val="4B9D0679"/>
    <w:rsid w:val="4B9D7898"/>
    <w:rsid w:val="4BA81F72"/>
    <w:rsid w:val="4BAB29C4"/>
    <w:rsid w:val="4BAF274F"/>
    <w:rsid w:val="4BB01912"/>
    <w:rsid w:val="4BB07DED"/>
    <w:rsid w:val="4BB5041C"/>
    <w:rsid w:val="4BC2142B"/>
    <w:rsid w:val="4BCB2C14"/>
    <w:rsid w:val="4BE614DC"/>
    <w:rsid w:val="4BE62CCB"/>
    <w:rsid w:val="4BEB0A94"/>
    <w:rsid w:val="4BF00695"/>
    <w:rsid w:val="4BF2341E"/>
    <w:rsid w:val="4BF6368A"/>
    <w:rsid w:val="4BF70454"/>
    <w:rsid w:val="4BF851FA"/>
    <w:rsid w:val="4BF95E43"/>
    <w:rsid w:val="4BFB214B"/>
    <w:rsid w:val="4BFE7FCD"/>
    <w:rsid w:val="4C006F86"/>
    <w:rsid w:val="4C020B90"/>
    <w:rsid w:val="4C031CF2"/>
    <w:rsid w:val="4C0B0DD6"/>
    <w:rsid w:val="4C103AB5"/>
    <w:rsid w:val="4C10765D"/>
    <w:rsid w:val="4C120C3A"/>
    <w:rsid w:val="4C172E84"/>
    <w:rsid w:val="4C225E15"/>
    <w:rsid w:val="4C254B4B"/>
    <w:rsid w:val="4C2C64CE"/>
    <w:rsid w:val="4C325F10"/>
    <w:rsid w:val="4C505E82"/>
    <w:rsid w:val="4C534F70"/>
    <w:rsid w:val="4C5440D8"/>
    <w:rsid w:val="4C585A9B"/>
    <w:rsid w:val="4C59456A"/>
    <w:rsid w:val="4C5F3BCF"/>
    <w:rsid w:val="4C65665F"/>
    <w:rsid w:val="4C677A5E"/>
    <w:rsid w:val="4C6E5826"/>
    <w:rsid w:val="4C7F6256"/>
    <w:rsid w:val="4C801E89"/>
    <w:rsid w:val="4C807EB9"/>
    <w:rsid w:val="4C844CE0"/>
    <w:rsid w:val="4C85691C"/>
    <w:rsid w:val="4C9170DB"/>
    <w:rsid w:val="4C9F2063"/>
    <w:rsid w:val="4CAD166D"/>
    <w:rsid w:val="4CB92D8B"/>
    <w:rsid w:val="4CBD1C7E"/>
    <w:rsid w:val="4CCF455E"/>
    <w:rsid w:val="4CD25EBF"/>
    <w:rsid w:val="4CDF5FF8"/>
    <w:rsid w:val="4CE0577F"/>
    <w:rsid w:val="4CE216E4"/>
    <w:rsid w:val="4CE2515B"/>
    <w:rsid w:val="4CE27EB0"/>
    <w:rsid w:val="4CE74F4D"/>
    <w:rsid w:val="4CE90CC5"/>
    <w:rsid w:val="4CE96E16"/>
    <w:rsid w:val="4CEB691F"/>
    <w:rsid w:val="4CEC3BBB"/>
    <w:rsid w:val="4CF17B79"/>
    <w:rsid w:val="4CF45D17"/>
    <w:rsid w:val="4CF51418"/>
    <w:rsid w:val="4CF9E2C2"/>
    <w:rsid w:val="4D013C4F"/>
    <w:rsid w:val="4D05078F"/>
    <w:rsid w:val="4D080EC3"/>
    <w:rsid w:val="4D106B02"/>
    <w:rsid w:val="4D20220D"/>
    <w:rsid w:val="4D280D19"/>
    <w:rsid w:val="4D2822F0"/>
    <w:rsid w:val="4D2A4A28"/>
    <w:rsid w:val="4D390B44"/>
    <w:rsid w:val="4D3975D1"/>
    <w:rsid w:val="4D4C46C0"/>
    <w:rsid w:val="4D4E6D7A"/>
    <w:rsid w:val="4D5E4551"/>
    <w:rsid w:val="4D636664"/>
    <w:rsid w:val="4D645E51"/>
    <w:rsid w:val="4D680D9C"/>
    <w:rsid w:val="4D682880"/>
    <w:rsid w:val="4D70166A"/>
    <w:rsid w:val="4D7A78E7"/>
    <w:rsid w:val="4D832647"/>
    <w:rsid w:val="4D95334D"/>
    <w:rsid w:val="4D9F7C9F"/>
    <w:rsid w:val="4DA90667"/>
    <w:rsid w:val="4DB47973"/>
    <w:rsid w:val="4DCC1443"/>
    <w:rsid w:val="4DD145FD"/>
    <w:rsid w:val="4DD36A41"/>
    <w:rsid w:val="4DD83600"/>
    <w:rsid w:val="4DD864E5"/>
    <w:rsid w:val="4DE22A9D"/>
    <w:rsid w:val="4DE36100"/>
    <w:rsid w:val="4DE72F2C"/>
    <w:rsid w:val="4DE7682E"/>
    <w:rsid w:val="4DEB7516"/>
    <w:rsid w:val="4DEC1465"/>
    <w:rsid w:val="4DEC5415"/>
    <w:rsid w:val="4DEE176C"/>
    <w:rsid w:val="4DEF4453"/>
    <w:rsid w:val="4DF72D02"/>
    <w:rsid w:val="4E01203E"/>
    <w:rsid w:val="4E0B6C3E"/>
    <w:rsid w:val="4E10482F"/>
    <w:rsid w:val="4E165AE9"/>
    <w:rsid w:val="4E170710"/>
    <w:rsid w:val="4E230B20"/>
    <w:rsid w:val="4E2C7094"/>
    <w:rsid w:val="4E2E683B"/>
    <w:rsid w:val="4E351464"/>
    <w:rsid w:val="4E3877FA"/>
    <w:rsid w:val="4E3B4C06"/>
    <w:rsid w:val="4E3B639A"/>
    <w:rsid w:val="4E437073"/>
    <w:rsid w:val="4E45076F"/>
    <w:rsid w:val="4E453CD9"/>
    <w:rsid w:val="4E4B30A7"/>
    <w:rsid w:val="4E525FCC"/>
    <w:rsid w:val="4E577E36"/>
    <w:rsid w:val="4E5D2129"/>
    <w:rsid w:val="4E5F5499"/>
    <w:rsid w:val="4E61488B"/>
    <w:rsid w:val="4E64742E"/>
    <w:rsid w:val="4E651769"/>
    <w:rsid w:val="4E710987"/>
    <w:rsid w:val="4E730D29"/>
    <w:rsid w:val="4E77033A"/>
    <w:rsid w:val="4E7A2233"/>
    <w:rsid w:val="4E8061DE"/>
    <w:rsid w:val="4E836FBF"/>
    <w:rsid w:val="4E873020"/>
    <w:rsid w:val="4E8912F0"/>
    <w:rsid w:val="4E8934B0"/>
    <w:rsid w:val="4E94075D"/>
    <w:rsid w:val="4EA01857"/>
    <w:rsid w:val="4EA16E8D"/>
    <w:rsid w:val="4EA64D24"/>
    <w:rsid w:val="4EAA27D3"/>
    <w:rsid w:val="4EAA7FE0"/>
    <w:rsid w:val="4EB238A5"/>
    <w:rsid w:val="4EB5438D"/>
    <w:rsid w:val="4EBB3F9B"/>
    <w:rsid w:val="4ECA1EA8"/>
    <w:rsid w:val="4ECD3D05"/>
    <w:rsid w:val="4ECD7D1A"/>
    <w:rsid w:val="4ED04679"/>
    <w:rsid w:val="4EDB463D"/>
    <w:rsid w:val="4EDB6DE1"/>
    <w:rsid w:val="4EDC54E4"/>
    <w:rsid w:val="4EEE16B2"/>
    <w:rsid w:val="4EEF44CD"/>
    <w:rsid w:val="4EF4539D"/>
    <w:rsid w:val="4EF723D1"/>
    <w:rsid w:val="4F0911AA"/>
    <w:rsid w:val="4F0A109E"/>
    <w:rsid w:val="4F151534"/>
    <w:rsid w:val="4F1C1099"/>
    <w:rsid w:val="4F2B545E"/>
    <w:rsid w:val="4F307F12"/>
    <w:rsid w:val="4F34118B"/>
    <w:rsid w:val="4F3954A6"/>
    <w:rsid w:val="4F3B02DA"/>
    <w:rsid w:val="4F461B66"/>
    <w:rsid w:val="4F4748DD"/>
    <w:rsid w:val="4F505812"/>
    <w:rsid w:val="4F522272"/>
    <w:rsid w:val="4F5E249E"/>
    <w:rsid w:val="4F664600"/>
    <w:rsid w:val="4F6726AA"/>
    <w:rsid w:val="4F6834A7"/>
    <w:rsid w:val="4F6C479B"/>
    <w:rsid w:val="4F7A283B"/>
    <w:rsid w:val="4F8151E4"/>
    <w:rsid w:val="4F847B70"/>
    <w:rsid w:val="4F860A4D"/>
    <w:rsid w:val="4F913FD4"/>
    <w:rsid w:val="4F941576"/>
    <w:rsid w:val="4F9811F0"/>
    <w:rsid w:val="4FA7602F"/>
    <w:rsid w:val="4FA945D2"/>
    <w:rsid w:val="4FB51A20"/>
    <w:rsid w:val="4FBA06B9"/>
    <w:rsid w:val="4FBA06F6"/>
    <w:rsid w:val="4FC11A85"/>
    <w:rsid w:val="4FDF0B41"/>
    <w:rsid w:val="4FDF6831"/>
    <w:rsid w:val="4FE12D27"/>
    <w:rsid w:val="4FE63299"/>
    <w:rsid w:val="4FE672E4"/>
    <w:rsid w:val="4FE92D8A"/>
    <w:rsid w:val="4FEE5DE6"/>
    <w:rsid w:val="4FF41B62"/>
    <w:rsid w:val="4FF57980"/>
    <w:rsid w:val="4FF62926"/>
    <w:rsid w:val="4FF74E86"/>
    <w:rsid w:val="4FF92512"/>
    <w:rsid w:val="5003125A"/>
    <w:rsid w:val="500D4698"/>
    <w:rsid w:val="5027426F"/>
    <w:rsid w:val="502A551C"/>
    <w:rsid w:val="502E20B2"/>
    <w:rsid w:val="503323BB"/>
    <w:rsid w:val="503476EA"/>
    <w:rsid w:val="503E726E"/>
    <w:rsid w:val="50466DBA"/>
    <w:rsid w:val="50481C34"/>
    <w:rsid w:val="504E6127"/>
    <w:rsid w:val="504F7091"/>
    <w:rsid w:val="505478FF"/>
    <w:rsid w:val="50582B47"/>
    <w:rsid w:val="505929B7"/>
    <w:rsid w:val="505C355C"/>
    <w:rsid w:val="505F6069"/>
    <w:rsid w:val="50671716"/>
    <w:rsid w:val="506F5A57"/>
    <w:rsid w:val="5086682B"/>
    <w:rsid w:val="5086797F"/>
    <w:rsid w:val="50872070"/>
    <w:rsid w:val="50901457"/>
    <w:rsid w:val="509176A9"/>
    <w:rsid w:val="50944501"/>
    <w:rsid w:val="50996349"/>
    <w:rsid w:val="50AD2FE7"/>
    <w:rsid w:val="50B60EBE"/>
    <w:rsid w:val="50B863D3"/>
    <w:rsid w:val="50BA1909"/>
    <w:rsid w:val="50C011FC"/>
    <w:rsid w:val="50D72851"/>
    <w:rsid w:val="50DB7387"/>
    <w:rsid w:val="50DF42F7"/>
    <w:rsid w:val="50EA59D5"/>
    <w:rsid w:val="50F40A2A"/>
    <w:rsid w:val="50F93B1A"/>
    <w:rsid w:val="50FE4613"/>
    <w:rsid w:val="51071719"/>
    <w:rsid w:val="51085492"/>
    <w:rsid w:val="510D5BDC"/>
    <w:rsid w:val="511B45F7"/>
    <w:rsid w:val="511C58C9"/>
    <w:rsid w:val="511E4CB5"/>
    <w:rsid w:val="511E639C"/>
    <w:rsid w:val="511F4AB5"/>
    <w:rsid w:val="51216827"/>
    <w:rsid w:val="51217817"/>
    <w:rsid w:val="512226DE"/>
    <w:rsid w:val="51270103"/>
    <w:rsid w:val="51284AA6"/>
    <w:rsid w:val="513A50DB"/>
    <w:rsid w:val="513B53D4"/>
    <w:rsid w:val="513E3C69"/>
    <w:rsid w:val="51512241"/>
    <w:rsid w:val="515153A1"/>
    <w:rsid w:val="515500EC"/>
    <w:rsid w:val="51555F7E"/>
    <w:rsid w:val="515904C8"/>
    <w:rsid w:val="515F2E43"/>
    <w:rsid w:val="51605F19"/>
    <w:rsid w:val="51610292"/>
    <w:rsid w:val="51666B8A"/>
    <w:rsid w:val="51682758"/>
    <w:rsid w:val="51690173"/>
    <w:rsid w:val="516E2F1C"/>
    <w:rsid w:val="51726C3A"/>
    <w:rsid w:val="51764AF1"/>
    <w:rsid w:val="517A3528"/>
    <w:rsid w:val="51986815"/>
    <w:rsid w:val="519B00B4"/>
    <w:rsid w:val="519D36C3"/>
    <w:rsid w:val="519F179C"/>
    <w:rsid w:val="51A27610"/>
    <w:rsid w:val="51AE428B"/>
    <w:rsid w:val="51AE7341"/>
    <w:rsid w:val="51AF7912"/>
    <w:rsid w:val="51BC3882"/>
    <w:rsid w:val="51BE383B"/>
    <w:rsid w:val="51BF49B6"/>
    <w:rsid w:val="51C64F53"/>
    <w:rsid w:val="51C95FE6"/>
    <w:rsid w:val="51CB6DD4"/>
    <w:rsid w:val="51CE0489"/>
    <w:rsid w:val="51D04603"/>
    <w:rsid w:val="51E114FC"/>
    <w:rsid w:val="51E1640E"/>
    <w:rsid w:val="51F2003C"/>
    <w:rsid w:val="51F429AB"/>
    <w:rsid w:val="51F534B8"/>
    <w:rsid w:val="51F6353C"/>
    <w:rsid w:val="51F901F8"/>
    <w:rsid w:val="51FA5A54"/>
    <w:rsid w:val="51FD2DDC"/>
    <w:rsid w:val="51FF6894"/>
    <w:rsid w:val="52017B0D"/>
    <w:rsid w:val="520B348B"/>
    <w:rsid w:val="520B37B8"/>
    <w:rsid w:val="52100AA2"/>
    <w:rsid w:val="52114DBD"/>
    <w:rsid w:val="521C6D2C"/>
    <w:rsid w:val="521F0CE5"/>
    <w:rsid w:val="52200131"/>
    <w:rsid w:val="52297A2E"/>
    <w:rsid w:val="52305C05"/>
    <w:rsid w:val="52306A83"/>
    <w:rsid w:val="523522B6"/>
    <w:rsid w:val="523D116B"/>
    <w:rsid w:val="523F4E71"/>
    <w:rsid w:val="523F76D3"/>
    <w:rsid w:val="52430F16"/>
    <w:rsid w:val="5248624C"/>
    <w:rsid w:val="524C1EE3"/>
    <w:rsid w:val="52541E26"/>
    <w:rsid w:val="525C3CE7"/>
    <w:rsid w:val="525F7333"/>
    <w:rsid w:val="52636E23"/>
    <w:rsid w:val="528154FB"/>
    <w:rsid w:val="528C45CC"/>
    <w:rsid w:val="528F7A76"/>
    <w:rsid w:val="529202DB"/>
    <w:rsid w:val="52943481"/>
    <w:rsid w:val="52952D55"/>
    <w:rsid w:val="529F6A8B"/>
    <w:rsid w:val="52A742FF"/>
    <w:rsid w:val="52A77A34"/>
    <w:rsid w:val="52A92B99"/>
    <w:rsid w:val="52B17DC8"/>
    <w:rsid w:val="52B5126D"/>
    <w:rsid w:val="52B670C1"/>
    <w:rsid w:val="52BA5807"/>
    <w:rsid w:val="52C2463C"/>
    <w:rsid w:val="52CF3444"/>
    <w:rsid w:val="52D971E1"/>
    <w:rsid w:val="52DC5346"/>
    <w:rsid w:val="52DF72E1"/>
    <w:rsid w:val="52E179B4"/>
    <w:rsid w:val="52E650D7"/>
    <w:rsid w:val="52EE2D0F"/>
    <w:rsid w:val="52F10B4A"/>
    <w:rsid w:val="52F1442F"/>
    <w:rsid w:val="52FB4588"/>
    <w:rsid w:val="52FD2299"/>
    <w:rsid w:val="53056818"/>
    <w:rsid w:val="53065C5A"/>
    <w:rsid w:val="53146370"/>
    <w:rsid w:val="531719BC"/>
    <w:rsid w:val="531A5AD8"/>
    <w:rsid w:val="531C5666"/>
    <w:rsid w:val="531D3476"/>
    <w:rsid w:val="53347CF7"/>
    <w:rsid w:val="533820F0"/>
    <w:rsid w:val="53493312"/>
    <w:rsid w:val="534A685C"/>
    <w:rsid w:val="534B15C2"/>
    <w:rsid w:val="53566780"/>
    <w:rsid w:val="535C3C6E"/>
    <w:rsid w:val="535C6771"/>
    <w:rsid w:val="535D7D17"/>
    <w:rsid w:val="535E3497"/>
    <w:rsid w:val="53616049"/>
    <w:rsid w:val="53696BFA"/>
    <w:rsid w:val="536C767A"/>
    <w:rsid w:val="536F17F8"/>
    <w:rsid w:val="53734AC6"/>
    <w:rsid w:val="53757C29"/>
    <w:rsid w:val="537A08C9"/>
    <w:rsid w:val="537A3EB0"/>
    <w:rsid w:val="537D4291"/>
    <w:rsid w:val="537E7A47"/>
    <w:rsid w:val="5385588E"/>
    <w:rsid w:val="538A03E0"/>
    <w:rsid w:val="53901F32"/>
    <w:rsid w:val="53933738"/>
    <w:rsid w:val="5393598D"/>
    <w:rsid w:val="53955F69"/>
    <w:rsid w:val="53962B64"/>
    <w:rsid w:val="539757E8"/>
    <w:rsid w:val="53980D4F"/>
    <w:rsid w:val="53991AD8"/>
    <w:rsid w:val="539A0F3A"/>
    <w:rsid w:val="539A6064"/>
    <w:rsid w:val="53BA3B35"/>
    <w:rsid w:val="53BA41E8"/>
    <w:rsid w:val="53C47715"/>
    <w:rsid w:val="53C75FA4"/>
    <w:rsid w:val="53C80FA8"/>
    <w:rsid w:val="53CC6794"/>
    <w:rsid w:val="53CD7A13"/>
    <w:rsid w:val="53D41FC7"/>
    <w:rsid w:val="53E15D5A"/>
    <w:rsid w:val="53E52268"/>
    <w:rsid w:val="53EF0B07"/>
    <w:rsid w:val="53F1514C"/>
    <w:rsid w:val="5411465D"/>
    <w:rsid w:val="541562D0"/>
    <w:rsid w:val="54234165"/>
    <w:rsid w:val="542425E2"/>
    <w:rsid w:val="542B6477"/>
    <w:rsid w:val="54346417"/>
    <w:rsid w:val="543A1A77"/>
    <w:rsid w:val="543F7F3F"/>
    <w:rsid w:val="54515BFB"/>
    <w:rsid w:val="54543C2E"/>
    <w:rsid w:val="545D291C"/>
    <w:rsid w:val="54605EFA"/>
    <w:rsid w:val="546A67BA"/>
    <w:rsid w:val="546E1AAF"/>
    <w:rsid w:val="54770356"/>
    <w:rsid w:val="548245A6"/>
    <w:rsid w:val="548503BD"/>
    <w:rsid w:val="548D2E25"/>
    <w:rsid w:val="54913313"/>
    <w:rsid w:val="549265A5"/>
    <w:rsid w:val="549570B5"/>
    <w:rsid w:val="549A1C69"/>
    <w:rsid w:val="549E2395"/>
    <w:rsid w:val="54AA6F8B"/>
    <w:rsid w:val="54B0031A"/>
    <w:rsid w:val="54B53DC8"/>
    <w:rsid w:val="54B86E43"/>
    <w:rsid w:val="54BA48D4"/>
    <w:rsid w:val="54BC774E"/>
    <w:rsid w:val="54C3004D"/>
    <w:rsid w:val="54D667C8"/>
    <w:rsid w:val="54D825D0"/>
    <w:rsid w:val="54D9161F"/>
    <w:rsid w:val="54D97BD2"/>
    <w:rsid w:val="54DC110F"/>
    <w:rsid w:val="54E33A64"/>
    <w:rsid w:val="54E97C1A"/>
    <w:rsid w:val="54F7666A"/>
    <w:rsid w:val="550F1AD0"/>
    <w:rsid w:val="55201386"/>
    <w:rsid w:val="55256612"/>
    <w:rsid w:val="5526102B"/>
    <w:rsid w:val="552C5BF2"/>
    <w:rsid w:val="553B68EB"/>
    <w:rsid w:val="553C174F"/>
    <w:rsid w:val="554A6079"/>
    <w:rsid w:val="555C6E06"/>
    <w:rsid w:val="555D64ED"/>
    <w:rsid w:val="556136B4"/>
    <w:rsid w:val="556E6350"/>
    <w:rsid w:val="55720193"/>
    <w:rsid w:val="55824895"/>
    <w:rsid w:val="558874CE"/>
    <w:rsid w:val="558C48E3"/>
    <w:rsid w:val="558D270B"/>
    <w:rsid w:val="55913E6A"/>
    <w:rsid w:val="559C2D4F"/>
    <w:rsid w:val="559D7657"/>
    <w:rsid w:val="55A470C8"/>
    <w:rsid w:val="55AA0C02"/>
    <w:rsid w:val="55AA5CAA"/>
    <w:rsid w:val="55B10851"/>
    <w:rsid w:val="55B20D2B"/>
    <w:rsid w:val="55B55F49"/>
    <w:rsid w:val="55D1044E"/>
    <w:rsid w:val="55D43A51"/>
    <w:rsid w:val="55DF591B"/>
    <w:rsid w:val="55EB746D"/>
    <w:rsid w:val="56047362"/>
    <w:rsid w:val="56084065"/>
    <w:rsid w:val="560C0DF9"/>
    <w:rsid w:val="561072C2"/>
    <w:rsid w:val="561C216E"/>
    <w:rsid w:val="561F0D21"/>
    <w:rsid w:val="561F7505"/>
    <w:rsid w:val="5620290F"/>
    <w:rsid w:val="563C1E65"/>
    <w:rsid w:val="5644544A"/>
    <w:rsid w:val="56486A5C"/>
    <w:rsid w:val="56492C76"/>
    <w:rsid w:val="564A5667"/>
    <w:rsid w:val="5651503B"/>
    <w:rsid w:val="56654672"/>
    <w:rsid w:val="56690780"/>
    <w:rsid w:val="566C5CEE"/>
    <w:rsid w:val="56755377"/>
    <w:rsid w:val="5675755A"/>
    <w:rsid w:val="56777341"/>
    <w:rsid w:val="567C0D89"/>
    <w:rsid w:val="567F61F6"/>
    <w:rsid w:val="568D37D8"/>
    <w:rsid w:val="56907F0A"/>
    <w:rsid w:val="56AF643E"/>
    <w:rsid w:val="56B440F1"/>
    <w:rsid w:val="56BD142B"/>
    <w:rsid w:val="56C153A7"/>
    <w:rsid w:val="56D35F73"/>
    <w:rsid w:val="56D55E6A"/>
    <w:rsid w:val="56DF5D5B"/>
    <w:rsid w:val="56E147BB"/>
    <w:rsid w:val="56E15444"/>
    <w:rsid w:val="56FB6381"/>
    <w:rsid w:val="570606C5"/>
    <w:rsid w:val="57087F99"/>
    <w:rsid w:val="570F28B4"/>
    <w:rsid w:val="571347E8"/>
    <w:rsid w:val="57164447"/>
    <w:rsid w:val="571903F8"/>
    <w:rsid w:val="572477EF"/>
    <w:rsid w:val="572525CA"/>
    <w:rsid w:val="572E74E1"/>
    <w:rsid w:val="572F70EE"/>
    <w:rsid w:val="57331B26"/>
    <w:rsid w:val="573B036F"/>
    <w:rsid w:val="574014E1"/>
    <w:rsid w:val="5741529D"/>
    <w:rsid w:val="574722CB"/>
    <w:rsid w:val="57483853"/>
    <w:rsid w:val="5752061F"/>
    <w:rsid w:val="575A23C8"/>
    <w:rsid w:val="576421FA"/>
    <w:rsid w:val="577640D3"/>
    <w:rsid w:val="577E2A32"/>
    <w:rsid w:val="577F0F63"/>
    <w:rsid w:val="57801481"/>
    <w:rsid w:val="57823243"/>
    <w:rsid w:val="57874DBC"/>
    <w:rsid w:val="578C5443"/>
    <w:rsid w:val="57931F59"/>
    <w:rsid w:val="579C2C09"/>
    <w:rsid w:val="57B105EC"/>
    <w:rsid w:val="57B47D03"/>
    <w:rsid w:val="57B70E79"/>
    <w:rsid w:val="57BD2C71"/>
    <w:rsid w:val="57D02D65"/>
    <w:rsid w:val="57D8796C"/>
    <w:rsid w:val="57DA5DD2"/>
    <w:rsid w:val="57E521BA"/>
    <w:rsid w:val="57E540F6"/>
    <w:rsid w:val="57E7471F"/>
    <w:rsid w:val="57EB2E67"/>
    <w:rsid w:val="57F2799E"/>
    <w:rsid w:val="57F70D0B"/>
    <w:rsid w:val="580A4AF7"/>
    <w:rsid w:val="58194141"/>
    <w:rsid w:val="581A6CD3"/>
    <w:rsid w:val="581F71B4"/>
    <w:rsid w:val="58207565"/>
    <w:rsid w:val="58211A23"/>
    <w:rsid w:val="582E4325"/>
    <w:rsid w:val="58334613"/>
    <w:rsid w:val="5838051D"/>
    <w:rsid w:val="583942E8"/>
    <w:rsid w:val="58411EA4"/>
    <w:rsid w:val="58493D4C"/>
    <w:rsid w:val="584C2108"/>
    <w:rsid w:val="585A4825"/>
    <w:rsid w:val="585B234B"/>
    <w:rsid w:val="58645A71"/>
    <w:rsid w:val="586B3150"/>
    <w:rsid w:val="587514C1"/>
    <w:rsid w:val="587B4792"/>
    <w:rsid w:val="587C01DE"/>
    <w:rsid w:val="58831FCD"/>
    <w:rsid w:val="58880EB6"/>
    <w:rsid w:val="58952225"/>
    <w:rsid w:val="589F7501"/>
    <w:rsid w:val="58A261CC"/>
    <w:rsid w:val="58A957AC"/>
    <w:rsid w:val="58B77AB1"/>
    <w:rsid w:val="58B8779D"/>
    <w:rsid w:val="58C36974"/>
    <w:rsid w:val="58CC6635"/>
    <w:rsid w:val="58D92303"/>
    <w:rsid w:val="58DC4F98"/>
    <w:rsid w:val="58DE60D3"/>
    <w:rsid w:val="58E254E8"/>
    <w:rsid w:val="58E550A0"/>
    <w:rsid w:val="58EF1743"/>
    <w:rsid w:val="58F51052"/>
    <w:rsid w:val="58F5279F"/>
    <w:rsid w:val="59012113"/>
    <w:rsid w:val="59084281"/>
    <w:rsid w:val="590B057A"/>
    <w:rsid w:val="591E7984"/>
    <w:rsid w:val="591F32C5"/>
    <w:rsid w:val="5932433E"/>
    <w:rsid w:val="593A3F86"/>
    <w:rsid w:val="593F6D80"/>
    <w:rsid w:val="594013DE"/>
    <w:rsid w:val="59413FEF"/>
    <w:rsid w:val="59416E45"/>
    <w:rsid w:val="59457283"/>
    <w:rsid w:val="594F7F9B"/>
    <w:rsid w:val="59554FEC"/>
    <w:rsid w:val="59570D64"/>
    <w:rsid w:val="59692E88"/>
    <w:rsid w:val="596D4104"/>
    <w:rsid w:val="59771406"/>
    <w:rsid w:val="597D76E2"/>
    <w:rsid w:val="597F3910"/>
    <w:rsid w:val="5983449D"/>
    <w:rsid w:val="598558D1"/>
    <w:rsid w:val="59951A69"/>
    <w:rsid w:val="59A87409"/>
    <w:rsid w:val="59A968AE"/>
    <w:rsid w:val="59AE0698"/>
    <w:rsid w:val="59B20B36"/>
    <w:rsid w:val="59B83EF9"/>
    <w:rsid w:val="59B86222"/>
    <w:rsid w:val="59BC3DC4"/>
    <w:rsid w:val="59BC7BF3"/>
    <w:rsid w:val="59BE5287"/>
    <w:rsid w:val="59C4272D"/>
    <w:rsid w:val="59D41FA5"/>
    <w:rsid w:val="59DB53C6"/>
    <w:rsid w:val="59E0480D"/>
    <w:rsid w:val="59E7658C"/>
    <w:rsid w:val="59E81185"/>
    <w:rsid w:val="59EE68F5"/>
    <w:rsid w:val="59EF71EF"/>
    <w:rsid w:val="59F41890"/>
    <w:rsid w:val="59F841EA"/>
    <w:rsid w:val="5A037212"/>
    <w:rsid w:val="5A083999"/>
    <w:rsid w:val="5A0E2627"/>
    <w:rsid w:val="5A0F163F"/>
    <w:rsid w:val="5A136563"/>
    <w:rsid w:val="5A140AB5"/>
    <w:rsid w:val="5A174BCE"/>
    <w:rsid w:val="5A274C81"/>
    <w:rsid w:val="5A286265"/>
    <w:rsid w:val="5A2A0227"/>
    <w:rsid w:val="5A2E5114"/>
    <w:rsid w:val="5A2F3A8F"/>
    <w:rsid w:val="5A3E2022"/>
    <w:rsid w:val="5A5A6003"/>
    <w:rsid w:val="5A672A61"/>
    <w:rsid w:val="5A6E7453"/>
    <w:rsid w:val="5A7523FA"/>
    <w:rsid w:val="5A7D5141"/>
    <w:rsid w:val="5A7E5EAF"/>
    <w:rsid w:val="5A84202D"/>
    <w:rsid w:val="5A851901"/>
    <w:rsid w:val="5A88318C"/>
    <w:rsid w:val="5A8D1F79"/>
    <w:rsid w:val="5A8D2742"/>
    <w:rsid w:val="5A901AC5"/>
    <w:rsid w:val="5A975C1F"/>
    <w:rsid w:val="5A98595B"/>
    <w:rsid w:val="5A9D366D"/>
    <w:rsid w:val="5AA81BAA"/>
    <w:rsid w:val="5AAC3810"/>
    <w:rsid w:val="5AB87F28"/>
    <w:rsid w:val="5ABC3DC2"/>
    <w:rsid w:val="5AC73CC7"/>
    <w:rsid w:val="5AD80F59"/>
    <w:rsid w:val="5AD9405B"/>
    <w:rsid w:val="5ADB4549"/>
    <w:rsid w:val="5AE7738B"/>
    <w:rsid w:val="5AE930A7"/>
    <w:rsid w:val="5AED565A"/>
    <w:rsid w:val="5AF20ABB"/>
    <w:rsid w:val="5AF34ABD"/>
    <w:rsid w:val="5AF61243"/>
    <w:rsid w:val="5AF97327"/>
    <w:rsid w:val="5AFB067D"/>
    <w:rsid w:val="5AFE7096"/>
    <w:rsid w:val="5B0D4D97"/>
    <w:rsid w:val="5B167F9F"/>
    <w:rsid w:val="5B1A473F"/>
    <w:rsid w:val="5B1D2424"/>
    <w:rsid w:val="5B2435F7"/>
    <w:rsid w:val="5B2630E4"/>
    <w:rsid w:val="5B2D4472"/>
    <w:rsid w:val="5B2F194B"/>
    <w:rsid w:val="5B2F1C8C"/>
    <w:rsid w:val="5B31765D"/>
    <w:rsid w:val="5B33135D"/>
    <w:rsid w:val="5B3475AF"/>
    <w:rsid w:val="5B3A26EB"/>
    <w:rsid w:val="5B4147D2"/>
    <w:rsid w:val="5B442E08"/>
    <w:rsid w:val="5B514604"/>
    <w:rsid w:val="5B6162F1"/>
    <w:rsid w:val="5B6A2FD1"/>
    <w:rsid w:val="5B765E19"/>
    <w:rsid w:val="5B7A45B3"/>
    <w:rsid w:val="5B7B65A3"/>
    <w:rsid w:val="5B7B6F0C"/>
    <w:rsid w:val="5B7E6A7C"/>
    <w:rsid w:val="5B835E40"/>
    <w:rsid w:val="5B8F6EDB"/>
    <w:rsid w:val="5B921431"/>
    <w:rsid w:val="5B962CF9"/>
    <w:rsid w:val="5B965F1B"/>
    <w:rsid w:val="5B96784D"/>
    <w:rsid w:val="5BA04C44"/>
    <w:rsid w:val="5BA65217"/>
    <w:rsid w:val="5BA850FC"/>
    <w:rsid w:val="5BAF291D"/>
    <w:rsid w:val="5BBA55DA"/>
    <w:rsid w:val="5BC052E6"/>
    <w:rsid w:val="5BC9127A"/>
    <w:rsid w:val="5BCA3898"/>
    <w:rsid w:val="5BD91F04"/>
    <w:rsid w:val="5BE34A4C"/>
    <w:rsid w:val="5BE64689"/>
    <w:rsid w:val="5BEA67F5"/>
    <w:rsid w:val="5BEC1C38"/>
    <w:rsid w:val="5BEF5ACF"/>
    <w:rsid w:val="5BF1720C"/>
    <w:rsid w:val="5BF3649C"/>
    <w:rsid w:val="5BF62AB6"/>
    <w:rsid w:val="5BF6513D"/>
    <w:rsid w:val="5BF728FD"/>
    <w:rsid w:val="5BF83E6A"/>
    <w:rsid w:val="5BFD0F0E"/>
    <w:rsid w:val="5BFF3DC3"/>
    <w:rsid w:val="5C005A92"/>
    <w:rsid w:val="5C052CF9"/>
    <w:rsid w:val="5C087BCD"/>
    <w:rsid w:val="5C092C4F"/>
    <w:rsid w:val="5C0B1222"/>
    <w:rsid w:val="5C0C1BF9"/>
    <w:rsid w:val="5C1212CE"/>
    <w:rsid w:val="5C15588F"/>
    <w:rsid w:val="5C17299A"/>
    <w:rsid w:val="5C1C4A76"/>
    <w:rsid w:val="5C26638F"/>
    <w:rsid w:val="5C326249"/>
    <w:rsid w:val="5C34503D"/>
    <w:rsid w:val="5C3C0120"/>
    <w:rsid w:val="5C470C22"/>
    <w:rsid w:val="5C4A2FA5"/>
    <w:rsid w:val="5C4B73FD"/>
    <w:rsid w:val="5C582BE0"/>
    <w:rsid w:val="5C582FA8"/>
    <w:rsid w:val="5C5D3B6B"/>
    <w:rsid w:val="5C5E240A"/>
    <w:rsid w:val="5C5E4E15"/>
    <w:rsid w:val="5C5F2641"/>
    <w:rsid w:val="5C670D13"/>
    <w:rsid w:val="5C683F1D"/>
    <w:rsid w:val="5C6F4C8D"/>
    <w:rsid w:val="5C796900"/>
    <w:rsid w:val="5C7E46C1"/>
    <w:rsid w:val="5C7F0CFE"/>
    <w:rsid w:val="5C82259C"/>
    <w:rsid w:val="5C90511D"/>
    <w:rsid w:val="5C950521"/>
    <w:rsid w:val="5C952D5F"/>
    <w:rsid w:val="5C98191C"/>
    <w:rsid w:val="5C9D73D6"/>
    <w:rsid w:val="5CA43A5B"/>
    <w:rsid w:val="5CAC13C7"/>
    <w:rsid w:val="5CB45359"/>
    <w:rsid w:val="5CB5358A"/>
    <w:rsid w:val="5CB95311"/>
    <w:rsid w:val="5CBA6783"/>
    <w:rsid w:val="5CBE5055"/>
    <w:rsid w:val="5CD320D9"/>
    <w:rsid w:val="5CF37F19"/>
    <w:rsid w:val="5CF41428"/>
    <w:rsid w:val="5CF944E1"/>
    <w:rsid w:val="5CFB0C36"/>
    <w:rsid w:val="5CFF3971"/>
    <w:rsid w:val="5D145DBF"/>
    <w:rsid w:val="5D1E0517"/>
    <w:rsid w:val="5D204D26"/>
    <w:rsid w:val="5D293178"/>
    <w:rsid w:val="5D2F2E72"/>
    <w:rsid w:val="5D34766B"/>
    <w:rsid w:val="5D404EEC"/>
    <w:rsid w:val="5D415FB3"/>
    <w:rsid w:val="5D4556B6"/>
    <w:rsid w:val="5D473510"/>
    <w:rsid w:val="5D4C4EB8"/>
    <w:rsid w:val="5D5A0E23"/>
    <w:rsid w:val="5D5C103F"/>
    <w:rsid w:val="5D5C7A80"/>
    <w:rsid w:val="5D5D6E68"/>
    <w:rsid w:val="5D6C582F"/>
    <w:rsid w:val="5D705563"/>
    <w:rsid w:val="5D7874FB"/>
    <w:rsid w:val="5D8A5BAC"/>
    <w:rsid w:val="5D8B1F3D"/>
    <w:rsid w:val="5D9232B3"/>
    <w:rsid w:val="5D972077"/>
    <w:rsid w:val="5D995DEF"/>
    <w:rsid w:val="5D997B9D"/>
    <w:rsid w:val="5D9C768D"/>
    <w:rsid w:val="5D9F7B9C"/>
    <w:rsid w:val="5DA14CA4"/>
    <w:rsid w:val="5DA17EBF"/>
    <w:rsid w:val="5DA44896"/>
    <w:rsid w:val="5DA622BA"/>
    <w:rsid w:val="5DA96700"/>
    <w:rsid w:val="5DAF6B7F"/>
    <w:rsid w:val="5DB72C5B"/>
    <w:rsid w:val="5DBA7F4C"/>
    <w:rsid w:val="5DBB31F7"/>
    <w:rsid w:val="5DC271B2"/>
    <w:rsid w:val="5DC664B8"/>
    <w:rsid w:val="5DC7658D"/>
    <w:rsid w:val="5DC83412"/>
    <w:rsid w:val="5DC95E77"/>
    <w:rsid w:val="5DD34C1B"/>
    <w:rsid w:val="5DD76917"/>
    <w:rsid w:val="5DE059C0"/>
    <w:rsid w:val="5DE100D8"/>
    <w:rsid w:val="5DE3706A"/>
    <w:rsid w:val="5DE52481"/>
    <w:rsid w:val="5DE94681"/>
    <w:rsid w:val="5DEA22F7"/>
    <w:rsid w:val="5DF72AD9"/>
    <w:rsid w:val="5DF83292"/>
    <w:rsid w:val="5DF9063C"/>
    <w:rsid w:val="5DFA54C5"/>
    <w:rsid w:val="5DFB1363"/>
    <w:rsid w:val="5E0314BA"/>
    <w:rsid w:val="5E033C3F"/>
    <w:rsid w:val="5E082F75"/>
    <w:rsid w:val="5E084D23"/>
    <w:rsid w:val="5E0C16F0"/>
    <w:rsid w:val="5E0F2589"/>
    <w:rsid w:val="5E14191A"/>
    <w:rsid w:val="5E174F66"/>
    <w:rsid w:val="5E23390B"/>
    <w:rsid w:val="5E301EF1"/>
    <w:rsid w:val="5E393A65"/>
    <w:rsid w:val="5E3D4F23"/>
    <w:rsid w:val="5E3D6804"/>
    <w:rsid w:val="5E453881"/>
    <w:rsid w:val="5E4563BF"/>
    <w:rsid w:val="5E4A26C6"/>
    <w:rsid w:val="5E4F45B3"/>
    <w:rsid w:val="5E4F7B6A"/>
    <w:rsid w:val="5E506D4C"/>
    <w:rsid w:val="5E514D99"/>
    <w:rsid w:val="5E5341F0"/>
    <w:rsid w:val="5E553C3C"/>
    <w:rsid w:val="5E604656"/>
    <w:rsid w:val="5E6D4B86"/>
    <w:rsid w:val="5E7035C3"/>
    <w:rsid w:val="5E85137B"/>
    <w:rsid w:val="5E8776AF"/>
    <w:rsid w:val="5E892528"/>
    <w:rsid w:val="5E8B2667"/>
    <w:rsid w:val="5E8F5DEF"/>
    <w:rsid w:val="5E8F7985"/>
    <w:rsid w:val="5E9D17DC"/>
    <w:rsid w:val="5E9D4AB1"/>
    <w:rsid w:val="5EA04FC8"/>
    <w:rsid w:val="5EA23D7A"/>
    <w:rsid w:val="5EA77FCF"/>
    <w:rsid w:val="5EAE4BA4"/>
    <w:rsid w:val="5EB033F0"/>
    <w:rsid w:val="5EB17BFB"/>
    <w:rsid w:val="5EBB3B43"/>
    <w:rsid w:val="5EBB550C"/>
    <w:rsid w:val="5EC27029"/>
    <w:rsid w:val="5EC46E9C"/>
    <w:rsid w:val="5EE01396"/>
    <w:rsid w:val="5EE02564"/>
    <w:rsid w:val="5EE229FC"/>
    <w:rsid w:val="5EE33737"/>
    <w:rsid w:val="5EE85C3D"/>
    <w:rsid w:val="5EEB4428"/>
    <w:rsid w:val="5EEB44A8"/>
    <w:rsid w:val="5EEC1F4F"/>
    <w:rsid w:val="5EF10D92"/>
    <w:rsid w:val="5EF27584"/>
    <w:rsid w:val="5F015D0B"/>
    <w:rsid w:val="5F056E89"/>
    <w:rsid w:val="5F0605FF"/>
    <w:rsid w:val="5F0C25F1"/>
    <w:rsid w:val="5F0C439F"/>
    <w:rsid w:val="5F1155B6"/>
    <w:rsid w:val="5F19665A"/>
    <w:rsid w:val="5F1D4B5A"/>
    <w:rsid w:val="5F1F0576"/>
    <w:rsid w:val="5F2418EE"/>
    <w:rsid w:val="5F243B25"/>
    <w:rsid w:val="5F24793A"/>
    <w:rsid w:val="5F251423"/>
    <w:rsid w:val="5F2B4B16"/>
    <w:rsid w:val="5F2F771F"/>
    <w:rsid w:val="5F325359"/>
    <w:rsid w:val="5F380247"/>
    <w:rsid w:val="5F392B72"/>
    <w:rsid w:val="5F3A02CB"/>
    <w:rsid w:val="5F3B5EA2"/>
    <w:rsid w:val="5F3E0472"/>
    <w:rsid w:val="5F4A0E5D"/>
    <w:rsid w:val="5F5410DC"/>
    <w:rsid w:val="5F70265B"/>
    <w:rsid w:val="5F7408C2"/>
    <w:rsid w:val="5F7672EE"/>
    <w:rsid w:val="5F854036"/>
    <w:rsid w:val="5F8623A3"/>
    <w:rsid w:val="5F950838"/>
    <w:rsid w:val="5F9A7F2B"/>
    <w:rsid w:val="5F9D2832"/>
    <w:rsid w:val="5FA12925"/>
    <w:rsid w:val="5FA35296"/>
    <w:rsid w:val="5FAA0B65"/>
    <w:rsid w:val="5FAF600B"/>
    <w:rsid w:val="5FAF7A95"/>
    <w:rsid w:val="5FC133DB"/>
    <w:rsid w:val="5FC277B9"/>
    <w:rsid w:val="5FC52ECB"/>
    <w:rsid w:val="5FD01870"/>
    <w:rsid w:val="5FD35ED5"/>
    <w:rsid w:val="5FD70E51"/>
    <w:rsid w:val="5FD749AD"/>
    <w:rsid w:val="5FE0262C"/>
    <w:rsid w:val="5FE7203A"/>
    <w:rsid w:val="5FEA2E2A"/>
    <w:rsid w:val="5FEB0458"/>
    <w:rsid w:val="5FF2063E"/>
    <w:rsid w:val="5FF4405E"/>
    <w:rsid w:val="5FFA1435"/>
    <w:rsid w:val="5FFB2B33"/>
    <w:rsid w:val="5FFC08B7"/>
    <w:rsid w:val="5FFF5467"/>
    <w:rsid w:val="600A5DD1"/>
    <w:rsid w:val="600B63C8"/>
    <w:rsid w:val="6010439E"/>
    <w:rsid w:val="601E6410"/>
    <w:rsid w:val="601F0972"/>
    <w:rsid w:val="602373EF"/>
    <w:rsid w:val="60261490"/>
    <w:rsid w:val="602E2448"/>
    <w:rsid w:val="603A4205"/>
    <w:rsid w:val="60424545"/>
    <w:rsid w:val="6051650D"/>
    <w:rsid w:val="606A1D3B"/>
    <w:rsid w:val="606E6554"/>
    <w:rsid w:val="60732A37"/>
    <w:rsid w:val="60810DA4"/>
    <w:rsid w:val="608239F0"/>
    <w:rsid w:val="6082700E"/>
    <w:rsid w:val="60844CE9"/>
    <w:rsid w:val="608B2761"/>
    <w:rsid w:val="608E5816"/>
    <w:rsid w:val="60912B31"/>
    <w:rsid w:val="60921B57"/>
    <w:rsid w:val="609B00D0"/>
    <w:rsid w:val="60A4685C"/>
    <w:rsid w:val="60A725D1"/>
    <w:rsid w:val="60AA2086"/>
    <w:rsid w:val="60AE1BB1"/>
    <w:rsid w:val="60B11141"/>
    <w:rsid w:val="60B31DB0"/>
    <w:rsid w:val="60B544CA"/>
    <w:rsid w:val="60B56292"/>
    <w:rsid w:val="60C22582"/>
    <w:rsid w:val="60D45AF5"/>
    <w:rsid w:val="60D86B6C"/>
    <w:rsid w:val="60DC0FB4"/>
    <w:rsid w:val="60E50F24"/>
    <w:rsid w:val="60E6189C"/>
    <w:rsid w:val="60EE67BB"/>
    <w:rsid w:val="60EF46F9"/>
    <w:rsid w:val="60F55B8C"/>
    <w:rsid w:val="60FA3BC4"/>
    <w:rsid w:val="6106053F"/>
    <w:rsid w:val="610A645E"/>
    <w:rsid w:val="610B36B5"/>
    <w:rsid w:val="61117352"/>
    <w:rsid w:val="61142591"/>
    <w:rsid w:val="611834CF"/>
    <w:rsid w:val="611F4837"/>
    <w:rsid w:val="61252DAF"/>
    <w:rsid w:val="612855A5"/>
    <w:rsid w:val="614001E3"/>
    <w:rsid w:val="614D4FC9"/>
    <w:rsid w:val="615311A9"/>
    <w:rsid w:val="6155256B"/>
    <w:rsid w:val="615822F8"/>
    <w:rsid w:val="615D1B68"/>
    <w:rsid w:val="616B0528"/>
    <w:rsid w:val="616F46F6"/>
    <w:rsid w:val="616F48DE"/>
    <w:rsid w:val="61751E71"/>
    <w:rsid w:val="61776447"/>
    <w:rsid w:val="61796CB2"/>
    <w:rsid w:val="617D602D"/>
    <w:rsid w:val="619969CA"/>
    <w:rsid w:val="619D5782"/>
    <w:rsid w:val="61A114C1"/>
    <w:rsid w:val="61A80B34"/>
    <w:rsid w:val="61B52BB6"/>
    <w:rsid w:val="61BD035E"/>
    <w:rsid w:val="61BD2C43"/>
    <w:rsid w:val="61BE2271"/>
    <w:rsid w:val="61C5281C"/>
    <w:rsid w:val="61D03DA9"/>
    <w:rsid w:val="61D142CF"/>
    <w:rsid w:val="61DB0048"/>
    <w:rsid w:val="61E0242D"/>
    <w:rsid w:val="61E5246B"/>
    <w:rsid w:val="61E67129"/>
    <w:rsid w:val="61EE5FDE"/>
    <w:rsid w:val="61F72E02"/>
    <w:rsid w:val="6200468F"/>
    <w:rsid w:val="620344CF"/>
    <w:rsid w:val="620E5BF6"/>
    <w:rsid w:val="62173786"/>
    <w:rsid w:val="621922B2"/>
    <w:rsid w:val="62214605"/>
    <w:rsid w:val="62237713"/>
    <w:rsid w:val="622730EF"/>
    <w:rsid w:val="622D478B"/>
    <w:rsid w:val="623517C1"/>
    <w:rsid w:val="623D403A"/>
    <w:rsid w:val="62423F69"/>
    <w:rsid w:val="6243216E"/>
    <w:rsid w:val="624A74AD"/>
    <w:rsid w:val="624B3119"/>
    <w:rsid w:val="625C5CEF"/>
    <w:rsid w:val="62612C54"/>
    <w:rsid w:val="626470F3"/>
    <w:rsid w:val="62654B9F"/>
    <w:rsid w:val="626708C8"/>
    <w:rsid w:val="626F7774"/>
    <w:rsid w:val="62711115"/>
    <w:rsid w:val="62771B61"/>
    <w:rsid w:val="62791D4B"/>
    <w:rsid w:val="627A70CA"/>
    <w:rsid w:val="627D1FA2"/>
    <w:rsid w:val="627F43F5"/>
    <w:rsid w:val="628708B7"/>
    <w:rsid w:val="62896CE0"/>
    <w:rsid w:val="62934D5A"/>
    <w:rsid w:val="62963B64"/>
    <w:rsid w:val="62985869"/>
    <w:rsid w:val="62A40A09"/>
    <w:rsid w:val="62B611F1"/>
    <w:rsid w:val="62B72874"/>
    <w:rsid w:val="62B75C04"/>
    <w:rsid w:val="62C27A1A"/>
    <w:rsid w:val="62C35BB0"/>
    <w:rsid w:val="62CA3E54"/>
    <w:rsid w:val="62CB32FA"/>
    <w:rsid w:val="62CE03EB"/>
    <w:rsid w:val="62DF25C9"/>
    <w:rsid w:val="62E06445"/>
    <w:rsid w:val="62E140B8"/>
    <w:rsid w:val="62EB45E6"/>
    <w:rsid w:val="62F46BF3"/>
    <w:rsid w:val="62F8707E"/>
    <w:rsid w:val="6300421A"/>
    <w:rsid w:val="63005859"/>
    <w:rsid w:val="63005A98"/>
    <w:rsid w:val="6300715C"/>
    <w:rsid w:val="6308514C"/>
    <w:rsid w:val="631311ED"/>
    <w:rsid w:val="63160C92"/>
    <w:rsid w:val="632919C3"/>
    <w:rsid w:val="632C5010"/>
    <w:rsid w:val="63356642"/>
    <w:rsid w:val="633B5253"/>
    <w:rsid w:val="63473BF7"/>
    <w:rsid w:val="63480E35"/>
    <w:rsid w:val="634A6618"/>
    <w:rsid w:val="634C4BB3"/>
    <w:rsid w:val="634E3EBD"/>
    <w:rsid w:val="635D24F2"/>
    <w:rsid w:val="635F3637"/>
    <w:rsid w:val="6360601F"/>
    <w:rsid w:val="63617E09"/>
    <w:rsid w:val="63655368"/>
    <w:rsid w:val="63687F1A"/>
    <w:rsid w:val="636915A1"/>
    <w:rsid w:val="636B49EB"/>
    <w:rsid w:val="637441FD"/>
    <w:rsid w:val="63767A6D"/>
    <w:rsid w:val="637732A5"/>
    <w:rsid w:val="63776EDA"/>
    <w:rsid w:val="637D586B"/>
    <w:rsid w:val="638373E3"/>
    <w:rsid w:val="638D533A"/>
    <w:rsid w:val="63930D44"/>
    <w:rsid w:val="63A1179B"/>
    <w:rsid w:val="63A728E8"/>
    <w:rsid w:val="63AE339B"/>
    <w:rsid w:val="63AE3C76"/>
    <w:rsid w:val="63B079EF"/>
    <w:rsid w:val="63C11BFC"/>
    <w:rsid w:val="63C127AD"/>
    <w:rsid w:val="63C416EC"/>
    <w:rsid w:val="63CC7157"/>
    <w:rsid w:val="63D74F7B"/>
    <w:rsid w:val="63DF26A3"/>
    <w:rsid w:val="63E65D3B"/>
    <w:rsid w:val="63EB6C79"/>
    <w:rsid w:val="63EF49BB"/>
    <w:rsid w:val="63F0603D"/>
    <w:rsid w:val="63F36FB6"/>
    <w:rsid w:val="63F8072D"/>
    <w:rsid w:val="6401342B"/>
    <w:rsid w:val="64024D23"/>
    <w:rsid w:val="6404419F"/>
    <w:rsid w:val="640E752C"/>
    <w:rsid w:val="6410335F"/>
    <w:rsid w:val="642E7722"/>
    <w:rsid w:val="643028DD"/>
    <w:rsid w:val="64314D6E"/>
    <w:rsid w:val="64322AF9"/>
    <w:rsid w:val="643B5CE2"/>
    <w:rsid w:val="643C04F5"/>
    <w:rsid w:val="64403E42"/>
    <w:rsid w:val="644327CB"/>
    <w:rsid w:val="644705DA"/>
    <w:rsid w:val="64526996"/>
    <w:rsid w:val="64564FAD"/>
    <w:rsid w:val="645A5BAC"/>
    <w:rsid w:val="64670C53"/>
    <w:rsid w:val="646C18A8"/>
    <w:rsid w:val="646E34DD"/>
    <w:rsid w:val="647811BC"/>
    <w:rsid w:val="647E2A29"/>
    <w:rsid w:val="648469BC"/>
    <w:rsid w:val="64863224"/>
    <w:rsid w:val="648D7D30"/>
    <w:rsid w:val="649B41FB"/>
    <w:rsid w:val="649C61C5"/>
    <w:rsid w:val="649D1018"/>
    <w:rsid w:val="649D37D2"/>
    <w:rsid w:val="64A56629"/>
    <w:rsid w:val="64AF110B"/>
    <w:rsid w:val="64B6579A"/>
    <w:rsid w:val="64B812B3"/>
    <w:rsid w:val="64BC2322"/>
    <w:rsid w:val="64BC23C3"/>
    <w:rsid w:val="64C3788B"/>
    <w:rsid w:val="64D57743"/>
    <w:rsid w:val="64DE0C64"/>
    <w:rsid w:val="64E11726"/>
    <w:rsid w:val="64E97B2A"/>
    <w:rsid w:val="64F01E28"/>
    <w:rsid w:val="64F464B5"/>
    <w:rsid w:val="65096138"/>
    <w:rsid w:val="650A60A0"/>
    <w:rsid w:val="650B19EB"/>
    <w:rsid w:val="6515389B"/>
    <w:rsid w:val="65195B95"/>
    <w:rsid w:val="651B52E6"/>
    <w:rsid w:val="651C5C0E"/>
    <w:rsid w:val="651D3BA6"/>
    <w:rsid w:val="652266CA"/>
    <w:rsid w:val="65300CAF"/>
    <w:rsid w:val="653247FB"/>
    <w:rsid w:val="65385EEE"/>
    <w:rsid w:val="653F54CE"/>
    <w:rsid w:val="65407182"/>
    <w:rsid w:val="65473BF5"/>
    <w:rsid w:val="654A79CF"/>
    <w:rsid w:val="65500782"/>
    <w:rsid w:val="6554314C"/>
    <w:rsid w:val="655B1BDC"/>
    <w:rsid w:val="657A09E0"/>
    <w:rsid w:val="657C00CF"/>
    <w:rsid w:val="657C0FFC"/>
    <w:rsid w:val="65864514"/>
    <w:rsid w:val="658945F8"/>
    <w:rsid w:val="659E7FD2"/>
    <w:rsid w:val="65A04100"/>
    <w:rsid w:val="65A312B7"/>
    <w:rsid w:val="65A32CBD"/>
    <w:rsid w:val="65A620C3"/>
    <w:rsid w:val="65AA1285"/>
    <w:rsid w:val="65B44EF6"/>
    <w:rsid w:val="65B6640E"/>
    <w:rsid w:val="65B72467"/>
    <w:rsid w:val="65B77609"/>
    <w:rsid w:val="65C25218"/>
    <w:rsid w:val="65D22873"/>
    <w:rsid w:val="65D44493"/>
    <w:rsid w:val="65D548B3"/>
    <w:rsid w:val="65E332B4"/>
    <w:rsid w:val="65E47E23"/>
    <w:rsid w:val="65E676F8"/>
    <w:rsid w:val="65F00576"/>
    <w:rsid w:val="65F16168"/>
    <w:rsid w:val="65FD1095"/>
    <w:rsid w:val="660B3602"/>
    <w:rsid w:val="66153B3E"/>
    <w:rsid w:val="66166700"/>
    <w:rsid w:val="66245FB7"/>
    <w:rsid w:val="662C4800"/>
    <w:rsid w:val="663149BC"/>
    <w:rsid w:val="66342B59"/>
    <w:rsid w:val="66365A83"/>
    <w:rsid w:val="66452575"/>
    <w:rsid w:val="664553A2"/>
    <w:rsid w:val="664C6926"/>
    <w:rsid w:val="665438CD"/>
    <w:rsid w:val="66566B1D"/>
    <w:rsid w:val="665901BA"/>
    <w:rsid w:val="66596383"/>
    <w:rsid w:val="665C0F2C"/>
    <w:rsid w:val="665D2859"/>
    <w:rsid w:val="665E7BD6"/>
    <w:rsid w:val="665F56FC"/>
    <w:rsid w:val="665F775A"/>
    <w:rsid w:val="66755A6A"/>
    <w:rsid w:val="66786AD2"/>
    <w:rsid w:val="66854BCD"/>
    <w:rsid w:val="668A23ED"/>
    <w:rsid w:val="668C7806"/>
    <w:rsid w:val="66952ECC"/>
    <w:rsid w:val="66A3383B"/>
    <w:rsid w:val="66AE1360"/>
    <w:rsid w:val="66AE41FF"/>
    <w:rsid w:val="66B6356E"/>
    <w:rsid w:val="66B85E38"/>
    <w:rsid w:val="66B876F7"/>
    <w:rsid w:val="66BC113C"/>
    <w:rsid w:val="66BE0674"/>
    <w:rsid w:val="66BF0F11"/>
    <w:rsid w:val="66C45D7E"/>
    <w:rsid w:val="66CA7F96"/>
    <w:rsid w:val="66CF3647"/>
    <w:rsid w:val="66D3021D"/>
    <w:rsid w:val="66D51F2F"/>
    <w:rsid w:val="66D70392"/>
    <w:rsid w:val="66D87844"/>
    <w:rsid w:val="66DD71FA"/>
    <w:rsid w:val="66E375EF"/>
    <w:rsid w:val="66E96621"/>
    <w:rsid w:val="66EB6258"/>
    <w:rsid w:val="66F623FD"/>
    <w:rsid w:val="66F853D1"/>
    <w:rsid w:val="66FB5425"/>
    <w:rsid w:val="67015EB6"/>
    <w:rsid w:val="6702320E"/>
    <w:rsid w:val="670342D9"/>
    <w:rsid w:val="670544F5"/>
    <w:rsid w:val="67083911"/>
    <w:rsid w:val="670A5668"/>
    <w:rsid w:val="671464E6"/>
    <w:rsid w:val="67177D85"/>
    <w:rsid w:val="671A3976"/>
    <w:rsid w:val="671D4B10"/>
    <w:rsid w:val="6723219F"/>
    <w:rsid w:val="67237B54"/>
    <w:rsid w:val="672419EC"/>
    <w:rsid w:val="672F0727"/>
    <w:rsid w:val="67362901"/>
    <w:rsid w:val="67430BB5"/>
    <w:rsid w:val="674B756C"/>
    <w:rsid w:val="6753106A"/>
    <w:rsid w:val="67540EA1"/>
    <w:rsid w:val="675623FB"/>
    <w:rsid w:val="67570F86"/>
    <w:rsid w:val="675823A4"/>
    <w:rsid w:val="67593943"/>
    <w:rsid w:val="67657A63"/>
    <w:rsid w:val="67672ABA"/>
    <w:rsid w:val="676A4358"/>
    <w:rsid w:val="676B34A7"/>
    <w:rsid w:val="676C6322"/>
    <w:rsid w:val="67717C6F"/>
    <w:rsid w:val="67791AD5"/>
    <w:rsid w:val="6780592A"/>
    <w:rsid w:val="6784736D"/>
    <w:rsid w:val="678765A6"/>
    <w:rsid w:val="678D0CCB"/>
    <w:rsid w:val="6797108E"/>
    <w:rsid w:val="67980668"/>
    <w:rsid w:val="679A31CC"/>
    <w:rsid w:val="679D1EDD"/>
    <w:rsid w:val="67B32E6D"/>
    <w:rsid w:val="67B55127"/>
    <w:rsid w:val="67B9792B"/>
    <w:rsid w:val="67BE5E0C"/>
    <w:rsid w:val="67C061B7"/>
    <w:rsid w:val="67C3221B"/>
    <w:rsid w:val="67C34441"/>
    <w:rsid w:val="67CE1807"/>
    <w:rsid w:val="67D0317E"/>
    <w:rsid w:val="67D20DDB"/>
    <w:rsid w:val="67D4087B"/>
    <w:rsid w:val="67DA34AF"/>
    <w:rsid w:val="67E1461B"/>
    <w:rsid w:val="67E23E8E"/>
    <w:rsid w:val="67E77B4D"/>
    <w:rsid w:val="67EC4405"/>
    <w:rsid w:val="67F26828"/>
    <w:rsid w:val="67F566E5"/>
    <w:rsid w:val="67F569A4"/>
    <w:rsid w:val="67FB4F4F"/>
    <w:rsid w:val="67FF6BBE"/>
    <w:rsid w:val="6805425B"/>
    <w:rsid w:val="6809627B"/>
    <w:rsid w:val="68137FA2"/>
    <w:rsid w:val="6817628E"/>
    <w:rsid w:val="68190578"/>
    <w:rsid w:val="681F410F"/>
    <w:rsid w:val="68203558"/>
    <w:rsid w:val="68255D5B"/>
    <w:rsid w:val="682A5DFD"/>
    <w:rsid w:val="682B33A2"/>
    <w:rsid w:val="682E2F14"/>
    <w:rsid w:val="683711F2"/>
    <w:rsid w:val="684670AF"/>
    <w:rsid w:val="68480B49"/>
    <w:rsid w:val="684A6CA4"/>
    <w:rsid w:val="685F2AF0"/>
    <w:rsid w:val="685F640D"/>
    <w:rsid w:val="6868036C"/>
    <w:rsid w:val="686F7B5F"/>
    <w:rsid w:val="687436E1"/>
    <w:rsid w:val="68784853"/>
    <w:rsid w:val="687B02D6"/>
    <w:rsid w:val="687F2FDF"/>
    <w:rsid w:val="688345E5"/>
    <w:rsid w:val="6886489C"/>
    <w:rsid w:val="68910AD0"/>
    <w:rsid w:val="68A03551"/>
    <w:rsid w:val="68A8782A"/>
    <w:rsid w:val="68AE2A2F"/>
    <w:rsid w:val="68BD3BB9"/>
    <w:rsid w:val="68BD5E30"/>
    <w:rsid w:val="68BF2482"/>
    <w:rsid w:val="68CF697B"/>
    <w:rsid w:val="68D471CC"/>
    <w:rsid w:val="68D91CB5"/>
    <w:rsid w:val="68D95C68"/>
    <w:rsid w:val="68E73C55"/>
    <w:rsid w:val="68EC14C9"/>
    <w:rsid w:val="68F34846"/>
    <w:rsid w:val="68FE6375"/>
    <w:rsid w:val="69016ECE"/>
    <w:rsid w:val="69031EE1"/>
    <w:rsid w:val="69041233"/>
    <w:rsid w:val="69070FD2"/>
    <w:rsid w:val="69110C93"/>
    <w:rsid w:val="691A1818"/>
    <w:rsid w:val="691E572E"/>
    <w:rsid w:val="691E6898"/>
    <w:rsid w:val="69286279"/>
    <w:rsid w:val="69295E7E"/>
    <w:rsid w:val="6937496B"/>
    <w:rsid w:val="693B5FAC"/>
    <w:rsid w:val="693F6285"/>
    <w:rsid w:val="6946093A"/>
    <w:rsid w:val="69481D7C"/>
    <w:rsid w:val="69482477"/>
    <w:rsid w:val="694C7B33"/>
    <w:rsid w:val="69506BEB"/>
    <w:rsid w:val="695516A5"/>
    <w:rsid w:val="69577C6E"/>
    <w:rsid w:val="695A5D44"/>
    <w:rsid w:val="695A6058"/>
    <w:rsid w:val="695E6AB1"/>
    <w:rsid w:val="696372B1"/>
    <w:rsid w:val="696E268A"/>
    <w:rsid w:val="697F617D"/>
    <w:rsid w:val="69857446"/>
    <w:rsid w:val="698D435C"/>
    <w:rsid w:val="69966816"/>
    <w:rsid w:val="699C5EE6"/>
    <w:rsid w:val="69A01B1D"/>
    <w:rsid w:val="69A2531F"/>
    <w:rsid w:val="69A27602"/>
    <w:rsid w:val="69AC4B9A"/>
    <w:rsid w:val="69B10BF6"/>
    <w:rsid w:val="69B23A6C"/>
    <w:rsid w:val="69B83AA1"/>
    <w:rsid w:val="69B901E1"/>
    <w:rsid w:val="69D52819"/>
    <w:rsid w:val="69E44B6C"/>
    <w:rsid w:val="69E90552"/>
    <w:rsid w:val="69E90D3F"/>
    <w:rsid w:val="69F30B0B"/>
    <w:rsid w:val="6A03069C"/>
    <w:rsid w:val="6A0579E4"/>
    <w:rsid w:val="6A184555"/>
    <w:rsid w:val="6A1A3C10"/>
    <w:rsid w:val="6A1A6537"/>
    <w:rsid w:val="6A1C1987"/>
    <w:rsid w:val="6A1C515D"/>
    <w:rsid w:val="6A1F0D5E"/>
    <w:rsid w:val="6A1F3F21"/>
    <w:rsid w:val="6A21596B"/>
    <w:rsid w:val="6A313C6A"/>
    <w:rsid w:val="6A3255B2"/>
    <w:rsid w:val="6A346449"/>
    <w:rsid w:val="6A390622"/>
    <w:rsid w:val="6A3C4D34"/>
    <w:rsid w:val="6A3D5A58"/>
    <w:rsid w:val="6A3E2906"/>
    <w:rsid w:val="6A5534A0"/>
    <w:rsid w:val="6A555306"/>
    <w:rsid w:val="6A6809E4"/>
    <w:rsid w:val="6A7D5258"/>
    <w:rsid w:val="6A7E0847"/>
    <w:rsid w:val="6A804649"/>
    <w:rsid w:val="6A8B1713"/>
    <w:rsid w:val="6A8E3098"/>
    <w:rsid w:val="6A8E45D5"/>
    <w:rsid w:val="6A96517C"/>
    <w:rsid w:val="6A9676E5"/>
    <w:rsid w:val="6A973140"/>
    <w:rsid w:val="6AA448BD"/>
    <w:rsid w:val="6AA87672"/>
    <w:rsid w:val="6AA95198"/>
    <w:rsid w:val="6AAB6069"/>
    <w:rsid w:val="6AB06D96"/>
    <w:rsid w:val="6AB372E6"/>
    <w:rsid w:val="6AB52B36"/>
    <w:rsid w:val="6AB800C4"/>
    <w:rsid w:val="6ABF249C"/>
    <w:rsid w:val="6AC041A3"/>
    <w:rsid w:val="6AC94032"/>
    <w:rsid w:val="6ACB69D9"/>
    <w:rsid w:val="6AD07319"/>
    <w:rsid w:val="6ADE7D03"/>
    <w:rsid w:val="6ADF6E0B"/>
    <w:rsid w:val="6AF428B7"/>
    <w:rsid w:val="6AF705F9"/>
    <w:rsid w:val="6AFB0D0A"/>
    <w:rsid w:val="6AFE4ED0"/>
    <w:rsid w:val="6B0205A6"/>
    <w:rsid w:val="6B054B79"/>
    <w:rsid w:val="6B154D26"/>
    <w:rsid w:val="6B176981"/>
    <w:rsid w:val="6B184834"/>
    <w:rsid w:val="6B207EA0"/>
    <w:rsid w:val="6B27054D"/>
    <w:rsid w:val="6B3275F0"/>
    <w:rsid w:val="6B373549"/>
    <w:rsid w:val="6B3F5199"/>
    <w:rsid w:val="6B437484"/>
    <w:rsid w:val="6B45141E"/>
    <w:rsid w:val="6B493666"/>
    <w:rsid w:val="6B4A697B"/>
    <w:rsid w:val="6B54219E"/>
    <w:rsid w:val="6B5477F9"/>
    <w:rsid w:val="6B735ED1"/>
    <w:rsid w:val="6B7937EE"/>
    <w:rsid w:val="6B7A361B"/>
    <w:rsid w:val="6B7C2C49"/>
    <w:rsid w:val="6B8333E5"/>
    <w:rsid w:val="6B85268E"/>
    <w:rsid w:val="6B965AF5"/>
    <w:rsid w:val="6B9861B3"/>
    <w:rsid w:val="6B9B4BED"/>
    <w:rsid w:val="6BA335E8"/>
    <w:rsid w:val="6BA442DD"/>
    <w:rsid w:val="6BAA42A1"/>
    <w:rsid w:val="6BAA751C"/>
    <w:rsid w:val="6BAF7733"/>
    <w:rsid w:val="6BB43562"/>
    <w:rsid w:val="6BB8238C"/>
    <w:rsid w:val="6BC072DF"/>
    <w:rsid w:val="6BCF6AC1"/>
    <w:rsid w:val="6BD476F6"/>
    <w:rsid w:val="6BDF7224"/>
    <w:rsid w:val="6BE02E3B"/>
    <w:rsid w:val="6BE20CFE"/>
    <w:rsid w:val="6BE42BC6"/>
    <w:rsid w:val="6BE7392E"/>
    <w:rsid w:val="6BF41ED2"/>
    <w:rsid w:val="6BF5560D"/>
    <w:rsid w:val="6BF72624"/>
    <w:rsid w:val="6BFE718C"/>
    <w:rsid w:val="6C0074AA"/>
    <w:rsid w:val="6C0274EA"/>
    <w:rsid w:val="6C070202"/>
    <w:rsid w:val="6C0D70BF"/>
    <w:rsid w:val="6C150D37"/>
    <w:rsid w:val="6C31661C"/>
    <w:rsid w:val="6C362983"/>
    <w:rsid w:val="6C494B7A"/>
    <w:rsid w:val="6C4A27EE"/>
    <w:rsid w:val="6C52176C"/>
    <w:rsid w:val="6C521A49"/>
    <w:rsid w:val="6C5B1608"/>
    <w:rsid w:val="6C5D4B00"/>
    <w:rsid w:val="6C5F49E7"/>
    <w:rsid w:val="6C604695"/>
    <w:rsid w:val="6C6A2EB5"/>
    <w:rsid w:val="6C6B3478"/>
    <w:rsid w:val="6C701350"/>
    <w:rsid w:val="6C7041BF"/>
    <w:rsid w:val="6C731898"/>
    <w:rsid w:val="6C77456B"/>
    <w:rsid w:val="6C794F9C"/>
    <w:rsid w:val="6C7C681D"/>
    <w:rsid w:val="6C7E39B4"/>
    <w:rsid w:val="6C8312CD"/>
    <w:rsid w:val="6C895281"/>
    <w:rsid w:val="6C93223B"/>
    <w:rsid w:val="6C9A5B01"/>
    <w:rsid w:val="6CB7510D"/>
    <w:rsid w:val="6CBA465F"/>
    <w:rsid w:val="6CC369E5"/>
    <w:rsid w:val="6CD3537E"/>
    <w:rsid w:val="6CDA59FA"/>
    <w:rsid w:val="6CE150BD"/>
    <w:rsid w:val="6CE82E82"/>
    <w:rsid w:val="6CF06EEF"/>
    <w:rsid w:val="6CF8216D"/>
    <w:rsid w:val="6CFB5086"/>
    <w:rsid w:val="6CFD2224"/>
    <w:rsid w:val="6D033285"/>
    <w:rsid w:val="6D035033"/>
    <w:rsid w:val="6D0A4F4E"/>
    <w:rsid w:val="6D0B08C7"/>
    <w:rsid w:val="6D0D1394"/>
    <w:rsid w:val="6D106BA4"/>
    <w:rsid w:val="6D1235C5"/>
    <w:rsid w:val="6D1F2C1F"/>
    <w:rsid w:val="6D2223B3"/>
    <w:rsid w:val="6D360F25"/>
    <w:rsid w:val="6D4B0788"/>
    <w:rsid w:val="6D4E51A2"/>
    <w:rsid w:val="6D4E65D5"/>
    <w:rsid w:val="6D545BAC"/>
    <w:rsid w:val="6D5F1E27"/>
    <w:rsid w:val="6D612C5B"/>
    <w:rsid w:val="6D6C2735"/>
    <w:rsid w:val="6D6C60AD"/>
    <w:rsid w:val="6D7478EE"/>
    <w:rsid w:val="6D815D5E"/>
    <w:rsid w:val="6D8310EF"/>
    <w:rsid w:val="6D8A5E89"/>
    <w:rsid w:val="6D8D74BE"/>
    <w:rsid w:val="6D8F58FD"/>
    <w:rsid w:val="6D931FB5"/>
    <w:rsid w:val="6DB307CD"/>
    <w:rsid w:val="6DBB2388"/>
    <w:rsid w:val="6DBC1155"/>
    <w:rsid w:val="6DC22156"/>
    <w:rsid w:val="6DCE6553"/>
    <w:rsid w:val="6DD32C57"/>
    <w:rsid w:val="6DD96E6A"/>
    <w:rsid w:val="6DDE3CE7"/>
    <w:rsid w:val="6DE30DE0"/>
    <w:rsid w:val="6DE9458A"/>
    <w:rsid w:val="6DEE4359"/>
    <w:rsid w:val="6DF64B98"/>
    <w:rsid w:val="6DF67FC9"/>
    <w:rsid w:val="6DFF1FEF"/>
    <w:rsid w:val="6DFF35D8"/>
    <w:rsid w:val="6E0068A1"/>
    <w:rsid w:val="6E0A006D"/>
    <w:rsid w:val="6E130A9A"/>
    <w:rsid w:val="6E172DFA"/>
    <w:rsid w:val="6E1C6CBF"/>
    <w:rsid w:val="6E256C5E"/>
    <w:rsid w:val="6E290AC9"/>
    <w:rsid w:val="6E3421BA"/>
    <w:rsid w:val="6E372A39"/>
    <w:rsid w:val="6E384B2F"/>
    <w:rsid w:val="6E3D048A"/>
    <w:rsid w:val="6E3D27C7"/>
    <w:rsid w:val="6E494CC8"/>
    <w:rsid w:val="6E4A5383"/>
    <w:rsid w:val="6E4C47B8"/>
    <w:rsid w:val="6E4D7C97"/>
    <w:rsid w:val="6E4F524B"/>
    <w:rsid w:val="6E5078B6"/>
    <w:rsid w:val="6E574363"/>
    <w:rsid w:val="6E591E07"/>
    <w:rsid w:val="6E5C2C88"/>
    <w:rsid w:val="6E612A2C"/>
    <w:rsid w:val="6E625643"/>
    <w:rsid w:val="6E67762B"/>
    <w:rsid w:val="6E693C87"/>
    <w:rsid w:val="6E78123F"/>
    <w:rsid w:val="6E7B6C5A"/>
    <w:rsid w:val="6E815015"/>
    <w:rsid w:val="6E824878"/>
    <w:rsid w:val="6E825D78"/>
    <w:rsid w:val="6E8801D5"/>
    <w:rsid w:val="6E992112"/>
    <w:rsid w:val="6E9E45C8"/>
    <w:rsid w:val="6EA1140E"/>
    <w:rsid w:val="6EA54D47"/>
    <w:rsid w:val="6EA92DA9"/>
    <w:rsid w:val="6EAD34A8"/>
    <w:rsid w:val="6EAE7F7D"/>
    <w:rsid w:val="6EB34837"/>
    <w:rsid w:val="6EB365E5"/>
    <w:rsid w:val="6EB67C48"/>
    <w:rsid w:val="6EC204E8"/>
    <w:rsid w:val="6EC41B95"/>
    <w:rsid w:val="6ED07197"/>
    <w:rsid w:val="6ED547AD"/>
    <w:rsid w:val="6EDA0016"/>
    <w:rsid w:val="6EDF02B9"/>
    <w:rsid w:val="6EE113A4"/>
    <w:rsid w:val="6EE77319"/>
    <w:rsid w:val="6EEF1D13"/>
    <w:rsid w:val="6EF1250C"/>
    <w:rsid w:val="6EF13843"/>
    <w:rsid w:val="6EF6271B"/>
    <w:rsid w:val="6EF636E0"/>
    <w:rsid w:val="6EFF1BEC"/>
    <w:rsid w:val="6F035B83"/>
    <w:rsid w:val="6F0A0E56"/>
    <w:rsid w:val="6F0D022A"/>
    <w:rsid w:val="6F0D7110"/>
    <w:rsid w:val="6F186309"/>
    <w:rsid w:val="6F1A2547"/>
    <w:rsid w:val="6F21482D"/>
    <w:rsid w:val="6F230CD3"/>
    <w:rsid w:val="6F2474E3"/>
    <w:rsid w:val="6F2D36B0"/>
    <w:rsid w:val="6F351A9C"/>
    <w:rsid w:val="6F3B53E1"/>
    <w:rsid w:val="6F431FE1"/>
    <w:rsid w:val="6F51652A"/>
    <w:rsid w:val="6F572DF1"/>
    <w:rsid w:val="6F593180"/>
    <w:rsid w:val="6F5A7253"/>
    <w:rsid w:val="6F5F3445"/>
    <w:rsid w:val="6F633164"/>
    <w:rsid w:val="6F7052E0"/>
    <w:rsid w:val="6F717A39"/>
    <w:rsid w:val="6F793538"/>
    <w:rsid w:val="6F7E68F1"/>
    <w:rsid w:val="6F8827C2"/>
    <w:rsid w:val="6F8832B6"/>
    <w:rsid w:val="6F8A75E9"/>
    <w:rsid w:val="6F8D32DA"/>
    <w:rsid w:val="6F9A3582"/>
    <w:rsid w:val="6F9E2A4D"/>
    <w:rsid w:val="6F9F546E"/>
    <w:rsid w:val="6FAF0247"/>
    <w:rsid w:val="6FB4160C"/>
    <w:rsid w:val="6FB7046C"/>
    <w:rsid w:val="6FB8719D"/>
    <w:rsid w:val="6FC2167B"/>
    <w:rsid w:val="6FC3301D"/>
    <w:rsid w:val="6FC53D14"/>
    <w:rsid w:val="6FC62496"/>
    <w:rsid w:val="6FCF1265"/>
    <w:rsid w:val="6FCF59AF"/>
    <w:rsid w:val="6FD305D0"/>
    <w:rsid w:val="6FD41A09"/>
    <w:rsid w:val="6FD548E7"/>
    <w:rsid w:val="6FD66A2F"/>
    <w:rsid w:val="6FDF1A66"/>
    <w:rsid w:val="6FE07658"/>
    <w:rsid w:val="6FE15AFC"/>
    <w:rsid w:val="6FE22A19"/>
    <w:rsid w:val="6FE74798"/>
    <w:rsid w:val="6FF03EA9"/>
    <w:rsid w:val="6FF31B42"/>
    <w:rsid w:val="6FF8088C"/>
    <w:rsid w:val="6FF944CB"/>
    <w:rsid w:val="6FFE3EEC"/>
    <w:rsid w:val="700417EE"/>
    <w:rsid w:val="70061287"/>
    <w:rsid w:val="70083EA8"/>
    <w:rsid w:val="701220A4"/>
    <w:rsid w:val="70146932"/>
    <w:rsid w:val="701853D7"/>
    <w:rsid w:val="70260A73"/>
    <w:rsid w:val="703379DD"/>
    <w:rsid w:val="70375E28"/>
    <w:rsid w:val="703E5658"/>
    <w:rsid w:val="70455963"/>
    <w:rsid w:val="704A4D27"/>
    <w:rsid w:val="704A7047"/>
    <w:rsid w:val="70511589"/>
    <w:rsid w:val="705F4EE4"/>
    <w:rsid w:val="706157BB"/>
    <w:rsid w:val="7064228D"/>
    <w:rsid w:val="706B2330"/>
    <w:rsid w:val="70711C37"/>
    <w:rsid w:val="70716758"/>
    <w:rsid w:val="70737096"/>
    <w:rsid w:val="707534F0"/>
    <w:rsid w:val="70793860"/>
    <w:rsid w:val="70801CBC"/>
    <w:rsid w:val="70803EA0"/>
    <w:rsid w:val="70827064"/>
    <w:rsid w:val="70986D81"/>
    <w:rsid w:val="709A5A59"/>
    <w:rsid w:val="70AC287C"/>
    <w:rsid w:val="70AD77B8"/>
    <w:rsid w:val="70B0427F"/>
    <w:rsid w:val="70B06014"/>
    <w:rsid w:val="70B328CC"/>
    <w:rsid w:val="70BA6520"/>
    <w:rsid w:val="70BB1412"/>
    <w:rsid w:val="70BD00E2"/>
    <w:rsid w:val="70C22E41"/>
    <w:rsid w:val="70C749CF"/>
    <w:rsid w:val="70CB47E1"/>
    <w:rsid w:val="70CD3AE6"/>
    <w:rsid w:val="70CD5062"/>
    <w:rsid w:val="70CE312D"/>
    <w:rsid w:val="70CF0798"/>
    <w:rsid w:val="70CF4AC1"/>
    <w:rsid w:val="70D54C29"/>
    <w:rsid w:val="70ED2282"/>
    <w:rsid w:val="70EE1779"/>
    <w:rsid w:val="70EE4194"/>
    <w:rsid w:val="70F961C1"/>
    <w:rsid w:val="71041D05"/>
    <w:rsid w:val="7104418B"/>
    <w:rsid w:val="710C73D2"/>
    <w:rsid w:val="710C7453"/>
    <w:rsid w:val="71110C33"/>
    <w:rsid w:val="71123339"/>
    <w:rsid w:val="7113156F"/>
    <w:rsid w:val="711E1EF9"/>
    <w:rsid w:val="712367FA"/>
    <w:rsid w:val="712F22DE"/>
    <w:rsid w:val="712F289B"/>
    <w:rsid w:val="71317D07"/>
    <w:rsid w:val="71351DF8"/>
    <w:rsid w:val="7136047D"/>
    <w:rsid w:val="713741D0"/>
    <w:rsid w:val="71433096"/>
    <w:rsid w:val="71494FDF"/>
    <w:rsid w:val="714A4563"/>
    <w:rsid w:val="714E6086"/>
    <w:rsid w:val="714F5FD2"/>
    <w:rsid w:val="715014AF"/>
    <w:rsid w:val="715201FD"/>
    <w:rsid w:val="715776FB"/>
    <w:rsid w:val="715C50E1"/>
    <w:rsid w:val="71665B90"/>
    <w:rsid w:val="71917BD5"/>
    <w:rsid w:val="719333E7"/>
    <w:rsid w:val="71963B03"/>
    <w:rsid w:val="719A55F3"/>
    <w:rsid w:val="71A63433"/>
    <w:rsid w:val="71AA2E1F"/>
    <w:rsid w:val="71B047FB"/>
    <w:rsid w:val="71C54FAD"/>
    <w:rsid w:val="71CA388D"/>
    <w:rsid w:val="71CE6AF0"/>
    <w:rsid w:val="71CF1849"/>
    <w:rsid w:val="71D2380D"/>
    <w:rsid w:val="71D63E1A"/>
    <w:rsid w:val="71E349CB"/>
    <w:rsid w:val="71E35433"/>
    <w:rsid w:val="71E86937"/>
    <w:rsid w:val="71EA2396"/>
    <w:rsid w:val="71EA67C2"/>
    <w:rsid w:val="71EE37C2"/>
    <w:rsid w:val="71EE55C3"/>
    <w:rsid w:val="71F71538"/>
    <w:rsid w:val="72007D93"/>
    <w:rsid w:val="720704E8"/>
    <w:rsid w:val="720B63C0"/>
    <w:rsid w:val="720C294E"/>
    <w:rsid w:val="720C498A"/>
    <w:rsid w:val="721176E2"/>
    <w:rsid w:val="72120C55"/>
    <w:rsid w:val="721F71DA"/>
    <w:rsid w:val="722036D0"/>
    <w:rsid w:val="72211022"/>
    <w:rsid w:val="72227D09"/>
    <w:rsid w:val="72266E1E"/>
    <w:rsid w:val="722D5285"/>
    <w:rsid w:val="722E4900"/>
    <w:rsid w:val="72364353"/>
    <w:rsid w:val="723E4C29"/>
    <w:rsid w:val="723E589A"/>
    <w:rsid w:val="723E74B2"/>
    <w:rsid w:val="72405622"/>
    <w:rsid w:val="7242639A"/>
    <w:rsid w:val="72435ED2"/>
    <w:rsid w:val="725076F8"/>
    <w:rsid w:val="7258372B"/>
    <w:rsid w:val="726A7902"/>
    <w:rsid w:val="72766C63"/>
    <w:rsid w:val="7280650F"/>
    <w:rsid w:val="72907AD0"/>
    <w:rsid w:val="72937A38"/>
    <w:rsid w:val="72952BD1"/>
    <w:rsid w:val="72953C5D"/>
    <w:rsid w:val="729F16EA"/>
    <w:rsid w:val="72A84DE4"/>
    <w:rsid w:val="72A85614"/>
    <w:rsid w:val="72A91306"/>
    <w:rsid w:val="72A9667D"/>
    <w:rsid w:val="72AB41A3"/>
    <w:rsid w:val="72B826F0"/>
    <w:rsid w:val="72CC0EA5"/>
    <w:rsid w:val="72CE2448"/>
    <w:rsid w:val="72D51220"/>
    <w:rsid w:val="72DA05E4"/>
    <w:rsid w:val="72DB610A"/>
    <w:rsid w:val="72DD768E"/>
    <w:rsid w:val="72E465DD"/>
    <w:rsid w:val="72F01646"/>
    <w:rsid w:val="72F07E08"/>
    <w:rsid w:val="72F17ED4"/>
    <w:rsid w:val="72F55D10"/>
    <w:rsid w:val="72FA2A34"/>
    <w:rsid w:val="72FB67D0"/>
    <w:rsid w:val="72FF004B"/>
    <w:rsid w:val="72FFE075"/>
    <w:rsid w:val="73012015"/>
    <w:rsid w:val="730258AB"/>
    <w:rsid w:val="730613D9"/>
    <w:rsid w:val="73081F71"/>
    <w:rsid w:val="73104006"/>
    <w:rsid w:val="732B58C3"/>
    <w:rsid w:val="732E6B5C"/>
    <w:rsid w:val="73380392"/>
    <w:rsid w:val="73397F57"/>
    <w:rsid w:val="735760D9"/>
    <w:rsid w:val="736B6B9A"/>
    <w:rsid w:val="73766299"/>
    <w:rsid w:val="73781BAB"/>
    <w:rsid w:val="73797DFD"/>
    <w:rsid w:val="737A5923"/>
    <w:rsid w:val="737E410C"/>
    <w:rsid w:val="73814F04"/>
    <w:rsid w:val="7386076C"/>
    <w:rsid w:val="738C62B6"/>
    <w:rsid w:val="7396345D"/>
    <w:rsid w:val="739B59E3"/>
    <w:rsid w:val="73A11102"/>
    <w:rsid w:val="73AB1B34"/>
    <w:rsid w:val="73AE6DDB"/>
    <w:rsid w:val="73C60399"/>
    <w:rsid w:val="73D030BE"/>
    <w:rsid w:val="73E1069E"/>
    <w:rsid w:val="73E57241"/>
    <w:rsid w:val="73EA689B"/>
    <w:rsid w:val="73F92E5A"/>
    <w:rsid w:val="7402302A"/>
    <w:rsid w:val="740C3060"/>
    <w:rsid w:val="7416389E"/>
    <w:rsid w:val="7419113A"/>
    <w:rsid w:val="741A3458"/>
    <w:rsid w:val="742241C4"/>
    <w:rsid w:val="7429261E"/>
    <w:rsid w:val="742B3046"/>
    <w:rsid w:val="742C2FE9"/>
    <w:rsid w:val="743704F2"/>
    <w:rsid w:val="744338E6"/>
    <w:rsid w:val="7446008E"/>
    <w:rsid w:val="744F1165"/>
    <w:rsid w:val="744F2080"/>
    <w:rsid w:val="744F5002"/>
    <w:rsid w:val="74505CC4"/>
    <w:rsid w:val="74547344"/>
    <w:rsid w:val="745A231D"/>
    <w:rsid w:val="745C3EE2"/>
    <w:rsid w:val="746200FA"/>
    <w:rsid w:val="74631B66"/>
    <w:rsid w:val="74636DE0"/>
    <w:rsid w:val="74664D4E"/>
    <w:rsid w:val="746D1B83"/>
    <w:rsid w:val="746D258B"/>
    <w:rsid w:val="746E1516"/>
    <w:rsid w:val="7470765F"/>
    <w:rsid w:val="747174D8"/>
    <w:rsid w:val="7473070C"/>
    <w:rsid w:val="748078B6"/>
    <w:rsid w:val="74856B2D"/>
    <w:rsid w:val="748A6630"/>
    <w:rsid w:val="748E103A"/>
    <w:rsid w:val="74936A51"/>
    <w:rsid w:val="749552F4"/>
    <w:rsid w:val="749E7F8A"/>
    <w:rsid w:val="749E7FCD"/>
    <w:rsid w:val="74A35DA4"/>
    <w:rsid w:val="74B441A2"/>
    <w:rsid w:val="74B569E6"/>
    <w:rsid w:val="74B63A99"/>
    <w:rsid w:val="74BD0CE0"/>
    <w:rsid w:val="74C73104"/>
    <w:rsid w:val="74CB49D4"/>
    <w:rsid w:val="74DA4522"/>
    <w:rsid w:val="74E3384F"/>
    <w:rsid w:val="74E55BBE"/>
    <w:rsid w:val="74EC0E26"/>
    <w:rsid w:val="74F754D9"/>
    <w:rsid w:val="74F81FEB"/>
    <w:rsid w:val="74FB2A94"/>
    <w:rsid w:val="74FD4DEC"/>
    <w:rsid w:val="75012F34"/>
    <w:rsid w:val="75070F8F"/>
    <w:rsid w:val="7507768A"/>
    <w:rsid w:val="75175B20"/>
    <w:rsid w:val="751E5637"/>
    <w:rsid w:val="751F29EC"/>
    <w:rsid w:val="75206868"/>
    <w:rsid w:val="752124FA"/>
    <w:rsid w:val="75277723"/>
    <w:rsid w:val="753109E5"/>
    <w:rsid w:val="75310A48"/>
    <w:rsid w:val="753571E7"/>
    <w:rsid w:val="7541494A"/>
    <w:rsid w:val="754C64FD"/>
    <w:rsid w:val="75530A21"/>
    <w:rsid w:val="75595BF1"/>
    <w:rsid w:val="755A069E"/>
    <w:rsid w:val="755E1369"/>
    <w:rsid w:val="755E5D9E"/>
    <w:rsid w:val="75671ED7"/>
    <w:rsid w:val="75805A8B"/>
    <w:rsid w:val="7581743D"/>
    <w:rsid w:val="758418B7"/>
    <w:rsid w:val="75845A84"/>
    <w:rsid w:val="75855871"/>
    <w:rsid w:val="758A3D23"/>
    <w:rsid w:val="759130F1"/>
    <w:rsid w:val="75935F71"/>
    <w:rsid w:val="75971724"/>
    <w:rsid w:val="7599057C"/>
    <w:rsid w:val="759B1A8C"/>
    <w:rsid w:val="75A33A77"/>
    <w:rsid w:val="75A55B83"/>
    <w:rsid w:val="75A96C06"/>
    <w:rsid w:val="75B2145C"/>
    <w:rsid w:val="75B82733"/>
    <w:rsid w:val="75B86B62"/>
    <w:rsid w:val="75CC55A9"/>
    <w:rsid w:val="75D237F5"/>
    <w:rsid w:val="75D26B11"/>
    <w:rsid w:val="75D8576E"/>
    <w:rsid w:val="75D91027"/>
    <w:rsid w:val="75EB48B6"/>
    <w:rsid w:val="75F25A4D"/>
    <w:rsid w:val="75F419BD"/>
    <w:rsid w:val="75FB790D"/>
    <w:rsid w:val="75FD5230"/>
    <w:rsid w:val="75FDF7E8"/>
    <w:rsid w:val="76024328"/>
    <w:rsid w:val="76033890"/>
    <w:rsid w:val="760A4C20"/>
    <w:rsid w:val="760B59B3"/>
    <w:rsid w:val="76132F33"/>
    <w:rsid w:val="76154E24"/>
    <w:rsid w:val="76191423"/>
    <w:rsid w:val="76281589"/>
    <w:rsid w:val="762C6B76"/>
    <w:rsid w:val="762F6E99"/>
    <w:rsid w:val="76303FC4"/>
    <w:rsid w:val="764077DF"/>
    <w:rsid w:val="76454D90"/>
    <w:rsid w:val="765C4824"/>
    <w:rsid w:val="765E152C"/>
    <w:rsid w:val="7670480E"/>
    <w:rsid w:val="767445CD"/>
    <w:rsid w:val="7674673D"/>
    <w:rsid w:val="767576E9"/>
    <w:rsid w:val="767F19E4"/>
    <w:rsid w:val="768064ED"/>
    <w:rsid w:val="76817AF6"/>
    <w:rsid w:val="76820AEE"/>
    <w:rsid w:val="7683309E"/>
    <w:rsid w:val="768432D4"/>
    <w:rsid w:val="76857249"/>
    <w:rsid w:val="768C4BBF"/>
    <w:rsid w:val="76994A03"/>
    <w:rsid w:val="76AC31A0"/>
    <w:rsid w:val="76AF7FDA"/>
    <w:rsid w:val="76B9585E"/>
    <w:rsid w:val="76BA0E58"/>
    <w:rsid w:val="76BE1FCB"/>
    <w:rsid w:val="76BF646F"/>
    <w:rsid w:val="76C515AB"/>
    <w:rsid w:val="76CA583F"/>
    <w:rsid w:val="76CD6D51"/>
    <w:rsid w:val="76D4618A"/>
    <w:rsid w:val="76D46191"/>
    <w:rsid w:val="76D87530"/>
    <w:rsid w:val="76D90BB3"/>
    <w:rsid w:val="76DB1E9A"/>
    <w:rsid w:val="76DF7ACD"/>
    <w:rsid w:val="76E00193"/>
    <w:rsid w:val="76E527AD"/>
    <w:rsid w:val="76E923CA"/>
    <w:rsid w:val="76F1534B"/>
    <w:rsid w:val="76F56BB3"/>
    <w:rsid w:val="76FF121F"/>
    <w:rsid w:val="77083CE0"/>
    <w:rsid w:val="7709036F"/>
    <w:rsid w:val="770A48E1"/>
    <w:rsid w:val="770C2E88"/>
    <w:rsid w:val="771070B5"/>
    <w:rsid w:val="77112A42"/>
    <w:rsid w:val="771545CC"/>
    <w:rsid w:val="7716076A"/>
    <w:rsid w:val="771C2940"/>
    <w:rsid w:val="771C566F"/>
    <w:rsid w:val="771C5D1F"/>
    <w:rsid w:val="771D07E3"/>
    <w:rsid w:val="77290688"/>
    <w:rsid w:val="7729848D"/>
    <w:rsid w:val="772C0FD7"/>
    <w:rsid w:val="77304C77"/>
    <w:rsid w:val="77383F02"/>
    <w:rsid w:val="773A7885"/>
    <w:rsid w:val="77412A3A"/>
    <w:rsid w:val="774E77F0"/>
    <w:rsid w:val="775C1F10"/>
    <w:rsid w:val="77664CBB"/>
    <w:rsid w:val="776877AD"/>
    <w:rsid w:val="77712B9E"/>
    <w:rsid w:val="77931977"/>
    <w:rsid w:val="779463FF"/>
    <w:rsid w:val="779B2637"/>
    <w:rsid w:val="779C014A"/>
    <w:rsid w:val="779F2D92"/>
    <w:rsid w:val="77B123AF"/>
    <w:rsid w:val="77B42ACE"/>
    <w:rsid w:val="77BA09E4"/>
    <w:rsid w:val="77BC639C"/>
    <w:rsid w:val="77C22AF4"/>
    <w:rsid w:val="77CE6593"/>
    <w:rsid w:val="77D0645A"/>
    <w:rsid w:val="77DD2DF8"/>
    <w:rsid w:val="77DE17DE"/>
    <w:rsid w:val="77DF4E54"/>
    <w:rsid w:val="77E37A69"/>
    <w:rsid w:val="77E51F05"/>
    <w:rsid w:val="77E5622B"/>
    <w:rsid w:val="77F24B9F"/>
    <w:rsid w:val="77F500A3"/>
    <w:rsid w:val="77FE4D75"/>
    <w:rsid w:val="77FF102D"/>
    <w:rsid w:val="77FF34C1"/>
    <w:rsid w:val="780B2C45"/>
    <w:rsid w:val="780E0B4A"/>
    <w:rsid w:val="78104AA8"/>
    <w:rsid w:val="78142671"/>
    <w:rsid w:val="781444FE"/>
    <w:rsid w:val="78160103"/>
    <w:rsid w:val="781C169F"/>
    <w:rsid w:val="781E0F73"/>
    <w:rsid w:val="78236C88"/>
    <w:rsid w:val="782C21D0"/>
    <w:rsid w:val="78344526"/>
    <w:rsid w:val="783D55DC"/>
    <w:rsid w:val="784A677A"/>
    <w:rsid w:val="784F39AD"/>
    <w:rsid w:val="784F55D0"/>
    <w:rsid w:val="78540B98"/>
    <w:rsid w:val="7855070D"/>
    <w:rsid w:val="785536A4"/>
    <w:rsid w:val="785E5813"/>
    <w:rsid w:val="78756686"/>
    <w:rsid w:val="78796BCE"/>
    <w:rsid w:val="787A3D0F"/>
    <w:rsid w:val="788052AB"/>
    <w:rsid w:val="788441AB"/>
    <w:rsid w:val="789234F8"/>
    <w:rsid w:val="78A9524D"/>
    <w:rsid w:val="78AF42C1"/>
    <w:rsid w:val="78B02A3A"/>
    <w:rsid w:val="78B3646F"/>
    <w:rsid w:val="78B95B47"/>
    <w:rsid w:val="78CA1446"/>
    <w:rsid w:val="78D32468"/>
    <w:rsid w:val="78D70381"/>
    <w:rsid w:val="78D72546"/>
    <w:rsid w:val="78D95C0A"/>
    <w:rsid w:val="78DA15EF"/>
    <w:rsid w:val="78DB5727"/>
    <w:rsid w:val="78DE6954"/>
    <w:rsid w:val="78E07D34"/>
    <w:rsid w:val="78E35E52"/>
    <w:rsid w:val="78E3644E"/>
    <w:rsid w:val="78E51A91"/>
    <w:rsid w:val="78E55819"/>
    <w:rsid w:val="78E55F35"/>
    <w:rsid w:val="78ED7191"/>
    <w:rsid w:val="78F46178"/>
    <w:rsid w:val="78F86EDB"/>
    <w:rsid w:val="79087699"/>
    <w:rsid w:val="791221EE"/>
    <w:rsid w:val="79360F45"/>
    <w:rsid w:val="793861AD"/>
    <w:rsid w:val="793B0B7C"/>
    <w:rsid w:val="793D18CD"/>
    <w:rsid w:val="794420B3"/>
    <w:rsid w:val="79483D6D"/>
    <w:rsid w:val="79547644"/>
    <w:rsid w:val="795D56D1"/>
    <w:rsid w:val="795F0738"/>
    <w:rsid w:val="79607369"/>
    <w:rsid w:val="79681B8F"/>
    <w:rsid w:val="796C429C"/>
    <w:rsid w:val="796E5F2A"/>
    <w:rsid w:val="797177C8"/>
    <w:rsid w:val="797D7F1B"/>
    <w:rsid w:val="79815893"/>
    <w:rsid w:val="79860BA9"/>
    <w:rsid w:val="798610CE"/>
    <w:rsid w:val="7991001A"/>
    <w:rsid w:val="79923990"/>
    <w:rsid w:val="799B77B7"/>
    <w:rsid w:val="799C4845"/>
    <w:rsid w:val="79A60A14"/>
    <w:rsid w:val="79AF3739"/>
    <w:rsid w:val="79B84FF5"/>
    <w:rsid w:val="79C03290"/>
    <w:rsid w:val="79C842E0"/>
    <w:rsid w:val="79D00993"/>
    <w:rsid w:val="79D253CF"/>
    <w:rsid w:val="79D30779"/>
    <w:rsid w:val="79DD5851"/>
    <w:rsid w:val="79DF2984"/>
    <w:rsid w:val="79E47F59"/>
    <w:rsid w:val="79E914B0"/>
    <w:rsid w:val="79EB30D7"/>
    <w:rsid w:val="79F0141C"/>
    <w:rsid w:val="79FC3536"/>
    <w:rsid w:val="7A0128FA"/>
    <w:rsid w:val="7A1B4CEB"/>
    <w:rsid w:val="7A1E37AF"/>
    <w:rsid w:val="7A2118CC"/>
    <w:rsid w:val="7A224F59"/>
    <w:rsid w:val="7A2465E9"/>
    <w:rsid w:val="7A282077"/>
    <w:rsid w:val="7A30150C"/>
    <w:rsid w:val="7A380328"/>
    <w:rsid w:val="7A3B6B00"/>
    <w:rsid w:val="7A3E2A85"/>
    <w:rsid w:val="7A3E70BF"/>
    <w:rsid w:val="7A3E76AA"/>
    <w:rsid w:val="7A3F1919"/>
    <w:rsid w:val="7A4D24CC"/>
    <w:rsid w:val="7A4F2168"/>
    <w:rsid w:val="7A4F372A"/>
    <w:rsid w:val="7A5165C9"/>
    <w:rsid w:val="7A556CDE"/>
    <w:rsid w:val="7A5E7D4D"/>
    <w:rsid w:val="7A7F49ED"/>
    <w:rsid w:val="7A8377B3"/>
    <w:rsid w:val="7A870E9E"/>
    <w:rsid w:val="7A87102F"/>
    <w:rsid w:val="7A9419C0"/>
    <w:rsid w:val="7A9875C3"/>
    <w:rsid w:val="7A9E44F7"/>
    <w:rsid w:val="7AA82662"/>
    <w:rsid w:val="7AAF0639"/>
    <w:rsid w:val="7ABA1DB3"/>
    <w:rsid w:val="7ABD7723"/>
    <w:rsid w:val="7ABE396B"/>
    <w:rsid w:val="7ACF3931"/>
    <w:rsid w:val="7AD03899"/>
    <w:rsid w:val="7AD504F6"/>
    <w:rsid w:val="7ADA161D"/>
    <w:rsid w:val="7ADC7221"/>
    <w:rsid w:val="7AE123FD"/>
    <w:rsid w:val="7AE2272C"/>
    <w:rsid w:val="7AE865AE"/>
    <w:rsid w:val="7AEC35AA"/>
    <w:rsid w:val="7AED10D1"/>
    <w:rsid w:val="7AF9F3FF"/>
    <w:rsid w:val="7AFB559C"/>
    <w:rsid w:val="7AFE508C"/>
    <w:rsid w:val="7AFE7A7E"/>
    <w:rsid w:val="7B032DB8"/>
    <w:rsid w:val="7B046798"/>
    <w:rsid w:val="7B062A20"/>
    <w:rsid w:val="7B0872DF"/>
    <w:rsid w:val="7B0A1FB1"/>
    <w:rsid w:val="7B0A3D35"/>
    <w:rsid w:val="7B0F2033"/>
    <w:rsid w:val="7B114A86"/>
    <w:rsid w:val="7B133142"/>
    <w:rsid w:val="7B1A0118"/>
    <w:rsid w:val="7B2161AD"/>
    <w:rsid w:val="7B2A7F03"/>
    <w:rsid w:val="7B2D02A2"/>
    <w:rsid w:val="7B301CDC"/>
    <w:rsid w:val="7B302338"/>
    <w:rsid w:val="7B346292"/>
    <w:rsid w:val="7B367106"/>
    <w:rsid w:val="7B38234C"/>
    <w:rsid w:val="7B385B3D"/>
    <w:rsid w:val="7B4056A4"/>
    <w:rsid w:val="7B4E4B49"/>
    <w:rsid w:val="7B5611EA"/>
    <w:rsid w:val="7B5D6713"/>
    <w:rsid w:val="7B6146B5"/>
    <w:rsid w:val="7B75534E"/>
    <w:rsid w:val="7B7B66DC"/>
    <w:rsid w:val="7B7D4202"/>
    <w:rsid w:val="7B841165"/>
    <w:rsid w:val="7B906579"/>
    <w:rsid w:val="7B9356BD"/>
    <w:rsid w:val="7BA93AFF"/>
    <w:rsid w:val="7BB0258F"/>
    <w:rsid w:val="7BB53EE9"/>
    <w:rsid w:val="7BB62AD5"/>
    <w:rsid w:val="7BB813B1"/>
    <w:rsid w:val="7BBB4D2B"/>
    <w:rsid w:val="7BBD134F"/>
    <w:rsid w:val="7BC07C01"/>
    <w:rsid w:val="7BC23531"/>
    <w:rsid w:val="7BC2430B"/>
    <w:rsid w:val="7BC94899"/>
    <w:rsid w:val="7BD33AE7"/>
    <w:rsid w:val="7BD3747C"/>
    <w:rsid w:val="7BD90E52"/>
    <w:rsid w:val="7BEC6F49"/>
    <w:rsid w:val="7BF23783"/>
    <w:rsid w:val="7BFF2960"/>
    <w:rsid w:val="7C002E73"/>
    <w:rsid w:val="7C0234C4"/>
    <w:rsid w:val="7C044CEE"/>
    <w:rsid w:val="7C093CE8"/>
    <w:rsid w:val="7C146C66"/>
    <w:rsid w:val="7C164FBF"/>
    <w:rsid w:val="7C193D59"/>
    <w:rsid w:val="7C1A570D"/>
    <w:rsid w:val="7C1A7CA3"/>
    <w:rsid w:val="7C1B18BE"/>
    <w:rsid w:val="7C1B5754"/>
    <w:rsid w:val="7C1D7794"/>
    <w:rsid w:val="7C266648"/>
    <w:rsid w:val="7C281644"/>
    <w:rsid w:val="7C296CEE"/>
    <w:rsid w:val="7C2D0CEC"/>
    <w:rsid w:val="7C2D3E7B"/>
    <w:rsid w:val="7C3B64F2"/>
    <w:rsid w:val="7C406C27"/>
    <w:rsid w:val="7C43544C"/>
    <w:rsid w:val="7C462A42"/>
    <w:rsid w:val="7C5217D3"/>
    <w:rsid w:val="7C605FFE"/>
    <w:rsid w:val="7C617E3A"/>
    <w:rsid w:val="7C6443CC"/>
    <w:rsid w:val="7C65753A"/>
    <w:rsid w:val="7C675D18"/>
    <w:rsid w:val="7C68484D"/>
    <w:rsid w:val="7C6D4277"/>
    <w:rsid w:val="7C727ADF"/>
    <w:rsid w:val="7C812685"/>
    <w:rsid w:val="7C84656F"/>
    <w:rsid w:val="7C912C77"/>
    <w:rsid w:val="7C947A56"/>
    <w:rsid w:val="7C95222D"/>
    <w:rsid w:val="7C9944BA"/>
    <w:rsid w:val="7C9A49EA"/>
    <w:rsid w:val="7C9C690A"/>
    <w:rsid w:val="7C9D1B23"/>
    <w:rsid w:val="7CA379AC"/>
    <w:rsid w:val="7CB505AD"/>
    <w:rsid w:val="7CB9493B"/>
    <w:rsid w:val="7CC46FF2"/>
    <w:rsid w:val="7CC808D7"/>
    <w:rsid w:val="7CD46BEE"/>
    <w:rsid w:val="7CD65549"/>
    <w:rsid w:val="7CDB7433"/>
    <w:rsid w:val="7CDD56FA"/>
    <w:rsid w:val="7CDF895E"/>
    <w:rsid w:val="7CEC289F"/>
    <w:rsid w:val="7CF076D5"/>
    <w:rsid w:val="7CF176BC"/>
    <w:rsid w:val="7CF31E4D"/>
    <w:rsid w:val="7CFD0590"/>
    <w:rsid w:val="7CFD5B1E"/>
    <w:rsid w:val="7D0B49F9"/>
    <w:rsid w:val="7D1D3EEF"/>
    <w:rsid w:val="7D1D6D61"/>
    <w:rsid w:val="7D2863F0"/>
    <w:rsid w:val="7D292894"/>
    <w:rsid w:val="7D356B33"/>
    <w:rsid w:val="7D362608"/>
    <w:rsid w:val="7D52634B"/>
    <w:rsid w:val="7D5C510E"/>
    <w:rsid w:val="7D5D42EC"/>
    <w:rsid w:val="7D651A40"/>
    <w:rsid w:val="7D652C3F"/>
    <w:rsid w:val="7D68519D"/>
    <w:rsid w:val="7D6D6DB9"/>
    <w:rsid w:val="7D782899"/>
    <w:rsid w:val="7D853842"/>
    <w:rsid w:val="7D8950E1"/>
    <w:rsid w:val="7D8C73B9"/>
    <w:rsid w:val="7D8F65A0"/>
    <w:rsid w:val="7D9615AC"/>
    <w:rsid w:val="7D9F6F75"/>
    <w:rsid w:val="7DA94A5D"/>
    <w:rsid w:val="7DA96E2E"/>
    <w:rsid w:val="7DAC3A31"/>
    <w:rsid w:val="7DB60807"/>
    <w:rsid w:val="7DB721B4"/>
    <w:rsid w:val="7DC4436B"/>
    <w:rsid w:val="7DD5234D"/>
    <w:rsid w:val="7DE45D9C"/>
    <w:rsid w:val="7DEA0AC3"/>
    <w:rsid w:val="7DF369FE"/>
    <w:rsid w:val="7DF41212"/>
    <w:rsid w:val="7DF872B9"/>
    <w:rsid w:val="7DFA0800"/>
    <w:rsid w:val="7DFE59FB"/>
    <w:rsid w:val="7E0B6361"/>
    <w:rsid w:val="7E0D5D12"/>
    <w:rsid w:val="7E1A32CA"/>
    <w:rsid w:val="7E1B1D3F"/>
    <w:rsid w:val="7E1C3681"/>
    <w:rsid w:val="7E1E126C"/>
    <w:rsid w:val="7E230AC2"/>
    <w:rsid w:val="7E320DCA"/>
    <w:rsid w:val="7E350DC4"/>
    <w:rsid w:val="7E447584"/>
    <w:rsid w:val="7E55666B"/>
    <w:rsid w:val="7E560794"/>
    <w:rsid w:val="7E6D50A2"/>
    <w:rsid w:val="7E6E4AB1"/>
    <w:rsid w:val="7E732260"/>
    <w:rsid w:val="7E77306E"/>
    <w:rsid w:val="7E795155"/>
    <w:rsid w:val="7E7A41DB"/>
    <w:rsid w:val="7E810411"/>
    <w:rsid w:val="7E88239F"/>
    <w:rsid w:val="7E8B3D29"/>
    <w:rsid w:val="7E9868A7"/>
    <w:rsid w:val="7EA30424"/>
    <w:rsid w:val="7EAE471A"/>
    <w:rsid w:val="7EB1537C"/>
    <w:rsid w:val="7EB81E68"/>
    <w:rsid w:val="7EBB0CD2"/>
    <w:rsid w:val="7EBC4469"/>
    <w:rsid w:val="7EC21A88"/>
    <w:rsid w:val="7ED03B1E"/>
    <w:rsid w:val="7ED607F9"/>
    <w:rsid w:val="7ED709CC"/>
    <w:rsid w:val="7EDB2C85"/>
    <w:rsid w:val="7EDF7633"/>
    <w:rsid w:val="7EE03426"/>
    <w:rsid w:val="7EE83181"/>
    <w:rsid w:val="7EEA6EDA"/>
    <w:rsid w:val="7EEA7C63"/>
    <w:rsid w:val="7EEF3926"/>
    <w:rsid w:val="7EF37F82"/>
    <w:rsid w:val="7EF74E5E"/>
    <w:rsid w:val="7EF90044"/>
    <w:rsid w:val="7EFC1667"/>
    <w:rsid w:val="7EFC696D"/>
    <w:rsid w:val="7EFE1AFE"/>
    <w:rsid w:val="7EFF19AC"/>
    <w:rsid w:val="7EFF7297"/>
    <w:rsid w:val="7EFF8548"/>
    <w:rsid w:val="7F0757BE"/>
    <w:rsid w:val="7F1135E0"/>
    <w:rsid w:val="7F1A30E9"/>
    <w:rsid w:val="7F1C66EF"/>
    <w:rsid w:val="7F264BB1"/>
    <w:rsid w:val="7F265AA2"/>
    <w:rsid w:val="7F2C21C7"/>
    <w:rsid w:val="7F2E1939"/>
    <w:rsid w:val="7F301B8D"/>
    <w:rsid w:val="7F370B6C"/>
    <w:rsid w:val="7F473931"/>
    <w:rsid w:val="7F4B18AD"/>
    <w:rsid w:val="7F4D580C"/>
    <w:rsid w:val="7F5434CC"/>
    <w:rsid w:val="7F5C3E56"/>
    <w:rsid w:val="7F5F3CE5"/>
    <w:rsid w:val="7F66172C"/>
    <w:rsid w:val="7F715D97"/>
    <w:rsid w:val="7F746DE0"/>
    <w:rsid w:val="7F757D7A"/>
    <w:rsid w:val="7F79F1C6"/>
    <w:rsid w:val="7F7B07E6"/>
    <w:rsid w:val="7F7E27E3"/>
    <w:rsid w:val="7F89546E"/>
    <w:rsid w:val="7FA501CC"/>
    <w:rsid w:val="7FA5389E"/>
    <w:rsid w:val="7FA62D08"/>
    <w:rsid w:val="7FAB05E8"/>
    <w:rsid w:val="7FB0104A"/>
    <w:rsid w:val="7FB126CD"/>
    <w:rsid w:val="7FB23596"/>
    <w:rsid w:val="7FB9729D"/>
    <w:rsid w:val="7FCC39AA"/>
    <w:rsid w:val="7FD27F16"/>
    <w:rsid w:val="7FE84B0E"/>
    <w:rsid w:val="7FE9363D"/>
    <w:rsid w:val="7FE95F48"/>
    <w:rsid w:val="7FF95B29"/>
    <w:rsid w:val="7FFA0518"/>
    <w:rsid w:val="7FFB0E7A"/>
    <w:rsid w:val="7FFC1A7A"/>
    <w:rsid w:val="9FEF3FF4"/>
    <w:rsid w:val="B377BA9D"/>
    <w:rsid w:val="BEE9ED22"/>
    <w:rsid w:val="BF7F1318"/>
    <w:rsid w:val="CE7A41BE"/>
    <w:rsid w:val="CEDCA29F"/>
    <w:rsid w:val="CFDE087A"/>
    <w:rsid w:val="D63BEC54"/>
    <w:rsid w:val="EBFE78C1"/>
    <w:rsid w:val="EDBF2BE0"/>
    <w:rsid w:val="EEEFAB42"/>
    <w:rsid w:val="EFFFFF5F"/>
    <w:rsid w:val="F2742113"/>
    <w:rsid w:val="F7DDF820"/>
    <w:rsid w:val="F7FF3C76"/>
    <w:rsid w:val="F87B53A2"/>
    <w:rsid w:val="FF7E5097"/>
    <w:rsid w:val="FFFDB0C9"/>
    <w:rsid w:val="FFFF544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99" w:name="index 1"/>
    <w:lsdException w:qFormat="1" w:uiPriority="99" w:name="index 2"/>
    <w:lsdException w:qFormat="1" w:uiPriority="99"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0" w:semiHidden="0" w:name="header"/>
    <w:lsdException w:qFormat="1" w:uiPriority="0" w:semiHidden="0" w:name="footer"/>
    <w:lsdException w:qFormat="1" w:uiPriority="99" w:name="index heading"/>
    <w:lsdException w:qFormat="1" w:unhideWhenUsed="0" w:uiPriority="0" w:semiHidden="0" w:name="caption"/>
    <w:lsdException w:qFormat="1" w:uiPriority="99" w:name="table of figures"/>
    <w:lsdException w:uiPriority="99" w:name="envelope address"/>
    <w:lsdException w:uiPriority="99" w:name="envelope return"/>
    <w:lsdException w:qFormat="1" w:uiPriority="99" w:name="footnote reference"/>
    <w:lsdException w:qFormat="1" w:uiPriority="99" w:semiHidden="0" w:name="annotation reference"/>
    <w:lsdException w:uiPriority="99" w:name="line number"/>
    <w:lsdException w:qFormat="1" w:uiPriority="99" w:name="page number"/>
    <w:lsdException w:qFormat="1" w:uiPriority="99" w:name="endnote reference"/>
    <w:lsdException w:qFormat="1" w:uiPriority="99" w:name="endnote text"/>
    <w:lsdException w:qFormat="1" w:uiPriority="99" w:name="table of authorities"/>
    <w:lsdException w:uiPriority="99" w:name="macro"/>
    <w:lsdException w:qFormat="1" w:uiPriority="99" w:name="toa heading"/>
    <w:lsdException w:qFormat="1" w:uiPriority="99" w:name="List"/>
    <w:lsdException w:qFormat="1" w:uiPriority="99" w:name="List Bullet"/>
    <w:lsdException w:qFormat="1" w:uiPriority="99" w:name="List Number"/>
    <w:lsdException w:qFormat="1" w:uiPriority="99" w:name="List 2"/>
    <w:lsdException w:uiPriority="99" w:name="List 3"/>
    <w:lsdException w:uiPriority="99" w:name="List 4"/>
    <w:lsdException w:uiPriority="99" w:name="List 5"/>
    <w:lsdException w:qFormat="1" w:uiPriority="99" w:name="List Bullet 2"/>
    <w:lsdException w:qFormat="1" w:uiPriority="99" w:name="List Bullet 3"/>
    <w:lsdException w:qFormat="1"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qFormat="1" w:uiPriority="99" w:name="List Continue"/>
    <w:lsdException w:qFormat="1" w:uiPriority="99" w:name="List Continue 2"/>
    <w:lsdException w:qFormat="1"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name="Salutation"/>
    <w:lsdException w:qFormat="1" w:uiPriority="99" w:name="Date"/>
    <w:lsdException w:qFormat="1" w:unhideWhenUsed="0" w:uiPriority="0" w:semiHidden="0" w:name="Body Text First Indent"/>
    <w:lsdException w:qFormat="1" w:uiPriority="99" w:semiHidden="0" w:name="Body Text First Indent 2"/>
    <w:lsdException w:uiPriority="99" w:name="Note Heading"/>
    <w:lsdException w:qFormat="1" w:uiPriority="99" w:name="Body Text 2"/>
    <w:lsdException w:qFormat="1" w:uiPriority="99" w:name="Body Text 3"/>
    <w:lsdException w:qFormat="1" w:unhideWhenUsed="0" w:uiPriority="0" w:semiHidden="0" w:name="Body Text Indent 2"/>
    <w:lsdException w:qFormat="1" w:uiPriority="99" w:name="Body Text Indent 3"/>
    <w:lsdException w:qFormat="1"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qFormat="1"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qFormat="1"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qFormat="1" w:uiPriority="99" w:name="Table Columns 5"/>
    <w:lsdException w:uiPriority="99" w:name="Table Grid 1"/>
    <w:lsdException w:uiPriority="99" w:name="Table Grid 2"/>
    <w:lsdException w:qFormat="1" w:uiPriority="99" w:name="Table Grid 3"/>
    <w:lsdException w:uiPriority="99" w:name="Table Grid 4"/>
    <w:lsdException w:qFormat="1" w:uiPriority="99" w:name="Table Grid 5"/>
    <w:lsdException w:qFormat="1" w:uiPriority="99" w:name="Table Grid 6"/>
    <w:lsdException w:qFormat="1" w:uiPriority="99" w:name="Table Grid 7"/>
    <w:lsdException w:qFormat="1"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qFormat="1"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59" w:name="Table Grid"/>
    <w:lsdException w:qFormat="1"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880" w:firstLineChars="200"/>
      <w:jc w:val="both"/>
    </w:pPr>
    <w:rPr>
      <w:rFonts w:ascii="宋体" w:hAnsi="宋体" w:eastAsia="宋体" w:cs="宋体"/>
      <w:kern w:val="2"/>
      <w:sz w:val="24"/>
      <w:szCs w:val="22"/>
      <w:lang w:val="en-US" w:eastAsia="zh-CN" w:bidi="ar-SA"/>
    </w:rPr>
  </w:style>
  <w:style w:type="paragraph" w:styleId="2">
    <w:name w:val="heading 1"/>
    <w:basedOn w:val="1"/>
    <w:next w:val="1"/>
    <w:link w:val="34"/>
    <w:qFormat/>
    <w:uiPriority w:val="9"/>
    <w:pPr>
      <w:keepNext/>
      <w:keepLines/>
      <w:pageBreakBefore/>
      <w:numPr>
        <w:ilvl w:val="0"/>
        <w:numId w:val="1"/>
      </w:numPr>
      <w:ind w:left="0" w:firstLine="0" w:firstLineChars="0"/>
      <w:outlineLvl w:val="0"/>
    </w:pPr>
    <w:rPr>
      <w:rFonts w:eastAsia="黑体"/>
      <w:b/>
      <w:bCs/>
      <w:kern w:val="44"/>
      <w:sz w:val="32"/>
      <w:szCs w:val="44"/>
    </w:rPr>
  </w:style>
  <w:style w:type="paragraph" w:styleId="3">
    <w:name w:val="heading 2"/>
    <w:basedOn w:val="1"/>
    <w:next w:val="1"/>
    <w:link w:val="33"/>
    <w:unhideWhenUsed/>
    <w:qFormat/>
    <w:uiPriority w:val="9"/>
    <w:pPr>
      <w:keepNext/>
      <w:keepLines/>
      <w:numPr>
        <w:ilvl w:val="1"/>
        <w:numId w:val="1"/>
      </w:numPr>
      <w:spacing w:before="120"/>
      <w:ind w:left="0" w:firstLine="0" w:firstLineChars="0"/>
      <w:outlineLvl w:val="1"/>
    </w:pPr>
    <w:rPr>
      <w:rFonts w:ascii="Cambria" w:hAnsi="Cambria" w:eastAsia="黑体"/>
      <w:b/>
      <w:bCs/>
      <w:sz w:val="28"/>
      <w:szCs w:val="32"/>
    </w:rPr>
  </w:style>
  <w:style w:type="paragraph" w:styleId="4">
    <w:name w:val="heading 3"/>
    <w:basedOn w:val="1"/>
    <w:next w:val="1"/>
    <w:link w:val="35"/>
    <w:unhideWhenUsed/>
    <w:qFormat/>
    <w:uiPriority w:val="9"/>
    <w:pPr>
      <w:keepNext/>
      <w:keepLines/>
      <w:numPr>
        <w:ilvl w:val="2"/>
        <w:numId w:val="1"/>
      </w:numPr>
      <w:spacing w:before="120"/>
      <w:ind w:left="0" w:firstLine="0" w:firstLineChars="0"/>
      <w:outlineLvl w:val="2"/>
    </w:pPr>
    <w:rPr>
      <w:rFonts w:eastAsia="黑体"/>
      <w:bCs/>
      <w:szCs w:val="32"/>
    </w:rPr>
  </w:style>
  <w:style w:type="paragraph" w:styleId="5">
    <w:name w:val="heading 4"/>
    <w:basedOn w:val="1"/>
    <w:next w:val="1"/>
    <w:link w:val="36"/>
    <w:unhideWhenUsed/>
    <w:qFormat/>
    <w:uiPriority w:val="9"/>
    <w:pPr>
      <w:keepNext/>
      <w:keepLines/>
      <w:numPr>
        <w:ilvl w:val="3"/>
        <w:numId w:val="1"/>
      </w:numPr>
      <w:ind w:left="0" w:firstLine="0" w:firstLineChars="0"/>
      <w:outlineLvl w:val="3"/>
    </w:pPr>
    <w:rPr>
      <w:rFonts w:ascii="Cambria" w:hAnsi="Cambria" w:eastAsia="黑体"/>
      <w:bCs/>
      <w:szCs w:val="28"/>
    </w:rPr>
  </w:style>
  <w:style w:type="paragraph" w:styleId="6">
    <w:name w:val="heading 5"/>
    <w:basedOn w:val="5"/>
    <w:next w:val="1"/>
    <w:link w:val="37"/>
    <w:unhideWhenUsed/>
    <w:qFormat/>
    <w:uiPriority w:val="9"/>
    <w:pPr>
      <w:keepNext/>
      <w:keepLines/>
      <w:numPr>
        <w:ilvl w:val="4"/>
        <w:numId w:val="1"/>
      </w:numPr>
      <w:ind w:left="0" w:firstLine="0" w:firstLineChars="0"/>
      <w:outlineLvl w:val="4"/>
    </w:pPr>
    <w:rPr>
      <w:rFonts w:eastAsia="黑体"/>
      <w:szCs w:val="24"/>
    </w:rPr>
  </w:style>
  <w:style w:type="paragraph" w:styleId="7">
    <w:name w:val="heading 6"/>
    <w:basedOn w:val="1"/>
    <w:next w:val="1"/>
    <w:link w:val="43"/>
    <w:unhideWhenUsed/>
    <w:qFormat/>
    <w:uiPriority w:val="9"/>
    <w:pPr>
      <w:keepNext/>
      <w:keepLines/>
      <w:numPr>
        <w:ilvl w:val="5"/>
        <w:numId w:val="1"/>
      </w:numPr>
      <w:tabs>
        <w:tab w:val="left" w:pos="0"/>
      </w:tabs>
      <w:spacing w:before="120"/>
      <w:ind w:left="0" w:firstLine="0" w:firstLineChars="0"/>
      <w:jc w:val="left"/>
      <w:outlineLvl w:val="5"/>
    </w:pPr>
    <w:rPr>
      <w:rFonts w:eastAsia="黑体"/>
      <w:bCs/>
      <w:szCs w:val="24"/>
    </w:rPr>
  </w:style>
  <w:style w:type="paragraph" w:styleId="8">
    <w:name w:val="heading 7"/>
    <w:basedOn w:val="1"/>
    <w:next w:val="1"/>
    <w:link w:val="40"/>
    <w:unhideWhenUsed/>
    <w:qFormat/>
    <w:uiPriority w:val="9"/>
    <w:pPr>
      <w:keepNext/>
      <w:keepLines/>
      <w:numPr>
        <w:ilvl w:val="6"/>
        <w:numId w:val="1"/>
      </w:numPr>
      <w:ind w:left="0" w:firstLine="0" w:firstLineChars="0"/>
      <w:jc w:val="left"/>
      <w:outlineLvl w:val="6"/>
    </w:pPr>
    <w:rPr>
      <w:rFonts w:eastAsia="黑体"/>
      <w:bCs/>
      <w:szCs w:val="24"/>
    </w:rPr>
  </w:style>
  <w:style w:type="paragraph" w:styleId="9">
    <w:name w:val="heading 8"/>
    <w:basedOn w:val="1"/>
    <w:next w:val="1"/>
    <w:link w:val="41"/>
    <w:unhideWhenUsed/>
    <w:qFormat/>
    <w:uiPriority w:val="9"/>
    <w:pPr>
      <w:keepNext/>
      <w:keepLines/>
      <w:numPr>
        <w:ilvl w:val="7"/>
        <w:numId w:val="1"/>
      </w:numPr>
      <w:ind w:left="0" w:firstLine="0" w:firstLineChars="0"/>
      <w:outlineLvl w:val="7"/>
    </w:pPr>
    <w:rPr>
      <w:rFonts w:eastAsia="黑体"/>
      <w:szCs w:val="24"/>
    </w:rPr>
  </w:style>
  <w:style w:type="paragraph" w:styleId="10">
    <w:name w:val="heading 9"/>
    <w:basedOn w:val="1"/>
    <w:next w:val="1"/>
    <w:link w:val="42"/>
    <w:unhideWhenUsed/>
    <w:qFormat/>
    <w:uiPriority w:val="9"/>
    <w:pPr>
      <w:keepNext/>
      <w:keepLines/>
      <w:numPr>
        <w:ilvl w:val="8"/>
        <w:numId w:val="1"/>
      </w:numPr>
      <w:spacing w:before="120" w:after="120" w:line="360" w:lineRule="auto"/>
      <w:ind w:left="0" w:firstLine="0" w:firstLineChars="0"/>
      <w:outlineLvl w:val="8"/>
    </w:pPr>
    <w:rPr>
      <w:rFonts w:ascii="Cambria" w:hAnsi="Cambria" w:eastAsia="黑体"/>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Normal Indent"/>
    <w:basedOn w:val="1"/>
    <w:qFormat/>
    <w:uiPriority w:val="0"/>
    <w:pPr>
      <w:tabs>
        <w:tab w:val="left" w:pos="425"/>
        <w:tab w:val="left" w:pos="851"/>
      </w:tabs>
      <w:spacing w:line="300" w:lineRule="auto"/>
      <w:ind w:firstLine="425" w:firstLineChars="0"/>
    </w:pPr>
    <w:rPr>
      <w:rFonts w:ascii="Times New Roman" w:hAnsi="Times New Roman" w:eastAsia="宋体" w:cs="Times New Roman"/>
      <w:sz w:val="21"/>
      <w:szCs w:val="20"/>
    </w:rPr>
  </w:style>
  <w:style w:type="paragraph" w:styleId="12">
    <w:name w:val="caption"/>
    <w:basedOn w:val="1"/>
    <w:next w:val="1"/>
    <w:qFormat/>
    <w:uiPriority w:val="0"/>
    <w:pPr>
      <w:widowControl w:val="0"/>
      <w:spacing w:beforeLines="50" w:after="160"/>
      <w:ind w:firstLine="0"/>
    </w:pPr>
    <w:rPr>
      <w:rFonts w:ascii="Arial" w:hAnsi="Arial" w:eastAsia="黑体" w:cs="Arial"/>
      <w:spacing w:val="20"/>
      <w:sz w:val="20"/>
      <w:szCs w:val="20"/>
    </w:rPr>
  </w:style>
  <w:style w:type="paragraph" w:styleId="13">
    <w:name w:val="annotation text"/>
    <w:basedOn w:val="1"/>
    <w:link w:val="72"/>
    <w:unhideWhenUsed/>
    <w:qFormat/>
    <w:uiPriority w:val="99"/>
    <w:pPr>
      <w:jc w:val="left"/>
    </w:pPr>
  </w:style>
  <w:style w:type="paragraph" w:styleId="14">
    <w:name w:val="Body Text"/>
    <w:basedOn w:val="1"/>
    <w:next w:val="1"/>
    <w:link w:val="51"/>
    <w:qFormat/>
    <w:uiPriority w:val="99"/>
    <w:pPr>
      <w:ind w:firstLine="0" w:firstLineChars="0"/>
      <w:jc w:val="left"/>
    </w:pPr>
    <w:rPr>
      <w:rFonts w:ascii="Times New Roman" w:hAnsi="Times New Roman" w:cs="Times New Roman"/>
    </w:rPr>
  </w:style>
  <w:style w:type="paragraph" w:styleId="15">
    <w:name w:val="Body Text Indent"/>
    <w:basedOn w:val="1"/>
    <w:qFormat/>
    <w:uiPriority w:val="99"/>
    <w:pPr>
      <w:spacing w:after="120"/>
      <w:ind w:left="420" w:leftChars="200"/>
    </w:pPr>
    <w:rPr>
      <w:kern w:val="0"/>
      <w:sz w:val="20"/>
    </w:rPr>
  </w:style>
  <w:style w:type="paragraph" w:styleId="16">
    <w:name w:val="toc 5"/>
    <w:basedOn w:val="1"/>
    <w:next w:val="1"/>
    <w:qFormat/>
    <w:uiPriority w:val="39"/>
    <w:pPr>
      <w:spacing w:line="240" w:lineRule="auto"/>
      <w:ind w:firstLine="0" w:firstLineChars="0"/>
    </w:pPr>
    <w:rPr>
      <w:rFonts w:ascii="Calibri" w:hAnsi="Calibri" w:cs="Times New Roman"/>
      <w:sz w:val="21"/>
    </w:rPr>
  </w:style>
  <w:style w:type="paragraph" w:styleId="17">
    <w:name w:val="toc 3"/>
    <w:basedOn w:val="1"/>
    <w:next w:val="1"/>
    <w:unhideWhenUsed/>
    <w:qFormat/>
    <w:uiPriority w:val="39"/>
    <w:pPr>
      <w:ind w:left="840" w:leftChars="400"/>
    </w:pPr>
  </w:style>
  <w:style w:type="paragraph" w:styleId="18">
    <w:name w:val="Balloon Text"/>
    <w:basedOn w:val="1"/>
    <w:link w:val="45"/>
    <w:semiHidden/>
    <w:unhideWhenUsed/>
    <w:qFormat/>
    <w:uiPriority w:val="99"/>
    <w:pPr>
      <w:spacing w:line="240" w:lineRule="auto"/>
    </w:pPr>
    <w:rPr>
      <w:sz w:val="18"/>
      <w:szCs w:val="18"/>
    </w:rPr>
  </w:style>
  <w:style w:type="paragraph" w:styleId="19">
    <w:name w:val="footer"/>
    <w:basedOn w:val="1"/>
    <w:unhideWhenUsed/>
    <w:qFormat/>
    <w:uiPriority w:val="0"/>
    <w:pPr>
      <w:tabs>
        <w:tab w:val="center" w:pos="4153"/>
        <w:tab w:val="right" w:pos="8306"/>
      </w:tabs>
      <w:snapToGrid w:val="0"/>
      <w:jc w:val="left"/>
    </w:pPr>
    <w:rPr>
      <w:sz w:val="18"/>
      <w:szCs w:val="18"/>
    </w:rPr>
  </w:style>
  <w:style w:type="paragraph" w:styleId="20">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unhideWhenUsed/>
    <w:qFormat/>
    <w:uiPriority w:val="39"/>
  </w:style>
  <w:style w:type="paragraph" w:styleId="22">
    <w:name w:val="toc 4"/>
    <w:basedOn w:val="1"/>
    <w:next w:val="1"/>
    <w:unhideWhenUsed/>
    <w:qFormat/>
    <w:uiPriority w:val="39"/>
    <w:pPr>
      <w:ind w:left="1260" w:leftChars="600"/>
    </w:pPr>
  </w:style>
  <w:style w:type="paragraph" w:styleId="23">
    <w:name w:val="toc 2"/>
    <w:basedOn w:val="1"/>
    <w:next w:val="1"/>
    <w:unhideWhenUsed/>
    <w:qFormat/>
    <w:uiPriority w:val="39"/>
    <w:pPr>
      <w:ind w:left="420" w:leftChars="200"/>
    </w:pPr>
  </w:style>
  <w:style w:type="paragraph" w:styleId="24">
    <w:name w:val="Normal (Web)"/>
    <w:basedOn w:val="1"/>
    <w:unhideWhenUsed/>
    <w:qFormat/>
    <w:uiPriority w:val="99"/>
    <w:pPr>
      <w:spacing w:beforeAutospacing="1" w:afterAutospacing="1"/>
      <w:jc w:val="left"/>
    </w:pPr>
    <w:rPr>
      <w:rFonts w:cs="Times New Roman"/>
      <w:kern w:val="0"/>
    </w:rPr>
  </w:style>
  <w:style w:type="paragraph" w:styleId="25">
    <w:name w:val="annotation subject"/>
    <w:basedOn w:val="13"/>
    <w:next w:val="13"/>
    <w:link w:val="73"/>
    <w:semiHidden/>
    <w:unhideWhenUsed/>
    <w:qFormat/>
    <w:uiPriority w:val="99"/>
    <w:rPr>
      <w:b/>
      <w:bCs/>
    </w:rPr>
  </w:style>
  <w:style w:type="paragraph" w:styleId="26">
    <w:name w:val="Body Text First Indent"/>
    <w:basedOn w:val="14"/>
    <w:qFormat/>
    <w:uiPriority w:val="0"/>
    <w:pPr>
      <w:ind w:firstLine="420" w:firstLineChars="100"/>
    </w:pPr>
  </w:style>
  <w:style w:type="paragraph" w:styleId="27">
    <w:name w:val="Body Text First Indent 2"/>
    <w:basedOn w:val="15"/>
    <w:unhideWhenUsed/>
    <w:qFormat/>
    <w:uiPriority w:val="99"/>
  </w:style>
  <w:style w:type="table" w:styleId="29">
    <w:name w:val="Table Grid"/>
    <w:basedOn w:val="28"/>
    <w:semiHidden/>
    <w:unhideWhenUse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22"/>
    <w:rPr>
      <w:b/>
    </w:rPr>
  </w:style>
  <w:style w:type="character" w:styleId="32">
    <w:name w:val="annotation reference"/>
    <w:basedOn w:val="30"/>
    <w:unhideWhenUsed/>
    <w:qFormat/>
    <w:uiPriority w:val="99"/>
    <w:rPr>
      <w:sz w:val="21"/>
      <w:szCs w:val="21"/>
    </w:rPr>
  </w:style>
  <w:style w:type="character" w:customStyle="1" w:styleId="33">
    <w:name w:val="标题 2 字符"/>
    <w:basedOn w:val="30"/>
    <w:link w:val="3"/>
    <w:qFormat/>
    <w:uiPriority w:val="9"/>
    <w:rPr>
      <w:rFonts w:ascii="Cambria" w:hAnsi="Cambria" w:eastAsia="黑体" w:cs="宋体"/>
      <w:b/>
      <w:bCs/>
      <w:kern w:val="2"/>
      <w:sz w:val="28"/>
      <w:szCs w:val="32"/>
    </w:rPr>
  </w:style>
  <w:style w:type="character" w:customStyle="1" w:styleId="34">
    <w:name w:val="标题 1 字符"/>
    <w:basedOn w:val="30"/>
    <w:link w:val="2"/>
    <w:qFormat/>
    <w:uiPriority w:val="9"/>
    <w:rPr>
      <w:rFonts w:ascii="宋体" w:hAnsi="宋体" w:eastAsia="黑体" w:cs="宋体"/>
      <w:b/>
      <w:bCs/>
      <w:kern w:val="44"/>
      <w:sz w:val="32"/>
      <w:szCs w:val="44"/>
    </w:rPr>
  </w:style>
  <w:style w:type="character" w:customStyle="1" w:styleId="35">
    <w:name w:val="标题 3 字符"/>
    <w:basedOn w:val="30"/>
    <w:link w:val="4"/>
    <w:qFormat/>
    <w:uiPriority w:val="9"/>
    <w:rPr>
      <w:rFonts w:ascii="宋体" w:hAnsi="宋体" w:eastAsia="黑体" w:cs="宋体"/>
      <w:bCs/>
      <w:kern w:val="2"/>
      <w:sz w:val="24"/>
      <w:szCs w:val="32"/>
    </w:rPr>
  </w:style>
  <w:style w:type="character" w:customStyle="1" w:styleId="36">
    <w:name w:val="标题 4 字符"/>
    <w:basedOn w:val="30"/>
    <w:link w:val="5"/>
    <w:qFormat/>
    <w:uiPriority w:val="9"/>
    <w:rPr>
      <w:rFonts w:ascii="Cambria" w:hAnsi="Cambria" w:eastAsia="黑体" w:cs="宋体"/>
      <w:bCs/>
      <w:kern w:val="2"/>
      <w:sz w:val="24"/>
      <w:szCs w:val="28"/>
    </w:rPr>
  </w:style>
  <w:style w:type="character" w:customStyle="1" w:styleId="37">
    <w:name w:val="标题 5 字符"/>
    <w:basedOn w:val="30"/>
    <w:link w:val="6"/>
    <w:qFormat/>
    <w:uiPriority w:val="9"/>
    <w:rPr>
      <w:rFonts w:ascii="宋体" w:hAnsi="宋体" w:eastAsia="黑体" w:cs="宋体"/>
      <w:kern w:val="2"/>
      <w:sz w:val="24"/>
      <w:szCs w:val="24"/>
    </w:rPr>
  </w:style>
  <w:style w:type="paragraph" w:customStyle="1" w:styleId="38">
    <w:name w:val="正文首行缩进 21"/>
    <w:basedOn w:val="15"/>
    <w:qFormat/>
    <w:uiPriority w:val="0"/>
    <w:pPr>
      <w:ind w:firstLine="420"/>
    </w:pPr>
    <w:rPr>
      <w:rFonts w:ascii="Times New Roman" w:hAnsi="Times New Roman"/>
    </w:rPr>
  </w:style>
  <w:style w:type="paragraph" w:customStyle="1" w:styleId="39">
    <w:name w:val="*正文"/>
    <w:basedOn w:val="1"/>
    <w:qFormat/>
    <w:uiPriority w:val="0"/>
    <w:pPr>
      <w:widowControl/>
      <w:spacing w:line="360" w:lineRule="auto"/>
      <w:ind w:firstLine="480"/>
      <w:contextualSpacing/>
      <w:jc w:val="left"/>
    </w:pPr>
    <w:rPr>
      <w:rFonts w:ascii="宋体" w:hAnsi="宋体"/>
      <w:bCs/>
      <w:color w:val="000000"/>
      <w:kern w:val="0"/>
      <w:sz w:val="24"/>
      <w:szCs w:val="24"/>
    </w:rPr>
  </w:style>
  <w:style w:type="character" w:customStyle="1" w:styleId="40">
    <w:name w:val="标题 7 字符"/>
    <w:basedOn w:val="30"/>
    <w:link w:val="8"/>
    <w:qFormat/>
    <w:uiPriority w:val="9"/>
    <w:rPr>
      <w:rFonts w:ascii="宋体" w:hAnsi="宋体" w:eastAsia="黑体" w:cs="宋体"/>
      <w:bCs/>
      <w:kern w:val="2"/>
      <w:sz w:val="24"/>
      <w:szCs w:val="24"/>
    </w:rPr>
  </w:style>
  <w:style w:type="character" w:customStyle="1" w:styleId="41">
    <w:name w:val="标题 8 字符"/>
    <w:basedOn w:val="30"/>
    <w:link w:val="9"/>
    <w:qFormat/>
    <w:uiPriority w:val="9"/>
    <w:rPr>
      <w:rFonts w:ascii="宋体" w:hAnsi="宋体" w:eastAsia="黑体" w:cs="宋体"/>
      <w:kern w:val="2"/>
      <w:sz w:val="24"/>
      <w:szCs w:val="24"/>
    </w:rPr>
  </w:style>
  <w:style w:type="character" w:customStyle="1" w:styleId="42">
    <w:name w:val="标题 9 字符"/>
    <w:basedOn w:val="30"/>
    <w:link w:val="10"/>
    <w:qFormat/>
    <w:uiPriority w:val="9"/>
    <w:rPr>
      <w:rFonts w:ascii="Cambria" w:hAnsi="Cambria" w:eastAsia="黑体" w:cs="宋体"/>
      <w:kern w:val="2"/>
      <w:sz w:val="24"/>
      <w:szCs w:val="21"/>
    </w:rPr>
  </w:style>
  <w:style w:type="character" w:customStyle="1" w:styleId="43">
    <w:name w:val="标题 6 字符"/>
    <w:basedOn w:val="30"/>
    <w:link w:val="7"/>
    <w:qFormat/>
    <w:uiPriority w:val="9"/>
    <w:rPr>
      <w:rFonts w:ascii="宋体" w:hAnsi="宋体" w:eastAsia="黑体" w:cs="宋体"/>
      <w:bCs/>
      <w:kern w:val="2"/>
      <w:sz w:val="24"/>
      <w:szCs w:val="24"/>
    </w:rPr>
  </w:style>
  <w:style w:type="paragraph" w:customStyle="1" w:styleId="44">
    <w:name w:val="正文2"/>
    <w:basedOn w:val="1"/>
    <w:qFormat/>
    <w:uiPriority w:val="0"/>
    <w:pPr>
      <w:ind w:firstLine="566" w:firstLineChars="236"/>
      <w:jc w:val="left"/>
    </w:pPr>
    <w:rPr>
      <w:rFonts w:asciiTheme="minorHAnsi" w:hAnsiTheme="minorHAnsi" w:eastAsiaTheme="minorEastAsia" w:cstheme="minorBidi"/>
    </w:rPr>
  </w:style>
  <w:style w:type="character" w:customStyle="1" w:styleId="45">
    <w:name w:val="批注框文本 字符"/>
    <w:basedOn w:val="30"/>
    <w:link w:val="18"/>
    <w:semiHidden/>
    <w:qFormat/>
    <w:uiPriority w:val="99"/>
    <w:rPr>
      <w:rFonts w:ascii="宋体" w:hAnsi="宋体" w:cs="宋体"/>
      <w:kern w:val="2"/>
      <w:sz w:val="18"/>
      <w:szCs w:val="18"/>
    </w:rPr>
  </w:style>
  <w:style w:type="paragraph" w:customStyle="1" w:styleId="46">
    <w:name w:val="修订1"/>
    <w:hidden/>
    <w:semiHidden/>
    <w:qFormat/>
    <w:uiPriority w:val="0"/>
    <w:rPr>
      <w:rFonts w:ascii="Times New Roman" w:hAnsi="Times New Roman" w:eastAsia="宋体" w:cs="Times New Roman"/>
      <w:kern w:val="2"/>
      <w:sz w:val="21"/>
      <w:szCs w:val="24"/>
      <w:lang w:val="en-US" w:eastAsia="zh-CN" w:bidi="ar-SA"/>
    </w:rPr>
  </w:style>
  <w:style w:type="paragraph" w:customStyle="1" w:styleId="47">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48">
    <w:name w:val="修订2"/>
    <w:hidden/>
    <w:semiHidden/>
    <w:qFormat/>
    <w:uiPriority w:val="99"/>
    <w:rPr>
      <w:rFonts w:ascii="宋体" w:hAnsi="宋体" w:eastAsia="宋体" w:cs="宋体"/>
      <w:kern w:val="2"/>
      <w:sz w:val="24"/>
      <w:szCs w:val="22"/>
      <w:lang w:val="en-US" w:eastAsia="zh-CN" w:bidi="ar-SA"/>
    </w:rPr>
  </w:style>
  <w:style w:type="paragraph" w:customStyle="1" w:styleId="49">
    <w:name w:val="修订4"/>
    <w:hidden/>
    <w:semiHidden/>
    <w:qFormat/>
    <w:uiPriority w:val="99"/>
    <w:rPr>
      <w:rFonts w:ascii="宋体" w:hAnsi="宋体" w:eastAsia="宋体" w:cs="宋体"/>
      <w:kern w:val="2"/>
      <w:sz w:val="24"/>
      <w:szCs w:val="22"/>
      <w:lang w:val="en-US" w:eastAsia="zh-CN" w:bidi="ar-SA"/>
    </w:rPr>
  </w:style>
  <w:style w:type="paragraph" w:customStyle="1" w:styleId="50">
    <w:name w:val="修订5"/>
    <w:hidden/>
    <w:semiHidden/>
    <w:qFormat/>
    <w:uiPriority w:val="99"/>
    <w:rPr>
      <w:rFonts w:ascii="宋体" w:hAnsi="宋体" w:eastAsia="宋体" w:cs="宋体"/>
      <w:kern w:val="2"/>
      <w:sz w:val="24"/>
      <w:szCs w:val="22"/>
      <w:lang w:val="en-US" w:eastAsia="zh-CN" w:bidi="ar-SA"/>
    </w:rPr>
  </w:style>
  <w:style w:type="character" w:customStyle="1" w:styleId="51">
    <w:name w:val="正文文本 字符"/>
    <w:basedOn w:val="30"/>
    <w:link w:val="14"/>
    <w:qFormat/>
    <w:uiPriority w:val="99"/>
    <w:rPr>
      <w:kern w:val="2"/>
      <w:sz w:val="24"/>
      <w:szCs w:val="22"/>
    </w:rPr>
  </w:style>
  <w:style w:type="paragraph" w:customStyle="1" w:styleId="52">
    <w:name w:val="Block Label"/>
    <w:basedOn w:val="1"/>
    <w:next w:val="1"/>
    <w:qFormat/>
    <w:uiPriority w:val="0"/>
    <w:pPr>
      <w:keepNext/>
      <w:keepLines/>
      <w:topLinePunct/>
      <w:adjustRightInd w:val="0"/>
      <w:snapToGrid w:val="0"/>
      <w:spacing w:before="300" w:after="80"/>
      <w:ind w:firstLine="0"/>
      <w:jc w:val="left"/>
      <w:outlineLvl w:val="3"/>
    </w:pPr>
    <w:rPr>
      <w:rFonts w:ascii="Book Antiqua" w:hAnsi="Book Antiqua" w:eastAsia="黑体" w:cs="Book Antiqua"/>
      <w:bCs/>
      <w:sz w:val="26"/>
      <w:szCs w:val="26"/>
    </w:rPr>
  </w:style>
  <w:style w:type="character" w:customStyle="1" w:styleId="53">
    <w:name w:val="font41"/>
    <w:basedOn w:val="30"/>
    <w:qFormat/>
    <w:uiPriority w:val="0"/>
    <w:rPr>
      <w:rFonts w:hint="eastAsia" w:ascii="宋体" w:hAnsi="宋体" w:eastAsia="宋体" w:cs="宋体"/>
      <w:b/>
      <w:bCs/>
      <w:color w:val="000000"/>
      <w:sz w:val="20"/>
      <w:szCs w:val="20"/>
      <w:u w:val="none"/>
    </w:rPr>
  </w:style>
  <w:style w:type="paragraph" w:styleId="54">
    <w:name w:val="List Paragraph"/>
    <w:basedOn w:val="1"/>
    <w:qFormat/>
    <w:uiPriority w:val="34"/>
    <w:pPr>
      <w:ind w:firstLine="420"/>
    </w:pPr>
  </w:style>
  <w:style w:type="paragraph" w:customStyle="1" w:styleId="55">
    <w:name w:val="报告正文"/>
    <w:basedOn w:val="1"/>
    <w:qFormat/>
    <w:uiPriority w:val="0"/>
    <w:pPr>
      <w:adjustRightInd w:val="0"/>
      <w:snapToGrid w:val="0"/>
      <w:ind w:firstLine="200"/>
    </w:pPr>
    <w:rPr>
      <w:rFonts w:asciiTheme="minorHAnsi" w:hAnsiTheme="minorHAnsi" w:cstheme="minorBidi"/>
      <w:kern w:val="0"/>
      <w:szCs w:val="24"/>
    </w:rPr>
  </w:style>
  <w:style w:type="character" w:customStyle="1" w:styleId="56">
    <w:name w:val="font11"/>
    <w:basedOn w:val="30"/>
    <w:qFormat/>
    <w:uiPriority w:val="0"/>
    <w:rPr>
      <w:rFonts w:hint="eastAsia" w:ascii="宋体" w:hAnsi="宋体" w:eastAsia="宋体" w:cs="宋体"/>
      <w:b/>
      <w:bCs/>
      <w:color w:val="000000"/>
      <w:sz w:val="20"/>
      <w:szCs w:val="20"/>
      <w:u w:val="none"/>
    </w:rPr>
  </w:style>
  <w:style w:type="character" w:customStyle="1" w:styleId="57">
    <w:name w:val="font21"/>
    <w:basedOn w:val="30"/>
    <w:qFormat/>
    <w:uiPriority w:val="0"/>
    <w:rPr>
      <w:rFonts w:hint="eastAsia" w:ascii="宋体" w:hAnsi="宋体" w:eastAsia="宋体" w:cs="宋体"/>
      <w:color w:val="000000"/>
      <w:sz w:val="21"/>
      <w:szCs w:val="21"/>
      <w:u w:val="none"/>
    </w:rPr>
  </w:style>
  <w:style w:type="paragraph" w:customStyle="1" w:styleId="58">
    <w:name w:val="列出段落1"/>
    <w:basedOn w:val="1"/>
    <w:qFormat/>
    <w:uiPriority w:val="1"/>
    <w:pPr>
      <w:widowControl/>
      <w:spacing w:line="240" w:lineRule="auto"/>
      <w:ind w:firstLine="420"/>
      <w:jc w:val="left"/>
    </w:pPr>
    <w:rPr>
      <w:rFonts w:ascii="??" w:hAnsi="??"/>
      <w:kern w:val="0"/>
      <w:szCs w:val="24"/>
    </w:rPr>
  </w:style>
  <w:style w:type="character" w:customStyle="1" w:styleId="59">
    <w:name w:val="font112"/>
    <w:basedOn w:val="30"/>
    <w:qFormat/>
    <w:uiPriority w:val="0"/>
    <w:rPr>
      <w:rFonts w:ascii="宋体" w:hAnsi="宋体" w:eastAsia="宋体" w:cs="宋体"/>
      <w:color w:val="000000"/>
      <w:sz w:val="20"/>
      <w:szCs w:val="20"/>
      <w:u w:val="none"/>
    </w:rPr>
  </w:style>
  <w:style w:type="character" w:customStyle="1" w:styleId="60">
    <w:name w:val="font51"/>
    <w:basedOn w:val="30"/>
    <w:qFormat/>
    <w:uiPriority w:val="0"/>
    <w:rPr>
      <w:rFonts w:hint="eastAsia" w:ascii="宋体" w:hAnsi="宋体" w:eastAsia="宋体" w:cs="宋体"/>
      <w:color w:val="000000"/>
      <w:sz w:val="20"/>
      <w:szCs w:val="20"/>
      <w:u w:val="none"/>
    </w:rPr>
  </w:style>
  <w:style w:type="character" w:customStyle="1" w:styleId="61">
    <w:name w:val="font121"/>
    <w:basedOn w:val="30"/>
    <w:qFormat/>
    <w:uiPriority w:val="0"/>
    <w:rPr>
      <w:rFonts w:ascii="Wingdings 2" w:hAnsi="Wingdings 2" w:eastAsia="Wingdings 2" w:cs="Wingdings 2"/>
      <w:color w:val="000000"/>
      <w:sz w:val="20"/>
      <w:szCs w:val="20"/>
      <w:u w:val="none"/>
    </w:rPr>
  </w:style>
  <w:style w:type="character" w:customStyle="1" w:styleId="62">
    <w:name w:val="font131"/>
    <w:basedOn w:val="30"/>
    <w:qFormat/>
    <w:uiPriority w:val="0"/>
    <w:rPr>
      <w:rFonts w:hint="eastAsia" w:ascii="宋体" w:hAnsi="宋体" w:eastAsia="宋体" w:cs="宋体"/>
      <w:color w:val="000000"/>
      <w:sz w:val="20"/>
      <w:szCs w:val="20"/>
      <w:u w:val="none"/>
    </w:rPr>
  </w:style>
  <w:style w:type="character" w:customStyle="1" w:styleId="63">
    <w:name w:val="font61"/>
    <w:basedOn w:val="30"/>
    <w:qFormat/>
    <w:uiPriority w:val="0"/>
    <w:rPr>
      <w:rFonts w:hint="eastAsia" w:ascii="宋体" w:hAnsi="宋体" w:eastAsia="宋体" w:cs="宋体"/>
      <w:b/>
      <w:bCs/>
      <w:color w:val="000000"/>
      <w:sz w:val="20"/>
      <w:szCs w:val="20"/>
      <w:u w:val="none"/>
    </w:rPr>
  </w:style>
  <w:style w:type="character" w:customStyle="1" w:styleId="64">
    <w:name w:val="font101"/>
    <w:basedOn w:val="30"/>
    <w:qFormat/>
    <w:uiPriority w:val="0"/>
    <w:rPr>
      <w:rFonts w:ascii="宋体" w:hAnsi="宋体" w:eastAsia="宋体" w:cs="宋体"/>
      <w:color w:val="000000"/>
      <w:sz w:val="20"/>
      <w:szCs w:val="20"/>
      <w:u w:val="none"/>
    </w:rPr>
  </w:style>
  <w:style w:type="character" w:customStyle="1" w:styleId="65">
    <w:name w:val="font171"/>
    <w:basedOn w:val="30"/>
    <w:qFormat/>
    <w:uiPriority w:val="0"/>
    <w:rPr>
      <w:rFonts w:ascii="Wingdings 2" w:hAnsi="Wingdings 2" w:eastAsia="Wingdings 2" w:cs="Wingdings 2"/>
      <w:color w:val="000000"/>
      <w:sz w:val="20"/>
      <w:szCs w:val="20"/>
      <w:u w:val="none"/>
    </w:rPr>
  </w:style>
  <w:style w:type="character" w:customStyle="1" w:styleId="66">
    <w:name w:val="font12"/>
    <w:basedOn w:val="30"/>
    <w:qFormat/>
    <w:uiPriority w:val="0"/>
    <w:rPr>
      <w:rFonts w:hint="eastAsia" w:ascii="宋体" w:hAnsi="宋体" w:eastAsia="宋体" w:cs="宋体"/>
      <w:color w:val="000000"/>
      <w:sz w:val="20"/>
      <w:szCs w:val="20"/>
      <w:u w:val="none"/>
    </w:rPr>
  </w:style>
  <w:style w:type="character" w:customStyle="1" w:styleId="67">
    <w:name w:val="font71"/>
    <w:basedOn w:val="30"/>
    <w:qFormat/>
    <w:uiPriority w:val="0"/>
    <w:rPr>
      <w:rFonts w:hint="eastAsia" w:ascii="宋体" w:hAnsi="宋体" w:eastAsia="宋体" w:cs="宋体"/>
      <w:color w:val="000000"/>
      <w:sz w:val="20"/>
      <w:szCs w:val="20"/>
      <w:u w:val="none"/>
    </w:rPr>
  </w:style>
  <w:style w:type="character" w:customStyle="1" w:styleId="68">
    <w:name w:val="font13"/>
    <w:basedOn w:val="30"/>
    <w:qFormat/>
    <w:uiPriority w:val="0"/>
    <w:rPr>
      <w:rFonts w:hint="eastAsia" w:ascii="宋体" w:hAnsi="宋体" w:eastAsia="宋体" w:cs="宋体"/>
      <w:color w:val="000000"/>
      <w:sz w:val="20"/>
      <w:szCs w:val="20"/>
      <w:u w:val="none"/>
    </w:rPr>
  </w:style>
  <w:style w:type="character" w:customStyle="1" w:styleId="69">
    <w:name w:val="font161"/>
    <w:basedOn w:val="30"/>
    <w:qFormat/>
    <w:uiPriority w:val="0"/>
    <w:rPr>
      <w:rFonts w:ascii="Wingdings 2" w:hAnsi="Wingdings 2" w:eastAsia="Wingdings 2" w:cs="Wingdings 2"/>
      <w:color w:val="000000"/>
      <w:sz w:val="20"/>
      <w:szCs w:val="20"/>
      <w:u w:val="none"/>
    </w:rPr>
  </w:style>
  <w:style w:type="character" w:customStyle="1" w:styleId="70">
    <w:name w:val="font31"/>
    <w:basedOn w:val="30"/>
    <w:qFormat/>
    <w:uiPriority w:val="0"/>
    <w:rPr>
      <w:rFonts w:hint="eastAsia" w:ascii="宋体" w:hAnsi="宋体" w:eastAsia="宋体" w:cs="宋体"/>
      <w:color w:val="000000"/>
      <w:sz w:val="20"/>
      <w:szCs w:val="20"/>
      <w:u w:val="none"/>
    </w:rPr>
  </w:style>
  <w:style w:type="character" w:customStyle="1" w:styleId="71">
    <w:name w:val="font01"/>
    <w:basedOn w:val="30"/>
    <w:qFormat/>
    <w:uiPriority w:val="0"/>
    <w:rPr>
      <w:rFonts w:ascii="宋体" w:hAnsi="宋体" w:eastAsia="宋体" w:cs="宋体"/>
      <w:color w:val="000000"/>
      <w:sz w:val="20"/>
      <w:szCs w:val="20"/>
      <w:u w:val="none"/>
    </w:rPr>
  </w:style>
  <w:style w:type="character" w:customStyle="1" w:styleId="72">
    <w:name w:val="批注文字 字符"/>
    <w:basedOn w:val="30"/>
    <w:link w:val="13"/>
    <w:qFormat/>
    <w:uiPriority w:val="99"/>
    <w:rPr>
      <w:rFonts w:ascii="宋体" w:hAnsi="宋体" w:cs="宋体"/>
      <w:kern w:val="2"/>
      <w:sz w:val="24"/>
      <w:szCs w:val="22"/>
    </w:rPr>
  </w:style>
  <w:style w:type="character" w:customStyle="1" w:styleId="73">
    <w:name w:val="批注主题 字符"/>
    <w:basedOn w:val="72"/>
    <w:link w:val="25"/>
    <w:semiHidden/>
    <w:qFormat/>
    <w:uiPriority w:val="99"/>
    <w:rPr>
      <w:rFonts w:ascii="宋体" w:hAnsi="宋体" w:cs="宋体"/>
      <w:b/>
      <w:bCs/>
      <w:kern w:val="2"/>
      <w:sz w:val="24"/>
      <w:szCs w:val="22"/>
    </w:rPr>
  </w:style>
  <w:style w:type="paragraph" w:customStyle="1" w:styleId="74">
    <w:name w:val="修订6"/>
    <w:hidden/>
    <w:semiHidden/>
    <w:qFormat/>
    <w:uiPriority w:val="99"/>
    <w:rPr>
      <w:rFonts w:ascii="宋体" w:hAnsi="宋体" w:eastAsia="宋体" w:cs="宋体"/>
      <w:kern w:val="2"/>
      <w:sz w:val="24"/>
      <w:szCs w:val="22"/>
      <w:lang w:val="en-US" w:eastAsia="zh-CN" w:bidi="ar-SA"/>
    </w:rPr>
  </w:style>
  <w:style w:type="paragraph" w:customStyle="1" w:styleId="75">
    <w:name w:val="正文212"/>
    <w:qFormat/>
    <w:uiPriority w:val="0"/>
    <w:pPr>
      <w:spacing w:line="360" w:lineRule="auto"/>
      <w:ind w:firstLine="200" w:firstLineChars="200"/>
    </w:pPr>
    <w:rPr>
      <w:rFonts w:ascii="Times New Roman" w:hAnsi="Times New Roman" w:eastAsia="宋体" w:cs="Times New Roman"/>
      <w:sz w:val="24"/>
      <w:lang w:val="en-US" w:eastAsia="zh-CN" w:bidi="ar-SA"/>
    </w:rPr>
  </w:style>
  <w:style w:type="paragraph" w:customStyle="1" w:styleId="76">
    <w:name w:val="No Spacing1"/>
    <w:basedOn w:val="1"/>
    <w:qFormat/>
    <w:uiPriority w:val="0"/>
    <w:pPr>
      <w:keepNext w:val="0"/>
      <w:keepLines w:val="0"/>
      <w:widowControl w:val="0"/>
      <w:suppressLineNumbers w:val="0"/>
      <w:autoSpaceDE w:val="0"/>
      <w:autoSpaceDN/>
      <w:spacing w:before="0" w:beforeAutospacing="0" w:after="0" w:afterAutospacing="0"/>
      <w:ind w:left="0" w:right="0"/>
      <w:jc w:val="both"/>
    </w:pPr>
    <w:rPr>
      <w:rFonts w:hint="default" w:ascii="Times New Roman" w:hAnsi="Times New Roman" w:eastAsia="仿宋" w:cs="Times New Roman"/>
      <w:kern w:val="2"/>
      <w:sz w:val="28"/>
      <w:szCs w:val="28"/>
      <w:lang w:val="en-US" w:eastAsia="zh-CN" w:bidi="ar"/>
    </w:rPr>
  </w:style>
  <w:style w:type="character" w:customStyle="1" w:styleId="77">
    <w:name w:val="font91"/>
    <w:basedOn w:val="30"/>
    <w:qFormat/>
    <w:uiPriority w:val="0"/>
    <w:rPr>
      <w:rFonts w:hint="eastAsia" w:ascii="宋体" w:hAnsi="宋体" w:eastAsia="宋体" w:cs="宋体"/>
      <w:b/>
      <w:bCs/>
      <w:color w:val="000000"/>
      <w:sz w:val="22"/>
      <w:szCs w:val="22"/>
      <w:u w:val="none"/>
    </w:rPr>
  </w:style>
  <w:style w:type="character" w:customStyle="1" w:styleId="78">
    <w:name w:val="font81"/>
    <w:basedOn w:val="30"/>
    <w:qFormat/>
    <w:uiPriority w:val="0"/>
    <w:rPr>
      <w:rFonts w:hint="eastAsia" w:ascii="宋体" w:hAnsi="宋体" w:eastAsia="宋体" w:cs="宋体"/>
      <w:color w:val="000000"/>
      <w:sz w:val="22"/>
      <w:szCs w:val="22"/>
      <w:u w:val="none"/>
    </w:rPr>
  </w:style>
  <w:style w:type="character" w:customStyle="1" w:styleId="79">
    <w:name w:val="font111"/>
    <w:basedOn w:val="30"/>
    <w:qFormat/>
    <w:uiPriority w:val="0"/>
    <w:rPr>
      <w:rFonts w:hint="eastAsia" w:ascii="宋体" w:hAnsi="宋体" w:eastAsia="宋体" w:cs="宋体"/>
      <w:b/>
      <w:bCs/>
      <w:color w:val="FF0000"/>
      <w:sz w:val="20"/>
      <w:szCs w:val="20"/>
      <w:u w:val="none"/>
    </w:rPr>
  </w:style>
  <w:style w:type="character" w:customStyle="1" w:styleId="80">
    <w:name w:val="font122"/>
    <w:basedOn w:val="30"/>
    <w:qFormat/>
    <w:uiPriority w:val="0"/>
    <w:rPr>
      <w:rFonts w:hint="default" w:ascii="Times New Roman" w:hAnsi="Times New Roman" w:cs="Times New Roman"/>
      <w:color w:val="FF0000"/>
      <w:sz w:val="20"/>
      <w:szCs w:val="20"/>
      <w:u w:val="none"/>
    </w:rPr>
  </w:style>
  <w:style w:type="paragraph" w:customStyle="1" w:styleId="81">
    <w:name w:val="表格字体"/>
    <w:basedOn w:val="1"/>
    <w:next w:val="1"/>
    <w:qFormat/>
    <w:uiPriority w:val="0"/>
    <w:pPr>
      <w:spacing w:line="240" w:lineRule="auto"/>
      <w:ind w:firstLine="0" w:firstLineChars="0"/>
      <w:jc w:val="center"/>
    </w:pPr>
    <w:rPr>
      <w:rFonts w:ascii="Times New Roman" w:hAnsi="Times New Roman"/>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14.png"/><Relationship Id="rId3" Type="http://schemas.openxmlformats.org/officeDocument/2006/relationships/footnotes" Target="footnotes.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pn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jpe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74</Pages>
  <Words>6388</Words>
  <Characters>7169</Characters>
  <Lines>4394</Lines>
  <Paragraphs>1237</Paragraphs>
  <TotalTime>9</TotalTime>
  <ScaleCrop>false</ScaleCrop>
  <LinksUpToDate>false</LinksUpToDate>
  <CharactersWithSpaces>7396</CharactersWithSpaces>
  <Application>WPS Office_11.8.2.9849_F1E327BC-269C-435d-A152-05C5408002CA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2023-08-11T18:55:00Z</dcterms:created>
  <dc:creator>xiaofei li</dc:creator>
  <cp:lastModifiedBy>fany</cp:lastModifiedBy>
  <cp:lastPrinted>2023-10-09T00:17:00Z</cp:lastPrinted>
  <dcterms:modified xsi:type="dcterms:W3CDTF">2025-07-01T17:30:23Z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2052-11.8.2.9849</vt:lpwstr>
  </property>
  <property fmtid="{D5CDD505-2E9C-101B-9397-08002B2CF9AE}" pid="3" name="ICV">
    <vt:lpwstr>BE0DDC3EF14B4C2B81F77A82B7D745B5_13</vt:lpwstr>
  </property>
  <property fmtid="{D5CDD505-2E9C-101B-9397-08002B2CF9AE}" pid="4" name="KSOTemplateDocerSaveRecord">
    <vt:lpwstr>eyJoZGlkIjoiMTUxY2NkNzZkYWU0ZTI3YjViNjE2YTViOTc2ZjJhNDUiLCJ1c2VySWQiOiI0Mzc1MTIwNzYifQ==</vt:lpwstr>
  </property>
</Properties>
</file>