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48966">
      <w:pPr>
        <w:spacing w:line="360" w:lineRule="auto"/>
        <w:jc w:val="center"/>
        <w:rPr>
          <w:rFonts w:ascii="宋体" w:hAnsi="宋体"/>
          <w:sz w:val="24"/>
          <w:szCs w:val="24"/>
        </w:rPr>
      </w:pPr>
      <w:r>
        <w:rPr>
          <w:rFonts w:hint="eastAsia" w:ascii="宋体" w:hAnsi="宋体"/>
          <w:sz w:val="24"/>
          <w:szCs w:val="24"/>
        </w:rPr>
        <w:t>实质性响应一览表</w:t>
      </w:r>
    </w:p>
    <w:tbl>
      <w:tblPr>
        <w:tblStyle w:val="8"/>
        <w:tblW w:w="11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4783"/>
        <w:gridCol w:w="2817"/>
        <w:gridCol w:w="1683"/>
        <w:gridCol w:w="1089"/>
      </w:tblGrid>
      <w:tr w14:paraId="6779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7" w:type="dxa"/>
            <w:tcBorders>
              <w:top w:val="single" w:color="auto" w:sz="4" w:space="0"/>
              <w:left w:val="single" w:color="auto" w:sz="4" w:space="0"/>
              <w:bottom w:val="single" w:color="auto" w:sz="4" w:space="0"/>
              <w:right w:val="single" w:color="auto" w:sz="4" w:space="0"/>
            </w:tcBorders>
          </w:tcPr>
          <w:p w14:paraId="73408EA8">
            <w:pPr>
              <w:spacing w:line="360" w:lineRule="auto"/>
              <w:jc w:val="center"/>
              <w:rPr>
                <w:rFonts w:ascii="宋体" w:hAnsi="宋体"/>
                <w:sz w:val="24"/>
                <w:szCs w:val="24"/>
              </w:rPr>
            </w:pPr>
            <w:r>
              <w:rPr>
                <w:rFonts w:hint="eastAsia" w:ascii="宋体" w:hAnsi="宋体"/>
                <w:sz w:val="24"/>
                <w:szCs w:val="24"/>
              </w:rPr>
              <w:t>序号</w:t>
            </w:r>
          </w:p>
        </w:tc>
        <w:tc>
          <w:tcPr>
            <w:tcW w:w="4783" w:type="dxa"/>
            <w:tcBorders>
              <w:top w:val="single" w:color="auto" w:sz="4" w:space="0"/>
              <w:left w:val="single" w:color="auto" w:sz="4" w:space="0"/>
              <w:bottom w:val="single" w:color="auto" w:sz="4" w:space="0"/>
              <w:right w:val="single" w:color="auto" w:sz="4" w:space="0"/>
            </w:tcBorders>
          </w:tcPr>
          <w:p w14:paraId="20377AE9">
            <w:pPr>
              <w:spacing w:line="360" w:lineRule="auto"/>
              <w:jc w:val="center"/>
              <w:rPr>
                <w:rFonts w:ascii="宋体" w:hAnsi="宋体"/>
                <w:sz w:val="24"/>
                <w:szCs w:val="24"/>
              </w:rPr>
            </w:pPr>
            <w:r>
              <w:rPr>
                <w:rFonts w:hint="eastAsia" w:ascii="宋体" w:hAnsi="宋体"/>
                <w:sz w:val="24"/>
                <w:szCs w:val="24"/>
              </w:rPr>
              <w:t>实质性响应条款</w:t>
            </w:r>
          </w:p>
        </w:tc>
        <w:tc>
          <w:tcPr>
            <w:tcW w:w="2817" w:type="dxa"/>
            <w:tcBorders>
              <w:top w:val="single" w:color="auto" w:sz="4" w:space="0"/>
              <w:left w:val="single" w:color="auto" w:sz="4" w:space="0"/>
              <w:bottom w:val="single" w:color="auto" w:sz="4" w:space="0"/>
              <w:right w:val="single" w:color="auto" w:sz="4" w:space="0"/>
            </w:tcBorders>
          </w:tcPr>
          <w:p w14:paraId="5C02A66E">
            <w:pPr>
              <w:spacing w:line="360" w:lineRule="auto"/>
              <w:jc w:val="center"/>
              <w:rPr>
                <w:rFonts w:ascii="宋体" w:hAnsi="宋体"/>
                <w:sz w:val="24"/>
                <w:szCs w:val="24"/>
              </w:rPr>
            </w:pPr>
            <w:r>
              <w:rPr>
                <w:rFonts w:hint="eastAsia" w:ascii="宋体" w:hAnsi="宋体"/>
                <w:sz w:val="24"/>
                <w:szCs w:val="24"/>
              </w:rPr>
              <w:t>投标人响应情况</w:t>
            </w:r>
          </w:p>
        </w:tc>
        <w:tc>
          <w:tcPr>
            <w:tcW w:w="1683" w:type="dxa"/>
            <w:tcBorders>
              <w:top w:val="single" w:color="auto" w:sz="4" w:space="0"/>
              <w:left w:val="single" w:color="auto" w:sz="4" w:space="0"/>
              <w:bottom w:val="single" w:color="auto" w:sz="4" w:space="0"/>
              <w:right w:val="single" w:color="auto" w:sz="4" w:space="0"/>
            </w:tcBorders>
          </w:tcPr>
          <w:p w14:paraId="7AB5067D">
            <w:pPr>
              <w:spacing w:line="360" w:lineRule="auto"/>
              <w:jc w:val="center"/>
              <w:rPr>
                <w:rFonts w:ascii="宋体" w:hAnsi="宋体"/>
                <w:sz w:val="24"/>
                <w:szCs w:val="24"/>
              </w:rPr>
            </w:pPr>
            <w:r>
              <w:rPr>
                <w:rFonts w:hint="eastAsia" w:ascii="宋体" w:hAnsi="宋体"/>
                <w:sz w:val="24"/>
                <w:szCs w:val="24"/>
              </w:rPr>
              <w:t>差异</w:t>
            </w:r>
          </w:p>
        </w:tc>
        <w:tc>
          <w:tcPr>
            <w:tcW w:w="1089" w:type="dxa"/>
            <w:tcBorders>
              <w:top w:val="single" w:color="auto" w:sz="4" w:space="0"/>
              <w:left w:val="single" w:color="auto" w:sz="4" w:space="0"/>
              <w:bottom w:val="single" w:color="auto" w:sz="4" w:space="0"/>
              <w:right w:val="single" w:color="auto" w:sz="4" w:space="0"/>
            </w:tcBorders>
          </w:tcPr>
          <w:p w14:paraId="25D46186">
            <w:pPr>
              <w:spacing w:line="360" w:lineRule="auto"/>
              <w:jc w:val="center"/>
              <w:rPr>
                <w:rFonts w:hint="eastAsia" w:ascii="宋体" w:hAnsi="宋体" w:eastAsia="宋体"/>
                <w:sz w:val="24"/>
                <w:szCs w:val="24"/>
                <w:lang w:val="en-US" w:eastAsia="zh-CN"/>
              </w:rPr>
            </w:pPr>
            <w:r>
              <w:rPr>
                <w:rFonts w:hint="eastAsia" w:ascii="宋体" w:hAnsi="宋体"/>
                <w:sz w:val="24"/>
                <w:szCs w:val="24"/>
                <w:lang w:val="en-US" w:eastAsia="zh-CN"/>
              </w:rPr>
              <w:t>页码</w:t>
            </w:r>
          </w:p>
        </w:tc>
      </w:tr>
      <w:tr w14:paraId="6A09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57" w:type="dxa"/>
            <w:tcBorders>
              <w:top w:val="single" w:color="auto" w:sz="4" w:space="0"/>
              <w:left w:val="single" w:color="auto" w:sz="4" w:space="0"/>
              <w:bottom w:val="single" w:color="auto" w:sz="4" w:space="0"/>
              <w:right w:val="single" w:color="auto" w:sz="4" w:space="0"/>
            </w:tcBorders>
          </w:tcPr>
          <w:p w14:paraId="3A233E7C">
            <w:pPr>
              <w:spacing w:line="360" w:lineRule="auto"/>
              <w:jc w:val="center"/>
              <w:rPr>
                <w:rFonts w:ascii="宋体" w:hAnsi="宋体"/>
                <w:sz w:val="24"/>
                <w:szCs w:val="24"/>
              </w:rPr>
            </w:pPr>
            <w:r>
              <w:rPr>
                <w:rFonts w:hint="eastAsia" w:ascii="宋体" w:hAnsi="宋体"/>
                <w:sz w:val="24"/>
                <w:szCs w:val="24"/>
              </w:rPr>
              <w:t>1</w:t>
            </w:r>
          </w:p>
        </w:tc>
        <w:tc>
          <w:tcPr>
            <w:tcW w:w="4783" w:type="dxa"/>
            <w:tcBorders>
              <w:top w:val="single" w:color="auto" w:sz="4" w:space="0"/>
              <w:left w:val="single" w:color="auto" w:sz="4" w:space="0"/>
              <w:bottom w:val="single" w:color="auto" w:sz="4" w:space="0"/>
              <w:right w:val="single" w:color="auto" w:sz="4" w:space="0"/>
            </w:tcBorders>
          </w:tcPr>
          <w:p w14:paraId="1BB80789">
            <w:pPr>
              <w:ind w:firstLine="420"/>
              <w:rPr>
                <w:rFonts w:hint="eastAsia" w:ascii="宋体" w:hAnsi="宋体" w:eastAsia="宋体" w:cs="宋体"/>
                <w:sz w:val="24"/>
                <w:szCs w:val="24"/>
              </w:rPr>
            </w:pPr>
            <w:r>
              <w:rPr>
                <w:rFonts w:hint="eastAsia"/>
              </w:rPr>
              <w:t>6.</w:t>
            </w:r>
            <w:r>
              <w:t>★自开工令签发之日起计，工期为45个日历天。施工期间若工程不符合设计要求或质量不合格，施工单位须按业主要求停工和返工，返工费用由施工单位负责，工期不予顺延。</w:t>
            </w:r>
            <w:r>
              <w:rPr>
                <w:rFonts w:hint="eastAsia"/>
                <w:b/>
              </w:rPr>
              <w:t>（提供实质性响应一览表）</w:t>
            </w:r>
          </w:p>
        </w:tc>
        <w:tc>
          <w:tcPr>
            <w:tcW w:w="2817" w:type="dxa"/>
            <w:tcBorders>
              <w:top w:val="single" w:color="auto" w:sz="4" w:space="0"/>
              <w:left w:val="single" w:color="auto" w:sz="4" w:space="0"/>
              <w:bottom w:val="single" w:color="auto" w:sz="4" w:space="0"/>
              <w:right w:val="single" w:color="auto" w:sz="4" w:space="0"/>
            </w:tcBorders>
          </w:tcPr>
          <w:p w14:paraId="0494C635">
            <w:pPr>
              <w:spacing w:line="360" w:lineRule="auto"/>
              <w:rPr>
                <w:rFonts w:ascii="宋体" w:hAnsi="宋体"/>
                <w:sz w:val="24"/>
                <w:szCs w:val="24"/>
              </w:rPr>
            </w:pPr>
          </w:p>
        </w:tc>
        <w:tc>
          <w:tcPr>
            <w:tcW w:w="1683" w:type="dxa"/>
            <w:tcBorders>
              <w:top w:val="single" w:color="auto" w:sz="4" w:space="0"/>
              <w:left w:val="single" w:color="auto" w:sz="4" w:space="0"/>
              <w:bottom w:val="single" w:color="auto" w:sz="4" w:space="0"/>
              <w:right w:val="single" w:color="auto" w:sz="4" w:space="0"/>
            </w:tcBorders>
          </w:tcPr>
          <w:p w14:paraId="3B5684D9">
            <w:pPr>
              <w:spacing w:line="360" w:lineRule="auto"/>
              <w:jc w:val="center"/>
              <w:rPr>
                <w:rFonts w:ascii="宋体" w:hAnsi="宋体"/>
                <w:sz w:val="24"/>
                <w:szCs w:val="24"/>
              </w:rPr>
            </w:pPr>
          </w:p>
        </w:tc>
        <w:tc>
          <w:tcPr>
            <w:tcW w:w="1089" w:type="dxa"/>
            <w:tcBorders>
              <w:top w:val="single" w:color="auto" w:sz="4" w:space="0"/>
              <w:left w:val="single" w:color="auto" w:sz="4" w:space="0"/>
              <w:bottom w:val="single" w:color="auto" w:sz="4" w:space="0"/>
              <w:right w:val="single" w:color="auto" w:sz="4" w:space="0"/>
            </w:tcBorders>
          </w:tcPr>
          <w:p w14:paraId="4505703F">
            <w:pPr>
              <w:spacing w:line="360" w:lineRule="auto"/>
              <w:jc w:val="center"/>
              <w:rPr>
                <w:rFonts w:ascii="宋体" w:hAnsi="宋体"/>
                <w:sz w:val="24"/>
                <w:szCs w:val="24"/>
              </w:rPr>
            </w:pPr>
          </w:p>
        </w:tc>
      </w:tr>
      <w:tr w14:paraId="6572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7" w:type="dxa"/>
            <w:tcBorders>
              <w:top w:val="single" w:color="auto" w:sz="4" w:space="0"/>
              <w:left w:val="single" w:color="auto" w:sz="4" w:space="0"/>
              <w:bottom w:val="single" w:color="auto" w:sz="4" w:space="0"/>
              <w:right w:val="single" w:color="auto" w:sz="4" w:space="0"/>
            </w:tcBorders>
          </w:tcPr>
          <w:p w14:paraId="2BA96878">
            <w:pPr>
              <w:spacing w:line="360" w:lineRule="auto"/>
              <w:jc w:val="center"/>
              <w:rPr>
                <w:rFonts w:ascii="宋体" w:hAnsi="宋体"/>
                <w:sz w:val="24"/>
                <w:szCs w:val="24"/>
              </w:rPr>
            </w:pPr>
            <w:r>
              <w:rPr>
                <w:rFonts w:hint="eastAsia" w:ascii="宋体" w:hAnsi="宋体"/>
                <w:sz w:val="24"/>
                <w:szCs w:val="24"/>
              </w:rPr>
              <w:t>2</w:t>
            </w:r>
          </w:p>
        </w:tc>
        <w:tc>
          <w:tcPr>
            <w:tcW w:w="4783" w:type="dxa"/>
            <w:tcBorders>
              <w:top w:val="single" w:color="auto" w:sz="4" w:space="0"/>
              <w:left w:val="single" w:color="auto" w:sz="4" w:space="0"/>
              <w:bottom w:val="single" w:color="auto" w:sz="4" w:space="0"/>
              <w:right w:val="single" w:color="auto" w:sz="4" w:space="0"/>
            </w:tcBorders>
          </w:tcPr>
          <w:p w14:paraId="46539A7F">
            <w:pPr>
              <w:rPr>
                <w:rFonts w:hint="eastAsia" w:ascii="宋体" w:hAnsi="宋体" w:eastAsia="宋体" w:cs="宋体"/>
                <w:sz w:val="24"/>
                <w:szCs w:val="24"/>
              </w:rPr>
            </w:pPr>
            <w:r>
              <w:rPr>
                <w:b/>
                <w:color w:val="auto"/>
              </w:rPr>
              <w:t>1．★工程质量标准：依据本采购需求及图纸的要求，本招标工程项目的材料、设备、施工须达到下列现行中华人民共和国以及省、自治区、直辖市或行业的工程建设标准、规范的要求，确保工程质量，工程质量要求达到 合格或以上 质量标准</w:t>
            </w:r>
            <w:r>
              <w:rPr>
                <w:rFonts w:hint="eastAsia"/>
                <w:b/>
                <w:color w:val="auto"/>
              </w:rPr>
              <w:t>（提供实质性响应一览表）</w:t>
            </w:r>
            <w:r>
              <w:rPr>
                <w:b/>
                <w:color w:val="auto"/>
              </w:rPr>
              <w:t>。</w:t>
            </w:r>
          </w:p>
        </w:tc>
        <w:tc>
          <w:tcPr>
            <w:tcW w:w="2817" w:type="dxa"/>
            <w:tcBorders>
              <w:top w:val="single" w:color="auto" w:sz="4" w:space="0"/>
              <w:left w:val="single" w:color="auto" w:sz="4" w:space="0"/>
              <w:bottom w:val="single" w:color="auto" w:sz="4" w:space="0"/>
              <w:right w:val="single" w:color="auto" w:sz="4" w:space="0"/>
            </w:tcBorders>
          </w:tcPr>
          <w:p w14:paraId="0C1A1920">
            <w:pPr>
              <w:spacing w:line="360" w:lineRule="auto"/>
              <w:rPr>
                <w:rFonts w:ascii="宋体" w:hAnsi="宋体"/>
                <w:sz w:val="24"/>
                <w:szCs w:val="24"/>
              </w:rPr>
            </w:pPr>
          </w:p>
        </w:tc>
        <w:tc>
          <w:tcPr>
            <w:tcW w:w="1683" w:type="dxa"/>
            <w:tcBorders>
              <w:top w:val="single" w:color="auto" w:sz="4" w:space="0"/>
              <w:left w:val="single" w:color="auto" w:sz="4" w:space="0"/>
              <w:bottom w:val="single" w:color="auto" w:sz="4" w:space="0"/>
              <w:right w:val="single" w:color="auto" w:sz="4" w:space="0"/>
            </w:tcBorders>
          </w:tcPr>
          <w:p w14:paraId="36667BAF">
            <w:pPr>
              <w:spacing w:line="360" w:lineRule="auto"/>
              <w:rPr>
                <w:rFonts w:ascii="宋体" w:hAnsi="宋体"/>
                <w:sz w:val="24"/>
                <w:szCs w:val="24"/>
              </w:rPr>
            </w:pPr>
          </w:p>
        </w:tc>
        <w:tc>
          <w:tcPr>
            <w:tcW w:w="1089" w:type="dxa"/>
            <w:tcBorders>
              <w:top w:val="single" w:color="auto" w:sz="4" w:space="0"/>
              <w:left w:val="single" w:color="auto" w:sz="4" w:space="0"/>
              <w:bottom w:val="single" w:color="auto" w:sz="4" w:space="0"/>
              <w:right w:val="single" w:color="auto" w:sz="4" w:space="0"/>
            </w:tcBorders>
          </w:tcPr>
          <w:p w14:paraId="4CA7E5B8">
            <w:pPr>
              <w:spacing w:line="360" w:lineRule="auto"/>
              <w:rPr>
                <w:rFonts w:ascii="宋体" w:hAnsi="宋体"/>
                <w:sz w:val="24"/>
                <w:szCs w:val="24"/>
              </w:rPr>
            </w:pPr>
          </w:p>
        </w:tc>
      </w:tr>
      <w:tr w14:paraId="0B80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7" w:type="dxa"/>
            <w:tcBorders>
              <w:top w:val="single" w:color="auto" w:sz="4" w:space="0"/>
              <w:left w:val="single" w:color="auto" w:sz="4" w:space="0"/>
              <w:bottom w:val="single" w:color="auto" w:sz="4" w:space="0"/>
              <w:right w:val="single" w:color="auto" w:sz="4" w:space="0"/>
            </w:tcBorders>
          </w:tcPr>
          <w:p w14:paraId="500E0066">
            <w:pPr>
              <w:spacing w:line="360" w:lineRule="auto"/>
              <w:jc w:val="center"/>
              <w:rPr>
                <w:rFonts w:hint="eastAsia" w:ascii="宋体" w:hAnsi="宋体" w:eastAsia="宋体"/>
                <w:sz w:val="24"/>
                <w:szCs w:val="24"/>
                <w:lang w:val="en-US" w:eastAsia="zh-CN"/>
              </w:rPr>
            </w:pPr>
            <w:r>
              <w:rPr>
                <w:rFonts w:hint="eastAsia" w:ascii="宋体" w:hAnsi="宋体"/>
                <w:sz w:val="24"/>
                <w:szCs w:val="24"/>
                <w:lang w:val="en-US" w:eastAsia="zh-CN"/>
              </w:rPr>
              <w:t>3</w:t>
            </w:r>
          </w:p>
        </w:tc>
        <w:tc>
          <w:tcPr>
            <w:tcW w:w="4783" w:type="dxa"/>
            <w:tcBorders>
              <w:top w:val="single" w:color="auto" w:sz="4" w:space="0"/>
              <w:left w:val="single" w:color="auto" w:sz="4" w:space="0"/>
              <w:bottom w:val="single" w:color="auto" w:sz="4" w:space="0"/>
              <w:right w:val="single" w:color="auto" w:sz="4" w:space="0"/>
            </w:tcBorders>
          </w:tcPr>
          <w:p w14:paraId="353434F3">
            <w:pPr>
              <w:spacing w:line="360" w:lineRule="auto"/>
              <w:rPr>
                <w:rFonts w:hint="eastAsia" w:ascii="宋体" w:hAnsi="宋体" w:eastAsia="宋体" w:cs="宋体"/>
                <w:sz w:val="24"/>
                <w:szCs w:val="24"/>
              </w:rPr>
            </w:pPr>
            <w:r>
              <w:rPr>
                <w:rFonts w:hint="eastAsia" w:ascii="宋体" w:hAnsi="宋体" w:eastAsia="宋体" w:cs="宋体"/>
                <w:sz w:val="24"/>
                <w:szCs w:val="24"/>
              </w:rPr>
              <w:t>★1.项目经理须驻场，须严格按照国家省市安全文明施工相关规范落实安全文明施工，严格遵守政府职能部门的各项规章制度，严禁野蛮施工、随意施工。如因安全文明施工不到位，导致材料、设备损失，政府职能部门的罚款、停工整改，或造成人员的伤亡及财产损失等一切责任由成交供应商负责，且采购人保留暂缓支付工程款的权利，以确保安全文明施工有效实行。（依据实质性响应一览表）</w:t>
            </w:r>
          </w:p>
        </w:tc>
        <w:tc>
          <w:tcPr>
            <w:tcW w:w="2817" w:type="dxa"/>
            <w:tcBorders>
              <w:top w:val="single" w:color="auto" w:sz="4" w:space="0"/>
              <w:left w:val="single" w:color="auto" w:sz="4" w:space="0"/>
              <w:bottom w:val="single" w:color="auto" w:sz="4" w:space="0"/>
              <w:right w:val="single" w:color="auto" w:sz="4" w:space="0"/>
            </w:tcBorders>
          </w:tcPr>
          <w:p w14:paraId="7A2E44F6">
            <w:pPr>
              <w:spacing w:line="360" w:lineRule="auto"/>
              <w:rPr>
                <w:rFonts w:ascii="宋体" w:hAnsi="宋体"/>
                <w:sz w:val="24"/>
                <w:szCs w:val="24"/>
              </w:rPr>
            </w:pPr>
          </w:p>
        </w:tc>
        <w:tc>
          <w:tcPr>
            <w:tcW w:w="1683" w:type="dxa"/>
            <w:tcBorders>
              <w:top w:val="single" w:color="auto" w:sz="4" w:space="0"/>
              <w:left w:val="single" w:color="auto" w:sz="4" w:space="0"/>
              <w:bottom w:val="single" w:color="auto" w:sz="4" w:space="0"/>
              <w:right w:val="single" w:color="auto" w:sz="4" w:space="0"/>
            </w:tcBorders>
          </w:tcPr>
          <w:p w14:paraId="36D640D7">
            <w:pPr>
              <w:spacing w:line="360" w:lineRule="auto"/>
              <w:rPr>
                <w:rFonts w:ascii="宋体" w:hAnsi="宋体"/>
                <w:sz w:val="24"/>
                <w:szCs w:val="24"/>
              </w:rPr>
            </w:pPr>
          </w:p>
        </w:tc>
        <w:tc>
          <w:tcPr>
            <w:tcW w:w="1089" w:type="dxa"/>
            <w:tcBorders>
              <w:top w:val="single" w:color="auto" w:sz="4" w:space="0"/>
              <w:left w:val="single" w:color="auto" w:sz="4" w:space="0"/>
              <w:bottom w:val="single" w:color="auto" w:sz="4" w:space="0"/>
              <w:right w:val="single" w:color="auto" w:sz="4" w:space="0"/>
            </w:tcBorders>
          </w:tcPr>
          <w:p w14:paraId="70EABAAD">
            <w:pPr>
              <w:spacing w:line="360" w:lineRule="auto"/>
              <w:rPr>
                <w:rFonts w:ascii="宋体" w:hAnsi="宋体"/>
                <w:sz w:val="24"/>
                <w:szCs w:val="24"/>
              </w:rPr>
            </w:pPr>
          </w:p>
        </w:tc>
      </w:tr>
      <w:tr w14:paraId="109E2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7" w:type="dxa"/>
            <w:tcBorders>
              <w:top w:val="single" w:color="auto" w:sz="4" w:space="0"/>
              <w:left w:val="single" w:color="auto" w:sz="4" w:space="0"/>
              <w:bottom w:val="single" w:color="auto" w:sz="4" w:space="0"/>
              <w:right w:val="single" w:color="auto" w:sz="4" w:space="0"/>
            </w:tcBorders>
          </w:tcPr>
          <w:p w14:paraId="3DE6A36E">
            <w:pPr>
              <w:spacing w:line="360" w:lineRule="auto"/>
              <w:jc w:val="center"/>
              <w:rPr>
                <w:rFonts w:hint="eastAsia" w:ascii="宋体" w:hAnsi="宋体" w:eastAsia="宋体"/>
                <w:sz w:val="24"/>
                <w:szCs w:val="24"/>
                <w:lang w:val="en-US" w:eastAsia="zh-CN"/>
              </w:rPr>
            </w:pPr>
            <w:r>
              <w:rPr>
                <w:rFonts w:hint="eastAsia" w:ascii="宋体" w:hAnsi="宋体"/>
                <w:sz w:val="24"/>
                <w:szCs w:val="24"/>
                <w:lang w:val="en-US" w:eastAsia="zh-CN"/>
              </w:rPr>
              <w:t>4</w:t>
            </w:r>
          </w:p>
        </w:tc>
        <w:tc>
          <w:tcPr>
            <w:tcW w:w="4783" w:type="dxa"/>
            <w:tcBorders>
              <w:top w:val="single" w:color="auto" w:sz="4" w:space="0"/>
              <w:left w:val="single" w:color="auto" w:sz="4" w:space="0"/>
              <w:bottom w:val="single" w:color="auto" w:sz="4" w:space="0"/>
              <w:right w:val="single" w:color="auto" w:sz="4" w:space="0"/>
            </w:tcBorders>
          </w:tcPr>
          <w:p w14:paraId="3FB1672E">
            <w:pPr>
              <w:spacing w:line="360" w:lineRule="auto"/>
              <w:rPr>
                <w:rFonts w:hint="eastAsia" w:ascii="宋体" w:hAnsi="宋体" w:eastAsia="宋体" w:cs="宋体"/>
                <w:sz w:val="24"/>
                <w:szCs w:val="24"/>
              </w:rPr>
            </w:pPr>
            <w:r>
              <w:rPr>
                <w:b/>
                <w:color w:val="auto"/>
              </w:rPr>
              <w:t>★2.</w:t>
            </w:r>
            <w:r>
              <w:rPr>
                <w:rFonts w:hint="eastAsia"/>
                <w:b/>
                <w:color w:val="auto"/>
                <w:lang w:eastAsia="zh-CN"/>
              </w:rPr>
              <w:t>安全生产措施费</w:t>
            </w:r>
            <w:r>
              <w:rPr>
                <w:b/>
                <w:color w:val="auto"/>
              </w:rPr>
              <w:t>、暂估价及暂列金额不作为竞争性费用，响应供应商在报价中须包含且不得更改该金额，否则其报价无效。总报价超过</w:t>
            </w:r>
            <w:r>
              <w:rPr>
                <w:rFonts w:hint="eastAsia"/>
                <w:b/>
                <w:color w:val="auto"/>
                <w:lang w:val="en-US" w:eastAsia="zh-CN"/>
              </w:rPr>
              <w:t>最高投标限价</w:t>
            </w:r>
            <w:r>
              <w:rPr>
                <w:b/>
                <w:color w:val="auto"/>
              </w:rPr>
              <w:t>的响应文件是无效报价。</w:t>
            </w:r>
          </w:p>
        </w:tc>
        <w:tc>
          <w:tcPr>
            <w:tcW w:w="2817" w:type="dxa"/>
            <w:tcBorders>
              <w:top w:val="single" w:color="auto" w:sz="4" w:space="0"/>
              <w:left w:val="single" w:color="auto" w:sz="4" w:space="0"/>
              <w:bottom w:val="single" w:color="auto" w:sz="4" w:space="0"/>
              <w:right w:val="single" w:color="auto" w:sz="4" w:space="0"/>
            </w:tcBorders>
          </w:tcPr>
          <w:p w14:paraId="14BBC0F2">
            <w:pPr>
              <w:spacing w:line="360" w:lineRule="auto"/>
              <w:rPr>
                <w:rFonts w:ascii="宋体" w:hAnsi="宋体"/>
                <w:sz w:val="24"/>
                <w:szCs w:val="24"/>
              </w:rPr>
            </w:pPr>
          </w:p>
        </w:tc>
        <w:tc>
          <w:tcPr>
            <w:tcW w:w="1683" w:type="dxa"/>
            <w:tcBorders>
              <w:top w:val="single" w:color="auto" w:sz="4" w:space="0"/>
              <w:left w:val="single" w:color="auto" w:sz="4" w:space="0"/>
              <w:bottom w:val="single" w:color="auto" w:sz="4" w:space="0"/>
              <w:right w:val="single" w:color="auto" w:sz="4" w:space="0"/>
            </w:tcBorders>
          </w:tcPr>
          <w:p w14:paraId="2A3B7BF0">
            <w:pPr>
              <w:spacing w:line="360" w:lineRule="auto"/>
              <w:rPr>
                <w:rFonts w:ascii="宋体" w:hAnsi="宋体"/>
                <w:sz w:val="24"/>
                <w:szCs w:val="24"/>
              </w:rPr>
            </w:pPr>
          </w:p>
        </w:tc>
        <w:tc>
          <w:tcPr>
            <w:tcW w:w="1089" w:type="dxa"/>
            <w:tcBorders>
              <w:top w:val="single" w:color="auto" w:sz="4" w:space="0"/>
              <w:left w:val="single" w:color="auto" w:sz="4" w:space="0"/>
              <w:bottom w:val="single" w:color="auto" w:sz="4" w:space="0"/>
              <w:right w:val="single" w:color="auto" w:sz="4" w:space="0"/>
            </w:tcBorders>
          </w:tcPr>
          <w:p w14:paraId="38A13698">
            <w:pPr>
              <w:spacing w:line="360" w:lineRule="auto"/>
              <w:rPr>
                <w:rFonts w:ascii="宋体" w:hAnsi="宋体"/>
                <w:sz w:val="24"/>
                <w:szCs w:val="24"/>
              </w:rPr>
            </w:pPr>
          </w:p>
        </w:tc>
      </w:tr>
      <w:tr w14:paraId="2097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7" w:type="dxa"/>
            <w:tcBorders>
              <w:top w:val="single" w:color="auto" w:sz="4" w:space="0"/>
              <w:left w:val="single" w:color="auto" w:sz="4" w:space="0"/>
              <w:bottom w:val="single" w:color="auto" w:sz="4" w:space="0"/>
              <w:right w:val="single" w:color="auto" w:sz="4" w:space="0"/>
            </w:tcBorders>
          </w:tcPr>
          <w:p w14:paraId="23097371">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5</w:t>
            </w:r>
          </w:p>
        </w:tc>
        <w:tc>
          <w:tcPr>
            <w:tcW w:w="4783" w:type="dxa"/>
            <w:tcBorders>
              <w:top w:val="single" w:color="auto" w:sz="4" w:space="0"/>
              <w:left w:val="single" w:color="auto" w:sz="4" w:space="0"/>
              <w:bottom w:val="single" w:color="auto" w:sz="4" w:space="0"/>
              <w:right w:val="single" w:color="auto" w:sz="4" w:space="0"/>
            </w:tcBorders>
          </w:tcPr>
          <w:p w14:paraId="638B0D64">
            <w:pPr>
              <w:spacing w:line="360" w:lineRule="auto"/>
              <w:rPr>
                <w:rFonts w:hint="eastAsia" w:ascii="宋体" w:hAnsi="宋体" w:eastAsia="宋体" w:cs="宋体"/>
                <w:sz w:val="24"/>
                <w:szCs w:val="24"/>
              </w:rPr>
            </w:pPr>
            <w:r>
              <w:rPr>
                <w:b/>
                <w:color w:val="auto"/>
              </w:rPr>
              <w:t>★</w:t>
            </w:r>
            <w:r>
              <w:rPr>
                <w:rFonts w:hint="eastAsia"/>
                <w:b/>
                <w:color w:val="auto"/>
              </w:rPr>
              <w:t>3.</w:t>
            </w:r>
            <w:r>
              <w:rPr>
                <w:color w:val="auto"/>
              </w:rPr>
              <w:t>供应商应在报价响应文件中，根据工程量清单格式及内容制作报价</w:t>
            </w:r>
            <w:r>
              <w:rPr>
                <w:rFonts w:hint="eastAsia"/>
                <w:color w:val="auto"/>
              </w:rPr>
              <w:t>明细</w:t>
            </w:r>
            <w:r>
              <w:rPr>
                <w:color w:val="auto"/>
              </w:rPr>
              <w:t>表，若缺项漏项，则</w:t>
            </w:r>
            <w:bookmarkStart w:id="0" w:name="_GoBack"/>
            <w:bookmarkEnd w:id="0"/>
            <w:r>
              <w:rPr>
                <w:color w:val="auto"/>
              </w:rPr>
              <w:t>视为响应无效（工程量清单见采购公告附件）。如磋商环节中二次报价低于首次报价，供应商还须在最后报价环节提供根据工程量清单格式及内容制作的报价</w:t>
            </w:r>
            <w:r>
              <w:rPr>
                <w:rFonts w:hint="eastAsia"/>
                <w:color w:val="auto"/>
              </w:rPr>
              <w:t>明细</w:t>
            </w:r>
            <w:r>
              <w:rPr>
                <w:color w:val="auto"/>
              </w:rPr>
              <w:t>表，若缺项漏项或未提供，则视为响应无效</w:t>
            </w:r>
            <w:r>
              <w:rPr>
                <w:rFonts w:hint="eastAsia"/>
                <w:color w:val="auto"/>
              </w:rPr>
              <w:t>。</w:t>
            </w:r>
          </w:p>
        </w:tc>
        <w:tc>
          <w:tcPr>
            <w:tcW w:w="2817" w:type="dxa"/>
            <w:tcBorders>
              <w:top w:val="single" w:color="auto" w:sz="4" w:space="0"/>
              <w:left w:val="single" w:color="auto" w:sz="4" w:space="0"/>
              <w:bottom w:val="single" w:color="auto" w:sz="4" w:space="0"/>
              <w:right w:val="single" w:color="auto" w:sz="4" w:space="0"/>
            </w:tcBorders>
          </w:tcPr>
          <w:p w14:paraId="7C32ADA8">
            <w:pPr>
              <w:spacing w:line="360" w:lineRule="auto"/>
              <w:rPr>
                <w:rFonts w:ascii="宋体" w:hAnsi="宋体"/>
                <w:sz w:val="24"/>
                <w:szCs w:val="24"/>
              </w:rPr>
            </w:pPr>
          </w:p>
        </w:tc>
        <w:tc>
          <w:tcPr>
            <w:tcW w:w="1683" w:type="dxa"/>
            <w:tcBorders>
              <w:top w:val="single" w:color="auto" w:sz="4" w:space="0"/>
              <w:left w:val="single" w:color="auto" w:sz="4" w:space="0"/>
              <w:bottom w:val="single" w:color="auto" w:sz="4" w:space="0"/>
              <w:right w:val="single" w:color="auto" w:sz="4" w:space="0"/>
            </w:tcBorders>
          </w:tcPr>
          <w:p w14:paraId="7884F510">
            <w:pPr>
              <w:spacing w:line="360" w:lineRule="auto"/>
              <w:rPr>
                <w:rFonts w:ascii="宋体" w:hAnsi="宋体"/>
                <w:sz w:val="24"/>
                <w:szCs w:val="24"/>
              </w:rPr>
            </w:pPr>
          </w:p>
        </w:tc>
        <w:tc>
          <w:tcPr>
            <w:tcW w:w="1089" w:type="dxa"/>
            <w:tcBorders>
              <w:top w:val="single" w:color="auto" w:sz="4" w:space="0"/>
              <w:left w:val="single" w:color="auto" w:sz="4" w:space="0"/>
              <w:bottom w:val="single" w:color="auto" w:sz="4" w:space="0"/>
              <w:right w:val="single" w:color="auto" w:sz="4" w:space="0"/>
            </w:tcBorders>
          </w:tcPr>
          <w:p w14:paraId="51971CD4">
            <w:pPr>
              <w:spacing w:line="360" w:lineRule="auto"/>
              <w:rPr>
                <w:rFonts w:ascii="宋体" w:hAnsi="宋体"/>
                <w:sz w:val="24"/>
                <w:szCs w:val="24"/>
              </w:rPr>
            </w:pPr>
          </w:p>
        </w:tc>
      </w:tr>
    </w:tbl>
    <w:p w14:paraId="2D341D02">
      <w:pPr>
        <w:spacing w:line="360" w:lineRule="auto"/>
        <w:rPr>
          <w:rFonts w:ascii="宋体" w:hAnsi="宋体"/>
          <w:sz w:val="24"/>
          <w:szCs w:val="24"/>
        </w:rPr>
      </w:pPr>
      <w:r>
        <w:rPr>
          <w:rFonts w:hint="eastAsia" w:ascii="宋体" w:hAnsi="宋体"/>
          <w:sz w:val="24"/>
          <w:szCs w:val="24"/>
        </w:rPr>
        <w:t>说明：</w:t>
      </w:r>
    </w:p>
    <w:p w14:paraId="5EB489E8">
      <w:pPr>
        <w:pStyle w:val="7"/>
        <w:shd w:val="clear" w:color="auto" w:fill="FFFFFF"/>
        <w:ind w:firstLine="480"/>
      </w:pPr>
      <w:r>
        <w:rPr>
          <w:rFonts w:hint="eastAsia"/>
        </w:rPr>
        <w:t>1.实质性响应条款一览表后续内容请根据第二章采购需求</w:t>
      </w:r>
      <w:r>
        <w:rPr>
          <w:rStyle w:val="10"/>
          <w:rFonts w:hint="eastAsia"/>
          <w:b w:val="0"/>
        </w:rPr>
        <w:t>★</w:t>
      </w:r>
      <w:r>
        <w:rPr>
          <w:rFonts w:hint="eastAsia"/>
        </w:rPr>
        <w:t>号条款详细列举</w:t>
      </w:r>
    </w:p>
    <w:p w14:paraId="4BD98782">
      <w:pPr>
        <w:pStyle w:val="7"/>
        <w:shd w:val="clear" w:color="auto" w:fill="FFFFFF"/>
        <w:ind w:firstLine="480"/>
      </w:pPr>
      <w:r>
        <w:rPr>
          <w:rFonts w:hint="eastAsia"/>
        </w:rPr>
        <w:t>2.本表所列条款必须一一予以响应，“投标人响应情况”一栏应</w:t>
      </w:r>
      <w:r>
        <w:rPr>
          <w:rStyle w:val="10"/>
          <w:rFonts w:hint="eastAsia"/>
          <w:b w:val="0"/>
        </w:rPr>
        <w:t>填写具体的响应内容，有差异</w:t>
      </w:r>
      <w:r>
        <w:rPr>
          <w:rFonts w:hint="eastAsia"/>
        </w:rPr>
        <w:t>的要具体说明。</w:t>
      </w:r>
    </w:p>
    <w:p w14:paraId="313685DD">
      <w:pPr>
        <w:pStyle w:val="7"/>
        <w:shd w:val="clear" w:color="auto" w:fill="FFFFFF"/>
        <w:ind w:firstLine="480"/>
      </w:pPr>
      <w:r>
        <w:rPr>
          <w:rFonts w:hint="eastAsia"/>
        </w:rPr>
        <w:t>3.请投标人认真填写本表内容，如填写错误将可能导致投标无效。</w:t>
      </w:r>
    </w:p>
    <w:p w14:paraId="7FD205EC">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hNzNiOThjODNhZjljZWQ2YzAxYTcwYTZiZDZhMDE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0C402F2"/>
    <w:rsid w:val="13E02141"/>
    <w:rsid w:val="16DE392A"/>
    <w:rsid w:val="17E7693E"/>
    <w:rsid w:val="18061EF0"/>
    <w:rsid w:val="197F39A1"/>
    <w:rsid w:val="1A991632"/>
    <w:rsid w:val="1C624FE5"/>
    <w:rsid w:val="1C72222F"/>
    <w:rsid w:val="1D0225B9"/>
    <w:rsid w:val="1D4D639F"/>
    <w:rsid w:val="267D1793"/>
    <w:rsid w:val="27D500C3"/>
    <w:rsid w:val="27EF44F0"/>
    <w:rsid w:val="2FC245D3"/>
    <w:rsid w:val="33F147E2"/>
    <w:rsid w:val="36682AC8"/>
    <w:rsid w:val="43ED4C44"/>
    <w:rsid w:val="4D2117E2"/>
    <w:rsid w:val="4F1669FE"/>
    <w:rsid w:val="5C826306"/>
    <w:rsid w:val="605E1F8B"/>
    <w:rsid w:val="666A5795"/>
    <w:rsid w:val="66B71414"/>
    <w:rsid w:val="6796520F"/>
    <w:rsid w:val="6A074C7C"/>
    <w:rsid w:val="6E2A15CB"/>
    <w:rsid w:val="75D64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1"/>
      <w:szCs w:val="20"/>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0"/>
    <w:rPr>
      <w:sz w:val="20"/>
    </w:rPr>
  </w:style>
  <w:style w:type="paragraph" w:styleId="3">
    <w:name w:val="Body Text"/>
    <w:basedOn w:val="1"/>
    <w:next w:val="1"/>
    <w:qFormat/>
    <w:uiPriority w:val="0"/>
    <w:pPr>
      <w:autoSpaceDE w:val="0"/>
      <w:autoSpaceDN w:val="0"/>
      <w:jc w:val="left"/>
    </w:pPr>
    <w:rPr>
      <w:rFonts w:ascii="仿宋_GB2312" w:hAnsi="仿宋_GB2312" w:eastAsia="仿宋_GB2312" w:cs="仿宋_GB2312"/>
      <w:kern w:val="0"/>
      <w:sz w:val="28"/>
      <w:szCs w:val="28"/>
      <w:lang w:eastAsia="en-US"/>
    </w:r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line="360" w:lineRule="auto"/>
    </w:pPr>
    <w:rPr>
      <w:rFonts w:ascii="宋体" w:hAnsi="宋体" w:cs="宋体"/>
      <w:sz w:val="24"/>
      <w:szCs w:val="24"/>
    </w:rPr>
  </w:style>
  <w:style w:type="character" w:styleId="10">
    <w:name w:val="Strong"/>
    <w:basedOn w:val="9"/>
    <w:qFormat/>
    <w:uiPriority w:val="22"/>
    <w:rPr>
      <w:b/>
      <w:bCs/>
    </w:rPr>
  </w:style>
  <w:style w:type="character" w:styleId="11">
    <w:name w:val="annotation reference"/>
    <w:qFormat/>
    <w:uiPriority w:val="99"/>
    <w:rPr>
      <w:rFonts w:ascii="Tahoma" w:hAnsi="Tahoma"/>
      <w:kern w:val="2"/>
      <w:sz w:val="21"/>
      <w:szCs w:val="21"/>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customStyle="1" w:styleId="14">
    <w:name w:val="批注框文本 字符"/>
    <w:basedOn w:val="9"/>
    <w:link w:val="4"/>
    <w:semiHidden/>
    <w:qFormat/>
    <w:uiPriority w:val="99"/>
    <w:rPr>
      <w:sz w:val="18"/>
      <w:szCs w:val="18"/>
    </w:rPr>
  </w:style>
  <w:style w:type="character" w:customStyle="1" w:styleId="15">
    <w:name w:val="批注文字 字符"/>
    <w:basedOn w:val="9"/>
    <w:link w:val="2"/>
    <w:qFormat/>
    <w:uiPriority w:val="0"/>
    <w:rPr>
      <w:rFonts w:ascii="Times New Roman" w:hAnsi="Times New Roman" w:eastAsia="宋体" w:cs="Times New Roman"/>
      <w:kern w:val="0"/>
      <w:sz w:val="20"/>
      <w:szCs w:val="20"/>
    </w:rPr>
  </w:style>
  <w:style w:type="paragraph" w:customStyle="1" w:styleId="16">
    <w:name w:val="正文_2"/>
    <w:qFormat/>
    <w:uiPriority w:val="0"/>
    <w:pPr>
      <w:widowControl w:val="0"/>
      <w:jc w:val="both"/>
    </w:pPr>
    <w:rPr>
      <w:rFonts w:ascii="Calibri" w:hAnsi="Calibri" w:eastAsia="宋体" w:cs="Times New Roman"/>
      <w:kern w:val="2"/>
      <w:sz w:val="21"/>
      <w:szCs w:val="24"/>
      <w:lang w:val="en-US" w:eastAsia="zh-CN"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145</Words>
  <Characters>148</Characters>
  <Lines>2</Lines>
  <Paragraphs>1</Paragraphs>
  <TotalTime>0</TotalTime>
  <ScaleCrop>false</ScaleCrop>
  <LinksUpToDate>false</LinksUpToDate>
  <CharactersWithSpaces>148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李卓苗</cp:lastModifiedBy>
  <dcterms:modified xsi:type="dcterms:W3CDTF">2026-05-11T05:02:28Z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1B6EFD5880674259A055232FC62C6158_13</vt:lpwstr>
  </property>
  <property fmtid="{D5CDD505-2E9C-101B-9397-08002B2CF9AE}" pid="4" name="KSOTemplateDocerSaveRecord">
    <vt:lpwstr>eyJoZGlkIjoiMTZmYzBhNDYzMzlhZDdiOWIwODE2MGFlZWExMzgxMjUiLCJ1c2VySWQiOiIzODUyNzQwMTcifQ==</vt:lpwstr>
  </property>
</Properties>
</file>