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版本号：N511922202500014220251104001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南江县应急避难场所专项规划技术服务项目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N5119222025000142</w:t>
      </w:r>
    </w:p>
    <w:p>
      <w:pPr>
        <w:pStyle w:val="null3"/>
        <w:jc w:val="center"/>
        <w:outlineLvl w:val="2"/>
      </w:pPr>
      <w:r>
        <w:rPr>
          <w:rFonts w:ascii="仿宋_GB2312" w:hAnsi="仿宋_GB2312" w:cs="仿宋_GB2312" w:eastAsia="仿宋_GB2312"/>
          <w:sz w:val="28"/>
          <w:b/>
        </w:rPr>
        <w:t>南江县应急管理局</w:t>
      </w:r>
    </w:p>
    <w:p>
      <w:pPr>
        <w:pStyle w:val="null3"/>
        <w:jc w:val="center"/>
        <w:outlineLvl w:val="2"/>
      </w:pPr>
      <w:r>
        <w:rPr>
          <w:rFonts w:ascii="仿宋_GB2312" w:hAnsi="仿宋_GB2312" w:cs="仿宋_GB2312" w:eastAsia="仿宋_GB2312"/>
          <w:sz w:val="28"/>
          <w:b/>
        </w:rPr>
        <w:t>四川博奥瑞兴工程咨询有限公司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四川博奥瑞兴工程咨询有限公司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南江县应急管理局</w:t>
      </w:r>
      <w:r>
        <w:rPr>
          <w:rFonts w:ascii="仿宋_GB2312" w:hAnsi="仿宋_GB2312" w:cs="仿宋_GB2312" w:eastAsia="仿宋_GB2312"/>
        </w:rPr>
        <w:t xml:space="preserve"> 委托，拟对 </w:t>
      </w:r>
      <w:r>
        <w:rPr>
          <w:rFonts w:ascii="仿宋_GB2312" w:hAnsi="仿宋_GB2312" w:cs="仿宋_GB2312" w:eastAsia="仿宋_GB2312"/>
        </w:rPr>
        <w:t>南江县应急避难场所专项规划技术服务项目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巴中市南江县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N5119222025000142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南江县应急避难场所专项规划技术服务项目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南江县应急避难场所专项规划技术服务项目，通过对县域避难需求与资源条件的深入分析，规划将明确长期与近期避难场所的选址、规模、功能配置和建设要求，构建完善的应急避难空间体系，以增强城市韧性，提升南江县的综合防灾减灾能力。</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供应商以联合体形式参加本采购包的，联合体各方均应当为中小企业。组成联合体的中小企业与联合体内其他企业之间不得存在直接控股、管理关系。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1、特殊资格要求（描述：供应商须具有国家行政主管部门颁发的有效期内的城乡规划编制乙级及以上资质。(加盖供应商公章)）</w:t>
      </w:r>
    </w:p>
    <w:p>
      <w:pPr>
        <w:pStyle w:val="null3"/>
        <w:jc w:val="left"/>
      </w:pPr>
      <w:r>
        <w:rPr>
          <w:rFonts w:ascii="仿宋_GB2312" w:hAnsi="仿宋_GB2312" w:cs="仿宋_GB2312" w:eastAsia="仿宋_GB2312"/>
        </w:rPr>
        <w:t>2、联合体要求（描述：本项目接受联合体投标。联合体投标的，应满足下列要求： （1）一个联合体最多由2家具有独立承担民事责任能力的单位组成。 （2）联合体各方应是具有国家行政主管部门颁发的有效期内的城乡规划编制乙级及以上资质的单位。（3）联合体各方应满足《中华人民共和国政府采购法》第二十二条规定。 （4）联合体各方应按采购文件提供的格式签订联合体协议书，明确联合体牵头人和各方权利义务，并承诺就成交项目向采购人承担连带责任。（5）以联合体形式参加政府采购活动的，联合体各方不得再单独参加或者与其他供应商另外组成联合体参加同一合同项下的政府采购活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南江县应急管理局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南江县集州街道光雾山大道朝阳段工环路24号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胡阳春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18090217126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四川博奥瑞兴工程咨询有限公司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四川省成都市金牛区安格斯峰汇中心703</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唐卿</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15508165625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代理服务费收费标准：采购代理服务费由成交供应商向招标代理机构支付，采购代理服务费将按照（计价格（2002）1980号）标准收取，（若单个项目的代理费低于5000元，则按照5000元计取代理费）。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南江县应急管理局</w:t>
      </w:r>
      <w:r>
        <w:rPr>
          <w:rFonts w:ascii="仿宋_GB2312" w:hAnsi="仿宋_GB2312" w:cs="仿宋_GB2312" w:eastAsia="仿宋_GB2312"/>
        </w:rPr>
        <w:t xml:space="preserve"> 和 </w:t>
      </w:r>
      <w:r>
        <w:rPr>
          <w:rFonts w:ascii="仿宋_GB2312" w:hAnsi="仿宋_GB2312" w:cs="仿宋_GB2312" w:eastAsia="仿宋_GB2312"/>
        </w:rPr>
        <w:t>四川博奥瑞兴工程咨询有限公司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南江县应急管理局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四川博奥瑞兴工程咨询有限公司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包括本项目每一项技术要求的履约情况。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包括本项目每一项商务要求的履约情况。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四川省财政厅《四川省政府采购项目需求论证和履约验收管理办法》和《财政部关于进一步加强政府采购需求和履约验收管理的指导意见》（财库〔2016〕205号）要求、采购文件、成交供应商响应文件以及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南江县应急管理局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四川博奥瑞兴工程咨询有限公司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四川博奥瑞兴工程咨询有限公司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联系人：唐卿</w:t>
      </w:r>
    </w:p>
    <w:p>
      <w:pPr>
        <w:pStyle w:val="null3"/>
        <w:jc w:val="left"/>
      </w:pPr>
      <w:r>
        <w:rPr>
          <w:rFonts w:ascii="仿宋_GB2312" w:hAnsi="仿宋_GB2312" w:cs="仿宋_GB2312" w:eastAsia="仿宋_GB2312"/>
        </w:rPr>
        <w:t>联系电话：15508165625</w:t>
      </w:r>
    </w:p>
    <w:p>
      <w:pPr>
        <w:pStyle w:val="null3"/>
        <w:jc w:val="left"/>
      </w:pPr>
      <w:r>
        <w:rPr>
          <w:rFonts w:ascii="仿宋_GB2312" w:hAnsi="仿宋_GB2312" w:cs="仿宋_GB2312" w:eastAsia="仿宋_GB2312"/>
        </w:rPr>
        <w:t>地址：四川省成都市金牛区安格斯峰汇中心703</w:t>
      </w:r>
    </w:p>
    <w:p>
      <w:pPr>
        <w:pStyle w:val="null3"/>
        <w:jc w:val="left"/>
      </w:pPr>
      <w:r>
        <w:rPr>
          <w:rFonts w:ascii="仿宋_GB2312" w:hAnsi="仿宋_GB2312" w:cs="仿宋_GB2312" w:eastAsia="仿宋_GB2312"/>
        </w:rPr>
        <w:t>邮编：610037</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南江县应急避难场所专项规划技术服务项目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南江县应急避难场所专项规划技术服务项目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标的名称：南江县应急避难场所专项规划技术服务项目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b/>
              </w:rPr>
              <w:t>一、服务要求</w:t>
            </w:r>
          </w:p>
          <w:p>
            <w:pPr>
              <w:pStyle w:val="null3"/>
              <w:jc w:val="left"/>
            </w:pPr>
            <w:r>
              <w:rPr>
                <w:rFonts w:ascii="仿宋_GB2312" w:hAnsi="仿宋_GB2312" w:cs="仿宋_GB2312" w:eastAsia="仿宋_GB2312"/>
              </w:rPr>
              <w:t>为系统提升南江县应对自然灾害和突发公共事件的能力，保障人民群众生命财产安全，依据国家相关法律法规，开展本次南江县应急避难场所专项规划技术服务项目，应系统性地解决南江县应急避难场所“布局、建设、管理、使用”的核心问题，构建一个“布局均衡、设施完善、安全可靠、平灾结合、指挥高效”的应急避难场所体系。</w:t>
            </w:r>
          </w:p>
          <w:p>
            <w:pPr>
              <w:pStyle w:val="null3"/>
              <w:jc w:val="left"/>
            </w:pPr>
            <w:r>
              <w:rPr>
                <w:rFonts w:ascii="仿宋_GB2312" w:hAnsi="仿宋_GB2312" w:cs="仿宋_GB2312" w:eastAsia="仿宋_GB2312"/>
                <w:b/>
              </w:rPr>
              <w:t>二、服务内容</w:t>
            </w:r>
          </w:p>
          <w:p>
            <w:pPr>
              <w:pStyle w:val="null3"/>
              <w:jc w:val="left"/>
            </w:pPr>
            <w:r>
              <w:rPr>
                <w:rFonts w:ascii="仿宋_GB2312" w:hAnsi="仿宋_GB2312" w:cs="仿宋_GB2312" w:eastAsia="仿宋_GB2312"/>
              </w:rPr>
              <w:t>1.分析需求。系统收集县市自然灾害调查相关成果，综合考虑安全生产事故、公共卫生事件、社会安全事件、自然灾害事件等应急避难需求，建立不同地区避难人口预测模型，科学预测不同地区、不同场景避难人口需求，以及紧急避难、短期避难和长期避难人口占比，为避难场所规划奠定基础。</w:t>
            </w:r>
          </w:p>
          <w:p>
            <w:pPr>
              <w:pStyle w:val="null3"/>
              <w:jc w:val="left"/>
            </w:pPr>
            <w:r>
              <w:rPr>
                <w:rFonts w:ascii="仿宋_GB2312" w:hAnsi="仿宋_GB2312" w:cs="仿宋_GB2312" w:eastAsia="仿宋_GB2312"/>
              </w:rPr>
              <w:t>2.摸清底数。通过资料收集、区县调研、现场考察等，掌握全市避难场所建设现状，摸清目前避难场所底数和分布，分类分级结构现状，管理和运行维护现状，避难场所建设经验教训，对比国家要求和前述需求，找出差距和短板。</w:t>
            </w:r>
          </w:p>
          <w:p>
            <w:pPr>
              <w:pStyle w:val="null3"/>
              <w:jc w:val="left"/>
            </w:pPr>
            <w:r>
              <w:rPr>
                <w:rFonts w:ascii="仿宋_GB2312" w:hAnsi="仿宋_GB2312" w:cs="仿宋_GB2312" w:eastAsia="仿宋_GB2312"/>
              </w:rPr>
              <w:t>3.确定目标。确定规划目标与指标，根据相关条件和应急体系建设总体要求，在应急避难资源现状与需求的基础上，明确应急避难规划目标与指标。</w:t>
            </w:r>
          </w:p>
          <w:p>
            <w:pPr>
              <w:pStyle w:val="null3"/>
              <w:jc w:val="left"/>
            </w:pPr>
            <w:r>
              <w:rPr>
                <w:rFonts w:ascii="仿宋_GB2312" w:hAnsi="仿宋_GB2312" w:cs="仿宋_GB2312" w:eastAsia="仿宋_GB2312"/>
              </w:rPr>
              <w:t>4.明确策略。根据应急避难需求、避难场所建设现状，以及确定的任务目标，结合本县自身特点，明确建设策略，以满足不同级别的应急避难需求。</w:t>
            </w:r>
          </w:p>
          <w:p>
            <w:pPr>
              <w:pStyle w:val="null3"/>
              <w:jc w:val="left"/>
            </w:pPr>
            <w:r>
              <w:rPr>
                <w:rFonts w:ascii="仿宋_GB2312" w:hAnsi="仿宋_GB2312" w:cs="仿宋_GB2312" w:eastAsia="仿宋_GB2312"/>
              </w:rPr>
              <w:t>5.落实布局。结合全县空间规划和避难场所建设需求及差距，确定避难场所发展布局，对应急避难场所分级分类体系、城乡应急避难场所发展布局、应急通道和相关城乡基础设施进行规划。</w:t>
            </w:r>
          </w:p>
          <w:p>
            <w:pPr>
              <w:pStyle w:val="null3"/>
              <w:jc w:val="left"/>
            </w:pPr>
            <w:r>
              <w:rPr>
                <w:rFonts w:ascii="仿宋_GB2312" w:hAnsi="仿宋_GB2312" w:cs="仿宋_GB2312" w:eastAsia="仿宋_GB2312"/>
              </w:rPr>
              <w:t>6.要求指引。提出应急避难场所设计要求，根据应急避难场所的级别和类型，对应急避难场所场地建筑条件、服务范围、功能区、设施设备、物资储备和信息系统等的设计提出指引。</w:t>
            </w:r>
          </w:p>
          <w:p>
            <w:pPr>
              <w:pStyle w:val="null3"/>
              <w:jc w:val="left"/>
            </w:pPr>
            <w:r>
              <w:rPr>
                <w:rFonts w:ascii="仿宋_GB2312" w:hAnsi="仿宋_GB2312" w:cs="仿宋_GB2312" w:eastAsia="仿宋_GB2312"/>
              </w:rPr>
              <w:t>7.形成成果。编制应急避难场所专项规划文本、绘制规划图集、编制规划说明、制作数据库。</w:t>
            </w:r>
          </w:p>
          <w:p>
            <w:pPr>
              <w:pStyle w:val="null3"/>
              <w:jc w:val="left"/>
            </w:pPr>
            <w:r>
              <w:rPr>
                <w:rFonts w:ascii="仿宋_GB2312" w:hAnsi="仿宋_GB2312" w:cs="仿宋_GB2312" w:eastAsia="仿宋_GB2312"/>
                <w:b/>
              </w:rPr>
              <w:t>三、</w:t>
            </w:r>
            <w:r>
              <w:rPr>
                <w:rFonts w:ascii="仿宋_GB2312" w:hAnsi="仿宋_GB2312" w:cs="仿宋_GB2312" w:eastAsia="仿宋_GB2312"/>
                <w:b/>
              </w:rPr>
              <w:t>成果要求</w:t>
            </w:r>
          </w:p>
          <w:p>
            <w:pPr>
              <w:pStyle w:val="null3"/>
              <w:jc w:val="left"/>
            </w:pPr>
            <w:r>
              <w:rPr>
                <w:rFonts w:ascii="仿宋_GB2312" w:hAnsi="仿宋_GB2312" w:cs="仿宋_GB2312" w:eastAsia="仿宋_GB2312"/>
              </w:rPr>
              <w:t>提交正式规划成果，包括但不限于：规划文本；规划图集、附表、编制说明；电子文档等。</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标准</w:t>
            </w:r>
          </w:p>
        </w:tc>
        <w:tc>
          <w:tcPr>
            <w:tcW w:type="dxa" w:w="5814"/>
          </w:tcPr>
          <w:p>
            <w:pPr>
              <w:pStyle w:val="null3"/>
              <w:jc w:val="left"/>
            </w:pPr>
            <w:r>
              <w:rPr>
                <w:rFonts w:ascii="仿宋_GB2312" w:hAnsi="仿宋_GB2312" w:cs="仿宋_GB2312" w:eastAsia="仿宋_GB2312"/>
              </w:rPr>
              <w:t>符合国家、行业及地方的相关法规、标准和技术指南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供应商本项目报价应包括：为实施和完成成果所需的员工工资、各类保险费、福利费、加班费、资料成果打印装订费、现场踏勘费、管理费、税费和各种风险等在内的一切费用。采购人按照成交价进行结算，采购人不再承担任何额外费用。</w:t>
            </w:r>
          </w:p>
          <w:p>
            <w:pPr>
              <w:pStyle w:val="null3"/>
              <w:jc w:val="left"/>
            </w:pPr>
            <w:r>
              <w:rPr>
                <w:rFonts w:ascii="仿宋_GB2312" w:hAnsi="仿宋_GB2312" w:cs="仿宋_GB2312" w:eastAsia="仿宋_GB2312"/>
              </w:rPr>
              <w:t>（2）在项目实施过程中所出现的一切安全责任事故均由成交供应商承担。</w:t>
            </w:r>
          </w:p>
          <w:p>
            <w:pPr>
              <w:pStyle w:val="null3"/>
              <w:jc w:val="left"/>
            </w:pPr>
            <w:r>
              <w:rPr>
                <w:rFonts w:ascii="仿宋_GB2312" w:hAnsi="仿宋_GB2312" w:cs="仿宋_GB2312" w:eastAsia="仿宋_GB2312"/>
              </w:rPr>
              <w:t>（3）保密：成交供应商对采购人所提供的资料及本项目合同执行过程中接触或产生的资料负有保密义务，未经采购人书面许可，供应商不得向任何第三方披露。如果因供应商原因造成发生任何有损于其保密性的事情，供应商有责任采取补救措施，且须向采购人赔偿损失。</w:t>
            </w:r>
          </w:p>
          <w:p>
            <w:pPr>
              <w:pStyle w:val="null3"/>
              <w:jc w:val="left"/>
            </w:pPr>
            <w:r>
              <w:rPr>
                <w:rFonts w:ascii="仿宋_GB2312" w:hAnsi="仿宋_GB2312" w:cs="仿宋_GB2312" w:eastAsia="仿宋_GB2312"/>
              </w:rPr>
              <w:t>（4）其他要求：关于最终成果的知识产权，双方均应保护对方的知识产权，未经对方同意，任何一方不得将对方的资料及文件擅自修改、复制或向第三人转让或用于本合同项目外使用。工作结束后，所有的数据成果归采购方所有。</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四川省巴中市南江县境内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满足国家、四川省及采购人要求相关规定。</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1、合同签订后，采购人收到成交供应商开具的合法的等额增值税发票后，达到付款条件起10日内，支付合同总金额的40.00%</w:t>
            </w:r>
          </w:p>
          <w:p>
            <w:pPr>
              <w:pStyle w:val="null3"/>
              <w:jc w:val="left"/>
            </w:pPr>
            <w:r>
              <w:rPr>
                <w:rFonts w:ascii="仿宋_GB2312" w:hAnsi="仿宋_GB2312" w:cs="仿宋_GB2312" w:eastAsia="仿宋_GB2312"/>
              </w:rPr>
              <w:t>2、编制完成本项目成果文件通过专家论证，并且验收通过，采购人收到成交供应商开具的合法的等额增值税发票后，达到付款条件起10日内，支付合同总金额的60.00%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1.违约责任：a.供应商必须遵守采购合同并执行合同中的各项规定，保证采购合同的 正常履行。b.如因供应商工作人员在履行职务过程中的疏忽、失职、过错等故意或者过失原因给采购人造成损失或侵害，包括但不限于采购人本身的财产损失、由此而导 致的采购人对任何第三方的法律责任等，供应商对此均应承担全部的赔偿责任。2.解决争议的方法a.因服务的质量问题发生争议，由采购人或其指定的第三方机构进行质量鉴定。服务符合标准的，鉴定费由采购人承担；服务不符合质量标准的，鉴定费由供应商承担。b.合同履行期间，若双方发生争议，可协商或由有关部门调解解决，协商或调解不成的，向项目所在地法院提出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供应商须具有国家行政主管部门颁发的有效期内的城乡规划编制乙级及以上资质。(加盖供应商公章)</w:t>
            </w:r>
          </w:p>
        </w:tc>
        <w:tc>
          <w:tcPr>
            <w:tcW w:type="dxa" w:w="1910"/>
          </w:tcPr>
          <w:p>
            <w:pPr>
              <w:pStyle w:val="null3"/>
              <w:jc w:val="left"/>
            </w:pPr>
            <w:r>
              <w:rPr>
                <w:rFonts w:ascii="仿宋_GB2312" w:hAnsi="仿宋_GB2312" w:cs="仿宋_GB2312" w:eastAsia="仿宋_GB2312"/>
              </w:rPr>
              <w:t>供应商应提交的相关证明材料,服务应答表,投标（响应）函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联合体要求</w:t>
            </w:r>
          </w:p>
        </w:tc>
        <w:tc>
          <w:tcPr>
            <w:tcW w:type="dxa" w:w="3322"/>
          </w:tcPr>
          <w:p>
            <w:pPr>
              <w:pStyle w:val="null3"/>
              <w:jc w:val="left"/>
            </w:pPr>
            <w:r>
              <w:rPr>
                <w:rFonts w:ascii="仿宋_GB2312" w:hAnsi="仿宋_GB2312" w:cs="仿宋_GB2312" w:eastAsia="仿宋_GB2312"/>
              </w:rPr>
              <w:t>本项目接受联合体投标。联合体投标的，应满足下列要求： （1）一个联合体最多由2家具有独立承担民事责任能力的单位组成。 （2）联合体各方应是具有国家行政主管部门颁发的有效期内的城乡规划编制乙级及以上资质的单位。（3）联合体各方应满足《中华人民共和国政府采购法》第二十二条规定。 （4）联合体各方应按采购文件提供的格式签订联合体协议书，明确联合体牵头人和各方权利义务，并承诺就成交项目向采购人承担连带责任。（5）以联合体形式参加政府采购活动的，联合体各方不得再单独参加或者与其他供应商另外组成联合体参加同一合同项下的政府采购活动。</w:t>
            </w:r>
          </w:p>
        </w:tc>
        <w:tc>
          <w:tcPr>
            <w:tcW w:type="dxa" w:w="1910"/>
          </w:tcPr>
          <w:p>
            <w:pPr>
              <w:pStyle w:val="null3"/>
              <w:jc w:val="left"/>
            </w:pPr>
            <w:r>
              <w:rPr>
                <w:rFonts w:ascii="仿宋_GB2312" w:hAnsi="仿宋_GB2312" w:cs="仿宋_GB2312" w:eastAsia="仿宋_GB2312"/>
              </w:rPr>
              <w:t>供应商应提交的相关证明材料,服务应答表,投标（响应）函,联合体协议书（联合体参加采购活动适用，非联合体上传空白模板即可）.docx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低于成本价不正当竞争预防措施（实质性要求）</w:t>
            </w:r>
          </w:p>
        </w:tc>
        <w:tc>
          <w:tcPr>
            <w:tcW w:type="dxa" w:w="3322"/>
          </w:tcPr>
          <w:p>
            <w:pPr>
              <w:pStyle w:val="null3"/>
              <w:jc w:val="left"/>
            </w:pPr>
            <w:r>
              <w:rPr>
                <w:rFonts w:ascii="仿宋_GB2312" w:hAnsi="仿宋_GB2312" w:cs="仿宋_GB2312" w:eastAsia="仿宋_GB2312"/>
              </w:rPr>
              <w:t>在评标过程中，供应商报价低于采购预算50%或者低于其他有效供应商报价算术平均价40%，有可能影响产品质量或者不能诚信履约的，评审委员会应当要求其在评标现场合理的时间内提供成本构成书面说明，并提交相关证明材料。供应商书面说明应当按照国家财务会计制度的规定要求，逐项就供应商提供的货物、工程和服务的主营业务成本（应根据供应商企业类型予以区别）、税金及附加、销售费用、管理费用、财务费用等成本构成事项详细陈述。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供应商提供书面说明后，评审委员会应当结合采购项目采购需求、专业实际情况、供应商财务状况报告、与其他投标人比较情况等就供应商书面说明进行审查评价。供应商拒绝或者变相拒绝提供有效书面说明或者书面说明不能证明其报价合理性的，评审委员会应当将其投标文件作为无效处理。</w:t>
            </w:r>
          </w:p>
        </w:tc>
        <w:tc>
          <w:tcPr>
            <w:tcW w:type="dxa" w:w="1910"/>
          </w:tcPr>
          <w:p>
            <w:pPr>
              <w:pStyle w:val="null3"/>
              <w:jc w:val="left"/>
            </w:pPr>
            <w:r>
              <w:rPr>
                <w:rFonts w:ascii="仿宋_GB2312" w:hAnsi="仿宋_GB2312" w:cs="仿宋_GB2312" w:eastAsia="仿宋_GB2312"/>
              </w:rPr>
              <w:t>服务应答表,报价表,投标（响应）函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采购文件的技术指标</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编制的服务方案进行评审，内容包含：①项目背景、相关政策分析；②规划目标、原则与范围；③现场踏勘与调查分析④项目重点、难点及应对措施；⑤任务分工及工作部署安排；⑥工作进度安排及保障措施；⑦服务质量保障措施（包括质量管理措施、技术保障措施）；⑧预期工作成果；⑨后续服务方案。 上述内容齐全无缺陷得54分，每有一项缺项的扣6分，每有一处内容有缺陷的扣3分，扣完为止。 缺陷是指：①项目名称错误或实施地点区域错误；②内容不符合采购需求；③套用其他项目方案或不适用本项目实际情况；④涉及的规范及标准错误或存在与本项目无关的内容、不可能实现的夸大情形；⑤工作进度及人员安排不利于项目实施情形中的任一种情形。</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1.项目负责人（1人）：具有规划类或安全类专业高级及以上职称得2分，具有规划类或安全类中级职称得1分，同时具备注册城乡规划师资格或注册安全工程师资格的加2分；本项最高得4分。 2.技术负责人（1人）：具有规划类或安全类专业高级及以上职称得2分，具有规划类或安全类中级职称得1分，同时具备注册城乡规划师资格或注册安全工程师资格的加2分，本项最高得4分。 3.其他成员（不含项目负责人及技术负责人）：供应商为本项目配备的项目技术成员每有一人具有（1）规划类、（2）安全工程类、（3）测量测绘类、（4）水工环(水文地质、工程地质与环境地质)类、（5）国土整治类、（6）地震工程类、（7）地理信息系统类、（8）市政工程类相关专业中级及以上专业技术职称的得 1.5分，同一专业不重复计分，同一人不重复计分，本项最高得12分。 4.拟投入本项目成员（不含项目负责人及技术负责人）具有市级应急管理专家的，每有1名得1分，具有省级及以上应急管理专家的，每有1名得2分，本项最多得4分。 注：（1）以上人员不得重复计分。（2）以上人员需提供人员身份证及相关证书复印件并加盖单位鲜章。（3）以上人员需提供在本单位任职的相关证明材料。</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提供自2022年1月1日（含）至今以来的类似业绩证明材料。具有1个类似履约经验的得3分。本项最高得12分，不提供不得分。 注：类似业绩是指应急避难场所规划或应急体系规划类业绩。业绩须提供中标通知书或合同协议书复印件（以合同时间为准）或采购人出具的证明文件，并加盖单位公章。（联合体成员提供的符合采购文件要求的类似业绩均认可）</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详见附件：联合体协议书（联合体参加采购活动适用，非联合体上传空白模板即可）.docx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