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版本号：N512001202500019020250801001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固定污染源排污许可证技术审核服务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N5120012025000190</w:t>
      </w:r>
    </w:p>
    <w:p>
      <w:pPr>
        <w:pStyle w:val="null3"/>
        <w:jc w:val="center"/>
        <w:outlineLvl w:val="2"/>
      </w:pPr>
      <w:r>
        <w:rPr>
          <w:rFonts w:ascii="仿宋_GB2312" w:hAnsi="仿宋_GB2312" w:cs="仿宋_GB2312" w:eastAsia="仿宋_GB2312"/>
          <w:sz w:val="28"/>
          <w:b/>
        </w:rPr>
        <w:t>资阳市生态环境局</w:t>
      </w:r>
    </w:p>
    <w:p>
      <w:pPr>
        <w:pStyle w:val="null3"/>
        <w:jc w:val="center"/>
        <w:outlineLvl w:val="2"/>
      </w:pPr>
      <w:r>
        <w:rPr>
          <w:rFonts w:ascii="仿宋_GB2312" w:hAnsi="仿宋_GB2312" w:cs="仿宋_GB2312" w:eastAsia="仿宋_GB2312"/>
          <w:sz w:val="28"/>
          <w:b/>
        </w:rPr>
        <w:t>四川宇之峰工程项目管理咨询有限公司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四川宇之峰工程项目管理咨询有限公司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资阳市生态环境局</w:t>
      </w:r>
      <w:r>
        <w:rPr>
          <w:rFonts w:ascii="仿宋_GB2312" w:hAnsi="仿宋_GB2312" w:cs="仿宋_GB2312" w:eastAsia="仿宋_GB2312"/>
        </w:rPr>
        <w:t xml:space="preserve"> 委托，拟对 </w:t>
      </w:r>
      <w:r>
        <w:rPr>
          <w:rFonts w:ascii="仿宋_GB2312" w:hAnsi="仿宋_GB2312" w:cs="仿宋_GB2312" w:eastAsia="仿宋_GB2312"/>
        </w:rPr>
        <w:t>固定污染源排污许可证技术审核服务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N5120012025000190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固定污染源排污许可证技术审核服务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排污许可管理条例》《排污许可管理办法》及相关行业排污许可技术规范的要求，对资阳市范围内涉及首次申请、重新申请、变更、延续等排污许可证开展技术审核，提出修改意见，并指导排污单位完成修改；组织现场检查；针对重点、简化管理企业排污许可证进行质量复核，严控排污许可审批质量。</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资阳市生态环境局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资阳市雁江区天台路368号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028-26110852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四川宇之峰工程项目管理咨询有限公司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四川省资阳市雁江区娇子大道侧银杏苑小区1幢3楼 (301-306)</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028-26370655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发改委“计价格[2002]1980号”文件规定的服务招标收费比例（中标金额100万元以下费率1.5%）标准基础下浮10%”执行，本项目以成交金额为基准价，由成交供应商支付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资阳市生态环境局</w:t>
      </w:r>
      <w:r>
        <w:rPr>
          <w:rFonts w:ascii="仿宋_GB2312" w:hAnsi="仿宋_GB2312" w:cs="仿宋_GB2312" w:eastAsia="仿宋_GB2312"/>
        </w:rPr>
        <w:t xml:space="preserve"> 和 </w:t>
      </w:r>
      <w:r>
        <w:rPr>
          <w:rFonts w:ascii="仿宋_GB2312" w:hAnsi="仿宋_GB2312" w:cs="仿宋_GB2312" w:eastAsia="仿宋_GB2312"/>
        </w:rPr>
        <w:t>四川宇之峰工程项目管理咨询有限公司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资阳市生态环境局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四川宇之峰工程项目管理咨询有限公司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采购人应自成交供应商履行完合同义务，供应商提出验收申请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按照采购文件技术要求内容（性能指标）验收。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财政部关于进一步加强政府采购需求和履约验收管理的指导意见（财库〔2016〕205号）的要求、资阳市财政局《关于严格落实政府采购需求论证、合同备案和履约验收有关问题的通知》（资财采（2019）39号）、采购文件要求、响应文件响应条款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资阳市生态环境局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四川宇之峰工程项目管理咨询有限公司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四川宇之峰工程项目管理咨询有限公司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联系电话：028-26110852</w:t>
      </w:r>
    </w:p>
    <w:p>
      <w:pPr>
        <w:pStyle w:val="null3"/>
        <w:jc w:val="left"/>
      </w:pPr>
      <w:r>
        <w:rPr>
          <w:rFonts w:ascii="仿宋_GB2312" w:hAnsi="仿宋_GB2312" w:cs="仿宋_GB2312" w:eastAsia="仿宋_GB2312"/>
        </w:rPr>
        <w:t>地址：资阳市雁江区天台路368号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联系电话：028-26370655</w:t>
      </w:r>
    </w:p>
    <w:p>
      <w:pPr>
        <w:pStyle w:val="null3"/>
        <w:jc w:val="left"/>
      </w:pPr>
      <w:r>
        <w:rPr>
          <w:rFonts w:ascii="仿宋_GB2312" w:hAnsi="仿宋_GB2312" w:cs="仿宋_GB2312" w:eastAsia="仿宋_GB2312"/>
        </w:rPr>
        <w:t>地址：四川省资阳市雁江区娇子大道侧银杏苑小区1幢3楼 (301-306)</w:t>
      </w:r>
    </w:p>
    <w:p>
      <w:pPr>
        <w:pStyle w:val="null3"/>
        <w:jc w:val="left"/>
      </w:pPr>
      <w:r>
        <w:rPr>
          <w:rFonts w:ascii="仿宋_GB2312" w:hAnsi="仿宋_GB2312" w:cs="仿宋_GB2312" w:eastAsia="仿宋_GB2312"/>
        </w:rPr>
        <w:t>邮编：641300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C07019900 其他生态环境保护服务</w:t>
            </w:r>
          </w:p>
        </w:tc>
        <w:tc>
          <w:tcPr>
            <w:tcW w:type="dxa" w:w="821"/>
          </w:tcPr>
          <w:p>
            <w:pPr>
              <w:pStyle w:val="null3"/>
              <w:jc w:val="left"/>
            </w:pPr>
            <w:r>
              <w:rPr>
                <w:rFonts w:ascii="仿宋_GB2312" w:hAnsi="仿宋_GB2312" w:cs="仿宋_GB2312" w:eastAsia="仿宋_GB2312"/>
              </w:rPr>
              <w:t>固定污染源排污许可证技术审核服务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固定污染源排污许可证技术审核服务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标的名称：固定污染源排污许可证技术审核服务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0"/>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按照《排污许可管理条例》《排污许可管理办法》及相关行业排污许可技术规范的要求，对资阳市范围内涉及首次申请、重新申请、变更、延续等排污许可证开展技术审核，提出修改意见，并指导排污单位完成修改</w:t>
            </w:r>
            <w:r>
              <w:rPr>
                <w:rFonts w:ascii="仿宋_GB2312" w:hAnsi="仿宋_GB2312" w:cs="仿宋_GB2312" w:eastAsia="仿宋_GB2312"/>
                <w:sz w:val="24"/>
              </w:rPr>
              <w:t>；</w:t>
            </w:r>
            <w:r>
              <w:rPr>
                <w:rFonts w:ascii="仿宋_GB2312" w:hAnsi="仿宋_GB2312" w:cs="仿宋_GB2312" w:eastAsia="仿宋_GB2312"/>
                <w:sz w:val="24"/>
              </w:rPr>
              <w:t>组织现场检查；针对重点、简化管理企业排污许可证进行质量复核，严控排污许可审批质量。</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技术服务</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1.排污许可证审核核发（初次、变更、重新申请）</w:t>
            </w:r>
          </w:p>
          <w:p>
            <w:pPr>
              <w:pStyle w:val="null3"/>
              <w:ind w:firstLine="480"/>
              <w:jc w:val="both"/>
            </w:pPr>
            <w:r>
              <w:rPr>
                <w:rFonts w:ascii="仿宋_GB2312" w:hAnsi="仿宋_GB2312" w:cs="仿宋_GB2312" w:eastAsia="仿宋_GB2312"/>
                <w:sz w:val="24"/>
              </w:rPr>
              <w:t>审核内容包括</w:t>
            </w:r>
            <w:r>
              <w:rPr>
                <w:rFonts w:ascii="仿宋_GB2312" w:hAnsi="仿宋_GB2312" w:cs="仿宋_GB2312" w:eastAsia="仿宋_GB2312"/>
                <w:sz w:val="21"/>
              </w:rPr>
              <w:t>以下</w:t>
            </w:r>
            <w:r>
              <w:rPr>
                <w:rFonts w:ascii="仿宋_GB2312" w:hAnsi="仿宋_GB2312" w:cs="仿宋_GB2312" w:eastAsia="仿宋_GB2312"/>
                <w:sz w:val="24"/>
              </w:rPr>
              <w:t>：排污单位基本情况（</w:t>
            </w:r>
            <w:r>
              <w:rPr>
                <w:rFonts w:ascii="仿宋_GB2312" w:hAnsi="仿宋_GB2312" w:cs="仿宋_GB2312" w:eastAsia="仿宋_GB2312"/>
                <w:sz w:val="24"/>
              </w:rPr>
              <w:t>①</w:t>
            </w:r>
            <w:r>
              <w:rPr>
                <w:rFonts w:ascii="仿宋_GB2312" w:hAnsi="仿宋_GB2312" w:cs="仿宋_GB2312" w:eastAsia="仿宋_GB2312"/>
                <w:sz w:val="24"/>
              </w:rPr>
              <w:t>排污单位基本信息、</w:t>
            </w:r>
            <w:r>
              <w:rPr>
                <w:rFonts w:ascii="仿宋_GB2312" w:hAnsi="仿宋_GB2312" w:cs="仿宋_GB2312" w:eastAsia="仿宋_GB2312"/>
                <w:sz w:val="24"/>
              </w:rPr>
              <w:t>②主要产品及产能、③主要原辅材料及燃料、④产排污节点、⑤污染物及污染治理设施、⑥排污权使用和交易信息、⑦补充登记信息）、大气污染物排放（⑧排放口、⑨有组织排放许可限值、⑩特殊情况下许可限值、⑪无组织排放许可条件、⑫排污单位大气排放总许可量）、水污染物排放（⑬排放口、⑭排放许可限值、⑮特殊情况下许可限值）、固体废物排放（⑯固体废物排放量、⑰排放去向）、⑱噪声排放信息、环境管理要求（⑲自行监测、⑳环境管理台账记录、㉑执行（守法）报告要求、㉒信息公开要求、㉓其他控制及管理要求、㉔其他许可的内容）、其他信息（㉕环评情况、㉖违法违规记录、㉗厂区雨污管网及废气平面布置、㉘水气污染物排放浓度及总量计算、㉙在线手工监测信息、㉚排污口规范化设置情况、㉛纳入整改情况）</w:t>
            </w:r>
            <w:r>
              <w:rPr>
                <w:rFonts w:ascii="仿宋_GB2312" w:hAnsi="仿宋_GB2312" w:cs="仿宋_GB2312" w:eastAsia="仿宋_GB2312"/>
                <w:sz w:val="24"/>
              </w:rPr>
              <w:t>、㉜其他相关工作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排污许可证审核核发（延续）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）申请延续的单位需要先按照《固定污染源排污许可分类管理名录（</w:t>
            </w:r>
            <w:r>
              <w:rPr>
                <w:rFonts w:ascii="仿宋_GB2312" w:hAnsi="仿宋_GB2312" w:cs="仿宋_GB2312" w:eastAsia="仿宋_GB2312"/>
                <w:sz w:val="24"/>
              </w:rPr>
              <w:t xml:space="preserve">2019 </w:t>
            </w:r>
            <w:r>
              <w:rPr>
                <w:rFonts w:ascii="仿宋_GB2312" w:hAnsi="仿宋_GB2312" w:cs="仿宋_GB2312" w:eastAsia="仿宋_GB2312"/>
                <w:sz w:val="24"/>
              </w:rPr>
              <w:t>年版）》重新界定</w:t>
            </w:r>
            <w:r>
              <w:rPr>
                <w:rFonts w:ascii="仿宋_GB2312" w:hAnsi="仿宋_GB2312" w:cs="仿宋_GB2312" w:eastAsia="仿宋_GB2312"/>
                <w:sz w:val="24"/>
              </w:rPr>
              <w:t>“</w:t>
            </w:r>
            <w:r>
              <w:rPr>
                <w:rFonts w:ascii="仿宋_GB2312" w:hAnsi="仿宋_GB2312" w:cs="仿宋_GB2312" w:eastAsia="仿宋_GB2312"/>
                <w:sz w:val="24"/>
              </w:rPr>
              <w:t>管理类别</w:t>
            </w:r>
            <w:r>
              <w:rPr>
                <w:rFonts w:ascii="仿宋_GB2312" w:hAnsi="仿宋_GB2312" w:cs="仿宋_GB2312" w:eastAsia="仿宋_GB2312"/>
                <w:sz w:val="24"/>
              </w:rPr>
              <w:t>”</w:t>
            </w:r>
            <w:r>
              <w:rPr>
                <w:rFonts w:ascii="仿宋_GB2312" w:hAnsi="仿宋_GB2312" w:cs="仿宋_GB2312" w:eastAsia="仿宋_GB2312"/>
                <w:sz w:val="24"/>
              </w:rPr>
              <w:t>界定后的管理类别仍为</w:t>
            </w:r>
            <w:r>
              <w:rPr>
                <w:rFonts w:ascii="仿宋_GB2312" w:hAnsi="仿宋_GB2312" w:cs="仿宋_GB2312" w:eastAsia="仿宋_GB2312"/>
                <w:sz w:val="24"/>
              </w:rPr>
              <w:t>“</w:t>
            </w:r>
            <w:r>
              <w:rPr>
                <w:rFonts w:ascii="仿宋_GB2312" w:hAnsi="仿宋_GB2312" w:cs="仿宋_GB2312" w:eastAsia="仿宋_GB2312"/>
                <w:sz w:val="24"/>
              </w:rPr>
              <w:t>重点管理</w:t>
            </w:r>
            <w:r>
              <w:rPr>
                <w:rFonts w:ascii="仿宋_GB2312" w:hAnsi="仿宋_GB2312" w:cs="仿宋_GB2312" w:eastAsia="仿宋_GB2312"/>
                <w:sz w:val="24"/>
              </w:rPr>
              <w:t>”</w:t>
            </w:r>
            <w:r>
              <w:rPr>
                <w:rFonts w:ascii="仿宋_GB2312" w:hAnsi="仿宋_GB2312" w:cs="仿宋_GB2312" w:eastAsia="仿宋_GB2312"/>
                <w:sz w:val="24"/>
              </w:rPr>
              <w:t>或</w:t>
            </w:r>
            <w:r>
              <w:rPr>
                <w:rFonts w:ascii="仿宋_GB2312" w:hAnsi="仿宋_GB2312" w:cs="仿宋_GB2312" w:eastAsia="仿宋_GB2312"/>
                <w:sz w:val="24"/>
              </w:rPr>
              <w:t>“</w:t>
            </w:r>
            <w:r>
              <w:rPr>
                <w:rFonts w:ascii="仿宋_GB2312" w:hAnsi="仿宋_GB2312" w:cs="仿宋_GB2312" w:eastAsia="仿宋_GB2312"/>
                <w:sz w:val="24"/>
              </w:rPr>
              <w:t>简化管理</w:t>
            </w:r>
            <w:r>
              <w:rPr>
                <w:rFonts w:ascii="仿宋_GB2312" w:hAnsi="仿宋_GB2312" w:cs="仿宋_GB2312" w:eastAsia="仿宋_GB2312"/>
                <w:sz w:val="24"/>
              </w:rPr>
              <w:t>”</w:t>
            </w:r>
            <w:r>
              <w:rPr>
                <w:rFonts w:ascii="仿宋_GB2312" w:hAnsi="仿宋_GB2312" w:cs="仿宋_GB2312" w:eastAsia="仿宋_GB2312"/>
                <w:sz w:val="24"/>
              </w:rPr>
              <w:t>的企业，先对照</w:t>
            </w:r>
            <w:r>
              <w:rPr>
                <w:rFonts w:ascii="仿宋_GB2312" w:hAnsi="仿宋_GB2312" w:cs="仿宋_GB2312" w:eastAsia="仿宋_GB2312"/>
                <w:sz w:val="24"/>
              </w:rPr>
              <w:t>“</w:t>
            </w:r>
            <w:r>
              <w:rPr>
                <w:rFonts w:ascii="仿宋_GB2312" w:hAnsi="仿宋_GB2312" w:cs="仿宋_GB2312" w:eastAsia="仿宋_GB2312"/>
                <w:sz w:val="24"/>
              </w:rPr>
              <w:t>行业的排污单位自行监测技术指南</w:t>
            </w:r>
            <w:r>
              <w:rPr>
                <w:rFonts w:ascii="仿宋_GB2312" w:hAnsi="仿宋_GB2312" w:cs="仿宋_GB2312" w:eastAsia="仿宋_GB2312"/>
                <w:sz w:val="24"/>
              </w:rPr>
              <w:t>”</w:t>
            </w:r>
            <w:r>
              <w:rPr>
                <w:rFonts w:ascii="仿宋_GB2312" w:hAnsi="仿宋_GB2312" w:cs="仿宋_GB2312" w:eastAsia="仿宋_GB2312"/>
                <w:sz w:val="24"/>
              </w:rPr>
              <w:t>内监测因子、监测频次；对照</w:t>
            </w:r>
            <w:r>
              <w:rPr>
                <w:rFonts w:ascii="仿宋_GB2312" w:hAnsi="仿宋_GB2312" w:cs="仿宋_GB2312" w:eastAsia="仿宋_GB2312"/>
                <w:sz w:val="24"/>
              </w:rPr>
              <w:t>“</w:t>
            </w:r>
            <w:r>
              <w:rPr>
                <w:rFonts w:ascii="仿宋_GB2312" w:hAnsi="仿宋_GB2312" w:cs="仿宋_GB2312" w:eastAsia="仿宋_GB2312"/>
                <w:sz w:val="24"/>
              </w:rPr>
              <w:t>行业最新颁布的标准或是规范要求</w:t>
            </w:r>
            <w:r>
              <w:rPr>
                <w:rFonts w:ascii="仿宋_GB2312" w:hAnsi="仿宋_GB2312" w:cs="仿宋_GB2312" w:eastAsia="仿宋_GB2312"/>
                <w:sz w:val="24"/>
              </w:rPr>
              <w:t>”</w:t>
            </w:r>
            <w:r>
              <w:rPr>
                <w:rFonts w:ascii="仿宋_GB2312" w:hAnsi="仿宋_GB2312" w:cs="仿宋_GB2312" w:eastAsia="仿宋_GB2312"/>
                <w:sz w:val="24"/>
              </w:rPr>
              <w:t>，如有变化的，应先完成许可证变更审批。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）如企业延续申请时，涉及变动的，选择重新申请，具体变动内容包括：</w:t>
            </w:r>
            <w:r>
              <w:rPr>
                <w:rFonts w:ascii="仿宋_GB2312" w:hAnsi="仿宋_GB2312" w:cs="仿宋_GB2312" w:eastAsia="仿宋_GB2312"/>
                <w:sz w:val="24"/>
              </w:rPr>
              <w:t>①新建、改建、扩建排放污染物的项目；②生产经营场所、污染物排放口位置或者污染物排放方式、排放去向发生变化；③污染物排放口数量或者污染物排放种类、排放</w:t>
            </w:r>
            <w:r>
              <w:rPr>
                <w:rFonts w:ascii="仿宋_GB2312" w:hAnsi="仿宋_GB2312" w:cs="仿宋_GB2312" w:eastAsia="仿宋_GB2312"/>
                <w:sz w:val="24"/>
              </w:rPr>
              <w:t>量、排放浓度增加。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企业延续申请时，如有涉及：</w:t>
            </w:r>
            <w:r>
              <w:rPr>
                <w:rFonts w:ascii="仿宋_GB2312" w:hAnsi="仿宋_GB2312" w:cs="仿宋_GB2312" w:eastAsia="仿宋_GB2312"/>
                <w:sz w:val="24"/>
              </w:rPr>
              <w:t>①基本信息变更（法人、联系人、联系人电话等）；②污染物排放标准、重点污染物总量控制要求发生变化；可在延续申请中一并修改。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现场检查</w:t>
            </w:r>
          </w:p>
          <w:p>
            <w:pPr>
              <w:pStyle w:val="null3"/>
              <w:ind w:firstLine="480"/>
              <w:jc w:val="both"/>
            </w:pPr>
            <w:r>
              <w:rPr>
                <w:rFonts w:ascii="仿宋_GB2312" w:hAnsi="仿宋_GB2312" w:cs="仿宋_GB2312" w:eastAsia="仿宋_GB2312"/>
                <w:sz w:val="24"/>
              </w:rPr>
              <w:t>通过现场踏勘，查阅环境管理台账、生产台账、采购和出入库记录等方式，对排污许可证记载的排污单位基本情况，废气（废水）产排污环节、污染防治设施、污染物排放口，固体废物管理信息，废气无组织管控措施，自动监测设备安装及联网情况，主要生产设施数量、参数、名称信息，主要原辅材料和燃料信息，入河入海排污口信息等内容进行判定。对于现场建设情况与环境影响报告书（表）及其批复文件不一致的情形，可按照竣工环境保护验收前和验收后分别进行判定。对于环境影响评价文件经批准后，未完成竣工环境保护验收的建设项目，依据建设项目重大变动清单等文件要求进行判定；对于已完成竣工环境保护验收的建设项目，后续发生调整应判定是否属于改建、扩建，按照《建设项目环境影响评价分类管理名录》依法履行环境影响评价手续。</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排污许可质量复核</w:t>
            </w:r>
          </w:p>
          <w:p>
            <w:pPr>
              <w:pStyle w:val="null3"/>
              <w:ind w:firstLine="480"/>
              <w:jc w:val="both"/>
            </w:pPr>
            <w:r>
              <w:rPr>
                <w:rFonts w:ascii="仿宋_GB2312" w:hAnsi="仿宋_GB2312" w:cs="仿宋_GB2312" w:eastAsia="仿宋_GB2312"/>
                <w:sz w:val="24"/>
              </w:rPr>
              <w:t>采用资料核查及智能核查等方法。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）资料核查可通过审阅排污许可证及相关资料的完整性和规范性，核对排污许可证填报内容之间及相关材料之间的逻辑性和符合性以及对许可排放量进行重新计算等方式开展。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核查的具体事项包括：排污许可证有效期；行业类别；管理类别；废气（废水）排放口；废气（废水）污染物种类；污染治理可行技术；废气（废水）排放标准；废气（废水）排放量；固体废物管理信息；工业噪声排放信息；废气无组织排放信息；废气（废水）自行监测要求、土壤地下水等监测信息；环境管理台账记录要求；执行报告要求；环境信息公开要求；其他基本信息；附图附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）现场查阅排污单位生产台账、环境管理台账、工艺流程图、平面布置图、监测点位布置图等资料。</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现场驻派人员工作</w:t>
            </w:r>
          </w:p>
          <w:p>
            <w:pPr>
              <w:pStyle w:val="null3"/>
              <w:ind w:firstLine="480"/>
              <w:jc w:val="both"/>
            </w:pPr>
            <w:r>
              <w:rPr>
                <w:rFonts w:ascii="仿宋_GB2312" w:hAnsi="仿宋_GB2312" w:cs="仿宋_GB2312" w:eastAsia="仿宋_GB2312"/>
                <w:sz w:val="24"/>
              </w:rPr>
              <w:t>全面协助开展排污许可首次申请、重新申请、变更、延续等工作。并对日常工作提供技术支持（技术咨询、现场检查、企业帮扶等）。</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服务要求</w:t>
            </w:r>
          </w:p>
          <w:p>
            <w:pPr>
              <w:pStyle w:val="null3"/>
              <w:ind w:firstLine="480"/>
              <w:jc w:val="both"/>
            </w:pPr>
            <w:r>
              <w:rPr>
                <w:rFonts w:ascii="仿宋_GB2312" w:hAnsi="仿宋_GB2312" w:cs="仿宋_GB2312" w:eastAsia="仿宋_GB2312"/>
                <w:sz w:val="24"/>
              </w:rPr>
              <w:t>1.收集排污许可证及申请材料等相关资料，全面开展排污单位排污许可证首次申请、重新申请、变更申请、延续申请的审查核发及质量复核工作。如果企业在排污许可证填报过程中存在不符合排污许可证要求的，也应当进行审核。</w:t>
            </w:r>
          </w:p>
          <w:p>
            <w:pPr>
              <w:pStyle w:val="null3"/>
              <w:ind w:firstLine="480"/>
              <w:jc w:val="both"/>
            </w:pPr>
            <w:r>
              <w:rPr>
                <w:rFonts w:ascii="仿宋_GB2312" w:hAnsi="仿宋_GB2312" w:cs="仿宋_GB2312" w:eastAsia="仿宋_GB2312"/>
                <w:sz w:val="24"/>
              </w:rPr>
              <w:t>2.在排污许可证首次申请、重新申请、变更申请、延续申请的审查核发过程中，应注意企业此次申请的变化情况，是否出现申请类型错误。若遇到重大技术问题难以解决时，</w:t>
            </w:r>
            <w:r>
              <w:rPr>
                <w:rFonts w:ascii="仿宋_GB2312" w:hAnsi="仿宋_GB2312" w:cs="仿宋_GB2312" w:eastAsia="仿宋_GB2312"/>
                <w:sz w:val="24"/>
              </w:rPr>
              <w:t>供应商须</w:t>
            </w:r>
            <w:r>
              <w:rPr>
                <w:rFonts w:ascii="仿宋_GB2312" w:hAnsi="仿宋_GB2312" w:cs="仿宋_GB2312" w:eastAsia="仿宋_GB2312"/>
                <w:sz w:val="24"/>
              </w:rPr>
              <w:t>邀请排污许可</w:t>
            </w:r>
            <w:r>
              <w:rPr>
                <w:rFonts w:ascii="仿宋_GB2312" w:hAnsi="仿宋_GB2312" w:cs="仿宋_GB2312" w:eastAsia="仿宋_GB2312"/>
                <w:sz w:val="24"/>
              </w:rPr>
              <w:t>领域</w:t>
            </w:r>
            <w:r>
              <w:rPr>
                <w:rFonts w:ascii="仿宋_GB2312" w:hAnsi="仿宋_GB2312" w:cs="仿宋_GB2312" w:eastAsia="仿宋_GB2312"/>
                <w:sz w:val="24"/>
              </w:rPr>
              <w:t>专家进行技术支撑，保障审核质量。</w:t>
            </w:r>
          </w:p>
          <w:p>
            <w:pPr>
              <w:pStyle w:val="null3"/>
              <w:ind w:firstLine="480"/>
              <w:jc w:val="both"/>
            </w:pPr>
            <w:r>
              <w:rPr>
                <w:rFonts w:ascii="仿宋_GB2312" w:hAnsi="仿宋_GB2312" w:cs="仿宋_GB2312" w:eastAsia="仿宋_GB2312"/>
                <w:sz w:val="24"/>
              </w:rPr>
              <w:t>3.在排污许可证技术复核过程中，应注意调查企业在排污许可证的填报过程中是否有相关的变化情况，是否涉及进行排污许可证的变更申请。如果因为生产工艺、污染治理设施变化或进行了改扩建项目等情况，则应根据相关办法及时提醒企业开展排污许可证变更申请，如变化情况不属于应进行变更申请的情况，可纳入本次复核的内容，并着重对变化情况进行说明。</w:t>
            </w:r>
          </w:p>
          <w:p>
            <w:pPr>
              <w:pStyle w:val="null3"/>
              <w:ind w:firstLine="480"/>
              <w:jc w:val="both"/>
            </w:pPr>
            <w:r>
              <w:rPr>
                <w:rFonts w:ascii="仿宋_GB2312" w:hAnsi="仿宋_GB2312" w:cs="仿宋_GB2312" w:eastAsia="仿宋_GB2312"/>
                <w:sz w:val="24"/>
              </w:rPr>
              <w:t>4.充分结合企业审核的实际情况、重大问题清单，与委托方进行充分沟通，依照委托方需求开展企业现场核查工作，并制定现场核查计划方案和目标。并及时向委托方提供现场核实的图像资料、纸质记录原件和问题统计资料。</w:t>
            </w:r>
          </w:p>
          <w:p>
            <w:pPr>
              <w:pStyle w:val="null3"/>
              <w:ind w:firstLine="480"/>
              <w:jc w:val="both"/>
            </w:pPr>
            <w:r>
              <w:rPr>
                <w:rFonts w:ascii="仿宋_GB2312" w:hAnsi="仿宋_GB2312" w:cs="仿宋_GB2312" w:eastAsia="仿宋_GB2312"/>
                <w:sz w:val="24"/>
              </w:rPr>
              <w:t>5.排污许可证核发技术审核中将根据审核意见指导企业持续修改，直至通过审核，协助委托方进行许可证的核发。此外，根据企业及委托单位需求开展单独或集中的排污许可证填报、审核培训，以提高排污许可证质量。</w:t>
            </w:r>
          </w:p>
          <w:p>
            <w:pPr>
              <w:pStyle w:val="null3"/>
              <w:ind w:firstLine="480"/>
              <w:jc w:val="both"/>
            </w:pPr>
            <w:r>
              <w:rPr>
                <w:rFonts w:ascii="仿宋_GB2312" w:hAnsi="仿宋_GB2312" w:cs="仿宋_GB2312" w:eastAsia="仿宋_GB2312"/>
                <w:sz w:val="24"/>
              </w:rPr>
              <w:t>6.现场派遣常驻人员一名，全面协助开展排污许可首次申请、重新申请、变更、延续等工作。并对日常工作提供技术支持。</w:t>
            </w:r>
          </w:p>
          <w:p>
            <w:pPr>
              <w:pStyle w:val="null3"/>
              <w:ind w:firstLine="480"/>
              <w:jc w:val="both"/>
            </w:pPr>
            <w:r>
              <w:rPr>
                <w:rFonts w:ascii="仿宋_GB2312" w:hAnsi="仿宋_GB2312" w:cs="仿宋_GB2312" w:eastAsia="仿宋_GB2312"/>
                <w:sz w:val="24"/>
              </w:rPr>
              <w:t>三、其他要求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供应商服务期间自行配备服务所需办公设备（如电脑、传真、打印机等）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后续服务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）供应商须</w:t>
            </w:r>
            <w:r>
              <w:rPr>
                <w:rFonts w:ascii="仿宋_GB2312" w:hAnsi="仿宋_GB2312" w:cs="仿宋_GB2312" w:eastAsia="仿宋_GB2312"/>
                <w:sz w:val="24"/>
              </w:rPr>
              <w:t>及时配合采购人完成后续的咨询服务工作。成交供应商接到采购人通知后</w:t>
            </w:r>
            <w:r>
              <w:rPr>
                <w:rFonts w:ascii="仿宋_GB2312" w:hAnsi="仿宋_GB2312" w:cs="仿宋_GB2312" w:eastAsia="仿宋_GB2312"/>
                <w:sz w:val="24"/>
              </w:rPr>
              <w:t>1</w:t>
            </w:r>
            <w:r>
              <w:rPr>
                <w:rFonts w:ascii="仿宋_GB2312" w:hAnsi="仿宋_GB2312" w:cs="仿宋_GB2312" w:eastAsia="仿宋_GB2312"/>
                <w:sz w:val="24"/>
              </w:rPr>
              <w:t>个小时内响应，</w:t>
            </w:r>
            <w:r>
              <w:rPr>
                <w:rFonts w:ascii="仿宋_GB2312" w:hAnsi="仿宋_GB2312" w:cs="仿宋_GB2312" w:eastAsia="仿宋_GB2312"/>
                <w:sz w:val="24"/>
              </w:rPr>
              <w:t>3</w:t>
            </w:r>
            <w:r>
              <w:rPr>
                <w:rFonts w:ascii="仿宋_GB2312" w:hAnsi="仿宋_GB2312" w:cs="仿宋_GB2312" w:eastAsia="仿宋_GB2312"/>
                <w:sz w:val="24"/>
              </w:rPr>
              <w:t>小时内派服务人员到达指定地点（</w:t>
            </w:r>
            <w:r>
              <w:rPr>
                <w:rFonts w:ascii="仿宋_GB2312" w:hAnsi="仿宋_GB2312" w:cs="仿宋_GB2312" w:eastAsia="仿宋_GB2312"/>
                <w:sz w:val="24"/>
              </w:rPr>
              <w:t>资阳</w:t>
            </w:r>
            <w:r>
              <w:rPr>
                <w:rFonts w:ascii="仿宋_GB2312" w:hAnsi="仿宋_GB2312" w:cs="仿宋_GB2312" w:eastAsia="仿宋_GB2312"/>
                <w:sz w:val="24"/>
              </w:rPr>
              <w:t>市</w:t>
            </w:r>
            <w:r>
              <w:rPr>
                <w:rFonts w:ascii="仿宋_GB2312" w:hAnsi="仿宋_GB2312" w:cs="仿宋_GB2312" w:eastAsia="仿宋_GB2312"/>
                <w:sz w:val="24"/>
              </w:rPr>
              <w:t>行政区划</w:t>
            </w:r>
            <w:r>
              <w:rPr>
                <w:rFonts w:ascii="仿宋_GB2312" w:hAnsi="仿宋_GB2312" w:cs="仿宋_GB2312" w:eastAsia="仿宋_GB2312"/>
                <w:sz w:val="24"/>
              </w:rPr>
              <w:t>范围内）。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）经技术单位审核后的企业，提交</w:t>
            </w:r>
            <w:r>
              <w:rPr>
                <w:rFonts w:ascii="仿宋_GB2312" w:hAnsi="仿宋_GB2312" w:cs="仿宋_GB2312" w:eastAsia="仿宋_GB2312"/>
                <w:sz w:val="24"/>
              </w:rPr>
              <w:t>四川省生态环境厅</w:t>
            </w:r>
            <w:r>
              <w:rPr>
                <w:rFonts w:ascii="仿宋_GB2312" w:hAnsi="仿宋_GB2312" w:cs="仿宋_GB2312" w:eastAsia="仿宋_GB2312"/>
                <w:sz w:val="24"/>
              </w:rPr>
              <w:t>审核后仍出现相关问题的，技术单位继续提供技术服务。重、特大项目优先保障。针对资阳市生态环境局对质量审核意见中的疑问，供应商要在</w:t>
            </w:r>
            <w:r>
              <w:rPr>
                <w:rFonts w:ascii="仿宋_GB2312" w:hAnsi="仿宋_GB2312" w:cs="仿宋_GB2312" w:eastAsia="仿宋_GB2312"/>
                <w:sz w:val="24"/>
              </w:rPr>
              <w:t>24</w:t>
            </w:r>
            <w:r>
              <w:rPr>
                <w:rFonts w:ascii="仿宋_GB2312" w:hAnsi="仿宋_GB2312" w:cs="仿宋_GB2312" w:eastAsia="仿宋_GB2312"/>
                <w:sz w:val="24"/>
              </w:rPr>
              <w:t>小时内作出响应并提出解决方案。</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保密要求</w:t>
            </w:r>
          </w:p>
          <w:p>
            <w:pPr>
              <w:pStyle w:val="null3"/>
              <w:ind w:firstLine="480"/>
              <w:jc w:val="left"/>
            </w:pPr>
            <w:r>
              <w:rPr>
                <w:rFonts w:ascii="仿宋_GB2312" w:hAnsi="仿宋_GB2312" w:cs="仿宋_GB2312" w:eastAsia="仿宋_GB2312"/>
                <w:sz w:val="24"/>
              </w:rPr>
              <w:t>供应商</w:t>
            </w:r>
            <w:r>
              <w:rPr>
                <w:rFonts w:ascii="仿宋_GB2312" w:hAnsi="仿宋_GB2312" w:cs="仿宋_GB2312" w:eastAsia="仿宋_GB2312"/>
                <w:sz w:val="24"/>
              </w:rPr>
              <w:t>应</w:t>
            </w:r>
            <w:r>
              <w:rPr>
                <w:rFonts w:ascii="仿宋_GB2312" w:hAnsi="仿宋_GB2312" w:cs="仿宋_GB2312" w:eastAsia="仿宋_GB2312"/>
                <w:sz w:val="24"/>
              </w:rPr>
              <w:t>对本项目涉及的相关资料进行保密，不得有任何形式的泄密情况发生，如有泄密情况，承担一切法律责任。</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报价要求</w:t>
            </w:r>
          </w:p>
          <w:p>
            <w:pPr>
              <w:pStyle w:val="null3"/>
              <w:ind w:firstLine="480"/>
              <w:jc w:val="both"/>
            </w:pPr>
            <w:r>
              <w:rPr>
                <w:rFonts w:ascii="仿宋_GB2312" w:hAnsi="仿宋_GB2312" w:cs="仿宋_GB2312" w:eastAsia="仿宋_GB2312"/>
                <w:sz w:val="24"/>
              </w:rPr>
              <w:t>本项目为服务包干项目，报价应是最终采购人验收合格后的总价，包括但不限于人工、设施设备、差旅费、税费等全过程服务的费用和磋商文件规定的其它费用，采购人不再另行支付其他任何费用。</w:t>
            </w:r>
            <w:r>
              <w:rPr>
                <w:rFonts w:ascii="仿宋_GB2312" w:hAnsi="仿宋_GB2312" w:cs="仿宋_GB2312" w:eastAsia="仿宋_GB2312"/>
                <w:sz w:val="24"/>
              </w:rPr>
              <w:t>（</w:t>
            </w:r>
            <w:r>
              <w:rPr>
                <w:rFonts w:ascii="仿宋_GB2312" w:hAnsi="仿宋_GB2312" w:cs="仿宋_GB2312" w:eastAsia="仿宋_GB2312"/>
                <w:sz w:val="24"/>
                <w:b/>
              </w:rPr>
              <w:t>提示：供应商应充分核算本项目成本，以避免未充分核算成本可能造成的履约风险和法律风险。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安全责任要求</w:t>
            </w:r>
          </w:p>
          <w:p>
            <w:pPr>
              <w:pStyle w:val="null3"/>
              <w:ind w:firstLine="480"/>
              <w:jc w:val="both"/>
            </w:pPr>
            <w:r>
              <w:rPr>
                <w:rFonts w:ascii="仿宋_GB2312" w:hAnsi="仿宋_GB2312" w:cs="仿宋_GB2312" w:eastAsia="仿宋_GB2312"/>
                <w:sz w:val="24"/>
              </w:rPr>
              <w:t>本项目自成交供应商成交之日起至验收合格日止，在项目实施过程中，成交供应商应做好个人及他人的安全防护，须负责项目过程中一切人员人身安全、财产安全、环境安全、劳动纠纷等，如发生安全事故造成自身或他人伤害的由成交供应商全权负责。</w:t>
            </w:r>
          </w:p>
          <w:p>
            <w:pPr>
              <w:pStyle w:val="null3"/>
              <w:ind w:firstLine="480"/>
              <w:jc w:val="both"/>
            </w:pPr>
            <w:r>
              <w:rPr>
                <w:rFonts w:ascii="仿宋_GB2312" w:hAnsi="仿宋_GB2312" w:cs="仿宋_GB2312" w:eastAsia="仿宋_GB2312"/>
                <w:sz w:val="24"/>
              </w:rPr>
              <w:t>注：在本项目的实施过程中，涉及的规范标准若有更新的，按照最新标准执行。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rPr>
              <w:t>1.供应商应结合采购人要求及服务实际情况，如实、完整提供基于本项目的</w:t>
            </w:r>
            <w:r>
              <w:rPr>
                <w:rFonts w:ascii="仿宋_GB2312" w:hAnsi="仿宋_GB2312" w:cs="仿宋_GB2312" w:eastAsia="仿宋_GB2312"/>
                <w:sz w:val="24"/>
              </w:rPr>
              <w:t>项目实施方案</w:t>
            </w:r>
            <w:r>
              <w:rPr>
                <w:rFonts w:ascii="仿宋_GB2312" w:hAnsi="仿宋_GB2312" w:cs="仿宋_GB2312" w:eastAsia="仿宋_GB2312"/>
                <w:sz w:val="24"/>
              </w:rPr>
              <w:t>进行综合评审，</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①</w:t>
            </w:r>
            <w:r>
              <w:rPr>
                <w:rFonts w:ascii="仿宋_GB2312" w:hAnsi="仿宋_GB2312" w:cs="仿宋_GB2312" w:eastAsia="仿宋_GB2312"/>
                <w:sz w:val="24"/>
              </w:rPr>
              <w:t>对</w:t>
            </w:r>
            <w:r>
              <w:rPr>
                <w:rFonts w:ascii="仿宋_GB2312" w:hAnsi="仿宋_GB2312" w:cs="仿宋_GB2312" w:eastAsia="仿宋_GB2312"/>
                <w:sz w:val="24"/>
              </w:rPr>
              <w:t>项目总体情况</w:t>
            </w:r>
            <w:r>
              <w:rPr>
                <w:rFonts w:ascii="仿宋_GB2312" w:hAnsi="仿宋_GB2312" w:cs="仿宋_GB2312" w:eastAsia="仿宋_GB2312"/>
                <w:sz w:val="24"/>
              </w:rPr>
              <w:t>的理解</w:t>
            </w:r>
            <w:r>
              <w:rPr>
                <w:rFonts w:ascii="仿宋_GB2312" w:hAnsi="仿宋_GB2312" w:cs="仿宋_GB2312" w:eastAsia="仿宋_GB2312"/>
                <w:sz w:val="24"/>
              </w:rPr>
              <w:t>（包括项目背景、基础情况）；</w:t>
            </w:r>
            <w:r>
              <w:rPr>
                <w:rFonts w:ascii="仿宋_GB2312" w:hAnsi="仿宋_GB2312" w:cs="仿宋_GB2312" w:eastAsia="仿宋_GB2312"/>
                <w:sz w:val="24"/>
              </w:rPr>
              <w:t>②项目工作常见问题分析、解决问题的对策措施；③组织机构（包括人员组成构成、职责分工）；④组织保障措施；⑤安全措施；⑥项目技术服务方案（包括工作思路、技术路线、服务方案）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2.供应商应结合采购人要求及服务实际情况，</w:t>
            </w:r>
            <w:r>
              <w:rPr>
                <w:rFonts w:ascii="仿宋_GB2312" w:hAnsi="仿宋_GB2312" w:cs="仿宋_GB2312" w:eastAsia="仿宋_GB2312"/>
                <w:sz w:val="24"/>
              </w:rPr>
              <w:t>如实、完整提供基于本项目的工作计划</w:t>
            </w:r>
            <w:r>
              <w:rPr>
                <w:rFonts w:ascii="仿宋_GB2312" w:hAnsi="仿宋_GB2312" w:cs="仿宋_GB2312" w:eastAsia="仿宋_GB2312"/>
                <w:sz w:val="24"/>
              </w:rPr>
              <w:t>方案</w:t>
            </w:r>
            <w:r>
              <w:rPr>
                <w:rFonts w:ascii="仿宋_GB2312" w:hAnsi="仿宋_GB2312" w:cs="仿宋_GB2312" w:eastAsia="仿宋_GB2312"/>
                <w:sz w:val="24"/>
              </w:rPr>
              <w:t>进行综合评审，</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①进度安排、工序衔接；②进度控制点把握；③进度控制难点分析；④进度控制措施。</w:t>
            </w:r>
          </w:p>
          <w:p>
            <w:pPr>
              <w:pStyle w:val="null3"/>
              <w:ind w:firstLine="480"/>
              <w:jc w:val="both"/>
            </w:pPr>
            <w:r>
              <w:rPr>
                <w:rFonts w:ascii="仿宋_GB2312" w:hAnsi="仿宋_GB2312" w:cs="仿宋_GB2312" w:eastAsia="仿宋_GB2312"/>
                <w:sz w:val="24"/>
              </w:rPr>
              <w:t>3.供应商应结合采购人要求及服务实际情况，</w:t>
            </w:r>
            <w:r>
              <w:rPr>
                <w:rFonts w:ascii="仿宋_GB2312" w:hAnsi="仿宋_GB2312" w:cs="仿宋_GB2312" w:eastAsia="仿宋_GB2312"/>
                <w:sz w:val="24"/>
              </w:rPr>
              <w:t>如实、完整提供基于本项目的</w:t>
            </w:r>
            <w:r>
              <w:rPr>
                <w:rFonts w:ascii="仿宋_GB2312" w:hAnsi="仿宋_GB2312" w:cs="仿宋_GB2312" w:eastAsia="仿宋_GB2312"/>
                <w:sz w:val="24"/>
              </w:rPr>
              <w:t>质量保障措施</w:t>
            </w:r>
            <w:r>
              <w:rPr>
                <w:rFonts w:ascii="仿宋_GB2312" w:hAnsi="仿宋_GB2312" w:cs="仿宋_GB2312" w:eastAsia="仿宋_GB2312"/>
                <w:sz w:val="24"/>
              </w:rPr>
              <w:t>进行综合评审，</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①质量保障措施架构及方案；②质量控制措施标准；③实施工作重点、难点内容理解分析。</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供应商应结合采购人要求及服务实际情况，</w:t>
            </w:r>
            <w:r>
              <w:rPr>
                <w:rFonts w:ascii="仿宋_GB2312" w:hAnsi="仿宋_GB2312" w:cs="仿宋_GB2312" w:eastAsia="仿宋_GB2312"/>
                <w:sz w:val="24"/>
              </w:rPr>
              <w:t>如实、完整提供基于本项目的</w:t>
            </w:r>
            <w:r>
              <w:rPr>
                <w:rFonts w:ascii="仿宋_GB2312" w:hAnsi="仿宋_GB2312" w:cs="仿宋_GB2312" w:eastAsia="仿宋_GB2312"/>
                <w:sz w:val="24"/>
              </w:rPr>
              <w:t>售后方案</w:t>
            </w:r>
            <w:r>
              <w:rPr>
                <w:rFonts w:ascii="仿宋_GB2312" w:hAnsi="仿宋_GB2312" w:cs="仿宋_GB2312" w:eastAsia="仿宋_GB2312"/>
                <w:sz w:val="24"/>
              </w:rPr>
              <w:t>进行综合评审，</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①预防贪腐</w:t>
            </w:r>
            <w:r>
              <w:rPr>
                <w:rFonts w:ascii="仿宋_GB2312" w:hAnsi="仿宋_GB2312" w:cs="仿宋_GB2312" w:eastAsia="仿宋_GB2312"/>
                <w:sz w:val="24"/>
              </w:rPr>
              <w:t>方案及</w:t>
            </w:r>
            <w:r>
              <w:rPr>
                <w:rFonts w:ascii="仿宋_GB2312" w:hAnsi="仿宋_GB2312" w:cs="仿宋_GB2312" w:eastAsia="仿宋_GB2312"/>
                <w:sz w:val="24"/>
              </w:rPr>
              <w:t>措施；</w:t>
            </w:r>
            <w:r>
              <w:rPr>
                <w:rFonts w:ascii="仿宋_GB2312" w:hAnsi="仿宋_GB2312" w:cs="仿宋_GB2312" w:eastAsia="仿宋_GB2312"/>
                <w:sz w:val="24"/>
              </w:rPr>
              <w:t>②档案资料管理方案</w:t>
            </w:r>
            <w:r>
              <w:rPr>
                <w:rFonts w:ascii="仿宋_GB2312" w:hAnsi="仿宋_GB2312" w:cs="仿宋_GB2312" w:eastAsia="仿宋_GB2312"/>
                <w:sz w:val="24"/>
              </w:rPr>
              <w:t>及保密方案</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售后服务方案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5.供应商</w:t>
            </w:r>
            <w:r>
              <w:rPr>
                <w:rFonts w:ascii="仿宋_GB2312" w:hAnsi="仿宋_GB2312" w:cs="仿宋_GB2312" w:eastAsia="仿宋_GB2312"/>
                <w:sz w:val="24"/>
              </w:rPr>
              <w:t>应配备相关的专业技术人员和</w:t>
            </w:r>
            <w:r>
              <w:rPr>
                <w:rFonts w:ascii="仿宋_GB2312" w:hAnsi="仿宋_GB2312" w:cs="仿宋_GB2312" w:eastAsia="仿宋_GB2312"/>
                <w:sz w:val="24"/>
              </w:rPr>
              <w:t>承接过类似项目的履约经验。根据本项目磋商文件要求提供真实、客观的人员配置和履约能力证明资料。</w:t>
            </w:r>
          </w:p>
          <w:p>
            <w:pPr>
              <w:pStyle w:val="null3"/>
              <w:ind w:firstLine="480"/>
              <w:jc w:val="both"/>
            </w:pPr>
            <w:r>
              <w:rPr>
                <w:rFonts w:ascii="仿宋_GB2312" w:hAnsi="仿宋_GB2312" w:cs="仿宋_GB2312" w:eastAsia="仿宋_GB2312"/>
                <w:sz w:val="24"/>
              </w:rPr>
              <w:t>6.本项目需对资阳市范围内涉及首次申请、重新申请、变更排污许可证的企业开展技术审核，提出修改意见，并指导排污单位完成修改。供应商服务人员在审核过程中需现场踏勘企业排污单位基本情况</w:t>
            </w:r>
            <w:r>
              <w:rPr>
                <w:rFonts w:ascii="仿宋_GB2312" w:hAnsi="仿宋_GB2312" w:cs="仿宋_GB2312" w:eastAsia="仿宋_GB2312"/>
                <w:sz w:val="24"/>
              </w:rPr>
              <w:t>，</w:t>
            </w:r>
            <w:r>
              <w:rPr>
                <w:rFonts w:ascii="仿宋_GB2312" w:hAnsi="仿宋_GB2312" w:cs="仿宋_GB2312" w:eastAsia="仿宋_GB2312"/>
                <w:sz w:val="24"/>
              </w:rPr>
              <w:t>服务技术人员需具有评估环境影响、对</w:t>
            </w:r>
            <w:r>
              <w:rPr>
                <w:rFonts w:ascii="仿宋_GB2312" w:hAnsi="仿宋_GB2312" w:cs="仿宋_GB2312" w:eastAsia="仿宋_GB2312"/>
                <w:sz w:val="24"/>
              </w:rPr>
              <w:t>企业指出问题并指导其修改完善</w:t>
            </w:r>
            <w:r>
              <w:rPr>
                <w:rFonts w:ascii="仿宋_GB2312" w:hAnsi="仿宋_GB2312" w:cs="仿宋_GB2312" w:eastAsia="仿宋_GB2312"/>
                <w:sz w:val="24"/>
              </w:rPr>
              <w:t>的能力。</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（1）履约验收主体：资阳市生态环境局。 （2）履约验收时间：采购人应自成交供应商履行完合同义务，供应商提出验收申请，达到付款条件10日起，验收合同金额的100.00%。 （3）履约验收方式及程序：一次性验收，采购人成立验收小组，对供应商履约情况进行验收。验收时，按照采购合同的约定进行确认。验收结束后，出具验收报告，列明各项标准的验收情况及项目总体评价，由验收双方共同签署。验收结果与采购合同约定的资金支付条件挂钩。履约验收的各项资料应存档备查。 （4）履约验收内容：技术履约验收内容：按照采购文件技术要求内容（性能指标）验收。商务履约验收内容：按照采购文件商务要求进行验收。 （5）履约验收标准：成交供应商与采购人应严格按照财政部关于进一步加强政府采购需求和履约验收管理的指导意见（财库〔2016〕205号）的要求、资阳市财政局《关于严格落实政府采购需求论证、合同备案和履约验收有关问题的通知》（资财采（2019）39号）、采购文件要求、响应文件响应条款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1、合同签订后，供应商提供完整的增值税发票后，达到付款条件起30日内，支付合同总金额的40.00%</w:t>
            </w:r>
          </w:p>
          <w:p>
            <w:pPr>
              <w:pStyle w:val="null3"/>
              <w:jc w:val="left"/>
            </w:pPr>
            <w:r>
              <w:rPr>
                <w:rFonts w:ascii="仿宋_GB2312" w:hAnsi="仿宋_GB2312" w:cs="仿宋_GB2312" w:eastAsia="仿宋_GB2312"/>
              </w:rPr>
              <w:t>2、服务期满，供应商提供完整的增值税发票后，达到付款条件起30日内，支付合同总金额的30.00%</w:t>
            </w:r>
          </w:p>
          <w:p>
            <w:pPr>
              <w:pStyle w:val="null3"/>
              <w:jc w:val="left"/>
            </w:pPr>
            <w:r>
              <w:rPr>
                <w:rFonts w:ascii="仿宋_GB2312" w:hAnsi="仿宋_GB2312" w:cs="仿宋_GB2312" w:eastAsia="仿宋_GB2312"/>
              </w:rPr>
              <w:t>3、经采购人验收合格，供应商提供完整的增值税发票后，达到付款条件起30日内，支付合同总金额的30.00%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采购人及供应商双方必须遵守采购合同并执行合同中的各项规定，保证采购合同的正常履行。任何一方违约给对方造成的直接损失均负有赔偿责任，对方均有权视情况要求对方继续履行合同或提出解除合同。②如因供应商在履行过程中的疏忽、失职、过错等故意或者过失原因给采购人造成损失或侵害，包括但不限于采购人本身的财产损失、由此而导致的采购人对任何第三方的法律责任等，供应商对此均应承担全部的赔偿责任。 （2）解决争议的方法：①采购人及供应商双方就采购合同所产生的任何争议都应该进行友好协商，协商解决不成的，任何一方均可向项目所在地仲裁委员会申请仲裁。②仲裁费应由败诉方承担。③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供应商需在使用投标(响应)客户端编制响应文件时，按要求填写《投标（响应）函》完成承诺并提供相应证明材料进行电子签章。</w:t>
              <w:b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以上均提供副本复印件）。（注：具备第①-④项具有同等效力，供应商可根据自身实际情况选择提供其中任意一项。）</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提供相应证明材料进行电子签章。证明材料：①提供2023年度或2024年度经审计的财务报告复印件（包含审计报告和审计报告中所涉及的财务报表和报表附注）；②提供2023年度或2024年度供应商内部的财务报表复印件（至少包含利润表、现金流量表、资产负债表）；③提供距文件递交截止日一年内银行出具的资信证明（复印件）；④供应商注册时间至文件递交截止日不足一年的，提供公司章程复印件；⑤供应商为事业单位或其他组织（不具备法人条件的组织，如合伙组织、个体工商户、农村承包经营户等）或自然人时，可只提供承诺函；（注：具备健全的财务会计制度的证明材料中第①-⑤项具有同等效力，供应商可根据自身实际情况选择提供其中任意一项）。</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竞争性磋商文件规定的其他实质性要求。</w:t>
            </w:r>
          </w:p>
        </w:tc>
        <w:tc>
          <w:tcPr>
            <w:tcW w:type="dxa" w:w="3322"/>
          </w:tcPr>
          <w:p>
            <w:pPr>
              <w:pStyle w:val="null3"/>
              <w:jc w:val="left"/>
            </w:pPr>
            <w:r>
              <w:rPr>
                <w:rFonts w:ascii="仿宋_GB2312" w:hAnsi="仿宋_GB2312" w:cs="仿宋_GB2312" w:eastAsia="仿宋_GB2312"/>
              </w:rPr>
              <w:t>竞争性磋商文件规定的其他实质性要求。</w:t>
            </w:r>
          </w:p>
        </w:tc>
        <w:tc>
          <w:tcPr>
            <w:tcW w:type="dxa" w:w="1910"/>
          </w:tcPr>
          <w:p>
            <w:pPr>
              <w:pStyle w:val="null3"/>
              <w:jc w:val="left"/>
            </w:pPr>
            <w:r>
              <w:rPr>
                <w:rFonts w:ascii="仿宋_GB2312" w:hAnsi="仿宋_GB2312" w:cs="仿宋_GB2312" w:eastAsia="仿宋_GB2312"/>
              </w:rPr>
              <w:t>服务要求应答表.docx,商务要求应答表.docx,技术要求应答表.docx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项目实施方案、工作计划方案、质量保障措施、售后方案、人员配置、履约能力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审，方案包括：①对项目总体情况的理解（包括项目背景、基础情况）；②项目工作常见问题分析、解决问题的对策措施；③组织机构（包括人员组成构成、职责分工）；④组织保障措施；⑤安全措施；⑥项目技术服务方案（包括工作思路、技术路线、服务方案）。以上内容完整且无缺陷的得24分，每缺少一项内容扣4分，每一项每有一处缺陷（缺陷是指：①方案内容不符合本项目实际需求或套用其他无关项目内容；②内容方案只有复制需求内容而无具体说明或措施，方案仅有标题无其他说明或阐述；③方案内容涉及的规范及标准错误；④方案内容错漏、缺乏重点）的扣2分，单项4分扣完为止，不提供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工作计划方案</w:t>
            </w:r>
          </w:p>
        </w:tc>
        <w:tc>
          <w:tcPr>
            <w:tcW w:type="dxa" w:w="2575"/>
          </w:tcPr>
          <w:p>
            <w:pPr>
              <w:pStyle w:val="null3"/>
              <w:jc w:val="left"/>
            </w:pPr>
            <w:r>
              <w:rPr>
                <w:rFonts w:ascii="仿宋_GB2312" w:hAnsi="仿宋_GB2312" w:cs="仿宋_GB2312" w:eastAsia="仿宋_GB2312"/>
              </w:rPr>
              <w:t>根据供应商针对本项目提供的工作计划方案进行综合评审，方案包括：①进度安排、工序衔接；②进度控制点把握；③进度控制难点分析；④进度控制措施。以上内容完整且无缺陷的得16分，每缺少一项内容扣4分，每一项每有一处缺陷（缺陷是指：①方案内容不符合本项目实际需求或套用其他无关项目内容；②内容方案只有复制需求内容而无具体说明或措施，方案仅有标题无其他说明或阐述；③方案内容涉及的规范及标准错误；④方案内容错漏、缺乏重点）的扣2分，单项4分扣完为止，不提供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工作计划方案.docx</w:t>
            </w:r>
          </w:p>
        </w:tc>
      </w:tr>
      <w:tr>
        <w:tc>
          <w:tcPr>
            <w:tcW w:type="dxa" w:w="831"/>
            <w:vMerge/>
          </w:tcPr>
          <w:p/>
        </w:tc>
        <w:tc>
          <w:tcPr>
            <w:tcW w:type="dxa" w:w="1661"/>
          </w:tcPr>
          <w:p>
            <w:pPr>
              <w:pStyle w:val="null3"/>
              <w:jc w:val="left"/>
            </w:pPr>
            <w:r>
              <w:rPr>
                <w:rFonts w:ascii="仿宋_GB2312" w:hAnsi="仿宋_GB2312" w:cs="仿宋_GB2312" w:eastAsia="仿宋_GB2312"/>
              </w:rPr>
              <w:t>质量保障措施</w:t>
            </w:r>
          </w:p>
        </w:tc>
        <w:tc>
          <w:tcPr>
            <w:tcW w:type="dxa" w:w="2575"/>
          </w:tcPr>
          <w:p>
            <w:pPr>
              <w:pStyle w:val="null3"/>
              <w:jc w:val="left"/>
            </w:pPr>
            <w:r>
              <w:rPr>
                <w:rFonts w:ascii="仿宋_GB2312" w:hAnsi="仿宋_GB2312" w:cs="仿宋_GB2312" w:eastAsia="仿宋_GB2312"/>
              </w:rPr>
              <w:t>根据供应商针对本项目提供的质量保障措施进行综合评审，方案包括：①质量保障措施架构及方案；②质量控制措施标准；③实施工作重点、难点内容理解分析。以上内容完整且无缺陷的得12分，每缺少一项内容扣4分，每一项每有一处缺陷（缺陷是指：①方案内容不符合本项目实际需求或套用其他无关项目内容；②内容方案只有复制需求内容而无具体说明或措施，方案仅有标题无其他说明或阐述；③方案内容涉及的规范及标准错误；④方案内容错漏、缺乏重点）的扣2分，单项4分扣完为止，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质量保障措施.docx</w:t>
            </w:r>
          </w:p>
        </w:tc>
      </w:tr>
      <w:tr>
        <w:tc>
          <w:tcPr>
            <w:tcW w:type="dxa" w:w="831"/>
            <w:vMerge/>
          </w:tcPr>
          <w:p/>
        </w:tc>
        <w:tc>
          <w:tcPr>
            <w:tcW w:type="dxa" w:w="1661"/>
          </w:tcPr>
          <w:p>
            <w:pPr>
              <w:pStyle w:val="null3"/>
              <w:jc w:val="left"/>
            </w:pPr>
            <w:r>
              <w:rPr>
                <w:rFonts w:ascii="仿宋_GB2312" w:hAnsi="仿宋_GB2312" w:cs="仿宋_GB2312" w:eastAsia="仿宋_GB2312"/>
              </w:rPr>
              <w:t>售后方案</w:t>
            </w:r>
          </w:p>
        </w:tc>
        <w:tc>
          <w:tcPr>
            <w:tcW w:type="dxa" w:w="2575"/>
          </w:tcPr>
          <w:p>
            <w:pPr>
              <w:pStyle w:val="null3"/>
              <w:jc w:val="left"/>
            </w:pPr>
            <w:r>
              <w:rPr>
                <w:rFonts w:ascii="仿宋_GB2312" w:hAnsi="仿宋_GB2312" w:cs="仿宋_GB2312" w:eastAsia="仿宋_GB2312"/>
              </w:rPr>
              <w:t>根据供应商针对本项目提供的售后方案进行综合评审，方案包括：①预防贪腐方案及措施；②档案资料管理方案及保密方案；③售后服务方案。以上内容完整且无缺陷的得12分，每缺少一项内容扣4分，每一项每有一处缺陷（缺陷是指：①方案内容不符合本项目实际需求或套用其他无关项目内容；②内容方案只有复制需求内容而无具体说明或措施，方案仅有标题无其他说明或阐述；③方案内容涉及的规范及标准错误；④方案内容错漏、缺乏重点）的扣2分，单项4分扣完为止，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根据供应商拟为本项目配备的团队人员： 1.项目负责人（1人）：具有环境类中级职称得2分，具有环境类副高级及以上职称得4分；项目负责人在具备上述职称的基础上同时具有国家行政主管部门颁发的环境影响评价工程师职业资格证书或注册环保工程师资格证书加4分。本项最高得8分。 2.项目组成员（项目负责人除外）中每有一名具有环境类中级职称得1分，本小项最高得3分，每有一名具有环境类副高级及以上职称得2分，本小项最高得6分；项目组成员(项目负责人除外)中每有一人具有国家行政主管部门颁发的环境影响评价工程师职业资格证书或注册环保工程师资格证书的得1分，本小项最高得2分。本项最高得8分。 注:①单人以本人最高级别证明（书）为准；②以上人员不得重复计分；③须提供相关证书或职称任职资格文件、居民身份证及在供应商单位的在职证明材料，加盖供应商电子签章。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供应商提供类似项目业绩，提供一个得4分，每多一个加3分，本项最多得10分，不提供不得分。 注：提供中标（成交通知书）或合同复印件（合同以签订日期为准），并加盖供应商电子签章。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满足磋商文件要求且最后报价最低的供应商的价格为磋商基准价，其价格为满分。其他供应商的价格分统一按照下列公式计算：磋商报价得分=（磋商基准价/最后报价）×10%×100。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详见附件：工作计划方案.docx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详见附件：售后方案.docx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详见附件：质量保障措施.docx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