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4AE329">
      <w:pPr>
        <w:pStyle w:val="23"/>
        <w:jc w:val="center"/>
        <w:rPr>
          <w:rFonts w:hint="eastAsia" w:cs="宋体"/>
          <w:b/>
          <w:bCs/>
          <w:color w:val="auto"/>
          <w:sz w:val="72"/>
          <w:highlight w:val="none"/>
        </w:rPr>
      </w:pPr>
    </w:p>
    <w:p w14:paraId="20079877">
      <w:pPr>
        <w:rPr>
          <w:rFonts w:hint="eastAsia"/>
          <w:color w:val="auto"/>
          <w:highlight w:val="none"/>
        </w:rPr>
      </w:pPr>
    </w:p>
    <w:p w14:paraId="09879144">
      <w:pPr>
        <w:pStyle w:val="23"/>
        <w:jc w:val="center"/>
        <w:rPr>
          <w:rFonts w:hint="default" w:eastAsia="宋体" w:cs="宋体"/>
          <w:b/>
          <w:bCs/>
          <w:color w:val="auto"/>
          <w:sz w:val="56"/>
          <w:szCs w:val="18"/>
          <w:highlight w:val="none"/>
          <w:lang w:val="en-US" w:eastAsia="zh-CN"/>
        </w:rPr>
      </w:pPr>
      <w:bookmarkStart w:id="0" w:name="_Hlk528667721"/>
      <w:bookmarkStart w:id="1" w:name="_Hlk24317540"/>
      <w:r>
        <w:rPr>
          <w:rFonts w:hint="eastAsia" w:cs="宋体"/>
          <w:b/>
          <w:bCs/>
          <w:color w:val="auto"/>
          <w:sz w:val="60"/>
          <w:szCs w:val="60"/>
          <w:highlight w:val="none"/>
          <w:lang w:val="en-US" w:eastAsia="zh-CN"/>
        </w:rPr>
        <w:t>2025年普洱市乡镇早期火情处置能力提升建设项目</w:t>
      </w:r>
    </w:p>
    <w:bookmarkEnd w:id="0"/>
    <w:bookmarkEnd w:id="1"/>
    <w:p w14:paraId="5480AFFE">
      <w:pPr>
        <w:pStyle w:val="23"/>
        <w:jc w:val="center"/>
        <w:rPr>
          <w:rFonts w:hint="eastAsia" w:cs="宋体"/>
          <w:b/>
          <w:bCs/>
          <w:color w:val="auto"/>
          <w:sz w:val="72"/>
          <w:highlight w:val="none"/>
        </w:rPr>
      </w:pPr>
    </w:p>
    <w:p w14:paraId="0641FD74">
      <w:pPr>
        <w:rPr>
          <w:rFonts w:hint="eastAsia" w:cs="宋体"/>
          <w:color w:val="auto"/>
          <w:highlight w:val="none"/>
        </w:rPr>
      </w:pPr>
    </w:p>
    <w:p w14:paraId="50D1DE09">
      <w:pPr>
        <w:pStyle w:val="23"/>
        <w:jc w:val="center"/>
        <w:rPr>
          <w:rFonts w:hint="eastAsia" w:cs="宋体"/>
          <w:b/>
          <w:bCs/>
          <w:color w:val="auto"/>
          <w:sz w:val="72"/>
          <w:highlight w:val="none"/>
        </w:rPr>
      </w:pPr>
    </w:p>
    <w:p w14:paraId="3557763C">
      <w:pPr>
        <w:pStyle w:val="23"/>
        <w:jc w:val="center"/>
        <w:rPr>
          <w:rFonts w:hint="eastAsia" w:cs="宋体"/>
          <w:b/>
          <w:bCs/>
          <w:color w:val="auto"/>
          <w:sz w:val="72"/>
          <w:highlight w:val="none"/>
        </w:rPr>
      </w:pPr>
      <w:r>
        <w:rPr>
          <w:rFonts w:hint="eastAsia" w:cs="宋体"/>
          <w:b/>
          <w:bCs/>
          <w:color w:val="auto"/>
          <w:sz w:val="72"/>
          <w:highlight w:val="none"/>
        </w:rPr>
        <w:t>招 标 文 件</w:t>
      </w:r>
    </w:p>
    <w:p w14:paraId="7D2E5052">
      <w:pPr>
        <w:pStyle w:val="23"/>
        <w:jc w:val="center"/>
        <w:rPr>
          <w:rFonts w:hint="eastAsia" w:cs="宋体"/>
          <w:b/>
          <w:bCs/>
          <w:color w:val="auto"/>
          <w:sz w:val="30"/>
          <w:szCs w:val="30"/>
          <w:highlight w:val="none"/>
        </w:rPr>
      </w:pPr>
      <w:r>
        <w:rPr>
          <w:rFonts w:hint="eastAsia" w:cs="宋体"/>
          <w:b/>
          <w:bCs/>
          <w:color w:val="auto"/>
          <w:sz w:val="30"/>
          <w:szCs w:val="30"/>
          <w:highlight w:val="none"/>
        </w:rPr>
        <w:t>项目编号</w:t>
      </w:r>
      <w:r>
        <w:rPr>
          <w:rFonts w:hint="eastAsia" w:cs="宋体"/>
          <w:b/>
          <w:bCs/>
          <w:color w:val="auto"/>
          <w:w w:val="95"/>
          <w:sz w:val="30"/>
          <w:szCs w:val="30"/>
          <w:highlight w:val="none"/>
        </w:rPr>
        <w:t>：</w:t>
      </w:r>
      <w:r>
        <w:rPr>
          <w:b/>
          <w:bCs/>
          <w:color w:val="auto"/>
          <w:highlight w:val="none"/>
        </w:rPr>
        <w:fldChar w:fldCharType="begin"/>
      </w:r>
      <w:r>
        <w:rPr>
          <w:b/>
          <w:bCs/>
          <w:color w:val="auto"/>
          <w:highlight w:val="none"/>
        </w:rPr>
        <w:instrText xml:space="preserve"> HYPERLINK "http://yz.jczh100.com/TPFrame_YZ/JSGCZTBMIS2_YunZhao/Pages/SectionFlowChart/SectionFlowChart_Main.aspx?BiaoDuanGuid=237c5bf4-5c4a-4ed2-b548-4f0bbc4d26e6&amp;ProjectGuid=8aa0accb-e05c-4865-8bd4-eaaac8d7b073&amp;YeWuType=jsgc" \t "http://yz.jczh100.com/TPFrame_YZ/JSGCZTBMIS2_YunZhao/Pages/ChangDiWorkFlow/_blank" </w:instrText>
      </w:r>
      <w:r>
        <w:rPr>
          <w:b/>
          <w:bCs/>
          <w:color w:val="auto"/>
          <w:highlight w:val="none"/>
        </w:rPr>
        <w:fldChar w:fldCharType="separate"/>
      </w:r>
      <w:r>
        <w:rPr>
          <w:rFonts w:hint="eastAsia" w:cs="宋体"/>
          <w:b/>
          <w:bCs/>
          <w:color w:val="auto"/>
          <w:w w:val="95"/>
          <w:sz w:val="30"/>
          <w:szCs w:val="30"/>
          <w:highlight w:val="none"/>
          <w:lang w:eastAsia="zh-CN"/>
        </w:rPr>
        <w:t>PEZC2025-G1-01023-YZGF-1060</w:t>
      </w:r>
      <w:r>
        <w:rPr>
          <w:rFonts w:hint="eastAsia" w:cs="宋体"/>
          <w:b/>
          <w:bCs/>
          <w:color w:val="auto"/>
          <w:w w:val="95"/>
          <w:sz w:val="30"/>
          <w:szCs w:val="30"/>
          <w:highlight w:val="none"/>
        </w:rPr>
        <w:fldChar w:fldCharType="end"/>
      </w:r>
    </w:p>
    <w:p w14:paraId="1C8DFA24">
      <w:pPr>
        <w:pStyle w:val="23"/>
        <w:jc w:val="center"/>
        <w:rPr>
          <w:rFonts w:hint="eastAsia" w:eastAsia="宋体" w:cs="宋体"/>
          <w:color w:val="auto"/>
          <w:highlight w:val="none"/>
          <w:lang w:eastAsia="zh-CN"/>
        </w:rPr>
      </w:pPr>
      <w:r>
        <w:rPr>
          <w:rFonts w:hint="eastAsia" w:cs="宋体"/>
          <w:b/>
          <w:bCs/>
          <w:color w:val="auto"/>
          <w:sz w:val="30"/>
          <w:szCs w:val="30"/>
          <w:highlight w:val="none"/>
        </w:rPr>
        <w:t>招标编号</w:t>
      </w:r>
      <w:r>
        <w:rPr>
          <w:rFonts w:hint="eastAsia" w:cs="宋体"/>
          <w:b/>
          <w:bCs/>
          <w:color w:val="auto"/>
          <w:w w:val="95"/>
          <w:sz w:val="30"/>
          <w:szCs w:val="30"/>
          <w:highlight w:val="none"/>
        </w:rPr>
        <w:t>：</w:t>
      </w:r>
      <w:r>
        <w:rPr>
          <w:rFonts w:hint="eastAsia" w:cs="宋体"/>
          <w:b/>
          <w:bCs/>
          <w:color w:val="auto"/>
          <w:w w:val="95"/>
          <w:sz w:val="30"/>
          <w:szCs w:val="30"/>
          <w:highlight w:val="none"/>
          <w:lang w:eastAsia="zh-CN"/>
        </w:rPr>
        <w:t>C53JX1025001213</w:t>
      </w:r>
    </w:p>
    <w:p w14:paraId="1E1D3687">
      <w:pPr>
        <w:rPr>
          <w:rFonts w:hint="eastAsia" w:cs="宋体"/>
          <w:color w:val="auto"/>
          <w:highlight w:val="none"/>
        </w:rPr>
      </w:pPr>
    </w:p>
    <w:p w14:paraId="1278C4C7">
      <w:pPr>
        <w:pStyle w:val="23"/>
        <w:jc w:val="center"/>
        <w:rPr>
          <w:rFonts w:hint="eastAsia" w:cs="宋体"/>
          <w:color w:val="auto"/>
          <w:highlight w:val="none"/>
        </w:rPr>
      </w:pPr>
    </w:p>
    <w:p w14:paraId="39472CD3">
      <w:pPr>
        <w:pStyle w:val="23"/>
        <w:jc w:val="center"/>
        <w:rPr>
          <w:rFonts w:hint="eastAsia" w:cs="宋体"/>
          <w:color w:val="auto"/>
          <w:highlight w:val="none"/>
        </w:rPr>
      </w:pPr>
    </w:p>
    <w:p w14:paraId="770C048B">
      <w:pPr>
        <w:pStyle w:val="23"/>
        <w:jc w:val="center"/>
        <w:rPr>
          <w:rFonts w:hint="eastAsia" w:cs="宋体"/>
          <w:b/>
          <w:bCs/>
          <w:color w:val="auto"/>
          <w:w w:val="95"/>
          <w:sz w:val="32"/>
          <w:highlight w:val="none"/>
          <w:u w:val="single"/>
        </w:rPr>
      </w:pPr>
    </w:p>
    <w:p w14:paraId="74817A63">
      <w:pPr>
        <w:pStyle w:val="23"/>
        <w:jc w:val="center"/>
        <w:rPr>
          <w:rFonts w:hint="eastAsia" w:cs="宋体"/>
          <w:b/>
          <w:bCs/>
          <w:color w:val="auto"/>
          <w:w w:val="95"/>
          <w:sz w:val="32"/>
          <w:highlight w:val="none"/>
          <w:u w:val="single"/>
        </w:rPr>
      </w:pPr>
    </w:p>
    <w:p w14:paraId="0A80F64A">
      <w:pPr>
        <w:pStyle w:val="23"/>
        <w:jc w:val="center"/>
        <w:rPr>
          <w:rFonts w:hint="eastAsia" w:eastAsia="宋体" w:cs="宋体"/>
          <w:b/>
          <w:bCs/>
          <w:color w:val="auto"/>
          <w:w w:val="95"/>
          <w:sz w:val="32"/>
          <w:highlight w:val="none"/>
          <w:lang w:eastAsia="zh-CN"/>
        </w:rPr>
      </w:pPr>
      <w:r>
        <w:rPr>
          <w:rFonts w:hint="eastAsia" w:cs="宋体"/>
          <w:b/>
          <w:bCs/>
          <w:color w:val="auto"/>
          <w:w w:val="95"/>
          <w:sz w:val="32"/>
          <w:highlight w:val="none"/>
        </w:rPr>
        <w:t>采购人：</w:t>
      </w:r>
      <w:r>
        <w:rPr>
          <w:rFonts w:hint="eastAsia" w:cs="宋体"/>
          <w:b/>
          <w:bCs/>
          <w:color w:val="auto"/>
          <w:w w:val="95"/>
          <w:sz w:val="32"/>
          <w:highlight w:val="none"/>
          <w:lang w:eastAsia="zh-CN"/>
        </w:rPr>
        <w:t>普洱市林业和草原局</w:t>
      </w:r>
    </w:p>
    <w:p w14:paraId="32E1B736">
      <w:pPr>
        <w:pStyle w:val="23"/>
        <w:jc w:val="center"/>
        <w:rPr>
          <w:rFonts w:hint="eastAsia" w:cs="宋体"/>
          <w:b/>
          <w:bCs/>
          <w:color w:val="auto"/>
          <w:w w:val="95"/>
          <w:sz w:val="32"/>
          <w:highlight w:val="none"/>
          <w:u w:val="single"/>
        </w:rPr>
      </w:pPr>
      <w:r>
        <w:rPr>
          <w:rFonts w:hint="eastAsia" w:cs="宋体"/>
          <w:b/>
          <w:bCs/>
          <w:color w:val="auto"/>
          <w:w w:val="95"/>
          <w:sz w:val="32"/>
          <w:highlight w:val="none"/>
        </w:rPr>
        <w:t>采购代理机构：</w:t>
      </w:r>
      <w:r>
        <w:rPr>
          <w:rFonts w:hint="eastAsia" w:cs="宋体"/>
          <w:b/>
          <w:bCs/>
          <w:color w:val="auto"/>
          <w:spacing w:val="20"/>
          <w:w w:val="95"/>
          <w:sz w:val="32"/>
          <w:highlight w:val="none"/>
        </w:rPr>
        <w:t>云南招标股份有限公司</w:t>
      </w:r>
    </w:p>
    <w:p w14:paraId="354DC31D">
      <w:pPr>
        <w:pStyle w:val="23"/>
        <w:jc w:val="center"/>
        <w:rPr>
          <w:rFonts w:hint="eastAsia" w:cs="宋体"/>
          <w:b/>
          <w:bCs/>
          <w:color w:val="auto"/>
          <w:w w:val="95"/>
          <w:sz w:val="32"/>
          <w:highlight w:val="none"/>
        </w:rPr>
      </w:pPr>
      <w:r>
        <w:rPr>
          <w:rFonts w:hint="eastAsia" w:cs="宋体"/>
          <w:b/>
          <w:bCs/>
          <w:color w:val="auto"/>
          <w:w w:val="95"/>
          <w:sz w:val="32"/>
          <w:highlight w:val="none"/>
        </w:rPr>
        <w:t>202</w:t>
      </w:r>
      <w:r>
        <w:rPr>
          <w:rFonts w:hint="eastAsia" w:cs="宋体"/>
          <w:b/>
          <w:bCs/>
          <w:color w:val="auto"/>
          <w:w w:val="95"/>
          <w:sz w:val="32"/>
          <w:highlight w:val="none"/>
          <w:lang w:val="en-US" w:eastAsia="zh-CN"/>
        </w:rPr>
        <w:t>5</w:t>
      </w:r>
      <w:r>
        <w:rPr>
          <w:rFonts w:hint="eastAsia" w:cs="宋体"/>
          <w:b/>
          <w:bCs/>
          <w:color w:val="auto"/>
          <w:w w:val="95"/>
          <w:sz w:val="32"/>
          <w:highlight w:val="none"/>
        </w:rPr>
        <w:t>年</w:t>
      </w:r>
      <w:r>
        <w:rPr>
          <w:rFonts w:hint="eastAsia" w:cs="宋体"/>
          <w:b/>
          <w:bCs/>
          <w:color w:val="auto"/>
          <w:w w:val="95"/>
          <w:sz w:val="32"/>
          <w:highlight w:val="none"/>
          <w:lang w:val="en-US" w:eastAsia="zh-CN"/>
        </w:rPr>
        <w:t>8</w:t>
      </w:r>
      <w:r>
        <w:rPr>
          <w:rFonts w:hint="eastAsia" w:cs="宋体"/>
          <w:b/>
          <w:bCs/>
          <w:color w:val="auto"/>
          <w:w w:val="95"/>
          <w:sz w:val="32"/>
          <w:highlight w:val="none"/>
        </w:rPr>
        <w:t>月</w:t>
      </w:r>
    </w:p>
    <w:p w14:paraId="13FA1109">
      <w:pPr>
        <w:rPr>
          <w:rFonts w:hint="eastAsia" w:cs="宋体"/>
          <w:b/>
          <w:bCs/>
          <w:color w:val="auto"/>
          <w:w w:val="95"/>
          <w:sz w:val="32"/>
          <w:highlight w:val="none"/>
        </w:rPr>
      </w:pPr>
    </w:p>
    <w:p w14:paraId="48351AEB">
      <w:pPr>
        <w:rPr>
          <w:rFonts w:hint="eastAsia" w:cs="宋体"/>
          <w:b/>
          <w:bCs/>
          <w:color w:val="auto"/>
          <w:w w:val="95"/>
          <w:sz w:val="32"/>
          <w:highlight w:val="none"/>
        </w:rPr>
        <w:sectPr>
          <w:headerReference r:id="rId5" w:type="default"/>
          <w:footerReference r:id="rId6" w:type="default"/>
          <w:type w:val="continuous"/>
          <w:pgSz w:w="11906" w:h="16838"/>
          <w:pgMar w:top="1440" w:right="1080" w:bottom="1440" w:left="1080" w:header="907" w:footer="850" w:gutter="0"/>
          <w:pgBorders>
            <w:top w:val="none" w:sz="0" w:space="0"/>
            <w:left w:val="none" w:sz="0" w:space="0"/>
            <w:bottom w:val="none" w:sz="0" w:space="0"/>
            <w:right w:val="none" w:sz="0" w:space="0"/>
          </w:pgBorders>
          <w:pgNumType w:fmt="decimal"/>
          <w:cols w:space="720" w:num="1"/>
          <w:docGrid w:type="lines" w:linePitch="331" w:charSpace="0"/>
        </w:sectPr>
      </w:pPr>
    </w:p>
    <w:sdt>
      <w:sdtPr>
        <w:rPr>
          <w:rFonts w:ascii="宋体" w:hAnsi="宋体" w:eastAsia="宋体" w:cs="Times New Roman"/>
          <w:color w:val="auto"/>
          <w:kern w:val="2"/>
          <w:sz w:val="21"/>
          <w:szCs w:val="24"/>
          <w:highlight w:val="none"/>
          <w:lang w:val="zh-CN"/>
        </w:rPr>
        <w:id w:val="-980144260"/>
        <w:docPartObj>
          <w:docPartGallery w:val="Table of Contents"/>
          <w:docPartUnique/>
        </w:docPartObj>
      </w:sdtPr>
      <w:sdtEndPr>
        <w:rPr>
          <w:rFonts w:ascii="宋体" w:hAnsi="宋体" w:eastAsia="宋体" w:cs="Times New Roman"/>
          <w:b/>
          <w:bCs/>
          <w:color w:val="auto"/>
          <w:kern w:val="2"/>
          <w:sz w:val="21"/>
          <w:szCs w:val="24"/>
          <w:highlight w:val="none"/>
          <w:lang w:val="zh-CN"/>
        </w:rPr>
      </w:sdtEndPr>
      <w:sdtContent>
        <w:p w14:paraId="2E530B01">
          <w:pPr>
            <w:pStyle w:val="320"/>
            <w:spacing w:before="0" w:line="360" w:lineRule="auto"/>
            <w:jc w:val="center"/>
            <w:rPr>
              <w:rFonts w:hint="eastAsia" w:ascii="宋体" w:hAnsi="宋体" w:eastAsia="宋体"/>
              <w:b/>
              <w:bCs/>
              <w:color w:val="auto"/>
              <w:sz w:val="40"/>
              <w:szCs w:val="40"/>
              <w:highlight w:val="none"/>
            </w:rPr>
          </w:pPr>
          <w:r>
            <w:rPr>
              <w:rFonts w:ascii="宋体" w:hAnsi="宋体" w:eastAsia="宋体"/>
              <w:b/>
              <w:bCs/>
              <w:color w:val="auto"/>
              <w:sz w:val="40"/>
              <w:szCs w:val="40"/>
              <w:highlight w:val="none"/>
              <w:lang w:val="zh-CN"/>
            </w:rPr>
            <w:t>目</w:t>
          </w:r>
          <w:r>
            <w:rPr>
              <w:rFonts w:hint="eastAsia" w:ascii="宋体" w:hAnsi="宋体" w:eastAsia="宋体"/>
              <w:b/>
              <w:bCs/>
              <w:color w:val="auto"/>
              <w:sz w:val="40"/>
              <w:szCs w:val="40"/>
              <w:highlight w:val="none"/>
              <w:lang w:val="zh-CN"/>
            </w:rPr>
            <w:t xml:space="preserve"> </w:t>
          </w:r>
          <w:r>
            <w:rPr>
              <w:rFonts w:ascii="宋体" w:hAnsi="宋体" w:eastAsia="宋体"/>
              <w:b/>
              <w:bCs/>
              <w:color w:val="auto"/>
              <w:sz w:val="40"/>
              <w:szCs w:val="40"/>
              <w:highlight w:val="none"/>
              <w:lang w:val="zh-CN"/>
            </w:rPr>
            <w:t xml:space="preserve"> 录</w:t>
          </w:r>
        </w:p>
        <w:p w14:paraId="5CFA1017">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color w:val="auto"/>
              <w:sz w:val="24"/>
              <w:szCs w:val="24"/>
              <w:highlight w:val="none"/>
            </w:rPr>
            <w:fldChar w:fldCharType="begin"/>
          </w:r>
          <w:r>
            <w:rPr>
              <w:color w:val="auto"/>
              <w:sz w:val="24"/>
              <w:szCs w:val="24"/>
              <w:highlight w:val="none"/>
            </w:rPr>
            <w:instrText xml:space="preserve"> TOC \o "1-3" \h \z \u </w:instrText>
          </w:r>
          <w:r>
            <w:rPr>
              <w:color w:val="auto"/>
              <w:sz w:val="24"/>
              <w:szCs w:val="24"/>
              <w:highlight w:val="none"/>
            </w:rPr>
            <w:fldChar w:fldCharType="separate"/>
          </w:r>
          <w:r>
            <w:rPr>
              <w:color w:val="auto"/>
              <w:sz w:val="24"/>
              <w:szCs w:val="24"/>
              <w:highlight w:val="none"/>
            </w:rPr>
            <w:fldChar w:fldCharType="begin"/>
          </w:r>
          <w:r>
            <w:rPr>
              <w:sz w:val="24"/>
              <w:szCs w:val="24"/>
              <w:highlight w:val="none"/>
            </w:rPr>
            <w:instrText xml:space="preserve"> HYPERLINK \l _Toc23430 </w:instrText>
          </w:r>
          <w:r>
            <w:rPr>
              <w:sz w:val="24"/>
              <w:szCs w:val="24"/>
              <w:highlight w:val="none"/>
            </w:rPr>
            <w:fldChar w:fldCharType="separate"/>
          </w:r>
          <w:r>
            <w:rPr>
              <w:rFonts w:hint="eastAsia"/>
              <w:sz w:val="24"/>
              <w:szCs w:val="24"/>
            </w:rPr>
            <w:t>第一章</w:t>
          </w:r>
          <w:r>
            <w:rPr>
              <w:sz w:val="24"/>
              <w:szCs w:val="24"/>
            </w:rPr>
            <w:t xml:space="preserve"> </w:t>
          </w:r>
          <w:r>
            <w:rPr>
              <w:rFonts w:hint="eastAsia"/>
              <w:sz w:val="24"/>
              <w:szCs w:val="24"/>
              <w:lang w:val="en-US" w:eastAsia="zh-CN"/>
            </w:rPr>
            <w:t xml:space="preserve"> </w:t>
          </w:r>
          <w:r>
            <w:rPr>
              <w:rFonts w:hint="eastAsia"/>
              <w:sz w:val="24"/>
              <w:szCs w:val="24"/>
            </w:rPr>
            <w:t>招标公告</w:t>
          </w:r>
          <w:r>
            <w:rPr>
              <w:sz w:val="24"/>
              <w:szCs w:val="24"/>
            </w:rPr>
            <w:tab/>
          </w:r>
          <w:r>
            <w:rPr>
              <w:sz w:val="24"/>
              <w:szCs w:val="24"/>
            </w:rPr>
            <w:fldChar w:fldCharType="begin"/>
          </w:r>
          <w:r>
            <w:rPr>
              <w:sz w:val="24"/>
              <w:szCs w:val="24"/>
            </w:rPr>
            <w:instrText xml:space="preserve"> PAGEREF _Toc23430 \h </w:instrText>
          </w:r>
          <w:r>
            <w:rPr>
              <w:sz w:val="24"/>
              <w:szCs w:val="24"/>
            </w:rPr>
            <w:fldChar w:fldCharType="separate"/>
          </w:r>
          <w:r>
            <w:rPr>
              <w:sz w:val="24"/>
              <w:szCs w:val="24"/>
            </w:rPr>
            <w:t>1</w:t>
          </w:r>
          <w:r>
            <w:rPr>
              <w:sz w:val="24"/>
              <w:szCs w:val="24"/>
            </w:rPr>
            <w:fldChar w:fldCharType="end"/>
          </w:r>
          <w:r>
            <w:rPr>
              <w:color w:val="auto"/>
              <w:sz w:val="24"/>
              <w:szCs w:val="24"/>
              <w:highlight w:val="none"/>
            </w:rPr>
            <w:fldChar w:fldCharType="end"/>
          </w:r>
        </w:p>
        <w:p w14:paraId="2DC6D809">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_Toc23691 </w:instrText>
          </w:r>
          <w:r>
            <w:rPr>
              <w:bCs/>
              <w:sz w:val="24"/>
              <w:szCs w:val="24"/>
              <w:highlight w:val="none"/>
              <w:lang w:val="zh-CN"/>
            </w:rPr>
            <w:fldChar w:fldCharType="separate"/>
          </w:r>
          <w:r>
            <w:rPr>
              <w:rFonts w:hint="eastAsia" w:eastAsia="宋体" w:cs="宋体"/>
              <w:sz w:val="24"/>
              <w:szCs w:val="24"/>
              <w:highlight w:val="none"/>
            </w:rPr>
            <w:t>一、项目基本情况</w:t>
          </w:r>
          <w:r>
            <w:rPr>
              <w:sz w:val="24"/>
              <w:szCs w:val="24"/>
            </w:rPr>
            <w:tab/>
          </w:r>
          <w:r>
            <w:rPr>
              <w:sz w:val="24"/>
              <w:szCs w:val="24"/>
            </w:rPr>
            <w:fldChar w:fldCharType="begin"/>
          </w:r>
          <w:r>
            <w:rPr>
              <w:sz w:val="24"/>
              <w:szCs w:val="24"/>
            </w:rPr>
            <w:instrText xml:space="preserve"> PAGEREF _Toc23691 \h </w:instrText>
          </w:r>
          <w:r>
            <w:rPr>
              <w:sz w:val="24"/>
              <w:szCs w:val="24"/>
            </w:rPr>
            <w:fldChar w:fldCharType="separate"/>
          </w:r>
          <w:r>
            <w:rPr>
              <w:sz w:val="24"/>
              <w:szCs w:val="24"/>
            </w:rPr>
            <w:t>1</w:t>
          </w:r>
          <w:r>
            <w:rPr>
              <w:sz w:val="24"/>
              <w:szCs w:val="24"/>
            </w:rPr>
            <w:fldChar w:fldCharType="end"/>
          </w:r>
          <w:r>
            <w:rPr>
              <w:bCs/>
              <w:color w:val="auto"/>
              <w:sz w:val="24"/>
              <w:szCs w:val="24"/>
              <w:highlight w:val="none"/>
              <w:lang w:val="zh-CN"/>
            </w:rPr>
            <w:fldChar w:fldCharType="end"/>
          </w:r>
        </w:p>
        <w:p w14:paraId="07E9EA75">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_Toc16571 </w:instrText>
          </w:r>
          <w:r>
            <w:rPr>
              <w:bCs/>
              <w:sz w:val="24"/>
              <w:szCs w:val="24"/>
              <w:highlight w:val="none"/>
              <w:lang w:val="zh-CN"/>
            </w:rPr>
            <w:fldChar w:fldCharType="separate"/>
          </w:r>
          <w:r>
            <w:rPr>
              <w:rFonts w:hint="eastAsia" w:eastAsia="宋体" w:cs="宋体"/>
              <w:sz w:val="24"/>
              <w:szCs w:val="24"/>
              <w:highlight w:val="none"/>
            </w:rPr>
            <w:t>★二、投标人的资格要求：</w:t>
          </w:r>
          <w:r>
            <w:rPr>
              <w:sz w:val="24"/>
              <w:szCs w:val="24"/>
            </w:rPr>
            <w:tab/>
          </w:r>
          <w:r>
            <w:rPr>
              <w:sz w:val="24"/>
              <w:szCs w:val="24"/>
            </w:rPr>
            <w:fldChar w:fldCharType="begin"/>
          </w:r>
          <w:r>
            <w:rPr>
              <w:sz w:val="24"/>
              <w:szCs w:val="24"/>
            </w:rPr>
            <w:instrText xml:space="preserve"> PAGEREF _Toc16571 \h </w:instrText>
          </w:r>
          <w:r>
            <w:rPr>
              <w:sz w:val="24"/>
              <w:szCs w:val="24"/>
            </w:rPr>
            <w:fldChar w:fldCharType="separate"/>
          </w:r>
          <w:r>
            <w:rPr>
              <w:sz w:val="24"/>
              <w:szCs w:val="24"/>
            </w:rPr>
            <w:t>2</w:t>
          </w:r>
          <w:r>
            <w:rPr>
              <w:sz w:val="24"/>
              <w:szCs w:val="24"/>
            </w:rPr>
            <w:fldChar w:fldCharType="end"/>
          </w:r>
          <w:r>
            <w:rPr>
              <w:bCs/>
              <w:color w:val="auto"/>
              <w:sz w:val="24"/>
              <w:szCs w:val="24"/>
              <w:highlight w:val="none"/>
              <w:lang w:val="zh-CN"/>
            </w:rPr>
            <w:fldChar w:fldCharType="end"/>
          </w:r>
        </w:p>
        <w:p w14:paraId="4BC31662">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_Toc30175 </w:instrText>
          </w:r>
          <w:r>
            <w:rPr>
              <w:bCs/>
              <w:sz w:val="24"/>
              <w:szCs w:val="24"/>
              <w:highlight w:val="none"/>
              <w:lang w:val="zh-CN"/>
            </w:rPr>
            <w:fldChar w:fldCharType="separate"/>
          </w:r>
          <w:r>
            <w:rPr>
              <w:rFonts w:hint="eastAsia" w:eastAsia="宋体" w:cs="宋体"/>
              <w:sz w:val="24"/>
              <w:szCs w:val="24"/>
              <w:highlight w:val="none"/>
            </w:rPr>
            <w:t>三、获取招标文件</w:t>
          </w:r>
          <w:r>
            <w:rPr>
              <w:sz w:val="24"/>
              <w:szCs w:val="24"/>
            </w:rPr>
            <w:tab/>
          </w:r>
          <w:r>
            <w:rPr>
              <w:sz w:val="24"/>
              <w:szCs w:val="24"/>
            </w:rPr>
            <w:fldChar w:fldCharType="begin"/>
          </w:r>
          <w:r>
            <w:rPr>
              <w:sz w:val="24"/>
              <w:szCs w:val="24"/>
            </w:rPr>
            <w:instrText xml:space="preserve"> PAGEREF _Toc30175 \h </w:instrText>
          </w:r>
          <w:r>
            <w:rPr>
              <w:sz w:val="24"/>
              <w:szCs w:val="24"/>
            </w:rPr>
            <w:fldChar w:fldCharType="separate"/>
          </w:r>
          <w:r>
            <w:rPr>
              <w:sz w:val="24"/>
              <w:szCs w:val="24"/>
            </w:rPr>
            <w:t>3</w:t>
          </w:r>
          <w:r>
            <w:rPr>
              <w:sz w:val="24"/>
              <w:szCs w:val="24"/>
            </w:rPr>
            <w:fldChar w:fldCharType="end"/>
          </w:r>
          <w:r>
            <w:rPr>
              <w:bCs/>
              <w:color w:val="auto"/>
              <w:sz w:val="24"/>
              <w:szCs w:val="24"/>
              <w:highlight w:val="none"/>
              <w:lang w:val="zh-CN"/>
            </w:rPr>
            <w:fldChar w:fldCharType="end"/>
          </w:r>
        </w:p>
        <w:p w14:paraId="40F3568F">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_Toc11019 </w:instrText>
          </w:r>
          <w:r>
            <w:rPr>
              <w:bCs/>
              <w:sz w:val="24"/>
              <w:szCs w:val="24"/>
              <w:highlight w:val="none"/>
              <w:lang w:val="zh-CN"/>
            </w:rPr>
            <w:fldChar w:fldCharType="separate"/>
          </w:r>
          <w:r>
            <w:rPr>
              <w:rFonts w:hint="eastAsia" w:eastAsia="宋体" w:cs="宋体"/>
              <w:sz w:val="24"/>
              <w:szCs w:val="24"/>
              <w:highlight w:val="none"/>
            </w:rPr>
            <w:t>四、投标文件提交</w:t>
          </w:r>
          <w:r>
            <w:rPr>
              <w:sz w:val="24"/>
              <w:szCs w:val="24"/>
            </w:rPr>
            <w:tab/>
          </w:r>
          <w:r>
            <w:rPr>
              <w:sz w:val="24"/>
              <w:szCs w:val="24"/>
            </w:rPr>
            <w:fldChar w:fldCharType="begin"/>
          </w:r>
          <w:r>
            <w:rPr>
              <w:sz w:val="24"/>
              <w:szCs w:val="24"/>
            </w:rPr>
            <w:instrText xml:space="preserve"> PAGEREF _Toc11019 \h </w:instrText>
          </w:r>
          <w:r>
            <w:rPr>
              <w:sz w:val="24"/>
              <w:szCs w:val="24"/>
            </w:rPr>
            <w:fldChar w:fldCharType="separate"/>
          </w:r>
          <w:r>
            <w:rPr>
              <w:sz w:val="24"/>
              <w:szCs w:val="24"/>
            </w:rPr>
            <w:t>3</w:t>
          </w:r>
          <w:r>
            <w:rPr>
              <w:sz w:val="24"/>
              <w:szCs w:val="24"/>
            </w:rPr>
            <w:fldChar w:fldCharType="end"/>
          </w:r>
          <w:r>
            <w:rPr>
              <w:bCs/>
              <w:color w:val="auto"/>
              <w:sz w:val="24"/>
              <w:szCs w:val="24"/>
              <w:highlight w:val="none"/>
              <w:lang w:val="zh-CN"/>
            </w:rPr>
            <w:fldChar w:fldCharType="end"/>
          </w:r>
        </w:p>
        <w:p w14:paraId="52B531D3">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_Toc24751 </w:instrText>
          </w:r>
          <w:r>
            <w:rPr>
              <w:bCs/>
              <w:sz w:val="24"/>
              <w:szCs w:val="24"/>
              <w:highlight w:val="none"/>
              <w:lang w:val="zh-CN"/>
            </w:rPr>
            <w:fldChar w:fldCharType="separate"/>
          </w:r>
          <w:r>
            <w:rPr>
              <w:rFonts w:hint="eastAsia" w:eastAsia="宋体" w:cs="宋体"/>
              <w:sz w:val="24"/>
              <w:szCs w:val="24"/>
              <w:highlight w:val="none"/>
            </w:rPr>
            <w:t>五、开启</w:t>
          </w:r>
          <w:r>
            <w:rPr>
              <w:sz w:val="24"/>
              <w:szCs w:val="24"/>
            </w:rPr>
            <w:tab/>
          </w:r>
          <w:r>
            <w:rPr>
              <w:sz w:val="24"/>
              <w:szCs w:val="24"/>
            </w:rPr>
            <w:fldChar w:fldCharType="begin"/>
          </w:r>
          <w:r>
            <w:rPr>
              <w:sz w:val="24"/>
              <w:szCs w:val="24"/>
            </w:rPr>
            <w:instrText xml:space="preserve"> PAGEREF _Toc24751 \h </w:instrText>
          </w:r>
          <w:r>
            <w:rPr>
              <w:sz w:val="24"/>
              <w:szCs w:val="24"/>
            </w:rPr>
            <w:fldChar w:fldCharType="separate"/>
          </w:r>
          <w:r>
            <w:rPr>
              <w:sz w:val="24"/>
              <w:szCs w:val="24"/>
            </w:rPr>
            <w:t>3</w:t>
          </w:r>
          <w:r>
            <w:rPr>
              <w:sz w:val="24"/>
              <w:szCs w:val="24"/>
            </w:rPr>
            <w:fldChar w:fldCharType="end"/>
          </w:r>
          <w:r>
            <w:rPr>
              <w:bCs/>
              <w:color w:val="auto"/>
              <w:sz w:val="24"/>
              <w:szCs w:val="24"/>
              <w:highlight w:val="none"/>
              <w:lang w:val="zh-CN"/>
            </w:rPr>
            <w:fldChar w:fldCharType="end"/>
          </w:r>
        </w:p>
        <w:p w14:paraId="2DCD111F">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_Toc1916 </w:instrText>
          </w:r>
          <w:r>
            <w:rPr>
              <w:bCs/>
              <w:sz w:val="24"/>
              <w:szCs w:val="24"/>
              <w:highlight w:val="none"/>
              <w:lang w:val="zh-CN"/>
            </w:rPr>
            <w:fldChar w:fldCharType="separate"/>
          </w:r>
          <w:r>
            <w:rPr>
              <w:rFonts w:hint="eastAsia" w:eastAsia="宋体" w:cs="宋体"/>
              <w:sz w:val="24"/>
              <w:szCs w:val="24"/>
              <w:highlight w:val="none"/>
            </w:rPr>
            <w:t>六、公告期限</w:t>
          </w:r>
          <w:r>
            <w:rPr>
              <w:sz w:val="24"/>
              <w:szCs w:val="24"/>
            </w:rPr>
            <w:tab/>
          </w:r>
          <w:r>
            <w:rPr>
              <w:sz w:val="24"/>
              <w:szCs w:val="24"/>
            </w:rPr>
            <w:fldChar w:fldCharType="begin"/>
          </w:r>
          <w:r>
            <w:rPr>
              <w:sz w:val="24"/>
              <w:szCs w:val="24"/>
            </w:rPr>
            <w:instrText xml:space="preserve"> PAGEREF _Toc1916 \h </w:instrText>
          </w:r>
          <w:r>
            <w:rPr>
              <w:sz w:val="24"/>
              <w:szCs w:val="24"/>
            </w:rPr>
            <w:fldChar w:fldCharType="separate"/>
          </w:r>
          <w:r>
            <w:rPr>
              <w:sz w:val="24"/>
              <w:szCs w:val="24"/>
            </w:rPr>
            <w:t>3</w:t>
          </w:r>
          <w:r>
            <w:rPr>
              <w:sz w:val="24"/>
              <w:szCs w:val="24"/>
            </w:rPr>
            <w:fldChar w:fldCharType="end"/>
          </w:r>
          <w:r>
            <w:rPr>
              <w:bCs/>
              <w:color w:val="auto"/>
              <w:sz w:val="24"/>
              <w:szCs w:val="24"/>
              <w:highlight w:val="none"/>
              <w:lang w:val="zh-CN"/>
            </w:rPr>
            <w:fldChar w:fldCharType="end"/>
          </w:r>
        </w:p>
        <w:p w14:paraId="28B37E97">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_Toc9820 </w:instrText>
          </w:r>
          <w:r>
            <w:rPr>
              <w:bCs/>
              <w:sz w:val="24"/>
              <w:szCs w:val="24"/>
              <w:highlight w:val="none"/>
              <w:lang w:val="zh-CN"/>
            </w:rPr>
            <w:fldChar w:fldCharType="separate"/>
          </w:r>
          <w:r>
            <w:rPr>
              <w:rFonts w:hint="eastAsia" w:eastAsia="宋体" w:cs="宋体"/>
              <w:sz w:val="24"/>
              <w:szCs w:val="24"/>
              <w:highlight w:val="none"/>
            </w:rPr>
            <w:t>七、其他补充事宜</w:t>
          </w:r>
          <w:r>
            <w:rPr>
              <w:sz w:val="24"/>
              <w:szCs w:val="24"/>
            </w:rPr>
            <w:tab/>
          </w:r>
          <w:r>
            <w:rPr>
              <w:sz w:val="24"/>
              <w:szCs w:val="24"/>
            </w:rPr>
            <w:fldChar w:fldCharType="begin"/>
          </w:r>
          <w:r>
            <w:rPr>
              <w:sz w:val="24"/>
              <w:szCs w:val="24"/>
            </w:rPr>
            <w:instrText xml:space="preserve"> PAGEREF _Toc9820 \h </w:instrText>
          </w:r>
          <w:r>
            <w:rPr>
              <w:sz w:val="24"/>
              <w:szCs w:val="24"/>
            </w:rPr>
            <w:fldChar w:fldCharType="separate"/>
          </w:r>
          <w:r>
            <w:rPr>
              <w:sz w:val="24"/>
              <w:szCs w:val="24"/>
            </w:rPr>
            <w:t>4</w:t>
          </w:r>
          <w:r>
            <w:rPr>
              <w:sz w:val="24"/>
              <w:szCs w:val="24"/>
            </w:rPr>
            <w:fldChar w:fldCharType="end"/>
          </w:r>
          <w:r>
            <w:rPr>
              <w:bCs/>
              <w:color w:val="auto"/>
              <w:sz w:val="24"/>
              <w:szCs w:val="24"/>
              <w:highlight w:val="none"/>
              <w:lang w:val="zh-CN"/>
            </w:rPr>
            <w:fldChar w:fldCharType="end"/>
          </w:r>
        </w:p>
        <w:p w14:paraId="593F110F">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_Toc4243 </w:instrText>
          </w:r>
          <w:r>
            <w:rPr>
              <w:bCs/>
              <w:sz w:val="24"/>
              <w:szCs w:val="24"/>
              <w:highlight w:val="none"/>
              <w:lang w:val="zh-CN"/>
            </w:rPr>
            <w:fldChar w:fldCharType="separate"/>
          </w:r>
          <w:r>
            <w:rPr>
              <w:rFonts w:hint="eastAsia" w:eastAsia="宋体" w:cs="宋体"/>
              <w:sz w:val="24"/>
              <w:szCs w:val="24"/>
              <w:highlight w:val="none"/>
            </w:rPr>
            <w:t>八、对本次招标提出询问，请按以下方式联系。</w:t>
          </w:r>
          <w:r>
            <w:rPr>
              <w:sz w:val="24"/>
              <w:szCs w:val="24"/>
            </w:rPr>
            <w:tab/>
          </w:r>
          <w:r>
            <w:rPr>
              <w:sz w:val="24"/>
              <w:szCs w:val="24"/>
            </w:rPr>
            <w:fldChar w:fldCharType="begin"/>
          </w:r>
          <w:r>
            <w:rPr>
              <w:sz w:val="24"/>
              <w:szCs w:val="24"/>
            </w:rPr>
            <w:instrText xml:space="preserve"> PAGEREF _Toc4243 \h </w:instrText>
          </w:r>
          <w:r>
            <w:rPr>
              <w:sz w:val="24"/>
              <w:szCs w:val="24"/>
            </w:rPr>
            <w:fldChar w:fldCharType="separate"/>
          </w:r>
          <w:r>
            <w:rPr>
              <w:sz w:val="24"/>
              <w:szCs w:val="24"/>
            </w:rPr>
            <w:t>5</w:t>
          </w:r>
          <w:r>
            <w:rPr>
              <w:sz w:val="24"/>
              <w:szCs w:val="24"/>
            </w:rPr>
            <w:fldChar w:fldCharType="end"/>
          </w:r>
          <w:r>
            <w:rPr>
              <w:bCs/>
              <w:color w:val="auto"/>
              <w:sz w:val="24"/>
              <w:szCs w:val="24"/>
              <w:highlight w:val="none"/>
              <w:lang w:val="zh-CN"/>
            </w:rPr>
            <w:fldChar w:fldCharType="end"/>
          </w:r>
        </w:p>
        <w:p w14:paraId="2E939E5B">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_Toc15194 </w:instrText>
          </w:r>
          <w:r>
            <w:rPr>
              <w:bCs/>
              <w:sz w:val="24"/>
              <w:szCs w:val="24"/>
              <w:highlight w:val="none"/>
              <w:lang w:val="zh-CN"/>
            </w:rPr>
            <w:fldChar w:fldCharType="separate"/>
          </w:r>
          <w:r>
            <w:rPr>
              <w:rFonts w:hint="eastAsia"/>
              <w:sz w:val="24"/>
              <w:szCs w:val="24"/>
            </w:rPr>
            <w:t xml:space="preserve">第二章 </w:t>
          </w:r>
          <w:r>
            <w:rPr>
              <w:rFonts w:hint="eastAsia"/>
              <w:sz w:val="24"/>
              <w:szCs w:val="24"/>
              <w:lang w:val="en-US" w:eastAsia="zh-CN"/>
            </w:rPr>
            <w:t xml:space="preserve"> </w:t>
          </w:r>
          <w:r>
            <w:rPr>
              <w:rFonts w:hint="eastAsia"/>
              <w:sz w:val="24"/>
              <w:szCs w:val="24"/>
            </w:rPr>
            <w:t>投标人须知</w:t>
          </w:r>
          <w:r>
            <w:rPr>
              <w:sz w:val="24"/>
              <w:szCs w:val="24"/>
            </w:rPr>
            <w:tab/>
          </w:r>
          <w:r>
            <w:rPr>
              <w:sz w:val="24"/>
              <w:szCs w:val="24"/>
            </w:rPr>
            <w:fldChar w:fldCharType="begin"/>
          </w:r>
          <w:r>
            <w:rPr>
              <w:sz w:val="24"/>
              <w:szCs w:val="24"/>
            </w:rPr>
            <w:instrText xml:space="preserve"> PAGEREF _Toc15194 \h </w:instrText>
          </w:r>
          <w:r>
            <w:rPr>
              <w:sz w:val="24"/>
              <w:szCs w:val="24"/>
            </w:rPr>
            <w:fldChar w:fldCharType="separate"/>
          </w:r>
          <w:r>
            <w:rPr>
              <w:sz w:val="24"/>
              <w:szCs w:val="24"/>
            </w:rPr>
            <w:t>6</w:t>
          </w:r>
          <w:r>
            <w:rPr>
              <w:sz w:val="24"/>
              <w:szCs w:val="24"/>
            </w:rPr>
            <w:fldChar w:fldCharType="end"/>
          </w:r>
          <w:r>
            <w:rPr>
              <w:bCs/>
              <w:color w:val="auto"/>
              <w:sz w:val="24"/>
              <w:szCs w:val="24"/>
              <w:highlight w:val="none"/>
              <w:lang w:val="zh-CN"/>
            </w:rPr>
            <w:fldChar w:fldCharType="end"/>
          </w:r>
        </w:p>
        <w:p w14:paraId="24A40B4C">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_Toc1266 </w:instrText>
          </w:r>
          <w:r>
            <w:rPr>
              <w:bCs/>
              <w:sz w:val="24"/>
              <w:szCs w:val="24"/>
              <w:highlight w:val="none"/>
              <w:lang w:val="zh-CN"/>
            </w:rPr>
            <w:fldChar w:fldCharType="separate"/>
          </w:r>
          <w:r>
            <w:rPr>
              <w:rFonts w:hint="eastAsia"/>
              <w:sz w:val="24"/>
              <w:szCs w:val="24"/>
              <w:lang w:val="en-US" w:eastAsia="zh-CN"/>
            </w:rPr>
            <w:t xml:space="preserve">第一节  </w:t>
          </w:r>
          <w:r>
            <w:rPr>
              <w:rFonts w:hint="eastAsia"/>
              <w:sz w:val="24"/>
              <w:szCs w:val="24"/>
            </w:rPr>
            <w:t>投标人须知前附表</w:t>
          </w:r>
          <w:r>
            <w:rPr>
              <w:sz w:val="24"/>
              <w:szCs w:val="24"/>
            </w:rPr>
            <w:tab/>
          </w:r>
          <w:r>
            <w:rPr>
              <w:sz w:val="24"/>
              <w:szCs w:val="24"/>
            </w:rPr>
            <w:fldChar w:fldCharType="begin"/>
          </w:r>
          <w:r>
            <w:rPr>
              <w:sz w:val="24"/>
              <w:szCs w:val="24"/>
            </w:rPr>
            <w:instrText xml:space="preserve"> PAGEREF _Toc1266 \h </w:instrText>
          </w:r>
          <w:r>
            <w:rPr>
              <w:sz w:val="24"/>
              <w:szCs w:val="24"/>
            </w:rPr>
            <w:fldChar w:fldCharType="separate"/>
          </w:r>
          <w:r>
            <w:rPr>
              <w:sz w:val="24"/>
              <w:szCs w:val="24"/>
            </w:rPr>
            <w:t>6</w:t>
          </w:r>
          <w:r>
            <w:rPr>
              <w:sz w:val="24"/>
              <w:szCs w:val="24"/>
            </w:rPr>
            <w:fldChar w:fldCharType="end"/>
          </w:r>
          <w:r>
            <w:rPr>
              <w:bCs/>
              <w:color w:val="auto"/>
              <w:sz w:val="24"/>
              <w:szCs w:val="24"/>
              <w:highlight w:val="none"/>
              <w:lang w:val="zh-CN"/>
            </w:rPr>
            <w:fldChar w:fldCharType="end"/>
          </w:r>
        </w:p>
        <w:p w14:paraId="7834E249">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_Toc30677 </w:instrText>
          </w:r>
          <w:r>
            <w:rPr>
              <w:bCs/>
              <w:sz w:val="24"/>
              <w:szCs w:val="24"/>
              <w:highlight w:val="none"/>
              <w:lang w:val="zh-CN"/>
            </w:rPr>
            <w:fldChar w:fldCharType="separate"/>
          </w:r>
          <w:r>
            <w:rPr>
              <w:rFonts w:hint="eastAsia" w:eastAsia="宋体" w:cs="宋体"/>
              <w:sz w:val="24"/>
              <w:szCs w:val="24"/>
              <w:highlight w:val="none"/>
              <w:lang w:val="en-US" w:eastAsia="zh-CN"/>
            </w:rPr>
            <w:t>第二节  投标人须知正文</w:t>
          </w:r>
          <w:r>
            <w:rPr>
              <w:sz w:val="24"/>
              <w:szCs w:val="24"/>
            </w:rPr>
            <w:tab/>
          </w:r>
          <w:r>
            <w:rPr>
              <w:sz w:val="24"/>
              <w:szCs w:val="24"/>
            </w:rPr>
            <w:fldChar w:fldCharType="begin"/>
          </w:r>
          <w:r>
            <w:rPr>
              <w:sz w:val="24"/>
              <w:szCs w:val="24"/>
            </w:rPr>
            <w:instrText xml:space="preserve"> PAGEREF _Toc30677 \h </w:instrText>
          </w:r>
          <w:r>
            <w:rPr>
              <w:sz w:val="24"/>
              <w:szCs w:val="24"/>
            </w:rPr>
            <w:fldChar w:fldCharType="separate"/>
          </w:r>
          <w:r>
            <w:rPr>
              <w:sz w:val="24"/>
              <w:szCs w:val="24"/>
            </w:rPr>
            <w:t>12</w:t>
          </w:r>
          <w:r>
            <w:rPr>
              <w:sz w:val="24"/>
              <w:szCs w:val="24"/>
            </w:rPr>
            <w:fldChar w:fldCharType="end"/>
          </w:r>
          <w:r>
            <w:rPr>
              <w:bCs/>
              <w:color w:val="auto"/>
              <w:sz w:val="24"/>
              <w:szCs w:val="24"/>
              <w:highlight w:val="none"/>
              <w:lang w:val="zh-CN"/>
            </w:rPr>
            <w:fldChar w:fldCharType="end"/>
          </w:r>
        </w:p>
        <w:p w14:paraId="6FEDC135">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i w:val="0"/>
              <w:iCs w:val="0"/>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_Toc26589 </w:instrText>
          </w:r>
          <w:r>
            <w:rPr>
              <w:bCs/>
              <w:i w:val="0"/>
              <w:iCs w:val="0"/>
              <w:sz w:val="24"/>
              <w:szCs w:val="24"/>
              <w:highlight w:val="none"/>
              <w:lang w:val="zh-CN"/>
            </w:rPr>
            <w:fldChar w:fldCharType="separate"/>
          </w:r>
          <w:r>
            <w:rPr>
              <w:rFonts w:hint="eastAsia"/>
              <w:i w:val="0"/>
              <w:iCs w:val="0"/>
              <w:sz w:val="24"/>
              <w:szCs w:val="24"/>
            </w:rPr>
            <w:t>一、总  则</w:t>
          </w:r>
          <w:r>
            <w:rPr>
              <w:i w:val="0"/>
              <w:iCs w:val="0"/>
              <w:sz w:val="24"/>
              <w:szCs w:val="24"/>
            </w:rPr>
            <w:tab/>
          </w:r>
          <w:r>
            <w:rPr>
              <w:i w:val="0"/>
              <w:iCs w:val="0"/>
              <w:sz w:val="24"/>
              <w:szCs w:val="24"/>
            </w:rPr>
            <w:fldChar w:fldCharType="begin"/>
          </w:r>
          <w:r>
            <w:rPr>
              <w:i w:val="0"/>
              <w:iCs w:val="0"/>
              <w:sz w:val="24"/>
              <w:szCs w:val="24"/>
            </w:rPr>
            <w:instrText xml:space="preserve"> PAGEREF _Toc26589 \h </w:instrText>
          </w:r>
          <w:r>
            <w:rPr>
              <w:i w:val="0"/>
              <w:iCs w:val="0"/>
              <w:sz w:val="24"/>
              <w:szCs w:val="24"/>
            </w:rPr>
            <w:fldChar w:fldCharType="separate"/>
          </w:r>
          <w:r>
            <w:rPr>
              <w:i w:val="0"/>
              <w:iCs w:val="0"/>
              <w:sz w:val="24"/>
              <w:szCs w:val="24"/>
            </w:rPr>
            <w:t>12</w:t>
          </w:r>
          <w:r>
            <w:rPr>
              <w:i w:val="0"/>
              <w:iCs w:val="0"/>
              <w:sz w:val="24"/>
              <w:szCs w:val="24"/>
            </w:rPr>
            <w:fldChar w:fldCharType="end"/>
          </w:r>
          <w:r>
            <w:rPr>
              <w:bCs/>
              <w:i w:val="0"/>
              <w:iCs w:val="0"/>
              <w:color w:val="auto"/>
              <w:sz w:val="24"/>
              <w:szCs w:val="24"/>
              <w:highlight w:val="none"/>
              <w:lang w:val="zh-CN"/>
            </w:rPr>
            <w:fldChar w:fldCharType="end"/>
          </w:r>
        </w:p>
        <w:p w14:paraId="1A74A46A">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i w:val="0"/>
              <w:iCs w:val="0"/>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_Toc22176 </w:instrText>
          </w:r>
          <w:r>
            <w:rPr>
              <w:bCs/>
              <w:i w:val="0"/>
              <w:iCs w:val="0"/>
              <w:sz w:val="24"/>
              <w:szCs w:val="24"/>
              <w:highlight w:val="none"/>
              <w:lang w:val="zh-CN"/>
            </w:rPr>
            <w:fldChar w:fldCharType="separate"/>
          </w:r>
          <w:r>
            <w:rPr>
              <w:rFonts w:hint="eastAsia" w:ascii="宋体" w:hAnsi="宋体" w:eastAsia="宋体" w:cs="Times New Roman"/>
              <w:i w:val="0"/>
              <w:iCs w:val="0"/>
              <w:sz w:val="24"/>
              <w:szCs w:val="24"/>
            </w:rPr>
            <w:t>二、招标文件</w:t>
          </w:r>
          <w:r>
            <w:rPr>
              <w:i w:val="0"/>
              <w:iCs w:val="0"/>
              <w:sz w:val="24"/>
              <w:szCs w:val="24"/>
            </w:rPr>
            <w:tab/>
          </w:r>
          <w:r>
            <w:rPr>
              <w:i w:val="0"/>
              <w:iCs w:val="0"/>
              <w:sz w:val="24"/>
              <w:szCs w:val="24"/>
            </w:rPr>
            <w:fldChar w:fldCharType="begin"/>
          </w:r>
          <w:r>
            <w:rPr>
              <w:i w:val="0"/>
              <w:iCs w:val="0"/>
              <w:sz w:val="24"/>
              <w:szCs w:val="24"/>
            </w:rPr>
            <w:instrText xml:space="preserve"> PAGEREF _Toc22176 \h </w:instrText>
          </w:r>
          <w:r>
            <w:rPr>
              <w:i w:val="0"/>
              <w:iCs w:val="0"/>
              <w:sz w:val="24"/>
              <w:szCs w:val="24"/>
            </w:rPr>
            <w:fldChar w:fldCharType="separate"/>
          </w:r>
          <w:r>
            <w:rPr>
              <w:i w:val="0"/>
              <w:iCs w:val="0"/>
              <w:sz w:val="24"/>
              <w:szCs w:val="24"/>
            </w:rPr>
            <w:t>14</w:t>
          </w:r>
          <w:r>
            <w:rPr>
              <w:i w:val="0"/>
              <w:iCs w:val="0"/>
              <w:sz w:val="24"/>
              <w:szCs w:val="24"/>
            </w:rPr>
            <w:fldChar w:fldCharType="end"/>
          </w:r>
          <w:r>
            <w:rPr>
              <w:bCs/>
              <w:i w:val="0"/>
              <w:iCs w:val="0"/>
              <w:color w:val="auto"/>
              <w:sz w:val="24"/>
              <w:szCs w:val="24"/>
              <w:highlight w:val="none"/>
              <w:lang w:val="zh-CN"/>
            </w:rPr>
            <w:fldChar w:fldCharType="end"/>
          </w:r>
        </w:p>
        <w:p w14:paraId="018315EA">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i w:val="0"/>
              <w:iCs w:val="0"/>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_Toc17139 </w:instrText>
          </w:r>
          <w:r>
            <w:rPr>
              <w:bCs/>
              <w:i w:val="0"/>
              <w:iCs w:val="0"/>
              <w:sz w:val="24"/>
              <w:szCs w:val="24"/>
              <w:highlight w:val="none"/>
              <w:lang w:val="zh-CN"/>
            </w:rPr>
            <w:fldChar w:fldCharType="separate"/>
          </w:r>
          <w:r>
            <w:rPr>
              <w:rFonts w:hint="eastAsia" w:ascii="宋体" w:hAnsi="宋体" w:eastAsia="宋体" w:cs="Times New Roman"/>
              <w:i w:val="0"/>
              <w:iCs w:val="0"/>
              <w:sz w:val="24"/>
              <w:szCs w:val="24"/>
            </w:rPr>
            <w:t>三、投标文件</w:t>
          </w:r>
          <w:r>
            <w:rPr>
              <w:i w:val="0"/>
              <w:iCs w:val="0"/>
              <w:sz w:val="24"/>
              <w:szCs w:val="24"/>
            </w:rPr>
            <w:tab/>
          </w:r>
          <w:r>
            <w:rPr>
              <w:i w:val="0"/>
              <w:iCs w:val="0"/>
              <w:sz w:val="24"/>
              <w:szCs w:val="24"/>
            </w:rPr>
            <w:fldChar w:fldCharType="begin"/>
          </w:r>
          <w:r>
            <w:rPr>
              <w:i w:val="0"/>
              <w:iCs w:val="0"/>
              <w:sz w:val="24"/>
              <w:szCs w:val="24"/>
            </w:rPr>
            <w:instrText xml:space="preserve"> PAGEREF _Toc17139 \h </w:instrText>
          </w:r>
          <w:r>
            <w:rPr>
              <w:i w:val="0"/>
              <w:iCs w:val="0"/>
              <w:sz w:val="24"/>
              <w:szCs w:val="24"/>
            </w:rPr>
            <w:fldChar w:fldCharType="separate"/>
          </w:r>
          <w:r>
            <w:rPr>
              <w:i w:val="0"/>
              <w:iCs w:val="0"/>
              <w:sz w:val="24"/>
              <w:szCs w:val="24"/>
            </w:rPr>
            <w:t>15</w:t>
          </w:r>
          <w:r>
            <w:rPr>
              <w:i w:val="0"/>
              <w:iCs w:val="0"/>
              <w:sz w:val="24"/>
              <w:szCs w:val="24"/>
            </w:rPr>
            <w:fldChar w:fldCharType="end"/>
          </w:r>
          <w:r>
            <w:rPr>
              <w:bCs/>
              <w:i w:val="0"/>
              <w:iCs w:val="0"/>
              <w:color w:val="auto"/>
              <w:sz w:val="24"/>
              <w:szCs w:val="24"/>
              <w:highlight w:val="none"/>
              <w:lang w:val="zh-CN"/>
            </w:rPr>
            <w:fldChar w:fldCharType="end"/>
          </w:r>
        </w:p>
        <w:p w14:paraId="53021A5F">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i w:val="0"/>
              <w:iCs w:val="0"/>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_Toc13458 </w:instrText>
          </w:r>
          <w:r>
            <w:rPr>
              <w:bCs/>
              <w:i w:val="0"/>
              <w:iCs w:val="0"/>
              <w:sz w:val="24"/>
              <w:szCs w:val="24"/>
              <w:highlight w:val="none"/>
              <w:lang w:val="zh-CN"/>
            </w:rPr>
            <w:fldChar w:fldCharType="separate"/>
          </w:r>
          <w:r>
            <w:rPr>
              <w:rFonts w:hint="eastAsia" w:ascii="宋体" w:hAnsi="宋体" w:eastAsia="宋体" w:cs="Times New Roman"/>
              <w:i w:val="0"/>
              <w:iCs w:val="0"/>
              <w:sz w:val="24"/>
              <w:szCs w:val="24"/>
            </w:rPr>
            <w:t>四、投标文件的提交</w:t>
          </w:r>
          <w:r>
            <w:rPr>
              <w:i w:val="0"/>
              <w:iCs w:val="0"/>
              <w:sz w:val="24"/>
              <w:szCs w:val="24"/>
            </w:rPr>
            <w:tab/>
          </w:r>
          <w:r>
            <w:rPr>
              <w:i w:val="0"/>
              <w:iCs w:val="0"/>
              <w:sz w:val="24"/>
              <w:szCs w:val="24"/>
            </w:rPr>
            <w:fldChar w:fldCharType="begin"/>
          </w:r>
          <w:r>
            <w:rPr>
              <w:i w:val="0"/>
              <w:iCs w:val="0"/>
              <w:sz w:val="24"/>
              <w:szCs w:val="24"/>
            </w:rPr>
            <w:instrText xml:space="preserve"> PAGEREF _Toc13458 \h </w:instrText>
          </w:r>
          <w:r>
            <w:rPr>
              <w:i w:val="0"/>
              <w:iCs w:val="0"/>
              <w:sz w:val="24"/>
              <w:szCs w:val="24"/>
            </w:rPr>
            <w:fldChar w:fldCharType="separate"/>
          </w:r>
          <w:r>
            <w:rPr>
              <w:i w:val="0"/>
              <w:iCs w:val="0"/>
              <w:sz w:val="24"/>
              <w:szCs w:val="24"/>
            </w:rPr>
            <w:t>18</w:t>
          </w:r>
          <w:r>
            <w:rPr>
              <w:i w:val="0"/>
              <w:iCs w:val="0"/>
              <w:sz w:val="24"/>
              <w:szCs w:val="24"/>
            </w:rPr>
            <w:fldChar w:fldCharType="end"/>
          </w:r>
          <w:r>
            <w:rPr>
              <w:bCs/>
              <w:i w:val="0"/>
              <w:iCs w:val="0"/>
              <w:color w:val="auto"/>
              <w:sz w:val="24"/>
              <w:szCs w:val="24"/>
              <w:highlight w:val="none"/>
              <w:lang w:val="zh-CN"/>
            </w:rPr>
            <w:fldChar w:fldCharType="end"/>
          </w:r>
        </w:p>
        <w:p w14:paraId="4CA0D618">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i w:val="0"/>
              <w:iCs w:val="0"/>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_Toc23198 </w:instrText>
          </w:r>
          <w:r>
            <w:rPr>
              <w:bCs/>
              <w:i w:val="0"/>
              <w:iCs w:val="0"/>
              <w:sz w:val="24"/>
              <w:szCs w:val="24"/>
              <w:highlight w:val="none"/>
              <w:lang w:val="zh-CN"/>
            </w:rPr>
            <w:fldChar w:fldCharType="separate"/>
          </w:r>
          <w:r>
            <w:rPr>
              <w:rFonts w:hint="eastAsia" w:ascii="宋体" w:hAnsi="宋体" w:eastAsia="宋体" w:cs="Times New Roman"/>
              <w:i w:val="0"/>
              <w:iCs w:val="0"/>
              <w:sz w:val="24"/>
              <w:szCs w:val="24"/>
            </w:rPr>
            <w:t>五、开标与评标</w:t>
          </w:r>
          <w:r>
            <w:rPr>
              <w:i w:val="0"/>
              <w:iCs w:val="0"/>
              <w:sz w:val="24"/>
              <w:szCs w:val="24"/>
            </w:rPr>
            <w:tab/>
          </w:r>
          <w:r>
            <w:rPr>
              <w:i w:val="0"/>
              <w:iCs w:val="0"/>
              <w:sz w:val="24"/>
              <w:szCs w:val="24"/>
            </w:rPr>
            <w:fldChar w:fldCharType="begin"/>
          </w:r>
          <w:r>
            <w:rPr>
              <w:i w:val="0"/>
              <w:iCs w:val="0"/>
              <w:sz w:val="24"/>
              <w:szCs w:val="24"/>
            </w:rPr>
            <w:instrText xml:space="preserve"> PAGEREF _Toc23198 \h </w:instrText>
          </w:r>
          <w:r>
            <w:rPr>
              <w:i w:val="0"/>
              <w:iCs w:val="0"/>
              <w:sz w:val="24"/>
              <w:szCs w:val="24"/>
            </w:rPr>
            <w:fldChar w:fldCharType="separate"/>
          </w:r>
          <w:r>
            <w:rPr>
              <w:i w:val="0"/>
              <w:iCs w:val="0"/>
              <w:sz w:val="24"/>
              <w:szCs w:val="24"/>
            </w:rPr>
            <w:t>19</w:t>
          </w:r>
          <w:r>
            <w:rPr>
              <w:i w:val="0"/>
              <w:iCs w:val="0"/>
              <w:sz w:val="24"/>
              <w:szCs w:val="24"/>
            </w:rPr>
            <w:fldChar w:fldCharType="end"/>
          </w:r>
          <w:r>
            <w:rPr>
              <w:bCs/>
              <w:i w:val="0"/>
              <w:iCs w:val="0"/>
              <w:color w:val="auto"/>
              <w:sz w:val="24"/>
              <w:szCs w:val="24"/>
              <w:highlight w:val="none"/>
              <w:lang w:val="zh-CN"/>
            </w:rPr>
            <w:fldChar w:fldCharType="end"/>
          </w:r>
        </w:p>
        <w:p w14:paraId="4C8890A5">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i w:val="0"/>
              <w:iCs w:val="0"/>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_Toc23473 </w:instrText>
          </w:r>
          <w:r>
            <w:rPr>
              <w:bCs/>
              <w:i w:val="0"/>
              <w:iCs w:val="0"/>
              <w:sz w:val="24"/>
              <w:szCs w:val="24"/>
              <w:highlight w:val="none"/>
              <w:lang w:val="zh-CN"/>
            </w:rPr>
            <w:fldChar w:fldCharType="separate"/>
          </w:r>
          <w:r>
            <w:rPr>
              <w:rFonts w:hint="eastAsia" w:ascii="宋体" w:hAnsi="宋体" w:eastAsia="宋体" w:cs="Times New Roman"/>
              <w:i w:val="0"/>
              <w:iCs w:val="0"/>
              <w:sz w:val="24"/>
              <w:szCs w:val="24"/>
            </w:rPr>
            <w:t>六、中标结果</w:t>
          </w:r>
          <w:r>
            <w:rPr>
              <w:i w:val="0"/>
              <w:iCs w:val="0"/>
              <w:sz w:val="24"/>
              <w:szCs w:val="24"/>
            </w:rPr>
            <w:tab/>
          </w:r>
          <w:r>
            <w:rPr>
              <w:i w:val="0"/>
              <w:iCs w:val="0"/>
              <w:sz w:val="24"/>
              <w:szCs w:val="24"/>
            </w:rPr>
            <w:fldChar w:fldCharType="begin"/>
          </w:r>
          <w:r>
            <w:rPr>
              <w:i w:val="0"/>
              <w:iCs w:val="0"/>
              <w:sz w:val="24"/>
              <w:szCs w:val="24"/>
            </w:rPr>
            <w:instrText xml:space="preserve"> PAGEREF _Toc23473 \h </w:instrText>
          </w:r>
          <w:r>
            <w:rPr>
              <w:i w:val="0"/>
              <w:iCs w:val="0"/>
              <w:sz w:val="24"/>
              <w:szCs w:val="24"/>
            </w:rPr>
            <w:fldChar w:fldCharType="separate"/>
          </w:r>
          <w:r>
            <w:rPr>
              <w:i w:val="0"/>
              <w:iCs w:val="0"/>
              <w:sz w:val="24"/>
              <w:szCs w:val="24"/>
            </w:rPr>
            <w:t>21</w:t>
          </w:r>
          <w:r>
            <w:rPr>
              <w:i w:val="0"/>
              <w:iCs w:val="0"/>
              <w:sz w:val="24"/>
              <w:szCs w:val="24"/>
            </w:rPr>
            <w:fldChar w:fldCharType="end"/>
          </w:r>
          <w:r>
            <w:rPr>
              <w:bCs/>
              <w:i w:val="0"/>
              <w:iCs w:val="0"/>
              <w:color w:val="auto"/>
              <w:sz w:val="24"/>
              <w:szCs w:val="24"/>
              <w:highlight w:val="none"/>
              <w:lang w:val="zh-CN"/>
            </w:rPr>
            <w:fldChar w:fldCharType="end"/>
          </w:r>
        </w:p>
        <w:p w14:paraId="2AE202B9">
          <w:pPr>
            <w:pStyle w:val="22"/>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sz w:val="24"/>
              <w:szCs w:val="24"/>
            </w:rPr>
          </w:pPr>
          <w:r>
            <w:rPr>
              <w:bCs/>
              <w:i w:val="0"/>
              <w:iCs w:val="0"/>
              <w:color w:val="auto"/>
              <w:sz w:val="24"/>
              <w:szCs w:val="24"/>
              <w:highlight w:val="none"/>
              <w:lang w:val="zh-CN"/>
            </w:rPr>
            <w:fldChar w:fldCharType="begin"/>
          </w:r>
          <w:r>
            <w:rPr>
              <w:bCs/>
              <w:i w:val="0"/>
              <w:iCs w:val="0"/>
              <w:sz w:val="24"/>
              <w:szCs w:val="24"/>
              <w:highlight w:val="none"/>
              <w:lang w:val="zh-CN"/>
            </w:rPr>
            <w:instrText xml:space="preserve"> HYPERLINK \l _Toc4865 </w:instrText>
          </w:r>
          <w:r>
            <w:rPr>
              <w:bCs/>
              <w:i w:val="0"/>
              <w:iCs w:val="0"/>
              <w:sz w:val="24"/>
              <w:szCs w:val="24"/>
              <w:highlight w:val="none"/>
              <w:lang w:val="zh-CN"/>
            </w:rPr>
            <w:fldChar w:fldCharType="separate"/>
          </w:r>
          <w:r>
            <w:rPr>
              <w:rFonts w:hint="eastAsia" w:ascii="宋体" w:hAnsi="宋体" w:eastAsia="宋体" w:cs="Times New Roman"/>
              <w:i w:val="0"/>
              <w:iCs w:val="0"/>
              <w:sz w:val="24"/>
              <w:szCs w:val="24"/>
            </w:rPr>
            <w:t>七、其他事项</w:t>
          </w:r>
          <w:r>
            <w:rPr>
              <w:i w:val="0"/>
              <w:iCs w:val="0"/>
              <w:sz w:val="24"/>
              <w:szCs w:val="24"/>
            </w:rPr>
            <w:tab/>
          </w:r>
          <w:r>
            <w:rPr>
              <w:i w:val="0"/>
              <w:iCs w:val="0"/>
              <w:sz w:val="24"/>
              <w:szCs w:val="24"/>
            </w:rPr>
            <w:fldChar w:fldCharType="begin"/>
          </w:r>
          <w:r>
            <w:rPr>
              <w:i w:val="0"/>
              <w:iCs w:val="0"/>
              <w:sz w:val="24"/>
              <w:szCs w:val="24"/>
            </w:rPr>
            <w:instrText xml:space="preserve"> PAGEREF _Toc4865 \h </w:instrText>
          </w:r>
          <w:r>
            <w:rPr>
              <w:i w:val="0"/>
              <w:iCs w:val="0"/>
              <w:sz w:val="24"/>
              <w:szCs w:val="24"/>
            </w:rPr>
            <w:fldChar w:fldCharType="separate"/>
          </w:r>
          <w:r>
            <w:rPr>
              <w:i w:val="0"/>
              <w:iCs w:val="0"/>
              <w:sz w:val="24"/>
              <w:szCs w:val="24"/>
            </w:rPr>
            <w:t>22</w:t>
          </w:r>
          <w:r>
            <w:rPr>
              <w:i w:val="0"/>
              <w:iCs w:val="0"/>
              <w:sz w:val="24"/>
              <w:szCs w:val="24"/>
            </w:rPr>
            <w:fldChar w:fldCharType="end"/>
          </w:r>
          <w:r>
            <w:rPr>
              <w:bCs/>
              <w:i w:val="0"/>
              <w:iCs w:val="0"/>
              <w:color w:val="auto"/>
              <w:sz w:val="24"/>
              <w:szCs w:val="24"/>
              <w:highlight w:val="none"/>
              <w:lang w:val="zh-CN"/>
            </w:rPr>
            <w:fldChar w:fldCharType="end"/>
          </w:r>
        </w:p>
        <w:p w14:paraId="64DBEAB6">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_Toc16612 </w:instrText>
          </w:r>
          <w:r>
            <w:rPr>
              <w:bCs/>
              <w:sz w:val="24"/>
              <w:szCs w:val="24"/>
              <w:highlight w:val="none"/>
              <w:lang w:val="zh-CN"/>
            </w:rPr>
            <w:fldChar w:fldCharType="separate"/>
          </w:r>
          <w:r>
            <w:rPr>
              <w:rFonts w:hint="eastAsia"/>
              <w:sz w:val="24"/>
              <w:szCs w:val="24"/>
            </w:rPr>
            <w:t xml:space="preserve">第三章 </w:t>
          </w:r>
          <w:r>
            <w:rPr>
              <w:rFonts w:hint="eastAsia"/>
              <w:sz w:val="24"/>
              <w:szCs w:val="24"/>
              <w:lang w:val="en-US" w:eastAsia="zh-CN"/>
            </w:rPr>
            <w:t xml:space="preserve"> </w:t>
          </w:r>
          <w:r>
            <w:rPr>
              <w:rFonts w:hint="eastAsia"/>
              <w:sz w:val="24"/>
              <w:szCs w:val="24"/>
            </w:rPr>
            <w:t>合同书样式及主要条款</w:t>
          </w:r>
          <w:r>
            <w:rPr>
              <w:sz w:val="24"/>
              <w:szCs w:val="24"/>
            </w:rPr>
            <w:tab/>
          </w:r>
          <w:r>
            <w:rPr>
              <w:sz w:val="24"/>
              <w:szCs w:val="24"/>
            </w:rPr>
            <w:fldChar w:fldCharType="begin"/>
          </w:r>
          <w:r>
            <w:rPr>
              <w:sz w:val="24"/>
              <w:szCs w:val="24"/>
            </w:rPr>
            <w:instrText xml:space="preserve"> PAGEREF _Toc16612 \h </w:instrText>
          </w:r>
          <w:r>
            <w:rPr>
              <w:sz w:val="24"/>
              <w:szCs w:val="24"/>
            </w:rPr>
            <w:fldChar w:fldCharType="separate"/>
          </w:r>
          <w:r>
            <w:rPr>
              <w:sz w:val="24"/>
              <w:szCs w:val="24"/>
            </w:rPr>
            <w:t>23</w:t>
          </w:r>
          <w:r>
            <w:rPr>
              <w:sz w:val="24"/>
              <w:szCs w:val="24"/>
            </w:rPr>
            <w:fldChar w:fldCharType="end"/>
          </w:r>
          <w:r>
            <w:rPr>
              <w:bCs/>
              <w:color w:val="auto"/>
              <w:sz w:val="24"/>
              <w:szCs w:val="24"/>
              <w:highlight w:val="none"/>
              <w:lang w:val="zh-CN"/>
            </w:rPr>
            <w:fldChar w:fldCharType="end"/>
          </w:r>
        </w:p>
        <w:p w14:paraId="0FD512BA">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_Toc29046 </w:instrText>
          </w:r>
          <w:r>
            <w:rPr>
              <w:bCs/>
              <w:sz w:val="24"/>
              <w:szCs w:val="24"/>
              <w:highlight w:val="none"/>
              <w:lang w:val="zh-CN"/>
            </w:rPr>
            <w:fldChar w:fldCharType="separate"/>
          </w:r>
          <w:r>
            <w:rPr>
              <w:rFonts w:hint="eastAsia"/>
              <w:sz w:val="24"/>
              <w:szCs w:val="24"/>
            </w:rPr>
            <w:t>第一节</w:t>
          </w:r>
          <w:r>
            <w:rPr>
              <w:rFonts w:hint="eastAsia"/>
              <w:sz w:val="24"/>
              <w:szCs w:val="24"/>
              <w:lang w:val="en-US" w:eastAsia="zh-CN"/>
            </w:rPr>
            <w:t xml:space="preserve">  </w:t>
          </w:r>
          <w:r>
            <w:rPr>
              <w:rFonts w:hint="eastAsia"/>
              <w:sz w:val="24"/>
              <w:szCs w:val="24"/>
            </w:rPr>
            <w:t>政府采购合同协议书</w:t>
          </w:r>
          <w:r>
            <w:rPr>
              <w:sz w:val="24"/>
              <w:szCs w:val="24"/>
            </w:rPr>
            <w:tab/>
          </w:r>
          <w:r>
            <w:rPr>
              <w:sz w:val="24"/>
              <w:szCs w:val="24"/>
            </w:rPr>
            <w:fldChar w:fldCharType="begin"/>
          </w:r>
          <w:r>
            <w:rPr>
              <w:sz w:val="24"/>
              <w:szCs w:val="24"/>
            </w:rPr>
            <w:instrText xml:space="preserve"> PAGEREF _Toc29046 \h </w:instrText>
          </w:r>
          <w:r>
            <w:rPr>
              <w:sz w:val="24"/>
              <w:szCs w:val="24"/>
            </w:rPr>
            <w:fldChar w:fldCharType="separate"/>
          </w:r>
          <w:r>
            <w:rPr>
              <w:sz w:val="24"/>
              <w:szCs w:val="24"/>
            </w:rPr>
            <w:t>25</w:t>
          </w:r>
          <w:r>
            <w:rPr>
              <w:sz w:val="24"/>
              <w:szCs w:val="24"/>
            </w:rPr>
            <w:fldChar w:fldCharType="end"/>
          </w:r>
          <w:r>
            <w:rPr>
              <w:bCs/>
              <w:color w:val="auto"/>
              <w:sz w:val="24"/>
              <w:szCs w:val="24"/>
              <w:highlight w:val="none"/>
              <w:lang w:val="zh-CN"/>
            </w:rPr>
            <w:fldChar w:fldCharType="end"/>
          </w:r>
        </w:p>
        <w:p w14:paraId="438A0A26">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_Toc20479 </w:instrText>
          </w:r>
          <w:r>
            <w:rPr>
              <w:bCs/>
              <w:sz w:val="24"/>
              <w:szCs w:val="24"/>
              <w:highlight w:val="none"/>
              <w:lang w:val="zh-CN"/>
            </w:rPr>
            <w:fldChar w:fldCharType="separate"/>
          </w:r>
          <w:r>
            <w:rPr>
              <w:rFonts w:hint="eastAsia"/>
              <w:sz w:val="24"/>
              <w:szCs w:val="24"/>
            </w:rPr>
            <w:t>第二节</w:t>
          </w:r>
          <w:r>
            <w:rPr>
              <w:rFonts w:hint="eastAsia"/>
              <w:sz w:val="24"/>
              <w:szCs w:val="24"/>
              <w:lang w:val="en-US" w:eastAsia="zh-CN"/>
            </w:rPr>
            <w:t xml:space="preserve">  </w:t>
          </w:r>
          <w:r>
            <w:rPr>
              <w:rFonts w:hint="eastAsia"/>
              <w:sz w:val="24"/>
              <w:szCs w:val="24"/>
            </w:rPr>
            <w:t>政府采购合同通用条款</w:t>
          </w:r>
          <w:r>
            <w:rPr>
              <w:sz w:val="24"/>
              <w:szCs w:val="24"/>
            </w:rPr>
            <w:tab/>
          </w:r>
          <w:r>
            <w:rPr>
              <w:sz w:val="24"/>
              <w:szCs w:val="24"/>
            </w:rPr>
            <w:fldChar w:fldCharType="begin"/>
          </w:r>
          <w:r>
            <w:rPr>
              <w:sz w:val="24"/>
              <w:szCs w:val="24"/>
            </w:rPr>
            <w:instrText xml:space="preserve"> PAGEREF _Toc20479 \h </w:instrText>
          </w:r>
          <w:r>
            <w:rPr>
              <w:sz w:val="24"/>
              <w:szCs w:val="24"/>
            </w:rPr>
            <w:fldChar w:fldCharType="separate"/>
          </w:r>
          <w:r>
            <w:rPr>
              <w:sz w:val="24"/>
              <w:szCs w:val="24"/>
            </w:rPr>
            <w:t>30</w:t>
          </w:r>
          <w:r>
            <w:rPr>
              <w:sz w:val="24"/>
              <w:szCs w:val="24"/>
            </w:rPr>
            <w:fldChar w:fldCharType="end"/>
          </w:r>
          <w:r>
            <w:rPr>
              <w:bCs/>
              <w:color w:val="auto"/>
              <w:sz w:val="24"/>
              <w:szCs w:val="24"/>
              <w:highlight w:val="none"/>
              <w:lang w:val="zh-CN"/>
            </w:rPr>
            <w:fldChar w:fldCharType="end"/>
          </w:r>
        </w:p>
        <w:p w14:paraId="29647EDD">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_Toc18135 </w:instrText>
          </w:r>
          <w:r>
            <w:rPr>
              <w:bCs/>
              <w:sz w:val="24"/>
              <w:szCs w:val="24"/>
              <w:highlight w:val="none"/>
              <w:lang w:val="zh-CN"/>
            </w:rPr>
            <w:fldChar w:fldCharType="separate"/>
          </w:r>
          <w:r>
            <w:rPr>
              <w:rFonts w:hint="eastAsia"/>
              <w:sz w:val="24"/>
              <w:szCs w:val="24"/>
            </w:rPr>
            <w:t>第三节</w:t>
          </w:r>
          <w:r>
            <w:rPr>
              <w:rFonts w:hint="eastAsia"/>
              <w:sz w:val="24"/>
              <w:szCs w:val="24"/>
              <w:lang w:val="en-US" w:eastAsia="zh-CN"/>
            </w:rPr>
            <w:t xml:space="preserve">  </w:t>
          </w:r>
          <w:r>
            <w:rPr>
              <w:rFonts w:hint="eastAsia"/>
              <w:sz w:val="24"/>
              <w:szCs w:val="24"/>
            </w:rPr>
            <w:t>政府采购合同专用条款</w:t>
          </w:r>
          <w:r>
            <w:rPr>
              <w:sz w:val="24"/>
              <w:szCs w:val="24"/>
            </w:rPr>
            <w:tab/>
          </w:r>
          <w:r>
            <w:rPr>
              <w:sz w:val="24"/>
              <w:szCs w:val="24"/>
            </w:rPr>
            <w:fldChar w:fldCharType="begin"/>
          </w:r>
          <w:r>
            <w:rPr>
              <w:sz w:val="24"/>
              <w:szCs w:val="24"/>
            </w:rPr>
            <w:instrText xml:space="preserve"> PAGEREF _Toc18135 \h </w:instrText>
          </w:r>
          <w:r>
            <w:rPr>
              <w:sz w:val="24"/>
              <w:szCs w:val="24"/>
            </w:rPr>
            <w:fldChar w:fldCharType="separate"/>
          </w:r>
          <w:r>
            <w:rPr>
              <w:sz w:val="24"/>
              <w:szCs w:val="24"/>
            </w:rPr>
            <w:t>37</w:t>
          </w:r>
          <w:r>
            <w:rPr>
              <w:sz w:val="24"/>
              <w:szCs w:val="24"/>
            </w:rPr>
            <w:fldChar w:fldCharType="end"/>
          </w:r>
          <w:r>
            <w:rPr>
              <w:bCs/>
              <w:color w:val="auto"/>
              <w:sz w:val="24"/>
              <w:szCs w:val="24"/>
              <w:highlight w:val="none"/>
              <w:lang w:val="zh-CN"/>
            </w:rPr>
            <w:fldChar w:fldCharType="end"/>
          </w:r>
        </w:p>
        <w:p w14:paraId="25437641">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_Toc16742 </w:instrText>
          </w:r>
          <w:r>
            <w:rPr>
              <w:bCs/>
              <w:sz w:val="24"/>
              <w:szCs w:val="24"/>
              <w:highlight w:val="none"/>
              <w:lang w:val="zh-CN"/>
            </w:rPr>
            <w:fldChar w:fldCharType="separate"/>
          </w:r>
          <w:r>
            <w:rPr>
              <w:rFonts w:hint="eastAsia"/>
              <w:sz w:val="24"/>
              <w:szCs w:val="24"/>
            </w:rPr>
            <w:t>第四章  投标文件格式</w:t>
          </w:r>
          <w:r>
            <w:rPr>
              <w:sz w:val="24"/>
              <w:szCs w:val="24"/>
            </w:rPr>
            <w:tab/>
          </w:r>
          <w:r>
            <w:rPr>
              <w:sz w:val="24"/>
              <w:szCs w:val="24"/>
            </w:rPr>
            <w:fldChar w:fldCharType="begin"/>
          </w:r>
          <w:r>
            <w:rPr>
              <w:sz w:val="24"/>
              <w:szCs w:val="24"/>
            </w:rPr>
            <w:instrText xml:space="preserve"> PAGEREF _Toc16742 \h </w:instrText>
          </w:r>
          <w:r>
            <w:rPr>
              <w:sz w:val="24"/>
              <w:szCs w:val="24"/>
            </w:rPr>
            <w:fldChar w:fldCharType="separate"/>
          </w:r>
          <w:r>
            <w:rPr>
              <w:sz w:val="24"/>
              <w:szCs w:val="24"/>
            </w:rPr>
            <w:t>41</w:t>
          </w:r>
          <w:r>
            <w:rPr>
              <w:sz w:val="24"/>
              <w:szCs w:val="24"/>
            </w:rPr>
            <w:fldChar w:fldCharType="end"/>
          </w:r>
          <w:r>
            <w:rPr>
              <w:bCs/>
              <w:color w:val="auto"/>
              <w:sz w:val="24"/>
              <w:szCs w:val="24"/>
              <w:highlight w:val="none"/>
              <w:lang w:val="zh-CN"/>
            </w:rPr>
            <w:fldChar w:fldCharType="end"/>
          </w:r>
        </w:p>
        <w:p w14:paraId="5E7FF740">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_Toc12579 </w:instrText>
          </w:r>
          <w:r>
            <w:rPr>
              <w:bCs/>
              <w:sz w:val="24"/>
              <w:szCs w:val="24"/>
              <w:highlight w:val="none"/>
              <w:lang w:val="zh-CN"/>
            </w:rPr>
            <w:fldChar w:fldCharType="separate"/>
          </w:r>
          <w:r>
            <w:rPr>
              <w:rFonts w:hint="eastAsia"/>
              <w:sz w:val="24"/>
              <w:szCs w:val="24"/>
            </w:rPr>
            <w:t>一、开标一览表</w:t>
          </w:r>
          <w:r>
            <w:rPr>
              <w:sz w:val="24"/>
              <w:szCs w:val="24"/>
            </w:rPr>
            <w:tab/>
          </w:r>
          <w:r>
            <w:rPr>
              <w:sz w:val="24"/>
              <w:szCs w:val="24"/>
            </w:rPr>
            <w:fldChar w:fldCharType="begin"/>
          </w:r>
          <w:r>
            <w:rPr>
              <w:sz w:val="24"/>
              <w:szCs w:val="24"/>
            </w:rPr>
            <w:instrText xml:space="preserve"> PAGEREF _Toc12579 \h </w:instrText>
          </w:r>
          <w:r>
            <w:rPr>
              <w:sz w:val="24"/>
              <w:szCs w:val="24"/>
            </w:rPr>
            <w:fldChar w:fldCharType="separate"/>
          </w:r>
          <w:r>
            <w:rPr>
              <w:sz w:val="24"/>
              <w:szCs w:val="24"/>
            </w:rPr>
            <w:t>42</w:t>
          </w:r>
          <w:r>
            <w:rPr>
              <w:sz w:val="24"/>
              <w:szCs w:val="24"/>
            </w:rPr>
            <w:fldChar w:fldCharType="end"/>
          </w:r>
          <w:r>
            <w:rPr>
              <w:bCs/>
              <w:color w:val="auto"/>
              <w:sz w:val="24"/>
              <w:szCs w:val="24"/>
              <w:highlight w:val="none"/>
              <w:lang w:val="zh-CN"/>
            </w:rPr>
            <w:fldChar w:fldCharType="end"/>
          </w:r>
        </w:p>
        <w:p w14:paraId="7316F4B2">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_Toc3487 </w:instrText>
          </w:r>
          <w:r>
            <w:rPr>
              <w:bCs/>
              <w:sz w:val="24"/>
              <w:szCs w:val="24"/>
              <w:highlight w:val="none"/>
              <w:lang w:val="zh-CN"/>
            </w:rPr>
            <w:fldChar w:fldCharType="separate"/>
          </w:r>
          <w:r>
            <w:rPr>
              <w:rFonts w:hint="eastAsia"/>
              <w:sz w:val="24"/>
              <w:szCs w:val="24"/>
            </w:rPr>
            <w:t>二、资格证明文件</w:t>
          </w:r>
          <w:r>
            <w:rPr>
              <w:sz w:val="24"/>
              <w:szCs w:val="24"/>
            </w:rPr>
            <w:tab/>
          </w:r>
          <w:r>
            <w:rPr>
              <w:sz w:val="24"/>
              <w:szCs w:val="24"/>
            </w:rPr>
            <w:fldChar w:fldCharType="begin"/>
          </w:r>
          <w:r>
            <w:rPr>
              <w:sz w:val="24"/>
              <w:szCs w:val="24"/>
            </w:rPr>
            <w:instrText xml:space="preserve"> PAGEREF _Toc3487 \h </w:instrText>
          </w:r>
          <w:r>
            <w:rPr>
              <w:sz w:val="24"/>
              <w:szCs w:val="24"/>
            </w:rPr>
            <w:fldChar w:fldCharType="separate"/>
          </w:r>
          <w:r>
            <w:rPr>
              <w:sz w:val="24"/>
              <w:szCs w:val="24"/>
            </w:rPr>
            <w:t>43</w:t>
          </w:r>
          <w:r>
            <w:rPr>
              <w:sz w:val="24"/>
              <w:szCs w:val="24"/>
            </w:rPr>
            <w:fldChar w:fldCharType="end"/>
          </w:r>
          <w:r>
            <w:rPr>
              <w:bCs/>
              <w:color w:val="auto"/>
              <w:sz w:val="24"/>
              <w:szCs w:val="24"/>
              <w:highlight w:val="none"/>
              <w:lang w:val="zh-CN"/>
            </w:rPr>
            <w:fldChar w:fldCharType="end"/>
          </w:r>
        </w:p>
        <w:p w14:paraId="75F2ACEA">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_Toc9268 </w:instrText>
          </w:r>
          <w:r>
            <w:rPr>
              <w:bCs/>
              <w:sz w:val="24"/>
              <w:szCs w:val="24"/>
              <w:highlight w:val="none"/>
              <w:lang w:val="zh-CN"/>
            </w:rPr>
            <w:fldChar w:fldCharType="separate"/>
          </w:r>
          <w:r>
            <w:rPr>
              <w:rFonts w:hint="eastAsia"/>
              <w:sz w:val="24"/>
              <w:szCs w:val="24"/>
            </w:rPr>
            <w:t>三、商务部分</w:t>
          </w:r>
          <w:r>
            <w:rPr>
              <w:sz w:val="24"/>
              <w:szCs w:val="24"/>
            </w:rPr>
            <w:tab/>
          </w:r>
          <w:r>
            <w:rPr>
              <w:sz w:val="24"/>
              <w:szCs w:val="24"/>
            </w:rPr>
            <w:fldChar w:fldCharType="begin"/>
          </w:r>
          <w:r>
            <w:rPr>
              <w:sz w:val="24"/>
              <w:szCs w:val="24"/>
            </w:rPr>
            <w:instrText xml:space="preserve"> PAGEREF _Toc9268 \h </w:instrText>
          </w:r>
          <w:r>
            <w:rPr>
              <w:sz w:val="24"/>
              <w:szCs w:val="24"/>
            </w:rPr>
            <w:fldChar w:fldCharType="separate"/>
          </w:r>
          <w:r>
            <w:rPr>
              <w:sz w:val="24"/>
              <w:szCs w:val="24"/>
            </w:rPr>
            <w:t>50</w:t>
          </w:r>
          <w:r>
            <w:rPr>
              <w:sz w:val="24"/>
              <w:szCs w:val="24"/>
            </w:rPr>
            <w:fldChar w:fldCharType="end"/>
          </w:r>
          <w:r>
            <w:rPr>
              <w:bCs/>
              <w:color w:val="auto"/>
              <w:sz w:val="24"/>
              <w:szCs w:val="24"/>
              <w:highlight w:val="none"/>
              <w:lang w:val="zh-CN"/>
            </w:rPr>
            <w:fldChar w:fldCharType="end"/>
          </w:r>
        </w:p>
        <w:p w14:paraId="7B272DB9">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_Toc8246 </w:instrText>
          </w:r>
          <w:r>
            <w:rPr>
              <w:bCs/>
              <w:sz w:val="24"/>
              <w:szCs w:val="24"/>
              <w:highlight w:val="none"/>
              <w:lang w:val="zh-CN"/>
            </w:rPr>
            <w:fldChar w:fldCharType="separate"/>
          </w:r>
          <w:r>
            <w:rPr>
              <w:rFonts w:hint="eastAsia"/>
              <w:sz w:val="24"/>
              <w:szCs w:val="24"/>
            </w:rPr>
            <w:t>四、技术部分</w:t>
          </w:r>
          <w:r>
            <w:rPr>
              <w:sz w:val="24"/>
              <w:szCs w:val="24"/>
            </w:rPr>
            <w:tab/>
          </w:r>
          <w:r>
            <w:rPr>
              <w:sz w:val="24"/>
              <w:szCs w:val="24"/>
            </w:rPr>
            <w:fldChar w:fldCharType="begin"/>
          </w:r>
          <w:r>
            <w:rPr>
              <w:sz w:val="24"/>
              <w:szCs w:val="24"/>
            </w:rPr>
            <w:instrText xml:space="preserve"> PAGEREF _Toc8246 \h </w:instrText>
          </w:r>
          <w:r>
            <w:rPr>
              <w:sz w:val="24"/>
              <w:szCs w:val="24"/>
            </w:rPr>
            <w:fldChar w:fldCharType="separate"/>
          </w:r>
          <w:r>
            <w:rPr>
              <w:sz w:val="24"/>
              <w:szCs w:val="24"/>
            </w:rPr>
            <w:t>66</w:t>
          </w:r>
          <w:r>
            <w:rPr>
              <w:sz w:val="24"/>
              <w:szCs w:val="24"/>
            </w:rPr>
            <w:fldChar w:fldCharType="end"/>
          </w:r>
          <w:r>
            <w:rPr>
              <w:bCs/>
              <w:color w:val="auto"/>
              <w:sz w:val="24"/>
              <w:szCs w:val="24"/>
              <w:highlight w:val="none"/>
              <w:lang w:val="zh-CN"/>
            </w:rPr>
            <w:fldChar w:fldCharType="end"/>
          </w:r>
        </w:p>
        <w:p w14:paraId="541BD379">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_Toc11752 </w:instrText>
          </w:r>
          <w:r>
            <w:rPr>
              <w:bCs/>
              <w:sz w:val="24"/>
              <w:szCs w:val="24"/>
              <w:highlight w:val="none"/>
              <w:lang w:val="zh-CN"/>
            </w:rPr>
            <w:fldChar w:fldCharType="separate"/>
          </w:r>
          <w:r>
            <w:rPr>
              <w:rFonts w:hint="eastAsia"/>
              <w:sz w:val="24"/>
              <w:szCs w:val="24"/>
            </w:rPr>
            <w:t xml:space="preserve">第五章  </w:t>
          </w:r>
          <w:r>
            <w:rPr>
              <w:rFonts w:hint="eastAsia"/>
              <w:sz w:val="24"/>
              <w:szCs w:val="24"/>
              <w:lang w:val="en-US" w:eastAsia="zh-CN"/>
            </w:rPr>
            <w:t>采购需求</w:t>
          </w:r>
          <w:r>
            <w:rPr>
              <w:sz w:val="24"/>
              <w:szCs w:val="24"/>
            </w:rPr>
            <w:tab/>
          </w:r>
          <w:r>
            <w:rPr>
              <w:sz w:val="24"/>
              <w:szCs w:val="24"/>
            </w:rPr>
            <w:fldChar w:fldCharType="begin"/>
          </w:r>
          <w:r>
            <w:rPr>
              <w:sz w:val="24"/>
              <w:szCs w:val="24"/>
            </w:rPr>
            <w:instrText xml:space="preserve"> PAGEREF _Toc11752 \h </w:instrText>
          </w:r>
          <w:r>
            <w:rPr>
              <w:sz w:val="24"/>
              <w:szCs w:val="24"/>
            </w:rPr>
            <w:fldChar w:fldCharType="separate"/>
          </w:r>
          <w:r>
            <w:rPr>
              <w:sz w:val="24"/>
              <w:szCs w:val="24"/>
            </w:rPr>
            <w:t>70</w:t>
          </w:r>
          <w:r>
            <w:rPr>
              <w:sz w:val="24"/>
              <w:szCs w:val="24"/>
            </w:rPr>
            <w:fldChar w:fldCharType="end"/>
          </w:r>
          <w:r>
            <w:rPr>
              <w:bCs/>
              <w:color w:val="auto"/>
              <w:sz w:val="24"/>
              <w:szCs w:val="24"/>
              <w:highlight w:val="none"/>
              <w:lang w:val="zh-CN"/>
            </w:rPr>
            <w:fldChar w:fldCharType="end"/>
          </w:r>
        </w:p>
        <w:p w14:paraId="61F68B47">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_Toc17549 </w:instrText>
          </w:r>
          <w:r>
            <w:rPr>
              <w:bCs/>
              <w:sz w:val="24"/>
              <w:szCs w:val="24"/>
              <w:highlight w:val="none"/>
              <w:lang w:val="zh-CN"/>
            </w:rPr>
            <w:fldChar w:fldCharType="separate"/>
          </w:r>
          <w:r>
            <w:rPr>
              <w:rFonts w:hint="eastAsia"/>
              <w:sz w:val="24"/>
              <w:szCs w:val="24"/>
              <w:lang w:val="en-US" w:eastAsia="zh-CN"/>
            </w:rPr>
            <w:t>一</w:t>
          </w:r>
          <w:r>
            <w:rPr>
              <w:sz w:val="24"/>
              <w:szCs w:val="24"/>
            </w:rPr>
            <w:t>、</w:t>
          </w:r>
          <w:r>
            <w:rPr>
              <w:rFonts w:hint="eastAsia"/>
              <w:sz w:val="24"/>
              <w:szCs w:val="24"/>
            </w:rPr>
            <w:t>技术参数要求</w:t>
          </w:r>
          <w:r>
            <w:rPr>
              <w:sz w:val="24"/>
              <w:szCs w:val="24"/>
            </w:rPr>
            <w:tab/>
          </w:r>
          <w:r>
            <w:rPr>
              <w:sz w:val="24"/>
              <w:szCs w:val="24"/>
            </w:rPr>
            <w:fldChar w:fldCharType="begin"/>
          </w:r>
          <w:r>
            <w:rPr>
              <w:sz w:val="24"/>
              <w:szCs w:val="24"/>
            </w:rPr>
            <w:instrText xml:space="preserve"> PAGEREF _Toc17549 \h </w:instrText>
          </w:r>
          <w:r>
            <w:rPr>
              <w:sz w:val="24"/>
              <w:szCs w:val="24"/>
            </w:rPr>
            <w:fldChar w:fldCharType="separate"/>
          </w:r>
          <w:r>
            <w:rPr>
              <w:sz w:val="24"/>
              <w:szCs w:val="24"/>
            </w:rPr>
            <w:t>70</w:t>
          </w:r>
          <w:r>
            <w:rPr>
              <w:sz w:val="24"/>
              <w:szCs w:val="24"/>
            </w:rPr>
            <w:fldChar w:fldCharType="end"/>
          </w:r>
          <w:r>
            <w:rPr>
              <w:bCs/>
              <w:color w:val="auto"/>
              <w:sz w:val="24"/>
              <w:szCs w:val="24"/>
              <w:highlight w:val="none"/>
              <w:lang w:val="zh-CN"/>
            </w:rPr>
            <w:fldChar w:fldCharType="end"/>
          </w:r>
        </w:p>
        <w:p w14:paraId="6468D4D1">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_Toc20256 </w:instrText>
          </w:r>
          <w:r>
            <w:rPr>
              <w:bCs/>
              <w:sz w:val="24"/>
              <w:szCs w:val="24"/>
              <w:highlight w:val="none"/>
              <w:lang w:val="zh-CN"/>
            </w:rPr>
            <w:fldChar w:fldCharType="separate"/>
          </w:r>
          <w:r>
            <w:rPr>
              <w:rFonts w:hint="eastAsia"/>
              <w:sz w:val="24"/>
              <w:szCs w:val="24"/>
              <w:lang w:val="en-US" w:eastAsia="zh-CN"/>
            </w:rPr>
            <w:t>二</w:t>
          </w:r>
          <w:r>
            <w:rPr>
              <w:sz w:val="24"/>
              <w:szCs w:val="24"/>
            </w:rPr>
            <w:t>、</w:t>
          </w:r>
          <w:r>
            <w:rPr>
              <w:rFonts w:hint="eastAsia"/>
              <w:sz w:val="24"/>
              <w:szCs w:val="24"/>
            </w:rPr>
            <w:t>商务要求</w:t>
          </w:r>
          <w:r>
            <w:rPr>
              <w:sz w:val="24"/>
              <w:szCs w:val="24"/>
            </w:rPr>
            <w:tab/>
          </w:r>
          <w:r>
            <w:rPr>
              <w:sz w:val="24"/>
              <w:szCs w:val="24"/>
            </w:rPr>
            <w:fldChar w:fldCharType="begin"/>
          </w:r>
          <w:r>
            <w:rPr>
              <w:sz w:val="24"/>
              <w:szCs w:val="24"/>
            </w:rPr>
            <w:instrText xml:space="preserve"> PAGEREF _Toc20256 \h </w:instrText>
          </w:r>
          <w:r>
            <w:rPr>
              <w:sz w:val="24"/>
              <w:szCs w:val="24"/>
            </w:rPr>
            <w:fldChar w:fldCharType="separate"/>
          </w:r>
          <w:r>
            <w:rPr>
              <w:sz w:val="24"/>
              <w:szCs w:val="24"/>
            </w:rPr>
            <w:t>77</w:t>
          </w:r>
          <w:r>
            <w:rPr>
              <w:sz w:val="24"/>
              <w:szCs w:val="24"/>
            </w:rPr>
            <w:fldChar w:fldCharType="end"/>
          </w:r>
          <w:r>
            <w:rPr>
              <w:bCs/>
              <w:color w:val="auto"/>
              <w:sz w:val="24"/>
              <w:szCs w:val="24"/>
              <w:highlight w:val="none"/>
              <w:lang w:val="zh-CN"/>
            </w:rPr>
            <w:fldChar w:fldCharType="end"/>
          </w:r>
        </w:p>
        <w:p w14:paraId="18AA7686">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_Toc10403 </w:instrText>
          </w:r>
          <w:r>
            <w:rPr>
              <w:bCs/>
              <w:sz w:val="24"/>
              <w:szCs w:val="24"/>
              <w:highlight w:val="none"/>
              <w:lang w:val="zh-CN"/>
            </w:rPr>
            <w:fldChar w:fldCharType="separate"/>
          </w:r>
          <w:r>
            <w:rPr>
              <w:rFonts w:hint="eastAsia"/>
              <w:sz w:val="24"/>
              <w:szCs w:val="24"/>
            </w:rPr>
            <w:t>第六章  资格评审标准</w:t>
          </w:r>
          <w:r>
            <w:rPr>
              <w:sz w:val="24"/>
              <w:szCs w:val="24"/>
            </w:rPr>
            <w:tab/>
          </w:r>
          <w:r>
            <w:rPr>
              <w:sz w:val="24"/>
              <w:szCs w:val="24"/>
            </w:rPr>
            <w:fldChar w:fldCharType="begin"/>
          </w:r>
          <w:r>
            <w:rPr>
              <w:sz w:val="24"/>
              <w:szCs w:val="24"/>
            </w:rPr>
            <w:instrText xml:space="preserve"> PAGEREF _Toc10403 \h </w:instrText>
          </w:r>
          <w:r>
            <w:rPr>
              <w:sz w:val="24"/>
              <w:szCs w:val="24"/>
            </w:rPr>
            <w:fldChar w:fldCharType="separate"/>
          </w:r>
          <w:r>
            <w:rPr>
              <w:sz w:val="24"/>
              <w:szCs w:val="24"/>
            </w:rPr>
            <w:t>79</w:t>
          </w:r>
          <w:r>
            <w:rPr>
              <w:sz w:val="24"/>
              <w:szCs w:val="24"/>
            </w:rPr>
            <w:fldChar w:fldCharType="end"/>
          </w:r>
          <w:r>
            <w:rPr>
              <w:bCs/>
              <w:color w:val="auto"/>
              <w:sz w:val="24"/>
              <w:szCs w:val="24"/>
              <w:highlight w:val="none"/>
              <w:lang w:val="zh-CN"/>
            </w:rPr>
            <w:fldChar w:fldCharType="end"/>
          </w:r>
        </w:p>
        <w:p w14:paraId="0221DAA6">
          <w:pPr>
            <w:pStyle w:val="30"/>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_Toc24805 </w:instrText>
          </w:r>
          <w:r>
            <w:rPr>
              <w:bCs/>
              <w:sz w:val="24"/>
              <w:szCs w:val="24"/>
              <w:highlight w:val="none"/>
              <w:lang w:val="zh-CN"/>
            </w:rPr>
            <w:fldChar w:fldCharType="separate"/>
          </w:r>
          <w:r>
            <w:rPr>
              <w:rFonts w:hint="eastAsia"/>
              <w:sz w:val="24"/>
              <w:szCs w:val="24"/>
            </w:rPr>
            <w:t>第七章  评标办法</w:t>
          </w:r>
          <w:r>
            <w:rPr>
              <w:sz w:val="24"/>
              <w:szCs w:val="24"/>
            </w:rPr>
            <w:tab/>
          </w:r>
          <w:r>
            <w:rPr>
              <w:sz w:val="24"/>
              <w:szCs w:val="24"/>
            </w:rPr>
            <w:fldChar w:fldCharType="begin"/>
          </w:r>
          <w:r>
            <w:rPr>
              <w:sz w:val="24"/>
              <w:szCs w:val="24"/>
            </w:rPr>
            <w:instrText xml:space="preserve"> PAGEREF _Toc24805 \h </w:instrText>
          </w:r>
          <w:r>
            <w:rPr>
              <w:sz w:val="24"/>
              <w:szCs w:val="24"/>
            </w:rPr>
            <w:fldChar w:fldCharType="separate"/>
          </w:r>
          <w:r>
            <w:rPr>
              <w:sz w:val="24"/>
              <w:szCs w:val="24"/>
            </w:rPr>
            <w:t>81</w:t>
          </w:r>
          <w:r>
            <w:rPr>
              <w:sz w:val="24"/>
              <w:szCs w:val="24"/>
            </w:rPr>
            <w:fldChar w:fldCharType="end"/>
          </w:r>
          <w:r>
            <w:rPr>
              <w:bCs/>
              <w:color w:val="auto"/>
              <w:sz w:val="24"/>
              <w:szCs w:val="24"/>
              <w:highlight w:val="none"/>
              <w:lang w:val="zh-CN"/>
            </w:rPr>
            <w:fldChar w:fldCharType="end"/>
          </w:r>
        </w:p>
        <w:p w14:paraId="113CA81F">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sz w:val="24"/>
              <w:szCs w:val="24"/>
            </w:rPr>
          </w:pPr>
          <w:r>
            <w:rPr>
              <w:bCs/>
              <w:color w:val="auto"/>
              <w:sz w:val="24"/>
              <w:szCs w:val="24"/>
              <w:highlight w:val="none"/>
              <w:lang w:val="zh-CN"/>
            </w:rPr>
            <w:fldChar w:fldCharType="begin"/>
          </w:r>
          <w:r>
            <w:rPr>
              <w:bCs/>
              <w:sz w:val="24"/>
              <w:szCs w:val="24"/>
              <w:highlight w:val="none"/>
              <w:lang w:val="zh-CN"/>
            </w:rPr>
            <w:instrText xml:space="preserve"> HYPERLINK \l _Toc13761 </w:instrText>
          </w:r>
          <w:r>
            <w:rPr>
              <w:bCs/>
              <w:sz w:val="24"/>
              <w:szCs w:val="24"/>
              <w:highlight w:val="none"/>
              <w:lang w:val="zh-CN"/>
            </w:rPr>
            <w:fldChar w:fldCharType="separate"/>
          </w:r>
          <w:r>
            <w:rPr>
              <w:rFonts w:hint="eastAsia"/>
              <w:sz w:val="24"/>
              <w:szCs w:val="24"/>
              <w:lang w:val="en-US" w:eastAsia="zh-CN"/>
            </w:rPr>
            <w:t xml:space="preserve">第一节  </w:t>
          </w:r>
          <w:r>
            <w:rPr>
              <w:rFonts w:hint="eastAsia"/>
              <w:sz w:val="24"/>
              <w:szCs w:val="24"/>
            </w:rPr>
            <w:t>评标办法前附表</w:t>
          </w:r>
          <w:r>
            <w:rPr>
              <w:sz w:val="24"/>
              <w:szCs w:val="24"/>
            </w:rPr>
            <w:tab/>
          </w:r>
          <w:r>
            <w:rPr>
              <w:sz w:val="24"/>
              <w:szCs w:val="24"/>
            </w:rPr>
            <w:fldChar w:fldCharType="begin"/>
          </w:r>
          <w:r>
            <w:rPr>
              <w:sz w:val="24"/>
              <w:szCs w:val="24"/>
            </w:rPr>
            <w:instrText xml:space="preserve"> PAGEREF _Toc13761 \h </w:instrText>
          </w:r>
          <w:r>
            <w:rPr>
              <w:sz w:val="24"/>
              <w:szCs w:val="24"/>
            </w:rPr>
            <w:fldChar w:fldCharType="separate"/>
          </w:r>
          <w:r>
            <w:rPr>
              <w:sz w:val="24"/>
              <w:szCs w:val="24"/>
            </w:rPr>
            <w:t>81</w:t>
          </w:r>
          <w:r>
            <w:rPr>
              <w:sz w:val="24"/>
              <w:szCs w:val="24"/>
            </w:rPr>
            <w:fldChar w:fldCharType="end"/>
          </w:r>
          <w:r>
            <w:rPr>
              <w:bCs/>
              <w:color w:val="auto"/>
              <w:sz w:val="24"/>
              <w:szCs w:val="24"/>
              <w:highlight w:val="none"/>
              <w:lang w:val="zh-CN"/>
            </w:rPr>
            <w:fldChar w:fldCharType="end"/>
          </w:r>
        </w:p>
        <w:p w14:paraId="16B6CD3B">
          <w:pPr>
            <w:pStyle w:val="35"/>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360" w:lineRule="auto"/>
            <w:textAlignment w:val="auto"/>
            <w:rPr>
              <w:bCs/>
              <w:color w:val="auto"/>
              <w:sz w:val="24"/>
              <w:szCs w:val="24"/>
              <w:highlight w:val="none"/>
              <w:lang w:val="zh-CN"/>
            </w:rPr>
          </w:pPr>
          <w:r>
            <w:rPr>
              <w:bCs/>
              <w:color w:val="auto"/>
              <w:sz w:val="24"/>
              <w:szCs w:val="24"/>
              <w:highlight w:val="none"/>
              <w:lang w:val="zh-CN"/>
            </w:rPr>
            <w:fldChar w:fldCharType="begin"/>
          </w:r>
          <w:r>
            <w:rPr>
              <w:bCs/>
              <w:sz w:val="24"/>
              <w:szCs w:val="24"/>
              <w:highlight w:val="none"/>
              <w:lang w:val="zh-CN"/>
            </w:rPr>
            <w:instrText xml:space="preserve"> HYPERLINK \l _Toc16690 </w:instrText>
          </w:r>
          <w:r>
            <w:rPr>
              <w:bCs/>
              <w:sz w:val="24"/>
              <w:szCs w:val="24"/>
              <w:highlight w:val="none"/>
              <w:lang w:val="zh-CN"/>
            </w:rPr>
            <w:fldChar w:fldCharType="separate"/>
          </w:r>
          <w:r>
            <w:rPr>
              <w:rFonts w:hint="eastAsia"/>
              <w:sz w:val="24"/>
              <w:szCs w:val="24"/>
              <w:lang w:val="en-US" w:eastAsia="zh-CN"/>
            </w:rPr>
            <w:t>第二节  评标办法正文</w:t>
          </w:r>
          <w:r>
            <w:rPr>
              <w:sz w:val="24"/>
              <w:szCs w:val="24"/>
            </w:rPr>
            <w:tab/>
          </w:r>
          <w:r>
            <w:rPr>
              <w:sz w:val="24"/>
              <w:szCs w:val="24"/>
            </w:rPr>
            <w:fldChar w:fldCharType="begin"/>
          </w:r>
          <w:r>
            <w:rPr>
              <w:sz w:val="24"/>
              <w:szCs w:val="24"/>
            </w:rPr>
            <w:instrText xml:space="preserve"> PAGEREF _Toc16690 \h </w:instrText>
          </w:r>
          <w:r>
            <w:rPr>
              <w:sz w:val="24"/>
              <w:szCs w:val="24"/>
            </w:rPr>
            <w:fldChar w:fldCharType="separate"/>
          </w:r>
          <w:r>
            <w:rPr>
              <w:sz w:val="24"/>
              <w:szCs w:val="24"/>
            </w:rPr>
            <w:t>92</w:t>
          </w:r>
          <w:r>
            <w:rPr>
              <w:sz w:val="24"/>
              <w:szCs w:val="24"/>
            </w:rPr>
            <w:fldChar w:fldCharType="end"/>
          </w:r>
          <w:r>
            <w:rPr>
              <w:bCs/>
              <w:color w:val="auto"/>
              <w:sz w:val="24"/>
              <w:szCs w:val="24"/>
              <w:highlight w:val="none"/>
              <w:lang w:val="zh-CN"/>
            </w:rPr>
            <w:fldChar w:fldCharType="end"/>
          </w:r>
        </w:p>
        <w:p w14:paraId="2AB08D4C"/>
        <w:p w14:paraId="2072FA3A">
          <w:pPr>
            <w:tabs>
              <w:tab w:val="right" w:leader="dot" w:pos="9639"/>
            </w:tabs>
            <w:adjustRightInd w:val="0"/>
            <w:snapToGrid w:val="0"/>
            <w:spacing w:line="276" w:lineRule="auto"/>
            <w:rPr>
              <w:rFonts w:hint="eastAsia"/>
              <w:color w:val="auto"/>
              <w:highlight w:val="none"/>
            </w:rPr>
          </w:pPr>
          <w:r>
            <w:rPr>
              <w:bCs/>
              <w:color w:val="auto"/>
              <w:sz w:val="24"/>
              <w:szCs w:val="24"/>
              <w:highlight w:val="none"/>
              <w:lang w:val="zh-CN"/>
            </w:rPr>
            <w:fldChar w:fldCharType="end"/>
          </w:r>
        </w:p>
      </w:sdtContent>
    </w:sdt>
    <w:p w14:paraId="08E20225">
      <w:pPr>
        <w:pStyle w:val="2"/>
        <w:bidi w:val="0"/>
        <w:rPr>
          <w:rFonts w:hint="eastAsia"/>
        </w:rPr>
        <w:sectPr>
          <w:footerReference r:id="rId7" w:type="default"/>
          <w:pgSz w:w="11906" w:h="16838"/>
          <w:pgMar w:top="1440" w:right="1083" w:bottom="1440" w:left="1083" w:header="851" w:footer="850" w:gutter="0"/>
          <w:pgBorders>
            <w:top w:val="none" w:sz="0" w:space="0"/>
            <w:left w:val="none" w:sz="0" w:space="0"/>
            <w:bottom w:val="none" w:sz="0" w:space="0"/>
            <w:right w:val="none" w:sz="0" w:space="0"/>
          </w:pgBorders>
          <w:pgNumType w:fmt="upperRoman" w:start="1"/>
          <w:cols w:space="720" w:num="1"/>
          <w:rtlGutter w:val="0"/>
          <w:docGrid w:type="lines" w:linePitch="319" w:charSpace="0"/>
        </w:sectPr>
      </w:pPr>
      <w:bookmarkStart w:id="2" w:name="_Toc27108"/>
      <w:bookmarkStart w:id="3" w:name="_Toc23430"/>
      <w:bookmarkStart w:id="4" w:name="_Toc11131"/>
    </w:p>
    <w:p w14:paraId="11C735CA">
      <w:pPr>
        <w:pStyle w:val="2"/>
        <w:bidi w:val="0"/>
        <w:rPr>
          <w:rFonts w:hint="eastAsia"/>
        </w:rPr>
      </w:pPr>
      <w:r>
        <w:rPr>
          <w:rFonts w:hint="eastAsia"/>
        </w:rPr>
        <w:t>第一章</w:t>
      </w:r>
      <w:r>
        <w:t xml:space="preserve"> </w:t>
      </w:r>
      <w:r>
        <w:rPr>
          <w:rFonts w:hint="eastAsia"/>
          <w:lang w:val="en-US" w:eastAsia="zh-CN"/>
        </w:rPr>
        <w:t xml:space="preserve"> </w:t>
      </w:r>
      <w:r>
        <w:rPr>
          <w:rFonts w:hint="eastAsia"/>
        </w:rPr>
        <w:t>招标公告</w:t>
      </w:r>
      <w:bookmarkEnd w:id="2"/>
      <w:bookmarkEnd w:id="3"/>
      <w:bookmarkEnd w:id="4"/>
      <w:bookmarkStart w:id="5" w:name="OLE_LINK1"/>
    </w:p>
    <w:p w14:paraId="4143C52C">
      <w:pPr>
        <w:pBdr>
          <w:top w:val="single" w:color="auto" w:sz="4" w:space="1"/>
          <w:left w:val="single" w:color="auto" w:sz="4" w:space="4"/>
          <w:bottom w:val="single" w:color="auto" w:sz="4" w:space="1"/>
          <w:right w:val="single" w:color="auto" w:sz="4" w:space="4"/>
        </w:pBdr>
        <w:ind w:firstLine="422" w:firstLineChars="200"/>
        <w:jc w:val="left"/>
        <w:rPr>
          <w:rFonts w:hint="eastAsia" w:cs="宋体"/>
          <w:b/>
          <w:bCs/>
          <w:color w:val="auto"/>
          <w:szCs w:val="21"/>
          <w:highlight w:val="none"/>
        </w:rPr>
      </w:pPr>
      <w:bookmarkStart w:id="6" w:name="OLE_LINK2"/>
      <w:bookmarkStart w:id="7" w:name="OLE_LINK3"/>
      <w:r>
        <w:rPr>
          <w:rFonts w:hint="eastAsia" w:cs="宋体"/>
          <w:b/>
          <w:bCs/>
          <w:color w:val="auto"/>
          <w:szCs w:val="21"/>
          <w:highlight w:val="none"/>
        </w:rPr>
        <w:t>项目概况</w:t>
      </w:r>
    </w:p>
    <w:p w14:paraId="7D1CEE34">
      <w:pPr>
        <w:pBdr>
          <w:top w:val="single" w:color="auto" w:sz="4" w:space="1"/>
          <w:left w:val="single" w:color="auto" w:sz="4" w:space="4"/>
          <w:bottom w:val="single" w:color="auto" w:sz="4" w:space="1"/>
          <w:right w:val="single" w:color="auto" w:sz="4" w:space="4"/>
        </w:pBdr>
        <w:tabs>
          <w:tab w:val="left" w:pos="3119"/>
        </w:tabs>
        <w:ind w:firstLine="442" w:firstLineChars="200"/>
        <w:rPr>
          <w:rFonts w:hint="eastAsia" w:cs="宋体"/>
          <w:color w:val="auto"/>
          <w:szCs w:val="21"/>
          <w:highlight w:val="none"/>
        </w:rPr>
      </w:pPr>
      <w:r>
        <w:rPr>
          <w:rFonts w:hint="eastAsia" w:cs="宋体"/>
          <w:b/>
          <w:bCs/>
          <w:color w:val="auto"/>
          <w:sz w:val="22"/>
          <w:szCs w:val="22"/>
          <w:highlight w:val="none"/>
          <w:u w:val="single"/>
          <w:lang w:eastAsia="zh-CN"/>
        </w:rPr>
        <w:t>2025年普洱市乡镇早期火情处置能力提升建设项目</w:t>
      </w:r>
      <w:r>
        <w:rPr>
          <w:rFonts w:hint="eastAsia" w:cs="宋体"/>
          <w:color w:val="auto"/>
          <w:szCs w:val="21"/>
          <w:highlight w:val="none"/>
        </w:rPr>
        <w:t>招标项目的潜在投标人应在</w:t>
      </w:r>
      <w:r>
        <w:rPr>
          <w:rFonts w:hint="eastAsia" w:cs="宋体"/>
          <w:b/>
          <w:bCs/>
          <w:color w:val="auto"/>
          <w:szCs w:val="21"/>
          <w:highlight w:val="none"/>
          <w:u w:val="single"/>
        </w:rPr>
        <w:t>政采云平台（https://www.zcygov.cn/）</w:t>
      </w:r>
      <w:r>
        <w:rPr>
          <w:rFonts w:hint="eastAsia" w:cs="宋体"/>
          <w:color w:val="auto"/>
          <w:szCs w:val="21"/>
          <w:highlight w:val="none"/>
          <w:u w:val="single"/>
        </w:rPr>
        <w:t>获取招标文件，并于</w:t>
      </w:r>
      <w:r>
        <w:rPr>
          <w:rFonts w:hint="eastAsia" w:cs="宋体"/>
          <w:b/>
          <w:bCs/>
          <w:color w:val="auto"/>
          <w:szCs w:val="21"/>
          <w:highlight w:val="none"/>
          <w:u w:val="single"/>
        </w:rPr>
        <w:t>202</w:t>
      </w:r>
      <w:r>
        <w:rPr>
          <w:rFonts w:hint="eastAsia" w:cs="宋体"/>
          <w:b/>
          <w:bCs/>
          <w:color w:val="auto"/>
          <w:szCs w:val="21"/>
          <w:highlight w:val="none"/>
          <w:u w:val="single"/>
          <w:lang w:val="en-US" w:eastAsia="zh-CN"/>
        </w:rPr>
        <w:t>5</w:t>
      </w:r>
      <w:r>
        <w:rPr>
          <w:rFonts w:hint="eastAsia" w:cs="宋体"/>
          <w:b/>
          <w:bCs/>
          <w:color w:val="auto"/>
          <w:szCs w:val="21"/>
          <w:highlight w:val="none"/>
          <w:u w:val="single"/>
        </w:rPr>
        <w:t>年</w:t>
      </w:r>
      <w:r>
        <w:rPr>
          <w:rFonts w:hint="eastAsia" w:cs="宋体"/>
          <w:b/>
          <w:bCs/>
          <w:color w:val="auto"/>
          <w:szCs w:val="21"/>
          <w:highlight w:val="none"/>
          <w:u w:val="single"/>
          <w:lang w:val="en-US" w:eastAsia="zh-CN"/>
        </w:rPr>
        <w:t>9</w:t>
      </w:r>
      <w:r>
        <w:rPr>
          <w:rFonts w:hint="eastAsia" w:cs="宋体"/>
          <w:b/>
          <w:bCs/>
          <w:color w:val="auto"/>
          <w:szCs w:val="21"/>
          <w:highlight w:val="none"/>
          <w:u w:val="single"/>
        </w:rPr>
        <w:t>月</w:t>
      </w:r>
      <w:r>
        <w:rPr>
          <w:rFonts w:hint="eastAsia" w:cs="宋体"/>
          <w:b/>
          <w:bCs/>
          <w:color w:val="auto"/>
          <w:szCs w:val="21"/>
          <w:highlight w:val="none"/>
          <w:u w:val="single"/>
          <w:lang w:val="en-US" w:eastAsia="zh-CN"/>
        </w:rPr>
        <w:t>15</w:t>
      </w:r>
      <w:r>
        <w:rPr>
          <w:rFonts w:hint="eastAsia" w:cs="宋体"/>
          <w:b/>
          <w:bCs/>
          <w:color w:val="auto"/>
          <w:szCs w:val="21"/>
          <w:highlight w:val="none"/>
          <w:u w:val="single"/>
        </w:rPr>
        <w:t>日09时00分</w:t>
      </w:r>
      <w:r>
        <w:rPr>
          <w:rFonts w:hint="eastAsia" w:cs="宋体"/>
          <w:color w:val="auto"/>
          <w:szCs w:val="21"/>
          <w:highlight w:val="none"/>
        </w:rPr>
        <w:t>（</w:t>
      </w:r>
      <w:r>
        <w:rPr>
          <w:rFonts w:hint="eastAsia" w:cs="宋体"/>
          <w:bCs/>
          <w:color w:val="auto"/>
          <w:szCs w:val="21"/>
          <w:highlight w:val="none"/>
        </w:rPr>
        <w:t>北京时间）前递交投标文件</w:t>
      </w:r>
      <w:r>
        <w:rPr>
          <w:rFonts w:hint="eastAsia" w:cs="宋体"/>
          <w:color w:val="auto"/>
          <w:szCs w:val="21"/>
          <w:highlight w:val="none"/>
        </w:rPr>
        <w:t>。</w:t>
      </w:r>
    </w:p>
    <w:p w14:paraId="4E45B2E6">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8" w:name="_Toc1212"/>
      <w:bookmarkStart w:id="9" w:name="_Toc23691"/>
      <w:bookmarkStart w:id="10" w:name="_Toc35393621"/>
      <w:bookmarkStart w:id="11" w:name="_Toc28359079"/>
      <w:bookmarkStart w:id="12" w:name="_Toc12269"/>
      <w:bookmarkStart w:id="13" w:name="_Toc35393790"/>
      <w:bookmarkStart w:id="14" w:name="_Toc28359002"/>
      <w:bookmarkStart w:id="15" w:name="_Hlk24379207"/>
      <w:r>
        <w:rPr>
          <w:rFonts w:hint="eastAsia" w:eastAsia="宋体" w:cs="宋体"/>
          <w:color w:val="auto"/>
          <w:sz w:val="21"/>
          <w:szCs w:val="21"/>
          <w:highlight w:val="none"/>
        </w:rPr>
        <w:t>一、项目基本情况</w:t>
      </w:r>
      <w:bookmarkEnd w:id="8"/>
      <w:bookmarkEnd w:id="9"/>
      <w:bookmarkEnd w:id="10"/>
      <w:bookmarkEnd w:id="11"/>
      <w:bookmarkEnd w:id="12"/>
      <w:bookmarkEnd w:id="13"/>
      <w:bookmarkEnd w:id="14"/>
    </w:p>
    <w:p w14:paraId="179E2C0C">
      <w:pPr>
        <w:spacing w:line="440" w:lineRule="exact"/>
        <w:ind w:firstLine="420" w:firstLineChars="200"/>
        <w:rPr>
          <w:rFonts w:hint="eastAsia" w:cs="宋体"/>
          <w:color w:val="auto"/>
          <w:szCs w:val="21"/>
          <w:highlight w:val="none"/>
        </w:rPr>
      </w:pPr>
      <w:r>
        <w:rPr>
          <w:rFonts w:hint="eastAsia" w:cs="宋体"/>
          <w:color w:val="auto"/>
          <w:szCs w:val="21"/>
          <w:highlight w:val="none"/>
        </w:rPr>
        <w:t>项目编号：</w:t>
      </w:r>
      <w:r>
        <w:rPr>
          <w:color w:val="auto"/>
          <w:highlight w:val="none"/>
        </w:rPr>
        <w:fldChar w:fldCharType="begin"/>
      </w:r>
      <w:r>
        <w:rPr>
          <w:color w:val="auto"/>
          <w:highlight w:val="none"/>
        </w:rPr>
        <w:instrText xml:space="preserve"> HYPERLINK "http://yz.jczh100.com/TPFrame_YZ/JSGCZTBMIS2_YunZhao/Pages/SectionFlowChart/SectionFlowChart_Main.aspx?BiaoDuanGuid=237c5bf4-5c4a-4ed2-b548-4f0bbc4d26e6&amp;ProjectGuid=8aa0accb-e05c-4865-8bd4-eaaac8d7b073&amp;YeWuType=jsgc" \t "http://yz.jczh100.com/TPFrame_YZ/JSGCZTBMIS2_YunZhao/Pages/ChangDiWorkFlow/_blank" </w:instrText>
      </w:r>
      <w:r>
        <w:rPr>
          <w:color w:val="auto"/>
          <w:highlight w:val="none"/>
        </w:rPr>
        <w:fldChar w:fldCharType="separate"/>
      </w:r>
      <w:r>
        <w:rPr>
          <w:rFonts w:hint="eastAsia" w:cs="宋体"/>
          <w:b/>
          <w:bCs/>
          <w:color w:val="auto"/>
          <w:szCs w:val="21"/>
          <w:highlight w:val="none"/>
          <w:lang w:eastAsia="zh-CN"/>
        </w:rPr>
        <w:t>PEZC2025-G1-01023-YZGF-1060</w:t>
      </w:r>
      <w:r>
        <w:rPr>
          <w:rFonts w:hint="eastAsia" w:cs="宋体"/>
          <w:b/>
          <w:bCs/>
          <w:color w:val="auto"/>
          <w:szCs w:val="21"/>
          <w:highlight w:val="none"/>
        </w:rPr>
        <w:fldChar w:fldCharType="end"/>
      </w:r>
    </w:p>
    <w:p w14:paraId="2148396E">
      <w:pPr>
        <w:spacing w:line="440" w:lineRule="exact"/>
        <w:ind w:firstLine="420" w:firstLineChars="200"/>
        <w:rPr>
          <w:rFonts w:hint="eastAsia" w:cs="宋体"/>
          <w:color w:val="auto"/>
          <w:szCs w:val="21"/>
          <w:highlight w:val="none"/>
        </w:rPr>
      </w:pPr>
      <w:r>
        <w:rPr>
          <w:rFonts w:hint="eastAsia" w:cs="宋体"/>
          <w:color w:val="auto"/>
          <w:szCs w:val="21"/>
          <w:highlight w:val="none"/>
        </w:rPr>
        <w:t>招标编号：</w:t>
      </w:r>
      <w:r>
        <w:rPr>
          <w:rFonts w:hint="eastAsia" w:cs="宋体"/>
          <w:b/>
          <w:bCs/>
          <w:color w:val="auto"/>
          <w:w w:val="95"/>
          <w:szCs w:val="21"/>
          <w:highlight w:val="none"/>
          <w:lang w:eastAsia="zh-CN"/>
        </w:rPr>
        <w:t>C53JX1025001213</w:t>
      </w:r>
    </w:p>
    <w:p w14:paraId="0576A49A">
      <w:pPr>
        <w:spacing w:line="440" w:lineRule="exact"/>
        <w:ind w:firstLine="420" w:firstLineChars="200"/>
        <w:rPr>
          <w:rFonts w:hint="eastAsia" w:eastAsia="宋体" w:cs="宋体"/>
          <w:color w:val="auto"/>
          <w:szCs w:val="21"/>
          <w:highlight w:val="none"/>
          <w:lang w:eastAsia="zh-CN"/>
        </w:rPr>
      </w:pPr>
      <w:r>
        <w:rPr>
          <w:rFonts w:hint="eastAsia" w:cs="宋体"/>
          <w:color w:val="auto"/>
          <w:szCs w:val="21"/>
          <w:highlight w:val="none"/>
        </w:rPr>
        <w:t>项目名称：</w:t>
      </w:r>
      <w:r>
        <w:rPr>
          <w:rFonts w:hint="eastAsia" w:cs="宋体"/>
          <w:b/>
          <w:bCs/>
          <w:color w:val="auto"/>
          <w:szCs w:val="21"/>
          <w:highlight w:val="none"/>
          <w:lang w:eastAsia="zh-CN"/>
        </w:rPr>
        <w:t>2025年普洱市乡镇早期火情处置能力提升建设项目</w:t>
      </w:r>
    </w:p>
    <w:bookmarkEnd w:id="15"/>
    <w:p w14:paraId="242FBEC8">
      <w:pPr>
        <w:spacing w:line="440" w:lineRule="exact"/>
        <w:ind w:firstLine="420" w:firstLineChars="200"/>
        <w:rPr>
          <w:rFonts w:hint="default" w:cs="宋体"/>
          <w:color w:val="auto"/>
          <w:szCs w:val="21"/>
          <w:highlight w:val="none"/>
          <w:lang w:val="en-US"/>
        </w:rPr>
      </w:pPr>
      <w:r>
        <w:rPr>
          <w:rFonts w:hint="eastAsia" w:cs="宋体"/>
          <w:color w:val="auto"/>
          <w:szCs w:val="21"/>
          <w:highlight w:val="none"/>
        </w:rPr>
        <w:t>预算金额(万元)：</w:t>
      </w:r>
      <w:r>
        <w:rPr>
          <w:rFonts w:hint="eastAsia" w:cs="宋体"/>
          <w:color w:val="auto"/>
          <w:szCs w:val="21"/>
          <w:highlight w:val="none"/>
          <w:lang w:val="en-US" w:eastAsia="zh-CN"/>
        </w:rPr>
        <w:t>766.15</w:t>
      </w:r>
    </w:p>
    <w:p w14:paraId="3AD0287D">
      <w:pPr>
        <w:spacing w:line="440" w:lineRule="exact"/>
        <w:ind w:firstLine="420" w:firstLineChars="200"/>
        <w:rPr>
          <w:rFonts w:hint="default" w:cs="宋体"/>
          <w:color w:val="auto"/>
          <w:kern w:val="0"/>
          <w:szCs w:val="21"/>
          <w:highlight w:val="none"/>
          <w:lang w:val="en-US"/>
        </w:rPr>
      </w:pPr>
      <w:r>
        <w:rPr>
          <w:rFonts w:hint="eastAsia" w:cs="宋体"/>
          <w:color w:val="auto"/>
          <w:szCs w:val="21"/>
          <w:highlight w:val="none"/>
        </w:rPr>
        <w:t>最高限价(万元)：</w:t>
      </w:r>
      <w:r>
        <w:rPr>
          <w:rFonts w:hint="eastAsia" w:cs="宋体"/>
          <w:color w:val="auto"/>
          <w:szCs w:val="21"/>
          <w:highlight w:val="none"/>
          <w:lang w:val="en-US" w:eastAsia="zh-CN"/>
        </w:rPr>
        <w:t>766.15</w:t>
      </w:r>
    </w:p>
    <w:p w14:paraId="79D3CFEE">
      <w:pPr>
        <w:spacing w:line="440" w:lineRule="exact"/>
        <w:ind w:firstLine="420" w:firstLineChars="200"/>
        <w:rPr>
          <w:rFonts w:hint="eastAsia"/>
          <w:color w:val="auto"/>
          <w:szCs w:val="21"/>
          <w:highlight w:val="none"/>
          <w:lang w:val="en-US" w:eastAsia="zh-CN"/>
        </w:rPr>
      </w:pPr>
      <w:r>
        <w:rPr>
          <w:rFonts w:hint="eastAsia" w:cs="宋体"/>
          <w:color w:val="auto"/>
          <w:szCs w:val="21"/>
          <w:highlight w:val="none"/>
        </w:rPr>
        <w:t>采购需求：</w:t>
      </w:r>
      <w:r>
        <w:rPr>
          <w:rFonts w:hint="eastAsia" w:cs="宋体"/>
          <w:color w:val="auto"/>
          <w:szCs w:val="21"/>
          <w:highlight w:val="none"/>
          <w:lang w:val="en-US" w:eastAsia="zh-CN"/>
        </w:rPr>
        <w:t>对普洱市2025年乡镇早期火情处置能力提升专项森林草原防灭火装备进行采购</w:t>
      </w:r>
      <w:r>
        <w:rPr>
          <w:rFonts w:hint="eastAsia"/>
          <w:color w:val="auto"/>
          <w:szCs w:val="21"/>
          <w:highlight w:val="none"/>
          <w:lang w:eastAsia="zh-CN"/>
        </w:rPr>
        <w:t>。</w:t>
      </w:r>
      <w:r>
        <w:rPr>
          <w:rFonts w:hint="eastAsia"/>
          <w:color w:val="auto"/>
          <w:szCs w:val="21"/>
          <w:highlight w:val="none"/>
        </w:rPr>
        <w:t>本项目不</w:t>
      </w:r>
      <w:r>
        <w:rPr>
          <w:color w:val="auto"/>
          <w:szCs w:val="21"/>
          <w:highlight w:val="none"/>
        </w:rPr>
        <w:t>接受进口产品</w:t>
      </w:r>
      <w:r>
        <w:rPr>
          <w:rFonts w:hint="eastAsia"/>
          <w:color w:val="auto"/>
          <w:szCs w:val="21"/>
          <w:highlight w:val="none"/>
        </w:rPr>
        <w:t>参与投标，最高限价：</w:t>
      </w:r>
      <w:r>
        <w:rPr>
          <w:rFonts w:hint="eastAsia"/>
          <w:color w:val="auto"/>
          <w:szCs w:val="21"/>
          <w:highlight w:val="none"/>
          <w:lang w:val="en-US" w:eastAsia="zh-CN"/>
        </w:rPr>
        <w:t>766.15万元（其中，A包：266.934万元；B包：259.656万元；C包：239.56万元），具体内容详见下表：</w:t>
      </w:r>
    </w:p>
    <w:tbl>
      <w:tblPr>
        <w:tblStyle w:val="45"/>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687"/>
        <w:gridCol w:w="1222"/>
        <w:gridCol w:w="978"/>
        <w:gridCol w:w="846"/>
        <w:gridCol w:w="1119"/>
        <w:gridCol w:w="1179"/>
        <w:gridCol w:w="2163"/>
        <w:gridCol w:w="879"/>
      </w:tblGrid>
      <w:tr w14:paraId="1249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9" w:hRule="atLeast"/>
          <w:jc w:val="center"/>
        </w:trPr>
        <w:tc>
          <w:tcPr>
            <w:tcW w:w="643" w:type="dxa"/>
            <w:vAlign w:val="center"/>
          </w:tcPr>
          <w:p w14:paraId="6B83CF9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cs="宋体"/>
                <w:b/>
                <w:bCs/>
                <w:sz w:val="21"/>
                <w:szCs w:val="21"/>
                <w:vertAlign w:val="baseline"/>
                <w:lang w:val="en-US" w:eastAsia="zh-CN"/>
              </w:rPr>
              <w:t>标包号</w:t>
            </w:r>
          </w:p>
        </w:tc>
        <w:tc>
          <w:tcPr>
            <w:tcW w:w="687" w:type="dxa"/>
            <w:vAlign w:val="center"/>
          </w:tcPr>
          <w:p w14:paraId="0DE3901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1222" w:type="dxa"/>
            <w:vAlign w:val="center"/>
          </w:tcPr>
          <w:p w14:paraId="5039D53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标的名称</w:t>
            </w:r>
          </w:p>
        </w:tc>
        <w:tc>
          <w:tcPr>
            <w:tcW w:w="978" w:type="dxa"/>
            <w:vAlign w:val="center"/>
          </w:tcPr>
          <w:p w14:paraId="6CA459C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数量</w:t>
            </w:r>
          </w:p>
        </w:tc>
        <w:tc>
          <w:tcPr>
            <w:tcW w:w="846" w:type="dxa"/>
            <w:vAlign w:val="center"/>
          </w:tcPr>
          <w:p w14:paraId="3387634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单位</w:t>
            </w:r>
          </w:p>
        </w:tc>
        <w:tc>
          <w:tcPr>
            <w:tcW w:w="1119" w:type="dxa"/>
            <w:vAlign w:val="center"/>
          </w:tcPr>
          <w:p w14:paraId="000430E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单价最高限价</w:t>
            </w:r>
          </w:p>
          <w:p w14:paraId="744266A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（万元）</w:t>
            </w:r>
          </w:p>
        </w:tc>
        <w:tc>
          <w:tcPr>
            <w:tcW w:w="1179" w:type="dxa"/>
            <w:vAlign w:val="center"/>
          </w:tcPr>
          <w:p w14:paraId="7D47A89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cs="宋体"/>
                <w:b/>
                <w:bCs/>
                <w:color w:val="auto"/>
                <w:sz w:val="21"/>
                <w:szCs w:val="21"/>
                <w:highlight w:val="none"/>
                <w:lang w:val="en-US" w:eastAsia="zh-CN"/>
              </w:rPr>
              <w:t>总价</w:t>
            </w:r>
            <w:r>
              <w:rPr>
                <w:rFonts w:hint="eastAsia" w:ascii="宋体" w:hAnsi="宋体" w:eastAsia="宋体" w:cs="宋体"/>
                <w:b/>
                <w:bCs/>
                <w:color w:val="auto"/>
                <w:sz w:val="21"/>
                <w:szCs w:val="21"/>
                <w:highlight w:val="none"/>
              </w:rPr>
              <w:t>最高限价</w:t>
            </w:r>
          </w:p>
          <w:p w14:paraId="2CD4ABE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万元</w:t>
            </w:r>
            <w:r>
              <w:rPr>
                <w:rFonts w:hint="eastAsia" w:ascii="宋体" w:hAnsi="宋体" w:eastAsia="宋体" w:cs="宋体"/>
                <w:b/>
                <w:bCs/>
                <w:color w:val="auto"/>
                <w:sz w:val="21"/>
                <w:szCs w:val="21"/>
                <w:highlight w:val="none"/>
                <w:lang w:eastAsia="zh-CN"/>
              </w:rPr>
              <w:t>）</w:t>
            </w:r>
          </w:p>
        </w:tc>
        <w:tc>
          <w:tcPr>
            <w:tcW w:w="2163" w:type="dxa"/>
            <w:vAlign w:val="center"/>
          </w:tcPr>
          <w:p w14:paraId="7FCB5F9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color w:val="auto"/>
                <w:kern w:val="0"/>
                <w:sz w:val="21"/>
                <w:szCs w:val="21"/>
                <w:highlight w:val="none"/>
                <w:lang w:val="en-US" w:eastAsia="zh-CN"/>
              </w:rPr>
              <w:t>简要技术</w:t>
            </w:r>
            <w:r>
              <w:rPr>
                <w:rFonts w:hint="eastAsia" w:cs="宋体"/>
                <w:b/>
                <w:bCs/>
                <w:color w:val="auto"/>
                <w:kern w:val="0"/>
                <w:sz w:val="21"/>
                <w:szCs w:val="21"/>
                <w:highlight w:val="none"/>
                <w:lang w:val="en-US" w:eastAsia="zh-CN"/>
              </w:rPr>
              <w:t>参数</w:t>
            </w:r>
          </w:p>
        </w:tc>
        <w:tc>
          <w:tcPr>
            <w:tcW w:w="879" w:type="dxa"/>
            <w:vAlign w:val="center"/>
          </w:tcPr>
          <w:p w14:paraId="7168A72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宋体"/>
                <w:b/>
                <w:bCs/>
                <w:color w:val="auto"/>
                <w:kern w:val="0"/>
                <w:sz w:val="21"/>
                <w:szCs w:val="21"/>
                <w:highlight w:val="none"/>
                <w:lang w:val="en-US" w:eastAsia="zh-CN"/>
              </w:rPr>
            </w:pPr>
            <w:r>
              <w:rPr>
                <w:rFonts w:hint="eastAsia" w:cs="宋体"/>
                <w:b/>
                <w:bCs/>
                <w:color w:val="auto"/>
                <w:kern w:val="0"/>
                <w:sz w:val="21"/>
                <w:szCs w:val="21"/>
                <w:highlight w:val="none"/>
                <w:lang w:val="en-US" w:eastAsia="zh-CN"/>
              </w:rPr>
              <w:t>是否为核心产品</w:t>
            </w:r>
          </w:p>
        </w:tc>
      </w:tr>
      <w:tr w14:paraId="3F8D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643" w:type="dxa"/>
            <w:vAlign w:val="center"/>
          </w:tcPr>
          <w:p w14:paraId="2AF7E56F">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A</w:t>
            </w:r>
            <w:r>
              <w:rPr>
                <w:rFonts w:hint="eastAsia" w:cs="宋体"/>
                <w:b/>
                <w:bCs/>
                <w:sz w:val="21"/>
                <w:szCs w:val="21"/>
                <w:vertAlign w:val="baseline"/>
                <w:lang w:val="en-US" w:eastAsia="zh-CN"/>
              </w:rPr>
              <w:t>包</w:t>
            </w:r>
          </w:p>
        </w:tc>
        <w:tc>
          <w:tcPr>
            <w:tcW w:w="687" w:type="dxa"/>
            <w:vAlign w:val="center"/>
          </w:tcPr>
          <w:p w14:paraId="4894463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1222" w:type="dxa"/>
            <w:vAlign w:val="center"/>
          </w:tcPr>
          <w:p w14:paraId="3AB27660">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森林消防水车</w:t>
            </w:r>
          </w:p>
        </w:tc>
        <w:tc>
          <w:tcPr>
            <w:tcW w:w="978" w:type="dxa"/>
            <w:vAlign w:val="center"/>
          </w:tcPr>
          <w:p w14:paraId="22E5B7D3">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w:t>
            </w:r>
          </w:p>
        </w:tc>
        <w:tc>
          <w:tcPr>
            <w:tcW w:w="846" w:type="dxa"/>
            <w:vAlign w:val="center"/>
          </w:tcPr>
          <w:p w14:paraId="3F21D764">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辆</w:t>
            </w:r>
          </w:p>
        </w:tc>
        <w:tc>
          <w:tcPr>
            <w:tcW w:w="1119" w:type="dxa"/>
            <w:vAlign w:val="center"/>
          </w:tcPr>
          <w:p w14:paraId="0E6406F6">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26.6934</w:t>
            </w:r>
          </w:p>
        </w:tc>
        <w:tc>
          <w:tcPr>
            <w:tcW w:w="1179" w:type="dxa"/>
            <w:vAlign w:val="center"/>
          </w:tcPr>
          <w:p w14:paraId="7290F87E">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auto"/>
                <w:sz w:val="21"/>
                <w:szCs w:val="21"/>
                <w:highlight w:val="none"/>
                <w:lang w:eastAsia="zh-CN"/>
              </w:rPr>
            </w:pPr>
            <w:r>
              <w:rPr>
                <w:rFonts w:hint="eastAsia" w:cs="宋体"/>
                <w:b w:val="0"/>
                <w:bCs w:val="0"/>
                <w:sz w:val="21"/>
                <w:szCs w:val="21"/>
                <w:vertAlign w:val="baseline"/>
                <w:lang w:val="en-US" w:eastAsia="zh-CN"/>
              </w:rPr>
              <w:t>266.934</w:t>
            </w:r>
          </w:p>
        </w:tc>
        <w:tc>
          <w:tcPr>
            <w:tcW w:w="2163" w:type="dxa"/>
            <w:vAlign w:val="center"/>
          </w:tcPr>
          <w:p w14:paraId="6D149773">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sz w:val="21"/>
                <w:szCs w:val="21"/>
                <w:vertAlign w:val="baseline"/>
                <w:lang w:val="en-US" w:eastAsia="zh-CN"/>
              </w:rPr>
              <w:t>发动机类型：柴油</w:t>
            </w:r>
          </w:p>
        </w:tc>
        <w:tc>
          <w:tcPr>
            <w:tcW w:w="879" w:type="dxa"/>
            <w:vAlign w:val="center"/>
          </w:tcPr>
          <w:p w14:paraId="092393C5">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cs="宋体"/>
                <w:b w:val="0"/>
                <w:bCs w:val="0"/>
                <w:sz w:val="21"/>
                <w:szCs w:val="21"/>
                <w:vertAlign w:val="baseline"/>
                <w:lang w:val="en-US" w:eastAsia="zh-CN"/>
              </w:rPr>
            </w:pPr>
            <w:r>
              <w:rPr>
                <w:rFonts w:hint="eastAsia" w:cs="宋体"/>
                <w:b w:val="0"/>
                <w:bCs w:val="0"/>
                <w:sz w:val="21"/>
                <w:szCs w:val="21"/>
                <w:vertAlign w:val="baseline"/>
                <w:lang w:val="en-US" w:eastAsia="zh-CN"/>
              </w:rPr>
              <w:t>是</w:t>
            </w:r>
          </w:p>
        </w:tc>
      </w:tr>
      <w:tr w14:paraId="7DC2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jc w:val="center"/>
        </w:trPr>
        <w:tc>
          <w:tcPr>
            <w:tcW w:w="643" w:type="dxa"/>
            <w:vMerge w:val="restart"/>
            <w:vAlign w:val="center"/>
          </w:tcPr>
          <w:p w14:paraId="2438E2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B</w:t>
            </w:r>
            <w:r>
              <w:rPr>
                <w:rFonts w:hint="eastAsia" w:cs="宋体"/>
                <w:b/>
                <w:bCs/>
                <w:sz w:val="21"/>
                <w:szCs w:val="21"/>
                <w:vertAlign w:val="baseline"/>
                <w:lang w:val="en-US" w:eastAsia="zh-CN"/>
              </w:rPr>
              <w:t>包</w:t>
            </w:r>
          </w:p>
        </w:tc>
        <w:tc>
          <w:tcPr>
            <w:tcW w:w="687" w:type="dxa"/>
            <w:vAlign w:val="center"/>
          </w:tcPr>
          <w:p w14:paraId="623D701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1222" w:type="dxa"/>
            <w:vAlign w:val="center"/>
          </w:tcPr>
          <w:p w14:paraId="10C8FB6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便携式消防水泵</w:t>
            </w:r>
          </w:p>
        </w:tc>
        <w:tc>
          <w:tcPr>
            <w:tcW w:w="978" w:type="dxa"/>
            <w:vAlign w:val="center"/>
          </w:tcPr>
          <w:p w14:paraId="30EFA40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60</w:t>
            </w:r>
          </w:p>
        </w:tc>
        <w:tc>
          <w:tcPr>
            <w:tcW w:w="846" w:type="dxa"/>
            <w:vAlign w:val="center"/>
          </w:tcPr>
          <w:p w14:paraId="4AB77C3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台</w:t>
            </w:r>
          </w:p>
        </w:tc>
        <w:tc>
          <w:tcPr>
            <w:tcW w:w="1119" w:type="dxa"/>
            <w:vAlign w:val="center"/>
          </w:tcPr>
          <w:p w14:paraId="327FA2F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3.10</w:t>
            </w:r>
          </w:p>
        </w:tc>
        <w:tc>
          <w:tcPr>
            <w:tcW w:w="1179" w:type="dxa"/>
            <w:vAlign w:val="center"/>
          </w:tcPr>
          <w:p w14:paraId="0AA9CB1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18</w:t>
            </w:r>
            <w:r>
              <w:rPr>
                <w:rFonts w:hint="eastAsia" w:cs="宋体"/>
                <w:b w:val="0"/>
                <w:bCs w:val="0"/>
                <w:sz w:val="21"/>
                <w:szCs w:val="21"/>
                <w:vertAlign w:val="baseline"/>
                <w:lang w:val="en-US" w:eastAsia="zh-CN"/>
              </w:rPr>
              <w:t>6.</w:t>
            </w:r>
            <w:r>
              <w:rPr>
                <w:rFonts w:hint="eastAsia" w:ascii="宋体" w:hAnsi="宋体" w:eastAsia="宋体" w:cs="宋体"/>
                <w:b w:val="0"/>
                <w:bCs w:val="0"/>
                <w:sz w:val="21"/>
                <w:szCs w:val="21"/>
                <w:vertAlign w:val="baseline"/>
                <w:lang w:val="en-US" w:eastAsia="zh-CN"/>
              </w:rPr>
              <w:t>00</w:t>
            </w:r>
          </w:p>
        </w:tc>
        <w:tc>
          <w:tcPr>
            <w:tcW w:w="2163" w:type="dxa"/>
            <w:vAlign w:val="center"/>
          </w:tcPr>
          <w:p w14:paraId="7BDE7C9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水泵结构：三级不锈钢叶轮离心泵</w:t>
            </w:r>
            <w:r>
              <w:rPr>
                <w:rFonts w:hint="eastAsia" w:cs="宋体"/>
                <w:b w:val="0"/>
                <w:bCs w:val="0"/>
                <w:sz w:val="21"/>
                <w:szCs w:val="21"/>
                <w:vertAlign w:val="baseline"/>
                <w:lang w:val="en-US" w:eastAsia="zh-CN"/>
              </w:rPr>
              <w:t>。</w:t>
            </w:r>
          </w:p>
        </w:tc>
        <w:tc>
          <w:tcPr>
            <w:tcW w:w="879" w:type="dxa"/>
            <w:vAlign w:val="center"/>
          </w:tcPr>
          <w:p w14:paraId="177AFC6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cs="宋体"/>
                <w:b w:val="0"/>
                <w:bCs w:val="0"/>
                <w:sz w:val="21"/>
                <w:szCs w:val="21"/>
                <w:vertAlign w:val="baseline"/>
                <w:lang w:val="en-US" w:eastAsia="zh-CN"/>
              </w:rPr>
            </w:pPr>
            <w:r>
              <w:rPr>
                <w:rFonts w:hint="eastAsia" w:cs="宋体"/>
                <w:b w:val="0"/>
                <w:bCs w:val="0"/>
                <w:sz w:val="21"/>
                <w:szCs w:val="21"/>
                <w:vertAlign w:val="baseline"/>
                <w:lang w:val="en-US" w:eastAsia="zh-CN"/>
              </w:rPr>
              <w:t>是</w:t>
            </w:r>
          </w:p>
        </w:tc>
      </w:tr>
      <w:tr w14:paraId="6EB4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8" w:hRule="atLeast"/>
          <w:jc w:val="center"/>
        </w:trPr>
        <w:tc>
          <w:tcPr>
            <w:tcW w:w="643" w:type="dxa"/>
            <w:vMerge w:val="continue"/>
            <w:vAlign w:val="center"/>
          </w:tcPr>
          <w:p w14:paraId="2756DB2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p>
        </w:tc>
        <w:tc>
          <w:tcPr>
            <w:tcW w:w="687" w:type="dxa"/>
            <w:vAlign w:val="center"/>
          </w:tcPr>
          <w:p w14:paraId="1B94021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w:t>
            </w:r>
          </w:p>
        </w:tc>
        <w:tc>
          <w:tcPr>
            <w:tcW w:w="1222" w:type="dxa"/>
            <w:vAlign w:val="center"/>
          </w:tcPr>
          <w:p w14:paraId="4BFD2B9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水带</w:t>
            </w:r>
          </w:p>
        </w:tc>
        <w:tc>
          <w:tcPr>
            <w:tcW w:w="978" w:type="dxa"/>
            <w:vAlign w:val="center"/>
          </w:tcPr>
          <w:p w14:paraId="248A1F2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1364</w:t>
            </w:r>
          </w:p>
        </w:tc>
        <w:tc>
          <w:tcPr>
            <w:tcW w:w="846" w:type="dxa"/>
            <w:vAlign w:val="center"/>
          </w:tcPr>
          <w:p w14:paraId="17D0BD5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卷</w:t>
            </w:r>
          </w:p>
        </w:tc>
        <w:tc>
          <w:tcPr>
            <w:tcW w:w="1119" w:type="dxa"/>
            <w:vAlign w:val="center"/>
          </w:tcPr>
          <w:p w14:paraId="3825E24F">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0.054</w:t>
            </w:r>
          </w:p>
        </w:tc>
        <w:tc>
          <w:tcPr>
            <w:tcW w:w="1179" w:type="dxa"/>
            <w:vAlign w:val="center"/>
          </w:tcPr>
          <w:p w14:paraId="78F64AB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73</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6560</w:t>
            </w:r>
          </w:p>
        </w:tc>
        <w:tc>
          <w:tcPr>
            <w:tcW w:w="2163" w:type="dxa"/>
            <w:vAlign w:val="center"/>
          </w:tcPr>
          <w:p w14:paraId="795B8A8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水带严格按照高于GB6246-2011《消防水带》标准的《有衬里消防水带实验大纲》标准进行生产。水带口径为40mm。标准工作压力≥3.0MPa，爆破压力11.5Mpa，每卷长度为30米，单位长度质量（g/m）197</w:t>
            </w:r>
            <w:r>
              <w:rPr>
                <w:rFonts w:hint="eastAsia" w:cs="宋体"/>
                <w:b w:val="0"/>
                <w:bCs w:val="0"/>
                <w:sz w:val="21"/>
                <w:szCs w:val="21"/>
                <w:vertAlign w:val="baseline"/>
                <w:lang w:val="en-US" w:eastAsia="zh-CN"/>
              </w:rPr>
              <w:t>。</w:t>
            </w:r>
          </w:p>
        </w:tc>
        <w:tc>
          <w:tcPr>
            <w:tcW w:w="879" w:type="dxa"/>
            <w:vAlign w:val="center"/>
          </w:tcPr>
          <w:p w14:paraId="03F1464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cs="宋体"/>
                <w:b w:val="0"/>
                <w:bCs w:val="0"/>
                <w:sz w:val="21"/>
                <w:szCs w:val="21"/>
                <w:vertAlign w:val="baseline"/>
                <w:lang w:val="en-US" w:eastAsia="zh-CN"/>
              </w:rPr>
            </w:pPr>
            <w:r>
              <w:rPr>
                <w:rFonts w:hint="eastAsia" w:cs="宋体"/>
                <w:b w:val="0"/>
                <w:bCs w:val="0"/>
                <w:sz w:val="21"/>
                <w:szCs w:val="21"/>
                <w:vertAlign w:val="baseline"/>
                <w:lang w:val="en-US" w:eastAsia="zh-CN"/>
              </w:rPr>
              <w:t>否</w:t>
            </w:r>
          </w:p>
        </w:tc>
      </w:tr>
      <w:tr w14:paraId="608F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15" w:hRule="atLeast"/>
          <w:jc w:val="center"/>
        </w:trPr>
        <w:tc>
          <w:tcPr>
            <w:tcW w:w="643" w:type="dxa"/>
            <w:vMerge w:val="restart"/>
            <w:vAlign w:val="center"/>
          </w:tcPr>
          <w:p w14:paraId="3F5AB1AC">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C</w:t>
            </w:r>
            <w:r>
              <w:rPr>
                <w:rFonts w:hint="eastAsia" w:cs="宋体"/>
                <w:b/>
                <w:bCs/>
                <w:sz w:val="21"/>
                <w:szCs w:val="21"/>
                <w:vertAlign w:val="baseline"/>
                <w:lang w:val="en-US" w:eastAsia="zh-CN"/>
              </w:rPr>
              <w:t>包</w:t>
            </w:r>
          </w:p>
        </w:tc>
        <w:tc>
          <w:tcPr>
            <w:tcW w:w="687" w:type="dxa"/>
            <w:vAlign w:val="center"/>
          </w:tcPr>
          <w:p w14:paraId="7183D3C2">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1222" w:type="dxa"/>
            <w:vAlign w:val="center"/>
          </w:tcPr>
          <w:p w14:paraId="1B79F8AB">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lang w:val="en-US" w:eastAsia="zh-CN"/>
              </w:rPr>
              <w:t>个人防护套装A</w:t>
            </w:r>
          </w:p>
        </w:tc>
        <w:tc>
          <w:tcPr>
            <w:tcW w:w="978" w:type="dxa"/>
            <w:vAlign w:val="center"/>
          </w:tcPr>
          <w:p w14:paraId="604654AD">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1030</w:t>
            </w:r>
          </w:p>
        </w:tc>
        <w:tc>
          <w:tcPr>
            <w:tcW w:w="846" w:type="dxa"/>
            <w:vAlign w:val="center"/>
          </w:tcPr>
          <w:p w14:paraId="199375E4">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套</w:t>
            </w:r>
          </w:p>
        </w:tc>
        <w:tc>
          <w:tcPr>
            <w:tcW w:w="1119" w:type="dxa"/>
            <w:vAlign w:val="center"/>
          </w:tcPr>
          <w:p w14:paraId="5EEA18DC">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0.038</w:t>
            </w:r>
          </w:p>
        </w:tc>
        <w:tc>
          <w:tcPr>
            <w:tcW w:w="1179" w:type="dxa"/>
            <w:vAlign w:val="center"/>
          </w:tcPr>
          <w:p w14:paraId="632070B2">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39</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14</w:t>
            </w:r>
          </w:p>
        </w:tc>
        <w:tc>
          <w:tcPr>
            <w:tcW w:w="2163" w:type="dxa"/>
            <w:vAlign w:val="center"/>
          </w:tcPr>
          <w:p w14:paraId="76EDA64B">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左胸贴袋盖上绣有“森林消防”专用标识；左上臂处装有“森林消防”专用臂章；后背处喷有“森林防火”字样</w:t>
            </w:r>
            <w:r>
              <w:rPr>
                <w:rFonts w:hint="eastAsia" w:cs="宋体"/>
                <w:b w:val="0"/>
                <w:bCs w:val="0"/>
                <w:sz w:val="21"/>
                <w:szCs w:val="21"/>
                <w:vertAlign w:val="baseline"/>
                <w:lang w:val="en-US" w:eastAsia="zh-CN"/>
              </w:rPr>
              <w:t>。</w:t>
            </w:r>
          </w:p>
        </w:tc>
        <w:tc>
          <w:tcPr>
            <w:tcW w:w="879" w:type="dxa"/>
            <w:vAlign w:val="center"/>
          </w:tcPr>
          <w:p w14:paraId="143F4D4A">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cs="宋体"/>
                <w:b w:val="0"/>
                <w:bCs w:val="0"/>
                <w:sz w:val="21"/>
                <w:szCs w:val="21"/>
                <w:vertAlign w:val="baseline"/>
                <w:lang w:val="en-US" w:eastAsia="zh-CN"/>
              </w:rPr>
            </w:pPr>
            <w:r>
              <w:rPr>
                <w:rFonts w:hint="eastAsia" w:cs="宋体"/>
                <w:b w:val="0"/>
                <w:bCs w:val="0"/>
                <w:sz w:val="21"/>
                <w:szCs w:val="21"/>
                <w:vertAlign w:val="baseline"/>
                <w:lang w:val="en-US" w:eastAsia="zh-CN"/>
              </w:rPr>
              <w:t>否</w:t>
            </w:r>
          </w:p>
        </w:tc>
      </w:tr>
      <w:tr w14:paraId="19AA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643" w:type="dxa"/>
            <w:vMerge w:val="continue"/>
            <w:vAlign w:val="center"/>
          </w:tcPr>
          <w:p w14:paraId="48FC5809">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p>
        </w:tc>
        <w:tc>
          <w:tcPr>
            <w:tcW w:w="687" w:type="dxa"/>
            <w:vAlign w:val="center"/>
          </w:tcPr>
          <w:p w14:paraId="18EEBBD7">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w:t>
            </w:r>
          </w:p>
        </w:tc>
        <w:tc>
          <w:tcPr>
            <w:tcW w:w="1222" w:type="dxa"/>
            <w:vAlign w:val="center"/>
          </w:tcPr>
          <w:p w14:paraId="299C82A8">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lang w:val="en-US" w:eastAsia="zh-CN"/>
              </w:rPr>
              <w:t>个人防护套装B</w:t>
            </w:r>
          </w:p>
        </w:tc>
        <w:tc>
          <w:tcPr>
            <w:tcW w:w="978" w:type="dxa"/>
            <w:vAlign w:val="center"/>
          </w:tcPr>
          <w:p w14:paraId="33633111">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911</w:t>
            </w:r>
          </w:p>
        </w:tc>
        <w:tc>
          <w:tcPr>
            <w:tcW w:w="846" w:type="dxa"/>
            <w:vAlign w:val="center"/>
          </w:tcPr>
          <w:p w14:paraId="4C03EE15">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套</w:t>
            </w:r>
          </w:p>
        </w:tc>
        <w:tc>
          <w:tcPr>
            <w:tcW w:w="1119" w:type="dxa"/>
            <w:vAlign w:val="center"/>
          </w:tcPr>
          <w:p w14:paraId="109F7A97">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0.22</w:t>
            </w:r>
          </w:p>
        </w:tc>
        <w:tc>
          <w:tcPr>
            <w:tcW w:w="1179" w:type="dxa"/>
            <w:vAlign w:val="center"/>
          </w:tcPr>
          <w:p w14:paraId="1D21DAD3">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200</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42</w:t>
            </w:r>
          </w:p>
        </w:tc>
        <w:tc>
          <w:tcPr>
            <w:tcW w:w="2163" w:type="dxa"/>
            <w:vAlign w:val="center"/>
          </w:tcPr>
          <w:p w14:paraId="7D558433">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整体防护性能：热防护能力TPP值≥330（kW.s/㎡）</w:t>
            </w:r>
            <w:r>
              <w:rPr>
                <w:rFonts w:hint="eastAsia" w:cs="宋体"/>
                <w:b w:val="0"/>
                <w:bCs w:val="0"/>
                <w:sz w:val="21"/>
                <w:szCs w:val="21"/>
                <w:vertAlign w:val="baseline"/>
                <w:lang w:val="en-US" w:eastAsia="zh-CN"/>
              </w:rPr>
              <w:t>。</w:t>
            </w:r>
          </w:p>
        </w:tc>
        <w:tc>
          <w:tcPr>
            <w:tcW w:w="879" w:type="dxa"/>
            <w:vAlign w:val="center"/>
          </w:tcPr>
          <w:p w14:paraId="61303E20">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cs="宋体"/>
                <w:b w:val="0"/>
                <w:bCs w:val="0"/>
                <w:sz w:val="21"/>
                <w:szCs w:val="21"/>
                <w:vertAlign w:val="baseline"/>
                <w:lang w:val="en-US" w:eastAsia="zh-CN"/>
              </w:rPr>
            </w:pPr>
            <w:r>
              <w:rPr>
                <w:rFonts w:hint="eastAsia" w:cs="宋体"/>
                <w:b w:val="0"/>
                <w:bCs w:val="0"/>
                <w:sz w:val="21"/>
                <w:szCs w:val="21"/>
                <w:vertAlign w:val="baseline"/>
                <w:lang w:val="en-US" w:eastAsia="zh-CN"/>
              </w:rPr>
              <w:t>是</w:t>
            </w:r>
          </w:p>
        </w:tc>
      </w:tr>
    </w:tbl>
    <w:p w14:paraId="76D33043">
      <w:pPr>
        <w:spacing w:line="440" w:lineRule="exact"/>
        <w:ind w:firstLine="422" w:firstLineChars="200"/>
        <w:rPr>
          <w:rFonts w:hint="eastAsia" w:cs="宋体"/>
          <w:color w:val="auto"/>
          <w:szCs w:val="21"/>
          <w:highlight w:val="none"/>
        </w:rPr>
      </w:pPr>
      <w:r>
        <w:rPr>
          <w:rFonts w:hint="eastAsia" w:cs="宋体"/>
          <w:b/>
          <w:bCs/>
          <w:color w:val="auto"/>
          <w:szCs w:val="21"/>
          <w:highlight w:val="none"/>
        </w:rPr>
        <w:t>详细</w:t>
      </w:r>
      <w:r>
        <w:rPr>
          <w:rFonts w:hint="eastAsia" w:cs="宋体"/>
          <w:b/>
          <w:bCs/>
          <w:color w:val="auto"/>
          <w:szCs w:val="21"/>
          <w:highlight w:val="none"/>
          <w:lang w:val="en-US" w:eastAsia="zh-CN"/>
        </w:rPr>
        <w:t>技术要求</w:t>
      </w:r>
      <w:r>
        <w:rPr>
          <w:b/>
          <w:bCs/>
          <w:color w:val="auto"/>
          <w:highlight w:val="none"/>
        </w:rPr>
        <w:t>详见招标文件第五章“</w:t>
      </w:r>
      <w:r>
        <w:rPr>
          <w:rFonts w:hint="eastAsia"/>
          <w:b/>
          <w:bCs/>
          <w:color w:val="auto"/>
          <w:highlight w:val="none"/>
          <w:lang w:val="en-US" w:eastAsia="zh-CN"/>
        </w:rPr>
        <w:t>采购需求</w:t>
      </w:r>
      <w:r>
        <w:rPr>
          <w:b/>
          <w:bCs/>
          <w:color w:val="auto"/>
          <w:highlight w:val="none"/>
        </w:rPr>
        <w:t>”</w:t>
      </w:r>
      <w:r>
        <w:rPr>
          <w:rFonts w:hint="eastAsia" w:cs="宋体"/>
          <w:b/>
          <w:bCs/>
          <w:color w:val="auto"/>
          <w:szCs w:val="21"/>
          <w:highlight w:val="none"/>
        </w:rPr>
        <w:t>。</w:t>
      </w:r>
    </w:p>
    <w:p w14:paraId="41CF824D">
      <w:pPr>
        <w:pStyle w:val="167"/>
        <w:ind w:firstLine="422"/>
        <w:rPr>
          <w:b/>
          <w:bCs/>
          <w:color w:val="auto"/>
          <w:szCs w:val="21"/>
          <w:highlight w:val="none"/>
          <w:lang w:eastAsia="zh-CN"/>
        </w:rPr>
      </w:pPr>
      <w:r>
        <w:rPr>
          <w:rFonts w:cs="Segoe UI Symbol"/>
          <w:b/>
          <w:bCs/>
          <w:color w:val="auto"/>
          <w:szCs w:val="21"/>
          <w:highlight w:val="none"/>
          <w:lang w:eastAsia="zh-CN"/>
        </w:rPr>
        <w:t>★</w:t>
      </w:r>
      <w:r>
        <w:rPr>
          <w:b/>
          <w:bCs/>
          <w:color w:val="auto"/>
          <w:szCs w:val="21"/>
          <w:highlight w:val="none"/>
          <w:lang w:eastAsia="zh-CN"/>
        </w:rPr>
        <w:t>注：投标人需对所</w:t>
      </w:r>
      <w:r>
        <w:rPr>
          <w:rFonts w:hint="eastAsia"/>
          <w:b/>
          <w:bCs/>
          <w:color w:val="auto"/>
          <w:szCs w:val="21"/>
          <w:highlight w:val="none"/>
          <w:lang w:val="en-US" w:eastAsia="zh-CN"/>
        </w:rPr>
        <w:t>投标包</w:t>
      </w:r>
      <w:r>
        <w:rPr>
          <w:b/>
          <w:bCs/>
          <w:color w:val="auto"/>
          <w:szCs w:val="21"/>
          <w:highlight w:val="none"/>
          <w:lang w:eastAsia="zh-CN"/>
        </w:rPr>
        <w:t>内容进行整体投标，不得缺项漏项，否则作实质性不响应招标文件处理。</w:t>
      </w:r>
    </w:p>
    <w:p w14:paraId="2BB4CA11">
      <w:pPr>
        <w:ind w:firstLine="422" w:firstLineChars="200"/>
        <w:rPr>
          <w:rFonts w:hint="eastAsia" w:eastAsia="宋体" w:cs="宋体"/>
          <w:b/>
          <w:bCs/>
          <w:color w:val="auto"/>
          <w:szCs w:val="21"/>
          <w:highlight w:val="yellow"/>
          <w:lang w:eastAsia="zh-CN"/>
        </w:rPr>
      </w:pPr>
      <w:r>
        <w:rPr>
          <w:rFonts w:hint="eastAsia" w:cs="宋体"/>
          <w:b/>
          <w:bCs/>
          <w:color w:val="auto"/>
          <w:szCs w:val="21"/>
          <w:highlight w:val="none"/>
          <w:lang w:eastAsia="zh-CN"/>
        </w:rPr>
        <w:t>（</w:t>
      </w:r>
      <w:r>
        <w:rPr>
          <w:rFonts w:hint="eastAsia" w:cs="宋体"/>
          <w:b/>
          <w:bCs/>
          <w:color w:val="auto"/>
          <w:szCs w:val="21"/>
          <w:highlight w:val="none"/>
          <w:lang w:val="en-US" w:eastAsia="zh-CN"/>
        </w:rPr>
        <w:t>1</w:t>
      </w:r>
      <w:r>
        <w:rPr>
          <w:rFonts w:hint="eastAsia" w:cs="宋体"/>
          <w:b/>
          <w:bCs/>
          <w:color w:val="auto"/>
          <w:szCs w:val="21"/>
          <w:highlight w:val="none"/>
          <w:lang w:eastAsia="zh-CN"/>
        </w:rPr>
        <w:t>）</w:t>
      </w:r>
      <w:r>
        <w:rPr>
          <w:rFonts w:hint="eastAsia" w:cs="宋体"/>
          <w:b/>
          <w:bCs/>
          <w:color w:val="auto"/>
          <w:szCs w:val="21"/>
          <w:highlight w:val="none"/>
        </w:rPr>
        <w:t>本项目共设</w:t>
      </w:r>
      <w:r>
        <w:rPr>
          <w:rFonts w:hint="eastAsia" w:cs="宋体"/>
          <w:b/>
          <w:bCs/>
          <w:color w:val="auto"/>
          <w:szCs w:val="21"/>
          <w:highlight w:val="none"/>
          <w:lang w:val="en-US" w:eastAsia="zh-CN"/>
        </w:rPr>
        <w:t>3</w:t>
      </w:r>
      <w:r>
        <w:rPr>
          <w:rFonts w:hint="eastAsia" w:cs="宋体"/>
          <w:b/>
          <w:bCs/>
          <w:color w:val="auto"/>
          <w:szCs w:val="21"/>
          <w:highlight w:val="none"/>
        </w:rPr>
        <w:t>个</w:t>
      </w:r>
      <w:r>
        <w:rPr>
          <w:rFonts w:hint="eastAsia" w:cs="宋体"/>
          <w:b/>
          <w:bCs/>
          <w:color w:val="auto"/>
          <w:szCs w:val="21"/>
          <w:highlight w:val="none"/>
          <w:lang w:eastAsia="zh-CN"/>
        </w:rPr>
        <w:t>标包</w:t>
      </w:r>
      <w:r>
        <w:rPr>
          <w:rFonts w:hint="eastAsia" w:cs="宋体"/>
          <w:b/>
          <w:bCs/>
          <w:color w:val="auto"/>
          <w:szCs w:val="21"/>
          <w:highlight w:val="none"/>
        </w:rPr>
        <w:t>，</w:t>
      </w:r>
      <w:r>
        <w:rPr>
          <w:rFonts w:hint="eastAsia" w:cs="宋体"/>
          <w:b/>
          <w:bCs/>
          <w:color w:val="auto"/>
          <w:highlight w:val="none"/>
        </w:rPr>
        <w:t>投标人可以参与一个或多个</w:t>
      </w:r>
      <w:r>
        <w:rPr>
          <w:rFonts w:hint="eastAsia" w:cs="宋体"/>
          <w:b/>
          <w:bCs/>
          <w:color w:val="auto"/>
          <w:highlight w:val="none"/>
          <w:lang w:eastAsia="zh-CN"/>
        </w:rPr>
        <w:t>标包</w:t>
      </w:r>
      <w:r>
        <w:rPr>
          <w:rFonts w:hint="eastAsia" w:cs="宋体"/>
          <w:b/>
          <w:bCs/>
          <w:color w:val="auto"/>
          <w:highlight w:val="none"/>
        </w:rPr>
        <w:t>的投标，同一投标人至多只允许中一个</w:t>
      </w:r>
      <w:r>
        <w:rPr>
          <w:rFonts w:hint="eastAsia" w:cs="宋体"/>
          <w:b/>
          <w:bCs/>
          <w:color w:val="auto"/>
          <w:highlight w:val="none"/>
          <w:lang w:eastAsia="zh-CN"/>
        </w:rPr>
        <w:t>标包</w:t>
      </w:r>
      <w:r>
        <w:rPr>
          <w:rFonts w:hint="eastAsia" w:cs="宋体"/>
          <w:b/>
          <w:bCs/>
          <w:color w:val="auto"/>
          <w:highlight w:val="none"/>
        </w:rPr>
        <w:t>。评标时，评标委员会按</w:t>
      </w:r>
      <w:r>
        <w:rPr>
          <w:rFonts w:hint="eastAsia" w:cs="宋体"/>
          <w:b/>
          <w:bCs/>
          <w:color w:val="auto"/>
          <w:highlight w:val="none"/>
          <w:lang w:eastAsia="zh-CN"/>
        </w:rPr>
        <w:t>标包</w:t>
      </w:r>
      <w:r>
        <w:rPr>
          <w:rFonts w:hint="eastAsia" w:cs="宋体"/>
          <w:b/>
          <w:bCs/>
          <w:color w:val="auto"/>
          <w:highlight w:val="none"/>
        </w:rPr>
        <w:t>顺序进行评审（</w:t>
      </w:r>
      <w:r>
        <w:rPr>
          <w:rFonts w:hint="eastAsia" w:cs="宋体"/>
          <w:b/>
          <w:bCs/>
          <w:color w:val="auto"/>
          <w:highlight w:val="none"/>
          <w:lang w:eastAsia="zh-CN"/>
        </w:rPr>
        <w:t>顺序由</w:t>
      </w:r>
      <w:r>
        <w:rPr>
          <w:rFonts w:hint="eastAsia" w:cs="宋体"/>
          <w:b/>
          <w:bCs/>
          <w:color w:val="auto"/>
          <w:highlight w:val="none"/>
          <w:lang w:val="en-US" w:eastAsia="zh-CN"/>
        </w:rPr>
        <w:t>A</w:t>
      </w:r>
      <w:r>
        <w:rPr>
          <w:rFonts w:hint="eastAsia" w:cs="宋体"/>
          <w:b/>
          <w:bCs/>
          <w:color w:val="auto"/>
          <w:highlight w:val="none"/>
          <w:lang w:eastAsia="zh-CN"/>
        </w:rPr>
        <w:t>标包开始到</w:t>
      </w:r>
      <w:r>
        <w:rPr>
          <w:rFonts w:hint="eastAsia" w:cs="宋体"/>
          <w:b/>
          <w:bCs/>
          <w:color w:val="auto"/>
          <w:highlight w:val="none"/>
          <w:lang w:val="en-US" w:eastAsia="zh-CN"/>
        </w:rPr>
        <w:t>C</w:t>
      </w:r>
      <w:r>
        <w:rPr>
          <w:rFonts w:hint="eastAsia" w:cs="宋体"/>
          <w:b/>
          <w:bCs/>
          <w:color w:val="auto"/>
          <w:highlight w:val="none"/>
          <w:lang w:eastAsia="zh-CN"/>
        </w:rPr>
        <w:t>标包结束</w:t>
      </w:r>
      <w:r>
        <w:rPr>
          <w:rFonts w:hint="eastAsia" w:cs="宋体"/>
          <w:b/>
          <w:bCs/>
          <w:color w:val="auto"/>
          <w:highlight w:val="none"/>
        </w:rPr>
        <w:t>），投标人在前一</w:t>
      </w:r>
      <w:r>
        <w:rPr>
          <w:rFonts w:hint="eastAsia" w:cs="宋体"/>
          <w:b/>
          <w:bCs/>
          <w:color w:val="auto"/>
          <w:highlight w:val="none"/>
          <w:lang w:eastAsia="zh-CN"/>
        </w:rPr>
        <w:t>标包</w:t>
      </w:r>
      <w:r>
        <w:rPr>
          <w:rFonts w:hint="eastAsia" w:cs="宋体"/>
          <w:b/>
          <w:bCs/>
          <w:color w:val="auto"/>
          <w:highlight w:val="none"/>
        </w:rPr>
        <w:t>推荐为第一中标候选人的，则在剩余</w:t>
      </w:r>
      <w:r>
        <w:rPr>
          <w:rFonts w:hint="eastAsia" w:cs="宋体"/>
          <w:b/>
          <w:bCs/>
          <w:color w:val="auto"/>
          <w:highlight w:val="none"/>
          <w:lang w:eastAsia="zh-CN"/>
        </w:rPr>
        <w:t>标包</w:t>
      </w:r>
      <w:r>
        <w:rPr>
          <w:rFonts w:hint="eastAsia" w:cs="宋体"/>
          <w:b/>
          <w:bCs/>
          <w:color w:val="auto"/>
          <w:highlight w:val="none"/>
        </w:rPr>
        <w:t>不再推荐为第一中标候选人，剩余</w:t>
      </w:r>
      <w:r>
        <w:rPr>
          <w:rFonts w:hint="eastAsia" w:cs="宋体"/>
          <w:b/>
          <w:bCs/>
          <w:color w:val="auto"/>
          <w:highlight w:val="none"/>
          <w:lang w:eastAsia="zh-CN"/>
        </w:rPr>
        <w:t>标包</w:t>
      </w:r>
      <w:r>
        <w:rPr>
          <w:rFonts w:hint="eastAsia" w:cs="宋体"/>
          <w:b/>
          <w:bCs/>
          <w:color w:val="auto"/>
          <w:highlight w:val="none"/>
        </w:rPr>
        <w:t>在扣除已推荐为第一中标候选人名单后，</w:t>
      </w:r>
      <w:r>
        <w:rPr>
          <w:rFonts w:hint="eastAsia" w:cs="宋体"/>
          <w:b/>
          <w:bCs/>
          <w:color w:val="auto"/>
          <w:highlight w:val="none"/>
          <w:lang w:val="en-US" w:eastAsia="zh-CN"/>
        </w:rPr>
        <w:t>每个标包合格投标人不</w:t>
      </w:r>
      <w:r>
        <w:rPr>
          <w:rFonts w:hint="eastAsia"/>
          <w:b/>
          <w:bCs/>
          <w:color w:val="auto"/>
          <w:highlight w:val="none"/>
          <w:lang w:val="en-US" w:eastAsia="zh-CN"/>
        </w:rPr>
        <w:t>得</w:t>
      </w:r>
      <w:r>
        <w:rPr>
          <w:rFonts w:hint="eastAsia" w:cs="宋体"/>
          <w:b/>
          <w:bCs/>
          <w:color w:val="auto"/>
          <w:highlight w:val="none"/>
          <w:lang w:val="en-US" w:eastAsia="zh-CN"/>
        </w:rPr>
        <w:t>少于3家，</w:t>
      </w:r>
      <w:r>
        <w:rPr>
          <w:rFonts w:hint="eastAsia" w:cs="宋体"/>
          <w:b/>
          <w:bCs/>
          <w:color w:val="auto"/>
          <w:highlight w:val="none"/>
        </w:rPr>
        <w:t>按照得分排名顺延推荐。</w:t>
      </w:r>
    </w:p>
    <w:p w14:paraId="2D90076C">
      <w:pPr>
        <w:ind w:firstLine="422" w:firstLineChars="200"/>
        <w:rPr>
          <w:rFonts w:hint="eastAsia" w:eastAsia="宋体" w:cs="宋体"/>
          <w:b/>
          <w:bCs/>
          <w:color w:val="auto"/>
          <w:szCs w:val="21"/>
          <w:highlight w:val="none"/>
          <w:lang w:val="en-US" w:eastAsia="zh-CN"/>
        </w:rPr>
      </w:pPr>
      <w:r>
        <w:rPr>
          <w:rFonts w:hint="eastAsia" w:cs="宋体"/>
          <w:b/>
          <w:bCs/>
          <w:color w:val="auto"/>
          <w:szCs w:val="21"/>
          <w:highlight w:val="none"/>
        </w:rPr>
        <w:t>（</w:t>
      </w:r>
      <w:r>
        <w:rPr>
          <w:rFonts w:hint="eastAsia" w:cs="宋体"/>
          <w:b/>
          <w:bCs/>
          <w:color w:val="auto"/>
          <w:szCs w:val="21"/>
          <w:highlight w:val="none"/>
          <w:lang w:val="en-US" w:eastAsia="zh-CN"/>
        </w:rPr>
        <w:t>2</w:t>
      </w:r>
      <w:r>
        <w:rPr>
          <w:rFonts w:hint="eastAsia" w:cs="宋体"/>
          <w:b/>
          <w:bCs/>
          <w:color w:val="auto"/>
          <w:szCs w:val="21"/>
          <w:highlight w:val="none"/>
        </w:rPr>
        <w:t>）</w:t>
      </w:r>
      <w:r>
        <w:rPr>
          <w:rFonts w:hint="eastAsia" w:cs="宋体"/>
          <w:b/>
          <w:bCs/>
          <w:color w:val="auto"/>
          <w:szCs w:val="21"/>
          <w:highlight w:val="none"/>
          <w:lang w:val="en-US" w:eastAsia="zh-CN"/>
        </w:rPr>
        <w:t>标包</w:t>
      </w:r>
      <w:r>
        <w:rPr>
          <w:rFonts w:hint="eastAsia" w:cs="宋体"/>
          <w:b/>
          <w:bCs/>
          <w:color w:val="auto"/>
          <w:szCs w:val="21"/>
          <w:highlight w:val="none"/>
        </w:rPr>
        <w:t>名称命名规则：</w:t>
      </w:r>
      <w:r>
        <w:rPr>
          <w:rFonts w:hint="eastAsia" w:cs="宋体"/>
          <w:b/>
          <w:bCs/>
          <w:color w:val="auto"/>
          <w:szCs w:val="21"/>
          <w:highlight w:val="none"/>
          <w:lang w:eastAsia="zh-CN"/>
        </w:rPr>
        <w:t>2025年普洱市乡镇早期火情处置能力提升建设项目</w:t>
      </w:r>
      <w:r>
        <w:rPr>
          <w:rFonts w:hint="eastAsia" w:cs="宋体"/>
          <w:b/>
          <w:bCs/>
          <w:color w:val="auto"/>
          <w:szCs w:val="21"/>
          <w:highlight w:val="none"/>
          <w:lang w:val="en-US" w:eastAsia="zh-CN"/>
        </w:rPr>
        <w:t>A包</w:t>
      </w:r>
      <w:r>
        <w:rPr>
          <w:rFonts w:hint="eastAsia" w:cs="宋体"/>
          <w:color w:val="auto"/>
          <w:szCs w:val="21"/>
          <w:highlight w:val="none"/>
        </w:rPr>
        <w:t>为本项目</w:t>
      </w:r>
      <w:r>
        <w:rPr>
          <w:rFonts w:hint="eastAsia" w:cs="宋体"/>
          <w:color w:val="auto"/>
          <w:szCs w:val="21"/>
          <w:highlight w:val="none"/>
          <w:lang w:val="en-US" w:eastAsia="zh-CN"/>
        </w:rPr>
        <w:t>A包</w:t>
      </w:r>
      <w:r>
        <w:rPr>
          <w:rFonts w:hint="eastAsia" w:cs="宋体"/>
          <w:color w:val="auto"/>
          <w:szCs w:val="21"/>
          <w:highlight w:val="none"/>
        </w:rPr>
        <w:t>的</w:t>
      </w:r>
      <w:r>
        <w:rPr>
          <w:rFonts w:hint="eastAsia" w:cs="宋体"/>
          <w:color w:val="auto"/>
          <w:szCs w:val="21"/>
          <w:highlight w:val="none"/>
          <w:lang w:val="en-US" w:eastAsia="zh-CN"/>
        </w:rPr>
        <w:t>标包</w:t>
      </w:r>
      <w:r>
        <w:rPr>
          <w:rFonts w:hint="eastAsia" w:cs="宋体"/>
          <w:color w:val="auto"/>
          <w:szCs w:val="21"/>
          <w:highlight w:val="none"/>
        </w:rPr>
        <w:t>名称；</w:t>
      </w:r>
      <w:r>
        <w:rPr>
          <w:rFonts w:hint="eastAsia" w:cs="宋体"/>
          <w:b/>
          <w:bCs/>
          <w:color w:val="auto"/>
          <w:szCs w:val="21"/>
          <w:highlight w:val="none"/>
          <w:lang w:eastAsia="zh-CN"/>
        </w:rPr>
        <w:t>2025年普洱市乡镇早期火情处置能力提升建设项目</w:t>
      </w:r>
      <w:r>
        <w:rPr>
          <w:rFonts w:hint="eastAsia" w:cs="宋体"/>
          <w:b/>
          <w:bCs/>
          <w:color w:val="auto"/>
          <w:szCs w:val="21"/>
          <w:highlight w:val="none"/>
          <w:lang w:val="en-US" w:eastAsia="zh-CN"/>
        </w:rPr>
        <w:t>B包</w:t>
      </w:r>
      <w:r>
        <w:rPr>
          <w:rFonts w:hint="eastAsia" w:cs="宋体"/>
          <w:color w:val="auto"/>
          <w:szCs w:val="21"/>
          <w:highlight w:val="none"/>
        </w:rPr>
        <w:t>为本项目</w:t>
      </w:r>
      <w:r>
        <w:rPr>
          <w:rFonts w:hint="eastAsia" w:cs="宋体"/>
          <w:color w:val="auto"/>
          <w:szCs w:val="21"/>
          <w:highlight w:val="none"/>
          <w:lang w:val="en-US" w:eastAsia="zh-CN"/>
        </w:rPr>
        <w:t>B包</w:t>
      </w:r>
      <w:r>
        <w:rPr>
          <w:rFonts w:hint="eastAsia" w:cs="宋体"/>
          <w:color w:val="auto"/>
          <w:szCs w:val="21"/>
          <w:highlight w:val="none"/>
        </w:rPr>
        <w:t>的</w:t>
      </w:r>
      <w:r>
        <w:rPr>
          <w:rFonts w:hint="eastAsia" w:cs="宋体"/>
          <w:color w:val="auto"/>
          <w:szCs w:val="21"/>
          <w:highlight w:val="none"/>
          <w:lang w:val="en-US" w:eastAsia="zh-CN"/>
        </w:rPr>
        <w:t>标包</w:t>
      </w:r>
      <w:r>
        <w:rPr>
          <w:rFonts w:hint="eastAsia" w:cs="宋体"/>
          <w:color w:val="auto"/>
          <w:szCs w:val="21"/>
          <w:highlight w:val="none"/>
        </w:rPr>
        <w:t>名称</w:t>
      </w:r>
      <w:r>
        <w:rPr>
          <w:rFonts w:hint="eastAsia" w:cs="宋体"/>
          <w:color w:val="auto"/>
          <w:szCs w:val="21"/>
          <w:highlight w:val="none"/>
          <w:lang w:eastAsia="zh-CN"/>
        </w:rPr>
        <w:t>；</w:t>
      </w:r>
      <w:r>
        <w:rPr>
          <w:rFonts w:hint="eastAsia" w:cs="宋体"/>
          <w:b/>
          <w:bCs/>
          <w:color w:val="auto"/>
          <w:szCs w:val="21"/>
          <w:highlight w:val="none"/>
          <w:lang w:eastAsia="zh-CN"/>
        </w:rPr>
        <w:t>2025年普洱市乡镇早期火情处置能力提升建设项目</w:t>
      </w:r>
      <w:r>
        <w:rPr>
          <w:rFonts w:hint="eastAsia" w:cs="宋体"/>
          <w:b/>
          <w:bCs/>
          <w:color w:val="auto"/>
          <w:szCs w:val="21"/>
          <w:highlight w:val="none"/>
          <w:lang w:val="en-US" w:eastAsia="zh-CN"/>
        </w:rPr>
        <w:t>C包</w:t>
      </w:r>
      <w:r>
        <w:rPr>
          <w:rFonts w:hint="eastAsia" w:cs="宋体"/>
          <w:color w:val="auto"/>
          <w:szCs w:val="21"/>
          <w:highlight w:val="none"/>
        </w:rPr>
        <w:t>为本项目</w:t>
      </w:r>
      <w:r>
        <w:rPr>
          <w:rFonts w:hint="eastAsia" w:cs="宋体"/>
          <w:color w:val="auto"/>
          <w:szCs w:val="21"/>
          <w:highlight w:val="none"/>
          <w:lang w:val="en-US" w:eastAsia="zh-CN"/>
        </w:rPr>
        <w:t>C包</w:t>
      </w:r>
      <w:r>
        <w:rPr>
          <w:rFonts w:hint="eastAsia" w:cs="宋体"/>
          <w:color w:val="auto"/>
          <w:szCs w:val="21"/>
          <w:highlight w:val="none"/>
        </w:rPr>
        <w:t>的</w:t>
      </w:r>
      <w:r>
        <w:rPr>
          <w:rFonts w:hint="eastAsia" w:cs="宋体"/>
          <w:color w:val="auto"/>
          <w:szCs w:val="21"/>
          <w:highlight w:val="none"/>
          <w:lang w:val="en-US" w:eastAsia="zh-CN"/>
        </w:rPr>
        <w:t>标包</w:t>
      </w:r>
      <w:r>
        <w:rPr>
          <w:rFonts w:hint="eastAsia" w:cs="宋体"/>
          <w:color w:val="auto"/>
          <w:szCs w:val="21"/>
          <w:highlight w:val="none"/>
        </w:rPr>
        <w:t>名称</w:t>
      </w:r>
      <w:r>
        <w:rPr>
          <w:rFonts w:hint="eastAsia" w:cs="宋体"/>
          <w:color w:val="auto"/>
          <w:szCs w:val="21"/>
          <w:highlight w:val="none"/>
          <w:lang w:eastAsia="zh-CN"/>
        </w:rPr>
        <w:t>。</w:t>
      </w:r>
    </w:p>
    <w:p w14:paraId="5A3AC83F">
      <w:pPr>
        <w:ind w:firstLine="422" w:firstLineChars="200"/>
        <w:rPr>
          <w:rFonts w:hint="eastAsia" w:eastAsia="宋体"/>
          <w:highlight w:val="none"/>
          <w:lang w:eastAsia="zh-CN"/>
        </w:rPr>
      </w:pPr>
      <w:r>
        <w:rPr>
          <w:rFonts w:hint="eastAsia" w:cs="宋体"/>
          <w:b/>
          <w:bCs/>
          <w:color w:val="auto"/>
          <w:szCs w:val="21"/>
          <w:highlight w:val="none"/>
        </w:rPr>
        <w:t>（</w:t>
      </w:r>
      <w:r>
        <w:rPr>
          <w:rFonts w:hint="eastAsia" w:cs="宋体"/>
          <w:b/>
          <w:bCs/>
          <w:color w:val="auto"/>
          <w:szCs w:val="21"/>
          <w:highlight w:val="none"/>
          <w:lang w:val="en-US" w:eastAsia="zh-CN"/>
        </w:rPr>
        <w:t>3</w:t>
      </w:r>
      <w:r>
        <w:rPr>
          <w:rFonts w:hint="eastAsia" w:cs="宋体"/>
          <w:b/>
          <w:bCs/>
          <w:color w:val="auto"/>
          <w:szCs w:val="21"/>
          <w:highlight w:val="none"/>
        </w:rPr>
        <w:t>）招标编号命名规则：</w:t>
      </w:r>
      <w:r>
        <w:rPr>
          <w:rFonts w:hint="eastAsia" w:cs="宋体"/>
          <w:b/>
          <w:bCs/>
          <w:color w:val="auto"/>
          <w:szCs w:val="21"/>
          <w:highlight w:val="none"/>
          <w:lang w:eastAsia="zh-CN"/>
        </w:rPr>
        <w:t>C53JX1025001213</w:t>
      </w:r>
      <w:r>
        <w:rPr>
          <w:rFonts w:hint="eastAsia" w:cs="宋体"/>
          <w:b/>
          <w:bCs/>
          <w:color w:val="auto"/>
          <w:w w:val="95"/>
          <w:szCs w:val="21"/>
          <w:highlight w:val="none"/>
          <w:lang w:val="en-US" w:eastAsia="zh-CN"/>
        </w:rPr>
        <w:t>-001</w:t>
      </w:r>
      <w:r>
        <w:rPr>
          <w:rFonts w:hint="eastAsia" w:cs="宋体"/>
          <w:color w:val="auto"/>
          <w:szCs w:val="21"/>
          <w:highlight w:val="none"/>
        </w:rPr>
        <w:t>为本项目</w:t>
      </w:r>
      <w:r>
        <w:rPr>
          <w:rFonts w:hint="eastAsia" w:cs="宋体"/>
          <w:color w:val="auto"/>
          <w:szCs w:val="21"/>
          <w:highlight w:val="none"/>
          <w:lang w:val="en-US" w:eastAsia="zh-CN"/>
        </w:rPr>
        <w:t>A包</w:t>
      </w:r>
      <w:r>
        <w:rPr>
          <w:rFonts w:hint="eastAsia" w:cs="宋体"/>
          <w:color w:val="auto"/>
          <w:szCs w:val="21"/>
          <w:highlight w:val="none"/>
        </w:rPr>
        <w:t>的招标编号；</w:t>
      </w:r>
      <w:r>
        <w:rPr>
          <w:rFonts w:hint="eastAsia" w:cs="宋体"/>
          <w:b/>
          <w:bCs/>
          <w:color w:val="auto"/>
          <w:szCs w:val="21"/>
          <w:highlight w:val="none"/>
          <w:lang w:eastAsia="zh-CN"/>
        </w:rPr>
        <w:t>C53JX1025001213</w:t>
      </w:r>
      <w:r>
        <w:rPr>
          <w:rFonts w:hint="eastAsia" w:cs="宋体"/>
          <w:b/>
          <w:bCs/>
          <w:color w:val="auto"/>
          <w:w w:val="95"/>
          <w:szCs w:val="21"/>
          <w:highlight w:val="none"/>
          <w:lang w:val="en-US" w:eastAsia="zh-CN"/>
        </w:rPr>
        <w:t>-002</w:t>
      </w:r>
      <w:r>
        <w:rPr>
          <w:rFonts w:hint="eastAsia" w:cs="宋体"/>
          <w:color w:val="auto"/>
          <w:szCs w:val="21"/>
          <w:highlight w:val="none"/>
        </w:rPr>
        <w:t>为本项目</w:t>
      </w:r>
      <w:r>
        <w:rPr>
          <w:rFonts w:hint="eastAsia" w:cs="宋体"/>
          <w:color w:val="auto"/>
          <w:szCs w:val="21"/>
          <w:highlight w:val="none"/>
          <w:lang w:val="en-US" w:eastAsia="zh-CN"/>
        </w:rPr>
        <w:t>B包</w:t>
      </w:r>
      <w:r>
        <w:rPr>
          <w:rFonts w:hint="eastAsia" w:cs="宋体"/>
          <w:color w:val="auto"/>
          <w:szCs w:val="21"/>
          <w:highlight w:val="none"/>
        </w:rPr>
        <w:t>的招标编号</w:t>
      </w:r>
      <w:r>
        <w:rPr>
          <w:rFonts w:hint="eastAsia" w:cs="宋体"/>
          <w:color w:val="auto"/>
          <w:szCs w:val="21"/>
          <w:highlight w:val="none"/>
          <w:lang w:eastAsia="zh-CN"/>
        </w:rPr>
        <w:t>；</w:t>
      </w:r>
      <w:r>
        <w:rPr>
          <w:rFonts w:hint="eastAsia" w:cs="宋体"/>
          <w:b/>
          <w:bCs/>
          <w:color w:val="auto"/>
          <w:szCs w:val="21"/>
          <w:highlight w:val="none"/>
          <w:lang w:eastAsia="zh-CN"/>
        </w:rPr>
        <w:t>C53JX1025001213</w:t>
      </w:r>
      <w:r>
        <w:rPr>
          <w:rFonts w:hint="eastAsia" w:cs="宋体"/>
          <w:b/>
          <w:bCs/>
          <w:color w:val="auto"/>
          <w:w w:val="95"/>
          <w:szCs w:val="21"/>
          <w:highlight w:val="none"/>
          <w:lang w:val="en-US" w:eastAsia="zh-CN"/>
        </w:rPr>
        <w:t>-003</w:t>
      </w:r>
      <w:r>
        <w:rPr>
          <w:rFonts w:hint="eastAsia" w:cs="宋体"/>
          <w:color w:val="auto"/>
          <w:szCs w:val="21"/>
          <w:highlight w:val="none"/>
        </w:rPr>
        <w:t>为本项目</w:t>
      </w:r>
      <w:r>
        <w:rPr>
          <w:rFonts w:hint="eastAsia" w:cs="宋体"/>
          <w:color w:val="auto"/>
          <w:szCs w:val="21"/>
          <w:highlight w:val="none"/>
          <w:lang w:val="en-US" w:eastAsia="zh-CN"/>
        </w:rPr>
        <w:t>C包</w:t>
      </w:r>
      <w:r>
        <w:rPr>
          <w:rFonts w:hint="eastAsia" w:cs="宋体"/>
          <w:color w:val="auto"/>
          <w:szCs w:val="21"/>
          <w:highlight w:val="none"/>
        </w:rPr>
        <w:t>的招标编号</w:t>
      </w:r>
      <w:r>
        <w:rPr>
          <w:rFonts w:hint="eastAsia" w:cs="宋体"/>
          <w:color w:val="auto"/>
          <w:szCs w:val="21"/>
          <w:highlight w:val="none"/>
          <w:lang w:eastAsia="zh-CN"/>
        </w:rPr>
        <w:t>。</w:t>
      </w:r>
    </w:p>
    <w:p w14:paraId="704ED97C">
      <w:pPr>
        <w:spacing w:line="440" w:lineRule="exact"/>
        <w:ind w:firstLine="420" w:firstLineChars="200"/>
        <w:rPr>
          <w:rFonts w:hint="eastAsia" w:cs="宋体"/>
          <w:color w:val="auto"/>
          <w:szCs w:val="21"/>
          <w:highlight w:val="none"/>
        </w:rPr>
      </w:pPr>
      <w:r>
        <w:rPr>
          <w:rFonts w:hint="eastAsia" w:cs="宋体"/>
          <w:color w:val="auto"/>
          <w:szCs w:val="21"/>
          <w:highlight w:val="none"/>
        </w:rPr>
        <w:t>合同履行期限：</w:t>
      </w:r>
    </w:p>
    <w:p w14:paraId="575EFA1C">
      <w:pPr>
        <w:spacing w:line="440" w:lineRule="exact"/>
        <w:ind w:firstLine="420" w:firstLineChars="200"/>
        <w:rPr>
          <w:rFonts w:hint="eastAsia" w:cs="宋体"/>
          <w:color w:val="auto"/>
          <w:szCs w:val="21"/>
          <w:highlight w:val="none"/>
          <w:lang w:val="en-US" w:eastAsia="zh-CN"/>
        </w:rPr>
      </w:pPr>
      <w:r>
        <w:rPr>
          <w:rFonts w:hint="eastAsia" w:cs="宋体"/>
          <w:color w:val="auto"/>
          <w:szCs w:val="21"/>
          <w:highlight w:val="none"/>
          <w:lang w:val="en-US" w:eastAsia="zh-CN"/>
        </w:rPr>
        <w:t>A包：自合同签订之日起30</w:t>
      </w:r>
      <w:r>
        <w:rPr>
          <w:rFonts w:hint="eastAsia" w:cs="宋体"/>
          <w:color w:val="auto"/>
          <w:szCs w:val="21"/>
          <w:highlight w:val="none"/>
          <w:lang w:eastAsia="zh-CN"/>
        </w:rPr>
        <w:t>个</w:t>
      </w:r>
      <w:r>
        <w:rPr>
          <w:rFonts w:hint="eastAsia" w:cs="宋体"/>
          <w:color w:val="auto"/>
          <w:szCs w:val="21"/>
          <w:highlight w:val="none"/>
        </w:rPr>
        <w:t>日历天内完成</w:t>
      </w:r>
      <w:r>
        <w:rPr>
          <w:rFonts w:hint="eastAsia" w:cs="宋体"/>
          <w:color w:val="auto"/>
          <w:szCs w:val="21"/>
          <w:highlight w:val="none"/>
          <w:lang w:val="en-US" w:eastAsia="zh-CN"/>
        </w:rPr>
        <w:t>交货</w:t>
      </w:r>
      <w:r>
        <w:rPr>
          <w:rFonts w:hint="eastAsia" w:cs="宋体"/>
          <w:color w:val="auto"/>
          <w:szCs w:val="21"/>
          <w:highlight w:val="none"/>
        </w:rPr>
        <w:t>、调试并验收合格投入使用</w:t>
      </w:r>
      <w:r>
        <w:rPr>
          <w:rFonts w:hint="eastAsia" w:cs="宋体"/>
          <w:color w:val="auto"/>
          <w:szCs w:val="21"/>
          <w:highlight w:val="none"/>
          <w:lang w:eastAsia="zh-CN"/>
        </w:rPr>
        <w:t>。</w:t>
      </w:r>
      <w:r>
        <w:rPr>
          <w:rFonts w:hint="eastAsia" w:cs="宋体"/>
          <w:color w:val="auto"/>
          <w:szCs w:val="21"/>
          <w:highlight w:val="none"/>
          <w:lang w:val="en-US" w:eastAsia="zh-CN"/>
        </w:rPr>
        <w:t>（包括车辆上牌、购买保险、落户、送货至采购人指定地点、现场培训使用方法）</w:t>
      </w:r>
    </w:p>
    <w:p w14:paraId="2C669184">
      <w:pPr>
        <w:spacing w:line="440" w:lineRule="exact"/>
        <w:ind w:firstLine="420" w:firstLineChars="200"/>
        <w:rPr>
          <w:rFonts w:hint="eastAsia" w:cs="宋体"/>
          <w:color w:val="auto"/>
          <w:szCs w:val="21"/>
          <w:highlight w:val="none"/>
          <w:lang w:val="en-US" w:eastAsia="zh-CN"/>
        </w:rPr>
      </w:pPr>
      <w:r>
        <w:rPr>
          <w:rFonts w:hint="eastAsia" w:cs="宋体"/>
          <w:color w:val="auto"/>
          <w:szCs w:val="21"/>
          <w:highlight w:val="none"/>
          <w:lang w:val="en-US" w:eastAsia="zh-CN"/>
        </w:rPr>
        <w:t>B包：自合同签订之日起30个日历天内完成交货，并根据招标人要求进行安装、调试并</w:t>
      </w:r>
      <w:r>
        <w:rPr>
          <w:rFonts w:hint="eastAsia" w:cs="宋体"/>
          <w:color w:val="auto"/>
          <w:szCs w:val="21"/>
          <w:highlight w:val="none"/>
        </w:rPr>
        <w:t>验收合格投入使用</w:t>
      </w:r>
      <w:r>
        <w:rPr>
          <w:rFonts w:hint="eastAsia" w:cs="宋体"/>
          <w:color w:val="auto"/>
          <w:szCs w:val="21"/>
          <w:highlight w:val="none"/>
          <w:lang w:eastAsia="zh-CN"/>
        </w:rPr>
        <w:t>。</w:t>
      </w:r>
      <w:r>
        <w:rPr>
          <w:rFonts w:hint="eastAsia" w:cs="宋体"/>
          <w:color w:val="auto"/>
          <w:szCs w:val="21"/>
          <w:highlight w:val="none"/>
          <w:lang w:val="en-US" w:eastAsia="zh-CN"/>
        </w:rPr>
        <w:t>（包括送货至采购人指定地点、现场培训使用方法）</w:t>
      </w:r>
    </w:p>
    <w:p w14:paraId="15EA380E">
      <w:pPr>
        <w:spacing w:line="440" w:lineRule="exact"/>
        <w:ind w:firstLine="420" w:firstLineChars="200"/>
        <w:rPr>
          <w:rFonts w:hint="eastAsia" w:cs="宋体"/>
          <w:color w:val="auto"/>
          <w:szCs w:val="21"/>
          <w:highlight w:val="none"/>
        </w:rPr>
      </w:pPr>
      <w:r>
        <w:rPr>
          <w:rFonts w:hint="eastAsia" w:cs="宋体"/>
          <w:color w:val="auto"/>
          <w:szCs w:val="21"/>
          <w:highlight w:val="none"/>
          <w:lang w:val="en-US" w:eastAsia="zh-CN"/>
        </w:rPr>
        <w:t>C包：自合同签订之日起30</w:t>
      </w:r>
      <w:r>
        <w:rPr>
          <w:rFonts w:hint="eastAsia" w:cs="宋体"/>
          <w:color w:val="auto"/>
          <w:szCs w:val="21"/>
          <w:highlight w:val="none"/>
        </w:rPr>
        <w:t>个日历日内</w:t>
      </w:r>
      <w:r>
        <w:rPr>
          <w:rFonts w:hint="eastAsia" w:cs="宋体"/>
          <w:color w:val="auto"/>
          <w:szCs w:val="21"/>
          <w:highlight w:val="none"/>
          <w:lang w:val="en-US" w:eastAsia="zh-CN"/>
        </w:rPr>
        <w:t>完成</w:t>
      </w:r>
      <w:r>
        <w:rPr>
          <w:rFonts w:hint="eastAsia" w:cs="宋体"/>
          <w:color w:val="auto"/>
          <w:szCs w:val="21"/>
          <w:highlight w:val="none"/>
        </w:rPr>
        <w:t>交货</w:t>
      </w:r>
      <w:r>
        <w:rPr>
          <w:rFonts w:hint="eastAsia" w:cs="宋体"/>
          <w:color w:val="auto"/>
          <w:szCs w:val="21"/>
          <w:highlight w:val="none"/>
          <w:lang w:val="en-US" w:eastAsia="zh-CN"/>
        </w:rPr>
        <w:t>并通过验收</w:t>
      </w:r>
      <w:r>
        <w:rPr>
          <w:rFonts w:hint="eastAsia"/>
          <w:color w:val="auto"/>
          <w:szCs w:val="21"/>
          <w:highlight w:val="none"/>
        </w:rPr>
        <w:t>。</w:t>
      </w:r>
    </w:p>
    <w:p w14:paraId="49EF968F">
      <w:pPr>
        <w:spacing w:line="440" w:lineRule="exact"/>
        <w:ind w:firstLine="420" w:firstLineChars="200"/>
        <w:rPr>
          <w:rFonts w:hint="eastAsia" w:cs="宋体"/>
          <w:b/>
          <w:bCs/>
          <w:color w:val="auto"/>
          <w:szCs w:val="21"/>
          <w:highlight w:val="none"/>
        </w:rPr>
      </w:pPr>
      <w:r>
        <w:rPr>
          <w:rFonts w:hint="eastAsia" w:cs="宋体"/>
          <w:color w:val="auto"/>
          <w:szCs w:val="21"/>
          <w:highlight w:val="none"/>
        </w:rPr>
        <w:t>本项目（否）接受联合体投标。</w:t>
      </w:r>
    </w:p>
    <w:p w14:paraId="4D12D5F0">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16" w:name="_Toc28359080"/>
      <w:bookmarkStart w:id="17" w:name="_Toc35393622"/>
      <w:bookmarkStart w:id="18" w:name="_Toc6332"/>
      <w:bookmarkStart w:id="19" w:name="_Toc28359003"/>
      <w:bookmarkStart w:id="20" w:name="_Toc35393791"/>
      <w:bookmarkStart w:id="21" w:name="_Toc7106"/>
      <w:bookmarkStart w:id="22" w:name="_Toc16571"/>
      <w:r>
        <w:rPr>
          <w:rFonts w:hint="eastAsia" w:eastAsia="宋体" w:cs="宋体"/>
          <w:color w:val="auto"/>
          <w:sz w:val="21"/>
          <w:szCs w:val="21"/>
          <w:highlight w:val="none"/>
        </w:rPr>
        <w:t>★二、投标人的资格要求</w:t>
      </w:r>
      <w:bookmarkEnd w:id="16"/>
      <w:bookmarkEnd w:id="17"/>
      <w:bookmarkEnd w:id="18"/>
      <w:bookmarkEnd w:id="19"/>
      <w:bookmarkEnd w:id="20"/>
      <w:bookmarkEnd w:id="21"/>
      <w:r>
        <w:rPr>
          <w:rFonts w:hint="eastAsia" w:eastAsia="宋体" w:cs="宋体"/>
          <w:color w:val="auto"/>
          <w:sz w:val="21"/>
          <w:szCs w:val="21"/>
          <w:highlight w:val="none"/>
        </w:rPr>
        <w:t>：</w:t>
      </w:r>
      <w:bookmarkEnd w:id="22"/>
    </w:p>
    <w:p w14:paraId="7CA04AF7">
      <w:pPr>
        <w:snapToGrid w:val="0"/>
        <w:spacing w:line="440" w:lineRule="exact"/>
        <w:ind w:firstLine="422" w:firstLineChars="200"/>
        <w:rPr>
          <w:rFonts w:hint="eastAsia" w:cs="宋体"/>
          <w:b/>
          <w:bCs/>
          <w:color w:val="auto"/>
          <w:szCs w:val="21"/>
          <w:highlight w:val="none"/>
        </w:rPr>
      </w:pPr>
      <w:bookmarkStart w:id="23" w:name="_Toc35393792"/>
      <w:bookmarkStart w:id="24" w:name="_Toc35393623"/>
      <w:bookmarkStart w:id="25" w:name="_Toc28359081"/>
      <w:bookmarkStart w:id="26" w:name="_Toc28359004"/>
      <w:r>
        <w:rPr>
          <w:rFonts w:hint="eastAsia" w:cs="宋体"/>
          <w:b/>
          <w:bCs/>
          <w:color w:val="auto"/>
          <w:szCs w:val="21"/>
          <w:highlight w:val="none"/>
        </w:rPr>
        <w:t>1．满足《中华人民共和国政府采购法》第二十二条规定；</w:t>
      </w:r>
    </w:p>
    <w:p w14:paraId="7F430730">
      <w:pPr>
        <w:snapToGrid w:val="0"/>
        <w:spacing w:line="440" w:lineRule="exact"/>
        <w:ind w:firstLine="422" w:firstLineChars="200"/>
        <w:rPr>
          <w:rFonts w:hint="eastAsia" w:eastAsia="宋体" w:cs="宋体"/>
          <w:b/>
          <w:bCs/>
          <w:color w:val="auto"/>
          <w:szCs w:val="21"/>
          <w:highlight w:val="none"/>
          <w:lang w:eastAsia="zh-CN"/>
        </w:rPr>
      </w:pPr>
      <w:r>
        <w:rPr>
          <w:rFonts w:hint="eastAsia" w:cs="宋体"/>
          <w:b/>
          <w:bCs/>
          <w:color w:val="auto"/>
          <w:szCs w:val="21"/>
          <w:highlight w:val="none"/>
        </w:rPr>
        <w:t>2．落实政府采购政策需满足的资格要求：本项目非专门面向中小企业采购项目</w:t>
      </w:r>
      <w:r>
        <w:rPr>
          <w:rFonts w:hint="eastAsia" w:cs="宋体"/>
          <w:b/>
          <w:bCs/>
          <w:color w:val="auto"/>
          <w:kern w:val="0"/>
          <w:szCs w:val="21"/>
          <w:highlight w:val="none"/>
        </w:rPr>
        <w:t>；（</w:t>
      </w:r>
      <w:r>
        <w:rPr>
          <w:rFonts w:cs="宋体"/>
          <w:b/>
          <w:bCs/>
          <w:color w:val="auto"/>
          <w:kern w:val="0"/>
          <w:szCs w:val="21"/>
          <w:highlight w:val="none"/>
        </w:rPr>
        <w:t>1）</w:t>
      </w:r>
      <w:r>
        <w:rPr>
          <w:rFonts w:hint="eastAsia" w:cs="宋体"/>
          <w:b/>
          <w:bCs/>
          <w:color w:val="auto"/>
          <w:kern w:val="0"/>
          <w:szCs w:val="21"/>
          <w:highlight w:val="none"/>
          <w:lang w:eastAsia="zh-CN"/>
        </w:rPr>
        <w:t>2025年普洱市乡镇早期火情处置能力提升建设项目</w:t>
      </w:r>
      <w:r>
        <w:rPr>
          <w:rFonts w:hint="eastAsia" w:cs="宋体"/>
          <w:b/>
          <w:bCs/>
          <w:color w:val="auto"/>
          <w:kern w:val="0"/>
          <w:szCs w:val="21"/>
          <w:highlight w:val="none"/>
          <w:lang w:val="en-US" w:eastAsia="zh-CN"/>
        </w:rPr>
        <w:t>A包</w:t>
      </w:r>
      <w:r>
        <w:rPr>
          <w:rFonts w:cs="宋体"/>
          <w:b/>
          <w:bCs/>
          <w:color w:val="auto"/>
          <w:kern w:val="0"/>
          <w:szCs w:val="21"/>
          <w:highlight w:val="none"/>
        </w:rPr>
        <w:t>：小微企业价格扣除优惠比例:10%</w:t>
      </w:r>
      <w:r>
        <w:rPr>
          <w:rFonts w:hint="eastAsia" w:cs="宋体"/>
          <w:b/>
          <w:bCs/>
          <w:color w:val="auto"/>
          <w:kern w:val="0"/>
          <w:szCs w:val="21"/>
          <w:highlight w:val="none"/>
        </w:rPr>
        <w:t>；（</w:t>
      </w:r>
      <w:r>
        <w:rPr>
          <w:rFonts w:hint="eastAsia" w:cs="宋体"/>
          <w:b/>
          <w:bCs/>
          <w:color w:val="auto"/>
          <w:kern w:val="0"/>
          <w:szCs w:val="21"/>
          <w:highlight w:val="none"/>
          <w:lang w:val="en-US" w:eastAsia="zh-CN"/>
        </w:rPr>
        <w:t>2</w:t>
      </w:r>
      <w:r>
        <w:rPr>
          <w:rFonts w:cs="宋体"/>
          <w:b/>
          <w:bCs/>
          <w:color w:val="auto"/>
          <w:kern w:val="0"/>
          <w:szCs w:val="21"/>
          <w:highlight w:val="none"/>
        </w:rPr>
        <w:t>）</w:t>
      </w:r>
      <w:r>
        <w:rPr>
          <w:rFonts w:hint="eastAsia" w:cs="宋体"/>
          <w:b/>
          <w:bCs/>
          <w:color w:val="auto"/>
          <w:kern w:val="0"/>
          <w:szCs w:val="21"/>
          <w:highlight w:val="none"/>
          <w:lang w:eastAsia="zh-CN"/>
        </w:rPr>
        <w:t>2025年普洱市乡镇早期火情处置能力提升建设项目</w:t>
      </w:r>
      <w:r>
        <w:rPr>
          <w:rFonts w:hint="eastAsia" w:cs="宋体"/>
          <w:b/>
          <w:bCs/>
          <w:color w:val="auto"/>
          <w:kern w:val="0"/>
          <w:szCs w:val="21"/>
          <w:highlight w:val="none"/>
          <w:lang w:val="en-US" w:eastAsia="zh-CN"/>
        </w:rPr>
        <w:t>B包</w:t>
      </w:r>
      <w:r>
        <w:rPr>
          <w:rFonts w:cs="宋体"/>
          <w:b/>
          <w:bCs/>
          <w:color w:val="auto"/>
          <w:kern w:val="0"/>
          <w:szCs w:val="21"/>
          <w:highlight w:val="none"/>
        </w:rPr>
        <w:t>：小微企业价格扣除优惠比例:10%</w:t>
      </w:r>
      <w:r>
        <w:rPr>
          <w:rFonts w:hint="eastAsia" w:cs="宋体"/>
          <w:b/>
          <w:bCs/>
          <w:color w:val="auto"/>
          <w:kern w:val="0"/>
          <w:szCs w:val="21"/>
          <w:highlight w:val="none"/>
          <w:lang w:eastAsia="zh-CN"/>
        </w:rPr>
        <w:t>；</w:t>
      </w:r>
      <w:r>
        <w:rPr>
          <w:rFonts w:hint="eastAsia" w:cs="宋体"/>
          <w:b/>
          <w:bCs/>
          <w:color w:val="auto"/>
          <w:kern w:val="0"/>
          <w:szCs w:val="21"/>
          <w:highlight w:val="none"/>
        </w:rPr>
        <w:t>（</w:t>
      </w:r>
      <w:r>
        <w:rPr>
          <w:rFonts w:hint="eastAsia" w:cs="宋体"/>
          <w:b/>
          <w:bCs/>
          <w:color w:val="auto"/>
          <w:kern w:val="0"/>
          <w:szCs w:val="21"/>
          <w:highlight w:val="none"/>
          <w:lang w:val="en-US" w:eastAsia="zh-CN"/>
        </w:rPr>
        <w:t>3</w:t>
      </w:r>
      <w:r>
        <w:rPr>
          <w:rFonts w:cs="宋体"/>
          <w:b/>
          <w:bCs/>
          <w:color w:val="auto"/>
          <w:kern w:val="0"/>
          <w:szCs w:val="21"/>
          <w:highlight w:val="none"/>
        </w:rPr>
        <w:t>）</w:t>
      </w:r>
      <w:r>
        <w:rPr>
          <w:rFonts w:hint="eastAsia" w:cs="宋体"/>
          <w:b/>
          <w:bCs/>
          <w:color w:val="auto"/>
          <w:kern w:val="0"/>
          <w:szCs w:val="21"/>
          <w:highlight w:val="none"/>
          <w:lang w:eastAsia="zh-CN"/>
        </w:rPr>
        <w:t>2025年普洱市乡镇早期火情处置能力提升建设项目</w:t>
      </w:r>
      <w:r>
        <w:rPr>
          <w:rFonts w:hint="eastAsia" w:cs="宋体"/>
          <w:b/>
          <w:bCs/>
          <w:color w:val="auto"/>
          <w:kern w:val="0"/>
          <w:szCs w:val="21"/>
          <w:highlight w:val="none"/>
          <w:lang w:val="en-US" w:eastAsia="zh-CN"/>
        </w:rPr>
        <w:t>C包</w:t>
      </w:r>
      <w:r>
        <w:rPr>
          <w:rFonts w:cs="宋体"/>
          <w:b/>
          <w:bCs/>
          <w:color w:val="auto"/>
          <w:kern w:val="0"/>
          <w:szCs w:val="21"/>
          <w:highlight w:val="none"/>
        </w:rPr>
        <w:t>：小微企业价格扣除优惠比例:10%</w:t>
      </w:r>
      <w:r>
        <w:rPr>
          <w:rFonts w:hint="eastAsia" w:cs="宋体"/>
          <w:b/>
          <w:bCs/>
          <w:color w:val="auto"/>
          <w:kern w:val="0"/>
          <w:szCs w:val="21"/>
          <w:highlight w:val="none"/>
          <w:lang w:eastAsia="zh-CN"/>
        </w:rPr>
        <w:t>。</w:t>
      </w:r>
    </w:p>
    <w:p w14:paraId="3C565D1A">
      <w:pPr>
        <w:snapToGrid w:val="0"/>
        <w:spacing w:line="440" w:lineRule="exact"/>
        <w:ind w:firstLine="422" w:firstLineChars="200"/>
        <w:rPr>
          <w:rFonts w:hint="eastAsia" w:cs="宋体"/>
          <w:b/>
          <w:bCs/>
          <w:color w:val="auto"/>
          <w:szCs w:val="21"/>
          <w:highlight w:val="none"/>
        </w:rPr>
      </w:pPr>
      <w:r>
        <w:rPr>
          <w:rFonts w:hint="eastAsia" w:cs="宋体"/>
          <w:b/>
          <w:bCs/>
          <w:color w:val="auto"/>
          <w:szCs w:val="21"/>
          <w:highlight w:val="none"/>
        </w:rPr>
        <w:t>3．本项目的特定资格要求：</w:t>
      </w:r>
    </w:p>
    <w:p w14:paraId="47CCB739">
      <w:pPr>
        <w:snapToGrid w:val="0"/>
        <w:spacing w:line="440" w:lineRule="exact"/>
        <w:ind w:firstLine="420" w:firstLineChars="200"/>
        <w:rPr>
          <w:rFonts w:hint="eastAsia"/>
          <w:color w:val="auto"/>
          <w:szCs w:val="21"/>
          <w:highlight w:val="none"/>
        </w:rPr>
      </w:pPr>
      <w:r>
        <w:rPr>
          <w:rFonts w:hint="eastAsia"/>
          <w:color w:val="auto"/>
          <w:szCs w:val="21"/>
          <w:highlight w:val="none"/>
        </w:rPr>
        <w:t>3.1单位负责人为同一人或者存在直接控股、管理关系的不同投标人，不得参加同一合同项下的政府采购活动。</w:t>
      </w:r>
    </w:p>
    <w:p w14:paraId="6C03A5AE">
      <w:pPr>
        <w:snapToGrid w:val="0"/>
        <w:spacing w:line="440" w:lineRule="exact"/>
        <w:ind w:firstLine="420" w:firstLineChars="200"/>
        <w:rPr>
          <w:rFonts w:hint="eastAsia"/>
          <w:color w:val="auto"/>
          <w:szCs w:val="21"/>
          <w:highlight w:val="none"/>
        </w:rPr>
      </w:pPr>
      <w:r>
        <w:rPr>
          <w:rFonts w:hint="eastAsia"/>
          <w:color w:val="auto"/>
          <w:szCs w:val="21"/>
          <w:highlight w:val="none"/>
        </w:rPr>
        <w:t>3.</w:t>
      </w:r>
      <w:r>
        <w:rPr>
          <w:rFonts w:hint="eastAsia"/>
          <w:color w:val="auto"/>
          <w:szCs w:val="21"/>
          <w:highlight w:val="none"/>
          <w:lang w:val="en-US" w:eastAsia="zh-CN"/>
        </w:rPr>
        <w:t>2</w:t>
      </w:r>
      <w:r>
        <w:rPr>
          <w:rFonts w:hint="eastAsia"/>
          <w:color w:val="auto"/>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p>
    <w:p w14:paraId="4753AE9B">
      <w:pPr>
        <w:snapToGrid w:val="0"/>
        <w:spacing w:line="440" w:lineRule="exact"/>
        <w:ind w:firstLine="420" w:firstLineChars="200"/>
        <w:rPr>
          <w:rFonts w:hint="eastAsia" w:cs="宋体"/>
          <w:b/>
          <w:bCs/>
          <w:color w:val="auto"/>
          <w:szCs w:val="21"/>
          <w:highlight w:val="none"/>
        </w:rPr>
      </w:pPr>
      <w:r>
        <w:rPr>
          <w:rFonts w:hint="eastAsia"/>
          <w:color w:val="auto"/>
          <w:szCs w:val="21"/>
          <w:highlight w:val="none"/>
        </w:rPr>
        <w:t>3.</w:t>
      </w:r>
      <w:r>
        <w:rPr>
          <w:rFonts w:hint="eastAsia"/>
          <w:color w:val="auto"/>
          <w:szCs w:val="21"/>
          <w:highlight w:val="none"/>
          <w:lang w:val="en-US" w:eastAsia="zh-CN"/>
        </w:rPr>
        <w:t>3</w:t>
      </w:r>
      <w:r>
        <w:rPr>
          <w:rFonts w:hint="eastAsia"/>
          <w:color w:val="auto"/>
          <w:szCs w:val="21"/>
          <w:highlight w:val="none"/>
        </w:rPr>
        <w:t>本项目不接受联合体投标</w:t>
      </w:r>
      <w:r>
        <w:rPr>
          <w:rFonts w:hint="eastAsia" w:cs="宋体"/>
          <w:color w:val="auto"/>
          <w:szCs w:val="21"/>
          <w:highlight w:val="none"/>
        </w:rPr>
        <w:t>。</w:t>
      </w:r>
    </w:p>
    <w:bookmarkEnd w:id="23"/>
    <w:bookmarkEnd w:id="24"/>
    <w:bookmarkEnd w:id="25"/>
    <w:bookmarkEnd w:id="26"/>
    <w:p w14:paraId="67AC1BAA">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27" w:name="_Toc30175"/>
      <w:bookmarkStart w:id="28" w:name="_Toc12774"/>
      <w:bookmarkStart w:id="29" w:name="_Toc15325"/>
      <w:bookmarkStart w:id="30" w:name="_Toc35393795"/>
      <w:bookmarkStart w:id="31" w:name="_Toc35393626"/>
      <w:r>
        <w:rPr>
          <w:rFonts w:hint="eastAsia" w:eastAsia="宋体" w:cs="宋体"/>
          <w:color w:val="auto"/>
          <w:sz w:val="21"/>
          <w:szCs w:val="21"/>
          <w:highlight w:val="none"/>
        </w:rPr>
        <w:t>三、获取招标文件</w:t>
      </w:r>
      <w:bookmarkEnd w:id="27"/>
      <w:bookmarkEnd w:id="28"/>
    </w:p>
    <w:bookmarkEnd w:id="29"/>
    <w:bookmarkEnd w:id="30"/>
    <w:bookmarkEnd w:id="31"/>
    <w:p w14:paraId="606998EF">
      <w:pPr>
        <w:snapToGrid w:val="0"/>
        <w:ind w:firstLine="420" w:firstLineChars="200"/>
        <w:rPr>
          <w:rFonts w:hint="eastAsia" w:cs="宋体"/>
          <w:color w:val="auto"/>
          <w:szCs w:val="21"/>
          <w:highlight w:val="none"/>
        </w:rPr>
      </w:pPr>
      <w:bookmarkStart w:id="32" w:name="_Toc28359082"/>
      <w:bookmarkStart w:id="33" w:name="_Toc12076"/>
      <w:bookmarkStart w:id="34" w:name="_Toc54552203"/>
      <w:bookmarkStart w:id="35" w:name="_Toc35393793"/>
      <w:bookmarkStart w:id="36" w:name="_Toc35393624"/>
      <w:bookmarkStart w:id="37" w:name="_Toc28359005"/>
      <w:bookmarkStart w:id="38" w:name="_Toc28359085"/>
      <w:bookmarkStart w:id="39" w:name="_Toc28359008"/>
      <w:bookmarkStart w:id="40" w:name="_Toc35393627"/>
      <w:bookmarkStart w:id="41" w:name="_Toc35393796"/>
      <w:r>
        <w:rPr>
          <w:rFonts w:hint="eastAsia" w:cs="宋体"/>
          <w:color w:val="auto"/>
          <w:szCs w:val="21"/>
          <w:highlight w:val="none"/>
        </w:rPr>
        <w:t>1.时间：</w:t>
      </w:r>
      <w:r>
        <w:rPr>
          <w:rFonts w:hint="eastAsia" w:cs="宋体"/>
          <w:b/>
          <w:bCs/>
          <w:color w:val="auto"/>
          <w:szCs w:val="21"/>
          <w:highlight w:val="none"/>
          <w:u w:val="single"/>
        </w:rPr>
        <w:t>202</w:t>
      </w:r>
      <w:r>
        <w:rPr>
          <w:rFonts w:hint="eastAsia" w:cs="宋体"/>
          <w:b/>
          <w:bCs/>
          <w:color w:val="auto"/>
          <w:szCs w:val="21"/>
          <w:highlight w:val="none"/>
          <w:u w:val="single"/>
          <w:lang w:val="en-US" w:eastAsia="zh-CN"/>
        </w:rPr>
        <w:t>5</w:t>
      </w:r>
      <w:r>
        <w:rPr>
          <w:rFonts w:hint="eastAsia" w:cs="宋体"/>
          <w:b/>
          <w:bCs/>
          <w:color w:val="auto"/>
          <w:szCs w:val="21"/>
          <w:highlight w:val="none"/>
          <w:u w:val="single"/>
        </w:rPr>
        <w:t>年</w:t>
      </w:r>
      <w:r>
        <w:rPr>
          <w:rFonts w:hint="eastAsia" w:cs="宋体"/>
          <w:b/>
          <w:bCs/>
          <w:color w:val="auto"/>
          <w:szCs w:val="21"/>
          <w:highlight w:val="none"/>
          <w:u w:val="single"/>
          <w:lang w:val="en-US" w:eastAsia="zh-CN"/>
        </w:rPr>
        <w:t>8</w:t>
      </w:r>
      <w:r>
        <w:rPr>
          <w:rFonts w:hint="eastAsia" w:cs="宋体"/>
          <w:b/>
          <w:bCs/>
          <w:color w:val="auto"/>
          <w:szCs w:val="21"/>
          <w:highlight w:val="none"/>
          <w:u w:val="single"/>
        </w:rPr>
        <w:t>月</w:t>
      </w:r>
      <w:r>
        <w:rPr>
          <w:rFonts w:hint="eastAsia" w:cs="宋体"/>
          <w:b/>
          <w:bCs/>
          <w:color w:val="auto"/>
          <w:szCs w:val="21"/>
          <w:highlight w:val="none"/>
          <w:u w:val="single"/>
          <w:lang w:val="en-US" w:eastAsia="zh-CN"/>
        </w:rPr>
        <w:t>13</w:t>
      </w:r>
      <w:r>
        <w:rPr>
          <w:rFonts w:cs="宋体"/>
          <w:b/>
          <w:bCs/>
          <w:color w:val="auto"/>
          <w:szCs w:val="21"/>
          <w:highlight w:val="none"/>
          <w:u w:val="single"/>
        </w:rPr>
        <w:t>日</w:t>
      </w:r>
      <w:r>
        <w:rPr>
          <w:rFonts w:hint="eastAsia" w:cs="宋体"/>
          <w:b/>
          <w:bCs/>
          <w:color w:val="auto"/>
          <w:szCs w:val="21"/>
          <w:highlight w:val="none"/>
          <w:u w:val="single"/>
        </w:rPr>
        <w:t>至202</w:t>
      </w:r>
      <w:r>
        <w:rPr>
          <w:rFonts w:hint="eastAsia" w:cs="宋体"/>
          <w:b/>
          <w:bCs/>
          <w:color w:val="auto"/>
          <w:szCs w:val="21"/>
          <w:highlight w:val="none"/>
          <w:u w:val="single"/>
          <w:lang w:val="en-US" w:eastAsia="zh-CN"/>
        </w:rPr>
        <w:t>5</w:t>
      </w:r>
      <w:r>
        <w:rPr>
          <w:rFonts w:hint="eastAsia" w:cs="宋体"/>
          <w:b/>
          <w:bCs/>
          <w:color w:val="auto"/>
          <w:szCs w:val="21"/>
          <w:highlight w:val="none"/>
          <w:u w:val="single"/>
        </w:rPr>
        <w:t>年</w:t>
      </w:r>
      <w:r>
        <w:rPr>
          <w:rFonts w:hint="eastAsia" w:cs="宋体"/>
          <w:b/>
          <w:bCs/>
          <w:color w:val="auto"/>
          <w:szCs w:val="21"/>
          <w:highlight w:val="none"/>
          <w:u w:val="single"/>
          <w:lang w:val="en-US" w:eastAsia="zh-CN"/>
        </w:rPr>
        <w:t>8</w:t>
      </w:r>
      <w:r>
        <w:rPr>
          <w:rFonts w:hint="eastAsia" w:cs="宋体"/>
          <w:b/>
          <w:bCs/>
          <w:color w:val="auto"/>
          <w:szCs w:val="21"/>
          <w:highlight w:val="none"/>
          <w:u w:val="single"/>
        </w:rPr>
        <w:t>月</w:t>
      </w:r>
      <w:r>
        <w:rPr>
          <w:rFonts w:hint="eastAsia" w:cs="宋体"/>
          <w:b/>
          <w:bCs/>
          <w:color w:val="auto"/>
          <w:szCs w:val="21"/>
          <w:highlight w:val="none"/>
          <w:u w:val="single"/>
          <w:lang w:val="en-US" w:eastAsia="zh-CN"/>
        </w:rPr>
        <w:t>20</w:t>
      </w:r>
      <w:r>
        <w:rPr>
          <w:rFonts w:hint="eastAsia" w:cs="宋体"/>
          <w:b/>
          <w:bCs/>
          <w:color w:val="auto"/>
          <w:szCs w:val="21"/>
          <w:highlight w:val="none"/>
          <w:u w:val="single"/>
        </w:rPr>
        <w:t>日23时59分</w:t>
      </w:r>
      <w:r>
        <w:rPr>
          <w:rFonts w:hint="eastAsia" w:cs="宋体"/>
          <w:color w:val="auto"/>
          <w:szCs w:val="21"/>
          <w:highlight w:val="none"/>
        </w:rPr>
        <w:t>，每天上午</w:t>
      </w:r>
      <w:r>
        <w:rPr>
          <w:rFonts w:hint="eastAsia" w:cs="宋体"/>
          <w:color w:val="auto"/>
          <w:szCs w:val="21"/>
          <w:highlight w:val="none"/>
          <w:lang w:val="en-US" w:eastAsia="zh-CN"/>
        </w:rPr>
        <w:t>06:00</w:t>
      </w:r>
      <w:r>
        <w:rPr>
          <w:rFonts w:hint="eastAsia" w:cs="宋体"/>
          <w:color w:val="auto"/>
          <w:szCs w:val="21"/>
          <w:highlight w:val="none"/>
        </w:rPr>
        <w:t>至12:00，下午12:00至23:59（北京时间，法定节假日除外）。</w:t>
      </w:r>
    </w:p>
    <w:p w14:paraId="54B2CD0A">
      <w:pPr>
        <w:snapToGrid w:val="0"/>
        <w:ind w:firstLine="420" w:firstLineChars="200"/>
        <w:rPr>
          <w:rFonts w:hint="eastAsia" w:cs="宋体"/>
          <w:b/>
          <w:bCs/>
          <w:color w:val="auto"/>
          <w:szCs w:val="21"/>
          <w:highlight w:val="none"/>
        </w:rPr>
      </w:pPr>
      <w:r>
        <w:rPr>
          <w:rFonts w:hint="eastAsia" w:cs="宋体"/>
          <w:color w:val="auto"/>
          <w:szCs w:val="21"/>
          <w:highlight w:val="none"/>
        </w:rPr>
        <w:t>2.地点：</w:t>
      </w:r>
      <w:r>
        <w:rPr>
          <w:rFonts w:hint="eastAsia" w:cs="宋体"/>
          <w:b/>
          <w:bCs/>
          <w:color w:val="auto"/>
          <w:szCs w:val="21"/>
          <w:highlight w:val="none"/>
        </w:rPr>
        <w:t>政采云平台（https://www.zcygov.cn/）</w:t>
      </w:r>
    </w:p>
    <w:p w14:paraId="64802AEE">
      <w:pPr>
        <w:adjustRightInd w:val="0"/>
        <w:snapToGrid w:val="0"/>
        <w:ind w:firstLine="420" w:firstLineChars="200"/>
        <w:rPr>
          <w:rFonts w:hint="eastAsia" w:cs="宋体"/>
          <w:bCs/>
          <w:color w:val="auto"/>
          <w:szCs w:val="22"/>
          <w:highlight w:val="none"/>
        </w:rPr>
      </w:pPr>
      <w:r>
        <w:rPr>
          <w:rFonts w:hint="eastAsia" w:cs="宋体"/>
          <w:color w:val="auto"/>
          <w:szCs w:val="21"/>
          <w:highlight w:val="none"/>
        </w:rPr>
        <w:t>3.方式：</w:t>
      </w:r>
      <w:r>
        <w:rPr>
          <w:rFonts w:hint="eastAsia" w:cs="宋体"/>
          <w:b/>
          <w:color w:val="auto"/>
          <w:szCs w:val="22"/>
          <w:highlight w:val="none"/>
        </w:rPr>
        <w:t>（1）</w:t>
      </w:r>
      <w:r>
        <w:rPr>
          <w:rFonts w:hint="eastAsia" w:cs="宋体"/>
          <w:bCs/>
          <w:color w:val="auto"/>
          <w:szCs w:val="22"/>
          <w:highlight w:val="none"/>
        </w:rPr>
        <w:t>凡有意参加投标者，须在</w:t>
      </w:r>
      <w:r>
        <w:rPr>
          <w:rFonts w:hint="eastAsia" w:cs="宋体"/>
          <w:b/>
          <w:color w:val="auto"/>
          <w:szCs w:val="22"/>
          <w:highlight w:val="none"/>
        </w:rPr>
        <w:t>政采云平台办理数字证书（CA）</w:t>
      </w:r>
      <w:r>
        <w:rPr>
          <w:rFonts w:hint="eastAsia" w:cs="宋体"/>
          <w:bCs/>
          <w:color w:val="auto"/>
          <w:szCs w:val="22"/>
          <w:highlight w:val="none"/>
        </w:rPr>
        <w:t>，</w:t>
      </w:r>
      <w:r>
        <w:rPr>
          <w:rFonts w:hint="eastAsia" w:cs="宋体"/>
          <w:b/>
          <w:color w:val="auto"/>
          <w:szCs w:val="22"/>
          <w:highlight w:val="none"/>
        </w:rPr>
        <w:t>CA申领链接：https://middle.zcygov.cn/ca/apply/list?_app_=zcy.sys</w:t>
      </w:r>
      <w:r>
        <w:rPr>
          <w:rFonts w:hint="eastAsia" w:cs="宋体"/>
          <w:bCs/>
          <w:color w:val="auto"/>
          <w:szCs w:val="22"/>
          <w:highlight w:val="none"/>
        </w:rPr>
        <w:t>，并在政采云绑定数字证书（CA）后在网上获取采购文件及其它采购资料（如有），数字证书（CA）详见其办理流程。</w:t>
      </w:r>
    </w:p>
    <w:p w14:paraId="1A712B04">
      <w:pPr>
        <w:adjustRightInd w:val="0"/>
        <w:snapToGrid w:val="0"/>
        <w:ind w:firstLine="422" w:firstLineChars="200"/>
        <w:rPr>
          <w:rFonts w:hint="eastAsia" w:cs="宋体"/>
          <w:color w:val="auto"/>
          <w:szCs w:val="21"/>
          <w:highlight w:val="none"/>
        </w:rPr>
      </w:pPr>
      <w:r>
        <w:rPr>
          <w:rFonts w:hint="eastAsia" w:cs="宋体"/>
          <w:b/>
          <w:color w:val="auto"/>
          <w:szCs w:val="22"/>
          <w:highlight w:val="none"/>
        </w:rPr>
        <w:t>注：</w:t>
      </w:r>
      <w:r>
        <w:rPr>
          <w:rFonts w:hint="eastAsia" w:cs="宋体"/>
          <w:bCs/>
          <w:color w:val="auto"/>
          <w:szCs w:val="22"/>
          <w:highlight w:val="none"/>
        </w:rPr>
        <w:t>云南本地投标人如之前已在云南 CA在线数字证书办理网进行过注册并办理过企业数字证书（CA），直接绑定即可，无需重复办理（2022年01月01日前办理的云南 CA 需到云南 CA 办理处进行升级）。外省投标人在政采云平台办理的其他 CA 可直接使用，无需重复办理。</w:t>
      </w:r>
    </w:p>
    <w:p w14:paraId="22BB0BFD">
      <w:pPr>
        <w:snapToGrid w:val="0"/>
        <w:ind w:firstLine="422" w:firstLineChars="200"/>
        <w:rPr>
          <w:rFonts w:hint="eastAsia" w:cs="宋体"/>
          <w:color w:val="auto"/>
          <w:szCs w:val="21"/>
          <w:highlight w:val="none"/>
        </w:rPr>
      </w:pPr>
      <w:r>
        <w:rPr>
          <w:rFonts w:hint="eastAsia" w:cs="宋体"/>
          <w:b/>
          <w:color w:val="auto"/>
          <w:szCs w:val="22"/>
          <w:highlight w:val="none"/>
        </w:rPr>
        <w:t>（2）</w:t>
      </w:r>
      <w:r>
        <w:rPr>
          <w:rFonts w:hint="eastAsia" w:cs="宋体"/>
          <w:bCs/>
          <w:color w:val="auto"/>
          <w:szCs w:val="22"/>
          <w:highlight w:val="none"/>
        </w:rPr>
        <w:t>按上述要求获取文件的投标人视为合法获取了本项目采购文件，具备本项目的投标资格。</w:t>
      </w:r>
    </w:p>
    <w:p w14:paraId="3EE93A42">
      <w:pPr>
        <w:snapToGrid w:val="0"/>
        <w:ind w:firstLine="420" w:firstLineChars="200"/>
        <w:rPr>
          <w:rFonts w:hint="eastAsia" w:cs="宋体"/>
          <w:color w:val="auto"/>
          <w:szCs w:val="21"/>
          <w:highlight w:val="none"/>
        </w:rPr>
      </w:pPr>
      <w:r>
        <w:rPr>
          <w:rFonts w:cs="宋体"/>
          <w:color w:val="auto"/>
          <w:szCs w:val="21"/>
          <w:highlight w:val="none"/>
        </w:rPr>
        <w:t>4.</w:t>
      </w:r>
      <w:r>
        <w:rPr>
          <w:rFonts w:hint="eastAsia" w:cs="宋体"/>
          <w:color w:val="auto"/>
          <w:szCs w:val="21"/>
          <w:highlight w:val="none"/>
        </w:rPr>
        <w:t>招标文件售价：0元</w:t>
      </w:r>
    </w:p>
    <w:p w14:paraId="7CEE7617">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42" w:name="_Toc2460"/>
      <w:bookmarkStart w:id="43" w:name="_Toc11019"/>
      <w:r>
        <w:rPr>
          <w:rFonts w:hint="eastAsia" w:eastAsia="宋体" w:cs="宋体"/>
          <w:color w:val="auto"/>
          <w:sz w:val="21"/>
          <w:szCs w:val="21"/>
          <w:highlight w:val="none"/>
        </w:rPr>
        <w:t>四、</w:t>
      </w:r>
      <w:bookmarkEnd w:id="32"/>
      <w:bookmarkEnd w:id="33"/>
      <w:bookmarkEnd w:id="34"/>
      <w:bookmarkEnd w:id="35"/>
      <w:bookmarkEnd w:id="36"/>
      <w:bookmarkEnd w:id="37"/>
      <w:bookmarkEnd w:id="42"/>
      <w:r>
        <w:rPr>
          <w:rFonts w:hint="eastAsia" w:eastAsia="宋体" w:cs="宋体"/>
          <w:color w:val="auto"/>
          <w:sz w:val="21"/>
          <w:szCs w:val="21"/>
          <w:highlight w:val="none"/>
        </w:rPr>
        <w:t>投标文件提交</w:t>
      </w:r>
      <w:bookmarkEnd w:id="43"/>
    </w:p>
    <w:p w14:paraId="1E97BA06">
      <w:pPr>
        <w:snapToGrid w:val="0"/>
        <w:ind w:firstLine="420" w:firstLineChars="200"/>
        <w:rPr>
          <w:rFonts w:hint="eastAsia" w:cs="宋体"/>
          <w:color w:val="auto"/>
          <w:szCs w:val="21"/>
          <w:highlight w:val="none"/>
        </w:rPr>
      </w:pPr>
      <w:r>
        <w:rPr>
          <w:rFonts w:hint="eastAsia" w:cs="宋体"/>
          <w:color w:val="auto"/>
          <w:szCs w:val="21"/>
          <w:highlight w:val="none"/>
        </w:rPr>
        <w:t>时间：</w:t>
      </w:r>
      <w:r>
        <w:rPr>
          <w:rFonts w:hint="eastAsia" w:cs="宋体"/>
          <w:b/>
          <w:bCs/>
          <w:color w:val="auto"/>
          <w:szCs w:val="21"/>
          <w:highlight w:val="none"/>
          <w:u w:val="single"/>
        </w:rPr>
        <w:t>202</w:t>
      </w:r>
      <w:r>
        <w:rPr>
          <w:rFonts w:hint="eastAsia" w:cs="宋体"/>
          <w:b/>
          <w:bCs/>
          <w:color w:val="auto"/>
          <w:szCs w:val="21"/>
          <w:highlight w:val="none"/>
          <w:u w:val="single"/>
          <w:lang w:val="en-US" w:eastAsia="zh-CN"/>
        </w:rPr>
        <w:t>5</w:t>
      </w:r>
      <w:r>
        <w:rPr>
          <w:rFonts w:hint="eastAsia" w:cs="宋体"/>
          <w:b/>
          <w:bCs/>
          <w:color w:val="auto"/>
          <w:szCs w:val="21"/>
          <w:highlight w:val="none"/>
          <w:u w:val="single"/>
        </w:rPr>
        <w:t>年</w:t>
      </w:r>
      <w:r>
        <w:rPr>
          <w:rFonts w:hint="eastAsia" w:cs="宋体"/>
          <w:b/>
          <w:bCs/>
          <w:color w:val="auto"/>
          <w:szCs w:val="21"/>
          <w:highlight w:val="none"/>
          <w:u w:val="single"/>
          <w:lang w:val="en-US" w:eastAsia="zh-CN"/>
        </w:rPr>
        <w:t>9</w:t>
      </w:r>
      <w:r>
        <w:rPr>
          <w:rFonts w:hint="eastAsia" w:cs="宋体"/>
          <w:b/>
          <w:bCs/>
          <w:color w:val="auto"/>
          <w:szCs w:val="21"/>
          <w:highlight w:val="none"/>
          <w:u w:val="single"/>
        </w:rPr>
        <w:t>月</w:t>
      </w:r>
      <w:r>
        <w:rPr>
          <w:rFonts w:hint="eastAsia" w:cs="宋体"/>
          <w:b/>
          <w:bCs/>
          <w:color w:val="auto"/>
          <w:szCs w:val="21"/>
          <w:highlight w:val="none"/>
          <w:u w:val="single"/>
          <w:lang w:val="en-US" w:eastAsia="zh-CN"/>
        </w:rPr>
        <w:t>15</w:t>
      </w:r>
      <w:r>
        <w:rPr>
          <w:rFonts w:hint="eastAsia" w:cs="宋体"/>
          <w:b/>
          <w:bCs/>
          <w:color w:val="auto"/>
          <w:szCs w:val="21"/>
          <w:highlight w:val="none"/>
          <w:u w:val="single"/>
        </w:rPr>
        <w:t>日09时00分</w:t>
      </w:r>
      <w:r>
        <w:rPr>
          <w:rFonts w:hint="eastAsia" w:cs="宋体"/>
          <w:color w:val="auto"/>
          <w:szCs w:val="21"/>
          <w:highlight w:val="none"/>
        </w:rPr>
        <w:t>（北京时间）；</w:t>
      </w:r>
    </w:p>
    <w:p w14:paraId="7420BA68">
      <w:pPr>
        <w:adjustRightInd w:val="0"/>
        <w:snapToGrid w:val="0"/>
        <w:ind w:firstLine="420" w:firstLineChars="200"/>
        <w:rPr>
          <w:rFonts w:hint="eastAsia"/>
          <w:b/>
          <w:bCs/>
          <w:color w:val="auto"/>
          <w:szCs w:val="21"/>
          <w:highlight w:val="none"/>
          <w:u w:val="single"/>
        </w:rPr>
      </w:pPr>
      <w:r>
        <w:rPr>
          <w:rFonts w:hint="eastAsia" w:cs="宋体"/>
          <w:color w:val="auto"/>
          <w:szCs w:val="21"/>
          <w:highlight w:val="none"/>
        </w:rPr>
        <w:t>地点：</w:t>
      </w:r>
      <w:r>
        <w:rPr>
          <w:rFonts w:hint="eastAsia"/>
          <w:b/>
          <w:bCs/>
          <w:color w:val="auto"/>
          <w:szCs w:val="21"/>
          <w:highlight w:val="none"/>
          <w:u w:val="single"/>
        </w:rPr>
        <w:t>投标人应按照本项目采购文件和“</w:t>
      </w:r>
      <w:r>
        <w:rPr>
          <w:b/>
          <w:bCs/>
          <w:color w:val="auto"/>
          <w:szCs w:val="21"/>
          <w:highlight w:val="none"/>
          <w:u w:val="single"/>
        </w:rPr>
        <w:t>政采云</w:t>
      </w:r>
      <w:r>
        <w:rPr>
          <w:rFonts w:hint="eastAsia"/>
          <w:b/>
          <w:bCs/>
          <w:color w:val="auto"/>
          <w:szCs w:val="21"/>
          <w:highlight w:val="none"/>
          <w:u w:val="single"/>
        </w:rPr>
        <w:t>”</w:t>
      </w:r>
      <w:r>
        <w:rPr>
          <w:b/>
          <w:bCs/>
          <w:color w:val="auto"/>
          <w:szCs w:val="21"/>
          <w:highlight w:val="none"/>
          <w:u w:val="single"/>
        </w:rPr>
        <w:t>平台的要求编制、加密后在投标文件提交截止时间前上传至</w:t>
      </w:r>
      <w:r>
        <w:rPr>
          <w:rFonts w:hint="eastAsia"/>
          <w:b/>
          <w:bCs/>
          <w:color w:val="auto"/>
          <w:szCs w:val="21"/>
          <w:highlight w:val="none"/>
          <w:u w:val="single"/>
        </w:rPr>
        <w:t>“</w:t>
      </w:r>
      <w:r>
        <w:rPr>
          <w:b/>
          <w:bCs/>
          <w:color w:val="auto"/>
          <w:szCs w:val="21"/>
          <w:highlight w:val="none"/>
          <w:u w:val="single"/>
        </w:rPr>
        <w:t>政采云</w:t>
      </w:r>
      <w:r>
        <w:rPr>
          <w:rFonts w:hint="eastAsia"/>
          <w:b/>
          <w:bCs/>
          <w:color w:val="auto"/>
          <w:szCs w:val="21"/>
          <w:highlight w:val="none"/>
          <w:u w:val="single"/>
        </w:rPr>
        <w:t>”</w:t>
      </w:r>
      <w:r>
        <w:rPr>
          <w:b/>
          <w:bCs/>
          <w:color w:val="auto"/>
          <w:szCs w:val="21"/>
          <w:highlight w:val="none"/>
          <w:u w:val="single"/>
        </w:rPr>
        <w:t>平台，投标文件提交截止时间前未完成投标文件上传的，视为撤回投标文件。投标人在</w:t>
      </w:r>
      <w:r>
        <w:rPr>
          <w:rFonts w:hint="eastAsia"/>
          <w:b/>
          <w:bCs/>
          <w:color w:val="auto"/>
          <w:szCs w:val="21"/>
          <w:highlight w:val="none"/>
          <w:u w:val="single"/>
        </w:rPr>
        <w:t>“</w:t>
      </w:r>
      <w:r>
        <w:rPr>
          <w:b/>
          <w:bCs/>
          <w:color w:val="auto"/>
          <w:szCs w:val="21"/>
          <w:highlight w:val="none"/>
          <w:u w:val="single"/>
        </w:rPr>
        <w:t>政采云</w:t>
      </w:r>
      <w:r>
        <w:rPr>
          <w:rFonts w:hint="eastAsia"/>
          <w:b/>
          <w:bCs/>
          <w:color w:val="auto"/>
          <w:szCs w:val="21"/>
          <w:highlight w:val="none"/>
          <w:u w:val="single"/>
        </w:rPr>
        <w:t>”</w:t>
      </w:r>
      <w:r>
        <w:rPr>
          <w:b/>
          <w:bCs/>
          <w:color w:val="auto"/>
          <w:szCs w:val="21"/>
          <w:highlight w:val="none"/>
          <w:u w:val="single"/>
        </w:rPr>
        <w:t>平台提交电子版投标文件时，请填写参加远程采购活动经办人联系方式。</w:t>
      </w:r>
    </w:p>
    <w:p w14:paraId="30E156F8">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44" w:name="_Toc165922924"/>
      <w:bookmarkStart w:id="45" w:name="_Toc2003"/>
      <w:bookmarkStart w:id="46" w:name="_Toc2892"/>
      <w:bookmarkStart w:id="47" w:name="_Toc24751"/>
      <w:r>
        <w:rPr>
          <w:rFonts w:hint="eastAsia" w:eastAsia="宋体" w:cs="宋体"/>
          <w:color w:val="auto"/>
          <w:sz w:val="21"/>
          <w:szCs w:val="21"/>
          <w:highlight w:val="none"/>
        </w:rPr>
        <w:t>五、开启</w:t>
      </w:r>
      <w:bookmarkEnd w:id="44"/>
      <w:bookmarkEnd w:id="45"/>
      <w:bookmarkEnd w:id="46"/>
      <w:bookmarkEnd w:id="47"/>
    </w:p>
    <w:p w14:paraId="3A78EBB1">
      <w:pPr>
        <w:tabs>
          <w:tab w:val="left" w:pos="360"/>
          <w:tab w:val="left" w:pos="596"/>
        </w:tabs>
        <w:ind w:firstLine="422" w:firstLineChars="200"/>
        <w:jc w:val="left"/>
        <w:rPr>
          <w:rFonts w:hint="eastAsia" w:cs="宋体"/>
          <w:bCs/>
          <w:color w:val="auto"/>
          <w:szCs w:val="22"/>
          <w:highlight w:val="none"/>
        </w:rPr>
      </w:pPr>
      <w:r>
        <w:rPr>
          <w:rFonts w:hint="eastAsia" w:cs="宋体"/>
          <w:b/>
          <w:color w:val="auto"/>
          <w:szCs w:val="22"/>
          <w:highlight w:val="none"/>
        </w:rPr>
        <w:t>时间：</w:t>
      </w:r>
      <w:r>
        <w:rPr>
          <w:rFonts w:hint="eastAsia" w:cs="宋体"/>
          <w:b/>
          <w:bCs/>
          <w:color w:val="auto"/>
          <w:szCs w:val="21"/>
          <w:highlight w:val="none"/>
          <w:u w:val="single"/>
        </w:rPr>
        <w:t>202</w:t>
      </w:r>
      <w:r>
        <w:rPr>
          <w:rFonts w:hint="eastAsia" w:cs="宋体"/>
          <w:b/>
          <w:bCs/>
          <w:color w:val="auto"/>
          <w:szCs w:val="21"/>
          <w:highlight w:val="none"/>
          <w:u w:val="single"/>
          <w:lang w:val="en-US" w:eastAsia="zh-CN"/>
        </w:rPr>
        <w:t>5</w:t>
      </w:r>
      <w:r>
        <w:rPr>
          <w:rFonts w:hint="eastAsia" w:cs="宋体"/>
          <w:b/>
          <w:bCs/>
          <w:color w:val="auto"/>
          <w:szCs w:val="21"/>
          <w:highlight w:val="none"/>
          <w:u w:val="single"/>
        </w:rPr>
        <w:t>年</w:t>
      </w:r>
      <w:r>
        <w:rPr>
          <w:rFonts w:hint="eastAsia" w:cs="宋体"/>
          <w:b/>
          <w:bCs/>
          <w:color w:val="auto"/>
          <w:szCs w:val="21"/>
          <w:highlight w:val="none"/>
          <w:u w:val="single"/>
          <w:lang w:val="en-US" w:eastAsia="zh-CN"/>
        </w:rPr>
        <w:t>9</w:t>
      </w:r>
      <w:r>
        <w:rPr>
          <w:rFonts w:hint="eastAsia" w:cs="宋体"/>
          <w:b/>
          <w:bCs/>
          <w:color w:val="auto"/>
          <w:szCs w:val="21"/>
          <w:highlight w:val="none"/>
          <w:u w:val="single"/>
        </w:rPr>
        <w:t>月</w:t>
      </w:r>
      <w:r>
        <w:rPr>
          <w:rFonts w:hint="eastAsia" w:cs="宋体"/>
          <w:b/>
          <w:bCs/>
          <w:color w:val="auto"/>
          <w:szCs w:val="21"/>
          <w:highlight w:val="none"/>
          <w:u w:val="single"/>
          <w:lang w:val="en-US" w:eastAsia="zh-CN"/>
        </w:rPr>
        <w:t>15</w:t>
      </w:r>
      <w:r>
        <w:rPr>
          <w:rFonts w:hint="eastAsia" w:cs="宋体"/>
          <w:b/>
          <w:bCs/>
          <w:color w:val="auto"/>
          <w:szCs w:val="21"/>
          <w:highlight w:val="none"/>
          <w:u w:val="single"/>
        </w:rPr>
        <w:t>日09时00分</w:t>
      </w:r>
      <w:r>
        <w:rPr>
          <w:rFonts w:hint="eastAsia" w:cs="宋体"/>
          <w:bCs/>
          <w:color w:val="auto"/>
          <w:szCs w:val="22"/>
          <w:highlight w:val="none"/>
        </w:rPr>
        <w:t>（北京时间）</w:t>
      </w:r>
    </w:p>
    <w:p w14:paraId="08F4B1B9">
      <w:pPr>
        <w:tabs>
          <w:tab w:val="left" w:pos="360"/>
          <w:tab w:val="left" w:pos="596"/>
        </w:tabs>
        <w:ind w:firstLine="422" w:firstLineChars="200"/>
        <w:jc w:val="left"/>
        <w:rPr>
          <w:rFonts w:hint="eastAsia" w:cs="宋体"/>
          <w:bCs/>
          <w:color w:val="auto"/>
          <w:szCs w:val="22"/>
          <w:highlight w:val="none"/>
        </w:rPr>
      </w:pPr>
      <w:r>
        <w:rPr>
          <w:rFonts w:hint="eastAsia" w:cs="宋体"/>
          <w:b/>
          <w:color w:val="auto"/>
          <w:szCs w:val="22"/>
          <w:highlight w:val="none"/>
        </w:rPr>
        <w:t>地点：</w:t>
      </w:r>
      <w:r>
        <w:rPr>
          <w:rFonts w:hint="eastAsia" w:cs="宋体"/>
          <w:b/>
          <w:color w:val="auto"/>
          <w:szCs w:val="22"/>
          <w:highlight w:val="none"/>
          <w:u w:val="single"/>
        </w:rPr>
        <w:t>政采云平台电子开标厅</w:t>
      </w:r>
    </w:p>
    <w:p w14:paraId="3F2AEAB9">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48" w:name="_Toc1916"/>
      <w:bookmarkStart w:id="49" w:name="_Toc28875"/>
      <w:bookmarkStart w:id="50" w:name="_Toc4544"/>
      <w:bookmarkStart w:id="51" w:name="_Toc35393625"/>
      <w:bookmarkStart w:id="52" w:name="_Toc54552204"/>
      <w:bookmarkStart w:id="53" w:name="_Toc28359084"/>
      <w:bookmarkStart w:id="54" w:name="_Toc28359007"/>
      <w:bookmarkStart w:id="55" w:name="_Toc35393794"/>
      <w:r>
        <w:rPr>
          <w:rFonts w:hint="eastAsia" w:eastAsia="宋体" w:cs="宋体"/>
          <w:color w:val="auto"/>
          <w:sz w:val="21"/>
          <w:szCs w:val="21"/>
          <w:highlight w:val="none"/>
        </w:rPr>
        <w:t>六、公告期限</w:t>
      </w:r>
      <w:bookmarkEnd w:id="48"/>
      <w:bookmarkEnd w:id="49"/>
      <w:bookmarkEnd w:id="50"/>
      <w:bookmarkEnd w:id="51"/>
      <w:bookmarkEnd w:id="52"/>
      <w:bookmarkEnd w:id="53"/>
      <w:bookmarkEnd w:id="54"/>
      <w:bookmarkEnd w:id="55"/>
    </w:p>
    <w:p w14:paraId="32544312">
      <w:pPr>
        <w:snapToGrid w:val="0"/>
        <w:spacing w:line="440" w:lineRule="exact"/>
        <w:ind w:firstLine="420" w:firstLineChars="200"/>
        <w:rPr>
          <w:rFonts w:hint="eastAsia" w:cs="宋体"/>
          <w:color w:val="auto"/>
          <w:kern w:val="0"/>
          <w:szCs w:val="21"/>
          <w:highlight w:val="none"/>
        </w:rPr>
      </w:pPr>
      <w:r>
        <w:rPr>
          <w:rFonts w:hint="eastAsia" w:cs="宋体"/>
          <w:color w:val="auto"/>
          <w:kern w:val="0"/>
          <w:szCs w:val="21"/>
          <w:highlight w:val="none"/>
        </w:rPr>
        <w:t>自本公告发布之日起5个工作日。</w:t>
      </w:r>
    </w:p>
    <w:p w14:paraId="7A263C9C">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56" w:name="_Toc9820"/>
      <w:bookmarkStart w:id="57" w:name="_Toc10366"/>
      <w:r>
        <w:rPr>
          <w:rFonts w:hint="eastAsia" w:eastAsia="宋体" w:cs="宋体"/>
          <w:color w:val="auto"/>
          <w:sz w:val="21"/>
          <w:szCs w:val="21"/>
          <w:highlight w:val="none"/>
        </w:rPr>
        <w:t>七、其他补充事宜</w:t>
      </w:r>
      <w:bookmarkEnd w:id="56"/>
      <w:bookmarkEnd w:id="57"/>
    </w:p>
    <w:p w14:paraId="6E1E2B17">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s="宋体"/>
          <w:b/>
          <w:bCs/>
          <w:color w:val="auto"/>
          <w:highlight w:val="none"/>
        </w:rPr>
      </w:pPr>
      <w:r>
        <w:rPr>
          <w:rFonts w:hint="eastAsia" w:cs="宋体"/>
          <w:b/>
          <w:bCs/>
          <w:color w:val="auto"/>
          <w:highlight w:val="none"/>
        </w:rPr>
        <w:t>开标方式：</w:t>
      </w:r>
      <w:r>
        <w:rPr>
          <w:b/>
          <w:bCs/>
          <w:color w:val="auto"/>
          <w:szCs w:val="21"/>
          <w:highlight w:val="none"/>
        </w:rPr>
        <w:t>网上开标</w:t>
      </w:r>
    </w:p>
    <w:p w14:paraId="177F6AC7">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s="宋体"/>
          <w:b/>
          <w:bCs/>
          <w:color w:val="auto"/>
          <w:highlight w:val="none"/>
        </w:rPr>
      </w:pPr>
      <w:r>
        <w:rPr>
          <w:rFonts w:hint="eastAsia" w:cs="宋体"/>
          <w:b/>
          <w:bCs/>
          <w:color w:val="auto"/>
          <w:highlight w:val="none"/>
        </w:rPr>
        <w:t>是否需要缴纳投标保证金：是</w:t>
      </w:r>
    </w:p>
    <w:p w14:paraId="27634252">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eastAsia="宋体"/>
          <w:b/>
          <w:bCs/>
          <w:color w:val="auto"/>
          <w:highlight w:val="none"/>
          <w:lang w:eastAsia="zh-CN"/>
        </w:rPr>
      </w:pPr>
      <w:r>
        <w:rPr>
          <w:rFonts w:hint="eastAsia" w:cs="宋体"/>
          <w:b/>
          <w:bCs/>
          <w:color w:val="auto"/>
          <w:szCs w:val="21"/>
          <w:highlight w:val="none"/>
        </w:rPr>
        <w:t>（</w:t>
      </w:r>
      <w:r>
        <w:rPr>
          <w:rFonts w:hint="eastAsia"/>
          <w:b/>
          <w:bCs/>
          <w:color w:val="auto"/>
          <w:highlight w:val="none"/>
        </w:rPr>
        <w:t>1</w:t>
      </w:r>
      <w:r>
        <w:rPr>
          <w:rFonts w:cs="宋体"/>
          <w:b/>
          <w:bCs/>
          <w:color w:val="auto"/>
          <w:szCs w:val="21"/>
          <w:highlight w:val="none"/>
        </w:rPr>
        <w:t>）</w:t>
      </w:r>
      <w:r>
        <w:rPr>
          <w:rFonts w:hint="eastAsia" w:cs="宋体"/>
          <w:b/>
          <w:bCs/>
          <w:color w:val="auto"/>
          <w:szCs w:val="21"/>
          <w:highlight w:val="none"/>
          <w:lang w:eastAsia="zh-CN"/>
        </w:rPr>
        <w:t>2025年普洱市乡镇早期火情处置能力提升建设项目：</w:t>
      </w:r>
    </w:p>
    <w:p w14:paraId="59D4326B">
      <w:pPr>
        <w:keepNext w:val="0"/>
        <w:keepLines w:val="0"/>
        <w:pageBreakBefore w:val="0"/>
        <w:widowControl w:val="0"/>
        <w:kinsoku/>
        <w:wordWrap/>
        <w:overflowPunct/>
        <w:topLinePunct w:val="0"/>
        <w:autoSpaceDE/>
        <w:autoSpaceDN/>
        <w:bidi w:val="0"/>
        <w:spacing w:line="360" w:lineRule="auto"/>
        <w:ind w:firstLine="843" w:firstLineChars="400"/>
        <w:textAlignment w:val="auto"/>
        <w:rPr>
          <w:rFonts w:hint="eastAsia" w:cs="宋体"/>
          <w:b/>
          <w:bCs/>
          <w:color w:val="auto"/>
          <w:highlight w:val="none"/>
        </w:rPr>
      </w:pPr>
      <w:r>
        <w:rPr>
          <w:rFonts w:hint="eastAsia" w:cs="宋体"/>
          <w:b/>
          <w:bCs/>
          <w:color w:val="auto"/>
          <w:highlight w:val="none"/>
        </w:rPr>
        <w:t>保证金缴纳金额(元)：</w:t>
      </w:r>
    </w:p>
    <w:p w14:paraId="4E2726C7">
      <w:pPr>
        <w:keepNext w:val="0"/>
        <w:keepLines w:val="0"/>
        <w:pageBreakBefore w:val="0"/>
        <w:widowControl w:val="0"/>
        <w:kinsoku/>
        <w:wordWrap/>
        <w:overflowPunct/>
        <w:topLinePunct w:val="0"/>
        <w:autoSpaceDE/>
        <w:autoSpaceDN/>
        <w:bidi w:val="0"/>
        <w:spacing w:line="360" w:lineRule="auto"/>
        <w:ind w:firstLine="843" w:firstLineChars="400"/>
        <w:textAlignment w:val="auto"/>
        <w:rPr>
          <w:rFonts w:hint="eastAsia" w:eastAsia="宋体" w:cs="宋体"/>
          <w:b/>
          <w:bCs/>
          <w:color w:val="auto"/>
          <w:highlight w:val="none"/>
          <w:lang w:eastAsia="zh-CN"/>
        </w:rPr>
      </w:pPr>
      <w:r>
        <w:rPr>
          <w:rFonts w:hint="eastAsia" w:cs="宋体"/>
          <w:b/>
          <w:bCs/>
          <w:color w:val="auto"/>
          <w:highlight w:val="none"/>
          <w:lang w:val="en-US" w:eastAsia="zh-CN"/>
        </w:rPr>
        <w:t>A包：25000</w:t>
      </w:r>
      <w:r>
        <w:rPr>
          <w:rFonts w:cs="宋体"/>
          <w:b/>
          <w:bCs/>
          <w:color w:val="auto"/>
          <w:highlight w:val="none"/>
        </w:rPr>
        <w:t>.00</w:t>
      </w:r>
      <w:r>
        <w:rPr>
          <w:rFonts w:hint="eastAsia" w:cs="宋体"/>
          <w:b/>
          <w:bCs/>
          <w:color w:val="auto"/>
          <w:highlight w:val="none"/>
        </w:rPr>
        <w:t>元</w:t>
      </w:r>
      <w:r>
        <w:rPr>
          <w:rFonts w:hint="eastAsia" w:cs="宋体"/>
          <w:b/>
          <w:bCs/>
          <w:color w:val="auto"/>
          <w:highlight w:val="none"/>
          <w:lang w:eastAsia="zh-CN"/>
        </w:rPr>
        <w:t>；</w:t>
      </w:r>
    </w:p>
    <w:p w14:paraId="12B96E18">
      <w:pPr>
        <w:keepNext w:val="0"/>
        <w:keepLines w:val="0"/>
        <w:pageBreakBefore w:val="0"/>
        <w:widowControl w:val="0"/>
        <w:kinsoku/>
        <w:wordWrap/>
        <w:overflowPunct/>
        <w:topLinePunct w:val="0"/>
        <w:autoSpaceDE/>
        <w:autoSpaceDN/>
        <w:bidi w:val="0"/>
        <w:adjustRightInd w:val="0"/>
        <w:snapToGrid w:val="0"/>
        <w:spacing w:line="360" w:lineRule="auto"/>
        <w:ind w:firstLine="843" w:firstLineChars="400"/>
        <w:textAlignment w:val="auto"/>
        <w:rPr>
          <w:rFonts w:hint="eastAsia" w:cs="宋体"/>
          <w:b/>
          <w:bCs/>
          <w:color w:val="auto"/>
          <w:highlight w:val="none"/>
          <w:lang w:eastAsia="zh-CN"/>
        </w:rPr>
      </w:pPr>
      <w:r>
        <w:rPr>
          <w:rFonts w:hint="eastAsia" w:cs="宋体"/>
          <w:b/>
          <w:bCs/>
          <w:color w:val="auto"/>
          <w:highlight w:val="none"/>
          <w:lang w:val="en-US" w:eastAsia="zh-CN"/>
        </w:rPr>
        <w:t>B包：25</w:t>
      </w:r>
      <w:r>
        <w:rPr>
          <w:rFonts w:cs="宋体"/>
          <w:b/>
          <w:bCs/>
          <w:color w:val="auto"/>
          <w:highlight w:val="none"/>
        </w:rPr>
        <w:t>000.00</w:t>
      </w:r>
      <w:r>
        <w:rPr>
          <w:rFonts w:hint="eastAsia" w:cs="宋体"/>
          <w:b/>
          <w:bCs/>
          <w:color w:val="auto"/>
          <w:highlight w:val="none"/>
        </w:rPr>
        <w:t>元</w:t>
      </w:r>
      <w:r>
        <w:rPr>
          <w:rFonts w:hint="eastAsia" w:cs="宋体"/>
          <w:b/>
          <w:bCs/>
          <w:color w:val="auto"/>
          <w:highlight w:val="none"/>
          <w:lang w:eastAsia="zh-CN"/>
        </w:rPr>
        <w:t>；</w:t>
      </w:r>
    </w:p>
    <w:p w14:paraId="4E0701C6">
      <w:pPr>
        <w:keepNext w:val="0"/>
        <w:keepLines w:val="0"/>
        <w:pageBreakBefore w:val="0"/>
        <w:widowControl w:val="0"/>
        <w:kinsoku/>
        <w:wordWrap/>
        <w:overflowPunct/>
        <w:topLinePunct w:val="0"/>
        <w:autoSpaceDE/>
        <w:autoSpaceDN/>
        <w:bidi w:val="0"/>
        <w:adjustRightInd w:val="0"/>
        <w:snapToGrid w:val="0"/>
        <w:spacing w:line="360" w:lineRule="auto"/>
        <w:ind w:firstLine="843" w:firstLineChars="400"/>
        <w:textAlignment w:val="auto"/>
        <w:rPr>
          <w:rFonts w:hint="eastAsia"/>
          <w:color w:val="auto"/>
          <w:highlight w:val="none"/>
        </w:rPr>
      </w:pPr>
      <w:r>
        <w:rPr>
          <w:rFonts w:hint="eastAsia" w:cs="宋体"/>
          <w:b/>
          <w:bCs/>
          <w:color w:val="auto"/>
          <w:highlight w:val="none"/>
          <w:lang w:val="en-US" w:eastAsia="zh-CN"/>
        </w:rPr>
        <w:t>C包：25</w:t>
      </w:r>
      <w:r>
        <w:rPr>
          <w:rFonts w:cs="宋体"/>
          <w:b/>
          <w:bCs/>
          <w:color w:val="auto"/>
          <w:highlight w:val="none"/>
        </w:rPr>
        <w:t>000.00</w:t>
      </w:r>
      <w:r>
        <w:rPr>
          <w:rFonts w:hint="eastAsia" w:cs="宋体"/>
          <w:b/>
          <w:bCs/>
          <w:color w:val="auto"/>
          <w:highlight w:val="none"/>
        </w:rPr>
        <w:t>元</w:t>
      </w:r>
      <w:r>
        <w:rPr>
          <w:rFonts w:hint="eastAsia" w:cs="宋体"/>
          <w:b/>
          <w:bCs/>
          <w:color w:val="auto"/>
          <w:highlight w:val="none"/>
          <w:lang w:eastAsia="zh-CN"/>
        </w:rPr>
        <w:t>；</w:t>
      </w:r>
    </w:p>
    <w:p w14:paraId="0F47A7E6">
      <w:pPr>
        <w:keepNext w:val="0"/>
        <w:keepLines w:val="0"/>
        <w:pageBreakBefore w:val="0"/>
        <w:widowControl w:val="0"/>
        <w:kinsoku/>
        <w:wordWrap/>
        <w:overflowPunct/>
        <w:topLinePunct w:val="0"/>
        <w:autoSpaceDE/>
        <w:autoSpaceDN/>
        <w:bidi w:val="0"/>
        <w:spacing w:line="360" w:lineRule="auto"/>
        <w:ind w:firstLine="840" w:firstLineChars="400"/>
        <w:textAlignment w:val="auto"/>
        <w:rPr>
          <w:rFonts w:hint="eastAsia" w:eastAsia="宋体" w:cs="宋体"/>
          <w:color w:val="auto"/>
          <w:highlight w:val="none"/>
          <w:lang w:eastAsia="zh-CN"/>
        </w:rPr>
      </w:pPr>
      <w:r>
        <w:rPr>
          <w:rFonts w:hint="eastAsia" w:cs="宋体"/>
          <w:color w:val="auto"/>
          <w:highlight w:val="none"/>
        </w:rPr>
        <w:t>保证金缴纳方式：</w:t>
      </w:r>
      <w:r>
        <w:rPr>
          <w:bCs/>
          <w:color w:val="auto"/>
          <w:szCs w:val="21"/>
          <w:highlight w:val="none"/>
        </w:rPr>
        <w:t>支票、汇票、本票、保函、保证保险、其他非现金形式：银行转账、网银、电汇等形式</w:t>
      </w:r>
      <w:r>
        <w:rPr>
          <w:rFonts w:hint="eastAsia"/>
          <w:bCs/>
          <w:color w:val="auto"/>
          <w:szCs w:val="21"/>
          <w:highlight w:val="none"/>
          <w:lang w:eastAsia="zh-CN"/>
        </w:rPr>
        <w:t>。</w:t>
      </w:r>
    </w:p>
    <w:p w14:paraId="665C1CFD">
      <w:pPr>
        <w:keepNext w:val="0"/>
        <w:keepLines w:val="0"/>
        <w:pageBreakBefore w:val="0"/>
        <w:widowControl w:val="0"/>
        <w:kinsoku/>
        <w:wordWrap/>
        <w:overflowPunct/>
        <w:topLinePunct w:val="0"/>
        <w:autoSpaceDE/>
        <w:autoSpaceDN/>
        <w:bidi w:val="0"/>
        <w:spacing w:line="360" w:lineRule="auto"/>
        <w:ind w:firstLine="840" w:firstLineChars="400"/>
        <w:textAlignment w:val="auto"/>
        <w:rPr>
          <w:rFonts w:hint="eastAsia" w:cs="宋体"/>
          <w:color w:val="auto"/>
          <w:highlight w:val="none"/>
        </w:rPr>
      </w:pPr>
      <w:r>
        <w:rPr>
          <w:rFonts w:hint="eastAsia" w:cs="宋体"/>
          <w:color w:val="auto"/>
          <w:highlight w:val="none"/>
        </w:rPr>
        <w:t>保证金缴纳截止时间（同开标时间）：</w:t>
      </w:r>
      <w:r>
        <w:rPr>
          <w:rFonts w:hint="eastAsia" w:cs="宋体"/>
          <w:b/>
          <w:bCs/>
          <w:color w:val="auto"/>
          <w:szCs w:val="21"/>
          <w:highlight w:val="none"/>
        </w:rPr>
        <w:t>202</w:t>
      </w:r>
      <w:r>
        <w:rPr>
          <w:rFonts w:hint="eastAsia" w:cs="宋体"/>
          <w:b/>
          <w:bCs/>
          <w:color w:val="auto"/>
          <w:szCs w:val="21"/>
          <w:highlight w:val="none"/>
          <w:lang w:val="en-US" w:eastAsia="zh-CN"/>
        </w:rPr>
        <w:t>5</w:t>
      </w:r>
      <w:r>
        <w:rPr>
          <w:rFonts w:hint="eastAsia" w:cs="宋体"/>
          <w:b/>
          <w:bCs/>
          <w:color w:val="auto"/>
          <w:szCs w:val="21"/>
          <w:highlight w:val="none"/>
        </w:rPr>
        <w:t>年</w:t>
      </w:r>
      <w:r>
        <w:rPr>
          <w:rFonts w:hint="eastAsia" w:cs="宋体"/>
          <w:b/>
          <w:bCs/>
          <w:color w:val="auto"/>
          <w:szCs w:val="21"/>
          <w:highlight w:val="none"/>
          <w:lang w:val="en-US" w:eastAsia="zh-CN"/>
        </w:rPr>
        <w:t>9</w:t>
      </w:r>
      <w:r>
        <w:rPr>
          <w:rFonts w:hint="eastAsia" w:cs="宋体"/>
          <w:b/>
          <w:bCs/>
          <w:color w:val="auto"/>
          <w:szCs w:val="21"/>
          <w:highlight w:val="none"/>
        </w:rPr>
        <w:t>月</w:t>
      </w:r>
      <w:r>
        <w:rPr>
          <w:rFonts w:hint="eastAsia" w:cs="宋体"/>
          <w:b/>
          <w:bCs/>
          <w:color w:val="auto"/>
          <w:szCs w:val="21"/>
          <w:highlight w:val="none"/>
          <w:lang w:val="en-US" w:eastAsia="zh-CN"/>
        </w:rPr>
        <w:t>15</w:t>
      </w:r>
      <w:r>
        <w:rPr>
          <w:rFonts w:hint="eastAsia" w:cs="宋体"/>
          <w:b/>
          <w:bCs/>
          <w:color w:val="auto"/>
          <w:szCs w:val="21"/>
          <w:highlight w:val="none"/>
        </w:rPr>
        <w:t>日09时00分</w:t>
      </w:r>
    </w:p>
    <w:p w14:paraId="65932168">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s="宋体"/>
          <w:b/>
          <w:bCs/>
          <w:color w:val="auto"/>
          <w:highlight w:val="none"/>
        </w:rPr>
      </w:pPr>
      <w:r>
        <w:rPr>
          <w:rFonts w:hint="eastAsia" w:cs="宋体"/>
          <w:b/>
          <w:bCs/>
          <w:color w:val="auto"/>
          <w:highlight w:val="none"/>
        </w:rPr>
        <w:t>其他：</w:t>
      </w:r>
    </w:p>
    <w:p w14:paraId="52C96CC0">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olor w:val="auto"/>
          <w:szCs w:val="21"/>
          <w:highlight w:val="none"/>
        </w:rPr>
      </w:pPr>
      <w:r>
        <w:rPr>
          <w:rFonts w:hint="eastAsia" w:cs="宋体"/>
          <w:b/>
          <w:bCs/>
          <w:color w:val="auto"/>
          <w:szCs w:val="21"/>
          <w:highlight w:val="none"/>
        </w:rPr>
        <w:t>★1、</w:t>
      </w:r>
      <w:r>
        <w:rPr>
          <w:color w:val="auto"/>
          <w:szCs w:val="21"/>
          <w:highlight w:val="none"/>
        </w:rPr>
        <w:t>本项目</w:t>
      </w:r>
      <w:r>
        <w:rPr>
          <w:rFonts w:hint="eastAsia"/>
          <w:b/>
          <w:bCs/>
          <w:color w:val="auto"/>
          <w:szCs w:val="21"/>
          <w:highlight w:val="none"/>
          <w:u w:val="single"/>
        </w:rPr>
        <w:t>不</w:t>
      </w:r>
      <w:r>
        <w:rPr>
          <w:b/>
          <w:bCs/>
          <w:color w:val="auto"/>
          <w:szCs w:val="21"/>
          <w:highlight w:val="none"/>
          <w:u w:val="single"/>
        </w:rPr>
        <w:t>接受</w:t>
      </w:r>
      <w:r>
        <w:rPr>
          <w:color w:val="auto"/>
          <w:szCs w:val="21"/>
          <w:highlight w:val="none"/>
        </w:rPr>
        <w:t>进口产品参与投标，进口产品是指通过中国海关报关验放进入中国境内且产自关境外的产品。</w:t>
      </w:r>
    </w:p>
    <w:p w14:paraId="7EAD55CA">
      <w:pPr>
        <w:keepNext w:val="0"/>
        <w:keepLines w:val="0"/>
        <w:pageBreakBefore w:val="0"/>
        <w:widowControl w:val="0"/>
        <w:kinsoku/>
        <w:wordWrap/>
        <w:overflowPunct/>
        <w:topLinePunct w:val="0"/>
        <w:autoSpaceDE/>
        <w:autoSpaceDN/>
        <w:bidi w:val="0"/>
        <w:spacing w:line="360" w:lineRule="auto"/>
        <w:ind w:firstLine="422" w:firstLineChars="200"/>
        <w:textAlignment w:val="auto"/>
        <w:rPr>
          <w:b/>
          <w:bCs/>
          <w:color w:val="auto"/>
          <w:szCs w:val="21"/>
          <w:highlight w:val="none"/>
        </w:rPr>
      </w:pPr>
      <w:r>
        <w:rPr>
          <w:rFonts w:hint="eastAsia" w:cs="宋体"/>
          <w:b/>
          <w:bCs/>
          <w:color w:val="auto"/>
          <w:szCs w:val="21"/>
          <w:highlight w:val="none"/>
        </w:rPr>
        <w:t>★2、</w:t>
      </w:r>
      <w:r>
        <w:rPr>
          <w:b/>
          <w:bCs/>
          <w:color w:val="auto"/>
          <w:szCs w:val="21"/>
          <w:highlight w:val="none"/>
        </w:rPr>
        <w:t>交货期：</w:t>
      </w:r>
    </w:p>
    <w:p w14:paraId="05B544C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cs="宋体"/>
          <w:b w:val="0"/>
          <w:bCs w:val="0"/>
          <w:color w:val="auto"/>
          <w:szCs w:val="21"/>
          <w:highlight w:val="none"/>
        </w:rPr>
      </w:pPr>
      <w:r>
        <w:rPr>
          <w:rFonts w:hint="eastAsia" w:cs="宋体"/>
          <w:b w:val="0"/>
          <w:bCs w:val="0"/>
          <w:color w:val="auto"/>
          <w:szCs w:val="21"/>
          <w:highlight w:val="none"/>
        </w:rPr>
        <w:t>A包：自合同签订之日起30个日历天内完成交货、调试并验收合格投入使用。（包括车辆上牌、购买保险、落户、送货至采购人指定地点、现场培训使用方法）</w:t>
      </w:r>
    </w:p>
    <w:p w14:paraId="02F2564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cs="宋体"/>
          <w:b w:val="0"/>
          <w:bCs w:val="0"/>
          <w:color w:val="auto"/>
          <w:szCs w:val="21"/>
          <w:highlight w:val="none"/>
        </w:rPr>
      </w:pPr>
      <w:r>
        <w:rPr>
          <w:rFonts w:hint="eastAsia" w:cs="宋体"/>
          <w:b w:val="0"/>
          <w:bCs w:val="0"/>
          <w:color w:val="auto"/>
          <w:szCs w:val="21"/>
          <w:highlight w:val="none"/>
        </w:rPr>
        <w:t>B包：自合同签订之日起30个日历天内完成交货，并根据招标人要求进行安装、调试并验收合格投入使用。（包括送货至采购人指定地点、现场培训使用方法）</w:t>
      </w:r>
    </w:p>
    <w:p w14:paraId="0B3B34A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cs="宋体"/>
          <w:b/>
          <w:bCs/>
          <w:color w:val="auto"/>
          <w:szCs w:val="21"/>
          <w:highlight w:val="none"/>
        </w:rPr>
      </w:pPr>
      <w:r>
        <w:rPr>
          <w:rFonts w:hint="eastAsia" w:cs="宋体"/>
          <w:b w:val="0"/>
          <w:bCs w:val="0"/>
          <w:color w:val="auto"/>
          <w:szCs w:val="21"/>
          <w:highlight w:val="none"/>
        </w:rPr>
        <w:t>C包：自合同签订之日起30个日历日内完成交货并通过验收。</w:t>
      </w:r>
    </w:p>
    <w:p w14:paraId="2200213B">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s="宋体"/>
          <w:b/>
          <w:bCs/>
          <w:color w:val="auto"/>
          <w:szCs w:val="21"/>
          <w:highlight w:val="none"/>
        </w:rPr>
      </w:pPr>
      <w:r>
        <w:rPr>
          <w:rFonts w:hint="eastAsia" w:cs="宋体"/>
          <w:b/>
          <w:bCs/>
          <w:color w:val="auto"/>
          <w:szCs w:val="21"/>
          <w:highlight w:val="none"/>
        </w:rPr>
        <w:t>★3、</w:t>
      </w:r>
      <w:r>
        <w:rPr>
          <w:b/>
          <w:bCs/>
          <w:color w:val="auto"/>
          <w:szCs w:val="21"/>
          <w:highlight w:val="none"/>
        </w:rPr>
        <w:t>交货地点：</w:t>
      </w:r>
      <w:r>
        <w:rPr>
          <w:rFonts w:hint="eastAsia"/>
          <w:color w:val="auto"/>
          <w:szCs w:val="21"/>
          <w:highlight w:val="none"/>
        </w:rPr>
        <w:t>采购人指定地点</w:t>
      </w:r>
      <w:r>
        <w:rPr>
          <w:color w:val="auto"/>
          <w:szCs w:val="21"/>
          <w:highlight w:val="none"/>
        </w:rPr>
        <w:t>。</w:t>
      </w:r>
    </w:p>
    <w:p w14:paraId="70449816">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olor w:val="auto"/>
          <w:highlight w:val="none"/>
        </w:rPr>
      </w:pPr>
      <w:r>
        <w:rPr>
          <w:rFonts w:hint="eastAsia" w:cs="宋体"/>
          <w:b/>
          <w:bCs/>
          <w:color w:val="auto"/>
          <w:szCs w:val="21"/>
          <w:highlight w:val="none"/>
        </w:rPr>
        <w:t>★</w:t>
      </w:r>
      <w:r>
        <w:rPr>
          <w:rFonts w:hint="eastAsia"/>
          <w:b/>
          <w:bCs/>
          <w:color w:val="auto"/>
          <w:highlight w:val="none"/>
        </w:rPr>
        <w:t>4、</w:t>
      </w:r>
      <w:r>
        <w:rPr>
          <w:b/>
          <w:bCs/>
          <w:color w:val="auto"/>
          <w:highlight w:val="none"/>
        </w:rPr>
        <w:t>交货方式：</w:t>
      </w:r>
      <w:r>
        <w:rPr>
          <w:highlight w:val="none"/>
        </w:rPr>
        <w:t>现场安装调试验收完成</w:t>
      </w:r>
      <w:r>
        <w:rPr>
          <w:color w:val="auto"/>
          <w:highlight w:val="none"/>
        </w:rPr>
        <w:t>。</w:t>
      </w:r>
    </w:p>
    <w:p w14:paraId="49266AE4">
      <w:pPr>
        <w:keepNext w:val="0"/>
        <w:keepLines w:val="0"/>
        <w:pageBreakBefore w:val="0"/>
        <w:widowControl w:val="0"/>
        <w:kinsoku/>
        <w:wordWrap/>
        <w:overflowPunct/>
        <w:topLinePunct w:val="0"/>
        <w:autoSpaceDE/>
        <w:autoSpaceDN/>
        <w:bidi w:val="0"/>
        <w:spacing w:line="360" w:lineRule="auto"/>
        <w:ind w:firstLine="422" w:firstLineChars="200"/>
        <w:textAlignment w:val="auto"/>
        <w:rPr>
          <w:rFonts w:hint="eastAsia" w:cs="宋体"/>
          <w:b/>
          <w:bCs/>
          <w:color w:val="auto"/>
          <w:szCs w:val="21"/>
          <w:highlight w:val="none"/>
        </w:rPr>
      </w:pPr>
      <w:r>
        <w:rPr>
          <w:rFonts w:hint="eastAsia" w:cs="宋体"/>
          <w:b/>
          <w:bCs/>
          <w:color w:val="auto"/>
          <w:szCs w:val="21"/>
          <w:highlight w:val="none"/>
        </w:rPr>
        <w:t>★</w:t>
      </w:r>
      <w:r>
        <w:rPr>
          <w:rFonts w:hint="eastAsia"/>
          <w:b/>
          <w:bCs/>
          <w:color w:val="auto"/>
          <w:szCs w:val="21"/>
          <w:highlight w:val="none"/>
        </w:rPr>
        <w:t>5、</w:t>
      </w:r>
      <w:r>
        <w:rPr>
          <w:b/>
          <w:bCs/>
          <w:color w:val="auto"/>
          <w:szCs w:val="21"/>
          <w:highlight w:val="none"/>
        </w:rPr>
        <w:t>质量要求：</w:t>
      </w:r>
      <w:r>
        <w:rPr>
          <w:rFonts w:hint="eastAsia"/>
          <w:color w:val="auto"/>
          <w:szCs w:val="21"/>
          <w:highlight w:val="none"/>
        </w:rPr>
        <w:t>满足国家及行业相关法律法规、标准规范规定及采购人要求，一次性验收合格</w:t>
      </w:r>
      <w:r>
        <w:rPr>
          <w:color w:val="auto"/>
          <w:szCs w:val="21"/>
          <w:highlight w:val="none"/>
        </w:rPr>
        <w:t>。</w:t>
      </w:r>
    </w:p>
    <w:p w14:paraId="6587153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cs="宋体"/>
          <w:bCs/>
          <w:color w:val="auto"/>
          <w:szCs w:val="22"/>
          <w:highlight w:val="none"/>
        </w:rPr>
      </w:pPr>
      <w:r>
        <w:rPr>
          <w:rFonts w:hint="eastAsia" w:cs="宋体"/>
          <w:b/>
          <w:bCs/>
          <w:color w:val="auto"/>
          <w:szCs w:val="21"/>
          <w:highlight w:val="none"/>
        </w:rPr>
        <w:t>6、本项目公告发布媒体：在</w:t>
      </w:r>
      <w:r>
        <w:rPr>
          <w:rFonts w:hint="eastAsia" w:cs="宋体"/>
          <w:b/>
          <w:bCs/>
          <w:color w:val="auto"/>
          <w:szCs w:val="22"/>
          <w:highlight w:val="none"/>
        </w:rPr>
        <w:t>《云南省政府采购网》、《政府采购云平台》上发布。</w:t>
      </w:r>
      <w:r>
        <w:rPr>
          <w:rFonts w:hint="eastAsia" w:cs="宋体"/>
          <w:bCs/>
          <w:color w:val="auto"/>
          <w:szCs w:val="22"/>
          <w:highlight w:val="none"/>
        </w:rPr>
        <w:t>采购人及采购代理机构对其他网站发布或转载的公告内容不承担任何责任。</w:t>
      </w:r>
    </w:p>
    <w:p w14:paraId="59BD4F37">
      <w:pPr>
        <w:keepNext w:val="0"/>
        <w:keepLines w:val="0"/>
        <w:pageBreakBefore w:val="0"/>
        <w:widowControl w:val="0"/>
        <w:tabs>
          <w:tab w:val="left" w:pos="360"/>
          <w:tab w:val="left" w:pos="596"/>
        </w:tabs>
        <w:kinsoku/>
        <w:wordWrap/>
        <w:overflowPunct/>
        <w:topLinePunct w:val="0"/>
        <w:autoSpaceDE/>
        <w:autoSpaceDN/>
        <w:bidi w:val="0"/>
        <w:adjustRightInd/>
        <w:snapToGrid/>
        <w:spacing w:line="360" w:lineRule="auto"/>
        <w:jc w:val="left"/>
        <w:textAlignment w:val="auto"/>
        <w:rPr>
          <w:rFonts w:hint="eastAsia" w:cs="宋体"/>
          <w:bCs/>
          <w:color w:val="auto"/>
          <w:szCs w:val="22"/>
          <w:highlight w:val="none"/>
        </w:rPr>
      </w:pPr>
      <w:r>
        <w:rPr>
          <w:rFonts w:hint="eastAsia" w:cs="宋体"/>
          <w:b/>
          <w:color w:val="auto"/>
          <w:szCs w:val="22"/>
          <w:highlight w:val="none"/>
        </w:rPr>
        <w:t>注：</w:t>
      </w:r>
      <w:r>
        <w:rPr>
          <w:rFonts w:hint="eastAsia" w:cs="宋体"/>
          <w:bCs/>
          <w:color w:val="auto"/>
          <w:szCs w:val="22"/>
          <w:highlight w:val="none"/>
        </w:rPr>
        <w:t>1.本项目为不见面开标，投标单位无需到达现场；</w:t>
      </w:r>
    </w:p>
    <w:p w14:paraId="266B8DA2">
      <w:pPr>
        <w:keepNext w:val="0"/>
        <w:keepLines w:val="0"/>
        <w:pageBreakBefore w:val="0"/>
        <w:widowControl w:val="0"/>
        <w:tabs>
          <w:tab w:val="left" w:pos="360"/>
          <w:tab w:val="left" w:pos="596"/>
        </w:tabs>
        <w:kinsoku/>
        <w:wordWrap/>
        <w:overflowPunct/>
        <w:topLinePunct w:val="0"/>
        <w:autoSpaceDE/>
        <w:autoSpaceDN/>
        <w:bidi w:val="0"/>
        <w:adjustRightInd/>
        <w:snapToGrid/>
        <w:spacing w:line="360" w:lineRule="auto"/>
        <w:ind w:firstLine="420" w:firstLineChars="200"/>
        <w:jc w:val="left"/>
        <w:textAlignment w:val="auto"/>
        <w:rPr>
          <w:rFonts w:hint="eastAsia" w:cs="宋体"/>
          <w:bCs/>
          <w:color w:val="auto"/>
          <w:szCs w:val="22"/>
          <w:highlight w:val="none"/>
        </w:rPr>
      </w:pPr>
      <w:r>
        <w:rPr>
          <w:rFonts w:hint="eastAsia" w:cs="宋体"/>
          <w:bCs/>
          <w:color w:val="auto"/>
          <w:szCs w:val="22"/>
          <w:highlight w:val="none"/>
        </w:rPr>
        <w:t>2.本项目实行网上投标，采用电子投标文件；</w:t>
      </w:r>
    </w:p>
    <w:p w14:paraId="1607BDF5">
      <w:pPr>
        <w:keepNext w:val="0"/>
        <w:keepLines w:val="0"/>
        <w:pageBreakBefore w:val="0"/>
        <w:widowControl w:val="0"/>
        <w:tabs>
          <w:tab w:val="left" w:pos="360"/>
          <w:tab w:val="left" w:pos="596"/>
        </w:tabs>
        <w:kinsoku/>
        <w:wordWrap/>
        <w:overflowPunct/>
        <w:topLinePunct w:val="0"/>
        <w:autoSpaceDE/>
        <w:autoSpaceDN/>
        <w:bidi w:val="0"/>
        <w:adjustRightInd/>
        <w:snapToGrid/>
        <w:spacing w:line="360" w:lineRule="auto"/>
        <w:ind w:firstLine="420" w:firstLineChars="200"/>
        <w:jc w:val="left"/>
        <w:textAlignment w:val="auto"/>
        <w:rPr>
          <w:rFonts w:hint="eastAsia" w:cs="宋体"/>
          <w:bCs/>
          <w:color w:val="auto"/>
          <w:szCs w:val="22"/>
          <w:highlight w:val="none"/>
        </w:rPr>
      </w:pPr>
      <w:r>
        <w:rPr>
          <w:rFonts w:hint="eastAsia" w:cs="宋体"/>
          <w:bCs/>
          <w:color w:val="auto"/>
          <w:szCs w:val="22"/>
          <w:highlight w:val="none"/>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如有），数字证书（CA）详见其办理流程；</w:t>
      </w:r>
    </w:p>
    <w:p w14:paraId="61306452">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spacing w:val="0"/>
          <w:sz w:val="21"/>
          <w:szCs w:val="22"/>
          <w:highlight w:val="none"/>
        </w:rPr>
      </w:pPr>
      <w:r>
        <w:rPr>
          <w:rFonts w:hint="eastAsia" w:ascii="宋体" w:hAnsi="宋体" w:eastAsia="宋体" w:cs="宋体"/>
          <w:b w:val="0"/>
          <w:bCs/>
          <w:color w:val="auto"/>
          <w:spacing w:val="0"/>
          <w:sz w:val="21"/>
          <w:szCs w:val="22"/>
          <w:highlight w:val="none"/>
        </w:rPr>
        <w:t>4.投标人将政采云电子交易客户端下载、安装完成后，可通过账号密码或CA登录客户端进行投标文件的制作。在使用政采云投标客户端时，建议使用WIN7（64位）及以上操作系统。客户端请至政采云公司网站</w:t>
      </w:r>
      <w:r>
        <w:rPr>
          <w:rFonts w:hint="eastAsia" w:ascii="宋体" w:hAnsi="宋体" w:eastAsia="宋体" w:cs="宋体"/>
          <w:b w:val="0"/>
          <w:color w:val="auto"/>
          <w:spacing w:val="0"/>
          <w:sz w:val="21"/>
          <w:szCs w:val="22"/>
          <w:highlight w:val="none"/>
        </w:rPr>
        <w:t>（https://edu.zcygov.cn/luban/yunnan-dzjy-gys）</w:t>
      </w:r>
      <w:r>
        <w:rPr>
          <w:rFonts w:hint="eastAsia" w:ascii="宋体" w:hAnsi="宋体" w:eastAsia="宋体" w:cs="宋体"/>
          <w:b w:val="0"/>
          <w:bCs/>
          <w:color w:val="auto"/>
          <w:spacing w:val="0"/>
          <w:sz w:val="21"/>
          <w:szCs w:val="22"/>
          <w:highlight w:val="none"/>
        </w:rPr>
        <w:t>进行查看下载，如有问题可拨打政采云客户服务热线</w:t>
      </w:r>
      <w:r>
        <w:rPr>
          <w:rFonts w:hint="eastAsia" w:ascii="宋体" w:hAnsi="宋体" w:eastAsia="宋体" w:cs="宋体"/>
          <w:b w:val="0"/>
          <w:color w:val="auto"/>
          <w:spacing w:val="0"/>
          <w:sz w:val="21"/>
          <w:szCs w:val="22"/>
          <w:highlight w:val="none"/>
        </w:rPr>
        <w:t>95763</w:t>
      </w:r>
      <w:r>
        <w:rPr>
          <w:rFonts w:hint="eastAsia" w:ascii="宋体" w:hAnsi="宋体" w:eastAsia="宋体" w:cs="宋体"/>
          <w:b w:val="0"/>
          <w:bCs/>
          <w:color w:val="auto"/>
          <w:spacing w:val="0"/>
          <w:sz w:val="21"/>
          <w:szCs w:val="22"/>
          <w:highlight w:val="none"/>
        </w:rPr>
        <w:t>进行咨询以及云南CA操作问题：请致电云南CA，</w:t>
      </w:r>
      <w:r>
        <w:rPr>
          <w:rFonts w:hint="eastAsia" w:ascii="宋体" w:hAnsi="宋体" w:eastAsia="宋体" w:cs="宋体"/>
          <w:b w:val="0"/>
          <w:color w:val="auto"/>
          <w:spacing w:val="0"/>
          <w:sz w:val="21"/>
          <w:szCs w:val="22"/>
          <w:highlight w:val="none"/>
        </w:rPr>
        <w:t>4006727666</w:t>
      </w:r>
      <w:r>
        <w:rPr>
          <w:rFonts w:hint="eastAsia" w:ascii="宋体" w:hAnsi="宋体" w:eastAsia="宋体" w:cs="宋体"/>
          <w:b w:val="0"/>
          <w:bCs/>
          <w:color w:val="auto"/>
          <w:spacing w:val="0"/>
          <w:sz w:val="21"/>
          <w:szCs w:val="22"/>
          <w:highlight w:val="none"/>
        </w:rPr>
        <w:t>；云南CA紧急联系方式：</w:t>
      </w:r>
      <w:r>
        <w:rPr>
          <w:rFonts w:hint="eastAsia" w:ascii="宋体" w:hAnsi="宋体" w:eastAsia="宋体" w:cs="宋体"/>
          <w:b w:val="0"/>
          <w:color w:val="auto"/>
          <w:spacing w:val="0"/>
          <w:sz w:val="21"/>
          <w:szCs w:val="22"/>
          <w:highlight w:val="none"/>
        </w:rPr>
        <w:t>15288315056</w:t>
      </w:r>
      <w:r>
        <w:rPr>
          <w:rFonts w:hint="eastAsia" w:ascii="宋体" w:hAnsi="宋体" w:eastAsia="宋体" w:cs="宋体"/>
          <w:b w:val="0"/>
          <w:bCs/>
          <w:color w:val="auto"/>
          <w:spacing w:val="0"/>
          <w:sz w:val="21"/>
          <w:szCs w:val="22"/>
          <w:highlight w:val="none"/>
        </w:rPr>
        <w:t>。如因投标人自身原因导致在规定时间内无法正常解密的（如：浏览器故障、未安装相关驱动、网络故障、加密CA与解密CA不一致等），代理机构不予异常处理，视为投标人自动弃标。</w:t>
      </w:r>
    </w:p>
    <w:p w14:paraId="0E4936F1">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ascii="宋体" w:hAnsi="宋体" w:eastAsia="宋体" w:cs="宋体"/>
          <w:b w:val="0"/>
          <w:bCs/>
          <w:color w:val="auto"/>
          <w:spacing w:val="0"/>
          <w:sz w:val="21"/>
          <w:szCs w:val="22"/>
          <w:highlight w:val="none"/>
        </w:rPr>
        <w:t>云南壹证通</w:t>
      </w:r>
      <w:r>
        <w:rPr>
          <w:rFonts w:ascii="宋体" w:hAnsi="宋体" w:eastAsia="宋体" w:cs="宋体"/>
          <w:b w:val="0"/>
          <w:bCs/>
          <w:color w:val="auto"/>
          <w:spacing w:val="0"/>
          <w:sz w:val="21"/>
          <w:szCs w:val="22"/>
          <w:highlight w:val="none"/>
        </w:rPr>
        <w:t>CA操作问题请致电：4000040628；云南壹证通CA紧急联系方式：19988166369。</w:t>
      </w:r>
    </w:p>
    <w:p w14:paraId="28E67EC6">
      <w:pPr>
        <w:pStyle w:val="3"/>
        <w:numPr>
          <w:ilvl w:val="0"/>
          <w:numId w:val="0"/>
        </w:numPr>
        <w:tabs>
          <w:tab w:val="left" w:pos="596"/>
        </w:tabs>
        <w:snapToGrid w:val="0"/>
        <w:spacing w:before="165" w:beforeLines="50"/>
        <w:jc w:val="left"/>
        <w:rPr>
          <w:rFonts w:hint="eastAsia" w:eastAsia="宋体" w:cs="宋体"/>
          <w:color w:val="auto"/>
          <w:sz w:val="21"/>
          <w:szCs w:val="21"/>
          <w:highlight w:val="none"/>
        </w:rPr>
      </w:pPr>
      <w:bookmarkStart w:id="58" w:name="_Toc20759"/>
      <w:bookmarkStart w:id="59" w:name="_Toc2074"/>
      <w:bookmarkStart w:id="60" w:name="_Toc4243"/>
      <w:r>
        <w:rPr>
          <w:rFonts w:hint="eastAsia" w:eastAsia="宋体" w:cs="宋体"/>
          <w:color w:val="auto"/>
          <w:sz w:val="21"/>
          <w:szCs w:val="21"/>
          <w:highlight w:val="none"/>
        </w:rPr>
        <w:t>八、对本次招标提出询问，请按以下方式联系</w:t>
      </w:r>
      <w:bookmarkEnd w:id="38"/>
      <w:bookmarkEnd w:id="39"/>
      <w:bookmarkEnd w:id="40"/>
      <w:bookmarkEnd w:id="41"/>
      <w:bookmarkEnd w:id="58"/>
      <w:bookmarkEnd w:id="59"/>
      <w:r>
        <w:rPr>
          <w:rFonts w:hint="eastAsia" w:eastAsia="宋体" w:cs="宋体"/>
          <w:color w:val="auto"/>
          <w:sz w:val="21"/>
          <w:szCs w:val="21"/>
          <w:highlight w:val="none"/>
        </w:rPr>
        <w:t>。</w:t>
      </w:r>
      <w:bookmarkEnd w:id="60"/>
    </w:p>
    <w:p w14:paraId="5DC2C069">
      <w:pPr>
        <w:widowControl/>
        <w:snapToGrid w:val="0"/>
        <w:spacing w:line="440" w:lineRule="exact"/>
        <w:ind w:firstLine="420"/>
        <w:jc w:val="left"/>
        <w:rPr>
          <w:rFonts w:hint="eastAsia" w:cs="宋体"/>
          <w:b/>
          <w:bCs/>
          <w:color w:val="auto"/>
          <w:szCs w:val="21"/>
          <w:highlight w:val="none"/>
        </w:rPr>
      </w:pPr>
      <w:r>
        <w:rPr>
          <w:rFonts w:hint="eastAsia" w:cs="宋体"/>
          <w:b/>
          <w:bCs/>
          <w:color w:val="auto"/>
          <w:szCs w:val="21"/>
          <w:highlight w:val="none"/>
        </w:rPr>
        <w:t>1.采购人信息</w:t>
      </w:r>
    </w:p>
    <w:p w14:paraId="7647DDD6">
      <w:pPr>
        <w:spacing w:line="440" w:lineRule="exact"/>
        <w:ind w:firstLine="420" w:firstLineChars="200"/>
        <w:rPr>
          <w:rFonts w:hint="eastAsia" w:eastAsia="宋体" w:cs="宋体"/>
          <w:color w:val="auto"/>
          <w:szCs w:val="21"/>
          <w:highlight w:val="none"/>
          <w:lang w:eastAsia="zh-CN"/>
        </w:rPr>
      </w:pPr>
      <w:r>
        <w:rPr>
          <w:rFonts w:hint="eastAsia" w:cs="宋体"/>
          <w:color w:val="auto"/>
          <w:szCs w:val="21"/>
          <w:highlight w:val="none"/>
        </w:rPr>
        <w:t>名称：</w:t>
      </w:r>
      <w:r>
        <w:rPr>
          <w:rFonts w:hint="eastAsia" w:cs="宋体"/>
          <w:color w:val="auto"/>
          <w:szCs w:val="21"/>
          <w:highlight w:val="none"/>
          <w:u w:val="single"/>
          <w:lang w:eastAsia="zh-CN"/>
        </w:rPr>
        <w:t>普洱市林业和草原局</w:t>
      </w:r>
    </w:p>
    <w:p w14:paraId="7AB7919E">
      <w:pPr>
        <w:spacing w:line="440" w:lineRule="exact"/>
        <w:ind w:firstLine="420" w:firstLineChars="200"/>
        <w:rPr>
          <w:rFonts w:hint="eastAsia" w:cs="宋体"/>
          <w:color w:val="auto"/>
          <w:szCs w:val="21"/>
          <w:highlight w:val="none"/>
        </w:rPr>
      </w:pPr>
      <w:r>
        <w:rPr>
          <w:rFonts w:hint="eastAsia" w:cs="宋体"/>
          <w:bCs/>
          <w:color w:val="auto"/>
          <w:szCs w:val="21"/>
          <w:highlight w:val="none"/>
        </w:rPr>
        <w:t>地址</w:t>
      </w:r>
      <w:r>
        <w:rPr>
          <w:rFonts w:hint="eastAsia" w:cs="宋体"/>
          <w:color w:val="auto"/>
          <w:szCs w:val="21"/>
          <w:highlight w:val="none"/>
        </w:rPr>
        <w:t>：</w:t>
      </w:r>
      <w:r>
        <w:rPr>
          <w:rFonts w:hint="eastAsia" w:cs="宋体"/>
          <w:color w:val="auto"/>
          <w:szCs w:val="21"/>
          <w:highlight w:val="none"/>
          <w:u w:val="single"/>
        </w:rPr>
        <w:t>普洱市思茅区茶城大道48号</w:t>
      </w:r>
    </w:p>
    <w:p w14:paraId="29D65C53">
      <w:pPr>
        <w:spacing w:line="440" w:lineRule="exact"/>
        <w:ind w:firstLine="420" w:firstLineChars="200"/>
        <w:rPr>
          <w:rFonts w:hint="eastAsia" w:cs="宋体"/>
          <w:bCs/>
          <w:color w:val="auto"/>
          <w:szCs w:val="21"/>
          <w:highlight w:val="none"/>
        </w:rPr>
      </w:pPr>
      <w:r>
        <w:rPr>
          <w:rFonts w:hint="eastAsia" w:cs="宋体"/>
          <w:bCs/>
          <w:color w:val="auto"/>
          <w:szCs w:val="21"/>
          <w:highlight w:val="none"/>
        </w:rPr>
        <w:t>联系方式：</w:t>
      </w:r>
      <w:bookmarkStart w:id="61" w:name="_Toc35393807"/>
      <w:bookmarkStart w:id="62" w:name="_Toc35393638"/>
      <w:bookmarkStart w:id="63" w:name="_Toc28359097"/>
      <w:bookmarkStart w:id="64" w:name="_Toc28359020"/>
      <w:r>
        <w:rPr>
          <w:rFonts w:hint="eastAsia" w:cs="宋体"/>
          <w:bCs/>
          <w:color w:val="auto"/>
          <w:szCs w:val="21"/>
          <w:highlight w:val="none"/>
          <w:u w:val="single"/>
          <w:lang w:val="en-US" w:eastAsia="zh-CN"/>
        </w:rPr>
        <w:t>方</w:t>
      </w:r>
      <w:r>
        <w:rPr>
          <w:rFonts w:hint="eastAsia" w:cs="宋体"/>
          <w:bCs/>
          <w:color w:val="auto"/>
          <w:szCs w:val="21"/>
          <w:highlight w:val="none"/>
          <w:u w:val="single"/>
        </w:rPr>
        <w:t>老师（</w:t>
      </w:r>
      <w:r>
        <w:rPr>
          <w:rFonts w:cs="宋体"/>
          <w:bCs/>
          <w:color w:val="auto"/>
          <w:szCs w:val="21"/>
          <w:highlight w:val="none"/>
          <w:u w:val="single"/>
        </w:rPr>
        <w:t>0879-2122</w:t>
      </w:r>
      <w:r>
        <w:rPr>
          <w:rFonts w:hint="eastAsia" w:cs="宋体"/>
          <w:bCs/>
          <w:color w:val="auto"/>
          <w:szCs w:val="21"/>
          <w:highlight w:val="none"/>
          <w:u w:val="single"/>
          <w:lang w:val="en-US" w:eastAsia="zh-CN"/>
        </w:rPr>
        <w:t>661</w:t>
      </w:r>
      <w:r>
        <w:rPr>
          <w:rFonts w:cs="宋体"/>
          <w:bCs/>
          <w:color w:val="auto"/>
          <w:szCs w:val="21"/>
          <w:highlight w:val="none"/>
          <w:u w:val="single"/>
        </w:rPr>
        <w:t>）</w:t>
      </w:r>
    </w:p>
    <w:p w14:paraId="485117ED">
      <w:pPr>
        <w:tabs>
          <w:tab w:val="left" w:pos="312"/>
        </w:tabs>
        <w:spacing w:line="440" w:lineRule="exact"/>
        <w:ind w:left="420"/>
        <w:rPr>
          <w:rFonts w:hint="eastAsia" w:cs="宋体"/>
          <w:b/>
          <w:color w:val="auto"/>
          <w:szCs w:val="21"/>
          <w:highlight w:val="none"/>
        </w:rPr>
      </w:pPr>
      <w:r>
        <w:rPr>
          <w:rFonts w:hint="eastAsia" w:cs="宋体"/>
          <w:b/>
          <w:color w:val="auto"/>
          <w:szCs w:val="21"/>
          <w:highlight w:val="none"/>
        </w:rPr>
        <w:t>2</w:t>
      </w:r>
      <w:r>
        <w:rPr>
          <w:rFonts w:cs="宋体"/>
          <w:b/>
          <w:color w:val="auto"/>
          <w:szCs w:val="21"/>
          <w:highlight w:val="none"/>
        </w:rPr>
        <w:t>.</w:t>
      </w:r>
      <w:r>
        <w:rPr>
          <w:rFonts w:hint="eastAsia" w:cs="宋体"/>
          <w:b/>
          <w:color w:val="auto"/>
          <w:szCs w:val="21"/>
          <w:highlight w:val="none"/>
        </w:rPr>
        <w:t>采购代理机构信息</w:t>
      </w:r>
      <w:bookmarkEnd w:id="61"/>
      <w:bookmarkEnd w:id="62"/>
      <w:bookmarkEnd w:id="63"/>
      <w:bookmarkEnd w:id="64"/>
    </w:p>
    <w:p w14:paraId="4A270F48">
      <w:pPr>
        <w:spacing w:line="440" w:lineRule="exact"/>
        <w:ind w:firstLine="420" w:firstLineChars="200"/>
        <w:rPr>
          <w:rFonts w:hint="eastAsia" w:cs="宋体"/>
          <w:color w:val="auto"/>
          <w:szCs w:val="21"/>
          <w:highlight w:val="none"/>
        </w:rPr>
      </w:pPr>
      <w:r>
        <w:rPr>
          <w:rFonts w:hint="eastAsia" w:cs="宋体"/>
          <w:color w:val="auto"/>
          <w:szCs w:val="21"/>
          <w:highlight w:val="none"/>
        </w:rPr>
        <w:t>名称：</w:t>
      </w:r>
      <w:r>
        <w:rPr>
          <w:rFonts w:hint="eastAsia" w:cs="宋体"/>
          <w:color w:val="auto"/>
          <w:szCs w:val="21"/>
          <w:highlight w:val="none"/>
          <w:u w:val="single"/>
        </w:rPr>
        <w:t>云南招标股份有限公司</w:t>
      </w:r>
    </w:p>
    <w:p w14:paraId="0658D3A2">
      <w:pPr>
        <w:spacing w:line="440" w:lineRule="exact"/>
        <w:ind w:firstLine="420" w:firstLineChars="200"/>
        <w:rPr>
          <w:rFonts w:hint="eastAsia" w:cs="宋体"/>
          <w:color w:val="auto"/>
          <w:szCs w:val="21"/>
          <w:highlight w:val="none"/>
        </w:rPr>
      </w:pPr>
      <w:r>
        <w:rPr>
          <w:rFonts w:hint="eastAsia" w:cs="宋体"/>
          <w:color w:val="auto"/>
          <w:szCs w:val="21"/>
          <w:highlight w:val="none"/>
        </w:rPr>
        <w:t>地址：</w:t>
      </w:r>
      <w:r>
        <w:rPr>
          <w:rFonts w:hint="eastAsia" w:cs="宋体"/>
          <w:color w:val="auto"/>
          <w:szCs w:val="21"/>
          <w:highlight w:val="none"/>
          <w:u w:val="single"/>
        </w:rPr>
        <w:t xml:space="preserve">云南省昆明市五华区人民西路328号 </w:t>
      </w:r>
    </w:p>
    <w:p w14:paraId="6A6034CD">
      <w:pPr>
        <w:spacing w:line="440" w:lineRule="exact"/>
        <w:ind w:firstLine="420" w:firstLineChars="200"/>
        <w:rPr>
          <w:rFonts w:hint="eastAsia" w:cs="宋体"/>
          <w:color w:val="auto"/>
          <w:szCs w:val="21"/>
          <w:highlight w:val="none"/>
        </w:rPr>
      </w:pPr>
      <w:r>
        <w:rPr>
          <w:rFonts w:hint="eastAsia" w:cs="宋体"/>
          <w:color w:val="auto"/>
          <w:szCs w:val="21"/>
          <w:highlight w:val="none"/>
        </w:rPr>
        <w:t>联系方式：</w:t>
      </w:r>
      <w:r>
        <w:rPr>
          <w:rFonts w:hint="eastAsia" w:cs="宋体"/>
          <w:color w:val="auto"/>
          <w:szCs w:val="21"/>
          <w:highlight w:val="none"/>
          <w:u w:val="single"/>
          <w:lang w:val="en-US" w:eastAsia="zh-CN"/>
        </w:rPr>
        <w:t>江锋、</w:t>
      </w:r>
      <w:r>
        <w:rPr>
          <w:rFonts w:hint="eastAsia" w:cs="宋体"/>
          <w:color w:val="auto"/>
          <w:szCs w:val="21"/>
          <w:highlight w:val="none"/>
          <w:u w:val="single"/>
        </w:rPr>
        <w:t>孙玉龙、冯强（</w:t>
      </w:r>
      <w:r>
        <w:rPr>
          <w:rFonts w:hint="eastAsia" w:cs="宋体"/>
          <w:color w:val="auto"/>
          <w:szCs w:val="21"/>
          <w:highlight w:val="none"/>
          <w:u w:val="single"/>
          <w:lang w:val="en-US" w:eastAsia="zh-CN"/>
        </w:rPr>
        <w:t>13648823273</w:t>
      </w:r>
      <w:r>
        <w:rPr>
          <w:rFonts w:hint="eastAsia" w:cs="宋体"/>
          <w:color w:val="auto"/>
          <w:szCs w:val="21"/>
          <w:highlight w:val="none"/>
          <w:u w:val="single"/>
        </w:rPr>
        <w:t>、</w:t>
      </w:r>
      <w:r>
        <w:rPr>
          <w:rFonts w:cs="宋体"/>
          <w:color w:val="auto"/>
          <w:szCs w:val="21"/>
          <w:highlight w:val="none"/>
          <w:u w:val="single"/>
        </w:rPr>
        <w:t>0879-2869698</w:t>
      </w:r>
      <w:r>
        <w:rPr>
          <w:rFonts w:hint="eastAsia" w:cs="宋体"/>
          <w:color w:val="auto"/>
          <w:szCs w:val="21"/>
          <w:highlight w:val="none"/>
          <w:u w:val="single"/>
        </w:rPr>
        <w:t>）</w:t>
      </w:r>
    </w:p>
    <w:p w14:paraId="37DA903C">
      <w:pPr>
        <w:spacing w:line="440" w:lineRule="exact"/>
        <w:ind w:firstLine="422" w:firstLineChars="200"/>
        <w:rPr>
          <w:rFonts w:hint="eastAsia" w:cs="宋体"/>
          <w:b/>
          <w:bCs/>
          <w:color w:val="auto"/>
          <w:szCs w:val="21"/>
          <w:highlight w:val="none"/>
        </w:rPr>
      </w:pPr>
      <w:bookmarkStart w:id="65" w:name="_Toc35393808"/>
      <w:bookmarkStart w:id="66" w:name="_Toc28359021"/>
      <w:bookmarkStart w:id="67" w:name="_Toc35393639"/>
      <w:bookmarkStart w:id="68" w:name="_Toc28359098"/>
      <w:r>
        <w:rPr>
          <w:rFonts w:hint="eastAsia" w:cs="宋体"/>
          <w:b/>
          <w:bCs/>
          <w:color w:val="auto"/>
          <w:szCs w:val="21"/>
          <w:highlight w:val="none"/>
        </w:rPr>
        <w:t>3.项目联系方式</w:t>
      </w:r>
      <w:bookmarkEnd w:id="65"/>
      <w:bookmarkEnd w:id="66"/>
      <w:bookmarkEnd w:id="67"/>
      <w:bookmarkEnd w:id="68"/>
    </w:p>
    <w:p w14:paraId="35F9673F">
      <w:pPr>
        <w:spacing w:line="440" w:lineRule="exact"/>
        <w:ind w:firstLine="420" w:firstLineChars="200"/>
        <w:rPr>
          <w:rFonts w:hint="eastAsia" w:cs="宋体"/>
          <w:color w:val="auto"/>
          <w:szCs w:val="21"/>
          <w:highlight w:val="none"/>
        </w:rPr>
      </w:pPr>
      <w:r>
        <w:rPr>
          <w:rFonts w:hint="eastAsia" w:cs="宋体"/>
          <w:color w:val="auto"/>
          <w:szCs w:val="21"/>
          <w:highlight w:val="none"/>
        </w:rPr>
        <w:t>项目联系人：</w:t>
      </w:r>
      <w:r>
        <w:rPr>
          <w:rFonts w:hint="eastAsia" w:cs="宋体"/>
          <w:color w:val="auto"/>
          <w:szCs w:val="21"/>
          <w:highlight w:val="none"/>
          <w:u w:val="single"/>
          <w:lang w:val="en-US" w:eastAsia="zh-CN"/>
        </w:rPr>
        <w:t>江锋、</w:t>
      </w:r>
      <w:r>
        <w:rPr>
          <w:rFonts w:hint="eastAsia" w:cs="宋体"/>
          <w:color w:val="auto"/>
          <w:szCs w:val="21"/>
          <w:highlight w:val="none"/>
          <w:u w:val="single"/>
        </w:rPr>
        <w:t>孙玉龙、冯强</w:t>
      </w:r>
    </w:p>
    <w:p w14:paraId="2A9014CC">
      <w:pPr>
        <w:spacing w:line="440" w:lineRule="exact"/>
        <w:ind w:firstLine="420" w:firstLineChars="200"/>
        <w:rPr>
          <w:rFonts w:hint="eastAsia" w:cs="宋体"/>
          <w:color w:val="auto"/>
          <w:szCs w:val="21"/>
          <w:highlight w:val="none"/>
        </w:rPr>
      </w:pPr>
      <w:r>
        <w:rPr>
          <w:rFonts w:hint="eastAsia" w:cs="宋体"/>
          <w:color w:val="auto"/>
          <w:szCs w:val="21"/>
          <w:highlight w:val="none"/>
        </w:rPr>
        <w:t>电话：</w:t>
      </w:r>
      <w:r>
        <w:rPr>
          <w:rFonts w:hint="eastAsia" w:cs="宋体"/>
          <w:color w:val="auto"/>
          <w:szCs w:val="21"/>
          <w:highlight w:val="none"/>
          <w:u w:val="single"/>
          <w:lang w:val="en-US" w:eastAsia="zh-CN"/>
        </w:rPr>
        <w:t>13648823273</w:t>
      </w:r>
      <w:r>
        <w:rPr>
          <w:rFonts w:hint="eastAsia" w:cs="宋体"/>
          <w:color w:val="auto"/>
          <w:szCs w:val="21"/>
          <w:highlight w:val="none"/>
          <w:u w:val="single"/>
        </w:rPr>
        <w:t>、</w:t>
      </w:r>
      <w:r>
        <w:rPr>
          <w:rFonts w:cs="宋体"/>
          <w:color w:val="auto"/>
          <w:szCs w:val="21"/>
          <w:highlight w:val="none"/>
          <w:u w:val="single"/>
        </w:rPr>
        <w:t>0879-2869698</w:t>
      </w:r>
    </w:p>
    <w:bookmarkEnd w:id="5"/>
    <w:bookmarkEnd w:id="6"/>
    <w:bookmarkEnd w:id="7"/>
    <w:p w14:paraId="69A145E5">
      <w:pPr>
        <w:rPr>
          <w:rFonts w:hint="eastAsia" w:cs="宋体"/>
          <w:b/>
          <w:bCs/>
          <w:color w:val="auto"/>
          <w:sz w:val="36"/>
          <w:highlight w:val="none"/>
        </w:rPr>
      </w:pPr>
      <w:bookmarkStart w:id="69" w:name="_Toc1621"/>
      <w:r>
        <w:rPr>
          <w:rFonts w:hint="eastAsia" w:cs="宋体"/>
          <w:b/>
          <w:bCs/>
          <w:color w:val="auto"/>
          <w:sz w:val="36"/>
          <w:highlight w:val="none"/>
        </w:rPr>
        <w:br w:type="page"/>
      </w:r>
    </w:p>
    <w:p w14:paraId="21AD693E">
      <w:pPr>
        <w:pStyle w:val="2"/>
        <w:bidi w:val="0"/>
        <w:rPr>
          <w:rFonts w:hint="eastAsia"/>
        </w:rPr>
      </w:pPr>
      <w:bookmarkStart w:id="70" w:name="_Toc15194"/>
      <w:bookmarkStart w:id="71" w:name="_Toc25059"/>
      <w:r>
        <w:rPr>
          <w:rFonts w:hint="eastAsia"/>
        </w:rPr>
        <w:t xml:space="preserve">第二章 </w:t>
      </w:r>
      <w:r>
        <w:rPr>
          <w:rFonts w:hint="eastAsia"/>
          <w:lang w:val="en-US" w:eastAsia="zh-CN"/>
        </w:rPr>
        <w:t xml:space="preserve"> </w:t>
      </w:r>
      <w:r>
        <w:rPr>
          <w:rFonts w:hint="eastAsia"/>
        </w:rPr>
        <w:t>投标人须知</w:t>
      </w:r>
      <w:bookmarkEnd w:id="69"/>
      <w:bookmarkEnd w:id="70"/>
      <w:bookmarkEnd w:id="71"/>
    </w:p>
    <w:p w14:paraId="447E7E5F">
      <w:pPr>
        <w:pStyle w:val="3"/>
        <w:bidi w:val="0"/>
        <w:rPr>
          <w:rFonts w:hint="eastAsia"/>
        </w:rPr>
      </w:pPr>
      <w:bookmarkStart w:id="72" w:name="_Toc16959"/>
      <w:bookmarkStart w:id="73" w:name="_Toc1266"/>
      <w:bookmarkStart w:id="74" w:name="_Toc25256"/>
      <w:r>
        <w:rPr>
          <w:rFonts w:hint="eastAsia"/>
          <w:lang w:val="en-US" w:eastAsia="zh-CN"/>
        </w:rPr>
        <w:t xml:space="preserve">第一节  </w:t>
      </w:r>
      <w:r>
        <w:rPr>
          <w:rFonts w:hint="eastAsia"/>
        </w:rPr>
        <w:t>投标人须知前附表</w:t>
      </w:r>
      <w:bookmarkEnd w:id="72"/>
      <w:bookmarkEnd w:id="73"/>
      <w:bookmarkEnd w:id="74"/>
    </w:p>
    <w:tbl>
      <w:tblPr>
        <w:tblStyle w:val="44"/>
        <w:tblW w:w="99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02"/>
        <w:gridCol w:w="853"/>
        <w:gridCol w:w="2170"/>
        <w:gridCol w:w="6335"/>
      </w:tblGrid>
      <w:tr w14:paraId="3D2875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2" w:hRule="atLeast"/>
          <w:jc w:val="center"/>
        </w:trPr>
        <w:tc>
          <w:tcPr>
            <w:tcW w:w="1455" w:type="dxa"/>
            <w:gridSpan w:val="2"/>
            <w:noWrap/>
            <w:vAlign w:val="center"/>
          </w:tcPr>
          <w:p w14:paraId="7A3504A7">
            <w:pPr>
              <w:pStyle w:val="23"/>
              <w:jc w:val="center"/>
              <w:rPr>
                <w:rFonts w:hint="eastAsia" w:cs="宋体"/>
                <w:b/>
                <w:color w:val="auto"/>
                <w:szCs w:val="21"/>
                <w:highlight w:val="none"/>
              </w:rPr>
            </w:pPr>
            <w:r>
              <w:rPr>
                <w:rFonts w:hint="eastAsia" w:cs="宋体"/>
                <w:b/>
                <w:color w:val="auto"/>
                <w:szCs w:val="21"/>
                <w:highlight w:val="none"/>
              </w:rPr>
              <w:t>条款号</w:t>
            </w:r>
          </w:p>
        </w:tc>
        <w:tc>
          <w:tcPr>
            <w:tcW w:w="2170" w:type="dxa"/>
            <w:noWrap/>
            <w:vAlign w:val="center"/>
          </w:tcPr>
          <w:p w14:paraId="472CE8FF">
            <w:pPr>
              <w:pStyle w:val="23"/>
              <w:jc w:val="center"/>
              <w:rPr>
                <w:rFonts w:hint="eastAsia" w:cs="宋体"/>
                <w:b/>
                <w:color w:val="auto"/>
                <w:szCs w:val="21"/>
                <w:highlight w:val="none"/>
              </w:rPr>
            </w:pPr>
            <w:r>
              <w:rPr>
                <w:rFonts w:hint="eastAsia" w:cs="宋体"/>
                <w:b/>
                <w:color w:val="auto"/>
                <w:szCs w:val="21"/>
                <w:highlight w:val="none"/>
              </w:rPr>
              <w:t>条 款 名 称</w:t>
            </w:r>
          </w:p>
        </w:tc>
        <w:tc>
          <w:tcPr>
            <w:tcW w:w="6335" w:type="dxa"/>
            <w:noWrap/>
            <w:vAlign w:val="center"/>
          </w:tcPr>
          <w:p w14:paraId="6099819A">
            <w:pPr>
              <w:pStyle w:val="23"/>
              <w:jc w:val="center"/>
              <w:rPr>
                <w:rFonts w:hint="eastAsia" w:cs="宋体"/>
                <w:b/>
                <w:color w:val="auto"/>
                <w:szCs w:val="21"/>
                <w:highlight w:val="none"/>
              </w:rPr>
            </w:pPr>
            <w:r>
              <w:rPr>
                <w:rFonts w:hint="eastAsia" w:cs="宋体"/>
                <w:b/>
                <w:color w:val="auto"/>
                <w:szCs w:val="21"/>
                <w:highlight w:val="none"/>
              </w:rPr>
              <w:t>编 列 内 容</w:t>
            </w:r>
          </w:p>
        </w:tc>
      </w:tr>
      <w:tr w14:paraId="0C4B6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restart"/>
            <w:noWrap/>
            <w:vAlign w:val="center"/>
          </w:tcPr>
          <w:p w14:paraId="298E183B">
            <w:pPr>
              <w:pStyle w:val="23"/>
              <w:jc w:val="center"/>
              <w:rPr>
                <w:rFonts w:hint="eastAsia" w:cs="宋体"/>
                <w:color w:val="auto"/>
                <w:szCs w:val="21"/>
                <w:highlight w:val="none"/>
              </w:rPr>
            </w:pPr>
            <w:r>
              <w:rPr>
                <w:rFonts w:hint="eastAsia" w:cs="宋体"/>
                <w:color w:val="auto"/>
                <w:szCs w:val="21"/>
                <w:highlight w:val="none"/>
              </w:rPr>
              <w:t>1</w:t>
            </w:r>
          </w:p>
        </w:tc>
        <w:tc>
          <w:tcPr>
            <w:tcW w:w="2170" w:type="dxa"/>
            <w:noWrap/>
            <w:vAlign w:val="center"/>
          </w:tcPr>
          <w:p w14:paraId="56F0BB21">
            <w:pPr>
              <w:pStyle w:val="23"/>
              <w:rPr>
                <w:rFonts w:hint="eastAsia" w:cs="宋体"/>
                <w:color w:val="auto"/>
                <w:szCs w:val="21"/>
                <w:highlight w:val="none"/>
                <w:u w:val="single"/>
              </w:rPr>
            </w:pPr>
            <w:r>
              <w:rPr>
                <w:rFonts w:hint="eastAsia" w:cs="宋体"/>
                <w:bCs/>
                <w:color w:val="auto"/>
                <w:szCs w:val="21"/>
                <w:highlight w:val="none"/>
              </w:rPr>
              <w:t>采购人</w:t>
            </w:r>
          </w:p>
        </w:tc>
        <w:tc>
          <w:tcPr>
            <w:tcW w:w="6335" w:type="dxa"/>
            <w:noWrap/>
            <w:vAlign w:val="center"/>
          </w:tcPr>
          <w:p w14:paraId="63A1AD30">
            <w:pPr>
              <w:pStyle w:val="23"/>
              <w:rPr>
                <w:rFonts w:hint="eastAsia" w:eastAsia="宋体" w:cs="宋体"/>
                <w:color w:val="auto"/>
                <w:szCs w:val="21"/>
                <w:highlight w:val="none"/>
                <w:lang w:eastAsia="zh-CN"/>
              </w:rPr>
            </w:pPr>
            <w:r>
              <w:rPr>
                <w:rFonts w:hint="eastAsia" w:cs="宋体"/>
                <w:color w:val="auto"/>
                <w:szCs w:val="21"/>
                <w:highlight w:val="none"/>
                <w:lang w:eastAsia="zh-CN"/>
              </w:rPr>
              <w:t>普洱市林业和草原局</w:t>
            </w:r>
          </w:p>
        </w:tc>
      </w:tr>
      <w:tr w14:paraId="1AB99C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continue"/>
            <w:noWrap/>
            <w:vAlign w:val="center"/>
          </w:tcPr>
          <w:p w14:paraId="747440B2">
            <w:pPr>
              <w:rPr>
                <w:rFonts w:hint="eastAsia" w:cs="宋体"/>
                <w:color w:val="auto"/>
                <w:szCs w:val="21"/>
                <w:highlight w:val="none"/>
              </w:rPr>
            </w:pPr>
          </w:p>
        </w:tc>
        <w:tc>
          <w:tcPr>
            <w:tcW w:w="2170" w:type="dxa"/>
            <w:noWrap/>
            <w:vAlign w:val="center"/>
          </w:tcPr>
          <w:p w14:paraId="6018DAAE">
            <w:pPr>
              <w:pStyle w:val="23"/>
              <w:rPr>
                <w:rFonts w:hint="eastAsia" w:cs="宋体"/>
                <w:bCs/>
                <w:color w:val="auto"/>
                <w:szCs w:val="21"/>
                <w:highlight w:val="none"/>
              </w:rPr>
            </w:pPr>
            <w:r>
              <w:rPr>
                <w:rFonts w:hint="eastAsia" w:cs="宋体"/>
                <w:bCs/>
                <w:color w:val="auto"/>
                <w:szCs w:val="21"/>
                <w:highlight w:val="none"/>
              </w:rPr>
              <w:t>采购代理机构</w:t>
            </w:r>
          </w:p>
        </w:tc>
        <w:tc>
          <w:tcPr>
            <w:tcW w:w="6335" w:type="dxa"/>
            <w:noWrap/>
            <w:vAlign w:val="center"/>
          </w:tcPr>
          <w:p w14:paraId="261001E3">
            <w:pPr>
              <w:pStyle w:val="23"/>
              <w:rPr>
                <w:rFonts w:hint="eastAsia" w:cs="宋体"/>
                <w:color w:val="auto"/>
                <w:szCs w:val="21"/>
                <w:highlight w:val="none"/>
              </w:rPr>
            </w:pPr>
            <w:r>
              <w:rPr>
                <w:rFonts w:hint="eastAsia" w:cs="宋体"/>
                <w:color w:val="auto"/>
                <w:szCs w:val="21"/>
                <w:highlight w:val="none"/>
              </w:rPr>
              <w:t>云南招标股份有限公司</w:t>
            </w:r>
          </w:p>
        </w:tc>
      </w:tr>
      <w:tr w14:paraId="25B9D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vMerge w:val="continue"/>
            <w:noWrap/>
            <w:vAlign w:val="center"/>
          </w:tcPr>
          <w:p w14:paraId="061AEA60">
            <w:pPr>
              <w:rPr>
                <w:rFonts w:hint="eastAsia" w:cs="宋体"/>
                <w:color w:val="auto"/>
                <w:szCs w:val="21"/>
                <w:highlight w:val="none"/>
              </w:rPr>
            </w:pPr>
          </w:p>
        </w:tc>
        <w:tc>
          <w:tcPr>
            <w:tcW w:w="2170" w:type="dxa"/>
            <w:noWrap/>
            <w:vAlign w:val="center"/>
          </w:tcPr>
          <w:p w14:paraId="5E9E02BE">
            <w:pPr>
              <w:pStyle w:val="23"/>
              <w:rPr>
                <w:rFonts w:hint="eastAsia" w:cs="宋体"/>
                <w:color w:val="auto"/>
                <w:szCs w:val="21"/>
                <w:highlight w:val="none"/>
              </w:rPr>
            </w:pPr>
            <w:r>
              <w:rPr>
                <w:rFonts w:hint="eastAsia" w:cs="宋体"/>
                <w:color w:val="auto"/>
                <w:szCs w:val="21"/>
                <w:highlight w:val="none"/>
              </w:rPr>
              <w:t>项目名称及招标编号</w:t>
            </w:r>
          </w:p>
        </w:tc>
        <w:tc>
          <w:tcPr>
            <w:tcW w:w="6335" w:type="dxa"/>
            <w:noWrap/>
            <w:vAlign w:val="center"/>
          </w:tcPr>
          <w:p w14:paraId="4B8292A0">
            <w:pPr>
              <w:pStyle w:val="23"/>
              <w:rPr>
                <w:rFonts w:hint="eastAsia" w:eastAsia="宋体" w:cs="宋体"/>
                <w:color w:val="auto"/>
                <w:szCs w:val="21"/>
                <w:highlight w:val="none"/>
                <w:lang w:eastAsia="zh-CN"/>
              </w:rPr>
            </w:pPr>
            <w:r>
              <w:rPr>
                <w:rFonts w:hint="eastAsia" w:cs="宋体"/>
                <w:color w:val="auto"/>
                <w:szCs w:val="21"/>
                <w:highlight w:val="none"/>
              </w:rPr>
              <w:t>项目名称：</w:t>
            </w:r>
            <w:r>
              <w:rPr>
                <w:rFonts w:hint="eastAsia" w:cs="宋体"/>
                <w:color w:val="auto"/>
                <w:szCs w:val="21"/>
                <w:highlight w:val="none"/>
                <w:lang w:eastAsia="zh-CN"/>
              </w:rPr>
              <w:t>2025年普洱市乡镇早期火情处置能力提升建设项目</w:t>
            </w:r>
          </w:p>
          <w:p w14:paraId="441DCC02">
            <w:pPr>
              <w:pStyle w:val="23"/>
              <w:rPr>
                <w:rFonts w:hint="eastAsia" w:cs="宋体"/>
                <w:color w:val="auto"/>
                <w:szCs w:val="21"/>
                <w:highlight w:val="none"/>
              </w:rPr>
            </w:pPr>
            <w:r>
              <w:rPr>
                <w:rFonts w:hint="eastAsia" w:cs="宋体"/>
                <w:color w:val="auto"/>
                <w:szCs w:val="21"/>
                <w:highlight w:val="none"/>
              </w:rPr>
              <w:t>招标编号：</w:t>
            </w:r>
            <w:r>
              <w:rPr>
                <w:rFonts w:hint="eastAsia" w:cs="宋体"/>
                <w:color w:val="auto"/>
                <w:szCs w:val="21"/>
                <w:highlight w:val="none"/>
                <w:lang w:eastAsia="zh-CN"/>
              </w:rPr>
              <w:t>C53JX1025001213</w:t>
            </w:r>
          </w:p>
        </w:tc>
      </w:tr>
      <w:tr w14:paraId="2CCAA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noWrap/>
            <w:vAlign w:val="center"/>
          </w:tcPr>
          <w:p w14:paraId="15CA684F">
            <w:pPr>
              <w:jc w:val="center"/>
              <w:rPr>
                <w:rFonts w:hint="eastAsia" w:cs="宋体"/>
                <w:color w:val="auto"/>
                <w:szCs w:val="21"/>
                <w:highlight w:val="none"/>
              </w:rPr>
            </w:pPr>
            <w:r>
              <w:rPr>
                <w:rFonts w:hint="eastAsia" w:cs="宋体"/>
                <w:color w:val="auto"/>
                <w:szCs w:val="21"/>
                <w:highlight w:val="none"/>
              </w:rPr>
              <w:t>2</w:t>
            </w:r>
          </w:p>
        </w:tc>
        <w:tc>
          <w:tcPr>
            <w:tcW w:w="2170" w:type="dxa"/>
            <w:noWrap/>
            <w:vAlign w:val="center"/>
          </w:tcPr>
          <w:p w14:paraId="25586B64">
            <w:pPr>
              <w:pStyle w:val="23"/>
              <w:rPr>
                <w:rFonts w:hint="eastAsia" w:cs="宋体"/>
                <w:color w:val="auto"/>
                <w:szCs w:val="21"/>
                <w:highlight w:val="none"/>
              </w:rPr>
            </w:pPr>
            <w:r>
              <w:rPr>
                <w:rFonts w:hint="eastAsia" w:cs="宋体"/>
                <w:color w:val="auto"/>
                <w:szCs w:val="21"/>
                <w:highlight w:val="none"/>
              </w:rPr>
              <w:t>采购预算</w:t>
            </w:r>
          </w:p>
        </w:tc>
        <w:tc>
          <w:tcPr>
            <w:tcW w:w="6335" w:type="dxa"/>
            <w:noWrap/>
            <w:vAlign w:val="center"/>
          </w:tcPr>
          <w:p w14:paraId="6FA4052E">
            <w:pPr>
              <w:pStyle w:val="23"/>
              <w:rPr>
                <w:rFonts w:hint="eastAsia" w:cs="宋体"/>
                <w:color w:val="auto"/>
                <w:szCs w:val="21"/>
                <w:highlight w:val="none"/>
              </w:rPr>
            </w:pPr>
            <w:r>
              <w:rPr>
                <w:rFonts w:hint="eastAsia" w:cs="宋体"/>
                <w:color w:val="auto"/>
                <w:szCs w:val="21"/>
                <w:highlight w:val="none"/>
              </w:rPr>
              <w:t>详见第一章“招标公告”</w:t>
            </w:r>
          </w:p>
        </w:tc>
      </w:tr>
      <w:tr w14:paraId="31C63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noWrap/>
            <w:vAlign w:val="center"/>
          </w:tcPr>
          <w:p w14:paraId="2870D7A7">
            <w:pPr>
              <w:pStyle w:val="23"/>
              <w:jc w:val="center"/>
              <w:rPr>
                <w:rFonts w:hint="eastAsia" w:cs="宋体"/>
                <w:color w:val="auto"/>
                <w:szCs w:val="21"/>
                <w:highlight w:val="none"/>
              </w:rPr>
            </w:pPr>
            <w:r>
              <w:rPr>
                <w:rFonts w:hint="eastAsia" w:cs="宋体"/>
                <w:color w:val="auto"/>
                <w:szCs w:val="21"/>
                <w:highlight w:val="none"/>
              </w:rPr>
              <w:t>3.1</w:t>
            </w:r>
          </w:p>
        </w:tc>
        <w:tc>
          <w:tcPr>
            <w:tcW w:w="2170" w:type="dxa"/>
            <w:noWrap/>
            <w:vAlign w:val="center"/>
          </w:tcPr>
          <w:p w14:paraId="7A392EF6">
            <w:pPr>
              <w:pStyle w:val="23"/>
              <w:rPr>
                <w:rFonts w:hint="eastAsia" w:cs="宋体"/>
                <w:color w:val="auto"/>
                <w:szCs w:val="21"/>
                <w:highlight w:val="none"/>
              </w:rPr>
            </w:pPr>
            <w:r>
              <w:rPr>
                <w:rFonts w:hint="eastAsia" w:cs="宋体"/>
                <w:color w:val="auto"/>
                <w:szCs w:val="21"/>
                <w:highlight w:val="none"/>
              </w:rPr>
              <w:t>招标范围</w:t>
            </w:r>
          </w:p>
        </w:tc>
        <w:tc>
          <w:tcPr>
            <w:tcW w:w="6335" w:type="dxa"/>
            <w:noWrap/>
            <w:vAlign w:val="center"/>
          </w:tcPr>
          <w:p w14:paraId="1B367CE0">
            <w:pPr>
              <w:pStyle w:val="23"/>
              <w:jc w:val="left"/>
              <w:rPr>
                <w:rFonts w:hint="eastAsia" w:cs="宋体"/>
                <w:color w:val="auto"/>
                <w:szCs w:val="21"/>
                <w:highlight w:val="none"/>
              </w:rPr>
            </w:pPr>
            <w:r>
              <w:rPr>
                <w:rFonts w:hint="eastAsia" w:cs="宋体"/>
                <w:color w:val="auto"/>
                <w:szCs w:val="21"/>
                <w:highlight w:val="none"/>
              </w:rPr>
              <w:t>详见</w:t>
            </w:r>
            <w:r>
              <w:rPr>
                <w:rFonts w:hint="eastAsia" w:cs="宋体"/>
                <w:bCs/>
                <w:color w:val="auto"/>
                <w:szCs w:val="21"/>
                <w:highlight w:val="none"/>
              </w:rPr>
              <w:t>第五章《</w:t>
            </w:r>
            <w:r>
              <w:rPr>
                <w:rFonts w:hint="eastAsia" w:cs="宋体"/>
                <w:bCs/>
                <w:color w:val="auto"/>
                <w:szCs w:val="21"/>
                <w:highlight w:val="none"/>
                <w:lang w:eastAsia="zh-CN"/>
              </w:rPr>
              <w:t>采购需求</w:t>
            </w:r>
            <w:r>
              <w:rPr>
                <w:rFonts w:hint="eastAsia" w:cs="宋体"/>
                <w:bCs/>
                <w:color w:val="auto"/>
                <w:szCs w:val="21"/>
                <w:highlight w:val="none"/>
              </w:rPr>
              <w:t>》</w:t>
            </w:r>
          </w:p>
        </w:tc>
      </w:tr>
      <w:tr w14:paraId="4B50B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8" w:hRule="atLeast"/>
          <w:jc w:val="center"/>
        </w:trPr>
        <w:tc>
          <w:tcPr>
            <w:tcW w:w="1455" w:type="dxa"/>
            <w:gridSpan w:val="2"/>
            <w:noWrap/>
            <w:vAlign w:val="center"/>
          </w:tcPr>
          <w:p w14:paraId="0EB1F41B">
            <w:pPr>
              <w:pStyle w:val="23"/>
              <w:jc w:val="center"/>
              <w:rPr>
                <w:rFonts w:hint="eastAsia" w:cs="宋体"/>
                <w:b/>
                <w:bCs/>
                <w:color w:val="auto"/>
                <w:szCs w:val="21"/>
                <w:highlight w:val="none"/>
              </w:rPr>
            </w:pPr>
            <w:r>
              <w:rPr>
                <w:rFonts w:hint="eastAsia" w:cs="宋体"/>
                <w:b/>
                <w:bCs/>
                <w:color w:val="auto"/>
                <w:szCs w:val="21"/>
                <w:highlight w:val="none"/>
              </w:rPr>
              <w:t>★3.2</w:t>
            </w:r>
          </w:p>
        </w:tc>
        <w:tc>
          <w:tcPr>
            <w:tcW w:w="2170" w:type="dxa"/>
            <w:noWrap/>
            <w:vAlign w:val="center"/>
          </w:tcPr>
          <w:p w14:paraId="1D615CF1">
            <w:pPr>
              <w:pStyle w:val="23"/>
              <w:rPr>
                <w:rFonts w:hint="eastAsia" w:cs="宋体"/>
                <w:b/>
                <w:bCs/>
                <w:color w:val="auto"/>
                <w:szCs w:val="21"/>
                <w:highlight w:val="none"/>
              </w:rPr>
            </w:pPr>
            <w:r>
              <w:rPr>
                <w:rFonts w:hint="eastAsia" w:cs="宋体"/>
                <w:b/>
                <w:bCs/>
                <w:color w:val="auto"/>
                <w:szCs w:val="21"/>
                <w:highlight w:val="none"/>
              </w:rPr>
              <w:t>交货期、交货地点、交货方式、质量要求</w:t>
            </w:r>
          </w:p>
        </w:tc>
        <w:tc>
          <w:tcPr>
            <w:tcW w:w="6335" w:type="dxa"/>
            <w:noWrap/>
            <w:vAlign w:val="center"/>
          </w:tcPr>
          <w:p w14:paraId="5E4AE8EB">
            <w:pPr>
              <w:rPr>
                <w:b/>
                <w:bCs/>
                <w:color w:val="auto"/>
                <w:szCs w:val="21"/>
                <w:highlight w:val="none"/>
              </w:rPr>
            </w:pPr>
            <w:r>
              <w:rPr>
                <w:b/>
                <w:bCs/>
                <w:color w:val="auto"/>
                <w:szCs w:val="21"/>
                <w:highlight w:val="none"/>
              </w:rPr>
              <w:t>交货期：</w:t>
            </w:r>
          </w:p>
          <w:p w14:paraId="6BDB9B5E">
            <w:pPr>
              <w:rPr>
                <w:rFonts w:hint="eastAsia"/>
                <w:color w:val="auto"/>
                <w:szCs w:val="21"/>
                <w:highlight w:val="none"/>
              </w:rPr>
            </w:pPr>
            <w:r>
              <w:rPr>
                <w:rFonts w:hint="eastAsia"/>
                <w:color w:val="auto"/>
                <w:szCs w:val="21"/>
                <w:highlight w:val="none"/>
              </w:rPr>
              <w:t>A包：自合同签订之日起30个日历天内完成交货、调试并验收合格投入使用。（包括车辆上牌、购买保险、落户、送货至采购人指定地点、现场培训使用方法）</w:t>
            </w:r>
          </w:p>
          <w:p w14:paraId="76AA9DDF">
            <w:pPr>
              <w:rPr>
                <w:rFonts w:hint="eastAsia"/>
                <w:color w:val="auto"/>
                <w:szCs w:val="21"/>
                <w:highlight w:val="none"/>
              </w:rPr>
            </w:pPr>
            <w:r>
              <w:rPr>
                <w:rFonts w:hint="eastAsia"/>
                <w:color w:val="auto"/>
                <w:szCs w:val="21"/>
                <w:highlight w:val="none"/>
              </w:rPr>
              <w:t>B包：自合同签订之日起30个日历天内完成交货，并根据招标人要求进行安装、调试并验收合格投入使用。（包括送货至采购人指定地点、现场培训使用方法）</w:t>
            </w:r>
          </w:p>
          <w:p w14:paraId="67800374">
            <w:pPr>
              <w:rPr>
                <w:rFonts w:hint="eastAsia"/>
                <w:color w:val="auto"/>
                <w:szCs w:val="21"/>
                <w:highlight w:val="none"/>
              </w:rPr>
            </w:pPr>
            <w:r>
              <w:rPr>
                <w:rFonts w:hint="eastAsia"/>
                <w:color w:val="auto"/>
                <w:szCs w:val="21"/>
                <w:highlight w:val="none"/>
              </w:rPr>
              <w:t>C包：自合同签订之日起30个日历日内完成交货并通过验收。</w:t>
            </w:r>
          </w:p>
          <w:p w14:paraId="484C1D71">
            <w:pPr>
              <w:rPr>
                <w:rFonts w:hint="eastAsia" w:cs="宋体"/>
                <w:b/>
                <w:bCs/>
                <w:color w:val="auto"/>
                <w:szCs w:val="21"/>
                <w:highlight w:val="none"/>
              </w:rPr>
            </w:pPr>
            <w:r>
              <w:rPr>
                <w:b/>
                <w:bCs/>
                <w:color w:val="auto"/>
                <w:szCs w:val="21"/>
                <w:highlight w:val="none"/>
              </w:rPr>
              <w:t>交货地点：</w:t>
            </w:r>
            <w:r>
              <w:rPr>
                <w:rFonts w:hint="eastAsia"/>
                <w:color w:val="auto"/>
                <w:szCs w:val="21"/>
                <w:highlight w:val="none"/>
              </w:rPr>
              <w:t>采购人指定地点</w:t>
            </w:r>
            <w:r>
              <w:rPr>
                <w:color w:val="auto"/>
                <w:szCs w:val="21"/>
                <w:highlight w:val="none"/>
              </w:rPr>
              <w:t>。</w:t>
            </w:r>
          </w:p>
          <w:p w14:paraId="3964430A">
            <w:pPr>
              <w:rPr>
                <w:rFonts w:hint="eastAsia"/>
                <w:b/>
                <w:bCs/>
                <w:color w:val="auto"/>
                <w:szCs w:val="21"/>
                <w:highlight w:val="none"/>
              </w:rPr>
            </w:pPr>
            <w:r>
              <w:rPr>
                <w:b/>
                <w:bCs/>
                <w:color w:val="auto"/>
                <w:highlight w:val="none"/>
              </w:rPr>
              <w:t>交货方式：</w:t>
            </w:r>
            <w:r>
              <w:rPr>
                <w:color w:val="auto"/>
                <w:highlight w:val="none"/>
              </w:rPr>
              <w:t>现场安装调试验收完成。</w:t>
            </w:r>
          </w:p>
          <w:p w14:paraId="7286CF26">
            <w:pPr>
              <w:rPr>
                <w:rFonts w:hint="eastAsia" w:cs="宋体"/>
                <w:b/>
                <w:bCs/>
                <w:color w:val="auto"/>
                <w:szCs w:val="21"/>
                <w:highlight w:val="none"/>
              </w:rPr>
            </w:pPr>
            <w:r>
              <w:rPr>
                <w:b/>
                <w:bCs/>
                <w:color w:val="auto"/>
                <w:szCs w:val="21"/>
                <w:highlight w:val="none"/>
              </w:rPr>
              <w:t>质量要求：</w:t>
            </w:r>
            <w:r>
              <w:rPr>
                <w:rFonts w:hint="eastAsia"/>
                <w:color w:val="auto"/>
                <w:szCs w:val="21"/>
                <w:highlight w:val="none"/>
              </w:rPr>
              <w:t>满足国家及行业相关法律法规、标准规范规定及采购人要求，一次性验收合格</w:t>
            </w:r>
            <w:r>
              <w:rPr>
                <w:color w:val="auto"/>
                <w:szCs w:val="21"/>
                <w:highlight w:val="none"/>
              </w:rPr>
              <w:t>。</w:t>
            </w:r>
          </w:p>
        </w:tc>
      </w:tr>
      <w:tr w14:paraId="2B309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restart"/>
            <w:noWrap/>
            <w:vAlign w:val="center"/>
          </w:tcPr>
          <w:p w14:paraId="3F54ED2C">
            <w:pPr>
              <w:pStyle w:val="23"/>
              <w:jc w:val="center"/>
              <w:rPr>
                <w:rFonts w:hint="eastAsia" w:cs="宋体"/>
                <w:color w:val="auto"/>
                <w:szCs w:val="21"/>
                <w:highlight w:val="none"/>
              </w:rPr>
            </w:pPr>
            <w:r>
              <w:rPr>
                <w:rFonts w:hint="eastAsia"/>
                <w:color w:val="auto"/>
                <w:szCs w:val="21"/>
                <w:highlight w:val="none"/>
              </w:rPr>
              <w:t>★4</w:t>
            </w:r>
          </w:p>
        </w:tc>
        <w:tc>
          <w:tcPr>
            <w:tcW w:w="853" w:type="dxa"/>
            <w:noWrap/>
            <w:vAlign w:val="center"/>
          </w:tcPr>
          <w:p w14:paraId="3BCF02F8">
            <w:pPr>
              <w:pStyle w:val="23"/>
              <w:jc w:val="center"/>
              <w:rPr>
                <w:rFonts w:hint="eastAsia"/>
                <w:b/>
                <w:bCs/>
                <w:color w:val="auto"/>
                <w:szCs w:val="21"/>
                <w:highlight w:val="none"/>
              </w:rPr>
            </w:pPr>
            <w:r>
              <w:rPr>
                <w:rFonts w:hint="eastAsia" w:cs="宋体"/>
                <w:b/>
                <w:bCs/>
                <w:color w:val="auto"/>
                <w:szCs w:val="21"/>
                <w:highlight w:val="none"/>
              </w:rPr>
              <w:t>4.1.2</w:t>
            </w:r>
          </w:p>
        </w:tc>
        <w:tc>
          <w:tcPr>
            <w:tcW w:w="2170" w:type="dxa"/>
            <w:noWrap/>
            <w:vAlign w:val="center"/>
          </w:tcPr>
          <w:p w14:paraId="4D51C66E">
            <w:pPr>
              <w:pStyle w:val="23"/>
              <w:rPr>
                <w:rFonts w:hint="eastAsia" w:cs="宋体"/>
                <w:b/>
                <w:bCs/>
                <w:color w:val="auto"/>
                <w:szCs w:val="21"/>
                <w:highlight w:val="none"/>
              </w:rPr>
            </w:pPr>
            <w:r>
              <w:rPr>
                <w:rFonts w:hint="eastAsia" w:cs="宋体"/>
                <w:b/>
                <w:bCs/>
                <w:color w:val="auto"/>
                <w:szCs w:val="21"/>
                <w:highlight w:val="none"/>
              </w:rPr>
              <w:t>财务状况报告</w:t>
            </w:r>
          </w:p>
        </w:tc>
        <w:tc>
          <w:tcPr>
            <w:tcW w:w="6335" w:type="dxa"/>
            <w:noWrap/>
            <w:vAlign w:val="center"/>
          </w:tcPr>
          <w:p w14:paraId="514C405E">
            <w:pPr>
              <w:pStyle w:val="23"/>
              <w:spacing w:line="276" w:lineRule="auto"/>
              <w:rPr>
                <w:rFonts w:hint="eastAsia" w:cs="宋体"/>
                <w:b/>
                <w:bCs/>
                <w:color w:val="auto"/>
                <w:szCs w:val="21"/>
                <w:highlight w:val="none"/>
              </w:rPr>
            </w:pPr>
            <w:r>
              <w:rPr>
                <w:rFonts w:hint="eastAsia" w:cs="宋体"/>
                <w:b/>
                <w:bCs/>
                <w:color w:val="auto"/>
                <w:szCs w:val="21"/>
                <w:highlight w:val="none"/>
              </w:rPr>
              <w:t>投标人具有良好的商业信誉和健全的财务会计制度：</w:t>
            </w:r>
          </w:p>
          <w:p w14:paraId="09C5734E">
            <w:pPr>
              <w:pStyle w:val="23"/>
              <w:spacing w:line="276" w:lineRule="auto"/>
              <w:rPr>
                <w:rFonts w:hint="eastAsia" w:cs="宋体"/>
                <w:color w:val="auto"/>
                <w:szCs w:val="21"/>
                <w:highlight w:val="none"/>
              </w:rPr>
            </w:pPr>
            <w:r>
              <w:rPr>
                <w:rFonts w:hint="eastAsia" w:cs="宋体"/>
                <w:color w:val="auto"/>
                <w:szCs w:val="21"/>
                <w:highlight w:val="none"/>
              </w:rPr>
              <w:t>投标人须提供财务状况报告，可提供以下</w:t>
            </w:r>
            <w:r>
              <w:rPr>
                <w:rFonts w:hint="eastAsia" w:cs="宋体"/>
                <w:b/>
                <w:bCs/>
                <w:color w:val="auto"/>
                <w:szCs w:val="21"/>
                <w:highlight w:val="none"/>
              </w:rPr>
              <w:t>（1）、（2）、（3）</w:t>
            </w:r>
            <w:r>
              <w:rPr>
                <w:rFonts w:hint="eastAsia" w:cs="宋体"/>
                <w:color w:val="auto"/>
                <w:szCs w:val="21"/>
                <w:highlight w:val="none"/>
              </w:rPr>
              <w:t>三者之一；若投标人成立时间短，不足以出具经审计的财务审计报告的投标人，则提供以下</w:t>
            </w:r>
            <w:r>
              <w:rPr>
                <w:rFonts w:hint="eastAsia" w:cs="宋体"/>
                <w:b/>
                <w:bCs/>
                <w:color w:val="auto"/>
                <w:szCs w:val="21"/>
                <w:highlight w:val="none"/>
              </w:rPr>
              <w:t>（2）、（3）</w:t>
            </w:r>
            <w:r>
              <w:rPr>
                <w:rFonts w:hint="eastAsia" w:cs="宋体"/>
                <w:color w:val="auto"/>
                <w:szCs w:val="21"/>
                <w:highlight w:val="none"/>
              </w:rPr>
              <w:t>二者之一。</w:t>
            </w:r>
          </w:p>
          <w:p w14:paraId="43A99D1A">
            <w:pPr>
              <w:pStyle w:val="23"/>
              <w:spacing w:line="276" w:lineRule="auto"/>
              <w:rPr>
                <w:rFonts w:hint="eastAsia" w:cs="宋体"/>
                <w:color w:val="auto"/>
                <w:szCs w:val="21"/>
                <w:highlight w:val="none"/>
              </w:rPr>
            </w:pPr>
            <w:r>
              <w:rPr>
                <w:rFonts w:hint="eastAsia" w:cs="宋体"/>
                <w:b/>
                <w:bCs/>
                <w:color w:val="auto"/>
                <w:szCs w:val="21"/>
                <w:highlight w:val="none"/>
              </w:rPr>
              <w:t>（1）202</w:t>
            </w:r>
            <w:r>
              <w:rPr>
                <w:rFonts w:hint="eastAsia" w:cs="宋体"/>
                <w:b/>
                <w:bCs/>
                <w:color w:val="auto"/>
                <w:szCs w:val="21"/>
                <w:highlight w:val="none"/>
                <w:lang w:val="en-US" w:eastAsia="zh-CN"/>
              </w:rPr>
              <w:t>2</w:t>
            </w:r>
            <w:r>
              <w:rPr>
                <w:rFonts w:hint="eastAsia" w:cs="宋体"/>
                <w:b/>
                <w:bCs/>
                <w:color w:val="auto"/>
                <w:szCs w:val="21"/>
                <w:highlight w:val="none"/>
              </w:rPr>
              <w:t>年-202</w:t>
            </w:r>
            <w:r>
              <w:rPr>
                <w:rFonts w:hint="eastAsia" w:cs="宋体"/>
                <w:b/>
                <w:bCs/>
                <w:color w:val="auto"/>
                <w:szCs w:val="21"/>
                <w:highlight w:val="none"/>
                <w:lang w:val="en-US" w:eastAsia="zh-CN"/>
              </w:rPr>
              <w:t>4</w:t>
            </w:r>
            <w:r>
              <w:rPr>
                <w:rFonts w:hint="eastAsia" w:cs="宋体"/>
                <w:b/>
                <w:bCs/>
                <w:color w:val="auto"/>
                <w:szCs w:val="21"/>
                <w:highlight w:val="none"/>
              </w:rPr>
              <w:t>年</w:t>
            </w:r>
            <w:r>
              <w:rPr>
                <w:rFonts w:hint="eastAsia" w:cs="宋体"/>
                <w:color w:val="auto"/>
                <w:szCs w:val="21"/>
                <w:highlight w:val="none"/>
              </w:rPr>
              <w:t>任意一年度经审计的财务审计报告，包括</w:t>
            </w:r>
            <w:r>
              <w:rPr>
                <w:rFonts w:hint="eastAsia" w:cs="宋体"/>
                <w:b/>
                <w:bCs/>
                <w:color w:val="auto"/>
                <w:szCs w:val="21"/>
                <w:highlight w:val="none"/>
              </w:rPr>
              <w:t>财务审计报告及“四表一注”，“四表一注”即资产负债表、利润表、现金流量表、所有者权益变动表及其附注；</w:t>
            </w:r>
          </w:p>
          <w:p w14:paraId="6F0AEC5A">
            <w:pPr>
              <w:pStyle w:val="23"/>
              <w:spacing w:line="276" w:lineRule="auto"/>
              <w:rPr>
                <w:rFonts w:hint="eastAsia" w:cs="宋体"/>
                <w:color w:val="auto"/>
                <w:szCs w:val="21"/>
                <w:highlight w:val="none"/>
              </w:rPr>
            </w:pPr>
            <w:r>
              <w:rPr>
                <w:rFonts w:hint="eastAsia" w:cs="宋体"/>
                <w:b/>
                <w:bCs/>
                <w:color w:val="auto"/>
                <w:szCs w:val="21"/>
                <w:highlight w:val="none"/>
              </w:rPr>
              <w:t>（2）</w:t>
            </w:r>
            <w:r>
              <w:rPr>
                <w:rFonts w:hint="eastAsia" w:cs="宋体"/>
                <w:color w:val="auto"/>
                <w:szCs w:val="21"/>
                <w:highlight w:val="none"/>
              </w:rPr>
              <w:t>近三个月内基本开户银行出具的资信证明；</w:t>
            </w:r>
          </w:p>
          <w:p w14:paraId="4CC142A0">
            <w:pPr>
              <w:pStyle w:val="23"/>
              <w:spacing w:line="276" w:lineRule="auto"/>
              <w:rPr>
                <w:rFonts w:hint="eastAsia" w:cs="宋体"/>
                <w:color w:val="auto"/>
                <w:szCs w:val="21"/>
                <w:highlight w:val="none"/>
              </w:rPr>
            </w:pPr>
            <w:r>
              <w:rPr>
                <w:rFonts w:hint="eastAsia" w:cs="宋体"/>
                <w:b/>
                <w:bCs/>
                <w:color w:val="auto"/>
                <w:szCs w:val="21"/>
                <w:highlight w:val="none"/>
              </w:rPr>
              <w:t>（3）</w:t>
            </w:r>
            <w:r>
              <w:rPr>
                <w:rFonts w:hint="eastAsia" w:cs="宋体"/>
                <w:color w:val="auto"/>
                <w:szCs w:val="21"/>
                <w:highlight w:val="none"/>
              </w:rPr>
              <w:t>财政部门认可的政府采购专业担保机构出具的投标担保函，须同时提供专业担保机构经财政部门认可的证明文件。</w:t>
            </w:r>
          </w:p>
          <w:p w14:paraId="7FF35936">
            <w:pPr>
              <w:pStyle w:val="23"/>
              <w:rPr>
                <w:rFonts w:hint="eastAsia" w:cs="宋体"/>
                <w:color w:val="auto"/>
                <w:szCs w:val="21"/>
                <w:highlight w:val="none"/>
              </w:rPr>
            </w:pPr>
            <w:r>
              <w:rPr>
                <w:rFonts w:hint="eastAsia" w:cs="宋体"/>
                <w:b/>
                <w:bCs/>
                <w:color w:val="auto"/>
                <w:szCs w:val="21"/>
                <w:highlight w:val="none"/>
              </w:rPr>
              <w:t>备注：投标人可根据自身情况提供上述任意一种证明材料。</w:t>
            </w:r>
          </w:p>
        </w:tc>
      </w:tr>
      <w:tr w14:paraId="458E1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01F4B44D">
            <w:pPr>
              <w:pStyle w:val="23"/>
              <w:jc w:val="center"/>
              <w:rPr>
                <w:rFonts w:hint="eastAsia"/>
                <w:color w:val="auto"/>
                <w:highlight w:val="none"/>
              </w:rPr>
            </w:pPr>
          </w:p>
        </w:tc>
        <w:tc>
          <w:tcPr>
            <w:tcW w:w="853" w:type="dxa"/>
            <w:noWrap/>
            <w:vAlign w:val="center"/>
          </w:tcPr>
          <w:p w14:paraId="03E61DCD">
            <w:pPr>
              <w:pStyle w:val="23"/>
              <w:jc w:val="center"/>
              <w:rPr>
                <w:rFonts w:hint="eastAsia"/>
                <w:b/>
                <w:bCs/>
                <w:color w:val="auto"/>
                <w:szCs w:val="21"/>
                <w:highlight w:val="none"/>
              </w:rPr>
            </w:pPr>
            <w:r>
              <w:rPr>
                <w:rFonts w:hint="eastAsia" w:cs="宋体"/>
                <w:b/>
                <w:bCs/>
                <w:color w:val="auto"/>
                <w:szCs w:val="21"/>
                <w:highlight w:val="none"/>
              </w:rPr>
              <w:t>4.1.3</w:t>
            </w:r>
          </w:p>
        </w:tc>
        <w:tc>
          <w:tcPr>
            <w:tcW w:w="2170" w:type="dxa"/>
            <w:noWrap/>
            <w:vAlign w:val="center"/>
          </w:tcPr>
          <w:p w14:paraId="79DA615B">
            <w:pPr>
              <w:autoSpaceDE w:val="0"/>
              <w:autoSpaceDN w:val="0"/>
              <w:snapToGrid w:val="0"/>
              <w:textAlignment w:val="bottom"/>
              <w:rPr>
                <w:rFonts w:hint="eastAsia"/>
                <w:b/>
                <w:bCs/>
                <w:color w:val="auto"/>
                <w:szCs w:val="21"/>
                <w:highlight w:val="none"/>
              </w:rPr>
            </w:pPr>
            <w:r>
              <w:rPr>
                <w:rFonts w:hint="eastAsia" w:cs="宋体"/>
                <w:b/>
                <w:bCs/>
                <w:color w:val="auto"/>
                <w:szCs w:val="21"/>
                <w:highlight w:val="none"/>
              </w:rPr>
              <w:t>纳税证明材料的时间范围</w:t>
            </w:r>
          </w:p>
        </w:tc>
        <w:tc>
          <w:tcPr>
            <w:tcW w:w="6335" w:type="dxa"/>
            <w:noWrap/>
            <w:vAlign w:val="center"/>
          </w:tcPr>
          <w:p w14:paraId="68F0E01F">
            <w:pPr>
              <w:autoSpaceDE w:val="0"/>
              <w:autoSpaceDN w:val="0"/>
              <w:snapToGrid w:val="0"/>
              <w:textAlignment w:val="bottom"/>
              <w:rPr>
                <w:rFonts w:hint="eastAsia"/>
                <w:color w:val="auto"/>
                <w:szCs w:val="21"/>
                <w:highlight w:val="none"/>
              </w:rPr>
            </w:pPr>
            <w:r>
              <w:rPr>
                <w:rFonts w:hint="eastAsia" w:cs="宋体"/>
                <w:color w:val="auto"/>
                <w:szCs w:val="21"/>
                <w:highlight w:val="none"/>
              </w:rPr>
              <w:t>缴税所属时间在</w:t>
            </w:r>
            <w:r>
              <w:rPr>
                <w:rFonts w:hint="eastAsia" w:cs="宋体"/>
                <w:b/>
                <w:bCs/>
                <w:color w:val="auto"/>
                <w:szCs w:val="21"/>
                <w:highlight w:val="none"/>
              </w:rPr>
              <w:t>202</w:t>
            </w:r>
            <w:r>
              <w:rPr>
                <w:rFonts w:hint="eastAsia" w:cs="宋体"/>
                <w:b/>
                <w:bCs/>
                <w:color w:val="auto"/>
                <w:szCs w:val="21"/>
                <w:highlight w:val="none"/>
                <w:lang w:val="en-US" w:eastAsia="zh-CN"/>
              </w:rPr>
              <w:t>4</w:t>
            </w:r>
            <w:r>
              <w:rPr>
                <w:rFonts w:hint="eastAsia" w:cs="宋体"/>
                <w:b/>
                <w:bCs/>
                <w:color w:val="auto"/>
                <w:szCs w:val="21"/>
                <w:highlight w:val="none"/>
              </w:rPr>
              <w:t>年01月至</w:t>
            </w:r>
            <w:r>
              <w:rPr>
                <w:rFonts w:hint="eastAsia" w:cs="宋体"/>
                <w:color w:val="auto"/>
                <w:szCs w:val="21"/>
                <w:highlight w:val="none"/>
              </w:rPr>
              <w:t>投标截止日期前</w:t>
            </w:r>
            <w:r>
              <w:rPr>
                <w:rFonts w:hint="eastAsia" w:cs="宋体"/>
                <w:b/>
                <w:bCs/>
                <w:color w:val="auto"/>
                <w:szCs w:val="21"/>
                <w:highlight w:val="none"/>
              </w:rPr>
              <w:t>任意1个月</w:t>
            </w:r>
            <w:r>
              <w:rPr>
                <w:rFonts w:hint="eastAsia" w:cs="宋体"/>
                <w:color w:val="auto"/>
                <w:szCs w:val="21"/>
                <w:highlight w:val="none"/>
              </w:rPr>
              <w:t>的税务局税收通用缴款书复印件/扫描件或银行电子缴税（费）凭证复印件/扫描件或税务局出具纳税情况的相关证明复印件/扫描件。</w:t>
            </w:r>
            <w:r>
              <w:rPr>
                <w:rFonts w:hint="eastAsia"/>
                <w:b/>
                <w:bCs/>
                <w:color w:val="auto"/>
                <w:kern w:val="0"/>
                <w:szCs w:val="21"/>
                <w:highlight w:val="none"/>
              </w:rPr>
              <w:t>（</w:t>
            </w:r>
            <w:r>
              <w:rPr>
                <w:rFonts w:hint="eastAsia" w:cs="宋体"/>
                <w:b/>
                <w:color w:val="auto"/>
                <w:szCs w:val="21"/>
                <w:highlight w:val="none"/>
              </w:rPr>
              <w:t>新成立的</w:t>
            </w:r>
            <w:r>
              <w:rPr>
                <w:rFonts w:hint="eastAsia"/>
                <w:b/>
                <w:color w:val="auto"/>
                <w:szCs w:val="21"/>
                <w:highlight w:val="none"/>
              </w:rPr>
              <w:t>投标人</w:t>
            </w:r>
            <w:r>
              <w:rPr>
                <w:rFonts w:hint="eastAsia" w:cs="宋体"/>
                <w:b/>
                <w:color w:val="auto"/>
                <w:szCs w:val="21"/>
                <w:highlight w:val="none"/>
              </w:rPr>
              <w:t>根据实际情况提供</w:t>
            </w:r>
            <w:r>
              <w:rPr>
                <w:rFonts w:hint="eastAsia"/>
                <w:b/>
                <w:bCs/>
                <w:color w:val="auto"/>
                <w:kern w:val="0"/>
                <w:szCs w:val="21"/>
                <w:highlight w:val="none"/>
              </w:rPr>
              <w:t>；依法免税的投标人，应提供相应文件证明其依法免税）。</w:t>
            </w:r>
          </w:p>
        </w:tc>
      </w:tr>
      <w:tr w14:paraId="38570D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E778B8A">
            <w:pPr>
              <w:pStyle w:val="23"/>
              <w:jc w:val="center"/>
              <w:rPr>
                <w:rFonts w:hint="eastAsia"/>
                <w:color w:val="auto"/>
                <w:szCs w:val="21"/>
                <w:highlight w:val="none"/>
              </w:rPr>
            </w:pPr>
          </w:p>
        </w:tc>
        <w:tc>
          <w:tcPr>
            <w:tcW w:w="853" w:type="dxa"/>
            <w:noWrap/>
            <w:vAlign w:val="center"/>
          </w:tcPr>
          <w:p w14:paraId="5D59A19E">
            <w:pPr>
              <w:pStyle w:val="23"/>
              <w:jc w:val="center"/>
              <w:rPr>
                <w:rFonts w:hint="eastAsia"/>
                <w:b/>
                <w:bCs/>
                <w:color w:val="auto"/>
                <w:szCs w:val="21"/>
                <w:highlight w:val="none"/>
              </w:rPr>
            </w:pPr>
            <w:r>
              <w:rPr>
                <w:rFonts w:hint="eastAsia" w:cs="宋体"/>
                <w:b/>
                <w:bCs/>
                <w:color w:val="auto"/>
                <w:szCs w:val="21"/>
                <w:highlight w:val="none"/>
              </w:rPr>
              <w:t>4.1.4</w:t>
            </w:r>
          </w:p>
        </w:tc>
        <w:tc>
          <w:tcPr>
            <w:tcW w:w="2170" w:type="dxa"/>
            <w:noWrap/>
            <w:vAlign w:val="center"/>
          </w:tcPr>
          <w:p w14:paraId="6634B7C5">
            <w:pPr>
              <w:pStyle w:val="23"/>
              <w:rPr>
                <w:rFonts w:hint="eastAsia"/>
                <w:b/>
                <w:bCs/>
                <w:color w:val="auto"/>
                <w:szCs w:val="21"/>
                <w:highlight w:val="none"/>
              </w:rPr>
            </w:pPr>
            <w:r>
              <w:rPr>
                <w:rFonts w:hint="eastAsia" w:cs="宋体"/>
                <w:b/>
                <w:bCs/>
                <w:color w:val="auto"/>
                <w:szCs w:val="21"/>
                <w:highlight w:val="none"/>
              </w:rPr>
              <w:t>缴纳社会保险证明材料的时间范围</w:t>
            </w:r>
          </w:p>
        </w:tc>
        <w:tc>
          <w:tcPr>
            <w:tcW w:w="6335" w:type="dxa"/>
            <w:noWrap/>
            <w:vAlign w:val="center"/>
          </w:tcPr>
          <w:p w14:paraId="6A93A95D">
            <w:pPr>
              <w:autoSpaceDE w:val="0"/>
              <w:autoSpaceDN w:val="0"/>
              <w:snapToGrid w:val="0"/>
              <w:textAlignment w:val="bottom"/>
              <w:rPr>
                <w:rFonts w:hint="eastAsia"/>
                <w:color w:val="auto"/>
                <w:szCs w:val="21"/>
                <w:highlight w:val="none"/>
              </w:rPr>
            </w:pPr>
            <w:r>
              <w:rPr>
                <w:rFonts w:hint="eastAsia" w:cs="宋体"/>
                <w:color w:val="auto"/>
                <w:szCs w:val="21"/>
                <w:highlight w:val="none"/>
              </w:rPr>
              <w:t>缴费所属时间在</w:t>
            </w:r>
            <w:r>
              <w:rPr>
                <w:rFonts w:hint="eastAsia" w:cs="宋体"/>
                <w:b/>
                <w:bCs/>
                <w:color w:val="auto"/>
                <w:szCs w:val="21"/>
                <w:highlight w:val="none"/>
              </w:rPr>
              <w:t>202</w:t>
            </w:r>
            <w:r>
              <w:rPr>
                <w:rFonts w:hint="eastAsia" w:cs="宋体"/>
                <w:b/>
                <w:bCs/>
                <w:color w:val="auto"/>
                <w:szCs w:val="21"/>
                <w:highlight w:val="none"/>
                <w:lang w:val="en-US" w:eastAsia="zh-CN"/>
              </w:rPr>
              <w:t>4</w:t>
            </w:r>
            <w:r>
              <w:rPr>
                <w:rFonts w:hint="eastAsia" w:cs="宋体"/>
                <w:b/>
                <w:bCs/>
                <w:color w:val="auto"/>
                <w:szCs w:val="21"/>
                <w:highlight w:val="none"/>
              </w:rPr>
              <w:t>年01月至</w:t>
            </w:r>
            <w:r>
              <w:rPr>
                <w:rFonts w:hint="eastAsia" w:cs="宋体"/>
                <w:color w:val="auto"/>
                <w:szCs w:val="21"/>
                <w:highlight w:val="none"/>
              </w:rPr>
              <w:t>投标截止日期前</w:t>
            </w:r>
            <w:r>
              <w:rPr>
                <w:rFonts w:hint="eastAsia" w:cs="宋体"/>
                <w:b/>
                <w:bCs/>
                <w:color w:val="auto"/>
                <w:szCs w:val="21"/>
                <w:highlight w:val="none"/>
              </w:rPr>
              <w:t>任意1个月</w:t>
            </w:r>
            <w:r>
              <w:rPr>
                <w:rFonts w:hint="eastAsia" w:cs="宋体"/>
                <w:color w:val="auto"/>
                <w:szCs w:val="21"/>
                <w:highlight w:val="none"/>
              </w:rPr>
              <w:t>的社会保险费缴款书复印件/扫描件或银行电子缴税（费）凭证复印件/扫描件或社保管理部门出具的有效的缴款证明复印件/扫描件。</w:t>
            </w:r>
            <w:r>
              <w:rPr>
                <w:rFonts w:hint="eastAsia"/>
                <w:b/>
                <w:bCs/>
                <w:color w:val="auto"/>
                <w:szCs w:val="21"/>
                <w:highlight w:val="none"/>
              </w:rPr>
              <w:t>（</w:t>
            </w:r>
            <w:r>
              <w:rPr>
                <w:rFonts w:hint="eastAsia" w:cs="宋体"/>
                <w:b/>
                <w:color w:val="auto"/>
                <w:szCs w:val="21"/>
                <w:highlight w:val="none"/>
              </w:rPr>
              <w:t>新成立的</w:t>
            </w:r>
            <w:r>
              <w:rPr>
                <w:rFonts w:hint="eastAsia"/>
                <w:b/>
                <w:color w:val="auto"/>
                <w:szCs w:val="21"/>
                <w:highlight w:val="none"/>
              </w:rPr>
              <w:t>投标人</w:t>
            </w:r>
            <w:r>
              <w:rPr>
                <w:rFonts w:hint="eastAsia" w:cs="宋体"/>
                <w:b/>
                <w:color w:val="auto"/>
                <w:szCs w:val="21"/>
                <w:highlight w:val="none"/>
              </w:rPr>
              <w:t>根据实际情况提供；</w:t>
            </w:r>
            <w:r>
              <w:rPr>
                <w:rFonts w:hint="eastAsia"/>
                <w:b/>
                <w:bCs/>
                <w:color w:val="auto"/>
                <w:kern w:val="0"/>
                <w:szCs w:val="21"/>
                <w:highlight w:val="none"/>
              </w:rPr>
              <w:t>依法不需要缴纳社会保障资金的投标人，应提供相应文件证明其不需要缴纳社会保障资金。</w:t>
            </w:r>
            <w:r>
              <w:rPr>
                <w:rFonts w:hint="eastAsia"/>
                <w:b/>
                <w:bCs/>
                <w:color w:val="auto"/>
                <w:szCs w:val="21"/>
                <w:highlight w:val="none"/>
              </w:rPr>
              <w:t>）</w:t>
            </w:r>
          </w:p>
        </w:tc>
      </w:tr>
      <w:tr w14:paraId="442D4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291F9166">
            <w:pPr>
              <w:pStyle w:val="23"/>
              <w:jc w:val="center"/>
              <w:rPr>
                <w:rFonts w:hint="eastAsia"/>
                <w:color w:val="auto"/>
                <w:szCs w:val="21"/>
                <w:highlight w:val="none"/>
              </w:rPr>
            </w:pPr>
          </w:p>
        </w:tc>
        <w:tc>
          <w:tcPr>
            <w:tcW w:w="853" w:type="dxa"/>
            <w:noWrap/>
            <w:vAlign w:val="center"/>
          </w:tcPr>
          <w:p w14:paraId="16EE2648">
            <w:pPr>
              <w:pStyle w:val="23"/>
              <w:jc w:val="center"/>
              <w:rPr>
                <w:rFonts w:hint="eastAsia"/>
                <w:b/>
                <w:bCs/>
                <w:color w:val="auto"/>
                <w:szCs w:val="21"/>
                <w:highlight w:val="none"/>
              </w:rPr>
            </w:pPr>
            <w:r>
              <w:rPr>
                <w:rFonts w:hint="eastAsia" w:cs="宋体"/>
                <w:b/>
                <w:bCs/>
                <w:color w:val="auto"/>
                <w:szCs w:val="21"/>
                <w:highlight w:val="none"/>
              </w:rPr>
              <w:t>4.1.5</w:t>
            </w:r>
          </w:p>
        </w:tc>
        <w:tc>
          <w:tcPr>
            <w:tcW w:w="2170" w:type="dxa"/>
            <w:noWrap/>
            <w:vAlign w:val="center"/>
          </w:tcPr>
          <w:p w14:paraId="3BFBDC48">
            <w:pPr>
              <w:pStyle w:val="23"/>
              <w:rPr>
                <w:rFonts w:hint="eastAsia"/>
                <w:b/>
                <w:bCs/>
                <w:color w:val="auto"/>
                <w:szCs w:val="21"/>
                <w:highlight w:val="none"/>
              </w:rPr>
            </w:pPr>
            <w:r>
              <w:rPr>
                <w:rFonts w:hint="eastAsia" w:cs="宋体"/>
                <w:b/>
                <w:bCs/>
                <w:color w:val="auto"/>
                <w:szCs w:val="21"/>
                <w:highlight w:val="none"/>
              </w:rPr>
              <w:t>履行合同所必需的设备和专业技术能力</w:t>
            </w:r>
          </w:p>
        </w:tc>
        <w:tc>
          <w:tcPr>
            <w:tcW w:w="6335" w:type="dxa"/>
            <w:noWrap/>
            <w:vAlign w:val="center"/>
          </w:tcPr>
          <w:p w14:paraId="1EEF3159">
            <w:pPr>
              <w:autoSpaceDE w:val="0"/>
              <w:autoSpaceDN w:val="0"/>
              <w:snapToGrid w:val="0"/>
              <w:textAlignment w:val="bottom"/>
              <w:rPr>
                <w:rFonts w:hint="eastAsia"/>
                <w:color w:val="auto"/>
                <w:szCs w:val="21"/>
                <w:highlight w:val="none"/>
              </w:rPr>
            </w:pPr>
            <w:r>
              <w:rPr>
                <w:rFonts w:hint="eastAsia" w:cs="宋体"/>
                <w:color w:val="auto"/>
                <w:szCs w:val="21"/>
                <w:highlight w:val="none"/>
              </w:rPr>
              <w:t>投标人须提供具备履行合同所必需的设备和专业技术能力的证明材料。（提供承诺书）</w:t>
            </w:r>
          </w:p>
        </w:tc>
      </w:tr>
      <w:tr w14:paraId="765D2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35E05C6B">
            <w:pPr>
              <w:pStyle w:val="23"/>
              <w:jc w:val="center"/>
              <w:rPr>
                <w:rFonts w:hint="eastAsia"/>
                <w:color w:val="auto"/>
                <w:szCs w:val="21"/>
                <w:highlight w:val="none"/>
              </w:rPr>
            </w:pPr>
          </w:p>
        </w:tc>
        <w:tc>
          <w:tcPr>
            <w:tcW w:w="853" w:type="dxa"/>
            <w:noWrap/>
            <w:vAlign w:val="center"/>
          </w:tcPr>
          <w:p w14:paraId="773E92B3">
            <w:pPr>
              <w:pStyle w:val="23"/>
              <w:jc w:val="center"/>
              <w:rPr>
                <w:rFonts w:hint="eastAsia"/>
                <w:b/>
                <w:bCs/>
                <w:color w:val="auto"/>
                <w:szCs w:val="21"/>
                <w:highlight w:val="none"/>
              </w:rPr>
            </w:pPr>
            <w:r>
              <w:rPr>
                <w:rFonts w:hint="eastAsia" w:cs="宋体"/>
                <w:b/>
                <w:bCs/>
                <w:color w:val="auto"/>
                <w:szCs w:val="21"/>
                <w:highlight w:val="none"/>
              </w:rPr>
              <w:t>4.1.6</w:t>
            </w:r>
          </w:p>
        </w:tc>
        <w:tc>
          <w:tcPr>
            <w:tcW w:w="2170" w:type="dxa"/>
            <w:noWrap/>
          </w:tcPr>
          <w:p w14:paraId="109DE4E0">
            <w:pPr>
              <w:pStyle w:val="23"/>
              <w:rPr>
                <w:rFonts w:hint="eastAsia"/>
                <w:b/>
                <w:bCs/>
                <w:color w:val="auto"/>
                <w:szCs w:val="21"/>
                <w:highlight w:val="none"/>
              </w:rPr>
            </w:pPr>
            <w:r>
              <w:rPr>
                <w:rFonts w:hint="eastAsia" w:cs="宋体"/>
                <w:b/>
                <w:bCs/>
                <w:color w:val="auto"/>
                <w:highlight w:val="none"/>
              </w:rPr>
              <w:t>参加本项目政府采购活动前3年内在经营活动中没有重大违法记录的书面声明</w:t>
            </w:r>
          </w:p>
        </w:tc>
        <w:tc>
          <w:tcPr>
            <w:tcW w:w="6335" w:type="dxa"/>
            <w:noWrap/>
            <w:vAlign w:val="center"/>
          </w:tcPr>
          <w:p w14:paraId="0B3421C7">
            <w:pPr>
              <w:autoSpaceDE w:val="0"/>
              <w:autoSpaceDN w:val="0"/>
              <w:snapToGrid w:val="0"/>
              <w:textAlignment w:val="bottom"/>
              <w:rPr>
                <w:rFonts w:hint="eastAsia"/>
                <w:color w:val="auto"/>
                <w:szCs w:val="21"/>
                <w:highlight w:val="none"/>
              </w:rPr>
            </w:pPr>
            <w:r>
              <w:rPr>
                <w:rFonts w:hint="eastAsia" w:cs="宋体"/>
                <w:color w:val="auto"/>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2F397A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6F533665">
            <w:pPr>
              <w:pStyle w:val="23"/>
              <w:jc w:val="center"/>
              <w:rPr>
                <w:rFonts w:hint="eastAsia" w:cs="宋体"/>
                <w:b/>
                <w:bCs/>
                <w:color w:val="auto"/>
                <w:szCs w:val="21"/>
                <w:highlight w:val="none"/>
              </w:rPr>
            </w:pPr>
            <w:r>
              <w:rPr>
                <w:rFonts w:hint="eastAsia" w:cs="宋体"/>
                <w:b/>
                <w:bCs/>
                <w:color w:val="auto"/>
                <w:szCs w:val="21"/>
                <w:highlight w:val="none"/>
              </w:rPr>
              <w:t>★4.2</w:t>
            </w:r>
          </w:p>
        </w:tc>
        <w:tc>
          <w:tcPr>
            <w:tcW w:w="2170" w:type="dxa"/>
            <w:noWrap/>
            <w:vAlign w:val="center"/>
          </w:tcPr>
          <w:p w14:paraId="7317F56F">
            <w:pPr>
              <w:pStyle w:val="23"/>
              <w:rPr>
                <w:rFonts w:hint="eastAsia" w:cs="宋体"/>
                <w:b/>
                <w:bCs/>
                <w:color w:val="auto"/>
                <w:szCs w:val="21"/>
                <w:highlight w:val="none"/>
              </w:rPr>
            </w:pPr>
            <w:r>
              <w:rPr>
                <w:rFonts w:hint="eastAsia" w:cs="宋体"/>
                <w:b/>
                <w:bCs/>
                <w:color w:val="auto"/>
                <w:szCs w:val="21"/>
                <w:highlight w:val="none"/>
              </w:rPr>
              <w:t>落实政府采购政策需满足的资格要求</w:t>
            </w:r>
          </w:p>
        </w:tc>
        <w:tc>
          <w:tcPr>
            <w:tcW w:w="6335" w:type="dxa"/>
            <w:noWrap/>
            <w:vAlign w:val="center"/>
          </w:tcPr>
          <w:p w14:paraId="73AD2AEE">
            <w:pPr>
              <w:autoSpaceDE w:val="0"/>
              <w:autoSpaceDN w:val="0"/>
              <w:snapToGrid w:val="0"/>
              <w:textAlignment w:val="bottom"/>
              <w:rPr>
                <w:rFonts w:hint="eastAsia" w:cs="宋体"/>
                <w:color w:val="auto"/>
                <w:szCs w:val="21"/>
                <w:highlight w:val="none"/>
              </w:rPr>
            </w:pPr>
            <w:r>
              <w:rPr>
                <w:rFonts w:hint="eastAsia" w:cs="宋体"/>
                <w:color w:val="auto"/>
                <w:szCs w:val="21"/>
                <w:highlight w:val="none"/>
              </w:rPr>
              <w:t>见第一章“招标公告”二、投标人的资格要求。</w:t>
            </w:r>
          </w:p>
        </w:tc>
      </w:tr>
      <w:tr w14:paraId="0FB5C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6374CBDF">
            <w:pPr>
              <w:pStyle w:val="23"/>
              <w:jc w:val="center"/>
              <w:rPr>
                <w:rFonts w:hint="eastAsia" w:cs="宋体"/>
                <w:b/>
                <w:bCs/>
                <w:color w:val="auto"/>
                <w:szCs w:val="21"/>
                <w:highlight w:val="none"/>
              </w:rPr>
            </w:pPr>
            <w:r>
              <w:rPr>
                <w:rFonts w:hint="eastAsia" w:cs="宋体"/>
                <w:b/>
                <w:bCs/>
                <w:color w:val="auto"/>
                <w:szCs w:val="21"/>
                <w:highlight w:val="none"/>
              </w:rPr>
              <w:t>★4.</w:t>
            </w:r>
            <w:r>
              <w:rPr>
                <w:rFonts w:cs="宋体"/>
                <w:b/>
                <w:bCs/>
                <w:color w:val="auto"/>
                <w:szCs w:val="21"/>
                <w:highlight w:val="none"/>
              </w:rPr>
              <w:t>3</w:t>
            </w:r>
          </w:p>
        </w:tc>
        <w:tc>
          <w:tcPr>
            <w:tcW w:w="2170" w:type="dxa"/>
            <w:noWrap/>
            <w:vAlign w:val="center"/>
          </w:tcPr>
          <w:p w14:paraId="2C40E4C2">
            <w:pPr>
              <w:pStyle w:val="23"/>
              <w:rPr>
                <w:rFonts w:hint="eastAsia" w:cs="宋体"/>
                <w:b/>
                <w:bCs/>
                <w:color w:val="auto"/>
                <w:szCs w:val="21"/>
                <w:highlight w:val="none"/>
              </w:rPr>
            </w:pPr>
            <w:r>
              <w:rPr>
                <w:rFonts w:hint="eastAsia" w:cs="宋体"/>
                <w:b/>
                <w:bCs/>
                <w:color w:val="auto"/>
                <w:szCs w:val="21"/>
                <w:highlight w:val="none"/>
              </w:rPr>
              <w:t>本项目的特定资格要求</w:t>
            </w:r>
          </w:p>
        </w:tc>
        <w:tc>
          <w:tcPr>
            <w:tcW w:w="6335" w:type="dxa"/>
            <w:noWrap/>
            <w:vAlign w:val="center"/>
          </w:tcPr>
          <w:p w14:paraId="47DAE3BD">
            <w:pPr>
              <w:autoSpaceDE w:val="0"/>
              <w:autoSpaceDN w:val="0"/>
              <w:snapToGrid w:val="0"/>
              <w:textAlignment w:val="bottom"/>
              <w:rPr>
                <w:rFonts w:hint="eastAsia" w:cs="宋体"/>
                <w:color w:val="auto"/>
                <w:szCs w:val="21"/>
                <w:highlight w:val="none"/>
              </w:rPr>
            </w:pPr>
            <w:r>
              <w:rPr>
                <w:rFonts w:hint="eastAsia" w:cs="宋体"/>
                <w:color w:val="auto"/>
                <w:szCs w:val="21"/>
                <w:highlight w:val="none"/>
              </w:rPr>
              <w:t>见第一章“招标公告”二、投标人的资格要求。</w:t>
            </w:r>
          </w:p>
        </w:tc>
      </w:tr>
      <w:tr w14:paraId="031FC1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1455" w:type="dxa"/>
            <w:gridSpan w:val="2"/>
            <w:noWrap/>
            <w:vAlign w:val="center"/>
          </w:tcPr>
          <w:p w14:paraId="377F78B0">
            <w:pPr>
              <w:pStyle w:val="23"/>
              <w:jc w:val="center"/>
              <w:rPr>
                <w:rFonts w:hint="eastAsia" w:cs="宋体"/>
                <w:b/>
                <w:bCs/>
                <w:color w:val="auto"/>
                <w:szCs w:val="21"/>
                <w:highlight w:val="none"/>
              </w:rPr>
            </w:pPr>
            <w:r>
              <w:rPr>
                <w:rFonts w:hint="eastAsia" w:cs="宋体"/>
                <w:b/>
                <w:bCs/>
                <w:color w:val="auto"/>
                <w:szCs w:val="21"/>
                <w:highlight w:val="none"/>
              </w:rPr>
              <w:t>★4.</w:t>
            </w:r>
            <w:r>
              <w:rPr>
                <w:rFonts w:cs="宋体"/>
                <w:b/>
                <w:bCs/>
                <w:color w:val="auto"/>
                <w:szCs w:val="21"/>
                <w:highlight w:val="none"/>
              </w:rPr>
              <w:t>6</w:t>
            </w:r>
          </w:p>
        </w:tc>
        <w:tc>
          <w:tcPr>
            <w:tcW w:w="2170" w:type="dxa"/>
            <w:noWrap/>
            <w:vAlign w:val="center"/>
          </w:tcPr>
          <w:p w14:paraId="0F092DE3">
            <w:pPr>
              <w:pStyle w:val="23"/>
              <w:rPr>
                <w:rFonts w:hint="eastAsia" w:cs="宋体"/>
                <w:b/>
                <w:bCs/>
                <w:color w:val="auto"/>
                <w:szCs w:val="21"/>
                <w:highlight w:val="none"/>
              </w:rPr>
            </w:pPr>
            <w:r>
              <w:rPr>
                <w:rFonts w:hint="eastAsia" w:cs="宋体"/>
                <w:b/>
                <w:bCs/>
                <w:color w:val="auto"/>
                <w:szCs w:val="21"/>
                <w:highlight w:val="none"/>
              </w:rPr>
              <w:t>是否接受联合体投标</w:t>
            </w:r>
          </w:p>
        </w:tc>
        <w:tc>
          <w:tcPr>
            <w:tcW w:w="6335" w:type="dxa"/>
            <w:noWrap/>
            <w:vAlign w:val="center"/>
          </w:tcPr>
          <w:p w14:paraId="3BCEF783">
            <w:pPr>
              <w:pStyle w:val="23"/>
              <w:jc w:val="left"/>
              <w:rPr>
                <w:rFonts w:hint="eastAsia" w:cs="宋体"/>
                <w:color w:val="auto"/>
                <w:szCs w:val="21"/>
                <w:highlight w:val="none"/>
              </w:rPr>
            </w:pPr>
            <w:r>
              <w:rPr>
                <w:rFonts w:hint="eastAsia" w:cs="宋体"/>
                <w:color w:val="auto"/>
                <w:szCs w:val="21"/>
                <w:highlight w:val="none"/>
              </w:rPr>
              <w:t>不接受。</w:t>
            </w:r>
          </w:p>
        </w:tc>
      </w:tr>
      <w:tr w14:paraId="7E955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1455" w:type="dxa"/>
            <w:gridSpan w:val="2"/>
            <w:noWrap/>
            <w:vAlign w:val="center"/>
          </w:tcPr>
          <w:p w14:paraId="0492D4F0">
            <w:pPr>
              <w:pStyle w:val="23"/>
              <w:jc w:val="center"/>
              <w:rPr>
                <w:rFonts w:hint="eastAsia" w:eastAsia="宋体" w:cs="宋体"/>
                <w:b w:val="0"/>
                <w:bCs w:val="0"/>
                <w:color w:val="auto"/>
                <w:szCs w:val="21"/>
                <w:highlight w:val="none"/>
                <w:lang w:val="en-US" w:eastAsia="zh-CN"/>
              </w:rPr>
            </w:pPr>
            <w:r>
              <w:rPr>
                <w:rFonts w:hint="eastAsia" w:cs="宋体"/>
                <w:b w:val="0"/>
                <w:bCs w:val="0"/>
                <w:color w:val="auto"/>
                <w:szCs w:val="21"/>
                <w:highlight w:val="none"/>
                <w:lang w:val="en-US" w:eastAsia="zh-CN"/>
              </w:rPr>
              <w:t>6</w:t>
            </w:r>
          </w:p>
        </w:tc>
        <w:tc>
          <w:tcPr>
            <w:tcW w:w="2170" w:type="dxa"/>
            <w:noWrap/>
            <w:vAlign w:val="center"/>
          </w:tcPr>
          <w:p w14:paraId="11A58473">
            <w:pPr>
              <w:pStyle w:val="23"/>
              <w:rPr>
                <w:rFonts w:hint="eastAsia" w:cs="宋体"/>
                <w:b w:val="0"/>
                <w:bCs w:val="0"/>
                <w:color w:val="auto"/>
                <w:szCs w:val="21"/>
                <w:highlight w:val="none"/>
              </w:rPr>
            </w:pPr>
            <w:r>
              <w:rPr>
                <w:rFonts w:hint="eastAsia" w:ascii="宋体" w:hAnsi="宋体" w:eastAsia="宋体" w:cs="宋体"/>
                <w:b w:val="0"/>
                <w:bCs w:val="0"/>
                <w:color w:val="auto"/>
                <w:highlight w:val="none"/>
              </w:rPr>
              <w:t>踏勘</w:t>
            </w:r>
          </w:p>
        </w:tc>
        <w:tc>
          <w:tcPr>
            <w:tcW w:w="6335" w:type="dxa"/>
            <w:noWrap/>
            <w:vAlign w:val="center"/>
          </w:tcPr>
          <w:p w14:paraId="320E3B53">
            <w:pPr>
              <w:pStyle w:val="23"/>
              <w:jc w:val="left"/>
              <w:rPr>
                <w:rFonts w:hint="eastAsia" w:cs="宋体"/>
                <w:b w:val="0"/>
                <w:bCs w:val="0"/>
                <w:color w:val="auto"/>
                <w:szCs w:val="21"/>
                <w:highlight w:val="none"/>
              </w:rPr>
            </w:pPr>
            <w:r>
              <w:rPr>
                <w:rFonts w:hint="eastAsia" w:cs="宋体"/>
                <w:b w:val="0"/>
                <w:bCs w:val="0"/>
                <w:color w:val="auto"/>
                <w:szCs w:val="21"/>
                <w:highlight w:val="none"/>
              </w:rPr>
              <w:t>不组织统一的现场踏勘。投标人可自行进行现场踏勘，现场踏勘的费用由投标人自己承担。</w:t>
            </w:r>
          </w:p>
        </w:tc>
      </w:tr>
      <w:tr w14:paraId="5BDFC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35C1F3F5">
            <w:pPr>
              <w:pStyle w:val="23"/>
              <w:jc w:val="center"/>
              <w:rPr>
                <w:rFonts w:hint="default" w:eastAsia="宋体" w:cs="宋体"/>
                <w:color w:val="auto"/>
                <w:szCs w:val="21"/>
                <w:highlight w:val="none"/>
                <w:lang w:val="en-US" w:eastAsia="zh-CN"/>
              </w:rPr>
            </w:pPr>
            <w:r>
              <w:rPr>
                <w:rFonts w:hint="eastAsia" w:cs="宋体"/>
                <w:color w:val="auto"/>
                <w:szCs w:val="21"/>
                <w:highlight w:val="none"/>
                <w:lang w:val="en-US" w:eastAsia="zh-CN"/>
              </w:rPr>
              <w:t>10.2</w:t>
            </w:r>
          </w:p>
        </w:tc>
        <w:tc>
          <w:tcPr>
            <w:tcW w:w="2170" w:type="dxa"/>
            <w:noWrap/>
            <w:vAlign w:val="center"/>
          </w:tcPr>
          <w:p w14:paraId="682F3CFE">
            <w:pPr>
              <w:autoSpaceDE w:val="0"/>
              <w:autoSpaceDN w:val="0"/>
              <w:snapToGrid w:val="0"/>
              <w:spacing w:line="276" w:lineRule="auto"/>
              <w:textAlignment w:val="bottom"/>
              <w:rPr>
                <w:rFonts w:hint="eastAsia" w:cs="宋体"/>
                <w:color w:val="auto"/>
                <w:szCs w:val="21"/>
                <w:highlight w:val="none"/>
              </w:rPr>
            </w:pPr>
            <w:r>
              <w:rPr>
                <w:rFonts w:hint="eastAsia" w:cs="宋体"/>
                <w:color w:val="auto"/>
                <w:szCs w:val="21"/>
                <w:highlight w:val="none"/>
              </w:rPr>
              <w:t>招标文件澄清截止时间</w:t>
            </w:r>
          </w:p>
        </w:tc>
        <w:tc>
          <w:tcPr>
            <w:tcW w:w="6335" w:type="dxa"/>
            <w:noWrap/>
            <w:vAlign w:val="center"/>
          </w:tcPr>
          <w:p w14:paraId="25C4CC2E">
            <w:pPr>
              <w:pStyle w:val="23"/>
              <w:rPr>
                <w:rFonts w:hint="eastAsia" w:cs="宋体"/>
                <w:bCs/>
                <w:color w:val="auto"/>
                <w:szCs w:val="21"/>
                <w:highlight w:val="none"/>
              </w:rPr>
            </w:pPr>
            <w:r>
              <w:rPr>
                <w:rFonts w:hint="eastAsia" w:cs="宋体"/>
                <w:color w:val="auto"/>
                <w:szCs w:val="21"/>
                <w:highlight w:val="none"/>
              </w:rPr>
              <w:t>提交投标文件截止时间十五日前。</w:t>
            </w:r>
          </w:p>
        </w:tc>
      </w:tr>
      <w:tr w14:paraId="302D3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58165817">
            <w:pPr>
              <w:pStyle w:val="23"/>
              <w:jc w:val="center"/>
              <w:rPr>
                <w:rFonts w:hint="eastAsia" w:cs="宋体"/>
                <w:color w:val="auto"/>
                <w:szCs w:val="21"/>
                <w:highlight w:val="none"/>
              </w:rPr>
            </w:pPr>
            <w:r>
              <w:rPr>
                <w:rFonts w:hint="eastAsia" w:cs="宋体"/>
                <w:color w:val="auto"/>
                <w:szCs w:val="21"/>
                <w:highlight w:val="none"/>
              </w:rPr>
              <w:t>13.1.1</w:t>
            </w:r>
          </w:p>
        </w:tc>
        <w:tc>
          <w:tcPr>
            <w:tcW w:w="2170" w:type="dxa"/>
            <w:noWrap/>
            <w:vAlign w:val="center"/>
          </w:tcPr>
          <w:p w14:paraId="01955F9B">
            <w:pPr>
              <w:autoSpaceDE w:val="0"/>
              <w:autoSpaceDN w:val="0"/>
              <w:snapToGrid w:val="0"/>
              <w:textAlignment w:val="bottom"/>
              <w:rPr>
                <w:rFonts w:hint="eastAsia" w:cs="宋体"/>
                <w:color w:val="auto"/>
                <w:szCs w:val="21"/>
                <w:highlight w:val="none"/>
              </w:rPr>
            </w:pPr>
            <w:r>
              <w:rPr>
                <w:rFonts w:hint="eastAsia" w:cs="宋体"/>
                <w:color w:val="auto"/>
                <w:szCs w:val="21"/>
                <w:highlight w:val="none"/>
              </w:rPr>
              <w:t>构成投标文件技术部分的其他资料</w:t>
            </w:r>
          </w:p>
        </w:tc>
        <w:tc>
          <w:tcPr>
            <w:tcW w:w="6335" w:type="dxa"/>
            <w:noWrap/>
            <w:vAlign w:val="center"/>
          </w:tcPr>
          <w:p w14:paraId="51D8D7B1">
            <w:pPr>
              <w:autoSpaceDE w:val="0"/>
              <w:autoSpaceDN w:val="0"/>
              <w:snapToGrid w:val="0"/>
              <w:textAlignment w:val="bottom"/>
              <w:rPr>
                <w:rFonts w:hint="eastAsia" w:cs="宋体"/>
                <w:bCs/>
                <w:color w:val="auto"/>
                <w:szCs w:val="21"/>
                <w:highlight w:val="none"/>
              </w:rPr>
            </w:pPr>
            <w:r>
              <w:rPr>
                <w:rFonts w:hint="eastAsia" w:cs="宋体"/>
                <w:bCs/>
                <w:color w:val="auto"/>
                <w:szCs w:val="21"/>
                <w:highlight w:val="none"/>
              </w:rPr>
              <w:t>1、第五章《</w:t>
            </w:r>
            <w:r>
              <w:rPr>
                <w:rFonts w:hint="eastAsia" w:cs="宋体"/>
                <w:bCs/>
                <w:color w:val="auto"/>
                <w:szCs w:val="21"/>
                <w:highlight w:val="none"/>
                <w:lang w:eastAsia="zh-CN"/>
              </w:rPr>
              <w:t>采购需求</w:t>
            </w:r>
            <w:r>
              <w:rPr>
                <w:rFonts w:hint="eastAsia" w:cs="宋体"/>
                <w:bCs/>
                <w:color w:val="auto"/>
                <w:szCs w:val="21"/>
                <w:highlight w:val="none"/>
              </w:rPr>
              <w:t>》中要求提供的其他资料；</w:t>
            </w:r>
          </w:p>
          <w:p w14:paraId="25545C93">
            <w:pPr>
              <w:autoSpaceDE w:val="0"/>
              <w:autoSpaceDN w:val="0"/>
              <w:snapToGrid w:val="0"/>
              <w:textAlignment w:val="bottom"/>
              <w:rPr>
                <w:rFonts w:hint="eastAsia" w:cs="宋体"/>
                <w:color w:val="auto"/>
                <w:szCs w:val="21"/>
                <w:highlight w:val="none"/>
              </w:rPr>
            </w:pPr>
            <w:r>
              <w:rPr>
                <w:rFonts w:hint="eastAsia" w:cs="宋体"/>
                <w:bCs/>
                <w:color w:val="auto"/>
                <w:szCs w:val="21"/>
                <w:highlight w:val="none"/>
              </w:rPr>
              <w:t>2、招标文件中所涉及到的相关资料及证明文件或投标人认为必须提供的其他相关资料。</w:t>
            </w:r>
          </w:p>
        </w:tc>
      </w:tr>
      <w:tr w14:paraId="350A2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22428E35">
            <w:pPr>
              <w:pStyle w:val="23"/>
              <w:jc w:val="center"/>
              <w:rPr>
                <w:rFonts w:hint="eastAsia" w:cs="宋体"/>
                <w:color w:val="auto"/>
                <w:szCs w:val="21"/>
                <w:highlight w:val="none"/>
              </w:rPr>
            </w:pPr>
            <w:r>
              <w:rPr>
                <w:rFonts w:hint="eastAsia" w:cs="宋体"/>
                <w:color w:val="auto"/>
                <w:szCs w:val="21"/>
                <w:highlight w:val="none"/>
              </w:rPr>
              <w:t>13.1.2</w:t>
            </w:r>
          </w:p>
        </w:tc>
        <w:tc>
          <w:tcPr>
            <w:tcW w:w="2170" w:type="dxa"/>
            <w:noWrap/>
            <w:vAlign w:val="center"/>
          </w:tcPr>
          <w:p w14:paraId="75782087">
            <w:pPr>
              <w:autoSpaceDE w:val="0"/>
              <w:autoSpaceDN w:val="0"/>
              <w:snapToGrid w:val="0"/>
              <w:textAlignment w:val="bottom"/>
              <w:rPr>
                <w:rFonts w:hint="eastAsia" w:cs="宋体"/>
                <w:color w:val="auto"/>
                <w:szCs w:val="21"/>
                <w:highlight w:val="none"/>
              </w:rPr>
            </w:pPr>
            <w:r>
              <w:rPr>
                <w:rFonts w:hint="eastAsia" w:cs="宋体"/>
                <w:color w:val="auto"/>
                <w:szCs w:val="21"/>
                <w:highlight w:val="none"/>
              </w:rPr>
              <w:t>构成投标文件商务部分的其他资料</w:t>
            </w:r>
          </w:p>
        </w:tc>
        <w:tc>
          <w:tcPr>
            <w:tcW w:w="6335" w:type="dxa"/>
            <w:noWrap/>
            <w:vAlign w:val="center"/>
          </w:tcPr>
          <w:p w14:paraId="4EA8B45B">
            <w:pPr>
              <w:autoSpaceDE w:val="0"/>
              <w:autoSpaceDN w:val="0"/>
              <w:snapToGrid w:val="0"/>
              <w:textAlignment w:val="bottom"/>
              <w:rPr>
                <w:rFonts w:hint="eastAsia" w:cs="宋体"/>
                <w:bCs/>
                <w:color w:val="auto"/>
                <w:szCs w:val="21"/>
                <w:highlight w:val="none"/>
              </w:rPr>
            </w:pPr>
            <w:r>
              <w:rPr>
                <w:rFonts w:cs="宋体"/>
                <w:color w:val="auto"/>
                <w:szCs w:val="21"/>
                <w:highlight w:val="none"/>
              </w:rPr>
              <w:t>1</w:t>
            </w:r>
            <w:r>
              <w:rPr>
                <w:rFonts w:hint="eastAsia" w:cs="宋体"/>
                <w:color w:val="auto"/>
                <w:szCs w:val="21"/>
                <w:highlight w:val="none"/>
              </w:rPr>
              <w:t>、售后服务机构技术力量说明</w:t>
            </w:r>
            <w:r>
              <w:rPr>
                <w:rFonts w:hint="eastAsia" w:cs="宋体"/>
                <w:bCs/>
                <w:color w:val="auto"/>
                <w:szCs w:val="21"/>
                <w:highlight w:val="none"/>
              </w:rPr>
              <w:t>；</w:t>
            </w:r>
          </w:p>
          <w:p w14:paraId="35C27E14">
            <w:pPr>
              <w:autoSpaceDE w:val="0"/>
              <w:autoSpaceDN w:val="0"/>
              <w:snapToGrid w:val="0"/>
              <w:textAlignment w:val="bottom"/>
              <w:rPr>
                <w:rFonts w:hint="eastAsia" w:cs="宋体"/>
                <w:color w:val="auto"/>
                <w:szCs w:val="21"/>
                <w:highlight w:val="none"/>
              </w:rPr>
            </w:pPr>
            <w:r>
              <w:rPr>
                <w:rFonts w:cs="宋体"/>
                <w:bCs/>
                <w:color w:val="auto"/>
                <w:szCs w:val="21"/>
                <w:highlight w:val="none"/>
              </w:rPr>
              <w:t>2</w:t>
            </w:r>
            <w:r>
              <w:rPr>
                <w:rFonts w:hint="eastAsia" w:cs="宋体"/>
                <w:bCs/>
                <w:color w:val="auto"/>
                <w:szCs w:val="21"/>
                <w:highlight w:val="none"/>
              </w:rPr>
              <w:t>、招标文件中所涉及到的相关资料及证明文件或投标人认为必须提供的其他相关资料。</w:t>
            </w:r>
          </w:p>
        </w:tc>
      </w:tr>
      <w:tr w14:paraId="19B05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3E0A0FDF">
            <w:pPr>
              <w:pStyle w:val="23"/>
              <w:jc w:val="center"/>
              <w:rPr>
                <w:rFonts w:hint="eastAsia" w:cs="宋体"/>
                <w:color w:val="auto"/>
                <w:szCs w:val="21"/>
                <w:highlight w:val="none"/>
              </w:rPr>
            </w:pPr>
            <w:r>
              <w:rPr>
                <w:rFonts w:hint="eastAsia" w:cs="宋体"/>
                <w:color w:val="auto"/>
                <w:szCs w:val="21"/>
                <w:highlight w:val="none"/>
              </w:rPr>
              <w:t>★15.1</w:t>
            </w:r>
          </w:p>
        </w:tc>
        <w:tc>
          <w:tcPr>
            <w:tcW w:w="2170" w:type="dxa"/>
            <w:noWrap/>
            <w:vAlign w:val="center"/>
          </w:tcPr>
          <w:p w14:paraId="1800C62A">
            <w:pPr>
              <w:pStyle w:val="23"/>
              <w:rPr>
                <w:rFonts w:hint="eastAsia" w:cs="宋体"/>
                <w:color w:val="auto"/>
                <w:szCs w:val="21"/>
                <w:highlight w:val="none"/>
              </w:rPr>
            </w:pPr>
            <w:r>
              <w:rPr>
                <w:color w:val="auto"/>
                <w:szCs w:val="21"/>
                <w:highlight w:val="none"/>
              </w:rPr>
              <w:t>本项目预算金额及最高限价</w:t>
            </w:r>
          </w:p>
        </w:tc>
        <w:tc>
          <w:tcPr>
            <w:tcW w:w="6335" w:type="dxa"/>
            <w:noWrap/>
            <w:vAlign w:val="center"/>
          </w:tcPr>
          <w:p w14:paraId="684D3E82">
            <w:pPr>
              <w:autoSpaceDE w:val="0"/>
              <w:autoSpaceDN w:val="0"/>
              <w:snapToGrid w:val="0"/>
              <w:textAlignment w:val="bottom"/>
              <w:rPr>
                <w:rFonts w:hint="eastAsia"/>
                <w:b/>
                <w:bCs/>
                <w:color w:val="auto"/>
                <w:szCs w:val="21"/>
                <w:highlight w:val="none"/>
                <w:lang w:eastAsia="zh-CN"/>
              </w:rPr>
            </w:pPr>
            <w:r>
              <w:rPr>
                <w:rFonts w:hint="eastAsia"/>
                <w:b/>
                <w:bCs/>
                <w:color w:val="auto"/>
                <w:szCs w:val="21"/>
                <w:highlight w:val="none"/>
              </w:rPr>
              <w:t>本项目</w:t>
            </w:r>
            <w:r>
              <w:rPr>
                <w:b/>
                <w:bCs/>
                <w:color w:val="auto"/>
                <w:szCs w:val="21"/>
                <w:highlight w:val="none"/>
              </w:rPr>
              <w:t>预算金额</w:t>
            </w:r>
            <w:r>
              <w:rPr>
                <w:rFonts w:hint="eastAsia"/>
                <w:b/>
                <w:bCs/>
                <w:color w:val="auto"/>
                <w:szCs w:val="21"/>
                <w:highlight w:val="none"/>
              </w:rPr>
              <w:t>为</w:t>
            </w:r>
            <w:r>
              <w:rPr>
                <w:rFonts w:hint="eastAsia"/>
                <w:b/>
                <w:bCs/>
                <w:color w:val="auto"/>
                <w:szCs w:val="21"/>
                <w:highlight w:val="none"/>
                <w:lang w:val="en-US" w:eastAsia="zh-CN"/>
              </w:rPr>
              <w:t>766.15万元（其中：A包266.934万元，B包259.656万元，C包239.56万元）</w:t>
            </w:r>
            <w:r>
              <w:rPr>
                <w:rFonts w:hint="eastAsia"/>
                <w:b/>
                <w:bCs/>
                <w:color w:val="auto"/>
                <w:szCs w:val="21"/>
                <w:highlight w:val="none"/>
                <w:lang w:eastAsia="zh-CN"/>
              </w:rPr>
              <w:t>；</w:t>
            </w:r>
          </w:p>
          <w:p w14:paraId="0FBE51D2">
            <w:pPr>
              <w:autoSpaceDE w:val="0"/>
              <w:autoSpaceDN w:val="0"/>
              <w:snapToGrid w:val="0"/>
              <w:textAlignment w:val="bottom"/>
              <w:rPr>
                <w:rFonts w:hint="eastAsia" w:eastAsia="宋体" w:cs="宋体"/>
                <w:b/>
                <w:bCs/>
                <w:color w:val="auto"/>
                <w:szCs w:val="21"/>
                <w:highlight w:val="none"/>
                <w:lang w:eastAsia="zh-CN"/>
              </w:rPr>
            </w:pPr>
            <w:r>
              <w:rPr>
                <w:rFonts w:hint="eastAsia" w:cs="宋体"/>
                <w:b/>
                <w:bCs/>
                <w:color w:val="auto"/>
                <w:szCs w:val="21"/>
                <w:highlight w:val="none"/>
              </w:rPr>
              <w:t>最高限价</w:t>
            </w:r>
            <w:r>
              <w:rPr>
                <w:rFonts w:hint="eastAsia"/>
                <w:b/>
                <w:bCs/>
                <w:color w:val="auto"/>
                <w:szCs w:val="21"/>
                <w:highlight w:val="none"/>
              </w:rPr>
              <w:t>为</w:t>
            </w:r>
            <w:r>
              <w:rPr>
                <w:rFonts w:hint="eastAsia"/>
                <w:b/>
                <w:bCs/>
                <w:color w:val="auto"/>
                <w:szCs w:val="21"/>
                <w:highlight w:val="none"/>
                <w:lang w:val="en-US" w:eastAsia="zh-CN"/>
              </w:rPr>
              <w:t>766.15万元</w:t>
            </w:r>
            <w:r>
              <w:rPr>
                <w:rFonts w:hint="eastAsia" w:cs="宋体"/>
                <w:b/>
                <w:bCs/>
                <w:color w:val="auto"/>
                <w:szCs w:val="21"/>
                <w:highlight w:val="none"/>
                <w:lang w:val="en-US" w:eastAsia="zh-CN"/>
              </w:rPr>
              <w:t>（其中：</w:t>
            </w:r>
            <w:r>
              <w:rPr>
                <w:rFonts w:hint="eastAsia"/>
                <w:b/>
                <w:bCs/>
                <w:color w:val="auto"/>
                <w:szCs w:val="21"/>
                <w:highlight w:val="none"/>
                <w:lang w:val="en-US" w:eastAsia="zh-CN"/>
              </w:rPr>
              <w:t>A包266.934万元，B包256.656万元，C包239.56万元</w:t>
            </w:r>
            <w:r>
              <w:rPr>
                <w:rFonts w:hint="eastAsia" w:cs="宋体"/>
                <w:b/>
                <w:bCs/>
                <w:color w:val="auto"/>
                <w:szCs w:val="21"/>
                <w:highlight w:val="none"/>
                <w:lang w:val="en-US" w:eastAsia="zh-CN"/>
              </w:rPr>
              <w:t>）</w:t>
            </w:r>
            <w:r>
              <w:rPr>
                <w:rFonts w:hint="eastAsia" w:cs="宋体"/>
                <w:b/>
                <w:bCs/>
                <w:color w:val="auto"/>
                <w:szCs w:val="21"/>
                <w:highlight w:val="none"/>
                <w:lang w:eastAsia="zh-CN"/>
              </w:rPr>
              <w:t>。</w:t>
            </w:r>
          </w:p>
          <w:p w14:paraId="6B566A24">
            <w:pPr>
              <w:autoSpaceDE w:val="0"/>
              <w:autoSpaceDN w:val="0"/>
              <w:snapToGrid w:val="0"/>
              <w:textAlignment w:val="bottom"/>
              <w:rPr>
                <w:rFonts w:hint="eastAsia"/>
                <w:b/>
                <w:bCs/>
                <w:color w:val="auto"/>
                <w:szCs w:val="21"/>
                <w:highlight w:val="none"/>
              </w:rPr>
            </w:pPr>
            <w:r>
              <w:rPr>
                <w:rFonts w:hint="eastAsia"/>
                <w:b/>
                <w:bCs/>
                <w:color w:val="auto"/>
                <w:highlight w:val="none"/>
                <w:lang w:val="en-US" w:eastAsia="zh-CN"/>
              </w:rPr>
              <w:t>每个标包</w:t>
            </w:r>
            <w:r>
              <w:rPr>
                <w:rFonts w:hint="eastAsia"/>
                <w:b/>
                <w:bCs/>
                <w:color w:val="auto"/>
                <w:highlight w:val="none"/>
              </w:rPr>
              <w:t>投标人报价不得超过</w:t>
            </w:r>
            <w:r>
              <w:rPr>
                <w:rFonts w:hint="eastAsia"/>
                <w:b/>
                <w:bCs/>
                <w:color w:val="auto"/>
                <w:highlight w:val="none"/>
                <w:lang w:val="en-US" w:eastAsia="zh-CN"/>
              </w:rPr>
              <w:t>所投标包</w:t>
            </w:r>
            <w:r>
              <w:rPr>
                <w:rFonts w:hint="eastAsia"/>
                <w:b/>
                <w:bCs/>
                <w:color w:val="auto"/>
                <w:highlight w:val="none"/>
              </w:rPr>
              <w:t>规定的最高限价，否则</w:t>
            </w:r>
            <w:r>
              <w:rPr>
                <w:rFonts w:hint="eastAsia"/>
                <w:b/>
                <w:bCs/>
                <w:color w:val="auto"/>
                <w:highlight w:val="none"/>
                <w:lang w:val="en-US" w:eastAsia="zh-CN"/>
              </w:rPr>
              <w:t>该标包</w:t>
            </w:r>
            <w:r>
              <w:rPr>
                <w:rFonts w:hint="eastAsia"/>
                <w:b/>
                <w:bCs/>
                <w:color w:val="auto"/>
                <w:highlight w:val="none"/>
              </w:rPr>
              <w:t>将按实质性不响应招标文件要求处理。</w:t>
            </w:r>
          </w:p>
        </w:tc>
      </w:tr>
      <w:tr w14:paraId="3379C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455" w:type="dxa"/>
            <w:gridSpan w:val="2"/>
            <w:noWrap/>
            <w:vAlign w:val="center"/>
          </w:tcPr>
          <w:p w14:paraId="0836DBD7">
            <w:pPr>
              <w:pStyle w:val="23"/>
              <w:spacing w:line="276" w:lineRule="auto"/>
              <w:jc w:val="center"/>
              <w:rPr>
                <w:rFonts w:hint="eastAsia" w:eastAsia="宋体" w:cs="宋体"/>
                <w:color w:val="auto"/>
                <w:szCs w:val="21"/>
                <w:highlight w:val="none"/>
                <w:lang w:eastAsia="zh-CN"/>
              </w:rPr>
            </w:pPr>
            <w:r>
              <w:rPr>
                <w:color w:val="auto"/>
                <w:highlight w:val="none"/>
              </w:rPr>
              <w:t>15.</w:t>
            </w:r>
            <w:r>
              <w:rPr>
                <w:rFonts w:hint="eastAsia"/>
                <w:color w:val="auto"/>
                <w:highlight w:val="none"/>
                <w:lang w:val="en-US" w:eastAsia="zh-CN"/>
              </w:rPr>
              <w:t>7</w:t>
            </w:r>
          </w:p>
        </w:tc>
        <w:tc>
          <w:tcPr>
            <w:tcW w:w="2170" w:type="dxa"/>
            <w:noWrap/>
            <w:vAlign w:val="center"/>
          </w:tcPr>
          <w:p w14:paraId="42D6B0EA">
            <w:pPr>
              <w:pStyle w:val="23"/>
              <w:spacing w:line="276" w:lineRule="auto"/>
              <w:rPr>
                <w:rFonts w:hint="eastAsia" w:cs="宋体"/>
                <w:color w:val="auto"/>
                <w:szCs w:val="21"/>
                <w:highlight w:val="none"/>
              </w:rPr>
            </w:pPr>
            <w:r>
              <w:rPr>
                <w:color w:val="auto"/>
                <w:szCs w:val="21"/>
                <w:highlight w:val="none"/>
              </w:rPr>
              <w:t>技术服务费</w:t>
            </w:r>
          </w:p>
        </w:tc>
        <w:tc>
          <w:tcPr>
            <w:tcW w:w="6335" w:type="dxa"/>
            <w:noWrap/>
            <w:vAlign w:val="center"/>
          </w:tcPr>
          <w:p w14:paraId="727607CF">
            <w:pPr>
              <w:pStyle w:val="23"/>
              <w:spacing w:line="276" w:lineRule="auto"/>
              <w:rPr>
                <w:rFonts w:hint="eastAsia" w:cs="宋体"/>
                <w:color w:val="auto"/>
                <w:szCs w:val="21"/>
                <w:highlight w:val="none"/>
              </w:rPr>
            </w:pPr>
            <w:r>
              <w:rPr>
                <w:color w:val="auto"/>
                <w:szCs w:val="21"/>
                <w:highlight w:val="none"/>
              </w:rPr>
              <w:t>提供现场服务（包括</w:t>
            </w:r>
            <w:r>
              <w:rPr>
                <w:rFonts w:hint="eastAsia"/>
                <w:color w:val="auto"/>
                <w:szCs w:val="21"/>
                <w:highlight w:val="none"/>
                <w:lang w:val="en-US" w:eastAsia="zh-CN"/>
              </w:rPr>
              <w:t>设备</w:t>
            </w:r>
            <w:r>
              <w:rPr>
                <w:color w:val="auto"/>
                <w:szCs w:val="21"/>
                <w:highlight w:val="none"/>
              </w:rPr>
              <w:t>安装和调试费用）</w:t>
            </w:r>
          </w:p>
        </w:tc>
      </w:tr>
      <w:tr w14:paraId="2A38AF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2135F670">
            <w:pPr>
              <w:pStyle w:val="23"/>
              <w:jc w:val="center"/>
              <w:rPr>
                <w:rFonts w:hint="eastAsia" w:cs="宋体"/>
                <w:color w:val="auto"/>
                <w:szCs w:val="21"/>
                <w:highlight w:val="none"/>
              </w:rPr>
            </w:pPr>
            <w:r>
              <w:rPr>
                <w:rFonts w:hint="eastAsia" w:cs="宋体"/>
                <w:color w:val="auto"/>
                <w:szCs w:val="21"/>
                <w:highlight w:val="none"/>
              </w:rPr>
              <w:t>★17.1</w:t>
            </w:r>
          </w:p>
        </w:tc>
        <w:tc>
          <w:tcPr>
            <w:tcW w:w="2170" w:type="dxa"/>
            <w:noWrap/>
            <w:vAlign w:val="center"/>
          </w:tcPr>
          <w:p w14:paraId="40401C6E">
            <w:pPr>
              <w:pStyle w:val="23"/>
              <w:rPr>
                <w:rFonts w:hint="eastAsia" w:cs="宋体"/>
                <w:color w:val="auto"/>
                <w:szCs w:val="21"/>
                <w:highlight w:val="none"/>
              </w:rPr>
            </w:pPr>
            <w:r>
              <w:rPr>
                <w:rFonts w:hint="eastAsia" w:cs="宋体"/>
                <w:color w:val="auto"/>
                <w:szCs w:val="21"/>
                <w:highlight w:val="none"/>
              </w:rPr>
              <w:t>投标文件有效期</w:t>
            </w:r>
          </w:p>
        </w:tc>
        <w:tc>
          <w:tcPr>
            <w:tcW w:w="6335" w:type="dxa"/>
            <w:noWrap/>
            <w:vAlign w:val="center"/>
          </w:tcPr>
          <w:p w14:paraId="3DA6962D">
            <w:pPr>
              <w:pStyle w:val="23"/>
              <w:rPr>
                <w:rFonts w:hint="eastAsia" w:cs="宋体"/>
                <w:color w:val="auto"/>
                <w:szCs w:val="21"/>
                <w:highlight w:val="none"/>
              </w:rPr>
            </w:pPr>
            <w:r>
              <w:rPr>
                <w:rFonts w:hint="eastAsia" w:cs="宋体"/>
                <w:color w:val="auto"/>
                <w:szCs w:val="21"/>
                <w:highlight w:val="none"/>
              </w:rPr>
              <w:t>从提交投标文件截止之日起</w:t>
            </w:r>
            <w:r>
              <w:rPr>
                <w:rFonts w:hint="eastAsia" w:cs="宋体"/>
                <w:color w:val="auto"/>
                <w:szCs w:val="21"/>
                <w:highlight w:val="none"/>
                <w:u w:val="single"/>
              </w:rPr>
              <w:t>90</w:t>
            </w:r>
            <w:r>
              <w:rPr>
                <w:rFonts w:hint="eastAsia" w:cs="宋体"/>
                <w:color w:val="auto"/>
                <w:szCs w:val="21"/>
                <w:highlight w:val="none"/>
              </w:rPr>
              <w:t>日历天。</w:t>
            </w:r>
          </w:p>
        </w:tc>
      </w:tr>
      <w:tr w14:paraId="345626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73BECC25">
            <w:pPr>
              <w:pStyle w:val="23"/>
              <w:jc w:val="center"/>
              <w:rPr>
                <w:rFonts w:hint="eastAsia" w:cs="宋体"/>
                <w:color w:val="auto"/>
                <w:szCs w:val="21"/>
                <w:highlight w:val="none"/>
              </w:rPr>
            </w:pPr>
            <w:r>
              <w:rPr>
                <w:rFonts w:hint="eastAsia" w:cs="宋体"/>
                <w:color w:val="auto"/>
                <w:szCs w:val="21"/>
                <w:highlight w:val="none"/>
              </w:rPr>
              <w:t>18.1</w:t>
            </w:r>
          </w:p>
        </w:tc>
        <w:tc>
          <w:tcPr>
            <w:tcW w:w="2170" w:type="dxa"/>
            <w:noWrap/>
            <w:vAlign w:val="center"/>
          </w:tcPr>
          <w:p w14:paraId="26AB5E0C">
            <w:pPr>
              <w:pStyle w:val="23"/>
              <w:rPr>
                <w:rFonts w:hint="eastAsia" w:cs="宋体"/>
                <w:color w:val="auto"/>
                <w:szCs w:val="21"/>
                <w:highlight w:val="none"/>
              </w:rPr>
            </w:pPr>
            <w:r>
              <w:rPr>
                <w:rFonts w:hint="eastAsia" w:cs="宋体"/>
                <w:color w:val="auto"/>
                <w:szCs w:val="21"/>
                <w:highlight w:val="none"/>
              </w:rPr>
              <w:t>分包</w:t>
            </w:r>
          </w:p>
        </w:tc>
        <w:tc>
          <w:tcPr>
            <w:tcW w:w="6335" w:type="dxa"/>
            <w:noWrap/>
            <w:vAlign w:val="center"/>
          </w:tcPr>
          <w:p w14:paraId="720F352F">
            <w:pPr>
              <w:pStyle w:val="23"/>
              <w:rPr>
                <w:rFonts w:hint="default" w:eastAsia="宋体" w:cs="宋体"/>
                <w:color w:val="auto"/>
                <w:szCs w:val="21"/>
                <w:highlight w:val="none"/>
                <w:lang w:val="en-US" w:eastAsia="zh-CN"/>
              </w:rPr>
            </w:pPr>
            <w:r>
              <w:rPr>
                <w:rFonts w:hint="eastAsia" w:cs="宋体"/>
                <w:b w:val="0"/>
                <w:bCs w:val="0"/>
                <w:color w:val="auto"/>
                <w:szCs w:val="21"/>
                <w:highlight w:val="none"/>
                <w:lang w:val="en-US" w:eastAsia="zh-CN"/>
              </w:rPr>
              <w:t>不允许。</w:t>
            </w:r>
          </w:p>
        </w:tc>
      </w:tr>
      <w:tr w14:paraId="2DF556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66AE1C8D">
            <w:pPr>
              <w:pStyle w:val="23"/>
              <w:jc w:val="center"/>
              <w:rPr>
                <w:rFonts w:hint="eastAsia" w:cs="宋体"/>
                <w:b/>
                <w:bCs/>
                <w:color w:val="auto"/>
                <w:szCs w:val="21"/>
                <w:highlight w:val="none"/>
              </w:rPr>
            </w:pPr>
            <w:r>
              <w:rPr>
                <w:rFonts w:hint="eastAsia" w:cs="宋体"/>
                <w:b/>
                <w:bCs/>
                <w:color w:val="auto"/>
                <w:szCs w:val="21"/>
                <w:highlight w:val="none"/>
              </w:rPr>
              <w:t>20</w:t>
            </w:r>
          </w:p>
        </w:tc>
        <w:tc>
          <w:tcPr>
            <w:tcW w:w="2170" w:type="dxa"/>
            <w:noWrap/>
            <w:vAlign w:val="center"/>
          </w:tcPr>
          <w:p w14:paraId="483D4DF5">
            <w:pPr>
              <w:pStyle w:val="23"/>
              <w:rPr>
                <w:rFonts w:hint="eastAsia" w:cs="宋体"/>
                <w:b/>
                <w:bCs/>
                <w:color w:val="auto"/>
                <w:szCs w:val="21"/>
                <w:highlight w:val="none"/>
              </w:rPr>
            </w:pPr>
            <w:r>
              <w:rPr>
                <w:rFonts w:hint="eastAsia" w:cs="宋体"/>
                <w:b/>
                <w:bCs/>
                <w:color w:val="auto"/>
                <w:szCs w:val="21"/>
                <w:highlight w:val="none"/>
              </w:rPr>
              <w:t>投标文件的编制</w:t>
            </w:r>
          </w:p>
        </w:tc>
        <w:tc>
          <w:tcPr>
            <w:tcW w:w="6335" w:type="dxa"/>
            <w:noWrap/>
            <w:vAlign w:val="center"/>
          </w:tcPr>
          <w:p w14:paraId="42712B83">
            <w:pPr>
              <w:snapToGrid w:val="0"/>
              <w:rPr>
                <w:rFonts w:hint="eastAsia"/>
                <w:color w:val="auto"/>
                <w:szCs w:val="21"/>
                <w:highlight w:val="none"/>
              </w:rPr>
            </w:pPr>
            <w:r>
              <w:rPr>
                <w:rFonts w:hint="eastAsia"/>
                <w:b/>
                <w:bCs/>
                <w:color w:val="auto"/>
                <w:szCs w:val="21"/>
                <w:highlight w:val="none"/>
              </w:rPr>
              <w:t>1、</w:t>
            </w:r>
            <w:r>
              <w:rPr>
                <w:rFonts w:hint="eastAsia"/>
                <w:color w:val="auto"/>
                <w:szCs w:val="21"/>
                <w:highlight w:val="none"/>
              </w:rPr>
              <w:t>投标文件全部采用电子文档，投标人应安装客户端软件—“政采云电子交易客户端”，并按照招标文件和政采云电子交易平台的要求编制，编制后应进行电子签名及加密。</w:t>
            </w:r>
          </w:p>
          <w:p w14:paraId="096BE4FE">
            <w:pPr>
              <w:snapToGrid w:val="0"/>
              <w:rPr>
                <w:rFonts w:hint="eastAsia"/>
                <w:color w:val="auto"/>
                <w:szCs w:val="21"/>
                <w:highlight w:val="none"/>
              </w:rPr>
            </w:pPr>
            <w:r>
              <w:rPr>
                <w:rFonts w:hint="eastAsia"/>
                <w:b/>
                <w:bCs/>
                <w:color w:val="auto"/>
                <w:szCs w:val="21"/>
                <w:highlight w:val="none"/>
              </w:rPr>
              <w:t>2、</w:t>
            </w:r>
            <w:r>
              <w:rPr>
                <w:rFonts w:hint="eastAsia"/>
                <w:color w:val="auto"/>
                <w:szCs w:val="21"/>
                <w:highlight w:val="none"/>
              </w:rPr>
              <w:t>如投标人提交的电子标书不符合招标文件要求或开标时无法读取导入或解密，其投标文件将不予受理。</w:t>
            </w:r>
          </w:p>
          <w:p w14:paraId="39D7A18D">
            <w:pPr>
              <w:snapToGrid w:val="0"/>
              <w:rPr>
                <w:rFonts w:hint="eastAsia"/>
                <w:color w:val="auto"/>
                <w:szCs w:val="21"/>
                <w:highlight w:val="none"/>
              </w:rPr>
            </w:pPr>
            <w:r>
              <w:rPr>
                <w:rFonts w:hint="eastAsia"/>
                <w:b/>
                <w:bCs/>
                <w:color w:val="auto"/>
                <w:szCs w:val="21"/>
                <w:highlight w:val="none"/>
              </w:rPr>
              <w:t>3、</w:t>
            </w:r>
            <w:r>
              <w:rPr>
                <w:rFonts w:hint="eastAsia"/>
                <w:color w:val="auto"/>
                <w:szCs w:val="21"/>
                <w:highlight w:val="none"/>
              </w:rPr>
              <w:t>投标文件应尽量避免涂改、行间插字或删除。如果出现上述情况，改动之处应加盖单位章或由投标人的法定代表人（签名或盖章）确认。</w:t>
            </w:r>
          </w:p>
          <w:p w14:paraId="5CC459CB">
            <w:pPr>
              <w:snapToGrid w:val="0"/>
              <w:rPr>
                <w:rFonts w:hint="eastAsia"/>
                <w:color w:val="auto"/>
                <w:szCs w:val="21"/>
                <w:highlight w:val="none"/>
              </w:rPr>
            </w:pPr>
            <w:r>
              <w:rPr>
                <w:rFonts w:hint="eastAsia"/>
                <w:b/>
                <w:bCs/>
                <w:color w:val="auto"/>
                <w:szCs w:val="21"/>
                <w:highlight w:val="none"/>
              </w:rPr>
              <w:t>4、</w:t>
            </w:r>
            <w:r>
              <w:rPr>
                <w:rFonts w:hint="eastAsia"/>
                <w:color w:val="auto"/>
                <w:szCs w:val="21"/>
                <w:highlight w:val="none"/>
              </w:rPr>
              <w:t>关键内容字迹潦草、表达不清、未按要求填写而导致非唯一理解，视为未实质性响应招标文件的投标文件。</w:t>
            </w:r>
          </w:p>
          <w:p w14:paraId="230F38FC">
            <w:pPr>
              <w:pStyle w:val="23"/>
              <w:rPr>
                <w:rFonts w:hint="eastAsia" w:cs="宋体"/>
                <w:color w:val="auto"/>
                <w:szCs w:val="21"/>
                <w:highlight w:val="none"/>
              </w:rPr>
            </w:pPr>
            <w:r>
              <w:rPr>
                <w:rFonts w:hint="eastAsia"/>
                <w:b/>
                <w:bCs/>
                <w:color w:val="auto"/>
                <w:szCs w:val="21"/>
                <w:highlight w:val="none"/>
              </w:rPr>
              <w:t>5、</w:t>
            </w:r>
            <w:r>
              <w:rPr>
                <w:rFonts w:hint="eastAsia"/>
                <w:color w:val="auto"/>
                <w:szCs w:val="21"/>
                <w:highlight w:val="none"/>
              </w:rPr>
              <w:t>投标文件中提供的资料（扫描件），内容必须清晰可辨，若内容模糊，无法辨识，均视为未提供。</w:t>
            </w:r>
          </w:p>
        </w:tc>
      </w:tr>
      <w:tr w14:paraId="4BC28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55" w:type="dxa"/>
            <w:gridSpan w:val="2"/>
            <w:noWrap/>
            <w:vAlign w:val="center"/>
          </w:tcPr>
          <w:p w14:paraId="53FF95FC">
            <w:pPr>
              <w:pStyle w:val="23"/>
              <w:jc w:val="center"/>
              <w:rPr>
                <w:rFonts w:hint="eastAsia" w:cs="宋体"/>
                <w:b/>
                <w:bCs/>
                <w:color w:val="auto"/>
                <w:szCs w:val="21"/>
                <w:highlight w:val="none"/>
              </w:rPr>
            </w:pPr>
            <w:r>
              <w:rPr>
                <w:rFonts w:hint="eastAsia" w:cs="宋体"/>
                <w:b/>
                <w:bCs/>
                <w:color w:val="auto"/>
                <w:szCs w:val="21"/>
                <w:highlight w:val="none"/>
              </w:rPr>
              <w:t>★21</w:t>
            </w:r>
          </w:p>
        </w:tc>
        <w:tc>
          <w:tcPr>
            <w:tcW w:w="2170" w:type="dxa"/>
            <w:noWrap/>
            <w:vAlign w:val="center"/>
          </w:tcPr>
          <w:p w14:paraId="64ECCF55">
            <w:pPr>
              <w:pStyle w:val="23"/>
              <w:rPr>
                <w:rFonts w:hint="eastAsia" w:cs="宋体"/>
                <w:b/>
                <w:bCs/>
                <w:color w:val="auto"/>
                <w:szCs w:val="21"/>
                <w:highlight w:val="none"/>
              </w:rPr>
            </w:pPr>
            <w:r>
              <w:rPr>
                <w:rFonts w:hint="eastAsia" w:cs="宋体"/>
                <w:b/>
                <w:bCs/>
                <w:color w:val="auto"/>
                <w:szCs w:val="21"/>
                <w:highlight w:val="none"/>
              </w:rPr>
              <w:t>投标保证金</w:t>
            </w:r>
          </w:p>
        </w:tc>
        <w:tc>
          <w:tcPr>
            <w:tcW w:w="6335" w:type="dxa"/>
            <w:noWrap/>
            <w:vAlign w:val="center"/>
          </w:tcPr>
          <w:p w14:paraId="306B10BE">
            <w:pPr>
              <w:adjustRightInd w:val="0"/>
              <w:snapToGrid w:val="0"/>
              <w:rPr>
                <w:rFonts w:hint="eastAsia" w:cs="宋体"/>
                <w:color w:val="auto"/>
                <w:szCs w:val="21"/>
                <w:highlight w:val="none"/>
              </w:rPr>
            </w:pPr>
            <w:r>
              <w:rPr>
                <w:rFonts w:hint="eastAsia" w:cs="宋体"/>
                <w:b/>
                <w:bCs/>
                <w:color w:val="auto"/>
                <w:szCs w:val="21"/>
                <w:highlight w:val="none"/>
              </w:rPr>
              <w:t>★一、投标保证金形式：</w:t>
            </w:r>
            <w:r>
              <w:rPr>
                <w:rFonts w:hint="eastAsia" w:cs="宋体"/>
                <w:color w:val="auto"/>
                <w:szCs w:val="21"/>
                <w:highlight w:val="none"/>
              </w:rPr>
              <w:t>支票、汇票、本票、保函、保证保险、其他非现金形式：银行转账、网银、电汇等形式，投标人可根据实际情况，选择保证金的提供或缴纳方式。</w:t>
            </w:r>
          </w:p>
          <w:p w14:paraId="270E4919">
            <w:pPr>
              <w:pStyle w:val="17"/>
              <w:numPr>
                <w:ilvl w:val="0"/>
                <w:numId w:val="6"/>
              </w:numPr>
              <w:adjustRightInd w:val="0"/>
              <w:snapToGrid w:val="0"/>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投标保证金金额：</w:t>
            </w:r>
          </w:p>
          <w:p w14:paraId="291FA8D7">
            <w:pPr>
              <w:numPr>
                <w:ilvl w:val="0"/>
                <w:numId w:val="0"/>
              </w:numPr>
              <w:rPr>
                <w:rFonts w:hint="eastAsia"/>
                <w:b/>
                <w:bCs/>
                <w:highlight w:val="none"/>
              </w:rPr>
            </w:pPr>
            <w:r>
              <w:rPr>
                <w:rFonts w:hint="eastAsia"/>
                <w:b/>
                <w:bCs/>
                <w:highlight w:val="none"/>
                <w:lang w:val="en-US" w:eastAsia="zh-CN"/>
              </w:rPr>
              <w:t>A包</w:t>
            </w:r>
            <w:r>
              <w:rPr>
                <w:rFonts w:hint="eastAsia"/>
                <w:b/>
                <w:bCs/>
                <w:highlight w:val="none"/>
              </w:rPr>
              <w:t>：</w:t>
            </w:r>
            <w:r>
              <w:rPr>
                <w:rFonts w:hint="eastAsia"/>
                <w:b/>
                <w:bCs/>
                <w:highlight w:val="none"/>
                <w:u w:val="single"/>
                <w:lang w:val="en-US" w:eastAsia="zh-CN"/>
              </w:rPr>
              <w:t>25</w:t>
            </w:r>
            <w:r>
              <w:rPr>
                <w:rFonts w:hint="eastAsia"/>
                <w:b/>
                <w:bCs/>
                <w:highlight w:val="none"/>
                <w:u w:val="single"/>
              </w:rPr>
              <w:t>000.00元</w:t>
            </w:r>
            <w:r>
              <w:rPr>
                <w:rFonts w:hint="eastAsia"/>
                <w:b/>
                <w:bCs/>
                <w:highlight w:val="none"/>
                <w:u w:val="single"/>
                <w:lang w:eastAsia="zh-CN"/>
              </w:rPr>
              <w:t>（</w:t>
            </w:r>
            <w:r>
              <w:rPr>
                <w:rFonts w:hint="eastAsia"/>
                <w:b/>
                <w:bCs/>
                <w:highlight w:val="none"/>
                <w:u w:val="single"/>
                <w:lang w:val="en-US" w:eastAsia="zh-CN"/>
              </w:rPr>
              <w:t>大写：人民币贰万伍仟元整</w:t>
            </w:r>
            <w:r>
              <w:rPr>
                <w:rFonts w:hint="eastAsia"/>
                <w:b/>
                <w:bCs/>
                <w:highlight w:val="none"/>
                <w:u w:val="single"/>
                <w:lang w:eastAsia="zh-CN"/>
              </w:rPr>
              <w:t>）</w:t>
            </w:r>
            <w:r>
              <w:rPr>
                <w:rFonts w:hint="eastAsia"/>
                <w:b/>
                <w:bCs/>
                <w:highlight w:val="none"/>
              </w:rPr>
              <w:t>；</w:t>
            </w:r>
          </w:p>
          <w:p w14:paraId="566C0C74">
            <w:pPr>
              <w:numPr>
                <w:ilvl w:val="0"/>
                <w:numId w:val="0"/>
              </w:numPr>
              <w:rPr>
                <w:rFonts w:hint="eastAsia"/>
                <w:b/>
                <w:bCs/>
                <w:highlight w:val="none"/>
                <w:lang w:eastAsia="zh-CN"/>
              </w:rPr>
            </w:pPr>
            <w:r>
              <w:rPr>
                <w:rFonts w:hint="eastAsia"/>
                <w:b/>
                <w:bCs/>
                <w:highlight w:val="none"/>
                <w:lang w:val="en-US" w:eastAsia="zh-CN"/>
              </w:rPr>
              <w:t>B包</w:t>
            </w:r>
            <w:r>
              <w:rPr>
                <w:rFonts w:hint="eastAsia"/>
                <w:b/>
                <w:bCs/>
                <w:highlight w:val="none"/>
              </w:rPr>
              <w:t>：</w:t>
            </w:r>
            <w:r>
              <w:rPr>
                <w:rFonts w:hint="eastAsia"/>
                <w:b/>
                <w:bCs/>
                <w:highlight w:val="none"/>
                <w:u w:val="single"/>
                <w:lang w:val="en-US" w:eastAsia="zh-CN"/>
              </w:rPr>
              <w:t>25</w:t>
            </w:r>
            <w:r>
              <w:rPr>
                <w:rFonts w:hint="eastAsia"/>
                <w:b/>
                <w:bCs/>
                <w:highlight w:val="none"/>
                <w:u w:val="single"/>
              </w:rPr>
              <w:t>000.00元</w:t>
            </w:r>
            <w:r>
              <w:rPr>
                <w:rFonts w:hint="eastAsia"/>
                <w:b/>
                <w:bCs/>
                <w:highlight w:val="none"/>
                <w:u w:val="single"/>
                <w:lang w:eastAsia="zh-CN"/>
              </w:rPr>
              <w:t>（</w:t>
            </w:r>
            <w:r>
              <w:rPr>
                <w:rFonts w:hint="eastAsia"/>
                <w:b/>
                <w:bCs/>
                <w:highlight w:val="none"/>
                <w:u w:val="single"/>
                <w:lang w:val="en-US" w:eastAsia="zh-CN"/>
              </w:rPr>
              <w:t>大写：人民币贰万伍仟元整</w:t>
            </w:r>
            <w:r>
              <w:rPr>
                <w:rFonts w:hint="eastAsia"/>
                <w:b/>
                <w:bCs/>
                <w:highlight w:val="none"/>
                <w:u w:val="single"/>
                <w:lang w:eastAsia="zh-CN"/>
              </w:rPr>
              <w:t>）</w:t>
            </w:r>
            <w:r>
              <w:rPr>
                <w:rFonts w:hint="eastAsia"/>
                <w:b/>
                <w:bCs/>
                <w:highlight w:val="none"/>
                <w:lang w:eastAsia="zh-CN"/>
              </w:rPr>
              <w:t>；</w:t>
            </w:r>
          </w:p>
          <w:p w14:paraId="6FD64A87">
            <w:pPr>
              <w:numPr>
                <w:ilvl w:val="0"/>
                <w:numId w:val="0"/>
              </w:numPr>
              <w:rPr>
                <w:rFonts w:hint="eastAsia"/>
              </w:rPr>
            </w:pPr>
            <w:r>
              <w:rPr>
                <w:rFonts w:hint="eastAsia"/>
                <w:b/>
                <w:bCs/>
                <w:highlight w:val="none"/>
                <w:lang w:val="en-US" w:eastAsia="zh-CN"/>
              </w:rPr>
              <w:t>C包</w:t>
            </w:r>
            <w:r>
              <w:rPr>
                <w:rFonts w:hint="eastAsia"/>
                <w:b/>
                <w:bCs/>
                <w:highlight w:val="none"/>
              </w:rPr>
              <w:t>：</w:t>
            </w:r>
            <w:r>
              <w:rPr>
                <w:rFonts w:hint="eastAsia"/>
                <w:b/>
                <w:bCs/>
                <w:highlight w:val="none"/>
                <w:u w:val="single"/>
                <w:lang w:val="en-US" w:eastAsia="zh-CN"/>
              </w:rPr>
              <w:t>25</w:t>
            </w:r>
            <w:r>
              <w:rPr>
                <w:rFonts w:hint="eastAsia"/>
                <w:b/>
                <w:bCs/>
                <w:highlight w:val="none"/>
                <w:u w:val="single"/>
              </w:rPr>
              <w:t>000.00元</w:t>
            </w:r>
            <w:r>
              <w:rPr>
                <w:rFonts w:hint="eastAsia"/>
                <w:b/>
                <w:bCs/>
                <w:highlight w:val="none"/>
                <w:u w:val="single"/>
                <w:lang w:eastAsia="zh-CN"/>
              </w:rPr>
              <w:t>（</w:t>
            </w:r>
            <w:r>
              <w:rPr>
                <w:rFonts w:hint="eastAsia"/>
                <w:b/>
                <w:bCs/>
                <w:highlight w:val="none"/>
                <w:u w:val="single"/>
                <w:lang w:val="en-US" w:eastAsia="zh-CN"/>
              </w:rPr>
              <w:t>大写：人民币贰万伍仟元整</w:t>
            </w:r>
            <w:r>
              <w:rPr>
                <w:rFonts w:hint="eastAsia"/>
                <w:b/>
                <w:bCs/>
                <w:highlight w:val="none"/>
                <w:u w:val="single"/>
                <w:lang w:eastAsia="zh-CN"/>
              </w:rPr>
              <w:t>）</w:t>
            </w:r>
            <w:r>
              <w:rPr>
                <w:rFonts w:hint="eastAsia"/>
                <w:b/>
                <w:bCs/>
                <w:highlight w:val="none"/>
                <w:lang w:eastAsia="zh-CN"/>
              </w:rPr>
              <w:t>。</w:t>
            </w:r>
          </w:p>
          <w:p w14:paraId="31BE973F">
            <w:pPr>
              <w:adjustRightInd w:val="0"/>
              <w:snapToGrid w:val="0"/>
              <w:rPr>
                <w:rFonts w:hint="eastAsia" w:cs="宋体"/>
                <w:b/>
                <w:bCs/>
                <w:color w:val="auto"/>
                <w:szCs w:val="21"/>
                <w:highlight w:val="none"/>
              </w:rPr>
            </w:pPr>
            <w:r>
              <w:rPr>
                <w:rFonts w:hint="eastAsia" w:cs="宋体"/>
                <w:b/>
                <w:bCs/>
                <w:color w:val="auto"/>
                <w:szCs w:val="21"/>
                <w:highlight w:val="none"/>
              </w:rPr>
              <w:t>三、</w:t>
            </w:r>
            <w:r>
              <w:rPr>
                <w:rFonts w:hint="eastAsia"/>
                <w:b/>
                <w:bCs/>
                <w:color w:val="auto"/>
                <w:szCs w:val="21"/>
                <w:highlight w:val="none"/>
              </w:rPr>
              <w:t>投标保证金</w:t>
            </w:r>
            <w:r>
              <w:rPr>
                <w:rFonts w:hint="eastAsia" w:cs="宋体"/>
                <w:b/>
                <w:bCs/>
                <w:color w:val="auto"/>
                <w:kern w:val="0"/>
                <w:szCs w:val="21"/>
                <w:highlight w:val="none"/>
              </w:rPr>
              <w:t>办理程序</w:t>
            </w:r>
          </w:p>
          <w:p w14:paraId="3A8564DA">
            <w:pPr>
              <w:adjustRightInd w:val="0"/>
              <w:snapToGrid w:val="0"/>
              <w:rPr>
                <w:rFonts w:hint="eastAsia" w:cs="宋体"/>
                <w:color w:val="auto"/>
                <w:szCs w:val="21"/>
                <w:highlight w:val="none"/>
              </w:rPr>
            </w:pPr>
            <w:r>
              <w:rPr>
                <w:rFonts w:hint="eastAsia" w:cs="宋体"/>
                <w:b/>
                <w:bCs/>
                <w:color w:val="auto"/>
                <w:szCs w:val="21"/>
                <w:highlight w:val="none"/>
              </w:rPr>
              <w:t>1、银行转账：</w:t>
            </w:r>
            <w:r>
              <w:rPr>
                <w:rFonts w:hint="eastAsia" w:cs="宋体"/>
                <w:color w:val="auto"/>
                <w:szCs w:val="21"/>
                <w:highlight w:val="none"/>
              </w:rPr>
              <w:t>投标（交易）保证金应以投标人自身的名义提交，并且必须从其基本账户一次性汇入或转入招标人指定的帐户，不得以分支机构其他名义提交（按照规定，投标人可以为自然人的项目除外）。</w:t>
            </w:r>
          </w:p>
          <w:p w14:paraId="03087BA9">
            <w:pPr>
              <w:adjustRightInd w:val="0"/>
              <w:snapToGrid w:val="0"/>
              <w:rPr>
                <w:rFonts w:hint="eastAsia" w:cs="宋体"/>
                <w:b/>
                <w:bCs/>
                <w:color w:val="auto"/>
                <w:szCs w:val="21"/>
                <w:highlight w:val="none"/>
              </w:rPr>
            </w:pPr>
            <w:r>
              <w:rPr>
                <w:rFonts w:hint="eastAsia" w:cs="宋体"/>
                <w:b/>
                <w:bCs/>
                <w:color w:val="auto"/>
                <w:szCs w:val="21"/>
                <w:highlight w:val="none"/>
              </w:rPr>
              <w:t>投标保证金缴纳至如下账户：</w:t>
            </w:r>
          </w:p>
          <w:p w14:paraId="2DA85837">
            <w:pPr>
              <w:adjustRightInd w:val="0"/>
              <w:snapToGrid w:val="0"/>
              <w:ind w:firstLine="422" w:firstLineChars="200"/>
              <w:rPr>
                <w:rFonts w:hint="eastAsia" w:cs="宋体"/>
                <w:b/>
                <w:bCs/>
                <w:color w:val="auto"/>
                <w:szCs w:val="21"/>
                <w:highlight w:val="none"/>
              </w:rPr>
            </w:pPr>
            <w:r>
              <w:rPr>
                <w:rFonts w:hint="eastAsia" w:cs="宋体"/>
                <w:b/>
                <w:bCs/>
                <w:color w:val="auto"/>
                <w:szCs w:val="21"/>
                <w:highlight w:val="none"/>
              </w:rPr>
              <w:t>开户名称：云南招标股份有限公司</w:t>
            </w:r>
          </w:p>
          <w:p w14:paraId="7CB1EF93">
            <w:pPr>
              <w:adjustRightInd w:val="0"/>
              <w:snapToGrid w:val="0"/>
              <w:ind w:firstLine="422" w:firstLineChars="200"/>
              <w:rPr>
                <w:rFonts w:hint="eastAsia" w:cs="宋体"/>
                <w:b/>
                <w:bCs/>
                <w:color w:val="auto"/>
                <w:szCs w:val="21"/>
                <w:highlight w:val="none"/>
              </w:rPr>
            </w:pPr>
            <w:r>
              <w:rPr>
                <w:rFonts w:hint="eastAsia" w:cs="宋体"/>
                <w:b/>
                <w:bCs/>
                <w:color w:val="auto"/>
                <w:szCs w:val="21"/>
                <w:highlight w:val="none"/>
              </w:rPr>
              <w:t>开户银行：富滇银行股份有限公司昆明科技支行；</w:t>
            </w:r>
          </w:p>
          <w:p w14:paraId="7739F74D">
            <w:pPr>
              <w:adjustRightInd w:val="0"/>
              <w:snapToGrid w:val="0"/>
              <w:ind w:firstLine="422" w:firstLineChars="200"/>
              <w:rPr>
                <w:rFonts w:hint="eastAsia" w:cs="宋体"/>
                <w:b/>
                <w:bCs/>
                <w:color w:val="auto"/>
                <w:szCs w:val="21"/>
                <w:highlight w:val="none"/>
              </w:rPr>
            </w:pPr>
            <w:r>
              <w:rPr>
                <w:rFonts w:hint="eastAsia" w:cs="宋体"/>
                <w:b/>
                <w:bCs/>
                <w:color w:val="auto"/>
                <w:szCs w:val="21"/>
                <w:highlight w:val="none"/>
                <w:lang w:val="en-US" w:eastAsia="zh-CN"/>
              </w:rPr>
              <w:t>A包</w:t>
            </w:r>
            <w:r>
              <w:rPr>
                <w:rFonts w:hint="eastAsia" w:cs="宋体"/>
                <w:b/>
                <w:bCs/>
                <w:color w:val="auto"/>
                <w:szCs w:val="21"/>
                <w:highlight w:val="none"/>
              </w:rPr>
              <w:t>缴纳账户：010000013691；</w:t>
            </w:r>
          </w:p>
          <w:p w14:paraId="7C363042">
            <w:pPr>
              <w:adjustRightInd w:val="0"/>
              <w:snapToGrid w:val="0"/>
              <w:ind w:firstLine="422" w:firstLineChars="200"/>
              <w:rPr>
                <w:rFonts w:hint="eastAsia" w:cs="宋体"/>
                <w:b/>
                <w:bCs/>
                <w:color w:val="auto"/>
                <w:szCs w:val="21"/>
                <w:highlight w:val="none"/>
              </w:rPr>
            </w:pPr>
            <w:r>
              <w:rPr>
                <w:rFonts w:hint="eastAsia" w:cs="宋体"/>
                <w:b/>
                <w:bCs/>
                <w:color w:val="auto"/>
                <w:szCs w:val="21"/>
                <w:highlight w:val="none"/>
                <w:lang w:val="en-US" w:eastAsia="zh-CN"/>
              </w:rPr>
              <w:t>B包</w:t>
            </w:r>
            <w:r>
              <w:rPr>
                <w:rFonts w:hint="eastAsia" w:cs="宋体"/>
                <w:b/>
                <w:bCs/>
                <w:color w:val="auto"/>
                <w:szCs w:val="21"/>
                <w:highlight w:val="none"/>
              </w:rPr>
              <w:t>缴纳账户：010000013692；</w:t>
            </w:r>
          </w:p>
          <w:p w14:paraId="58DEA952">
            <w:pPr>
              <w:adjustRightInd w:val="0"/>
              <w:snapToGrid w:val="0"/>
              <w:ind w:firstLine="422" w:firstLineChars="200"/>
              <w:rPr>
                <w:rFonts w:hint="eastAsia"/>
                <w:highlight w:val="none"/>
              </w:rPr>
            </w:pPr>
            <w:r>
              <w:rPr>
                <w:rFonts w:hint="eastAsia" w:cs="宋体"/>
                <w:b/>
                <w:bCs/>
                <w:color w:val="auto"/>
                <w:szCs w:val="21"/>
                <w:highlight w:val="none"/>
                <w:lang w:val="en-US" w:eastAsia="zh-CN"/>
              </w:rPr>
              <w:t>C包</w:t>
            </w:r>
            <w:r>
              <w:rPr>
                <w:rFonts w:hint="eastAsia" w:cs="宋体"/>
                <w:b/>
                <w:bCs/>
                <w:color w:val="auto"/>
                <w:szCs w:val="21"/>
                <w:highlight w:val="none"/>
              </w:rPr>
              <w:t>缴纳账户：010000013690；</w:t>
            </w:r>
          </w:p>
          <w:p w14:paraId="67A06DC8">
            <w:pPr>
              <w:adjustRightInd w:val="0"/>
              <w:snapToGrid w:val="0"/>
              <w:rPr>
                <w:rFonts w:hint="eastAsia" w:cs="宋体"/>
                <w:b/>
                <w:bCs/>
                <w:color w:val="auto"/>
                <w:szCs w:val="21"/>
                <w:highlight w:val="none"/>
              </w:rPr>
            </w:pPr>
            <w:r>
              <w:rPr>
                <w:rFonts w:hint="eastAsia" w:cs="宋体"/>
                <w:b/>
                <w:bCs/>
                <w:color w:val="auto"/>
                <w:szCs w:val="21"/>
                <w:highlight w:val="none"/>
              </w:rPr>
              <w:t>2、保证保险：</w:t>
            </w:r>
          </w:p>
          <w:p w14:paraId="6EBE7BEA">
            <w:pPr>
              <w:adjustRightInd w:val="0"/>
              <w:snapToGrid w:val="0"/>
              <w:ind w:firstLine="422" w:firstLineChars="200"/>
              <w:rPr>
                <w:rFonts w:hint="eastAsia" w:cs="宋体"/>
                <w:color w:val="auto"/>
                <w:szCs w:val="21"/>
                <w:highlight w:val="none"/>
              </w:rPr>
            </w:pPr>
            <w:r>
              <w:rPr>
                <w:rFonts w:hint="eastAsia" w:cs="宋体"/>
                <w:b/>
                <w:bCs/>
                <w:color w:val="auto"/>
                <w:szCs w:val="21"/>
                <w:highlight w:val="none"/>
              </w:rPr>
              <w:t>（1）</w:t>
            </w:r>
            <w:r>
              <w:rPr>
                <w:rFonts w:hint="eastAsia" w:cs="宋体"/>
                <w:color w:val="auto"/>
                <w:szCs w:val="21"/>
                <w:highlight w:val="none"/>
              </w:rPr>
              <w:t>当投标人未能按照招投标文件要求履行投标义务而导致招标人受到损失时，由保险公司按照保险合同对招标人的损失承担代偿责任。</w:t>
            </w:r>
          </w:p>
          <w:p w14:paraId="221DD591">
            <w:pPr>
              <w:adjustRightInd w:val="0"/>
              <w:snapToGrid w:val="0"/>
              <w:ind w:firstLine="422" w:firstLineChars="200"/>
              <w:rPr>
                <w:rFonts w:hint="eastAsia" w:cs="宋体"/>
                <w:color w:val="auto"/>
                <w:szCs w:val="21"/>
                <w:highlight w:val="none"/>
              </w:rPr>
            </w:pPr>
            <w:r>
              <w:rPr>
                <w:rFonts w:hint="eastAsia" w:cs="宋体"/>
                <w:b/>
                <w:bCs/>
                <w:color w:val="auto"/>
                <w:szCs w:val="21"/>
                <w:highlight w:val="none"/>
              </w:rPr>
              <w:t>（2）</w:t>
            </w:r>
            <w:r>
              <w:rPr>
                <w:rFonts w:hint="eastAsia" w:cs="宋体"/>
                <w:color w:val="auto"/>
                <w:szCs w:val="21"/>
                <w:highlight w:val="none"/>
              </w:rPr>
              <w:t>投标人在支付投标保证金保险费时，必须使用基本账号资金支付购买，未从基本账户转出支付保费造成经济纠纷的应由企业自行承担。</w:t>
            </w:r>
          </w:p>
          <w:p w14:paraId="0EF3B3D9">
            <w:pPr>
              <w:adjustRightInd w:val="0"/>
              <w:snapToGrid w:val="0"/>
              <w:ind w:firstLine="422" w:firstLineChars="200"/>
              <w:rPr>
                <w:rFonts w:hint="eastAsia" w:cs="宋体"/>
                <w:color w:val="auto"/>
                <w:szCs w:val="21"/>
                <w:highlight w:val="none"/>
              </w:rPr>
            </w:pPr>
            <w:r>
              <w:rPr>
                <w:rFonts w:hint="eastAsia" w:cs="宋体"/>
                <w:b/>
                <w:bCs/>
                <w:color w:val="auto"/>
                <w:szCs w:val="21"/>
                <w:highlight w:val="none"/>
              </w:rPr>
              <w:t>（3）</w:t>
            </w:r>
            <w:r>
              <w:rPr>
                <w:rFonts w:hint="eastAsia" w:cs="宋体"/>
                <w:color w:val="auto"/>
                <w:szCs w:val="21"/>
                <w:highlight w:val="none"/>
              </w:rPr>
              <w:t>在投标保证保险中，投标人为投保人，招标人为被保险人。</w:t>
            </w:r>
          </w:p>
          <w:p w14:paraId="12C69ECC">
            <w:pPr>
              <w:adjustRightInd w:val="0"/>
              <w:snapToGrid w:val="0"/>
              <w:rPr>
                <w:rFonts w:hint="eastAsia" w:cs="宋体"/>
                <w:b/>
                <w:bCs/>
                <w:color w:val="auto"/>
                <w:szCs w:val="21"/>
                <w:highlight w:val="none"/>
              </w:rPr>
            </w:pPr>
            <w:r>
              <w:rPr>
                <w:rFonts w:hint="eastAsia" w:cs="宋体"/>
                <w:b/>
                <w:bCs/>
                <w:color w:val="auto"/>
                <w:szCs w:val="21"/>
                <w:highlight w:val="none"/>
              </w:rPr>
              <w:t>3、银行保函：</w:t>
            </w:r>
          </w:p>
          <w:p w14:paraId="7C5BC19F">
            <w:pPr>
              <w:adjustRightInd w:val="0"/>
              <w:snapToGrid w:val="0"/>
              <w:ind w:firstLine="422" w:firstLineChars="200"/>
              <w:rPr>
                <w:rFonts w:hint="eastAsia" w:cs="宋体"/>
                <w:color w:val="auto"/>
                <w:szCs w:val="21"/>
                <w:highlight w:val="none"/>
              </w:rPr>
            </w:pPr>
            <w:r>
              <w:rPr>
                <w:rFonts w:hint="eastAsia" w:cs="宋体"/>
                <w:b/>
                <w:bCs/>
                <w:color w:val="auto"/>
                <w:szCs w:val="21"/>
                <w:highlight w:val="none"/>
              </w:rPr>
              <w:t>（1）</w:t>
            </w:r>
            <w:r>
              <w:rPr>
                <w:rFonts w:hint="eastAsia" w:cs="宋体"/>
                <w:color w:val="auto"/>
                <w:szCs w:val="21"/>
                <w:highlight w:val="none"/>
              </w:rPr>
              <w:t>当投标人未能按照招投标文件要求履行投标义务而导致招标人受到损失时，由担保银行按照要求对招标人的损失承担代偿责任。</w:t>
            </w:r>
          </w:p>
          <w:p w14:paraId="7B2E5DA9">
            <w:pPr>
              <w:adjustRightInd w:val="0"/>
              <w:snapToGrid w:val="0"/>
              <w:ind w:firstLine="422" w:firstLineChars="200"/>
              <w:rPr>
                <w:rFonts w:hint="eastAsia" w:cs="宋体"/>
                <w:color w:val="auto"/>
                <w:szCs w:val="21"/>
                <w:highlight w:val="none"/>
              </w:rPr>
            </w:pPr>
            <w:r>
              <w:rPr>
                <w:rFonts w:hint="eastAsia" w:cs="宋体"/>
                <w:b/>
                <w:bCs/>
                <w:color w:val="auto"/>
                <w:szCs w:val="21"/>
                <w:highlight w:val="none"/>
              </w:rPr>
              <w:t>（2）</w:t>
            </w:r>
            <w:r>
              <w:rPr>
                <w:rFonts w:hint="eastAsia" w:cs="宋体"/>
                <w:color w:val="auto"/>
                <w:szCs w:val="21"/>
                <w:highlight w:val="none"/>
              </w:rPr>
              <w:t>在投标担保中，投标人为被担保人，招标人为受益人。</w:t>
            </w:r>
          </w:p>
          <w:p w14:paraId="187370A0">
            <w:pPr>
              <w:autoSpaceDE w:val="0"/>
              <w:autoSpaceDN w:val="0"/>
              <w:adjustRightInd w:val="0"/>
              <w:snapToGrid w:val="0"/>
              <w:spacing w:before="66" w:beforeLines="20" w:after="66" w:afterLines="20"/>
              <w:rPr>
                <w:rFonts w:hint="eastAsia" w:cs="宋体"/>
                <w:b/>
                <w:bCs/>
                <w:color w:val="auto"/>
                <w:szCs w:val="21"/>
                <w:highlight w:val="none"/>
              </w:rPr>
            </w:pPr>
            <w:r>
              <w:rPr>
                <w:rFonts w:hint="eastAsia" w:cs="宋体"/>
                <w:b/>
                <w:bCs/>
                <w:color w:val="auto"/>
                <w:szCs w:val="21"/>
                <w:highlight w:val="none"/>
              </w:rPr>
              <w:t>★四、投标保证金有效期同投标有效期，需符合本章17.1条规定。</w:t>
            </w:r>
          </w:p>
          <w:p w14:paraId="3B325873">
            <w:pPr>
              <w:adjustRightInd w:val="0"/>
              <w:snapToGrid w:val="0"/>
              <w:rPr>
                <w:rFonts w:hint="eastAsia" w:cs="宋体"/>
                <w:color w:val="auto"/>
                <w:kern w:val="0"/>
                <w:szCs w:val="21"/>
                <w:highlight w:val="none"/>
              </w:rPr>
            </w:pPr>
            <w:r>
              <w:rPr>
                <w:rFonts w:hint="eastAsia" w:cs="宋体"/>
                <w:b/>
                <w:bCs/>
                <w:color w:val="auto"/>
                <w:szCs w:val="21"/>
                <w:highlight w:val="none"/>
              </w:rPr>
              <w:t>★五、提交投标保证金的截止时间为：</w:t>
            </w:r>
            <w:r>
              <w:rPr>
                <w:rFonts w:hint="eastAsia" w:cs="宋体"/>
                <w:b/>
                <w:bCs/>
                <w:color w:val="auto"/>
                <w:szCs w:val="21"/>
                <w:highlight w:val="none"/>
                <w:u w:val="single"/>
              </w:rPr>
              <w:t>同投标截止时间</w:t>
            </w:r>
            <w:r>
              <w:rPr>
                <w:rFonts w:hint="eastAsia" w:cs="宋体"/>
                <w:b/>
                <w:bCs/>
                <w:color w:val="auto"/>
                <w:szCs w:val="21"/>
                <w:highlight w:val="none"/>
              </w:rPr>
              <w:t>。</w:t>
            </w:r>
          </w:p>
        </w:tc>
      </w:tr>
      <w:tr w14:paraId="69E4A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55" w:type="dxa"/>
            <w:gridSpan w:val="2"/>
            <w:noWrap/>
            <w:vAlign w:val="center"/>
          </w:tcPr>
          <w:p w14:paraId="423C6E64">
            <w:pPr>
              <w:pStyle w:val="23"/>
              <w:jc w:val="center"/>
              <w:rPr>
                <w:rFonts w:hint="eastAsia" w:cs="宋体"/>
                <w:b/>
                <w:bCs/>
                <w:color w:val="auto"/>
                <w:szCs w:val="21"/>
                <w:highlight w:val="none"/>
              </w:rPr>
            </w:pPr>
            <w:r>
              <w:rPr>
                <w:rFonts w:hint="eastAsia" w:cs="宋体"/>
                <w:b/>
                <w:bCs/>
                <w:color w:val="auto"/>
                <w:szCs w:val="21"/>
                <w:highlight w:val="none"/>
              </w:rPr>
              <w:t>21.5</w:t>
            </w:r>
          </w:p>
        </w:tc>
        <w:tc>
          <w:tcPr>
            <w:tcW w:w="2170" w:type="dxa"/>
            <w:noWrap/>
            <w:vAlign w:val="center"/>
          </w:tcPr>
          <w:p w14:paraId="1C8C323E">
            <w:pPr>
              <w:pStyle w:val="23"/>
              <w:rPr>
                <w:rFonts w:hint="eastAsia" w:cs="宋体"/>
                <w:b/>
                <w:bCs/>
                <w:color w:val="auto"/>
                <w:szCs w:val="21"/>
                <w:highlight w:val="none"/>
              </w:rPr>
            </w:pPr>
            <w:r>
              <w:rPr>
                <w:b/>
                <w:bCs/>
                <w:color w:val="auto"/>
                <w:szCs w:val="21"/>
                <w:highlight w:val="none"/>
              </w:rPr>
              <w:t>投标保证金的退回方式</w:t>
            </w:r>
          </w:p>
        </w:tc>
        <w:tc>
          <w:tcPr>
            <w:tcW w:w="6335" w:type="dxa"/>
            <w:noWrap/>
            <w:vAlign w:val="center"/>
          </w:tcPr>
          <w:p w14:paraId="69511B41">
            <w:pPr>
              <w:adjustRightInd w:val="0"/>
              <w:snapToGrid w:val="0"/>
              <w:rPr>
                <w:rFonts w:hint="eastAsia" w:cs="宋体"/>
                <w:color w:val="auto"/>
                <w:highlight w:val="none"/>
              </w:rPr>
            </w:pPr>
            <w:r>
              <w:rPr>
                <w:rFonts w:hint="eastAsia" w:cs="宋体"/>
                <w:b/>
                <w:bCs/>
                <w:color w:val="auto"/>
                <w:highlight w:val="none"/>
              </w:rPr>
              <w:t>（</w:t>
            </w:r>
            <w:r>
              <w:rPr>
                <w:rFonts w:cs="宋体"/>
                <w:b/>
                <w:bCs/>
                <w:color w:val="auto"/>
                <w:highlight w:val="none"/>
              </w:rPr>
              <w:t>1）</w:t>
            </w:r>
            <w:r>
              <w:rPr>
                <w:rFonts w:cs="宋体"/>
                <w:color w:val="auto"/>
                <w:highlight w:val="none"/>
              </w:rPr>
              <w:t>以银行转账、网银、电汇缴纳的保证金，以网银对公转账的方式退还到</w:t>
            </w:r>
            <w:r>
              <w:rPr>
                <w:rFonts w:hint="eastAsia" w:cs="宋体"/>
                <w:color w:val="auto"/>
                <w:highlight w:val="none"/>
              </w:rPr>
              <w:t>投标人</w:t>
            </w:r>
            <w:r>
              <w:rPr>
                <w:rFonts w:cs="宋体"/>
                <w:color w:val="auto"/>
                <w:highlight w:val="none"/>
              </w:rPr>
              <w:t>打款账户；</w:t>
            </w:r>
          </w:p>
          <w:p w14:paraId="7BE4CBD8">
            <w:pPr>
              <w:adjustRightInd w:val="0"/>
              <w:snapToGrid w:val="0"/>
              <w:rPr>
                <w:rFonts w:hint="eastAsia" w:cs="宋体"/>
                <w:color w:val="auto"/>
                <w:highlight w:val="none"/>
              </w:rPr>
            </w:pPr>
            <w:r>
              <w:rPr>
                <w:rFonts w:hint="eastAsia" w:cs="宋体"/>
                <w:b/>
                <w:bCs/>
                <w:color w:val="auto"/>
                <w:highlight w:val="none"/>
              </w:rPr>
              <w:t>（</w:t>
            </w:r>
            <w:r>
              <w:rPr>
                <w:rFonts w:cs="宋体"/>
                <w:b/>
                <w:bCs/>
                <w:color w:val="auto"/>
                <w:highlight w:val="none"/>
              </w:rPr>
              <w:t>2）</w:t>
            </w:r>
            <w:r>
              <w:rPr>
                <w:rFonts w:cs="宋体"/>
                <w:color w:val="auto"/>
                <w:highlight w:val="none"/>
              </w:rPr>
              <w:t>以支票、汇票及本票等票据方式缴纳的保证金，经财务查账确认后以对公转账的方式退还到</w:t>
            </w:r>
            <w:r>
              <w:rPr>
                <w:rFonts w:hint="eastAsia" w:cs="宋体"/>
                <w:color w:val="auto"/>
                <w:highlight w:val="none"/>
              </w:rPr>
              <w:t>投标人</w:t>
            </w:r>
            <w:r>
              <w:rPr>
                <w:rFonts w:cs="宋体"/>
                <w:color w:val="auto"/>
                <w:highlight w:val="none"/>
              </w:rPr>
              <w:t>开户账户；</w:t>
            </w:r>
          </w:p>
          <w:p w14:paraId="258D45A4">
            <w:pPr>
              <w:adjustRightInd w:val="0"/>
              <w:snapToGrid w:val="0"/>
              <w:rPr>
                <w:rFonts w:hint="eastAsia" w:cs="宋体"/>
                <w:b/>
                <w:bCs/>
                <w:color w:val="auto"/>
                <w:szCs w:val="21"/>
                <w:highlight w:val="none"/>
              </w:rPr>
            </w:pPr>
            <w:r>
              <w:rPr>
                <w:rFonts w:hint="eastAsia" w:cs="宋体"/>
                <w:b/>
                <w:bCs/>
                <w:color w:val="auto"/>
                <w:highlight w:val="none"/>
              </w:rPr>
              <w:t>（</w:t>
            </w:r>
            <w:r>
              <w:rPr>
                <w:rFonts w:cs="宋体"/>
                <w:b/>
                <w:bCs/>
                <w:color w:val="auto"/>
                <w:highlight w:val="none"/>
              </w:rPr>
              <w:t>3）</w:t>
            </w:r>
            <w:r>
              <w:rPr>
                <w:rFonts w:cs="宋体"/>
                <w:color w:val="auto"/>
                <w:highlight w:val="none"/>
              </w:rPr>
              <w:t>以银行保函或者保证保险方式缴纳的保证金由</w:t>
            </w:r>
            <w:r>
              <w:rPr>
                <w:rFonts w:hint="eastAsia" w:cs="宋体"/>
                <w:color w:val="auto"/>
                <w:highlight w:val="none"/>
              </w:rPr>
              <w:t>投标人</w:t>
            </w:r>
            <w:r>
              <w:rPr>
                <w:rFonts w:cs="宋体"/>
                <w:color w:val="auto"/>
                <w:highlight w:val="none"/>
              </w:rPr>
              <w:t>自行联系出函机构。</w:t>
            </w:r>
          </w:p>
        </w:tc>
      </w:tr>
      <w:tr w14:paraId="45244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25792E2B">
            <w:pPr>
              <w:pStyle w:val="23"/>
              <w:jc w:val="center"/>
              <w:rPr>
                <w:rFonts w:hint="eastAsia" w:cs="宋体"/>
                <w:color w:val="auto"/>
                <w:szCs w:val="21"/>
                <w:highlight w:val="none"/>
              </w:rPr>
            </w:pPr>
            <w:r>
              <w:rPr>
                <w:rFonts w:hint="eastAsia" w:cs="宋体"/>
                <w:color w:val="auto"/>
                <w:szCs w:val="21"/>
                <w:highlight w:val="none"/>
              </w:rPr>
              <w:t>23.1</w:t>
            </w:r>
          </w:p>
        </w:tc>
        <w:tc>
          <w:tcPr>
            <w:tcW w:w="2170" w:type="dxa"/>
            <w:noWrap/>
            <w:vAlign w:val="center"/>
          </w:tcPr>
          <w:p w14:paraId="587D1B22">
            <w:pPr>
              <w:pStyle w:val="23"/>
              <w:rPr>
                <w:rFonts w:hint="eastAsia" w:cs="宋体"/>
                <w:color w:val="auto"/>
                <w:szCs w:val="21"/>
                <w:highlight w:val="none"/>
              </w:rPr>
            </w:pPr>
            <w:r>
              <w:rPr>
                <w:rFonts w:hint="eastAsia"/>
                <w:color w:val="auto"/>
                <w:szCs w:val="21"/>
                <w:highlight w:val="none"/>
              </w:rPr>
              <w:t>提交投标文件截止时间</w:t>
            </w:r>
          </w:p>
        </w:tc>
        <w:tc>
          <w:tcPr>
            <w:tcW w:w="6335" w:type="dxa"/>
            <w:noWrap/>
            <w:vAlign w:val="center"/>
          </w:tcPr>
          <w:p w14:paraId="4F272323">
            <w:pPr>
              <w:pStyle w:val="23"/>
              <w:rPr>
                <w:rFonts w:hint="eastAsia" w:cs="宋体"/>
                <w:color w:val="auto"/>
                <w:szCs w:val="21"/>
                <w:highlight w:val="none"/>
              </w:rPr>
            </w:pPr>
            <w:r>
              <w:rPr>
                <w:rFonts w:hint="eastAsia"/>
                <w:color w:val="auto"/>
                <w:szCs w:val="21"/>
                <w:highlight w:val="none"/>
              </w:rPr>
              <w:t>详见“第一章 招标公告”。</w:t>
            </w:r>
          </w:p>
        </w:tc>
      </w:tr>
      <w:tr w14:paraId="23E15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40F265E2">
            <w:pPr>
              <w:pStyle w:val="23"/>
              <w:jc w:val="center"/>
              <w:rPr>
                <w:rFonts w:hint="eastAsia" w:cs="宋体"/>
                <w:color w:val="auto"/>
                <w:szCs w:val="21"/>
                <w:highlight w:val="none"/>
              </w:rPr>
            </w:pPr>
            <w:r>
              <w:rPr>
                <w:rFonts w:hint="eastAsia" w:cs="宋体"/>
                <w:color w:val="auto"/>
                <w:szCs w:val="21"/>
                <w:highlight w:val="none"/>
              </w:rPr>
              <w:t>23.2</w:t>
            </w:r>
          </w:p>
        </w:tc>
        <w:tc>
          <w:tcPr>
            <w:tcW w:w="2170" w:type="dxa"/>
            <w:noWrap/>
            <w:vAlign w:val="center"/>
          </w:tcPr>
          <w:p w14:paraId="398789BF">
            <w:pPr>
              <w:pStyle w:val="23"/>
              <w:rPr>
                <w:rFonts w:hint="eastAsia" w:eastAsia="宋体" w:cs="宋体"/>
                <w:color w:val="auto"/>
                <w:szCs w:val="24"/>
                <w:highlight w:val="none"/>
                <w:lang w:eastAsia="zh-CN"/>
              </w:rPr>
            </w:pPr>
            <w:r>
              <w:rPr>
                <w:rFonts w:hint="eastAsia"/>
                <w:color w:val="auto"/>
                <w:szCs w:val="21"/>
                <w:highlight w:val="none"/>
              </w:rPr>
              <w:t>提交投标文件</w:t>
            </w:r>
            <w:r>
              <w:rPr>
                <w:rFonts w:hint="eastAsia"/>
                <w:color w:val="auto"/>
                <w:szCs w:val="21"/>
                <w:highlight w:val="none"/>
                <w:lang w:val="en-US" w:eastAsia="zh-CN"/>
              </w:rPr>
              <w:t>地点</w:t>
            </w:r>
          </w:p>
        </w:tc>
        <w:tc>
          <w:tcPr>
            <w:tcW w:w="6335" w:type="dxa"/>
            <w:noWrap/>
            <w:vAlign w:val="center"/>
          </w:tcPr>
          <w:p w14:paraId="332DAEE7">
            <w:pPr>
              <w:pStyle w:val="23"/>
              <w:rPr>
                <w:rFonts w:hint="eastAsia" w:cs="宋体"/>
                <w:color w:val="auto"/>
                <w:szCs w:val="24"/>
                <w:highlight w:val="none"/>
              </w:rPr>
            </w:pPr>
            <w:r>
              <w:rPr>
                <w:rFonts w:hint="eastAsia"/>
                <w:color w:val="auto"/>
                <w:szCs w:val="21"/>
                <w:highlight w:val="none"/>
              </w:rPr>
              <w:t>详见“第一章 招标公告”。</w:t>
            </w:r>
          </w:p>
        </w:tc>
      </w:tr>
      <w:tr w14:paraId="1E69C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1455" w:type="dxa"/>
            <w:gridSpan w:val="2"/>
            <w:noWrap/>
            <w:vAlign w:val="center"/>
          </w:tcPr>
          <w:p w14:paraId="46F2804C">
            <w:pPr>
              <w:pStyle w:val="23"/>
              <w:jc w:val="center"/>
              <w:rPr>
                <w:rFonts w:hint="eastAsia" w:cs="宋体"/>
                <w:color w:val="auto"/>
                <w:szCs w:val="21"/>
                <w:highlight w:val="none"/>
              </w:rPr>
            </w:pPr>
            <w:r>
              <w:rPr>
                <w:rFonts w:hint="eastAsia" w:cs="宋体"/>
                <w:color w:val="auto"/>
                <w:szCs w:val="21"/>
                <w:highlight w:val="none"/>
              </w:rPr>
              <w:t>23.3</w:t>
            </w:r>
          </w:p>
        </w:tc>
        <w:tc>
          <w:tcPr>
            <w:tcW w:w="2170" w:type="dxa"/>
            <w:noWrap/>
            <w:vAlign w:val="center"/>
          </w:tcPr>
          <w:p w14:paraId="615B742C">
            <w:pPr>
              <w:pStyle w:val="23"/>
              <w:rPr>
                <w:rFonts w:hint="eastAsia" w:cs="宋体"/>
                <w:color w:val="auto"/>
                <w:szCs w:val="21"/>
                <w:highlight w:val="none"/>
              </w:rPr>
            </w:pPr>
            <w:r>
              <w:rPr>
                <w:rFonts w:hint="eastAsia" w:cs="宋体"/>
                <w:color w:val="auto"/>
                <w:szCs w:val="21"/>
                <w:highlight w:val="none"/>
              </w:rPr>
              <w:t>投标文件的退还</w:t>
            </w:r>
          </w:p>
        </w:tc>
        <w:tc>
          <w:tcPr>
            <w:tcW w:w="6335" w:type="dxa"/>
            <w:noWrap/>
            <w:vAlign w:val="center"/>
          </w:tcPr>
          <w:p w14:paraId="6BD29C57">
            <w:pPr>
              <w:pStyle w:val="23"/>
              <w:rPr>
                <w:rFonts w:hint="eastAsia" w:cs="宋体"/>
                <w:color w:val="auto"/>
                <w:szCs w:val="21"/>
                <w:highlight w:val="none"/>
              </w:rPr>
            </w:pPr>
            <w:r>
              <w:rPr>
                <w:rFonts w:hint="eastAsia" w:cs="宋体"/>
                <w:color w:val="auto"/>
                <w:szCs w:val="21"/>
                <w:highlight w:val="none"/>
              </w:rPr>
              <w:t>不予退还。</w:t>
            </w:r>
          </w:p>
        </w:tc>
      </w:tr>
      <w:tr w14:paraId="0BEBE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455" w:type="dxa"/>
            <w:gridSpan w:val="2"/>
            <w:noWrap/>
            <w:vAlign w:val="center"/>
          </w:tcPr>
          <w:p w14:paraId="525D0914">
            <w:pPr>
              <w:pStyle w:val="23"/>
              <w:jc w:val="center"/>
              <w:rPr>
                <w:rFonts w:hint="eastAsia" w:cs="宋体"/>
                <w:color w:val="auto"/>
                <w:szCs w:val="21"/>
                <w:highlight w:val="none"/>
              </w:rPr>
            </w:pPr>
            <w:r>
              <w:rPr>
                <w:rFonts w:hint="eastAsia" w:cs="宋体"/>
                <w:color w:val="auto"/>
                <w:szCs w:val="21"/>
                <w:highlight w:val="none"/>
              </w:rPr>
              <w:t>24.1</w:t>
            </w:r>
          </w:p>
        </w:tc>
        <w:tc>
          <w:tcPr>
            <w:tcW w:w="2170" w:type="dxa"/>
            <w:noWrap/>
            <w:vAlign w:val="center"/>
          </w:tcPr>
          <w:p w14:paraId="422C41CE">
            <w:pPr>
              <w:pStyle w:val="23"/>
              <w:rPr>
                <w:rFonts w:hint="eastAsia" w:cs="宋体"/>
                <w:color w:val="auto"/>
                <w:szCs w:val="21"/>
                <w:highlight w:val="none"/>
              </w:rPr>
            </w:pPr>
            <w:r>
              <w:rPr>
                <w:rFonts w:hint="eastAsia" w:cs="宋体"/>
                <w:color w:val="auto"/>
                <w:szCs w:val="21"/>
                <w:highlight w:val="none"/>
              </w:rPr>
              <w:t>开标时间和地点</w:t>
            </w:r>
          </w:p>
        </w:tc>
        <w:tc>
          <w:tcPr>
            <w:tcW w:w="6335" w:type="dxa"/>
            <w:noWrap/>
            <w:vAlign w:val="center"/>
          </w:tcPr>
          <w:p w14:paraId="61ED1031">
            <w:pPr>
              <w:pStyle w:val="23"/>
              <w:rPr>
                <w:rFonts w:hint="eastAsia" w:cs="宋体"/>
                <w:color w:val="auto"/>
                <w:szCs w:val="21"/>
                <w:highlight w:val="none"/>
              </w:rPr>
            </w:pPr>
            <w:r>
              <w:rPr>
                <w:rFonts w:hint="eastAsia" w:cs="宋体"/>
                <w:color w:val="auto"/>
                <w:szCs w:val="21"/>
                <w:highlight w:val="none"/>
              </w:rPr>
              <w:t>开标时间：见招标公告；</w:t>
            </w:r>
          </w:p>
          <w:p w14:paraId="7F8777CA">
            <w:pPr>
              <w:snapToGrid w:val="0"/>
              <w:rPr>
                <w:rFonts w:hint="eastAsia" w:cs="宋体"/>
                <w:color w:val="auto"/>
                <w:szCs w:val="21"/>
                <w:highlight w:val="none"/>
              </w:rPr>
            </w:pPr>
            <w:r>
              <w:rPr>
                <w:rFonts w:hint="eastAsia" w:cs="宋体"/>
                <w:color w:val="auto"/>
                <w:szCs w:val="21"/>
                <w:highlight w:val="none"/>
              </w:rPr>
              <w:t>开标地点：见招标公告。</w:t>
            </w:r>
          </w:p>
        </w:tc>
      </w:tr>
      <w:tr w14:paraId="0A79B5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15E2BE47">
            <w:pPr>
              <w:pStyle w:val="23"/>
              <w:jc w:val="center"/>
              <w:rPr>
                <w:rFonts w:hint="eastAsia" w:cs="宋体"/>
                <w:color w:val="auto"/>
                <w:szCs w:val="21"/>
                <w:highlight w:val="none"/>
              </w:rPr>
            </w:pPr>
            <w:r>
              <w:rPr>
                <w:rFonts w:hint="eastAsia" w:cs="宋体"/>
                <w:color w:val="auto"/>
                <w:szCs w:val="21"/>
                <w:highlight w:val="none"/>
              </w:rPr>
              <w:t>26.3</w:t>
            </w:r>
          </w:p>
        </w:tc>
        <w:tc>
          <w:tcPr>
            <w:tcW w:w="2170" w:type="dxa"/>
            <w:noWrap/>
            <w:vAlign w:val="center"/>
          </w:tcPr>
          <w:p w14:paraId="2A7C1DE9">
            <w:pPr>
              <w:pStyle w:val="23"/>
              <w:rPr>
                <w:rFonts w:hint="eastAsia" w:cs="宋体"/>
                <w:color w:val="auto"/>
                <w:szCs w:val="21"/>
                <w:highlight w:val="none"/>
              </w:rPr>
            </w:pPr>
            <w:r>
              <w:rPr>
                <w:rFonts w:hint="eastAsia" w:cs="宋体"/>
                <w:color w:val="auto"/>
                <w:szCs w:val="21"/>
                <w:highlight w:val="none"/>
              </w:rPr>
              <w:t>评标方法</w:t>
            </w:r>
          </w:p>
        </w:tc>
        <w:tc>
          <w:tcPr>
            <w:tcW w:w="6335" w:type="dxa"/>
            <w:noWrap/>
            <w:vAlign w:val="center"/>
          </w:tcPr>
          <w:p w14:paraId="5D7880D3">
            <w:pPr>
              <w:rPr>
                <w:rFonts w:hint="eastAsia" w:cs="宋体"/>
                <w:color w:val="auto"/>
                <w:szCs w:val="21"/>
                <w:highlight w:val="none"/>
              </w:rPr>
            </w:pPr>
            <w:r>
              <w:rPr>
                <w:rFonts w:hint="eastAsia" w:cs="宋体"/>
                <w:color w:val="auto"/>
                <w:szCs w:val="21"/>
                <w:highlight w:val="none"/>
              </w:rPr>
              <w:t>■综合评分法</w:t>
            </w:r>
          </w:p>
        </w:tc>
      </w:tr>
      <w:tr w14:paraId="37073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08A975DD">
            <w:pPr>
              <w:pStyle w:val="23"/>
              <w:jc w:val="center"/>
              <w:rPr>
                <w:rFonts w:hint="eastAsia" w:cs="宋体"/>
                <w:color w:val="auto"/>
                <w:szCs w:val="21"/>
                <w:highlight w:val="none"/>
              </w:rPr>
            </w:pPr>
            <w:r>
              <w:rPr>
                <w:rFonts w:hint="eastAsia" w:cs="宋体"/>
                <w:color w:val="auto"/>
                <w:szCs w:val="21"/>
                <w:highlight w:val="none"/>
              </w:rPr>
              <w:t>31.1</w:t>
            </w:r>
          </w:p>
        </w:tc>
        <w:tc>
          <w:tcPr>
            <w:tcW w:w="2170" w:type="dxa"/>
            <w:noWrap/>
            <w:vAlign w:val="center"/>
          </w:tcPr>
          <w:p w14:paraId="43E8BB33">
            <w:pPr>
              <w:pStyle w:val="23"/>
              <w:rPr>
                <w:rFonts w:hint="eastAsia" w:cs="宋体"/>
                <w:color w:val="auto"/>
                <w:szCs w:val="21"/>
                <w:highlight w:val="yellow"/>
              </w:rPr>
            </w:pPr>
            <w:r>
              <w:rPr>
                <w:rFonts w:hint="eastAsia" w:cs="宋体"/>
                <w:bCs/>
                <w:color w:val="auto"/>
                <w:szCs w:val="21"/>
                <w:highlight w:val="none"/>
              </w:rPr>
              <w:t>履约担保</w:t>
            </w:r>
          </w:p>
        </w:tc>
        <w:tc>
          <w:tcPr>
            <w:tcW w:w="6335" w:type="dxa"/>
            <w:noWrap/>
            <w:vAlign w:val="center"/>
          </w:tcPr>
          <w:p w14:paraId="19E8E0BA">
            <w:pPr>
              <w:keepNext w:val="0"/>
              <w:keepLines w:val="0"/>
              <w:pageBreakBefore w:val="0"/>
              <w:widowControl w:val="0"/>
              <w:kinsoku/>
              <w:wordWrap/>
              <w:overflowPunct/>
              <w:topLinePunct w:val="0"/>
              <w:autoSpaceDE w:val="0"/>
              <w:autoSpaceDN w:val="0"/>
              <w:bidi w:val="0"/>
              <w:snapToGrid/>
              <w:spacing w:after="100" w:line="240" w:lineRule="auto"/>
              <w:jc w:val="left"/>
              <w:textAlignment w:val="auto"/>
              <w:rPr>
                <w:rFonts w:hint="eastAsia" w:cs="仿宋"/>
                <w:color w:val="auto"/>
                <w:sz w:val="21"/>
                <w:szCs w:val="21"/>
                <w:lang w:eastAsia="zh-CN"/>
              </w:rPr>
            </w:pPr>
            <w:r>
              <w:rPr>
                <w:rFonts w:hint="eastAsia" w:cs="仿宋"/>
                <w:color w:val="auto"/>
                <w:sz w:val="21"/>
                <w:szCs w:val="21"/>
                <w:lang w:eastAsia="zh-CN"/>
              </w:rPr>
              <w:t>是否要求成交人提交履约保证金：</w:t>
            </w:r>
          </w:p>
          <w:p w14:paraId="417790BF">
            <w:pPr>
              <w:keepNext w:val="0"/>
              <w:keepLines w:val="0"/>
              <w:pageBreakBefore w:val="0"/>
              <w:widowControl w:val="0"/>
              <w:kinsoku/>
              <w:wordWrap/>
              <w:overflowPunct/>
              <w:topLinePunct w:val="0"/>
              <w:autoSpaceDE w:val="0"/>
              <w:autoSpaceDN w:val="0"/>
              <w:bidi w:val="0"/>
              <w:snapToGrid/>
              <w:spacing w:after="100" w:line="240" w:lineRule="auto"/>
              <w:jc w:val="left"/>
              <w:textAlignment w:val="auto"/>
              <w:rPr>
                <w:rFonts w:hint="eastAsia" w:cs="仿宋"/>
                <w:color w:val="auto"/>
                <w:sz w:val="21"/>
                <w:szCs w:val="21"/>
                <w:highlight w:val="none"/>
                <w:lang w:eastAsia="zh-CN"/>
              </w:rPr>
            </w:pPr>
            <w:r>
              <w:rPr>
                <w:rFonts w:hint="eastAsia" w:cs="仿宋"/>
                <w:color w:val="auto"/>
                <w:sz w:val="21"/>
                <w:szCs w:val="21"/>
                <w:highlight w:val="none"/>
                <w:lang w:eastAsia="zh-CN"/>
              </w:rPr>
              <w:t>☑要求，履约保证金的形式：</w:t>
            </w:r>
            <w:r>
              <w:rPr>
                <w:rFonts w:hint="eastAsia" w:cs="仿宋"/>
                <w:color w:val="auto"/>
                <w:sz w:val="21"/>
                <w:szCs w:val="21"/>
                <w:highlight w:val="none"/>
                <w:u w:val="single"/>
                <w:lang w:eastAsia="zh-CN"/>
              </w:rPr>
              <w:t>支票、汇票、本票或者金融机构、担保机构出具的保函、保险</w:t>
            </w:r>
            <w:r>
              <w:rPr>
                <w:rFonts w:hint="eastAsia" w:cs="仿宋"/>
                <w:color w:val="auto"/>
                <w:sz w:val="21"/>
                <w:szCs w:val="21"/>
                <w:highlight w:val="none"/>
                <w:lang w:eastAsia="zh-CN"/>
              </w:rPr>
              <w:t>等非现金形式提交；</w:t>
            </w:r>
          </w:p>
          <w:p w14:paraId="6456FAA8">
            <w:pPr>
              <w:keepNext w:val="0"/>
              <w:keepLines w:val="0"/>
              <w:pageBreakBefore w:val="0"/>
              <w:widowControl w:val="0"/>
              <w:kinsoku/>
              <w:wordWrap/>
              <w:overflowPunct/>
              <w:topLinePunct w:val="0"/>
              <w:autoSpaceDE w:val="0"/>
              <w:autoSpaceDN w:val="0"/>
              <w:bidi w:val="0"/>
              <w:snapToGrid/>
              <w:spacing w:after="100" w:line="240" w:lineRule="auto"/>
              <w:jc w:val="left"/>
              <w:textAlignment w:val="auto"/>
              <w:rPr>
                <w:rFonts w:hint="eastAsia" w:cs="仿宋"/>
                <w:color w:val="auto"/>
                <w:sz w:val="21"/>
                <w:szCs w:val="21"/>
                <w:highlight w:val="none"/>
                <w:u w:val="single"/>
                <w:lang w:val="en-US" w:eastAsia="zh-CN"/>
              </w:rPr>
            </w:pPr>
            <w:r>
              <w:rPr>
                <w:rFonts w:hint="eastAsia" w:cs="仿宋"/>
                <w:color w:val="auto"/>
                <w:sz w:val="21"/>
                <w:szCs w:val="21"/>
                <w:highlight w:val="none"/>
                <w:lang w:eastAsia="zh-CN"/>
              </w:rPr>
              <w:t>履约保证金的金额：</w:t>
            </w:r>
            <w:r>
              <w:rPr>
                <w:rFonts w:hint="eastAsia" w:cs="仿宋"/>
                <w:color w:val="auto"/>
                <w:sz w:val="21"/>
                <w:szCs w:val="21"/>
                <w:highlight w:val="none"/>
                <w:u w:val="single"/>
                <w:lang w:val="en-US" w:eastAsia="zh-CN"/>
              </w:rPr>
              <w:t>合同金额的5%</w:t>
            </w:r>
          </w:p>
          <w:p w14:paraId="23D641AE">
            <w:pPr>
              <w:pStyle w:val="23"/>
              <w:rPr>
                <w:rFonts w:hint="eastAsia" w:eastAsia="宋体" w:cs="宋体"/>
                <w:color w:val="auto"/>
                <w:highlight w:val="yellow"/>
                <w:lang w:eastAsia="zh-CN"/>
              </w:rPr>
            </w:pPr>
            <w:r>
              <w:rPr>
                <w:rFonts w:hint="eastAsia" w:cs="仿宋"/>
                <w:color w:val="auto"/>
                <w:sz w:val="21"/>
                <w:szCs w:val="21"/>
                <w:lang w:eastAsia="zh-CN"/>
              </w:rPr>
              <w:t>□不要求</w:t>
            </w:r>
          </w:p>
        </w:tc>
      </w:tr>
      <w:tr w14:paraId="1F495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1455" w:type="dxa"/>
            <w:gridSpan w:val="2"/>
            <w:noWrap/>
            <w:vAlign w:val="center"/>
          </w:tcPr>
          <w:p w14:paraId="2F1BC9E2">
            <w:pPr>
              <w:pStyle w:val="23"/>
              <w:jc w:val="center"/>
              <w:rPr>
                <w:rFonts w:hint="eastAsia" w:cs="宋体"/>
                <w:b/>
                <w:bCs/>
                <w:color w:val="auto"/>
                <w:szCs w:val="21"/>
                <w:highlight w:val="none"/>
              </w:rPr>
            </w:pPr>
            <w:r>
              <w:rPr>
                <w:rFonts w:hint="eastAsia" w:cs="宋体"/>
                <w:b/>
                <w:bCs/>
                <w:color w:val="auto"/>
                <w:szCs w:val="21"/>
                <w:highlight w:val="none"/>
              </w:rPr>
              <w:t>32.1</w:t>
            </w:r>
          </w:p>
        </w:tc>
        <w:tc>
          <w:tcPr>
            <w:tcW w:w="2170" w:type="dxa"/>
            <w:noWrap/>
            <w:vAlign w:val="center"/>
          </w:tcPr>
          <w:p w14:paraId="1A9D9A40">
            <w:pPr>
              <w:pStyle w:val="23"/>
              <w:rPr>
                <w:rFonts w:hint="eastAsia" w:cs="宋体"/>
                <w:b/>
                <w:bCs/>
                <w:color w:val="auto"/>
                <w:szCs w:val="21"/>
                <w:highlight w:val="none"/>
              </w:rPr>
            </w:pPr>
            <w:r>
              <w:rPr>
                <w:rFonts w:hint="eastAsia" w:cs="宋体"/>
                <w:b/>
                <w:bCs/>
                <w:color w:val="auto"/>
                <w:szCs w:val="21"/>
                <w:highlight w:val="none"/>
              </w:rPr>
              <w:t xml:space="preserve">采购代理服务费 </w:t>
            </w:r>
          </w:p>
        </w:tc>
        <w:tc>
          <w:tcPr>
            <w:tcW w:w="6335" w:type="dxa"/>
            <w:noWrap/>
            <w:vAlign w:val="center"/>
          </w:tcPr>
          <w:p w14:paraId="54E98141">
            <w:pPr>
              <w:pStyle w:val="23"/>
              <w:rPr>
                <w:rFonts w:hint="eastAsia" w:cs="宋体"/>
                <w:b/>
                <w:color w:val="auto"/>
                <w:szCs w:val="21"/>
                <w:highlight w:val="none"/>
              </w:rPr>
            </w:pPr>
            <w:r>
              <w:rPr>
                <w:rFonts w:hint="eastAsia" w:cs="宋体"/>
                <w:b/>
                <w:color w:val="auto"/>
                <w:szCs w:val="21"/>
                <w:highlight w:val="none"/>
              </w:rPr>
              <w:t>1.本项目采购代理服务费由中标人支付，中标人收到中标通知书的同时，应向招标代理机构缴付采购代理服务费。</w:t>
            </w:r>
          </w:p>
          <w:p w14:paraId="76CCCE9E">
            <w:pPr>
              <w:pStyle w:val="23"/>
              <w:rPr>
                <w:rFonts w:hint="eastAsia" w:cs="宋体"/>
                <w:b/>
                <w:color w:val="auto"/>
                <w:szCs w:val="21"/>
                <w:highlight w:val="none"/>
              </w:rPr>
            </w:pPr>
            <w:r>
              <w:rPr>
                <w:rFonts w:hint="eastAsia" w:cs="宋体"/>
                <w:b/>
                <w:color w:val="auto"/>
                <w:szCs w:val="21"/>
                <w:highlight w:val="none"/>
              </w:rPr>
              <w:t>2.采购代理服务费按</w:t>
            </w:r>
            <w:r>
              <w:rPr>
                <w:rFonts w:hint="eastAsia" w:cs="宋体"/>
                <w:b/>
                <w:color w:val="auto"/>
                <w:szCs w:val="21"/>
                <w:highlight w:val="none"/>
                <w:lang w:val="en-US" w:eastAsia="zh-CN"/>
              </w:rPr>
              <w:t>《云南省建设工程招标代理服务收费指导意见》(云建招协(2024)58号)文件收费标准按货物类下浮40%计取</w:t>
            </w:r>
            <w:r>
              <w:rPr>
                <w:rFonts w:hint="eastAsia" w:cs="宋体"/>
                <w:b/>
                <w:color w:val="auto"/>
                <w:szCs w:val="21"/>
                <w:highlight w:val="none"/>
              </w:rPr>
              <w:t>，以</w:t>
            </w:r>
            <w:r>
              <w:rPr>
                <w:rFonts w:hint="eastAsia" w:cs="宋体"/>
                <w:b/>
                <w:color w:val="auto"/>
                <w:szCs w:val="21"/>
                <w:highlight w:val="none"/>
                <w:lang w:val="en-US" w:eastAsia="zh-CN"/>
              </w:rPr>
              <w:t>每个标包</w:t>
            </w:r>
            <w:r>
              <w:rPr>
                <w:rFonts w:hint="eastAsia" w:cs="宋体"/>
                <w:b/>
                <w:color w:val="auto"/>
                <w:szCs w:val="21"/>
                <w:highlight w:val="none"/>
              </w:rPr>
              <w:t>中标金额作为收费的计算基数，由</w:t>
            </w:r>
            <w:r>
              <w:rPr>
                <w:rFonts w:hint="eastAsia" w:cs="宋体"/>
                <w:b/>
                <w:color w:val="auto"/>
                <w:szCs w:val="21"/>
                <w:highlight w:val="none"/>
                <w:lang w:val="en-US" w:eastAsia="zh-CN"/>
              </w:rPr>
              <w:t>每个标包</w:t>
            </w:r>
            <w:r>
              <w:rPr>
                <w:rFonts w:hint="eastAsia" w:cs="宋体"/>
                <w:b/>
                <w:color w:val="auto"/>
                <w:szCs w:val="21"/>
                <w:highlight w:val="none"/>
              </w:rPr>
              <w:t>中标人支付。</w:t>
            </w:r>
          </w:p>
          <w:p w14:paraId="5D4519A1">
            <w:pPr>
              <w:pStyle w:val="23"/>
              <w:rPr>
                <w:rFonts w:hint="eastAsia" w:cs="宋体"/>
                <w:b/>
                <w:color w:val="auto"/>
                <w:szCs w:val="21"/>
                <w:highlight w:val="none"/>
              </w:rPr>
            </w:pPr>
            <w:r>
              <w:rPr>
                <w:rFonts w:hint="eastAsia" w:cs="宋体"/>
                <w:b/>
                <w:color w:val="auto"/>
                <w:szCs w:val="21"/>
                <w:highlight w:val="none"/>
              </w:rPr>
              <w:t>3.采购代理服务费接受以下形式：现金、转账支票、银行电汇、网银。</w:t>
            </w:r>
          </w:p>
          <w:p w14:paraId="6812635A">
            <w:pPr>
              <w:pStyle w:val="23"/>
              <w:rPr>
                <w:rFonts w:hint="eastAsia" w:cs="宋体"/>
                <w:color w:val="auto"/>
                <w:highlight w:val="none"/>
              </w:rPr>
            </w:pPr>
            <w:r>
              <w:rPr>
                <w:rFonts w:hint="eastAsia" w:cs="宋体"/>
                <w:b/>
                <w:color w:val="auto"/>
                <w:szCs w:val="21"/>
                <w:highlight w:val="none"/>
              </w:rPr>
              <w:t>4.招标方无义务对落选投标方和落标原因做出解释。</w:t>
            </w:r>
          </w:p>
        </w:tc>
      </w:tr>
      <w:tr w14:paraId="6E388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560A6E9C">
            <w:pPr>
              <w:pStyle w:val="23"/>
              <w:jc w:val="center"/>
              <w:rPr>
                <w:rFonts w:hint="eastAsia" w:cs="宋体"/>
                <w:b/>
                <w:bCs/>
                <w:color w:val="auto"/>
                <w:szCs w:val="21"/>
                <w:highlight w:val="none"/>
              </w:rPr>
            </w:pPr>
            <w:r>
              <w:rPr>
                <w:rFonts w:hint="eastAsia"/>
                <w:b/>
                <w:bCs/>
                <w:color w:val="auto"/>
                <w:szCs w:val="21"/>
                <w:highlight w:val="none"/>
              </w:rPr>
              <w:t>34.1</w:t>
            </w:r>
          </w:p>
        </w:tc>
        <w:tc>
          <w:tcPr>
            <w:tcW w:w="2170" w:type="dxa"/>
            <w:noWrap/>
            <w:vAlign w:val="center"/>
          </w:tcPr>
          <w:p w14:paraId="303C928E">
            <w:pPr>
              <w:pStyle w:val="23"/>
              <w:rPr>
                <w:rFonts w:hint="eastAsia" w:cs="宋体"/>
                <w:b/>
                <w:bCs/>
                <w:color w:val="auto"/>
                <w:szCs w:val="21"/>
                <w:highlight w:val="none"/>
              </w:rPr>
            </w:pPr>
            <w:r>
              <w:rPr>
                <w:rFonts w:hint="eastAsia"/>
                <w:b/>
                <w:bCs/>
                <w:color w:val="auto"/>
                <w:szCs w:val="21"/>
                <w:highlight w:val="none"/>
              </w:rPr>
              <w:t>备选方案</w:t>
            </w:r>
          </w:p>
        </w:tc>
        <w:tc>
          <w:tcPr>
            <w:tcW w:w="6335" w:type="dxa"/>
            <w:noWrap/>
            <w:vAlign w:val="center"/>
          </w:tcPr>
          <w:p w14:paraId="73D70994">
            <w:pPr>
              <w:pStyle w:val="23"/>
              <w:rPr>
                <w:rFonts w:hint="eastAsia" w:cs="宋体"/>
                <w:b/>
                <w:bCs/>
                <w:color w:val="auto"/>
                <w:szCs w:val="21"/>
                <w:highlight w:val="none"/>
              </w:rPr>
            </w:pPr>
            <w:r>
              <w:rPr>
                <w:rFonts w:hint="eastAsia"/>
                <w:b/>
                <w:bCs/>
                <w:color w:val="auto"/>
                <w:szCs w:val="21"/>
                <w:highlight w:val="none"/>
              </w:rPr>
              <w:t>不接受。</w:t>
            </w:r>
          </w:p>
        </w:tc>
      </w:tr>
      <w:tr w14:paraId="18A7B1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4F1D8C63">
            <w:pPr>
              <w:pStyle w:val="23"/>
              <w:jc w:val="center"/>
              <w:rPr>
                <w:rFonts w:hint="eastAsia" w:cs="宋体"/>
                <w:b/>
                <w:bCs/>
                <w:color w:val="auto"/>
                <w:szCs w:val="21"/>
                <w:highlight w:val="none"/>
              </w:rPr>
            </w:pPr>
            <w:r>
              <w:rPr>
                <w:rFonts w:hint="eastAsia"/>
                <w:b/>
                <w:bCs/>
                <w:color w:val="auto"/>
                <w:szCs w:val="21"/>
                <w:highlight w:val="none"/>
              </w:rPr>
              <w:t>34.2</w:t>
            </w:r>
          </w:p>
        </w:tc>
        <w:tc>
          <w:tcPr>
            <w:tcW w:w="8505" w:type="dxa"/>
            <w:gridSpan w:val="2"/>
            <w:noWrap/>
            <w:vAlign w:val="center"/>
          </w:tcPr>
          <w:p w14:paraId="0F019E5D">
            <w:pPr>
              <w:pStyle w:val="23"/>
              <w:jc w:val="left"/>
              <w:rPr>
                <w:rFonts w:hint="eastAsia" w:cs="宋体"/>
                <w:b/>
                <w:bCs/>
                <w:color w:val="auto"/>
                <w:szCs w:val="21"/>
                <w:highlight w:val="none"/>
              </w:rPr>
            </w:pPr>
            <w:r>
              <w:rPr>
                <w:rFonts w:hint="eastAsia"/>
                <w:b/>
                <w:bCs/>
                <w:color w:val="auto"/>
                <w:szCs w:val="21"/>
                <w:highlight w:val="none"/>
              </w:rPr>
              <w:t>需要补充的其他内容</w:t>
            </w:r>
          </w:p>
        </w:tc>
      </w:tr>
      <w:tr w14:paraId="1251F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64ADFC75">
            <w:pPr>
              <w:pStyle w:val="23"/>
              <w:jc w:val="center"/>
              <w:rPr>
                <w:rFonts w:hint="eastAsia" w:cs="宋体"/>
                <w:b/>
                <w:bCs/>
                <w:color w:val="auto"/>
                <w:szCs w:val="21"/>
                <w:highlight w:val="none"/>
                <w:lang w:val="en-US" w:eastAsia="zh-CN"/>
              </w:rPr>
            </w:pPr>
            <w:r>
              <w:rPr>
                <w:rFonts w:hint="eastAsia" w:cs="宋体"/>
                <w:b/>
                <w:bCs/>
                <w:color w:val="auto"/>
                <w:szCs w:val="21"/>
                <w:highlight w:val="none"/>
              </w:rPr>
              <w:t>（</w:t>
            </w:r>
            <w:r>
              <w:rPr>
                <w:rFonts w:hint="eastAsia" w:cs="宋体"/>
                <w:b/>
                <w:bCs/>
                <w:color w:val="auto"/>
                <w:szCs w:val="21"/>
                <w:highlight w:val="none"/>
                <w:lang w:val="en-US" w:eastAsia="zh-CN"/>
              </w:rPr>
              <w:t>1</w:t>
            </w:r>
            <w:r>
              <w:rPr>
                <w:rFonts w:hint="eastAsia" w:cs="宋体"/>
                <w:b/>
                <w:bCs/>
                <w:color w:val="auto"/>
                <w:szCs w:val="21"/>
                <w:highlight w:val="none"/>
              </w:rPr>
              <w:t>）</w:t>
            </w:r>
          </w:p>
        </w:tc>
        <w:tc>
          <w:tcPr>
            <w:tcW w:w="8505" w:type="dxa"/>
            <w:gridSpan w:val="2"/>
            <w:noWrap/>
            <w:vAlign w:val="center"/>
          </w:tcPr>
          <w:p w14:paraId="7579420D">
            <w:pPr>
              <w:rPr>
                <w:rFonts w:hint="eastAsia"/>
                <w:b/>
                <w:bCs/>
                <w:color w:val="auto"/>
                <w:szCs w:val="21"/>
                <w:highlight w:val="none"/>
              </w:rPr>
            </w:pPr>
            <w:r>
              <w:rPr>
                <w:rFonts w:hint="eastAsia"/>
                <w:b/>
                <w:bCs/>
                <w:color w:val="auto"/>
                <w:szCs w:val="21"/>
                <w:highlight w:val="none"/>
              </w:rPr>
              <w:t>中标人在《云南省政府采购网》查询到中标公示后，需办理以下事宜：</w:t>
            </w:r>
          </w:p>
          <w:p w14:paraId="2EB6156D">
            <w:pPr>
              <w:rPr>
                <w:rFonts w:hint="eastAsia"/>
                <w:b/>
                <w:bCs/>
                <w:color w:val="auto"/>
                <w:szCs w:val="21"/>
                <w:highlight w:val="none"/>
              </w:rPr>
            </w:pPr>
            <w:r>
              <w:rPr>
                <w:rFonts w:hint="eastAsia"/>
                <w:b/>
                <w:bCs/>
                <w:color w:val="auto"/>
                <w:szCs w:val="21"/>
                <w:highlight w:val="none"/>
              </w:rPr>
              <w:t>1、缴纳采购代理服务费。</w:t>
            </w:r>
          </w:p>
          <w:p w14:paraId="7AC388C0">
            <w:pPr>
              <w:pStyle w:val="23"/>
              <w:jc w:val="left"/>
              <w:rPr>
                <w:rFonts w:hint="eastAsia"/>
                <w:b/>
                <w:bCs/>
                <w:color w:val="auto"/>
                <w:highlight w:val="none"/>
              </w:rPr>
            </w:pPr>
            <w:r>
              <w:rPr>
                <w:rFonts w:hint="eastAsia"/>
                <w:b/>
                <w:bCs/>
                <w:color w:val="auto"/>
                <w:highlight w:val="none"/>
              </w:rPr>
              <w:t>2、领取中标通知书，并与采购人联系、洽谈采购合同。</w:t>
            </w:r>
          </w:p>
        </w:tc>
      </w:tr>
      <w:tr w14:paraId="5B75D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5C19FED7">
            <w:pPr>
              <w:pStyle w:val="23"/>
              <w:jc w:val="center"/>
              <w:rPr>
                <w:rFonts w:hint="eastAsia" w:eastAsia="宋体" w:cs="宋体"/>
                <w:b/>
                <w:bCs/>
                <w:color w:val="auto"/>
                <w:szCs w:val="21"/>
                <w:highlight w:val="none"/>
                <w:lang w:eastAsia="zh-CN"/>
              </w:rPr>
            </w:pPr>
            <w:r>
              <w:rPr>
                <w:rFonts w:hint="eastAsia" w:cs="宋体"/>
                <w:b/>
                <w:bCs/>
                <w:color w:val="auto"/>
                <w:szCs w:val="21"/>
                <w:highlight w:val="none"/>
                <w:lang w:eastAsia="zh-CN"/>
              </w:rPr>
              <w:t>（</w:t>
            </w:r>
            <w:r>
              <w:rPr>
                <w:rFonts w:hint="eastAsia" w:cs="宋体"/>
                <w:b/>
                <w:bCs/>
                <w:color w:val="auto"/>
                <w:szCs w:val="21"/>
                <w:highlight w:val="none"/>
                <w:lang w:val="en-US" w:eastAsia="zh-CN"/>
              </w:rPr>
              <w:t>2</w:t>
            </w:r>
            <w:r>
              <w:rPr>
                <w:rFonts w:hint="eastAsia" w:cs="宋体"/>
                <w:b/>
                <w:bCs/>
                <w:color w:val="auto"/>
                <w:szCs w:val="21"/>
                <w:highlight w:val="none"/>
                <w:lang w:eastAsia="zh-CN"/>
              </w:rPr>
              <w:t>）</w:t>
            </w:r>
          </w:p>
        </w:tc>
        <w:tc>
          <w:tcPr>
            <w:tcW w:w="8505" w:type="dxa"/>
            <w:gridSpan w:val="2"/>
            <w:noWrap/>
            <w:vAlign w:val="center"/>
          </w:tcPr>
          <w:p w14:paraId="7114A0D0">
            <w:pPr>
              <w:pStyle w:val="23"/>
              <w:keepNext w:val="0"/>
              <w:keepLines w:val="0"/>
              <w:pageBreakBefore w:val="0"/>
              <w:shd w:val="clear" w:color="auto" w:fill="auto"/>
              <w:kinsoku/>
              <w:wordWrap/>
              <w:overflowPunct/>
              <w:topLinePunct w:val="0"/>
              <w:bidi w:val="0"/>
              <w:adjustRightInd/>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样品：</w:t>
            </w:r>
            <w:r>
              <w:rPr>
                <w:rFonts w:hint="eastAsia" w:ascii="宋体" w:hAnsi="宋体" w:eastAsia="宋体" w:cs="宋体"/>
                <w:color w:val="auto"/>
                <w:sz w:val="21"/>
                <w:szCs w:val="21"/>
                <w:highlight w:val="none"/>
              </w:rPr>
              <w:t>本项目 □不要求提交样品</w:t>
            </w:r>
          </w:p>
          <w:p w14:paraId="16936724">
            <w:pPr>
              <w:pStyle w:val="23"/>
              <w:keepNext w:val="0"/>
              <w:keepLines w:val="0"/>
              <w:pageBreakBefore w:val="0"/>
              <w:shd w:val="clear" w:color="auto" w:fill="auto"/>
              <w:kinsoku/>
              <w:wordWrap/>
              <w:overflowPunct/>
              <w:topLinePunct w:val="0"/>
              <w:bidi w:val="0"/>
              <w:adjustRightInd/>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■要求提交样品</w:t>
            </w:r>
          </w:p>
          <w:p w14:paraId="00DEEB62">
            <w:pPr>
              <w:pStyle w:val="23"/>
              <w:keepNext w:val="0"/>
              <w:keepLines w:val="0"/>
              <w:pageBreakBefore w:val="0"/>
              <w:shd w:val="clear" w:color="auto" w:fill="auto"/>
              <w:kinsoku/>
              <w:wordWrap/>
              <w:overflowPunct/>
              <w:topLinePunct w:val="0"/>
              <w:bidi w:val="0"/>
              <w:adjustRightInd/>
              <w:spacing w:beforeAutospacing="0" w:afterAutospacing="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具体要求如下：</w:t>
            </w:r>
          </w:p>
          <w:p w14:paraId="4D3A9342">
            <w:pPr>
              <w:pStyle w:val="23"/>
              <w:keepNext w:val="0"/>
              <w:keepLines w:val="0"/>
              <w:pageBreakBefore w:val="0"/>
              <w:numPr>
                <w:ilvl w:val="0"/>
                <w:numId w:val="0"/>
              </w:numPr>
              <w:shd w:val="clear" w:color="auto" w:fill="auto"/>
              <w:kinsoku/>
              <w:wordWrap/>
              <w:overflowPunct/>
              <w:topLinePunct w:val="0"/>
              <w:bidi w:val="0"/>
              <w:adjustRightInd/>
              <w:spacing w:beforeAutospacing="0" w:afterAutospacing="0" w:line="44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1、提交样品种类及数量要求</w:t>
            </w:r>
          </w:p>
          <w:p w14:paraId="6354AAFB">
            <w:pPr>
              <w:pStyle w:val="23"/>
              <w:keepNext w:val="0"/>
              <w:keepLines w:val="0"/>
              <w:pageBreakBefore w:val="0"/>
              <w:numPr>
                <w:ilvl w:val="0"/>
                <w:numId w:val="0"/>
              </w:numPr>
              <w:shd w:val="clear" w:color="auto" w:fill="auto"/>
              <w:kinsoku/>
              <w:wordWrap/>
              <w:overflowPunct/>
              <w:topLinePunct w:val="0"/>
              <w:bidi w:val="0"/>
              <w:adjustRightInd/>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（1）B包：便携式消防水泵1台</w:t>
            </w:r>
            <w:r>
              <w:rPr>
                <w:rFonts w:hint="eastAsia" w:cs="宋体"/>
                <w:color w:val="auto"/>
                <w:sz w:val="21"/>
                <w:szCs w:val="21"/>
                <w:highlight w:val="none"/>
                <w:lang w:val="en-US" w:eastAsia="zh-CN"/>
              </w:rPr>
              <w:t>及水泵附件（水泵专用油箱1套（含油管）、专用吸水管1套、底阀1个、直流喷枪1支、水雾喷枪1支、止水钳1把、接头扳手1把、三通1个、单向阀1个、转换接头1个、内牙1个、引水泵1套、附件背包1个）</w:t>
            </w:r>
            <w:r>
              <w:rPr>
                <w:rFonts w:hint="eastAsia" w:ascii="宋体" w:hAnsi="宋体" w:eastAsia="宋体" w:cs="宋体"/>
                <w:color w:val="auto"/>
                <w:sz w:val="21"/>
                <w:szCs w:val="21"/>
                <w:highlight w:val="none"/>
              </w:rPr>
              <w:t>，</w:t>
            </w:r>
            <w:r>
              <w:rPr>
                <w:rFonts w:hint="eastAsia" w:cs="宋体"/>
                <w:color w:val="auto"/>
                <w:sz w:val="21"/>
                <w:szCs w:val="21"/>
                <w:highlight w:val="none"/>
                <w:lang w:eastAsia="zh-CN"/>
              </w:rPr>
              <w:t>水带1卷</w:t>
            </w:r>
            <w:r>
              <w:rPr>
                <w:rFonts w:hint="eastAsia" w:ascii="宋体" w:hAnsi="宋体" w:eastAsia="宋体" w:cs="宋体"/>
                <w:color w:val="auto"/>
                <w:sz w:val="21"/>
                <w:szCs w:val="21"/>
                <w:highlight w:val="none"/>
              </w:rPr>
              <w:t>；</w:t>
            </w:r>
          </w:p>
          <w:p w14:paraId="23CB49A6">
            <w:pPr>
              <w:pStyle w:val="23"/>
              <w:keepNext w:val="0"/>
              <w:keepLines w:val="0"/>
              <w:pageBreakBefore w:val="0"/>
              <w:numPr>
                <w:ilvl w:val="0"/>
                <w:numId w:val="0"/>
              </w:numPr>
              <w:shd w:val="clear" w:color="auto" w:fill="auto"/>
              <w:kinsoku/>
              <w:wordWrap/>
              <w:overflowPunct/>
              <w:topLinePunct w:val="0"/>
              <w:bidi w:val="0"/>
              <w:adjustRightInd/>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（2）C包：防火扑火服A类1套，防火扑火服B类1套，中帮胶靴A类1双，中帮胶靴B类1双，防火头盔B类1顶（含头盔、护目镜、防爆手电筒），防火头套B类1套，腰带B类1条，防火手套B类1双。</w:t>
            </w:r>
          </w:p>
          <w:p w14:paraId="0B42D86A">
            <w:pPr>
              <w:pStyle w:val="23"/>
              <w:keepNext w:val="0"/>
              <w:keepLines w:val="0"/>
              <w:pageBreakBefore w:val="0"/>
              <w:numPr>
                <w:ilvl w:val="0"/>
                <w:numId w:val="0"/>
              </w:numPr>
              <w:shd w:val="clear" w:color="auto" w:fill="auto"/>
              <w:kinsoku/>
              <w:wordWrap/>
              <w:overflowPunct/>
              <w:topLinePunct w:val="0"/>
              <w:bidi w:val="0"/>
              <w:adjustRightInd/>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样品</w:t>
            </w:r>
            <w:r>
              <w:rPr>
                <w:rFonts w:hint="eastAsia" w:ascii="宋体" w:hAnsi="宋体" w:eastAsia="宋体" w:cs="宋体"/>
                <w:b/>
                <w:bCs/>
                <w:color w:val="auto"/>
                <w:sz w:val="21"/>
                <w:szCs w:val="21"/>
                <w:highlight w:val="none"/>
                <w:lang w:val="en-US" w:eastAsia="zh-CN"/>
              </w:rPr>
              <w:t>密封及</w:t>
            </w:r>
            <w:r>
              <w:rPr>
                <w:rFonts w:hint="eastAsia" w:ascii="宋体" w:hAnsi="宋体" w:eastAsia="宋体" w:cs="宋体"/>
                <w:b/>
                <w:bCs/>
                <w:color w:val="auto"/>
                <w:sz w:val="21"/>
                <w:szCs w:val="21"/>
                <w:highlight w:val="none"/>
              </w:rPr>
              <w:t>标识要求：</w:t>
            </w:r>
            <w:r>
              <w:rPr>
                <w:rFonts w:hint="eastAsia" w:ascii="宋体" w:hAnsi="宋体" w:eastAsia="宋体" w:cs="宋体"/>
                <w:color w:val="auto"/>
                <w:sz w:val="21"/>
                <w:szCs w:val="21"/>
                <w:highlight w:val="none"/>
                <w:lang w:val="en-US" w:eastAsia="zh-CN"/>
              </w:rPr>
              <w:t>样品进行密封包装，</w:t>
            </w:r>
            <w:r>
              <w:rPr>
                <w:rFonts w:hint="eastAsia" w:ascii="宋体" w:hAnsi="宋体" w:eastAsia="宋体" w:cs="宋体"/>
                <w:color w:val="auto"/>
                <w:szCs w:val="21"/>
                <w:highlight w:val="none"/>
              </w:rPr>
              <w:t>投标截止时间</w:t>
            </w:r>
            <w:r>
              <w:rPr>
                <w:rFonts w:hint="eastAsia" w:ascii="宋体" w:hAnsi="宋体" w:eastAsia="宋体" w:cs="宋体"/>
                <w:color w:val="auto"/>
                <w:szCs w:val="21"/>
                <w:highlight w:val="none"/>
                <w:lang w:val="en-US" w:eastAsia="zh-CN"/>
              </w:rPr>
              <w:t>前递交。</w:t>
            </w:r>
            <w:r>
              <w:rPr>
                <w:rFonts w:hint="eastAsia" w:ascii="宋体" w:hAnsi="宋体" w:eastAsia="宋体" w:cs="宋体"/>
                <w:color w:val="auto"/>
                <w:sz w:val="21"/>
                <w:szCs w:val="21"/>
                <w:highlight w:val="none"/>
              </w:rPr>
              <w:t>样品外包装上注明投标人名称、所投</w:t>
            </w:r>
            <w:r>
              <w:rPr>
                <w:rFonts w:hint="eastAsia" w:ascii="宋体" w:hAnsi="宋体" w:eastAsia="宋体" w:cs="宋体"/>
                <w:color w:val="auto"/>
                <w:sz w:val="21"/>
                <w:szCs w:val="21"/>
                <w:highlight w:val="none"/>
                <w:lang w:eastAsia="zh-CN"/>
              </w:rPr>
              <w:t>标包</w:t>
            </w:r>
            <w:r>
              <w:rPr>
                <w:rFonts w:hint="eastAsia" w:ascii="宋体" w:hAnsi="宋体" w:eastAsia="宋体" w:cs="宋体"/>
                <w:color w:val="auto"/>
                <w:sz w:val="21"/>
                <w:szCs w:val="21"/>
                <w:highlight w:val="none"/>
              </w:rPr>
              <w:t>号，产品本身不能有投标人名称或标识等字样。</w:t>
            </w:r>
          </w:p>
          <w:p w14:paraId="490225EF">
            <w:pPr>
              <w:pStyle w:val="23"/>
              <w:jc w:val="left"/>
              <w:rPr>
                <w:rFonts w:hint="eastAsia"/>
                <w:b/>
                <w:bCs/>
                <w:color w:val="auto"/>
                <w:highlight w:val="none"/>
                <w:lang w:val="en-US" w:eastAsia="zh-CN"/>
              </w:rPr>
            </w:pPr>
            <w:r>
              <w:rPr>
                <w:rFonts w:hint="eastAsia" w:ascii="宋体" w:hAnsi="宋体" w:eastAsia="宋体" w:cs="宋体"/>
                <w:b/>
                <w:bCs/>
                <w:color w:val="auto"/>
                <w:kern w:val="2"/>
                <w:sz w:val="21"/>
                <w:szCs w:val="21"/>
                <w:highlight w:val="none"/>
                <w:lang w:val="en-US" w:eastAsia="zh-CN" w:bidi="ar-SA"/>
              </w:rPr>
              <w:t>3、样品退还：</w:t>
            </w:r>
            <w:r>
              <w:rPr>
                <w:rFonts w:hint="eastAsia"/>
                <w:b w:val="0"/>
                <w:bCs w:val="0"/>
                <w:color w:val="auto"/>
                <w:highlight w:val="none"/>
                <w:lang w:val="en-US" w:eastAsia="zh-CN"/>
              </w:rPr>
              <w:t>中标人的样品将作为交货时产品验收的标准，不予退还。未中标的投标人样品须在中标公示结束后5日内前来领取，未在规定时间内领取的，将视为放弃领取样品的权利，此类样品由采购人处理。</w:t>
            </w:r>
          </w:p>
          <w:p w14:paraId="17B4E13D">
            <w:pPr>
              <w:pStyle w:val="23"/>
              <w:jc w:val="left"/>
              <w:rPr>
                <w:rFonts w:hint="default"/>
                <w:b/>
                <w:bCs/>
                <w:color w:val="auto"/>
                <w:highlight w:val="none"/>
                <w:lang w:val="en-US" w:eastAsia="zh-CN"/>
              </w:rPr>
            </w:pPr>
            <w:r>
              <w:rPr>
                <w:rFonts w:hint="eastAsia"/>
                <w:b/>
                <w:bCs/>
                <w:color w:val="auto"/>
                <w:highlight w:val="none"/>
                <w:lang w:val="en-US" w:eastAsia="zh-CN"/>
              </w:rPr>
              <w:t>4、样品的递交：各投标人应按招标文件规定的投标截止时间前将样品递交至普洱市思茅区茶马古镇B区12-48-05云南招标股份有限公司普洱办事处四楼评标厅。</w:t>
            </w:r>
          </w:p>
          <w:p w14:paraId="14EE2F8A">
            <w:pPr>
              <w:pStyle w:val="23"/>
              <w:jc w:val="left"/>
              <w:rPr>
                <w:rFonts w:hint="eastAsia"/>
                <w:b/>
                <w:bCs/>
                <w:color w:val="auto"/>
                <w:highlight w:val="none"/>
                <w:lang w:val="en-US" w:eastAsia="zh-CN"/>
              </w:rPr>
            </w:pPr>
            <w:r>
              <w:rPr>
                <w:rFonts w:hint="eastAsia"/>
                <w:b/>
                <w:bCs/>
                <w:color w:val="auto"/>
                <w:highlight w:val="none"/>
                <w:lang w:val="en-US" w:eastAsia="zh-CN"/>
              </w:rPr>
              <w:t>注：①未按此要求提交样品的投标人的投标文件将作否决投标处理。</w:t>
            </w:r>
          </w:p>
          <w:p w14:paraId="16E2550B">
            <w:pPr>
              <w:ind w:firstLine="422" w:firstLineChars="200"/>
              <w:rPr>
                <w:rFonts w:hint="eastAsia" w:ascii="宋体" w:hAnsi="宋体" w:eastAsia="宋体" w:cs="宋体"/>
                <w:sz w:val="21"/>
                <w:szCs w:val="21"/>
                <w:highlight w:val="none"/>
                <w:lang w:val="en-US" w:eastAsia="zh-CN"/>
              </w:rPr>
            </w:pPr>
            <w:r>
              <w:rPr>
                <w:rFonts w:hint="eastAsia"/>
                <w:b/>
                <w:bCs/>
                <w:color w:val="auto"/>
                <w:highlight w:val="none"/>
                <w:lang w:val="en-US" w:eastAsia="zh-CN"/>
              </w:rPr>
              <w:t>②投标的样品制作及相关费用由投标人自行承担。</w:t>
            </w:r>
          </w:p>
        </w:tc>
      </w:tr>
    </w:tbl>
    <w:p w14:paraId="7695915D">
      <w:pPr>
        <w:widowControl/>
        <w:jc w:val="left"/>
        <w:rPr>
          <w:rFonts w:hint="eastAsia" w:cs="宋体"/>
          <w:color w:val="auto"/>
          <w:highlight w:val="none"/>
        </w:rPr>
      </w:pPr>
      <w:r>
        <w:rPr>
          <w:rFonts w:hint="eastAsia" w:cs="宋体"/>
          <w:color w:val="auto"/>
          <w:highlight w:val="none"/>
        </w:rPr>
        <w:br w:type="page"/>
      </w:r>
    </w:p>
    <w:p w14:paraId="38D54F70">
      <w:pPr>
        <w:pStyle w:val="3"/>
        <w:numPr>
          <w:ilvl w:val="1"/>
          <w:numId w:val="0"/>
        </w:numPr>
        <w:jc w:val="center"/>
        <w:rPr>
          <w:rFonts w:hint="default" w:eastAsia="宋体" w:cs="宋体"/>
          <w:color w:val="auto"/>
          <w:szCs w:val="28"/>
          <w:highlight w:val="none"/>
          <w:lang w:val="en-US" w:eastAsia="zh-CN"/>
        </w:rPr>
      </w:pPr>
      <w:bookmarkStart w:id="75" w:name="_Toc30677"/>
      <w:bookmarkStart w:id="76" w:name="_Toc3165"/>
      <w:bookmarkStart w:id="77" w:name="_Toc3601"/>
      <w:r>
        <w:rPr>
          <w:rFonts w:hint="eastAsia" w:eastAsia="宋体" w:cs="宋体"/>
          <w:color w:val="auto"/>
          <w:szCs w:val="28"/>
          <w:highlight w:val="none"/>
          <w:lang w:val="en-US" w:eastAsia="zh-CN"/>
        </w:rPr>
        <w:t>第二节  投标人须知正文</w:t>
      </w:r>
      <w:bookmarkEnd w:id="75"/>
    </w:p>
    <w:p w14:paraId="796CBA2F">
      <w:pPr>
        <w:pStyle w:val="4"/>
        <w:bidi w:val="0"/>
        <w:rPr>
          <w:rFonts w:hint="eastAsia"/>
        </w:rPr>
      </w:pPr>
      <w:bookmarkStart w:id="78" w:name="_Toc26589"/>
      <w:r>
        <w:rPr>
          <w:rFonts w:hint="eastAsia"/>
        </w:rPr>
        <w:t>一、总  则</w:t>
      </w:r>
      <w:bookmarkEnd w:id="76"/>
      <w:bookmarkEnd w:id="77"/>
      <w:bookmarkEnd w:id="78"/>
    </w:p>
    <w:p w14:paraId="10058719">
      <w:pPr>
        <w:ind w:firstLine="420" w:firstLineChars="200"/>
        <w:jc w:val="left"/>
        <w:rPr>
          <w:rFonts w:hint="eastAsia" w:cs="宋体"/>
          <w:color w:val="auto"/>
          <w:szCs w:val="21"/>
          <w:highlight w:val="none"/>
        </w:rPr>
      </w:pPr>
      <w:bookmarkStart w:id="79" w:name="_Hlk50385447"/>
      <w:r>
        <w:rPr>
          <w:rFonts w:hint="eastAsia" w:cs="宋体"/>
          <w:bCs/>
          <w:color w:val="auto"/>
          <w:szCs w:val="21"/>
          <w:highlight w:val="none"/>
        </w:rPr>
        <w:t>1.采购人、采购代理机构、</w:t>
      </w:r>
      <w:r>
        <w:rPr>
          <w:rFonts w:hint="eastAsia" w:cs="宋体"/>
          <w:color w:val="auto"/>
          <w:szCs w:val="21"/>
          <w:highlight w:val="none"/>
        </w:rPr>
        <w:t>项目名称及招标编号，详见招标文件“投标人须知前附表”。</w:t>
      </w:r>
    </w:p>
    <w:p w14:paraId="33BA869E">
      <w:pPr>
        <w:ind w:firstLine="422" w:firstLineChars="200"/>
        <w:jc w:val="left"/>
        <w:rPr>
          <w:rFonts w:hint="eastAsia" w:cs="宋体"/>
          <w:b/>
          <w:color w:val="auto"/>
          <w:szCs w:val="21"/>
          <w:highlight w:val="none"/>
        </w:rPr>
      </w:pPr>
      <w:r>
        <w:rPr>
          <w:rFonts w:hint="eastAsia" w:cs="宋体"/>
          <w:b/>
          <w:color w:val="auto"/>
          <w:szCs w:val="21"/>
          <w:highlight w:val="none"/>
        </w:rPr>
        <w:t>2.采购预算：</w:t>
      </w:r>
      <w:r>
        <w:rPr>
          <w:rFonts w:hint="eastAsia" w:cs="宋体"/>
          <w:color w:val="auto"/>
          <w:szCs w:val="21"/>
          <w:highlight w:val="none"/>
        </w:rPr>
        <w:t>“</w:t>
      </w:r>
      <w:r>
        <w:rPr>
          <w:rFonts w:hint="eastAsia" w:cs="宋体"/>
          <w:b/>
          <w:color w:val="auto"/>
          <w:szCs w:val="21"/>
          <w:highlight w:val="none"/>
        </w:rPr>
        <w:t>投标人须知前附表</w:t>
      </w:r>
      <w:r>
        <w:rPr>
          <w:rFonts w:hint="eastAsia" w:cs="宋体"/>
          <w:color w:val="auto"/>
          <w:szCs w:val="21"/>
          <w:highlight w:val="none"/>
        </w:rPr>
        <w:t>”中所述的资金，用于采购</w:t>
      </w:r>
      <w:r>
        <w:rPr>
          <w:rFonts w:hint="eastAsia" w:cs="宋体"/>
          <w:bCs/>
          <w:color w:val="auto"/>
          <w:szCs w:val="21"/>
          <w:highlight w:val="none"/>
        </w:rPr>
        <w:t>第五章《</w:t>
      </w:r>
      <w:r>
        <w:rPr>
          <w:rFonts w:hint="eastAsia" w:cs="宋体"/>
          <w:bCs/>
          <w:color w:val="auto"/>
          <w:szCs w:val="21"/>
          <w:highlight w:val="none"/>
          <w:lang w:eastAsia="zh-CN"/>
        </w:rPr>
        <w:t>采购需求</w:t>
      </w:r>
      <w:r>
        <w:rPr>
          <w:rFonts w:hint="eastAsia" w:cs="宋体"/>
          <w:bCs/>
          <w:color w:val="auto"/>
          <w:szCs w:val="21"/>
          <w:highlight w:val="none"/>
        </w:rPr>
        <w:t>》</w:t>
      </w:r>
      <w:r>
        <w:rPr>
          <w:rFonts w:hint="eastAsia" w:cs="宋体"/>
          <w:color w:val="auto"/>
          <w:szCs w:val="21"/>
          <w:highlight w:val="none"/>
        </w:rPr>
        <w:t>所列内容。</w:t>
      </w:r>
    </w:p>
    <w:p w14:paraId="28E2F8A5">
      <w:pPr>
        <w:ind w:firstLine="422" w:firstLineChars="200"/>
        <w:jc w:val="left"/>
        <w:rPr>
          <w:rFonts w:hint="eastAsia" w:cs="宋体"/>
          <w:b/>
          <w:color w:val="auto"/>
          <w:szCs w:val="21"/>
          <w:highlight w:val="none"/>
        </w:rPr>
      </w:pPr>
      <w:r>
        <w:rPr>
          <w:rFonts w:hint="eastAsia" w:cs="宋体"/>
          <w:b/>
          <w:color w:val="auto"/>
          <w:szCs w:val="21"/>
          <w:highlight w:val="none"/>
        </w:rPr>
        <w:t>3.招标范围</w:t>
      </w:r>
    </w:p>
    <w:p w14:paraId="7CD282E8">
      <w:pPr>
        <w:ind w:firstLine="420" w:firstLineChars="200"/>
        <w:jc w:val="left"/>
        <w:rPr>
          <w:rFonts w:hint="eastAsia" w:cs="宋体"/>
          <w:color w:val="auto"/>
          <w:szCs w:val="21"/>
          <w:highlight w:val="none"/>
        </w:rPr>
      </w:pPr>
      <w:r>
        <w:rPr>
          <w:rFonts w:hint="eastAsia" w:cs="宋体"/>
          <w:color w:val="auto"/>
          <w:szCs w:val="21"/>
          <w:highlight w:val="none"/>
        </w:rPr>
        <w:t>3.1本项目招标范围：见“</w:t>
      </w:r>
      <w:r>
        <w:rPr>
          <w:rFonts w:hint="eastAsia" w:cs="宋体"/>
          <w:b/>
          <w:color w:val="auto"/>
          <w:szCs w:val="21"/>
          <w:highlight w:val="none"/>
        </w:rPr>
        <w:t>投标人须知前附表</w:t>
      </w:r>
      <w:r>
        <w:rPr>
          <w:rFonts w:hint="eastAsia" w:cs="宋体"/>
          <w:color w:val="auto"/>
          <w:szCs w:val="21"/>
          <w:highlight w:val="none"/>
        </w:rPr>
        <w:t>”。</w:t>
      </w:r>
    </w:p>
    <w:p w14:paraId="417F942A">
      <w:pPr>
        <w:ind w:firstLine="420" w:firstLineChars="200"/>
        <w:jc w:val="left"/>
        <w:rPr>
          <w:rFonts w:hint="eastAsia" w:cs="宋体"/>
          <w:color w:val="auto"/>
          <w:szCs w:val="21"/>
          <w:highlight w:val="none"/>
        </w:rPr>
      </w:pPr>
      <w:r>
        <w:rPr>
          <w:rFonts w:hint="eastAsia" w:cs="宋体"/>
          <w:color w:val="auto"/>
          <w:szCs w:val="21"/>
          <w:highlight w:val="none"/>
        </w:rPr>
        <w:t>3.2本项目交货期、交货地点、交货方式、质量要求：见“</w:t>
      </w:r>
      <w:r>
        <w:rPr>
          <w:rFonts w:hint="eastAsia" w:cs="宋体"/>
          <w:b/>
          <w:color w:val="auto"/>
          <w:szCs w:val="21"/>
          <w:highlight w:val="none"/>
        </w:rPr>
        <w:t>投标人须知前附表</w:t>
      </w:r>
      <w:r>
        <w:rPr>
          <w:rFonts w:hint="eastAsia" w:cs="宋体"/>
          <w:color w:val="auto"/>
          <w:szCs w:val="21"/>
          <w:highlight w:val="none"/>
        </w:rPr>
        <w:t>”。</w:t>
      </w:r>
    </w:p>
    <w:p w14:paraId="0BCF16E9">
      <w:pPr>
        <w:ind w:firstLine="422" w:firstLineChars="200"/>
        <w:jc w:val="left"/>
        <w:rPr>
          <w:rFonts w:hint="eastAsia" w:cs="宋体"/>
          <w:b/>
          <w:color w:val="auto"/>
          <w:szCs w:val="21"/>
          <w:highlight w:val="none"/>
        </w:rPr>
      </w:pPr>
      <w:r>
        <w:rPr>
          <w:rFonts w:hint="eastAsia" w:cs="宋体"/>
          <w:b/>
          <w:color w:val="auto"/>
          <w:szCs w:val="21"/>
          <w:highlight w:val="none"/>
        </w:rPr>
        <w:t>★4.合格的投标人</w:t>
      </w:r>
    </w:p>
    <w:p w14:paraId="3D1B87E1">
      <w:pPr>
        <w:ind w:firstLine="422" w:firstLineChars="200"/>
        <w:jc w:val="left"/>
        <w:rPr>
          <w:rFonts w:hint="eastAsia" w:cs="宋体"/>
          <w:b/>
          <w:bCs/>
          <w:color w:val="auto"/>
          <w:szCs w:val="21"/>
          <w:highlight w:val="none"/>
        </w:rPr>
      </w:pPr>
      <w:r>
        <w:rPr>
          <w:rFonts w:hint="eastAsia" w:cs="宋体"/>
          <w:b/>
          <w:bCs/>
          <w:color w:val="auto"/>
          <w:szCs w:val="21"/>
          <w:highlight w:val="none"/>
        </w:rPr>
        <w:t>4.1投标人应具备《中华人民共和国政府采购法》第二十二条规定的条件，并提供下列材料：</w:t>
      </w:r>
    </w:p>
    <w:p w14:paraId="03186EE1">
      <w:pPr>
        <w:ind w:firstLine="420" w:firstLineChars="200"/>
        <w:jc w:val="left"/>
        <w:rPr>
          <w:rFonts w:hint="eastAsia" w:cs="宋体"/>
          <w:color w:val="auto"/>
          <w:szCs w:val="21"/>
          <w:highlight w:val="none"/>
        </w:rPr>
      </w:pPr>
      <w:r>
        <w:rPr>
          <w:rFonts w:hint="eastAsia" w:cs="宋体"/>
          <w:color w:val="auto"/>
          <w:szCs w:val="21"/>
          <w:highlight w:val="none"/>
        </w:rPr>
        <w:t>4.1.1投标人必须是具有独立承担民事责任能力的法人、其他组织或者自然人；提供有效的三证合一营业执照（扫描件）或同等法定证明；</w:t>
      </w:r>
    </w:p>
    <w:p w14:paraId="778CA4AB">
      <w:pPr>
        <w:ind w:firstLine="420" w:firstLineChars="200"/>
        <w:jc w:val="left"/>
        <w:rPr>
          <w:rFonts w:hint="eastAsia" w:cs="宋体"/>
          <w:bCs/>
          <w:color w:val="auto"/>
          <w:szCs w:val="21"/>
          <w:highlight w:val="none"/>
        </w:rPr>
      </w:pPr>
      <w:r>
        <w:rPr>
          <w:rFonts w:hint="eastAsia" w:cs="宋体"/>
          <w:color w:val="auto"/>
          <w:szCs w:val="21"/>
          <w:highlight w:val="none"/>
        </w:rPr>
        <w:t>4.1.2投标人必须提供财务状况报告，具体年份详见</w:t>
      </w:r>
      <w:r>
        <w:rPr>
          <w:rFonts w:hint="eastAsia" w:cs="宋体"/>
          <w:b/>
          <w:color w:val="auto"/>
          <w:szCs w:val="21"/>
          <w:highlight w:val="none"/>
        </w:rPr>
        <w:t>“</w:t>
      </w:r>
      <w:r>
        <w:rPr>
          <w:rFonts w:hint="eastAsia" w:cs="宋体"/>
          <w:b/>
          <w:bCs/>
          <w:color w:val="auto"/>
          <w:szCs w:val="21"/>
          <w:highlight w:val="none"/>
        </w:rPr>
        <w:t>投标人须知前附表</w:t>
      </w:r>
      <w:r>
        <w:rPr>
          <w:rFonts w:hint="eastAsia" w:cs="宋体"/>
          <w:b/>
          <w:color w:val="auto"/>
          <w:szCs w:val="21"/>
          <w:highlight w:val="none"/>
        </w:rPr>
        <w:t>”</w:t>
      </w:r>
      <w:r>
        <w:rPr>
          <w:rFonts w:hint="eastAsia" w:cs="宋体"/>
          <w:bCs/>
          <w:color w:val="auto"/>
          <w:szCs w:val="21"/>
          <w:highlight w:val="none"/>
        </w:rPr>
        <w:t>。</w:t>
      </w:r>
    </w:p>
    <w:p w14:paraId="65D9181E">
      <w:pPr>
        <w:ind w:firstLine="420" w:firstLineChars="200"/>
        <w:jc w:val="left"/>
        <w:rPr>
          <w:rFonts w:hint="eastAsia" w:cs="宋体"/>
          <w:color w:val="auto"/>
          <w:szCs w:val="21"/>
          <w:highlight w:val="none"/>
        </w:rPr>
      </w:pPr>
      <w:r>
        <w:rPr>
          <w:rFonts w:hint="eastAsia" w:cs="宋体"/>
          <w:color w:val="auto"/>
          <w:szCs w:val="21"/>
          <w:highlight w:val="none"/>
        </w:rPr>
        <w:t>4.1.3投标人提供近期内（具体月份详见“</w:t>
      </w:r>
      <w:r>
        <w:rPr>
          <w:rFonts w:hint="eastAsia" w:cs="宋体"/>
          <w:b/>
          <w:bCs/>
          <w:color w:val="auto"/>
          <w:szCs w:val="21"/>
          <w:highlight w:val="none"/>
        </w:rPr>
        <w:t>投标人须知前附表</w:t>
      </w:r>
      <w:r>
        <w:rPr>
          <w:rFonts w:hint="eastAsia" w:cs="宋体"/>
          <w:color w:val="auto"/>
          <w:szCs w:val="21"/>
          <w:highlight w:val="none"/>
        </w:rPr>
        <w:t>”）的税务局税收通用缴款书扫描件或银行电子缴税（费）凭证扫描件或税务局出具纳税情况的相关证明扫描件；</w:t>
      </w:r>
      <w:r>
        <w:rPr>
          <w:rFonts w:hint="eastAsia"/>
          <w:b/>
          <w:bCs/>
          <w:color w:val="auto"/>
          <w:kern w:val="0"/>
          <w:szCs w:val="21"/>
          <w:highlight w:val="none"/>
        </w:rPr>
        <w:t>（</w:t>
      </w:r>
      <w:r>
        <w:rPr>
          <w:rFonts w:hint="eastAsia" w:cs="宋体"/>
          <w:b/>
          <w:color w:val="auto"/>
          <w:szCs w:val="21"/>
          <w:highlight w:val="none"/>
        </w:rPr>
        <w:t>新成立的</w:t>
      </w:r>
      <w:r>
        <w:rPr>
          <w:rFonts w:hint="eastAsia"/>
          <w:b/>
          <w:color w:val="auto"/>
          <w:szCs w:val="21"/>
          <w:highlight w:val="none"/>
        </w:rPr>
        <w:t>投标人</w:t>
      </w:r>
      <w:r>
        <w:rPr>
          <w:rFonts w:hint="eastAsia" w:cs="宋体"/>
          <w:b/>
          <w:color w:val="auto"/>
          <w:szCs w:val="21"/>
          <w:highlight w:val="none"/>
        </w:rPr>
        <w:t>根据实际情况提供</w:t>
      </w:r>
      <w:r>
        <w:rPr>
          <w:rFonts w:hint="eastAsia"/>
          <w:b/>
          <w:bCs/>
          <w:color w:val="auto"/>
          <w:kern w:val="0"/>
          <w:szCs w:val="21"/>
          <w:highlight w:val="none"/>
        </w:rPr>
        <w:t>；依法免税的投标人，应提供相应文件证明其依法免税）。</w:t>
      </w:r>
    </w:p>
    <w:p w14:paraId="6D212C7F">
      <w:pPr>
        <w:ind w:firstLine="420" w:firstLineChars="200"/>
        <w:jc w:val="left"/>
        <w:rPr>
          <w:rFonts w:hint="eastAsia" w:cs="宋体"/>
          <w:color w:val="auto"/>
          <w:szCs w:val="21"/>
          <w:highlight w:val="none"/>
        </w:rPr>
      </w:pPr>
      <w:r>
        <w:rPr>
          <w:rFonts w:hint="eastAsia" w:cs="宋体"/>
          <w:color w:val="auto"/>
          <w:szCs w:val="21"/>
          <w:highlight w:val="none"/>
        </w:rPr>
        <w:t>4.1.4投标人提供近期内（具体月份详见“</w:t>
      </w:r>
      <w:r>
        <w:rPr>
          <w:rFonts w:hint="eastAsia" w:cs="宋体"/>
          <w:b/>
          <w:bCs/>
          <w:color w:val="auto"/>
          <w:szCs w:val="21"/>
          <w:highlight w:val="none"/>
        </w:rPr>
        <w:t>投标人须知前附表</w:t>
      </w:r>
      <w:r>
        <w:rPr>
          <w:rFonts w:hint="eastAsia" w:cs="宋体"/>
          <w:color w:val="auto"/>
          <w:szCs w:val="21"/>
          <w:highlight w:val="none"/>
        </w:rPr>
        <w:t>”）的社会保险费缴款书扫描件或银行电子缴税（费）凭证扫描件或社保管理部门出具的有效的缴款证明扫描件；</w:t>
      </w:r>
      <w:r>
        <w:rPr>
          <w:rFonts w:hint="eastAsia"/>
          <w:b/>
          <w:bCs/>
          <w:color w:val="auto"/>
          <w:szCs w:val="21"/>
          <w:highlight w:val="none"/>
        </w:rPr>
        <w:t>（</w:t>
      </w:r>
      <w:r>
        <w:rPr>
          <w:rFonts w:hint="eastAsia" w:cs="宋体"/>
          <w:b/>
          <w:color w:val="auto"/>
          <w:szCs w:val="21"/>
          <w:highlight w:val="none"/>
        </w:rPr>
        <w:t>新成立的</w:t>
      </w:r>
      <w:r>
        <w:rPr>
          <w:rFonts w:hint="eastAsia"/>
          <w:b/>
          <w:color w:val="auto"/>
          <w:szCs w:val="21"/>
          <w:highlight w:val="none"/>
        </w:rPr>
        <w:t>投标人</w:t>
      </w:r>
      <w:r>
        <w:rPr>
          <w:rFonts w:hint="eastAsia" w:cs="宋体"/>
          <w:b/>
          <w:color w:val="auto"/>
          <w:szCs w:val="21"/>
          <w:highlight w:val="none"/>
        </w:rPr>
        <w:t>根据实际情况提供；</w:t>
      </w:r>
      <w:r>
        <w:rPr>
          <w:rFonts w:hint="eastAsia"/>
          <w:b/>
          <w:bCs/>
          <w:color w:val="auto"/>
          <w:kern w:val="0"/>
          <w:szCs w:val="21"/>
          <w:highlight w:val="none"/>
        </w:rPr>
        <w:t>依法不需要缴纳社会保障资金的投标人，应提供相应文件证明其不需要缴纳社会保障资金。</w:t>
      </w:r>
      <w:r>
        <w:rPr>
          <w:rFonts w:hint="eastAsia"/>
          <w:b/>
          <w:bCs/>
          <w:color w:val="auto"/>
          <w:szCs w:val="21"/>
          <w:highlight w:val="none"/>
        </w:rPr>
        <w:t>）</w:t>
      </w:r>
    </w:p>
    <w:p w14:paraId="75CF634D">
      <w:pPr>
        <w:ind w:firstLine="420" w:firstLineChars="200"/>
        <w:jc w:val="left"/>
        <w:rPr>
          <w:rFonts w:hint="eastAsia" w:cs="宋体"/>
          <w:color w:val="auto"/>
          <w:szCs w:val="21"/>
          <w:highlight w:val="none"/>
        </w:rPr>
      </w:pPr>
      <w:r>
        <w:rPr>
          <w:rFonts w:hint="eastAsia" w:cs="宋体"/>
          <w:color w:val="auto"/>
          <w:szCs w:val="21"/>
          <w:highlight w:val="none"/>
        </w:rPr>
        <w:t>4.1.5投标人须提供具备履行合同所必需的设备和专业技术能力的证明材料；（提供承诺书）</w:t>
      </w:r>
    </w:p>
    <w:p w14:paraId="4A277DB9">
      <w:pPr>
        <w:ind w:firstLine="420" w:firstLineChars="200"/>
        <w:jc w:val="left"/>
        <w:rPr>
          <w:rFonts w:hint="eastAsia" w:cs="宋体"/>
          <w:color w:val="auto"/>
          <w:szCs w:val="21"/>
          <w:highlight w:val="none"/>
        </w:rPr>
      </w:pPr>
      <w:r>
        <w:rPr>
          <w:rFonts w:hint="eastAsia" w:cs="宋体"/>
          <w:color w:val="auto"/>
          <w:szCs w:val="21"/>
          <w:highlight w:val="none"/>
        </w:rPr>
        <w:t>4.1.6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7449C460">
      <w:pPr>
        <w:ind w:firstLine="420" w:firstLineChars="200"/>
        <w:jc w:val="left"/>
        <w:rPr>
          <w:rFonts w:hint="eastAsia" w:cs="宋体"/>
          <w:bCs/>
          <w:color w:val="auto"/>
          <w:szCs w:val="21"/>
          <w:highlight w:val="none"/>
        </w:rPr>
      </w:pPr>
      <w:r>
        <w:rPr>
          <w:rFonts w:hint="eastAsia" w:cs="宋体"/>
          <w:bCs/>
          <w:color w:val="auto"/>
          <w:szCs w:val="21"/>
          <w:highlight w:val="none"/>
        </w:rPr>
        <w:t>4.2</w:t>
      </w:r>
      <w:r>
        <w:rPr>
          <w:color w:val="auto"/>
          <w:highlight w:val="none"/>
        </w:rPr>
        <w:t>落实政府采购政策需满足的资格要求（详见</w:t>
      </w:r>
      <w:r>
        <w:rPr>
          <w:b/>
          <w:color w:val="auto"/>
          <w:highlight w:val="none"/>
        </w:rPr>
        <w:t>“投标人须知前附表”</w:t>
      </w:r>
      <w:r>
        <w:rPr>
          <w:color w:val="auto"/>
          <w:highlight w:val="none"/>
        </w:rPr>
        <w:t>）</w:t>
      </w:r>
      <w:r>
        <w:rPr>
          <w:rFonts w:hint="eastAsia"/>
          <w:color w:val="auto"/>
          <w:highlight w:val="none"/>
        </w:rPr>
        <w:t>。</w:t>
      </w:r>
    </w:p>
    <w:p w14:paraId="2DA142C6">
      <w:pPr>
        <w:ind w:firstLine="420" w:firstLineChars="200"/>
        <w:jc w:val="left"/>
        <w:rPr>
          <w:rFonts w:hint="eastAsia" w:cs="宋体"/>
          <w:bCs/>
          <w:color w:val="auto"/>
          <w:szCs w:val="21"/>
          <w:highlight w:val="none"/>
        </w:rPr>
      </w:pPr>
      <w:r>
        <w:rPr>
          <w:rFonts w:hint="eastAsia"/>
          <w:color w:val="auto"/>
          <w:highlight w:val="none"/>
        </w:rPr>
        <w:t>4</w:t>
      </w:r>
      <w:r>
        <w:rPr>
          <w:color w:val="auto"/>
          <w:highlight w:val="none"/>
        </w:rPr>
        <w:t>.3</w:t>
      </w:r>
      <w:r>
        <w:rPr>
          <w:rFonts w:hint="eastAsia" w:cs="宋体"/>
          <w:bCs/>
          <w:color w:val="auto"/>
          <w:szCs w:val="21"/>
          <w:highlight w:val="none"/>
        </w:rPr>
        <w:t>投标人应符合采购人根据采购项目的特殊要求规定的特定条件。特定条件见</w:t>
      </w:r>
      <w:r>
        <w:rPr>
          <w:rFonts w:hint="eastAsia" w:cs="宋体"/>
          <w:b/>
          <w:color w:val="auto"/>
          <w:szCs w:val="21"/>
          <w:highlight w:val="none"/>
        </w:rPr>
        <w:t>“投标人须知前附表”。</w:t>
      </w:r>
    </w:p>
    <w:p w14:paraId="7AE2A4DE">
      <w:pPr>
        <w:ind w:firstLine="420" w:firstLineChars="200"/>
        <w:jc w:val="left"/>
        <w:rPr>
          <w:rFonts w:hint="eastAsia" w:cs="宋体"/>
          <w:bCs/>
          <w:color w:val="auto"/>
          <w:szCs w:val="21"/>
          <w:highlight w:val="none"/>
        </w:rPr>
      </w:pPr>
      <w:r>
        <w:rPr>
          <w:rFonts w:hint="eastAsia" w:cs="宋体"/>
          <w:bCs/>
          <w:color w:val="auto"/>
          <w:szCs w:val="21"/>
          <w:highlight w:val="none"/>
        </w:rPr>
        <w:t>4.</w:t>
      </w:r>
      <w:r>
        <w:rPr>
          <w:rFonts w:cs="宋体"/>
          <w:bCs/>
          <w:color w:val="auto"/>
          <w:szCs w:val="21"/>
          <w:highlight w:val="none"/>
        </w:rPr>
        <w:t>4</w:t>
      </w:r>
      <w:r>
        <w:rPr>
          <w:rFonts w:hint="eastAsia" w:cs="宋体"/>
          <w:bCs/>
          <w:color w:val="auto"/>
          <w:szCs w:val="21"/>
          <w:highlight w:val="none"/>
        </w:rPr>
        <w:t>单位负责人为同一人或者存在直接控股、管理关系的不同投标人，不得参加同一招标项目包的政府采购活动。</w:t>
      </w:r>
    </w:p>
    <w:p w14:paraId="1BC946E1">
      <w:pPr>
        <w:ind w:firstLine="420" w:firstLineChars="200"/>
        <w:jc w:val="left"/>
        <w:rPr>
          <w:rFonts w:hint="eastAsia" w:cs="宋体"/>
          <w:bCs/>
          <w:color w:val="auto"/>
          <w:szCs w:val="21"/>
          <w:highlight w:val="none"/>
        </w:rPr>
      </w:pPr>
      <w:r>
        <w:rPr>
          <w:rFonts w:hint="eastAsia" w:cs="宋体"/>
          <w:bCs/>
          <w:color w:val="auto"/>
          <w:szCs w:val="21"/>
          <w:highlight w:val="none"/>
        </w:rPr>
        <w:t>4.</w:t>
      </w:r>
      <w:r>
        <w:rPr>
          <w:rFonts w:cs="宋体"/>
          <w:bCs/>
          <w:color w:val="auto"/>
          <w:szCs w:val="21"/>
          <w:highlight w:val="none"/>
        </w:rPr>
        <w:t>5</w:t>
      </w:r>
      <w:r>
        <w:rPr>
          <w:rFonts w:hint="eastAsia" w:cs="宋体"/>
          <w:color w:val="auto"/>
          <w:szCs w:val="21"/>
          <w:highlight w:val="none"/>
        </w:rPr>
        <w:t>投标人未被列入“信用中国”网站（www.creditchina.gov.cn）失信被执行人、</w:t>
      </w:r>
      <w:r>
        <w:rPr>
          <w:rFonts w:hint="eastAsia" w:cs="宋体"/>
          <w:bCs/>
          <w:color w:val="auto"/>
          <w:kern w:val="0"/>
          <w:szCs w:val="21"/>
          <w:highlight w:val="none"/>
        </w:rPr>
        <w:t>重大税收违法失信主体</w:t>
      </w:r>
      <w:r>
        <w:rPr>
          <w:rFonts w:hint="eastAsia" w:cs="宋体"/>
          <w:color w:val="auto"/>
          <w:szCs w:val="21"/>
          <w:highlight w:val="none"/>
        </w:rPr>
        <w:t>、政府采购严重违法失信行为记录名单，及未被列入中国政府采购网（www.ccgp.gov.cn）“政府采购严重违法失信行为信息记录”（以开标当天工作人员对上述信用信息进行查询核对的结果为准）</w:t>
      </w:r>
      <w:r>
        <w:rPr>
          <w:rFonts w:hint="eastAsia" w:cs="宋体"/>
          <w:bCs/>
          <w:color w:val="auto"/>
          <w:szCs w:val="21"/>
          <w:highlight w:val="none"/>
        </w:rPr>
        <w:t>。查询记录为上述网站信用信息查询结果的网页截图或网页打印稿。投标人存在不良信用记录的，不得参与政府采购活动。</w:t>
      </w:r>
    </w:p>
    <w:p w14:paraId="5BA722F7">
      <w:pPr>
        <w:ind w:firstLine="420" w:firstLineChars="200"/>
        <w:jc w:val="left"/>
        <w:rPr>
          <w:rFonts w:hint="eastAsia" w:cs="宋体"/>
          <w:bCs/>
          <w:color w:val="auto"/>
          <w:szCs w:val="21"/>
          <w:highlight w:val="none"/>
        </w:rPr>
      </w:pPr>
      <w:r>
        <w:rPr>
          <w:rFonts w:hint="eastAsia" w:cs="宋体"/>
          <w:bCs/>
          <w:color w:val="auto"/>
          <w:szCs w:val="21"/>
          <w:highlight w:val="none"/>
        </w:rPr>
        <w:t>4.</w:t>
      </w:r>
      <w:r>
        <w:rPr>
          <w:rFonts w:cs="宋体"/>
          <w:bCs/>
          <w:color w:val="auto"/>
          <w:szCs w:val="21"/>
          <w:highlight w:val="none"/>
        </w:rPr>
        <w:t>6</w:t>
      </w:r>
      <w:r>
        <w:rPr>
          <w:rFonts w:hint="eastAsia" w:cs="宋体"/>
          <w:b/>
          <w:color w:val="auto"/>
          <w:szCs w:val="21"/>
          <w:highlight w:val="none"/>
        </w:rPr>
        <w:t>“投标人须知前附表”</w:t>
      </w:r>
      <w:r>
        <w:rPr>
          <w:rFonts w:hint="eastAsia" w:cs="宋体"/>
          <w:bCs/>
          <w:color w:val="auto"/>
          <w:szCs w:val="21"/>
          <w:highlight w:val="none"/>
        </w:rPr>
        <w:t>规定接受联合体投标的，除应符合本章第4.1-4.</w:t>
      </w:r>
      <w:r>
        <w:rPr>
          <w:rFonts w:cs="宋体"/>
          <w:bCs/>
          <w:color w:val="auto"/>
          <w:szCs w:val="21"/>
          <w:highlight w:val="none"/>
        </w:rPr>
        <w:t>5</w:t>
      </w:r>
      <w:r>
        <w:rPr>
          <w:rFonts w:hint="eastAsia" w:cs="宋体"/>
          <w:bCs/>
          <w:color w:val="auto"/>
          <w:szCs w:val="21"/>
          <w:highlight w:val="none"/>
        </w:rPr>
        <w:t>项和</w:t>
      </w:r>
      <w:r>
        <w:rPr>
          <w:rFonts w:hint="eastAsia" w:cs="宋体"/>
          <w:b/>
          <w:color w:val="auto"/>
          <w:szCs w:val="21"/>
          <w:highlight w:val="none"/>
        </w:rPr>
        <w:t>“投标人须知前附表”</w:t>
      </w:r>
      <w:r>
        <w:rPr>
          <w:rFonts w:hint="eastAsia" w:cs="宋体"/>
          <w:bCs/>
          <w:color w:val="auto"/>
          <w:szCs w:val="21"/>
          <w:highlight w:val="none"/>
        </w:rPr>
        <w:t>的要求外，还应遵守以下规定：</w:t>
      </w:r>
    </w:p>
    <w:p w14:paraId="10AE14A0">
      <w:pPr>
        <w:ind w:firstLine="420" w:firstLineChars="200"/>
        <w:jc w:val="left"/>
        <w:rPr>
          <w:rFonts w:hint="eastAsia" w:cs="宋体"/>
          <w:bCs/>
          <w:color w:val="auto"/>
          <w:szCs w:val="21"/>
          <w:highlight w:val="none"/>
        </w:rPr>
      </w:pPr>
      <w:r>
        <w:rPr>
          <w:rFonts w:hint="eastAsia" w:cs="宋体"/>
          <w:bCs/>
          <w:color w:val="auto"/>
          <w:szCs w:val="21"/>
          <w:highlight w:val="none"/>
        </w:rPr>
        <w:t>（1）联合体中有同类资质的投标人按照联合体分工承担相同工作的，应当按照资质等级较低的投标人确定资质等级；</w:t>
      </w:r>
    </w:p>
    <w:p w14:paraId="289BAE55">
      <w:pPr>
        <w:ind w:firstLine="420" w:firstLineChars="200"/>
        <w:jc w:val="left"/>
        <w:rPr>
          <w:rFonts w:hint="eastAsia" w:cs="宋体"/>
          <w:bCs/>
          <w:color w:val="auto"/>
          <w:szCs w:val="21"/>
          <w:highlight w:val="none"/>
        </w:rPr>
      </w:pPr>
      <w:r>
        <w:rPr>
          <w:rFonts w:hint="eastAsia" w:cs="宋体"/>
          <w:bCs/>
          <w:color w:val="auto"/>
          <w:szCs w:val="21"/>
          <w:highlight w:val="none"/>
        </w:rPr>
        <w:t>（2）联合体各方之间应当签订共同投标协议，明确约定联合体各方承担的工作和相应的责任；</w:t>
      </w:r>
    </w:p>
    <w:p w14:paraId="5D26F066">
      <w:pPr>
        <w:ind w:firstLine="420" w:firstLineChars="200"/>
        <w:jc w:val="left"/>
        <w:rPr>
          <w:rFonts w:hint="eastAsia" w:cs="宋体"/>
          <w:bCs/>
          <w:color w:val="auto"/>
          <w:szCs w:val="21"/>
          <w:highlight w:val="none"/>
        </w:rPr>
      </w:pPr>
      <w:r>
        <w:rPr>
          <w:rFonts w:hint="eastAsia" w:cs="宋体"/>
          <w:bCs/>
          <w:color w:val="auto"/>
          <w:szCs w:val="21"/>
          <w:highlight w:val="none"/>
        </w:rPr>
        <w:t>（3）以联合体形式参加政府采购活动的，联合体各方不得再单独参加或者与其他投标人另外组成联合体参加同一项目包下的政府采购活动。</w:t>
      </w:r>
    </w:p>
    <w:p w14:paraId="4119A778">
      <w:pPr>
        <w:ind w:firstLine="420" w:firstLineChars="200"/>
        <w:jc w:val="left"/>
        <w:rPr>
          <w:rFonts w:hint="eastAsia" w:cs="宋体"/>
          <w:bCs/>
          <w:color w:val="auto"/>
          <w:szCs w:val="21"/>
          <w:highlight w:val="none"/>
        </w:rPr>
      </w:pPr>
      <w:r>
        <w:rPr>
          <w:rFonts w:hint="eastAsia" w:cs="宋体"/>
          <w:bCs/>
          <w:color w:val="auto"/>
          <w:szCs w:val="21"/>
          <w:highlight w:val="none"/>
        </w:rPr>
        <w:t>4.</w:t>
      </w:r>
      <w:r>
        <w:rPr>
          <w:rFonts w:cs="宋体"/>
          <w:bCs/>
          <w:color w:val="auto"/>
          <w:szCs w:val="21"/>
          <w:highlight w:val="none"/>
        </w:rPr>
        <w:t>7</w:t>
      </w:r>
      <w:r>
        <w:rPr>
          <w:rFonts w:hint="eastAsia" w:cs="宋体"/>
          <w:bCs/>
          <w:color w:val="auto"/>
          <w:szCs w:val="21"/>
          <w:highlight w:val="none"/>
        </w:rPr>
        <w:t>符合上述条件的投标人应承担投标及履约中应承担的全部责任与义务。</w:t>
      </w:r>
    </w:p>
    <w:p w14:paraId="490C3883">
      <w:pPr>
        <w:ind w:firstLine="422" w:firstLineChars="200"/>
        <w:jc w:val="left"/>
        <w:rPr>
          <w:rFonts w:hint="eastAsia" w:cs="宋体"/>
          <w:b/>
          <w:color w:val="auto"/>
          <w:szCs w:val="21"/>
          <w:highlight w:val="none"/>
        </w:rPr>
      </w:pPr>
      <w:r>
        <w:rPr>
          <w:rFonts w:hint="eastAsia" w:cs="宋体"/>
          <w:b/>
          <w:color w:val="auto"/>
          <w:szCs w:val="21"/>
          <w:highlight w:val="none"/>
        </w:rPr>
        <w:t>5.投标费用</w:t>
      </w:r>
    </w:p>
    <w:p w14:paraId="6D53DBA9">
      <w:pPr>
        <w:pStyle w:val="23"/>
        <w:ind w:firstLine="420" w:firstLineChars="200"/>
        <w:rPr>
          <w:rFonts w:hint="eastAsia" w:cs="宋体"/>
          <w:color w:val="auto"/>
          <w:szCs w:val="21"/>
          <w:highlight w:val="none"/>
        </w:rPr>
      </w:pPr>
      <w:r>
        <w:rPr>
          <w:rFonts w:hint="eastAsia" w:cs="宋体"/>
          <w:color w:val="auto"/>
          <w:szCs w:val="21"/>
          <w:highlight w:val="none"/>
        </w:rPr>
        <w:t>5.1不论投标结果如何，投标人均应自行承担所有与准备和参加投标活动有关的全部费用。</w:t>
      </w:r>
    </w:p>
    <w:p w14:paraId="5F41D211">
      <w:pPr>
        <w:keepNext w:val="0"/>
        <w:keepLines w:val="0"/>
        <w:pageBreakBefore w:val="0"/>
        <w:widowControl w:val="0"/>
        <w:kinsoku/>
        <w:wordWrap/>
        <w:overflowPunct/>
        <w:topLinePunct w:val="0"/>
        <w:autoSpaceDE/>
        <w:autoSpaceDN/>
        <w:bidi w:val="0"/>
        <w:adjustRightInd/>
        <w:snapToGrid/>
        <w:ind w:firstLine="442" w:firstLineChars="200"/>
        <w:jc w:val="left"/>
        <w:textAlignment w:val="auto"/>
        <w:rPr>
          <w:rFonts w:hint="eastAsia" w:ascii="宋体" w:hAnsi="宋体" w:eastAsia="宋体" w:cs="宋体"/>
          <w:b/>
          <w:color w:val="auto"/>
          <w:highlight w:val="none"/>
        </w:rPr>
      </w:pPr>
      <w:r>
        <w:rPr>
          <w:rFonts w:hint="eastAsia"/>
          <w:b/>
          <w:bCs/>
          <w:color w:val="auto"/>
          <w:sz w:val="22"/>
          <w:szCs w:val="21"/>
          <w:highlight w:val="none"/>
          <w:lang w:val="en-US" w:eastAsia="zh-CN"/>
        </w:rPr>
        <w:t>6.</w:t>
      </w:r>
      <w:r>
        <w:rPr>
          <w:rFonts w:hint="eastAsia" w:ascii="宋体" w:hAnsi="宋体" w:eastAsia="宋体" w:cs="宋体"/>
          <w:b/>
          <w:color w:val="auto"/>
          <w:highlight w:val="none"/>
        </w:rPr>
        <w:t>踏勘</w:t>
      </w:r>
    </w:p>
    <w:p w14:paraId="2DBBA53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kern w:val="2"/>
          <w:highlight w:val="none"/>
          <w:lang w:val="zh-CN"/>
        </w:rPr>
      </w:pPr>
      <w:r>
        <w:rPr>
          <w:rFonts w:hint="eastAsia" w:ascii="宋体" w:hAnsi="宋体" w:eastAsia="宋体" w:cs="宋体"/>
          <w:color w:val="auto"/>
          <w:kern w:val="2"/>
          <w:highlight w:val="none"/>
          <w:lang w:val="zh-CN"/>
        </w:rPr>
        <w:t>6.1 本项目招标不组织统一的现场踏勘。投标人可自行进行现场踏勘，现场踏勘的费用由投标人自</w:t>
      </w:r>
      <w:r>
        <w:rPr>
          <w:rFonts w:hint="eastAsia" w:cs="宋体"/>
          <w:color w:val="auto"/>
          <w:kern w:val="2"/>
          <w:highlight w:val="none"/>
          <w:lang w:val="en-US" w:eastAsia="zh-CN"/>
        </w:rPr>
        <w:t>行</w:t>
      </w:r>
      <w:r>
        <w:rPr>
          <w:rFonts w:hint="eastAsia" w:ascii="宋体" w:hAnsi="宋体" w:eastAsia="宋体" w:cs="宋体"/>
          <w:color w:val="auto"/>
          <w:kern w:val="2"/>
          <w:highlight w:val="none"/>
          <w:lang w:val="zh-CN"/>
        </w:rPr>
        <w:t>承担。</w:t>
      </w:r>
    </w:p>
    <w:p w14:paraId="358FFA1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kern w:val="2"/>
          <w:highlight w:val="none"/>
          <w:lang w:val="zh-CN"/>
        </w:rPr>
      </w:pPr>
      <w:r>
        <w:rPr>
          <w:rFonts w:hint="eastAsia" w:ascii="宋体" w:hAnsi="宋体" w:eastAsia="宋体" w:cs="宋体"/>
          <w:color w:val="auto"/>
          <w:kern w:val="2"/>
          <w:highlight w:val="none"/>
          <w:lang w:val="zh-CN"/>
        </w:rPr>
        <w:t>6.2 投标人及其代表必须承担进入现场后，由于自身的行为所造成的人身伤害、财产损失或损坏，以及其他任何原因造成的损失、损坏或发生的费用。</w:t>
      </w:r>
    </w:p>
    <w:p w14:paraId="218916BA">
      <w:pPr>
        <w:ind w:firstLine="422" w:firstLineChars="200"/>
        <w:rPr>
          <w:rFonts w:hint="eastAsia" w:cs="宋体"/>
          <w:b/>
          <w:color w:val="auto"/>
          <w:szCs w:val="21"/>
          <w:highlight w:val="none"/>
        </w:rPr>
      </w:pPr>
      <w:r>
        <w:rPr>
          <w:rFonts w:hint="eastAsia" w:cs="宋体"/>
          <w:b/>
          <w:color w:val="auto"/>
          <w:szCs w:val="21"/>
          <w:highlight w:val="none"/>
          <w:lang w:val="en-US" w:eastAsia="zh-CN"/>
        </w:rPr>
        <w:t>7</w:t>
      </w:r>
      <w:r>
        <w:rPr>
          <w:rFonts w:hint="eastAsia" w:cs="宋体"/>
          <w:b/>
          <w:color w:val="auto"/>
          <w:szCs w:val="21"/>
          <w:highlight w:val="none"/>
        </w:rPr>
        <w:t>.质疑</w:t>
      </w:r>
    </w:p>
    <w:p w14:paraId="4641B781">
      <w:pPr>
        <w:ind w:firstLine="420" w:firstLineChars="200"/>
        <w:rPr>
          <w:rFonts w:hint="eastAsia" w:cs="宋体"/>
          <w:color w:val="auto"/>
          <w:szCs w:val="21"/>
          <w:highlight w:val="none"/>
        </w:rPr>
      </w:pPr>
      <w:r>
        <w:rPr>
          <w:rFonts w:hint="eastAsia" w:cs="宋体"/>
          <w:color w:val="auto"/>
          <w:szCs w:val="21"/>
          <w:highlight w:val="none"/>
          <w:lang w:val="en-US" w:eastAsia="zh-CN"/>
        </w:rPr>
        <w:t>7</w:t>
      </w:r>
      <w:r>
        <w:rPr>
          <w:rFonts w:hint="eastAsia" w:cs="宋体"/>
          <w:color w:val="auto"/>
          <w:szCs w:val="21"/>
          <w:highlight w:val="none"/>
        </w:rPr>
        <w:t>.1投标人认为招标文件、招标过程和中标结果使自己的权益受到损害的，应当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46E75879">
      <w:pPr>
        <w:ind w:firstLine="420" w:firstLineChars="200"/>
        <w:jc w:val="left"/>
        <w:rPr>
          <w:rFonts w:hint="eastAsia" w:cs="宋体"/>
          <w:color w:val="auto"/>
          <w:szCs w:val="21"/>
          <w:highlight w:val="none"/>
        </w:rPr>
      </w:pPr>
      <w:r>
        <w:rPr>
          <w:rFonts w:hint="eastAsia" w:cs="宋体"/>
          <w:color w:val="auto"/>
          <w:szCs w:val="21"/>
          <w:highlight w:val="none"/>
          <w:lang w:val="en-US" w:eastAsia="zh-CN"/>
        </w:rPr>
        <w:t>7</w:t>
      </w:r>
      <w:r>
        <w:rPr>
          <w:rFonts w:hint="eastAsia" w:cs="宋体"/>
          <w:color w:val="auto"/>
          <w:szCs w:val="21"/>
          <w:highlight w:val="none"/>
        </w:rPr>
        <w:t>.2投标人应知其权益受到损害之日，是指：</w:t>
      </w:r>
    </w:p>
    <w:p w14:paraId="38079D2C">
      <w:pPr>
        <w:ind w:firstLine="420" w:firstLineChars="200"/>
        <w:jc w:val="left"/>
        <w:rPr>
          <w:rFonts w:hint="eastAsia" w:cs="宋体"/>
          <w:color w:val="auto"/>
          <w:szCs w:val="21"/>
          <w:highlight w:val="none"/>
        </w:rPr>
      </w:pPr>
      <w:r>
        <w:rPr>
          <w:rFonts w:hint="eastAsia" w:cs="宋体"/>
          <w:color w:val="auto"/>
          <w:szCs w:val="21"/>
          <w:highlight w:val="none"/>
        </w:rPr>
        <w:t>（1）对可以质疑的采购文件提出质疑的，为投标人实际下载采购文件之日或者采购文件公告届满之日；</w:t>
      </w:r>
    </w:p>
    <w:p w14:paraId="0FC5D4E3">
      <w:pPr>
        <w:ind w:firstLine="420" w:firstLineChars="200"/>
        <w:jc w:val="left"/>
        <w:rPr>
          <w:rFonts w:hint="eastAsia" w:cs="宋体"/>
          <w:color w:val="auto"/>
          <w:szCs w:val="21"/>
          <w:highlight w:val="none"/>
        </w:rPr>
      </w:pPr>
      <w:r>
        <w:rPr>
          <w:rFonts w:hint="eastAsia" w:cs="宋体"/>
          <w:color w:val="auto"/>
          <w:szCs w:val="21"/>
          <w:highlight w:val="none"/>
        </w:rPr>
        <w:t>（2）对采购过程提出质疑的，为各采购程序环节结束之日；</w:t>
      </w:r>
    </w:p>
    <w:p w14:paraId="237E2D7C">
      <w:pPr>
        <w:ind w:firstLine="420" w:firstLineChars="200"/>
        <w:jc w:val="left"/>
        <w:rPr>
          <w:rFonts w:hint="eastAsia" w:cs="宋体"/>
          <w:color w:val="auto"/>
          <w:szCs w:val="21"/>
          <w:highlight w:val="none"/>
        </w:rPr>
      </w:pPr>
      <w:r>
        <w:rPr>
          <w:rFonts w:hint="eastAsia" w:cs="宋体"/>
          <w:color w:val="auto"/>
          <w:szCs w:val="21"/>
          <w:highlight w:val="none"/>
        </w:rPr>
        <w:t>（3）对中标结果提出质疑的，为中标结果公告期限届满之日。</w:t>
      </w:r>
    </w:p>
    <w:p w14:paraId="7EAA4206">
      <w:pPr>
        <w:ind w:firstLine="422" w:firstLineChars="200"/>
        <w:jc w:val="left"/>
        <w:rPr>
          <w:rFonts w:hint="eastAsia" w:cs="宋体"/>
          <w:color w:val="auto"/>
          <w:szCs w:val="21"/>
          <w:highlight w:val="none"/>
        </w:rPr>
      </w:pPr>
      <w:bookmarkStart w:id="80" w:name="_Toc321836357"/>
      <w:r>
        <w:rPr>
          <w:rFonts w:hint="eastAsia" w:cs="宋体"/>
          <w:b/>
          <w:bCs/>
          <w:color w:val="auto"/>
          <w:szCs w:val="21"/>
          <w:highlight w:val="none"/>
          <w:u w:val="single"/>
          <w:lang w:val="en-US" w:eastAsia="zh-CN"/>
        </w:rPr>
        <w:t>7</w:t>
      </w:r>
      <w:r>
        <w:rPr>
          <w:rFonts w:hint="eastAsia" w:cs="宋体"/>
          <w:b/>
          <w:bCs/>
          <w:color w:val="auto"/>
          <w:szCs w:val="21"/>
          <w:highlight w:val="none"/>
          <w:u w:val="single"/>
        </w:rPr>
        <w:t>.3投标人提出质疑应符合中华人民共和国财政部第94号令《政府采购质疑和投诉办法》的规定。提出质疑应当提交质疑函和必要的证明材料。质疑函应当包括下列内容：</w:t>
      </w:r>
    </w:p>
    <w:p w14:paraId="1C442992">
      <w:pPr>
        <w:ind w:firstLine="420" w:firstLineChars="200"/>
        <w:jc w:val="left"/>
        <w:rPr>
          <w:rFonts w:hint="eastAsia" w:cs="宋体"/>
          <w:color w:val="auto"/>
          <w:szCs w:val="21"/>
          <w:highlight w:val="none"/>
        </w:rPr>
      </w:pPr>
      <w:r>
        <w:rPr>
          <w:rFonts w:hint="eastAsia" w:cs="宋体"/>
          <w:color w:val="auto"/>
          <w:szCs w:val="21"/>
          <w:highlight w:val="none"/>
        </w:rPr>
        <w:t>（一）投标人名称、地址、邮编、联系人及联系电话；</w:t>
      </w:r>
    </w:p>
    <w:p w14:paraId="57C7AE10">
      <w:pPr>
        <w:ind w:firstLine="420" w:firstLineChars="200"/>
        <w:jc w:val="left"/>
        <w:rPr>
          <w:rFonts w:hint="eastAsia" w:cs="宋体"/>
          <w:color w:val="auto"/>
          <w:szCs w:val="21"/>
          <w:highlight w:val="none"/>
        </w:rPr>
      </w:pPr>
      <w:r>
        <w:rPr>
          <w:rFonts w:hint="eastAsia" w:cs="宋体"/>
          <w:color w:val="auto"/>
          <w:szCs w:val="21"/>
          <w:highlight w:val="none"/>
        </w:rPr>
        <w:t>（二）质疑项目的名称、编号；</w:t>
      </w:r>
    </w:p>
    <w:p w14:paraId="391B3198">
      <w:pPr>
        <w:ind w:firstLine="420" w:firstLineChars="200"/>
        <w:jc w:val="left"/>
        <w:rPr>
          <w:rFonts w:hint="eastAsia" w:cs="宋体"/>
          <w:color w:val="auto"/>
          <w:szCs w:val="21"/>
          <w:highlight w:val="none"/>
        </w:rPr>
      </w:pPr>
      <w:r>
        <w:rPr>
          <w:rFonts w:hint="eastAsia" w:cs="宋体"/>
          <w:color w:val="auto"/>
          <w:szCs w:val="21"/>
          <w:highlight w:val="none"/>
        </w:rPr>
        <w:t>（三）具体、明确的质疑事项和与质疑事项相关的请求；</w:t>
      </w:r>
    </w:p>
    <w:p w14:paraId="1C10EECC">
      <w:pPr>
        <w:ind w:firstLine="420" w:firstLineChars="200"/>
        <w:jc w:val="left"/>
        <w:rPr>
          <w:rFonts w:hint="eastAsia" w:cs="宋体"/>
          <w:color w:val="auto"/>
          <w:szCs w:val="21"/>
          <w:highlight w:val="none"/>
        </w:rPr>
      </w:pPr>
      <w:r>
        <w:rPr>
          <w:rFonts w:hint="eastAsia" w:cs="宋体"/>
          <w:color w:val="auto"/>
          <w:szCs w:val="21"/>
          <w:highlight w:val="none"/>
        </w:rPr>
        <w:t>（四）事实依据；</w:t>
      </w:r>
    </w:p>
    <w:p w14:paraId="3DD4CA42">
      <w:pPr>
        <w:ind w:firstLine="420" w:firstLineChars="200"/>
        <w:jc w:val="left"/>
        <w:rPr>
          <w:rFonts w:hint="eastAsia" w:cs="宋体"/>
          <w:color w:val="auto"/>
          <w:szCs w:val="21"/>
          <w:highlight w:val="none"/>
        </w:rPr>
      </w:pPr>
      <w:r>
        <w:rPr>
          <w:rFonts w:hint="eastAsia" w:cs="宋体"/>
          <w:color w:val="auto"/>
          <w:szCs w:val="21"/>
          <w:highlight w:val="none"/>
        </w:rPr>
        <w:t>（五）必要的法律依据；</w:t>
      </w:r>
    </w:p>
    <w:p w14:paraId="749BF847">
      <w:pPr>
        <w:ind w:firstLine="420" w:firstLineChars="200"/>
        <w:jc w:val="left"/>
        <w:rPr>
          <w:rFonts w:hint="eastAsia" w:cs="宋体"/>
          <w:color w:val="auto"/>
          <w:szCs w:val="21"/>
          <w:highlight w:val="none"/>
        </w:rPr>
      </w:pPr>
      <w:r>
        <w:rPr>
          <w:rFonts w:hint="eastAsia" w:cs="宋体"/>
          <w:color w:val="auto"/>
          <w:szCs w:val="21"/>
          <w:highlight w:val="none"/>
        </w:rPr>
        <w:t>（六）提出质疑的日期。</w:t>
      </w:r>
    </w:p>
    <w:p w14:paraId="430CC12A">
      <w:pPr>
        <w:ind w:firstLine="420" w:firstLineChars="200"/>
        <w:jc w:val="left"/>
        <w:rPr>
          <w:rFonts w:hint="eastAsia" w:cs="宋体"/>
          <w:color w:val="auto"/>
          <w:szCs w:val="21"/>
          <w:highlight w:val="none"/>
        </w:rPr>
      </w:pPr>
      <w:r>
        <w:rPr>
          <w:rFonts w:hint="eastAsia" w:cs="宋体"/>
          <w:color w:val="auto"/>
          <w:szCs w:val="21"/>
          <w:highlight w:val="none"/>
          <w:lang w:val="en-US" w:eastAsia="zh-CN"/>
        </w:rPr>
        <w:t>7</w:t>
      </w:r>
      <w:r>
        <w:rPr>
          <w:rFonts w:hint="eastAsia" w:cs="宋体"/>
          <w:color w:val="auto"/>
          <w:szCs w:val="21"/>
          <w:highlight w:val="none"/>
        </w:rPr>
        <w:t>.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756CF9D1">
      <w:pPr>
        <w:ind w:firstLine="420" w:firstLineChars="200"/>
        <w:jc w:val="left"/>
        <w:rPr>
          <w:rFonts w:hint="eastAsia" w:cs="宋体"/>
          <w:color w:val="auto"/>
          <w:szCs w:val="21"/>
          <w:highlight w:val="none"/>
        </w:rPr>
      </w:pPr>
      <w:r>
        <w:rPr>
          <w:rFonts w:hint="eastAsia" w:cs="宋体"/>
          <w:color w:val="auto"/>
          <w:szCs w:val="21"/>
          <w:highlight w:val="none"/>
        </w:rPr>
        <w:t>接收质疑函的方式：以书面形式递交由法定代表人、主要负责人签字或者盖章，并加盖公章的质疑函原件和必要的证明材料；邮寄送达的以邮件交邮日期为准。</w:t>
      </w:r>
    </w:p>
    <w:p w14:paraId="09A0F1AA">
      <w:pPr>
        <w:ind w:firstLine="420" w:firstLineChars="200"/>
        <w:jc w:val="left"/>
        <w:rPr>
          <w:rFonts w:hint="eastAsia"/>
          <w:color w:val="auto"/>
          <w:szCs w:val="21"/>
          <w:highlight w:val="none"/>
        </w:rPr>
      </w:pPr>
      <w:r>
        <w:rPr>
          <w:color w:val="auto"/>
          <w:szCs w:val="21"/>
          <w:highlight w:val="none"/>
        </w:rPr>
        <w:t>联系部门</w:t>
      </w:r>
      <w:r>
        <w:rPr>
          <w:rFonts w:hint="eastAsia"/>
          <w:color w:val="auto"/>
          <w:szCs w:val="21"/>
          <w:highlight w:val="none"/>
        </w:rPr>
        <w:t>：招标十部</w:t>
      </w:r>
    </w:p>
    <w:p w14:paraId="06E40638">
      <w:pPr>
        <w:ind w:firstLine="420" w:firstLineChars="200"/>
        <w:jc w:val="left"/>
        <w:rPr>
          <w:rFonts w:hint="eastAsia"/>
          <w:color w:val="auto"/>
          <w:szCs w:val="21"/>
          <w:highlight w:val="none"/>
        </w:rPr>
      </w:pPr>
      <w:r>
        <w:rPr>
          <w:color w:val="auto"/>
          <w:szCs w:val="21"/>
          <w:highlight w:val="none"/>
        </w:rPr>
        <w:t>联系电话</w:t>
      </w:r>
      <w:r>
        <w:rPr>
          <w:rFonts w:hint="eastAsia"/>
          <w:color w:val="auto"/>
          <w:szCs w:val="21"/>
          <w:highlight w:val="none"/>
        </w:rPr>
        <w:t>：0871-65718952</w:t>
      </w:r>
    </w:p>
    <w:p w14:paraId="1EBD24E5">
      <w:pPr>
        <w:ind w:firstLine="420" w:firstLineChars="200"/>
        <w:jc w:val="left"/>
        <w:rPr>
          <w:rFonts w:hint="eastAsia"/>
          <w:color w:val="auto"/>
          <w:szCs w:val="21"/>
          <w:highlight w:val="none"/>
        </w:rPr>
      </w:pPr>
      <w:r>
        <w:rPr>
          <w:color w:val="auto"/>
          <w:szCs w:val="21"/>
          <w:highlight w:val="none"/>
        </w:rPr>
        <w:t>通讯地址</w:t>
      </w:r>
      <w:r>
        <w:rPr>
          <w:rFonts w:hint="eastAsia"/>
          <w:color w:val="auto"/>
          <w:szCs w:val="21"/>
          <w:highlight w:val="none"/>
        </w:rPr>
        <w:t>：云南省昆明市人民西路328号办公楼314室</w:t>
      </w:r>
    </w:p>
    <w:p w14:paraId="7D73D4DF">
      <w:pPr>
        <w:ind w:firstLine="420" w:firstLineChars="200"/>
        <w:jc w:val="left"/>
        <w:rPr>
          <w:rFonts w:hint="eastAsia" w:cs="宋体"/>
          <w:bCs/>
          <w:color w:val="auto"/>
          <w:szCs w:val="21"/>
          <w:highlight w:val="none"/>
        </w:rPr>
      </w:pPr>
      <w:r>
        <w:rPr>
          <w:rFonts w:hint="eastAsia" w:cs="宋体"/>
          <w:color w:val="auto"/>
          <w:szCs w:val="21"/>
          <w:highlight w:val="none"/>
          <w:lang w:val="en-US" w:eastAsia="zh-CN"/>
        </w:rPr>
        <w:t>7</w:t>
      </w:r>
      <w:r>
        <w:rPr>
          <w:rFonts w:hint="eastAsia" w:cs="宋体"/>
          <w:color w:val="auto"/>
          <w:szCs w:val="21"/>
          <w:highlight w:val="none"/>
        </w:rPr>
        <w:t>.5采购代理机构将在收到投标人的质疑函后7个工作日内作出答复，并以书面形式通知质疑投标人和其他有关投标人。</w:t>
      </w:r>
    </w:p>
    <w:p w14:paraId="1A0F2C01">
      <w:pPr>
        <w:ind w:firstLine="422" w:firstLineChars="200"/>
        <w:rPr>
          <w:rFonts w:hint="eastAsia" w:cs="宋体"/>
          <w:b/>
          <w:color w:val="auto"/>
          <w:szCs w:val="21"/>
          <w:highlight w:val="none"/>
        </w:rPr>
      </w:pPr>
      <w:r>
        <w:rPr>
          <w:rFonts w:hint="eastAsia" w:cs="宋体"/>
          <w:b/>
          <w:color w:val="auto"/>
          <w:szCs w:val="21"/>
          <w:highlight w:val="none"/>
          <w:lang w:val="en-US" w:eastAsia="zh-CN"/>
        </w:rPr>
        <w:t>8</w:t>
      </w:r>
      <w:r>
        <w:rPr>
          <w:rFonts w:hint="eastAsia" w:cs="宋体"/>
          <w:b/>
          <w:color w:val="auto"/>
          <w:szCs w:val="21"/>
          <w:highlight w:val="none"/>
        </w:rPr>
        <w:t>.投诉</w:t>
      </w:r>
      <w:bookmarkEnd w:id="80"/>
    </w:p>
    <w:p w14:paraId="7021D21B">
      <w:pPr>
        <w:pStyle w:val="23"/>
        <w:ind w:firstLine="420" w:firstLineChars="200"/>
        <w:rPr>
          <w:rFonts w:hint="eastAsia" w:cs="宋体"/>
          <w:color w:val="auto"/>
          <w:szCs w:val="21"/>
          <w:highlight w:val="none"/>
        </w:rPr>
      </w:pPr>
      <w:r>
        <w:rPr>
          <w:rFonts w:hint="eastAsia" w:cs="宋体"/>
          <w:color w:val="auto"/>
          <w:szCs w:val="21"/>
          <w:highlight w:val="none"/>
          <w:lang w:val="en-US" w:eastAsia="zh-CN"/>
        </w:rPr>
        <w:t>8</w:t>
      </w:r>
      <w:r>
        <w:rPr>
          <w:rFonts w:hint="eastAsia" w:cs="宋体"/>
          <w:color w:val="auto"/>
          <w:szCs w:val="21"/>
          <w:highlight w:val="none"/>
        </w:rPr>
        <w:t>.1投诉必须首先经过质疑程序。质疑人对采购人、采购代理机构的答复不满意，或者采购人、采购代理机构未在规定的时间内做出答复的，可以在答复期满后15个工作日内书面向同级财政部门提出投诉</w:t>
      </w:r>
      <w:bookmarkEnd w:id="79"/>
      <w:r>
        <w:rPr>
          <w:rFonts w:hint="eastAsia" w:cs="宋体"/>
          <w:color w:val="auto"/>
          <w:szCs w:val="21"/>
          <w:highlight w:val="none"/>
        </w:rPr>
        <w:t>。</w:t>
      </w:r>
    </w:p>
    <w:p w14:paraId="28486869">
      <w:pPr>
        <w:pStyle w:val="4"/>
        <w:bidi w:val="0"/>
        <w:rPr>
          <w:rFonts w:hint="eastAsia" w:ascii="宋体" w:hAnsi="宋体" w:eastAsia="宋体" w:cs="Times New Roman"/>
        </w:rPr>
      </w:pPr>
      <w:bookmarkStart w:id="81" w:name="_Toc3941"/>
      <w:bookmarkStart w:id="82" w:name="_Toc491076989"/>
      <w:bookmarkStart w:id="83" w:name="_Toc27934"/>
      <w:bookmarkStart w:id="84" w:name="_Toc22176"/>
      <w:r>
        <w:rPr>
          <w:rFonts w:hint="eastAsia" w:ascii="宋体" w:hAnsi="宋体" w:eastAsia="宋体" w:cs="Times New Roman"/>
        </w:rPr>
        <w:t>二、招标文件</w:t>
      </w:r>
      <w:bookmarkEnd w:id="81"/>
      <w:bookmarkEnd w:id="82"/>
      <w:bookmarkEnd w:id="83"/>
      <w:bookmarkEnd w:id="84"/>
    </w:p>
    <w:p w14:paraId="0CFE38EA">
      <w:pPr>
        <w:pStyle w:val="23"/>
        <w:ind w:firstLine="422" w:firstLineChars="200"/>
        <w:rPr>
          <w:rFonts w:hint="eastAsia" w:cs="宋体"/>
          <w:b/>
          <w:bCs/>
          <w:color w:val="auto"/>
          <w:szCs w:val="21"/>
          <w:highlight w:val="none"/>
        </w:rPr>
      </w:pPr>
      <w:r>
        <w:rPr>
          <w:rFonts w:hint="eastAsia" w:cs="宋体"/>
          <w:b/>
          <w:bCs/>
          <w:color w:val="auto"/>
          <w:szCs w:val="21"/>
          <w:highlight w:val="none"/>
          <w:lang w:val="en-US" w:eastAsia="zh-CN"/>
        </w:rPr>
        <w:t>9</w:t>
      </w:r>
      <w:r>
        <w:rPr>
          <w:rFonts w:hint="eastAsia" w:cs="宋体"/>
          <w:b/>
          <w:bCs/>
          <w:color w:val="auto"/>
          <w:szCs w:val="21"/>
          <w:highlight w:val="none"/>
        </w:rPr>
        <w:t>.招标文件构成</w:t>
      </w:r>
    </w:p>
    <w:p w14:paraId="06743849">
      <w:pPr>
        <w:ind w:firstLine="420" w:firstLineChars="200"/>
        <w:jc w:val="left"/>
        <w:rPr>
          <w:rFonts w:hint="eastAsia" w:cs="宋体"/>
          <w:color w:val="auto"/>
          <w:szCs w:val="21"/>
          <w:highlight w:val="none"/>
        </w:rPr>
      </w:pPr>
      <w:r>
        <w:rPr>
          <w:rFonts w:hint="eastAsia" w:cs="宋体"/>
          <w:color w:val="auto"/>
          <w:szCs w:val="21"/>
          <w:highlight w:val="none"/>
          <w:lang w:val="en-US" w:eastAsia="zh-CN"/>
        </w:rPr>
        <w:t>9</w:t>
      </w:r>
      <w:r>
        <w:rPr>
          <w:rFonts w:hint="eastAsia" w:cs="宋体"/>
          <w:color w:val="auto"/>
          <w:szCs w:val="21"/>
          <w:highlight w:val="none"/>
        </w:rPr>
        <w:t>.1要求提供的货物、采购过程及合同条款在招标文件中均有说明，招标文件共七章，各章的内容如下：</w:t>
      </w:r>
    </w:p>
    <w:p w14:paraId="28BB4B0A">
      <w:pPr>
        <w:ind w:firstLine="420" w:firstLineChars="200"/>
        <w:jc w:val="left"/>
        <w:rPr>
          <w:rFonts w:hint="eastAsia" w:cs="宋体"/>
          <w:color w:val="auto"/>
          <w:szCs w:val="21"/>
          <w:highlight w:val="none"/>
        </w:rPr>
      </w:pPr>
      <w:r>
        <w:rPr>
          <w:rFonts w:hint="eastAsia" w:cs="宋体"/>
          <w:color w:val="auto"/>
          <w:szCs w:val="21"/>
          <w:highlight w:val="none"/>
        </w:rPr>
        <w:t>第一章  招标公告</w:t>
      </w:r>
    </w:p>
    <w:p w14:paraId="7524AC8F">
      <w:pPr>
        <w:ind w:firstLine="420" w:firstLineChars="200"/>
        <w:jc w:val="left"/>
        <w:rPr>
          <w:rFonts w:hint="eastAsia" w:cs="宋体"/>
          <w:color w:val="auto"/>
          <w:szCs w:val="21"/>
          <w:highlight w:val="none"/>
        </w:rPr>
      </w:pPr>
      <w:r>
        <w:rPr>
          <w:rFonts w:hint="eastAsia" w:cs="宋体"/>
          <w:color w:val="auto"/>
          <w:szCs w:val="21"/>
          <w:highlight w:val="none"/>
        </w:rPr>
        <w:t>第二章  投标人须知</w:t>
      </w:r>
    </w:p>
    <w:p w14:paraId="5903C99D">
      <w:pPr>
        <w:ind w:firstLine="420" w:firstLineChars="200"/>
        <w:jc w:val="left"/>
        <w:rPr>
          <w:rFonts w:hint="eastAsia" w:cs="宋体"/>
          <w:color w:val="auto"/>
          <w:szCs w:val="21"/>
          <w:highlight w:val="none"/>
        </w:rPr>
      </w:pPr>
      <w:r>
        <w:rPr>
          <w:rFonts w:hint="eastAsia" w:cs="宋体"/>
          <w:color w:val="auto"/>
          <w:szCs w:val="21"/>
          <w:highlight w:val="none"/>
        </w:rPr>
        <w:t>第三章  合同书样式及主要条款</w:t>
      </w:r>
    </w:p>
    <w:p w14:paraId="2D54529C">
      <w:pPr>
        <w:ind w:firstLine="420" w:firstLineChars="200"/>
        <w:jc w:val="left"/>
        <w:rPr>
          <w:rFonts w:hint="eastAsia" w:cs="宋体"/>
          <w:color w:val="auto"/>
          <w:szCs w:val="21"/>
          <w:highlight w:val="none"/>
        </w:rPr>
      </w:pPr>
      <w:r>
        <w:rPr>
          <w:rFonts w:hint="eastAsia" w:cs="宋体"/>
          <w:color w:val="auto"/>
          <w:szCs w:val="21"/>
          <w:highlight w:val="none"/>
        </w:rPr>
        <w:t>第四章  投标文件格式</w:t>
      </w:r>
    </w:p>
    <w:p w14:paraId="7E645ED9">
      <w:pPr>
        <w:ind w:firstLine="420" w:firstLineChars="200"/>
        <w:jc w:val="left"/>
        <w:rPr>
          <w:rFonts w:hint="eastAsia" w:eastAsia="宋体" w:cs="宋体"/>
          <w:color w:val="auto"/>
          <w:szCs w:val="21"/>
          <w:highlight w:val="none"/>
          <w:lang w:eastAsia="zh-CN"/>
        </w:rPr>
      </w:pPr>
      <w:r>
        <w:rPr>
          <w:rFonts w:hint="eastAsia" w:cs="宋体"/>
          <w:color w:val="auto"/>
          <w:szCs w:val="21"/>
          <w:highlight w:val="none"/>
        </w:rPr>
        <w:t xml:space="preserve">第五章  </w:t>
      </w:r>
      <w:r>
        <w:rPr>
          <w:rFonts w:hint="eastAsia" w:cs="宋体"/>
          <w:color w:val="auto"/>
          <w:szCs w:val="21"/>
          <w:highlight w:val="none"/>
          <w:lang w:eastAsia="zh-CN"/>
        </w:rPr>
        <w:t>采购需求</w:t>
      </w:r>
    </w:p>
    <w:p w14:paraId="4EEE8CA0">
      <w:pPr>
        <w:ind w:firstLine="420" w:firstLineChars="200"/>
        <w:jc w:val="left"/>
        <w:rPr>
          <w:rFonts w:hint="eastAsia" w:cs="宋体"/>
          <w:color w:val="auto"/>
          <w:szCs w:val="21"/>
          <w:highlight w:val="none"/>
        </w:rPr>
      </w:pPr>
      <w:r>
        <w:rPr>
          <w:rFonts w:hint="eastAsia" w:cs="宋体"/>
          <w:color w:val="auto"/>
          <w:szCs w:val="21"/>
          <w:highlight w:val="none"/>
        </w:rPr>
        <w:t>第六章  资格评审标准</w:t>
      </w:r>
    </w:p>
    <w:p w14:paraId="3D9743DF">
      <w:pPr>
        <w:ind w:firstLine="420" w:firstLineChars="200"/>
        <w:jc w:val="left"/>
        <w:rPr>
          <w:rFonts w:hint="eastAsia" w:cs="宋体"/>
          <w:color w:val="auto"/>
          <w:szCs w:val="21"/>
          <w:highlight w:val="none"/>
        </w:rPr>
      </w:pPr>
      <w:r>
        <w:rPr>
          <w:rFonts w:hint="eastAsia" w:cs="宋体"/>
          <w:color w:val="auto"/>
          <w:szCs w:val="21"/>
          <w:highlight w:val="none"/>
        </w:rPr>
        <w:t>第七章  评标办法</w:t>
      </w:r>
    </w:p>
    <w:p w14:paraId="51B83925">
      <w:pPr>
        <w:ind w:firstLine="422" w:firstLineChars="200"/>
        <w:jc w:val="left"/>
        <w:rPr>
          <w:rFonts w:hint="eastAsia" w:cs="宋体"/>
          <w:b/>
          <w:bCs/>
          <w:color w:val="auto"/>
          <w:szCs w:val="21"/>
          <w:highlight w:val="none"/>
        </w:rPr>
      </w:pPr>
      <w:r>
        <w:rPr>
          <w:rFonts w:hint="eastAsia" w:cs="宋体"/>
          <w:b/>
          <w:bCs/>
          <w:color w:val="auto"/>
          <w:szCs w:val="21"/>
          <w:highlight w:val="none"/>
        </w:rPr>
        <w:t>10.招标文件的澄清或者修改</w:t>
      </w:r>
    </w:p>
    <w:p w14:paraId="5C0980CC">
      <w:pPr>
        <w:ind w:firstLine="420" w:firstLineChars="200"/>
        <w:jc w:val="left"/>
        <w:rPr>
          <w:rFonts w:hint="eastAsia" w:cs="宋体"/>
          <w:color w:val="auto"/>
          <w:szCs w:val="21"/>
          <w:highlight w:val="none"/>
        </w:rPr>
      </w:pPr>
      <w:bookmarkStart w:id="85" w:name="_Toc491076990"/>
      <w:r>
        <w:rPr>
          <w:rFonts w:hint="eastAsia" w:cs="宋体"/>
          <w:color w:val="auto"/>
          <w:szCs w:val="21"/>
          <w:highlight w:val="none"/>
        </w:rPr>
        <w:t>10.1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184FCB6C">
      <w:pPr>
        <w:ind w:firstLine="420" w:firstLineChars="200"/>
        <w:jc w:val="left"/>
        <w:rPr>
          <w:rFonts w:hint="eastAsia" w:cs="宋体"/>
          <w:color w:val="auto"/>
          <w:szCs w:val="21"/>
          <w:highlight w:val="none"/>
        </w:rPr>
      </w:pPr>
      <w:r>
        <w:rPr>
          <w:rFonts w:hint="eastAsia" w:cs="宋体"/>
          <w:color w:val="auto"/>
          <w:szCs w:val="21"/>
          <w:highlight w:val="none"/>
        </w:rPr>
        <w:t>10.2澄清或者修改的内容可能影响投标文件编制的，采购代理机构在投标截止时间至少15日前，以书面形式通知所有获取招标文件的潜在投标人；不足15日的，采购代理机构将顺延提交投标文件的截止时间。</w:t>
      </w:r>
    </w:p>
    <w:p w14:paraId="4AD5D2DB">
      <w:pPr>
        <w:ind w:firstLine="420" w:firstLineChars="200"/>
        <w:jc w:val="left"/>
        <w:rPr>
          <w:rFonts w:hint="eastAsia" w:cs="宋体"/>
          <w:color w:val="auto"/>
          <w:szCs w:val="21"/>
          <w:highlight w:val="none"/>
        </w:rPr>
      </w:pPr>
      <w:r>
        <w:rPr>
          <w:rFonts w:hint="eastAsia" w:cs="宋体"/>
          <w:color w:val="auto"/>
          <w:szCs w:val="21"/>
          <w:highlight w:val="none"/>
        </w:rPr>
        <w:t>10.3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1BB6584B">
      <w:pPr>
        <w:ind w:firstLine="420" w:firstLineChars="200"/>
        <w:jc w:val="left"/>
        <w:rPr>
          <w:rFonts w:hint="eastAsia" w:cs="宋体"/>
          <w:color w:val="auto"/>
          <w:szCs w:val="21"/>
          <w:highlight w:val="none"/>
        </w:rPr>
      </w:pPr>
      <w:r>
        <w:rPr>
          <w:rFonts w:hint="eastAsia" w:cs="宋体"/>
          <w:color w:val="auto"/>
          <w:szCs w:val="21"/>
          <w:highlight w:val="none"/>
        </w:rPr>
        <w:t>10.4投标人应在投标截止时间前及时登录政府采购云平台（https://www.zcygov.cn/）中查看有关招标文件的答疑、补遗内容。否则，后果自负。</w:t>
      </w:r>
    </w:p>
    <w:p w14:paraId="245703E4">
      <w:pPr>
        <w:ind w:firstLine="420" w:firstLineChars="200"/>
        <w:jc w:val="left"/>
        <w:rPr>
          <w:rFonts w:hint="eastAsia" w:cs="宋体"/>
          <w:color w:val="auto"/>
          <w:szCs w:val="21"/>
          <w:highlight w:val="none"/>
        </w:rPr>
      </w:pPr>
      <w:r>
        <w:rPr>
          <w:rFonts w:hint="eastAsia" w:cs="宋体"/>
          <w:color w:val="auto"/>
          <w:szCs w:val="21"/>
          <w:highlight w:val="none"/>
        </w:rPr>
        <w:t>10.5招标文件澄清、招标文件修改文件内容均以网上电子文件为准，当招标文件、招标文件澄清、招标文件修改文件内容后前相互矛盾时，以最后发出的为准。</w:t>
      </w:r>
    </w:p>
    <w:p w14:paraId="6BD071BB">
      <w:pPr>
        <w:pStyle w:val="4"/>
        <w:bidi w:val="0"/>
        <w:rPr>
          <w:rFonts w:hint="eastAsia" w:ascii="宋体" w:hAnsi="宋体" w:eastAsia="宋体" w:cs="Times New Roman"/>
        </w:rPr>
      </w:pPr>
      <w:bookmarkStart w:id="86" w:name="_Toc17139"/>
      <w:bookmarkStart w:id="87" w:name="_Toc11469"/>
      <w:bookmarkStart w:id="88" w:name="_Toc4438"/>
      <w:r>
        <w:rPr>
          <w:rFonts w:hint="eastAsia" w:ascii="宋体" w:hAnsi="宋体" w:eastAsia="宋体" w:cs="Times New Roman"/>
        </w:rPr>
        <w:t>三、投标文件</w:t>
      </w:r>
      <w:bookmarkEnd w:id="85"/>
      <w:bookmarkEnd w:id="86"/>
      <w:bookmarkEnd w:id="87"/>
      <w:bookmarkEnd w:id="88"/>
    </w:p>
    <w:p w14:paraId="2C9EF8C4">
      <w:pPr>
        <w:ind w:firstLine="422" w:firstLineChars="200"/>
        <w:jc w:val="left"/>
        <w:rPr>
          <w:rFonts w:hint="eastAsia" w:cs="宋体"/>
          <w:b/>
          <w:color w:val="auto"/>
          <w:szCs w:val="21"/>
          <w:highlight w:val="none"/>
        </w:rPr>
      </w:pPr>
      <w:r>
        <w:rPr>
          <w:rFonts w:hint="eastAsia" w:cs="宋体"/>
          <w:b/>
          <w:color w:val="auto"/>
          <w:szCs w:val="21"/>
          <w:highlight w:val="none"/>
        </w:rPr>
        <w:t>11.投标文件编写注意事项</w:t>
      </w:r>
    </w:p>
    <w:p w14:paraId="1B42F199">
      <w:pPr>
        <w:ind w:firstLine="420" w:firstLineChars="200"/>
        <w:jc w:val="left"/>
        <w:rPr>
          <w:rFonts w:hint="eastAsia" w:cs="宋体"/>
          <w:color w:val="auto"/>
          <w:szCs w:val="21"/>
          <w:highlight w:val="none"/>
        </w:rPr>
      </w:pPr>
      <w:r>
        <w:rPr>
          <w:rFonts w:hint="eastAsia" w:cs="宋体"/>
          <w:color w:val="auto"/>
          <w:szCs w:val="21"/>
          <w:highlight w:val="none"/>
        </w:rPr>
        <w:t>11.1投标人应仔细阅读招标文件，在完全了解采购的内容、技术性能要求(详见</w:t>
      </w:r>
      <w:r>
        <w:rPr>
          <w:rFonts w:hint="eastAsia" w:cs="宋体"/>
          <w:bCs/>
          <w:color w:val="auto"/>
          <w:szCs w:val="21"/>
          <w:highlight w:val="none"/>
        </w:rPr>
        <w:t>第五章《</w:t>
      </w:r>
      <w:r>
        <w:rPr>
          <w:rFonts w:hint="eastAsia" w:cs="宋体"/>
          <w:bCs/>
          <w:color w:val="auto"/>
          <w:szCs w:val="21"/>
          <w:highlight w:val="none"/>
          <w:lang w:eastAsia="zh-CN"/>
        </w:rPr>
        <w:t>采购需求</w:t>
      </w:r>
      <w:r>
        <w:rPr>
          <w:rFonts w:hint="eastAsia" w:cs="宋体"/>
          <w:bCs/>
          <w:color w:val="auto"/>
          <w:szCs w:val="21"/>
          <w:highlight w:val="none"/>
        </w:rPr>
        <w:t>》</w:t>
      </w:r>
      <w:r>
        <w:rPr>
          <w:rFonts w:hint="eastAsia" w:cs="宋体"/>
          <w:color w:val="auto"/>
          <w:szCs w:val="21"/>
          <w:highlight w:val="none"/>
        </w:rPr>
        <w:t>)和商务条件后，编写投标文件。</w:t>
      </w:r>
      <w:r>
        <w:rPr>
          <w:rFonts w:hint="eastAsia" w:cs="宋体"/>
          <w:b/>
          <w:bCs/>
          <w:color w:val="auto"/>
          <w:szCs w:val="21"/>
          <w:highlight w:val="none"/>
        </w:rPr>
        <w:t>招标文件中标注★号的条款为实质性要求和条件，投标文件必须响应招标文件的实质性要求和条件，不满足任何一条将导致投标无效。</w:t>
      </w:r>
    </w:p>
    <w:p w14:paraId="36AA9576">
      <w:pPr>
        <w:ind w:firstLine="420" w:firstLineChars="200"/>
        <w:jc w:val="left"/>
        <w:rPr>
          <w:rFonts w:hint="eastAsia" w:cs="宋体"/>
          <w:color w:val="auto"/>
          <w:szCs w:val="21"/>
          <w:highlight w:val="none"/>
        </w:rPr>
      </w:pPr>
      <w:r>
        <w:rPr>
          <w:rFonts w:hint="eastAsia" w:cs="宋体"/>
          <w:color w:val="auto"/>
          <w:szCs w:val="21"/>
          <w:highlight w:val="none"/>
        </w:rPr>
        <w:t>11.2对招标文件提出的实质性要求和条件作出响应是指：投标人必须对招标文件中的实质性要求和条件的内容作出满足或者优于原要求和条件的承诺，并提供相应的材料。</w:t>
      </w:r>
    </w:p>
    <w:p w14:paraId="50529BE2">
      <w:pPr>
        <w:ind w:firstLine="422" w:firstLineChars="200"/>
        <w:jc w:val="left"/>
        <w:rPr>
          <w:rFonts w:hint="eastAsia" w:cs="宋体"/>
          <w:b/>
          <w:color w:val="auto"/>
          <w:szCs w:val="21"/>
          <w:highlight w:val="none"/>
        </w:rPr>
      </w:pPr>
      <w:r>
        <w:rPr>
          <w:rFonts w:hint="eastAsia" w:cs="宋体"/>
          <w:b/>
          <w:color w:val="auto"/>
          <w:szCs w:val="21"/>
          <w:highlight w:val="none"/>
        </w:rPr>
        <w:t>12.投标的语言及计量单位</w:t>
      </w:r>
    </w:p>
    <w:p w14:paraId="47082227">
      <w:pPr>
        <w:ind w:firstLine="420" w:firstLineChars="200"/>
        <w:jc w:val="left"/>
        <w:rPr>
          <w:rFonts w:hint="eastAsia" w:cs="宋体"/>
          <w:color w:val="auto"/>
          <w:szCs w:val="21"/>
          <w:highlight w:val="none"/>
        </w:rPr>
      </w:pPr>
      <w:r>
        <w:rPr>
          <w:rFonts w:hint="eastAsia" w:cs="宋体"/>
          <w:color w:val="auto"/>
          <w:szCs w:val="21"/>
          <w:highlight w:val="none"/>
        </w:rPr>
        <w:t>12.1投标人的投标文件以及投标人与采购代理机构就有关投标的所有来往函电统一使用中文（特别规定除外）。</w:t>
      </w:r>
    </w:p>
    <w:p w14:paraId="7A0289DC">
      <w:pPr>
        <w:ind w:firstLine="420" w:firstLineChars="200"/>
        <w:jc w:val="left"/>
        <w:rPr>
          <w:rFonts w:hint="eastAsia" w:cs="宋体"/>
          <w:color w:val="auto"/>
          <w:szCs w:val="21"/>
          <w:highlight w:val="none"/>
        </w:rPr>
      </w:pPr>
      <w:r>
        <w:rPr>
          <w:rFonts w:hint="eastAsia" w:cs="宋体"/>
          <w:color w:val="auto"/>
          <w:szCs w:val="21"/>
          <w:highlight w:val="none"/>
        </w:rPr>
        <w:t>12.2投标文件中使用的计量单位除招标文件中有特殊规定外，一律使用中国法定计量单位。</w:t>
      </w:r>
    </w:p>
    <w:p w14:paraId="2B1FC623">
      <w:pPr>
        <w:ind w:firstLine="422" w:firstLineChars="200"/>
        <w:jc w:val="left"/>
        <w:rPr>
          <w:rFonts w:hint="eastAsia" w:cs="宋体"/>
          <w:b/>
          <w:color w:val="auto"/>
          <w:szCs w:val="21"/>
          <w:highlight w:val="none"/>
        </w:rPr>
      </w:pPr>
      <w:r>
        <w:rPr>
          <w:rFonts w:hint="eastAsia" w:cs="宋体"/>
          <w:b/>
          <w:color w:val="auto"/>
          <w:szCs w:val="21"/>
          <w:highlight w:val="none"/>
        </w:rPr>
        <w:t>13.投标文件构成</w:t>
      </w:r>
    </w:p>
    <w:p w14:paraId="5D9B9BA2">
      <w:pPr>
        <w:ind w:firstLine="420" w:firstLineChars="200"/>
        <w:jc w:val="left"/>
        <w:rPr>
          <w:rFonts w:hint="eastAsia" w:cs="宋体"/>
          <w:color w:val="auto"/>
          <w:szCs w:val="21"/>
          <w:highlight w:val="none"/>
        </w:rPr>
      </w:pPr>
      <w:r>
        <w:rPr>
          <w:rFonts w:hint="eastAsia" w:cs="宋体"/>
          <w:color w:val="auto"/>
          <w:szCs w:val="21"/>
          <w:highlight w:val="none"/>
        </w:rPr>
        <w:t>13.1投标人编写的投标文件应由下列部分构成，并按第四章“投标文件格式”要求填写。有关文件的提交如未特别注明需提供原件的，可提供复印件/扫描件。</w:t>
      </w:r>
    </w:p>
    <w:p w14:paraId="5EB8888A">
      <w:pPr>
        <w:pStyle w:val="363"/>
        <w:ind w:firstLine="420" w:firstLineChars="200"/>
        <w:rPr>
          <w:rFonts w:hint="eastAsia"/>
          <w:color w:val="auto"/>
          <w:szCs w:val="21"/>
          <w:highlight w:val="none"/>
        </w:rPr>
      </w:pPr>
      <w:r>
        <w:rPr>
          <w:rFonts w:hint="eastAsia"/>
          <w:color w:val="auto"/>
          <w:highlight w:val="none"/>
        </w:rPr>
        <w:t>13.1.1</w:t>
      </w:r>
      <w:r>
        <w:rPr>
          <w:rFonts w:hint="eastAsia"/>
          <w:color w:val="auto"/>
          <w:szCs w:val="21"/>
          <w:highlight w:val="none"/>
        </w:rPr>
        <w:t>构成投标文件技术部分的其他资料：详见</w:t>
      </w:r>
      <w:r>
        <w:rPr>
          <w:rFonts w:hint="eastAsia"/>
          <w:b/>
          <w:bCs w:val="0"/>
          <w:color w:val="auto"/>
          <w:szCs w:val="21"/>
          <w:highlight w:val="none"/>
        </w:rPr>
        <w:t>“投标人须知前附表”</w:t>
      </w:r>
      <w:r>
        <w:rPr>
          <w:rFonts w:hint="eastAsia"/>
          <w:color w:val="auto"/>
          <w:szCs w:val="21"/>
          <w:highlight w:val="none"/>
        </w:rPr>
        <w:t>要求。</w:t>
      </w:r>
    </w:p>
    <w:p w14:paraId="7F2CBF02">
      <w:pPr>
        <w:pStyle w:val="363"/>
        <w:ind w:firstLine="420" w:firstLineChars="200"/>
        <w:rPr>
          <w:rFonts w:hint="eastAsia"/>
          <w:color w:val="auto"/>
          <w:highlight w:val="none"/>
        </w:rPr>
      </w:pPr>
      <w:r>
        <w:rPr>
          <w:rFonts w:hint="eastAsia"/>
          <w:color w:val="auto"/>
          <w:szCs w:val="21"/>
          <w:highlight w:val="none"/>
        </w:rPr>
        <w:t>13.1.2构成投标文件商务部分的其他资料：详见</w:t>
      </w:r>
      <w:r>
        <w:rPr>
          <w:rFonts w:hint="eastAsia"/>
          <w:b/>
          <w:bCs w:val="0"/>
          <w:color w:val="auto"/>
          <w:szCs w:val="21"/>
          <w:highlight w:val="none"/>
        </w:rPr>
        <w:t>“投标人须知前附表”</w:t>
      </w:r>
      <w:r>
        <w:rPr>
          <w:rFonts w:hint="eastAsia"/>
          <w:color w:val="auto"/>
          <w:szCs w:val="21"/>
          <w:highlight w:val="none"/>
        </w:rPr>
        <w:t>要求。</w:t>
      </w:r>
    </w:p>
    <w:p w14:paraId="54A86D3C">
      <w:pPr>
        <w:ind w:firstLine="420" w:firstLineChars="200"/>
        <w:jc w:val="left"/>
        <w:rPr>
          <w:rFonts w:hint="eastAsia" w:cs="宋体"/>
          <w:color w:val="auto"/>
          <w:szCs w:val="21"/>
          <w:highlight w:val="none"/>
        </w:rPr>
      </w:pPr>
      <w:r>
        <w:rPr>
          <w:rFonts w:hint="eastAsia" w:cs="宋体"/>
          <w:color w:val="auto"/>
          <w:szCs w:val="21"/>
          <w:highlight w:val="none"/>
        </w:rPr>
        <w:t>13.2投标人同时投多个</w:t>
      </w:r>
      <w:r>
        <w:rPr>
          <w:rFonts w:hint="eastAsia" w:cs="宋体"/>
          <w:color w:val="auto"/>
          <w:szCs w:val="21"/>
          <w:highlight w:val="none"/>
          <w:lang w:eastAsia="zh-CN"/>
        </w:rPr>
        <w:t>标包</w:t>
      </w:r>
      <w:r>
        <w:rPr>
          <w:rFonts w:hint="eastAsia" w:cs="宋体"/>
          <w:b/>
          <w:bCs/>
          <w:color w:val="auto"/>
          <w:szCs w:val="21"/>
          <w:highlight w:val="none"/>
        </w:rPr>
        <w:t>（若分</w:t>
      </w:r>
      <w:r>
        <w:rPr>
          <w:rFonts w:hint="eastAsia" w:cs="宋体"/>
          <w:b/>
          <w:bCs/>
          <w:color w:val="auto"/>
          <w:szCs w:val="21"/>
          <w:highlight w:val="none"/>
          <w:lang w:eastAsia="zh-CN"/>
        </w:rPr>
        <w:t>标包</w:t>
      </w:r>
      <w:r>
        <w:rPr>
          <w:rFonts w:hint="eastAsia" w:cs="宋体"/>
          <w:b/>
          <w:bCs/>
          <w:color w:val="auto"/>
          <w:szCs w:val="21"/>
          <w:highlight w:val="none"/>
        </w:rPr>
        <w:t>时）</w:t>
      </w:r>
      <w:r>
        <w:rPr>
          <w:rFonts w:hint="eastAsia" w:cs="宋体"/>
          <w:color w:val="auto"/>
          <w:szCs w:val="21"/>
          <w:highlight w:val="none"/>
        </w:rPr>
        <w:t>的，投标文件应按</w:t>
      </w:r>
      <w:r>
        <w:rPr>
          <w:rFonts w:hint="eastAsia" w:cs="宋体"/>
          <w:color w:val="auto"/>
          <w:szCs w:val="21"/>
          <w:highlight w:val="none"/>
          <w:lang w:eastAsia="zh-CN"/>
        </w:rPr>
        <w:t>标包</w:t>
      </w:r>
      <w:r>
        <w:rPr>
          <w:rFonts w:hint="eastAsia" w:cs="宋体"/>
          <w:color w:val="auto"/>
          <w:szCs w:val="21"/>
          <w:highlight w:val="none"/>
        </w:rPr>
        <w:t>分别编制，并按</w:t>
      </w:r>
      <w:r>
        <w:rPr>
          <w:rFonts w:hint="eastAsia" w:cs="宋体"/>
          <w:color w:val="auto"/>
          <w:szCs w:val="21"/>
          <w:highlight w:val="none"/>
          <w:lang w:eastAsia="zh-CN"/>
        </w:rPr>
        <w:t>标包</w:t>
      </w:r>
      <w:r>
        <w:rPr>
          <w:rFonts w:hint="eastAsia" w:cs="宋体"/>
          <w:color w:val="auto"/>
          <w:szCs w:val="21"/>
          <w:highlight w:val="none"/>
        </w:rPr>
        <w:t>单独递交。</w:t>
      </w:r>
    </w:p>
    <w:p w14:paraId="64A89324">
      <w:pPr>
        <w:ind w:firstLine="422" w:firstLineChars="200"/>
        <w:jc w:val="left"/>
        <w:rPr>
          <w:rFonts w:hint="eastAsia" w:cs="宋体"/>
          <w:b/>
          <w:color w:val="auto"/>
          <w:szCs w:val="21"/>
          <w:highlight w:val="none"/>
        </w:rPr>
      </w:pPr>
      <w:r>
        <w:rPr>
          <w:rFonts w:hint="eastAsia" w:cs="宋体"/>
          <w:b/>
          <w:color w:val="auto"/>
          <w:szCs w:val="21"/>
          <w:highlight w:val="none"/>
        </w:rPr>
        <w:t>14.投标文件的格式要求</w:t>
      </w:r>
    </w:p>
    <w:p w14:paraId="6D105629">
      <w:pPr>
        <w:pStyle w:val="23"/>
        <w:tabs>
          <w:tab w:val="left" w:pos="3030"/>
        </w:tabs>
        <w:ind w:firstLine="420" w:firstLineChars="200"/>
        <w:rPr>
          <w:rFonts w:hint="eastAsia" w:cs="宋体"/>
          <w:color w:val="auto"/>
          <w:szCs w:val="21"/>
          <w:highlight w:val="none"/>
        </w:rPr>
      </w:pPr>
      <w:r>
        <w:rPr>
          <w:rFonts w:hint="eastAsia" w:cs="宋体"/>
          <w:color w:val="auto"/>
          <w:szCs w:val="21"/>
          <w:highlight w:val="none"/>
        </w:rPr>
        <w:t>14.1投标人应按第四章</w:t>
      </w:r>
      <w:r>
        <w:rPr>
          <w:rFonts w:hint="eastAsia" w:cs="宋体"/>
          <w:b/>
          <w:bCs/>
          <w:color w:val="auto"/>
          <w:szCs w:val="21"/>
          <w:highlight w:val="none"/>
        </w:rPr>
        <w:t>“投标文件格式”</w:t>
      </w:r>
      <w:r>
        <w:rPr>
          <w:rFonts w:hint="eastAsia" w:cs="宋体"/>
          <w:color w:val="auto"/>
          <w:szCs w:val="21"/>
          <w:highlight w:val="none"/>
        </w:rPr>
        <w:t>提供的格式完整地填写。</w:t>
      </w:r>
    </w:p>
    <w:p w14:paraId="27D442AE">
      <w:pPr>
        <w:ind w:firstLine="422" w:firstLineChars="200"/>
        <w:jc w:val="left"/>
        <w:rPr>
          <w:rFonts w:hint="eastAsia" w:cs="宋体"/>
          <w:b/>
          <w:color w:val="auto"/>
          <w:szCs w:val="21"/>
          <w:highlight w:val="none"/>
        </w:rPr>
      </w:pPr>
      <w:r>
        <w:rPr>
          <w:rFonts w:hint="eastAsia" w:cs="宋体"/>
          <w:b/>
          <w:color w:val="auto"/>
          <w:szCs w:val="21"/>
          <w:highlight w:val="none"/>
        </w:rPr>
        <w:t>15.投标报价</w:t>
      </w:r>
    </w:p>
    <w:p w14:paraId="059EDD17">
      <w:pPr>
        <w:ind w:firstLine="420" w:firstLineChars="200"/>
        <w:rPr>
          <w:rFonts w:hint="eastAsia"/>
          <w:bCs/>
          <w:color w:val="auto"/>
          <w:szCs w:val="21"/>
          <w:highlight w:val="none"/>
        </w:rPr>
      </w:pPr>
      <w:r>
        <w:rPr>
          <w:rFonts w:cs="Segoe UI Symbol"/>
          <w:bCs/>
          <w:color w:val="auto"/>
          <w:szCs w:val="21"/>
          <w:highlight w:val="none"/>
        </w:rPr>
        <w:t>★</w:t>
      </w:r>
      <w:r>
        <w:rPr>
          <w:bCs/>
          <w:color w:val="auto"/>
          <w:szCs w:val="21"/>
          <w:highlight w:val="none"/>
        </w:rPr>
        <w:t>15.1本项目预算金额及最高限价见</w:t>
      </w:r>
      <w:r>
        <w:rPr>
          <w:b/>
          <w:color w:val="auto"/>
          <w:szCs w:val="21"/>
          <w:highlight w:val="none"/>
        </w:rPr>
        <w:t>“投标人须知前附表”</w:t>
      </w:r>
      <w:r>
        <w:rPr>
          <w:bCs/>
          <w:color w:val="auto"/>
          <w:szCs w:val="21"/>
          <w:highlight w:val="none"/>
        </w:rPr>
        <w:t>，若投标人的投标报价超过最高限价，按未实质性响应招标文件要求处理。</w:t>
      </w:r>
    </w:p>
    <w:p w14:paraId="03D88133">
      <w:pPr>
        <w:ind w:firstLine="420" w:firstLineChars="200"/>
        <w:rPr>
          <w:rFonts w:hint="eastAsia"/>
          <w:bCs/>
          <w:color w:val="auto"/>
          <w:szCs w:val="21"/>
          <w:highlight w:val="none"/>
        </w:rPr>
      </w:pPr>
      <w:r>
        <w:rPr>
          <w:bCs/>
          <w:color w:val="auto"/>
          <w:szCs w:val="21"/>
          <w:highlight w:val="none"/>
        </w:rPr>
        <w:t>15.2投标人须就第五章《</w:t>
      </w:r>
      <w:r>
        <w:rPr>
          <w:rFonts w:hint="eastAsia"/>
          <w:bCs/>
          <w:color w:val="auto"/>
          <w:szCs w:val="21"/>
          <w:highlight w:val="none"/>
          <w:lang w:eastAsia="zh-CN"/>
        </w:rPr>
        <w:t>采购需求</w:t>
      </w:r>
      <w:r>
        <w:rPr>
          <w:bCs/>
          <w:color w:val="auto"/>
          <w:szCs w:val="21"/>
          <w:highlight w:val="none"/>
        </w:rPr>
        <w:t>》中的所有内容作完整唯一报价。</w:t>
      </w:r>
    </w:p>
    <w:p w14:paraId="52F8EE25">
      <w:pPr>
        <w:ind w:firstLine="420" w:firstLineChars="200"/>
        <w:rPr>
          <w:rFonts w:hint="eastAsia"/>
          <w:bCs/>
          <w:color w:val="auto"/>
          <w:szCs w:val="21"/>
          <w:highlight w:val="none"/>
        </w:rPr>
      </w:pPr>
      <w:r>
        <w:rPr>
          <w:bCs/>
          <w:color w:val="auto"/>
          <w:szCs w:val="21"/>
          <w:highlight w:val="none"/>
        </w:rPr>
        <w:t>15.3</w:t>
      </w:r>
      <w:r>
        <w:rPr>
          <w:color w:val="auto"/>
          <w:highlight w:val="none"/>
        </w:rPr>
        <w:t>投标人应依据招标文件的要求及有关资料，按国家或行业现行技术经济标准、定额及规范，自行测算出满足招标要求的投标货物的竞争性报价。</w:t>
      </w:r>
      <w:r>
        <w:rPr>
          <w:b/>
          <w:color w:val="auto"/>
          <w:highlight w:val="none"/>
        </w:rPr>
        <w:t>投标报价</w:t>
      </w:r>
      <w:r>
        <w:rPr>
          <w:rFonts w:hint="eastAsia"/>
          <w:b/>
          <w:color w:val="auto"/>
          <w:highlight w:val="none"/>
        </w:rPr>
        <w:t>包含</w:t>
      </w:r>
      <w:r>
        <w:rPr>
          <w:rFonts w:hint="eastAsia"/>
          <w:b/>
          <w:color w:val="auto"/>
          <w:highlight w:val="none"/>
          <w:lang w:val="en-US" w:eastAsia="zh-CN"/>
        </w:rPr>
        <w:t>但不限于</w:t>
      </w:r>
      <w:r>
        <w:rPr>
          <w:rFonts w:hint="eastAsia"/>
          <w:b/>
          <w:color w:val="auto"/>
          <w:highlight w:val="none"/>
        </w:rPr>
        <w:t>货物、技术资料、货物的税费、运输费（含二次及多次转运费）、保险费、包装费、装卸费、安装费（含各种辅材费）、检测费（含第三方验收）、培训费、售后服务费、与货物有关的供方应纳的税费、产品规格尺寸变化可能产生的费用等所有费用</w:t>
      </w:r>
      <w:r>
        <w:rPr>
          <w:color w:val="auto"/>
          <w:highlight w:val="none"/>
        </w:rPr>
        <w:t>，并能保证投标人完成履行合同所需的全部工作，此价格在合同签订后将不作调整。</w:t>
      </w:r>
    </w:p>
    <w:p w14:paraId="373DA3DB">
      <w:pPr>
        <w:ind w:firstLine="420"/>
        <w:rPr>
          <w:rFonts w:hint="eastAsia"/>
          <w:color w:val="auto"/>
          <w:highlight w:val="none"/>
        </w:rPr>
      </w:pPr>
      <w:r>
        <w:rPr>
          <w:color w:val="auto"/>
          <w:highlight w:val="none"/>
        </w:rPr>
        <w:t>15.4货物的</w:t>
      </w:r>
      <w:r>
        <w:rPr>
          <w:b/>
          <w:color w:val="auto"/>
          <w:highlight w:val="none"/>
        </w:rPr>
        <w:t>出厂价</w:t>
      </w:r>
      <w:r>
        <w:rPr>
          <w:color w:val="auto"/>
          <w:highlight w:val="none"/>
        </w:rPr>
        <w:t>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bCs/>
          <w:color w:val="auto"/>
          <w:highlight w:val="none"/>
        </w:rPr>
        <w:t>的价格</w:t>
      </w:r>
      <w:r>
        <w:rPr>
          <w:color w:val="auto"/>
          <w:highlight w:val="none"/>
        </w:rPr>
        <w:t>。</w:t>
      </w:r>
    </w:p>
    <w:p w14:paraId="0FC1CC70">
      <w:pPr>
        <w:ind w:firstLine="420"/>
        <w:rPr>
          <w:rFonts w:hint="eastAsia"/>
          <w:color w:val="auto"/>
          <w:highlight w:val="none"/>
        </w:rPr>
      </w:pPr>
      <w:r>
        <w:rPr>
          <w:color w:val="auto"/>
          <w:highlight w:val="none"/>
        </w:rPr>
        <w:t>15.5进口组部件、元器件或全进口产品的全部费用须折合成人民币报价，并注明进口件的原产地，交货时需提供商检证明。汇率风险由投标人自行承担。</w:t>
      </w:r>
    </w:p>
    <w:p w14:paraId="0D3C85C1">
      <w:pPr>
        <w:ind w:firstLine="420"/>
        <w:rPr>
          <w:rFonts w:hint="eastAsia"/>
          <w:color w:val="auto"/>
          <w:highlight w:val="none"/>
        </w:rPr>
      </w:pPr>
      <w:r>
        <w:rPr>
          <w:bCs/>
          <w:color w:val="auto"/>
          <w:highlight w:val="none"/>
        </w:rPr>
        <w:t>15.</w:t>
      </w:r>
      <w:r>
        <w:rPr>
          <w:rFonts w:hint="eastAsia"/>
          <w:bCs/>
          <w:color w:val="auto"/>
          <w:highlight w:val="none"/>
          <w:lang w:val="en-US" w:eastAsia="zh-CN"/>
        </w:rPr>
        <w:t>6</w:t>
      </w:r>
      <w:r>
        <w:rPr>
          <w:b/>
          <w:color w:val="auto"/>
          <w:highlight w:val="none"/>
        </w:rPr>
        <w:t>运杂费用</w:t>
      </w:r>
      <w:r>
        <w:rPr>
          <w:color w:val="auto"/>
          <w:highlight w:val="none"/>
        </w:rPr>
        <w:t>：即投标货物到交货地点前的所有费用，包括铁路或公路运费、提货及转运费用、短途运费、包装费、装卸费用、加固费用、保险费等。</w:t>
      </w:r>
    </w:p>
    <w:p w14:paraId="7E828551">
      <w:pPr>
        <w:pStyle w:val="23"/>
        <w:ind w:firstLine="420" w:firstLineChars="200"/>
        <w:rPr>
          <w:rFonts w:hint="eastAsia" w:cs="宋体"/>
          <w:color w:val="auto"/>
          <w:highlight w:val="none"/>
        </w:rPr>
      </w:pPr>
      <w:r>
        <w:rPr>
          <w:color w:val="auto"/>
          <w:szCs w:val="24"/>
          <w:highlight w:val="none"/>
        </w:rPr>
        <w:t>15.</w:t>
      </w:r>
      <w:r>
        <w:rPr>
          <w:rFonts w:hint="eastAsia"/>
          <w:color w:val="auto"/>
          <w:szCs w:val="24"/>
          <w:highlight w:val="none"/>
          <w:lang w:val="en-US" w:eastAsia="zh-CN"/>
        </w:rPr>
        <w:t>7</w:t>
      </w:r>
      <w:r>
        <w:rPr>
          <w:b/>
          <w:color w:val="auto"/>
          <w:szCs w:val="24"/>
          <w:highlight w:val="none"/>
        </w:rPr>
        <w:t>技术服务费用</w:t>
      </w:r>
      <w:r>
        <w:rPr>
          <w:color w:val="auto"/>
          <w:szCs w:val="24"/>
          <w:highlight w:val="none"/>
        </w:rPr>
        <w:t>包括：设计联络费用（若有）、现场服务（包括</w:t>
      </w:r>
      <w:r>
        <w:rPr>
          <w:rFonts w:hint="eastAsia"/>
          <w:color w:val="auto"/>
          <w:szCs w:val="24"/>
          <w:highlight w:val="none"/>
          <w:lang w:val="en-US" w:eastAsia="zh-CN"/>
        </w:rPr>
        <w:t>设备</w:t>
      </w:r>
      <w:r>
        <w:rPr>
          <w:color w:val="auto"/>
          <w:szCs w:val="24"/>
          <w:highlight w:val="none"/>
        </w:rPr>
        <w:t>安装和调试费用）和人员培训的费用、技术资料费以及技术咨询协调费用等。</w:t>
      </w:r>
    </w:p>
    <w:p w14:paraId="047E6C5C">
      <w:pPr>
        <w:ind w:firstLine="422" w:firstLineChars="200"/>
        <w:jc w:val="left"/>
        <w:rPr>
          <w:rFonts w:hint="eastAsia" w:cs="宋体"/>
          <w:b/>
          <w:color w:val="auto"/>
          <w:szCs w:val="21"/>
          <w:highlight w:val="none"/>
        </w:rPr>
      </w:pPr>
      <w:r>
        <w:rPr>
          <w:rFonts w:hint="eastAsia" w:cs="宋体"/>
          <w:b/>
          <w:color w:val="auto"/>
          <w:szCs w:val="21"/>
          <w:highlight w:val="none"/>
        </w:rPr>
        <w:t>16.投标货币</w:t>
      </w:r>
    </w:p>
    <w:p w14:paraId="312391CB">
      <w:pPr>
        <w:pStyle w:val="23"/>
        <w:ind w:firstLine="420" w:firstLineChars="200"/>
        <w:rPr>
          <w:rFonts w:hint="eastAsia" w:cs="宋体"/>
          <w:bCs/>
          <w:color w:val="auto"/>
          <w:szCs w:val="21"/>
          <w:highlight w:val="none"/>
        </w:rPr>
      </w:pPr>
      <w:r>
        <w:rPr>
          <w:rFonts w:hint="eastAsia" w:cs="宋体"/>
          <w:color w:val="auto"/>
          <w:szCs w:val="21"/>
          <w:highlight w:val="none"/>
        </w:rPr>
        <w:t>16.1投标以人民币报价。</w:t>
      </w:r>
    </w:p>
    <w:p w14:paraId="096630F7">
      <w:pPr>
        <w:ind w:firstLine="422" w:firstLineChars="200"/>
        <w:jc w:val="left"/>
        <w:rPr>
          <w:rFonts w:hint="eastAsia" w:cs="宋体"/>
          <w:b/>
          <w:color w:val="auto"/>
          <w:szCs w:val="21"/>
          <w:highlight w:val="none"/>
        </w:rPr>
      </w:pPr>
      <w:r>
        <w:rPr>
          <w:rFonts w:hint="eastAsia" w:cs="宋体"/>
          <w:b/>
          <w:color w:val="auto"/>
          <w:szCs w:val="21"/>
          <w:highlight w:val="none"/>
        </w:rPr>
        <w:t>17.投标文件有效期</w:t>
      </w:r>
    </w:p>
    <w:p w14:paraId="756474DA">
      <w:pPr>
        <w:ind w:firstLine="420" w:firstLineChars="200"/>
        <w:jc w:val="left"/>
        <w:rPr>
          <w:rFonts w:hint="eastAsia" w:cs="宋体"/>
          <w:color w:val="auto"/>
          <w:szCs w:val="21"/>
          <w:highlight w:val="none"/>
        </w:rPr>
      </w:pPr>
      <w:r>
        <w:rPr>
          <w:rFonts w:hint="eastAsia" w:cs="宋体"/>
          <w:color w:val="auto"/>
          <w:szCs w:val="21"/>
          <w:highlight w:val="none"/>
        </w:rPr>
        <w:t>★17.1在</w:t>
      </w:r>
      <w:r>
        <w:rPr>
          <w:rFonts w:hint="eastAsia" w:cs="宋体"/>
          <w:b/>
          <w:bCs/>
          <w:color w:val="auto"/>
          <w:szCs w:val="21"/>
          <w:highlight w:val="none"/>
        </w:rPr>
        <w:t>“投标人须知前附表”</w:t>
      </w:r>
      <w:r>
        <w:rPr>
          <w:rFonts w:hint="eastAsia" w:cs="宋体"/>
          <w:color w:val="auto"/>
          <w:szCs w:val="21"/>
          <w:highlight w:val="none"/>
        </w:rPr>
        <w:t>规定的投标有效期内，投标人不得要求撤销或修改其投标文件。</w:t>
      </w:r>
    </w:p>
    <w:p w14:paraId="01292ECB">
      <w:pPr>
        <w:ind w:firstLine="420" w:firstLineChars="200"/>
        <w:jc w:val="left"/>
        <w:rPr>
          <w:rFonts w:hint="eastAsia" w:cs="宋体"/>
          <w:color w:val="auto"/>
          <w:szCs w:val="21"/>
          <w:highlight w:val="none"/>
        </w:rPr>
      </w:pPr>
      <w:r>
        <w:rPr>
          <w:rFonts w:hint="eastAsia" w:cs="宋体"/>
          <w:color w:val="auto"/>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160FD573">
      <w:pPr>
        <w:ind w:firstLine="420" w:firstLineChars="200"/>
        <w:jc w:val="left"/>
        <w:rPr>
          <w:rFonts w:hint="eastAsia" w:cs="宋体"/>
          <w:color w:val="auto"/>
          <w:szCs w:val="21"/>
          <w:highlight w:val="none"/>
        </w:rPr>
      </w:pPr>
      <w:r>
        <w:rPr>
          <w:rFonts w:hint="eastAsia" w:cs="宋体"/>
          <w:color w:val="auto"/>
          <w:szCs w:val="21"/>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C5769F9">
      <w:pPr>
        <w:ind w:firstLine="422" w:firstLineChars="200"/>
        <w:jc w:val="left"/>
        <w:rPr>
          <w:rFonts w:hint="eastAsia" w:cs="宋体"/>
          <w:b/>
          <w:color w:val="auto"/>
          <w:szCs w:val="21"/>
          <w:highlight w:val="none"/>
        </w:rPr>
      </w:pPr>
      <w:r>
        <w:rPr>
          <w:rFonts w:hint="eastAsia" w:cs="宋体"/>
          <w:b/>
          <w:color w:val="auto"/>
          <w:szCs w:val="21"/>
          <w:highlight w:val="none"/>
        </w:rPr>
        <w:t>18.分包</w:t>
      </w:r>
    </w:p>
    <w:p w14:paraId="4AB6ACED">
      <w:pPr>
        <w:ind w:firstLine="420" w:firstLineChars="200"/>
        <w:jc w:val="left"/>
        <w:rPr>
          <w:rFonts w:hint="eastAsia" w:cs="宋体"/>
          <w:color w:val="auto"/>
          <w:kern w:val="0"/>
          <w:szCs w:val="21"/>
          <w:highlight w:val="none"/>
        </w:rPr>
      </w:pPr>
      <w:r>
        <w:rPr>
          <w:rFonts w:hint="eastAsia" w:cs="宋体"/>
          <w:color w:val="auto"/>
          <w:szCs w:val="21"/>
          <w:highlight w:val="none"/>
        </w:rPr>
        <w:t>18.1</w:t>
      </w:r>
      <w:r>
        <w:rPr>
          <w:rFonts w:hint="eastAsia" w:cs="宋体"/>
          <w:b/>
          <w:bCs/>
          <w:color w:val="auto"/>
          <w:szCs w:val="21"/>
          <w:highlight w:val="none"/>
        </w:rPr>
        <w:t>“投标人须知前附表”</w:t>
      </w:r>
      <w:r>
        <w:rPr>
          <w:rFonts w:hint="eastAsia" w:cs="宋体"/>
          <w:color w:val="auto"/>
          <w:szCs w:val="21"/>
          <w:highlight w:val="none"/>
        </w:rPr>
        <w:t>规定允许分包的项目，投标人在中标后只能将项目的非主体、</w:t>
      </w:r>
      <w:r>
        <w:rPr>
          <w:rFonts w:hint="eastAsia" w:cs="宋体"/>
          <w:color w:val="auto"/>
          <w:kern w:val="0"/>
          <w:szCs w:val="21"/>
          <w:highlight w:val="none"/>
        </w:rPr>
        <w:t>非关键性工作分包。投标人应当在投标文件中载明分包承担主体，分包承担主体应当具备相应资质条件且不得再次分包。</w:t>
      </w:r>
    </w:p>
    <w:p w14:paraId="26DE2CF0">
      <w:pPr>
        <w:ind w:firstLine="422" w:firstLineChars="200"/>
        <w:jc w:val="left"/>
        <w:rPr>
          <w:rFonts w:hint="eastAsia" w:cs="宋体"/>
          <w:b/>
          <w:bCs/>
          <w:color w:val="auto"/>
          <w:kern w:val="0"/>
          <w:szCs w:val="21"/>
          <w:highlight w:val="none"/>
        </w:rPr>
      </w:pPr>
      <w:r>
        <w:rPr>
          <w:rFonts w:hint="eastAsia" w:cs="宋体"/>
          <w:b/>
          <w:bCs/>
          <w:color w:val="auto"/>
          <w:kern w:val="0"/>
          <w:szCs w:val="21"/>
          <w:highlight w:val="none"/>
        </w:rPr>
        <w:t>★19.投标人应当遵循公平竞争的原则，不得恶意串通，不得妨碍其他投标人的竞争行为，不得损害采购人或者其他投标人的合法权益。</w:t>
      </w:r>
    </w:p>
    <w:p w14:paraId="4009BF64">
      <w:pPr>
        <w:ind w:firstLine="422" w:firstLineChars="200"/>
        <w:jc w:val="left"/>
        <w:rPr>
          <w:rFonts w:hint="eastAsia" w:cs="宋体"/>
          <w:b/>
          <w:color w:val="auto"/>
          <w:szCs w:val="21"/>
          <w:highlight w:val="none"/>
        </w:rPr>
      </w:pPr>
      <w:r>
        <w:rPr>
          <w:rFonts w:hint="eastAsia" w:cs="宋体"/>
          <w:b/>
          <w:color w:val="auto"/>
          <w:szCs w:val="21"/>
          <w:highlight w:val="none"/>
        </w:rPr>
        <w:t>20.投标文件的编制</w:t>
      </w:r>
    </w:p>
    <w:p w14:paraId="4ED9C8C0">
      <w:pPr>
        <w:pStyle w:val="23"/>
        <w:ind w:firstLine="420" w:firstLineChars="200"/>
        <w:rPr>
          <w:rFonts w:hint="eastAsia" w:cs="宋体"/>
          <w:color w:val="auto"/>
          <w:szCs w:val="21"/>
          <w:highlight w:val="none"/>
        </w:rPr>
      </w:pPr>
      <w:r>
        <w:rPr>
          <w:rFonts w:hint="eastAsia" w:cs="宋体"/>
          <w:color w:val="auto"/>
          <w:szCs w:val="21"/>
          <w:highlight w:val="none"/>
        </w:rPr>
        <w:t>20.1</w:t>
      </w:r>
      <w:r>
        <w:rPr>
          <w:rFonts w:hint="eastAsia"/>
          <w:color w:val="auto"/>
          <w:szCs w:val="21"/>
          <w:highlight w:val="none"/>
        </w:rPr>
        <w:t>投标文件全部采用电子文档，投标人应安装客户端软件—</w:t>
      </w:r>
      <w:r>
        <w:rPr>
          <w:rFonts w:hint="eastAsia"/>
          <w:b/>
          <w:bCs/>
          <w:color w:val="auto"/>
          <w:szCs w:val="21"/>
          <w:highlight w:val="none"/>
        </w:rPr>
        <w:t>“政采云电子交易客户端”</w:t>
      </w:r>
      <w:r>
        <w:rPr>
          <w:rFonts w:hint="eastAsia"/>
          <w:color w:val="auto"/>
          <w:szCs w:val="21"/>
          <w:highlight w:val="none"/>
        </w:rPr>
        <w:t>，并按照招标文件和政采云电子交易平台的要求编制，编制后应进行电子签名及加密</w:t>
      </w:r>
      <w:r>
        <w:rPr>
          <w:rFonts w:hint="eastAsia" w:cs="宋体"/>
          <w:color w:val="auto"/>
          <w:szCs w:val="21"/>
          <w:highlight w:val="none"/>
        </w:rPr>
        <w:t>。</w:t>
      </w:r>
    </w:p>
    <w:p w14:paraId="1B41EB19">
      <w:pPr>
        <w:pStyle w:val="23"/>
        <w:ind w:firstLine="420" w:firstLineChars="200"/>
        <w:rPr>
          <w:rFonts w:hint="eastAsia" w:cs="宋体"/>
          <w:color w:val="auto"/>
          <w:szCs w:val="21"/>
          <w:highlight w:val="none"/>
        </w:rPr>
      </w:pPr>
      <w:r>
        <w:rPr>
          <w:rFonts w:hint="eastAsia"/>
          <w:color w:val="auto"/>
          <w:szCs w:val="21"/>
          <w:highlight w:val="none"/>
        </w:rPr>
        <w:t>★20.</w:t>
      </w:r>
      <w:r>
        <w:rPr>
          <w:color w:val="auto"/>
          <w:szCs w:val="21"/>
          <w:highlight w:val="none"/>
        </w:rPr>
        <w:t>2</w:t>
      </w:r>
      <w:r>
        <w:rPr>
          <w:rFonts w:hint="eastAsia"/>
          <w:color w:val="auto"/>
          <w:szCs w:val="21"/>
          <w:highlight w:val="none"/>
        </w:rPr>
        <w:t>如投标人提交的电子标书不符合2</w:t>
      </w:r>
      <w:r>
        <w:rPr>
          <w:color w:val="auto"/>
          <w:szCs w:val="21"/>
          <w:highlight w:val="none"/>
        </w:rPr>
        <w:t>0.1</w:t>
      </w:r>
      <w:r>
        <w:rPr>
          <w:rFonts w:hint="eastAsia"/>
          <w:color w:val="auto"/>
          <w:szCs w:val="21"/>
          <w:highlight w:val="none"/>
        </w:rPr>
        <w:t>要求或开标时无法读取导入或解密，其投标文件将不予受理。</w:t>
      </w:r>
    </w:p>
    <w:p w14:paraId="7C68D253">
      <w:pPr>
        <w:pStyle w:val="23"/>
        <w:ind w:firstLine="420" w:firstLineChars="200"/>
        <w:rPr>
          <w:rFonts w:hint="eastAsia" w:cs="宋体"/>
          <w:color w:val="auto"/>
          <w:szCs w:val="21"/>
          <w:highlight w:val="none"/>
        </w:rPr>
      </w:pPr>
      <w:r>
        <w:rPr>
          <w:rFonts w:hint="eastAsia" w:cs="宋体"/>
          <w:color w:val="auto"/>
          <w:szCs w:val="21"/>
          <w:highlight w:val="none"/>
        </w:rPr>
        <w:t>20.3</w:t>
      </w:r>
      <w:r>
        <w:rPr>
          <w:rFonts w:hint="eastAsia"/>
          <w:color w:val="auto"/>
          <w:szCs w:val="21"/>
          <w:highlight w:val="none"/>
        </w:rPr>
        <w:t>投标文件应尽量避免涂改、行间插字或删除。如果出现上述情况，改动之处应加盖单位章或由投标人的法定代表人/单位负责人（签名或盖章）确认</w:t>
      </w:r>
      <w:r>
        <w:rPr>
          <w:rFonts w:hint="eastAsia" w:cs="宋体"/>
          <w:color w:val="auto"/>
          <w:szCs w:val="21"/>
          <w:highlight w:val="none"/>
        </w:rPr>
        <w:t>。</w:t>
      </w:r>
    </w:p>
    <w:p w14:paraId="2A26AB45">
      <w:pPr>
        <w:pStyle w:val="23"/>
        <w:ind w:firstLine="420" w:firstLineChars="200"/>
        <w:rPr>
          <w:rFonts w:hint="eastAsia" w:cs="宋体"/>
          <w:color w:val="auto"/>
          <w:szCs w:val="21"/>
          <w:highlight w:val="none"/>
        </w:rPr>
      </w:pPr>
      <w:r>
        <w:rPr>
          <w:rFonts w:hint="eastAsia" w:cs="宋体"/>
          <w:color w:val="auto"/>
          <w:szCs w:val="21"/>
          <w:highlight w:val="none"/>
        </w:rPr>
        <w:t>★20.4</w:t>
      </w:r>
      <w:r>
        <w:rPr>
          <w:rFonts w:hint="eastAsia"/>
          <w:color w:val="auto"/>
          <w:szCs w:val="21"/>
          <w:highlight w:val="none"/>
        </w:rPr>
        <w:t>关键内容字迹潦草、表达不清、未按要求填写而导致非唯一理解，视为未实质性响应招标文件的投标文件</w:t>
      </w:r>
      <w:r>
        <w:rPr>
          <w:rFonts w:hint="eastAsia" w:cs="宋体"/>
          <w:color w:val="auto"/>
          <w:szCs w:val="21"/>
          <w:highlight w:val="none"/>
        </w:rPr>
        <w:t>。</w:t>
      </w:r>
    </w:p>
    <w:p w14:paraId="2CF1FEC0">
      <w:pPr>
        <w:pStyle w:val="23"/>
        <w:ind w:firstLine="420" w:firstLineChars="200"/>
        <w:rPr>
          <w:rFonts w:hint="eastAsia" w:cs="宋体"/>
          <w:color w:val="auto"/>
          <w:szCs w:val="21"/>
          <w:highlight w:val="none"/>
        </w:rPr>
      </w:pPr>
      <w:r>
        <w:rPr>
          <w:rFonts w:hint="eastAsia" w:cs="宋体"/>
          <w:color w:val="auto"/>
          <w:szCs w:val="21"/>
          <w:highlight w:val="none"/>
        </w:rPr>
        <w:t>★20.5</w:t>
      </w:r>
      <w:r>
        <w:rPr>
          <w:rFonts w:hint="eastAsia"/>
          <w:color w:val="auto"/>
          <w:szCs w:val="21"/>
          <w:highlight w:val="none"/>
        </w:rPr>
        <w:t>投标文件中提供的资料（复印件或扫描件），内容必须清晰可辨，若内容模糊，无法辨识，均视为未提供</w:t>
      </w:r>
      <w:r>
        <w:rPr>
          <w:rFonts w:hint="eastAsia" w:cs="宋体"/>
          <w:color w:val="auto"/>
          <w:szCs w:val="21"/>
          <w:highlight w:val="none"/>
        </w:rPr>
        <w:t>。</w:t>
      </w:r>
    </w:p>
    <w:p w14:paraId="07840B80">
      <w:pPr>
        <w:pStyle w:val="23"/>
        <w:ind w:firstLine="420" w:firstLineChars="200"/>
        <w:rPr>
          <w:rFonts w:hint="eastAsia" w:cs="宋体"/>
          <w:color w:val="auto"/>
          <w:szCs w:val="21"/>
          <w:highlight w:val="none"/>
        </w:rPr>
      </w:pPr>
      <w:r>
        <w:rPr>
          <w:color w:val="auto"/>
          <w:highlight w:val="none"/>
        </w:rPr>
        <w:t>20.6投标文件应由法定代表人/单位负责人在凡规定（签字或电子签名）处逐一电子签名（电子签名或电子签章），要求盖章处应盖单位章（电子签章）。</w:t>
      </w:r>
    </w:p>
    <w:p w14:paraId="5616BF5B">
      <w:pPr>
        <w:ind w:firstLine="422" w:firstLineChars="200"/>
        <w:jc w:val="left"/>
        <w:rPr>
          <w:rFonts w:hint="eastAsia" w:cs="宋体"/>
          <w:b/>
          <w:color w:val="auto"/>
          <w:szCs w:val="21"/>
          <w:highlight w:val="none"/>
        </w:rPr>
      </w:pPr>
      <w:r>
        <w:rPr>
          <w:rFonts w:hint="eastAsia" w:cs="宋体"/>
          <w:b/>
          <w:color w:val="auto"/>
          <w:szCs w:val="21"/>
          <w:highlight w:val="none"/>
        </w:rPr>
        <w:t>21.投标保证金</w:t>
      </w:r>
    </w:p>
    <w:p w14:paraId="53C8B8B5">
      <w:pPr>
        <w:pStyle w:val="23"/>
        <w:tabs>
          <w:tab w:val="left" w:pos="710"/>
        </w:tabs>
        <w:ind w:firstLine="420" w:firstLineChars="200"/>
        <w:rPr>
          <w:rFonts w:hint="eastAsia" w:cs="宋体"/>
          <w:color w:val="auto"/>
          <w:szCs w:val="21"/>
          <w:highlight w:val="none"/>
        </w:rPr>
      </w:pPr>
      <w:r>
        <w:rPr>
          <w:rFonts w:hint="eastAsia" w:cs="宋体"/>
          <w:color w:val="auto"/>
          <w:szCs w:val="21"/>
          <w:highlight w:val="none"/>
        </w:rPr>
        <w:t>21.1投标保证金为人民币。投标人应在提交投标文件截止时间以前按“</w:t>
      </w:r>
      <w:r>
        <w:rPr>
          <w:rFonts w:hint="eastAsia" w:cs="宋体"/>
          <w:b/>
          <w:color w:val="auto"/>
          <w:szCs w:val="21"/>
          <w:highlight w:val="none"/>
        </w:rPr>
        <w:t>投标人须知前附表</w:t>
      </w:r>
      <w:r>
        <w:rPr>
          <w:rFonts w:hint="eastAsia" w:cs="宋体"/>
          <w:color w:val="auto"/>
          <w:szCs w:val="21"/>
          <w:highlight w:val="none"/>
        </w:rPr>
        <w:t>”规定的金额提交，并在规定的时间内保持有效。</w:t>
      </w:r>
    </w:p>
    <w:p w14:paraId="5185FCEE">
      <w:pPr>
        <w:pStyle w:val="23"/>
        <w:ind w:firstLine="420" w:firstLineChars="200"/>
        <w:rPr>
          <w:rFonts w:hint="eastAsia" w:cs="宋体"/>
          <w:color w:val="auto"/>
          <w:szCs w:val="21"/>
          <w:highlight w:val="none"/>
        </w:rPr>
      </w:pPr>
      <w:r>
        <w:rPr>
          <w:rFonts w:hint="eastAsia" w:cs="宋体"/>
          <w:color w:val="auto"/>
          <w:szCs w:val="21"/>
          <w:highlight w:val="none"/>
        </w:rPr>
        <w:t>21.2</w:t>
      </w:r>
      <w:r>
        <w:rPr>
          <w:rFonts w:hint="eastAsia" w:cs="宋体"/>
          <w:color w:val="auto"/>
          <w:szCs w:val="24"/>
          <w:highlight w:val="none"/>
        </w:rPr>
        <w:t>投标保证金形式：投标保证金应按“</w:t>
      </w:r>
      <w:r>
        <w:rPr>
          <w:rFonts w:hint="eastAsia" w:cs="宋体"/>
          <w:b/>
          <w:color w:val="auto"/>
          <w:szCs w:val="24"/>
          <w:highlight w:val="none"/>
        </w:rPr>
        <w:t>投标人须知前附表</w:t>
      </w:r>
      <w:r>
        <w:rPr>
          <w:rFonts w:hint="eastAsia" w:cs="宋体"/>
          <w:color w:val="auto"/>
          <w:szCs w:val="24"/>
          <w:highlight w:val="none"/>
        </w:rPr>
        <w:t>”规定的形式提交。</w:t>
      </w:r>
    </w:p>
    <w:p w14:paraId="20C99460">
      <w:pPr>
        <w:pStyle w:val="23"/>
        <w:ind w:firstLine="420" w:firstLineChars="200"/>
        <w:rPr>
          <w:rFonts w:hint="eastAsia" w:cs="宋体"/>
          <w:color w:val="auto"/>
          <w:szCs w:val="21"/>
          <w:highlight w:val="none"/>
        </w:rPr>
      </w:pPr>
      <w:r>
        <w:rPr>
          <w:rFonts w:hint="eastAsia" w:cs="宋体"/>
          <w:color w:val="auto"/>
          <w:szCs w:val="21"/>
          <w:highlight w:val="none"/>
        </w:rPr>
        <w:t>21.3</w:t>
      </w:r>
      <w:r>
        <w:rPr>
          <w:rFonts w:hint="eastAsia" w:cs="宋体"/>
          <w:color w:val="auto"/>
          <w:kern w:val="0"/>
          <w:szCs w:val="24"/>
          <w:highlight w:val="none"/>
        </w:rPr>
        <w:t>投标人在投标截止时间前撤回已提交的投标文件的，采购代理机构将在自收到投标人书面撤回通知之日起</w:t>
      </w:r>
      <w:r>
        <w:rPr>
          <w:rFonts w:hint="eastAsia" w:cs="宋体"/>
          <w:color w:val="auto"/>
          <w:szCs w:val="24"/>
          <w:highlight w:val="none"/>
        </w:rPr>
        <w:t>5</w:t>
      </w:r>
      <w:r>
        <w:rPr>
          <w:rFonts w:hint="eastAsia" w:cs="宋体"/>
          <w:color w:val="auto"/>
          <w:kern w:val="0"/>
          <w:szCs w:val="24"/>
          <w:highlight w:val="none"/>
        </w:rPr>
        <w:t>个工作日内，退还已收取的投标保证金，但因投标人自身原因导致无法及时退还的除外</w:t>
      </w:r>
      <w:r>
        <w:rPr>
          <w:rFonts w:hint="eastAsia" w:cs="宋体"/>
          <w:color w:val="auto"/>
          <w:szCs w:val="24"/>
          <w:highlight w:val="none"/>
        </w:rPr>
        <w:t>。</w:t>
      </w:r>
    </w:p>
    <w:p w14:paraId="644D75A5">
      <w:pPr>
        <w:pStyle w:val="23"/>
        <w:ind w:firstLine="420" w:firstLineChars="200"/>
        <w:rPr>
          <w:rFonts w:hint="eastAsia" w:cs="宋体"/>
          <w:color w:val="auto"/>
          <w:szCs w:val="24"/>
          <w:highlight w:val="none"/>
        </w:rPr>
      </w:pPr>
      <w:r>
        <w:rPr>
          <w:rFonts w:hint="eastAsia" w:cs="宋体"/>
          <w:color w:val="auto"/>
          <w:szCs w:val="21"/>
          <w:highlight w:val="none"/>
        </w:rPr>
        <w:t>21.4</w:t>
      </w:r>
      <w:r>
        <w:rPr>
          <w:rFonts w:hint="eastAsia" w:cs="宋体"/>
          <w:color w:val="auto"/>
          <w:szCs w:val="24"/>
          <w:highlight w:val="none"/>
        </w:rPr>
        <w:t>未中标人的投标保证金将在中标公告发出后5个工作日退还；中标人的投标保证金将在</w:t>
      </w:r>
      <w:r>
        <w:rPr>
          <w:rFonts w:hint="eastAsia" w:cs="宋体"/>
          <w:color w:val="auto"/>
          <w:kern w:val="0"/>
          <w:szCs w:val="24"/>
          <w:highlight w:val="none"/>
        </w:rPr>
        <w:t>采购合同签订之日起5个工作日内退还</w:t>
      </w:r>
      <w:r>
        <w:rPr>
          <w:rFonts w:hint="eastAsia" w:cs="宋体"/>
          <w:color w:val="auto"/>
          <w:szCs w:val="24"/>
          <w:highlight w:val="none"/>
        </w:rPr>
        <w:t>。</w:t>
      </w:r>
    </w:p>
    <w:p w14:paraId="18E97C55">
      <w:pPr>
        <w:ind w:firstLine="420" w:firstLineChars="200"/>
        <w:rPr>
          <w:rFonts w:hint="eastAsia" w:cs="宋体"/>
          <w:color w:val="auto"/>
          <w:highlight w:val="none"/>
        </w:rPr>
      </w:pPr>
      <w:r>
        <w:rPr>
          <w:rFonts w:hint="eastAsia"/>
          <w:color w:val="auto"/>
          <w:highlight w:val="none"/>
        </w:rPr>
        <w:t>21.5</w:t>
      </w:r>
      <w:r>
        <w:rPr>
          <w:rFonts w:hint="eastAsia" w:cs="宋体"/>
          <w:color w:val="auto"/>
          <w:highlight w:val="none"/>
        </w:rPr>
        <w:t>投标保证金的退回方式：</w:t>
      </w:r>
    </w:p>
    <w:p w14:paraId="0AB94428">
      <w:pPr>
        <w:ind w:firstLine="420" w:firstLineChars="200"/>
        <w:rPr>
          <w:rFonts w:hint="eastAsia" w:cs="宋体"/>
          <w:color w:val="auto"/>
          <w:highlight w:val="none"/>
        </w:rPr>
      </w:pPr>
      <w:r>
        <w:rPr>
          <w:rFonts w:hint="eastAsia" w:cs="宋体"/>
          <w:color w:val="auto"/>
          <w:highlight w:val="none"/>
        </w:rPr>
        <w:t>（</w:t>
      </w:r>
      <w:r>
        <w:rPr>
          <w:rFonts w:cs="宋体"/>
          <w:color w:val="auto"/>
          <w:highlight w:val="none"/>
        </w:rPr>
        <w:t>1）以银行转账、网银、电汇缴纳的保证金，以网银对公转账的方式退还到</w:t>
      </w:r>
      <w:r>
        <w:rPr>
          <w:rFonts w:hint="eastAsia" w:cs="宋体"/>
          <w:color w:val="auto"/>
          <w:highlight w:val="none"/>
        </w:rPr>
        <w:t>投标人</w:t>
      </w:r>
      <w:r>
        <w:rPr>
          <w:rFonts w:cs="宋体"/>
          <w:color w:val="auto"/>
          <w:highlight w:val="none"/>
        </w:rPr>
        <w:t>打款账户；</w:t>
      </w:r>
    </w:p>
    <w:p w14:paraId="3996A560">
      <w:pPr>
        <w:ind w:firstLine="420" w:firstLineChars="200"/>
        <w:rPr>
          <w:rFonts w:hint="eastAsia" w:cs="宋体"/>
          <w:color w:val="auto"/>
          <w:highlight w:val="none"/>
        </w:rPr>
      </w:pPr>
      <w:r>
        <w:rPr>
          <w:rFonts w:hint="eastAsia" w:cs="宋体"/>
          <w:color w:val="auto"/>
          <w:highlight w:val="none"/>
        </w:rPr>
        <w:t>（</w:t>
      </w:r>
      <w:r>
        <w:rPr>
          <w:rFonts w:cs="宋体"/>
          <w:color w:val="auto"/>
          <w:highlight w:val="none"/>
        </w:rPr>
        <w:t>2）以支票、汇票及本票等票据方式缴纳的保证金，经财务查账确认后以对公转账的方式退还到</w:t>
      </w:r>
      <w:r>
        <w:rPr>
          <w:rFonts w:hint="eastAsia" w:cs="宋体"/>
          <w:color w:val="auto"/>
          <w:highlight w:val="none"/>
        </w:rPr>
        <w:t>投标人</w:t>
      </w:r>
      <w:r>
        <w:rPr>
          <w:rFonts w:cs="宋体"/>
          <w:color w:val="auto"/>
          <w:highlight w:val="none"/>
        </w:rPr>
        <w:t>开户账户；</w:t>
      </w:r>
    </w:p>
    <w:p w14:paraId="3FD075FE">
      <w:pPr>
        <w:ind w:firstLine="420" w:firstLineChars="200"/>
        <w:rPr>
          <w:rFonts w:hint="eastAsia"/>
          <w:color w:val="auto"/>
          <w:highlight w:val="none"/>
        </w:rPr>
      </w:pPr>
      <w:r>
        <w:rPr>
          <w:rFonts w:hint="eastAsia" w:cs="宋体"/>
          <w:color w:val="auto"/>
          <w:highlight w:val="none"/>
        </w:rPr>
        <w:t>（</w:t>
      </w:r>
      <w:r>
        <w:rPr>
          <w:rFonts w:cs="宋体"/>
          <w:color w:val="auto"/>
          <w:highlight w:val="none"/>
        </w:rPr>
        <w:t>3）以银行保函或者保证保险方式缴纳的保证金由</w:t>
      </w:r>
      <w:r>
        <w:rPr>
          <w:rFonts w:hint="eastAsia" w:cs="宋体"/>
          <w:color w:val="auto"/>
          <w:highlight w:val="none"/>
        </w:rPr>
        <w:t>投标人</w:t>
      </w:r>
      <w:r>
        <w:rPr>
          <w:rFonts w:cs="宋体"/>
          <w:color w:val="auto"/>
          <w:highlight w:val="none"/>
        </w:rPr>
        <w:t>自行联系出函机构。</w:t>
      </w:r>
    </w:p>
    <w:p w14:paraId="34A9415D">
      <w:pPr>
        <w:pStyle w:val="23"/>
        <w:ind w:firstLine="420" w:firstLineChars="200"/>
        <w:rPr>
          <w:rFonts w:hint="eastAsia" w:cs="宋体"/>
          <w:color w:val="auto"/>
          <w:szCs w:val="21"/>
          <w:highlight w:val="none"/>
        </w:rPr>
      </w:pPr>
      <w:r>
        <w:rPr>
          <w:rFonts w:hint="eastAsia" w:cs="宋体"/>
          <w:color w:val="auto"/>
          <w:szCs w:val="21"/>
          <w:highlight w:val="none"/>
        </w:rPr>
        <w:t>21.6下列情况发生时，投标保证金将不予退还</w:t>
      </w:r>
    </w:p>
    <w:p w14:paraId="30334E51">
      <w:pPr>
        <w:ind w:firstLine="420" w:firstLineChars="200"/>
        <w:jc w:val="left"/>
        <w:rPr>
          <w:rFonts w:hint="eastAsia" w:cs="宋体"/>
          <w:color w:val="auto"/>
          <w:szCs w:val="21"/>
          <w:highlight w:val="none"/>
        </w:rPr>
      </w:pPr>
      <w:r>
        <w:rPr>
          <w:rFonts w:hint="eastAsia" w:cs="宋体"/>
          <w:color w:val="auto"/>
          <w:szCs w:val="21"/>
          <w:highlight w:val="none"/>
        </w:rPr>
        <w:t>（1）投标人在投标有效期内要求撤回投标的；</w:t>
      </w:r>
    </w:p>
    <w:p w14:paraId="23276726">
      <w:pPr>
        <w:ind w:firstLine="420" w:firstLineChars="200"/>
        <w:jc w:val="left"/>
        <w:rPr>
          <w:rFonts w:hint="eastAsia" w:cs="宋体"/>
          <w:color w:val="auto"/>
          <w:szCs w:val="21"/>
          <w:highlight w:val="none"/>
        </w:rPr>
      </w:pPr>
      <w:r>
        <w:rPr>
          <w:rFonts w:hint="eastAsia" w:cs="宋体"/>
          <w:color w:val="auto"/>
          <w:szCs w:val="21"/>
          <w:highlight w:val="none"/>
        </w:rPr>
        <w:t>（2）中标人中标后无正当理由不与采购人签订合同的；</w:t>
      </w:r>
    </w:p>
    <w:p w14:paraId="355BD870">
      <w:pPr>
        <w:ind w:firstLine="420" w:firstLineChars="200"/>
        <w:jc w:val="left"/>
        <w:rPr>
          <w:rFonts w:hint="eastAsia" w:cs="宋体"/>
          <w:color w:val="auto"/>
          <w:szCs w:val="21"/>
          <w:highlight w:val="none"/>
        </w:rPr>
      </w:pPr>
      <w:r>
        <w:rPr>
          <w:rFonts w:hint="eastAsia" w:cs="宋体"/>
          <w:color w:val="auto"/>
          <w:szCs w:val="21"/>
          <w:highlight w:val="none"/>
        </w:rPr>
        <w:t>（3）中标人将中标项目转让给他人，或者在投标文件中未说明，且未经采购人同意，将中标项目分包给他人的；</w:t>
      </w:r>
    </w:p>
    <w:p w14:paraId="6B920A41">
      <w:pPr>
        <w:ind w:firstLine="420" w:firstLineChars="200"/>
        <w:jc w:val="left"/>
        <w:rPr>
          <w:rFonts w:hint="eastAsia" w:cs="宋体"/>
          <w:color w:val="auto"/>
          <w:szCs w:val="21"/>
          <w:highlight w:val="none"/>
        </w:rPr>
      </w:pPr>
      <w:r>
        <w:rPr>
          <w:rFonts w:hint="eastAsia" w:cs="宋体"/>
          <w:color w:val="auto"/>
          <w:szCs w:val="21"/>
          <w:highlight w:val="none"/>
        </w:rPr>
        <w:t>（4）中标人拒绝履行合同义务的。</w:t>
      </w:r>
    </w:p>
    <w:p w14:paraId="06FD3690">
      <w:pPr>
        <w:pStyle w:val="4"/>
        <w:bidi w:val="0"/>
        <w:rPr>
          <w:rFonts w:hint="eastAsia" w:ascii="宋体" w:hAnsi="宋体" w:eastAsia="宋体" w:cs="Times New Roman"/>
        </w:rPr>
      </w:pPr>
      <w:bookmarkStart w:id="89" w:name="_Toc7380"/>
      <w:bookmarkStart w:id="90" w:name="_Toc5421"/>
      <w:bookmarkStart w:id="91" w:name="_Toc13458"/>
      <w:bookmarkStart w:id="92" w:name="_Toc491076991"/>
      <w:r>
        <w:rPr>
          <w:rFonts w:hint="eastAsia" w:ascii="宋体" w:hAnsi="宋体" w:eastAsia="宋体" w:cs="Times New Roman"/>
        </w:rPr>
        <w:t>四、投标文件的提交</w:t>
      </w:r>
      <w:bookmarkEnd w:id="89"/>
      <w:bookmarkEnd w:id="90"/>
      <w:bookmarkEnd w:id="91"/>
      <w:bookmarkEnd w:id="92"/>
    </w:p>
    <w:p w14:paraId="1DE28C17">
      <w:pPr>
        <w:ind w:firstLine="422" w:firstLineChars="200"/>
        <w:jc w:val="left"/>
        <w:rPr>
          <w:rFonts w:hint="eastAsia" w:cs="宋体"/>
          <w:b/>
          <w:color w:val="auto"/>
          <w:szCs w:val="21"/>
          <w:highlight w:val="none"/>
        </w:rPr>
      </w:pPr>
      <w:bookmarkStart w:id="93" w:name="_Toc491076992"/>
      <w:r>
        <w:rPr>
          <w:rFonts w:hint="eastAsia" w:cs="宋体"/>
          <w:b/>
          <w:color w:val="auto"/>
          <w:szCs w:val="21"/>
          <w:highlight w:val="none"/>
        </w:rPr>
        <w:t>22.投标文件递交及有关内容</w:t>
      </w:r>
    </w:p>
    <w:p w14:paraId="3FF627C1">
      <w:pPr>
        <w:ind w:firstLine="420" w:firstLineChars="200"/>
        <w:jc w:val="left"/>
        <w:rPr>
          <w:rFonts w:hint="eastAsia" w:cs="宋体"/>
          <w:color w:val="auto"/>
          <w:szCs w:val="21"/>
          <w:highlight w:val="none"/>
        </w:rPr>
      </w:pPr>
      <w:r>
        <w:rPr>
          <w:rFonts w:hint="eastAsia" w:cs="宋体"/>
          <w:color w:val="auto"/>
          <w:szCs w:val="21"/>
          <w:highlight w:val="none"/>
        </w:rPr>
        <w:t>22.1</w:t>
      </w:r>
      <w:r>
        <w:rPr>
          <w:rFonts w:hint="eastAsia"/>
          <w:color w:val="auto"/>
          <w:highlight w:val="none"/>
        </w:rPr>
        <w:t>投标人进行电子交易应安装客户端软件—</w:t>
      </w:r>
      <w:r>
        <w:rPr>
          <w:rFonts w:hint="eastAsia"/>
          <w:b/>
          <w:bCs/>
          <w:color w:val="auto"/>
          <w:highlight w:val="none"/>
        </w:rPr>
        <w:t>“政采云电子交易客户端”</w:t>
      </w:r>
      <w:r>
        <w:rPr>
          <w:rFonts w:hint="eastAsia"/>
          <w:color w:val="auto"/>
          <w:highlight w:val="none"/>
        </w:rPr>
        <w:t>，并按照招标文件和电子交易平台的要求编制并加密投标文件。招标人未按规定加密的投标文件，电子交易平台将拒收并提示。</w:t>
      </w:r>
    </w:p>
    <w:p w14:paraId="057E0DCE">
      <w:pPr>
        <w:ind w:firstLine="420" w:firstLineChars="200"/>
        <w:jc w:val="left"/>
        <w:rPr>
          <w:rFonts w:hint="eastAsia" w:cs="宋体"/>
          <w:color w:val="auto"/>
          <w:szCs w:val="21"/>
          <w:highlight w:val="none"/>
        </w:rPr>
      </w:pPr>
      <w:r>
        <w:rPr>
          <w:rFonts w:hint="eastAsia" w:cs="宋体"/>
          <w:color w:val="auto"/>
          <w:szCs w:val="21"/>
          <w:highlight w:val="none"/>
        </w:rPr>
        <w:t>22.2</w:t>
      </w:r>
      <w:r>
        <w:rPr>
          <w:rFonts w:hint="eastAsia"/>
          <w:color w:val="auto"/>
          <w:highlight w:val="none"/>
        </w:rPr>
        <w:t>使用“政采云电子交易客户端”需要提前申领 CA 数字证书</w:t>
      </w:r>
      <w:r>
        <w:rPr>
          <w:rFonts w:hint="eastAsia" w:cs="宋体"/>
          <w:color w:val="auto"/>
          <w:szCs w:val="21"/>
          <w:highlight w:val="none"/>
        </w:rPr>
        <w:t>。</w:t>
      </w:r>
    </w:p>
    <w:p w14:paraId="32EF905B">
      <w:pPr>
        <w:ind w:firstLine="420" w:firstLineChars="200"/>
        <w:jc w:val="left"/>
        <w:rPr>
          <w:rFonts w:hint="eastAsia" w:cs="宋体"/>
          <w:color w:val="auto"/>
          <w:szCs w:val="21"/>
          <w:highlight w:val="none"/>
        </w:rPr>
      </w:pPr>
      <w:r>
        <w:rPr>
          <w:rFonts w:hint="eastAsia" w:cs="宋体"/>
          <w:color w:val="auto"/>
          <w:szCs w:val="21"/>
          <w:highlight w:val="none"/>
        </w:rPr>
        <w:t>22.3</w:t>
      </w:r>
      <w:r>
        <w:rPr>
          <w:rFonts w:hint="eastAsia"/>
          <w:color w:val="auto"/>
          <w:highlight w:val="none"/>
        </w:rPr>
        <w:t>为确保网上操作合法、有效和安全，投标人应当在投标文件提交截止时间前完成在“政府采购云平台”的身份认证，确保在电子交易过程中能够对相关数据电文进行加密和使用电子签名</w:t>
      </w:r>
      <w:r>
        <w:rPr>
          <w:rFonts w:hint="eastAsia" w:cs="宋体"/>
          <w:color w:val="auto"/>
          <w:szCs w:val="21"/>
          <w:highlight w:val="none"/>
        </w:rPr>
        <w:t>。</w:t>
      </w:r>
    </w:p>
    <w:p w14:paraId="20C65F24">
      <w:pPr>
        <w:ind w:firstLine="422" w:firstLineChars="200"/>
        <w:jc w:val="left"/>
        <w:rPr>
          <w:rFonts w:hint="eastAsia" w:cs="宋体"/>
          <w:color w:val="auto"/>
          <w:szCs w:val="21"/>
          <w:highlight w:val="none"/>
        </w:rPr>
      </w:pPr>
      <w:r>
        <w:rPr>
          <w:rFonts w:hint="eastAsia" w:cs="宋体"/>
          <w:b/>
          <w:color w:val="auto"/>
          <w:szCs w:val="21"/>
          <w:highlight w:val="none"/>
        </w:rPr>
        <w:t>23.投标文件截止时间及有关内容</w:t>
      </w:r>
    </w:p>
    <w:p w14:paraId="5B48F9D1">
      <w:pPr>
        <w:ind w:firstLine="420" w:firstLineChars="200"/>
        <w:jc w:val="left"/>
        <w:rPr>
          <w:rFonts w:hint="eastAsia" w:cs="宋体"/>
          <w:color w:val="auto"/>
          <w:szCs w:val="21"/>
          <w:highlight w:val="none"/>
        </w:rPr>
      </w:pPr>
      <w:r>
        <w:rPr>
          <w:rFonts w:hint="eastAsia" w:cs="宋体"/>
          <w:color w:val="auto"/>
          <w:highlight w:val="none"/>
        </w:rPr>
        <w:t>23.1投标文件的递</w:t>
      </w:r>
      <w:r>
        <w:rPr>
          <w:rFonts w:hint="eastAsia" w:ascii="Times New Roman" w:cs="宋体"/>
          <w:color w:val="auto"/>
          <w:highlight w:val="none"/>
        </w:rPr>
        <w:t>交</w:t>
      </w:r>
      <w:r>
        <w:rPr>
          <w:rFonts w:hint="eastAsia"/>
          <w:color w:val="auto"/>
          <w:szCs w:val="21"/>
          <w:highlight w:val="none"/>
        </w:rPr>
        <w:t>/上传</w:t>
      </w:r>
      <w:r>
        <w:rPr>
          <w:rFonts w:hint="eastAsia" w:ascii="Times New Roman" w:cs="宋体"/>
          <w:color w:val="auto"/>
          <w:highlight w:val="none"/>
        </w:rPr>
        <w:t>不得迟于“</w:t>
      </w:r>
      <w:r>
        <w:rPr>
          <w:rFonts w:hint="eastAsia" w:ascii="Times New Roman" w:cs="宋体"/>
          <w:b/>
          <w:bCs/>
          <w:color w:val="auto"/>
          <w:highlight w:val="none"/>
        </w:rPr>
        <w:t>投标人须知前附表</w:t>
      </w:r>
      <w:r>
        <w:rPr>
          <w:rFonts w:hint="eastAsia" w:ascii="Times New Roman" w:cs="宋体"/>
          <w:color w:val="auto"/>
          <w:highlight w:val="none"/>
        </w:rPr>
        <w:t>”规定的提交投标文件截止时间。</w:t>
      </w:r>
      <w:r>
        <w:rPr>
          <w:rFonts w:hint="eastAsia"/>
          <w:b/>
          <w:bCs/>
          <w:color w:val="auto"/>
          <w:szCs w:val="21"/>
          <w:highlight w:val="none"/>
        </w:rPr>
        <w:t>逾期送达/上传的投标文件，采购人不予接收。</w:t>
      </w:r>
    </w:p>
    <w:p w14:paraId="3E3DED87">
      <w:pPr>
        <w:ind w:firstLine="420" w:firstLineChars="200"/>
        <w:rPr>
          <w:rFonts w:hint="eastAsia" w:cs="宋体"/>
          <w:color w:val="auto"/>
          <w:highlight w:val="none"/>
        </w:rPr>
      </w:pPr>
      <w:r>
        <w:rPr>
          <w:rFonts w:hint="eastAsia" w:cs="宋体"/>
          <w:color w:val="auto"/>
          <w:highlight w:val="none"/>
        </w:rPr>
        <w:t>23.2投标人必须在规定时间内将投标文件递交</w:t>
      </w:r>
      <w:r>
        <w:rPr>
          <w:rFonts w:hint="eastAsia"/>
          <w:color w:val="auto"/>
          <w:szCs w:val="21"/>
          <w:highlight w:val="none"/>
        </w:rPr>
        <w:t>/上传</w:t>
      </w:r>
      <w:r>
        <w:rPr>
          <w:rFonts w:hint="eastAsia" w:cs="宋体"/>
          <w:color w:val="auto"/>
          <w:highlight w:val="none"/>
        </w:rPr>
        <w:t>到“</w:t>
      </w:r>
      <w:r>
        <w:rPr>
          <w:rFonts w:hint="eastAsia" w:cs="宋体"/>
          <w:b/>
          <w:bCs/>
          <w:color w:val="auto"/>
          <w:highlight w:val="none"/>
        </w:rPr>
        <w:t>投标人须知前附表</w:t>
      </w:r>
      <w:r>
        <w:rPr>
          <w:rFonts w:hint="eastAsia" w:cs="宋体"/>
          <w:color w:val="auto"/>
          <w:highlight w:val="none"/>
        </w:rPr>
        <w:t>”规定的地点。</w:t>
      </w:r>
    </w:p>
    <w:p w14:paraId="349FD426">
      <w:pPr>
        <w:ind w:firstLine="420" w:firstLineChars="200"/>
        <w:rPr>
          <w:rFonts w:hint="eastAsia" w:cs="宋体"/>
          <w:color w:val="auto"/>
          <w:highlight w:val="none"/>
        </w:rPr>
      </w:pPr>
      <w:r>
        <w:rPr>
          <w:rFonts w:hint="eastAsia" w:cs="宋体"/>
          <w:color w:val="auto"/>
          <w:highlight w:val="none"/>
        </w:rPr>
        <w:t>23.3除“</w:t>
      </w:r>
      <w:r>
        <w:rPr>
          <w:rFonts w:hint="eastAsia" w:cs="宋体"/>
          <w:b/>
          <w:color w:val="auto"/>
          <w:highlight w:val="none"/>
        </w:rPr>
        <w:t>投标人须知前附表</w:t>
      </w:r>
      <w:r>
        <w:rPr>
          <w:rFonts w:hint="eastAsia" w:cs="宋体"/>
          <w:color w:val="auto"/>
          <w:highlight w:val="none"/>
        </w:rPr>
        <w:t>”另有规定外，投标人所递交的投标文件不予退还。</w:t>
      </w:r>
    </w:p>
    <w:p w14:paraId="09085DE6">
      <w:pPr>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3.4</w:t>
      </w:r>
      <w:r>
        <w:rPr>
          <w:rFonts w:hint="eastAsia"/>
          <w:color w:val="auto"/>
          <w:szCs w:val="21"/>
          <w:highlight w:val="none"/>
        </w:rPr>
        <w:t>在投标截止时间前，投标人可以撤回在网上已递交的投标文件，修改后重新上传，无须书面形式通知采购人。</w:t>
      </w:r>
    </w:p>
    <w:p w14:paraId="4F281D30">
      <w:pPr>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3.5</w:t>
      </w:r>
      <w:r>
        <w:rPr>
          <w:rFonts w:hint="eastAsia"/>
          <w:color w:val="auto"/>
          <w:szCs w:val="21"/>
          <w:highlight w:val="none"/>
        </w:rPr>
        <w:t>修改的投标文件应按照本章第</w:t>
      </w:r>
      <w:r>
        <w:rPr>
          <w:color w:val="auto"/>
          <w:szCs w:val="21"/>
          <w:highlight w:val="none"/>
        </w:rPr>
        <w:t>20</w:t>
      </w:r>
      <w:r>
        <w:rPr>
          <w:rFonts w:hint="eastAsia"/>
          <w:color w:val="auto"/>
          <w:szCs w:val="21"/>
          <w:highlight w:val="none"/>
        </w:rPr>
        <w:t>款、第</w:t>
      </w:r>
      <w:r>
        <w:rPr>
          <w:color w:val="auto"/>
          <w:szCs w:val="21"/>
          <w:highlight w:val="none"/>
        </w:rPr>
        <w:t>22</w:t>
      </w:r>
      <w:r>
        <w:rPr>
          <w:rFonts w:hint="eastAsia"/>
          <w:color w:val="auto"/>
          <w:szCs w:val="21"/>
          <w:highlight w:val="none"/>
        </w:rPr>
        <w:t>款的要求进行重新编制、加密和递交。</w:t>
      </w:r>
    </w:p>
    <w:p w14:paraId="4D9586BA">
      <w:pPr>
        <w:ind w:firstLine="420" w:firstLineChars="200"/>
        <w:jc w:val="left"/>
        <w:rPr>
          <w:rFonts w:hint="eastAsia" w:cs="宋体"/>
          <w:color w:val="auto"/>
          <w:szCs w:val="21"/>
          <w:highlight w:val="none"/>
        </w:rPr>
      </w:pPr>
      <w:r>
        <w:rPr>
          <w:rFonts w:hint="eastAsia" w:ascii="宋体" w:hAnsi="宋体" w:eastAsia="宋体" w:cs="Times New Roman"/>
          <w:color w:val="auto"/>
          <w:szCs w:val="21"/>
          <w:highlight w:val="none"/>
        </w:rPr>
        <w:t>23.6在投标截止时间后递交</w:t>
      </w:r>
      <w:r>
        <w:rPr>
          <w:rFonts w:hint="eastAsia" w:ascii="Times New Roman"/>
          <w:color w:val="auto"/>
          <w:szCs w:val="21"/>
          <w:highlight w:val="none"/>
        </w:rPr>
        <w:t>的投标文件不予撤回。</w:t>
      </w:r>
    </w:p>
    <w:p w14:paraId="13D01C80">
      <w:pPr>
        <w:pStyle w:val="4"/>
        <w:bidi w:val="0"/>
        <w:rPr>
          <w:rFonts w:hint="eastAsia" w:ascii="宋体" w:hAnsi="宋体" w:eastAsia="宋体" w:cs="Times New Roman"/>
        </w:rPr>
      </w:pPr>
      <w:bookmarkStart w:id="94" w:name="_Toc23198"/>
      <w:bookmarkStart w:id="95" w:name="_Toc27640"/>
      <w:bookmarkStart w:id="96" w:name="_Toc28435"/>
      <w:r>
        <w:rPr>
          <w:rFonts w:hint="eastAsia" w:ascii="宋体" w:hAnsi="宋体" w:eastAsia="宋体" w:cs="Times New Roman"/>
        </w:rPr>
        <w:t>五、开标与评标</w:t>
      </w:r>
      <w:bookmarkEnd w:id="93"/>
      <w:bookmarkEnd w:id="94"/>
      <w:bookmarkEnd w:id="95"/>
      <w:bookmarkEnd w:id="96"/>
    </w:p>
    <w:p w14:paraId="4FE84A02">
      <w:pPr>
        <w:ind w:firstLine="422" w:firstLineChars="200"/>
        <w:jc w:val="left"/>
        <w:rPr>
          <w:rFonts w:hint="eastAsia" w:cs="宋体"/>
          <w:b/>
          <w:color w:val="auto"/>
          <w:szCs w:val="21"/>
          <w:highlight w:val="none"/>
        </w:rPr>
      </w:pPr>
      <w:r>
        <w:rPr>
          <w:rFonts w:hint="eastAsia" w:cs="宋体"/>
          <w:b/>
          <w:color w:val="auto"/>
          <w:szCs w:val="21"/>
          <w:highlight w:val="none"/>
        </w:rPr>
        <w:t>24.开标</w:t>
      </w:r>
    </w:p>
    <w:p w14:paraId="7F5D625D">
      <w:pPr>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4</w:t>
      </w:r>
      <w:r>
        <w:rPr>
          <w:rFonts w:hint="eastAsia"/>
          <w:color w:val="auto"/>
          <w:szCs w:val="21"/>
          <w:highlight w:val="none"/>
        </w:rPr>
        <w:t>.1采购代理机构将在“</w:t>
      </w:r>
      <w:r>
        <w:rPr>
          <w:rFonts w:hint="eastAsia"/>
          <w:b/>
          <w:bCs/>
          <w:color w:val="auto"/>
          <w:szCs w:val="21"/>
          <w:highlight w:val="none"/>
        </w:rPr>
        <w:t>投标人须知前附表</w:t>
      </w:r>
      <w:r>
        <w:rPr>
          <w:rFonts w:hint="eastAsia"/>
          <w:color w:val="auto"/>
          <w:szCs w:val="21"/>
          <w:highlight w:val="none"/>
        </w:rPr>
        <w:t>”规定的时间和地点进行开标，请各投标人代表准时参加线上开标会。</w:t>
      </w:r>
    </w:p>
    <w:p w14:paraId="7D81B136">
      <w:pPr>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4</w:t>
      </w:r>
      <w:r>
        <w:rPr>
          <w:rFonts w:hint="eastAsia"/>
          <w:color w:val="auto"/>
          <w:szCs w:val="21"/>
          <w:highlight w:val="none"/>
        </w:rPr>
        <w:t>.2投标截止后投标人不足3家的，不得开标。</w:t>
      </w:r>
    </w:p>
    <w:p w14:paraId="41D2F4B3">
      <w:pPr>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4</w:t>
      </w:r>
      <w:r>
        <w:rPr>
          <w:rFonts w:hint="eastAsia"/>
          <w:color w:val="auto"/>
          <w:szCs w:val="21"/>
          <w:highlight w:val="none"/>
        </w:rPr>
        <w:t>.</w:t>
      </w:r>
      <w:r>
        <w:rPr>
          <w:color w:val="auto"/>
          <w:szCs w:val="21"/>
          <w:highlight w:val="none"/>
        </w:rPr>
        <w:t>3</w:t>
      </w:r>
      <w:r>
        <w:rPr>
          <w:rFonts w:hint="eastAsia"/>
          <w:color w:val="auto"/>
          <w:szCs w:val="21"/>
          <w:highlight w:val="none"/>
        </w:rPr>
        <w:t>开标会：开标会由采购代理机构主持，具体流程如下：</w:t>
      </w:r>
    </w:p>
    <w:p w14:paraId="31E0E805">
      <w:pPr>
        <w:ind w:firstLine="420" w:firstLineChars="200"/>
        <w:rPr>
          <w:rFonts w:hint="eastAsia"/>
          <w:color w:val="auto"/>
          <w:szCs w:val="21"/>
          <w:highlight w:val="none"/>
        </w:rPr>
      </w:pPr>
      <w:r>
        <w:rPr>
          <w:rFonts w:hint="eastAsia"/>
          <w:color w:val="auto"/>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color w:val="auto"/>
          <w:szCs w:val="21"/>
          <w:highlight w:val="none"/>
          <w:lang w:val="en-US" w:eastAsia="zh-CN"/>
        </w:rPr>
        <w:t>30</w:t>
      </w:r>
      <w:r>
        <w:rPr>
          <w:rFonts w:hint="eastAsia"/>
          <w:color w:val="auto"/>
          <w:szCs w:val="21"/>
          <w:highlight w:val="none"/>
        </w:rPr>
        <w:t xml:space="preserve"> 分钟内完成对电子投标文件在线解密。</w:t>
      </w:r>
    </w:p>
    <w:p w14:paraId="0B6E9513">
      <w:pPr>
        <w:ind w:firstLine="420" w:firstLineChars="200"/>
        <w:rPr>
          <w:rFonts w:hint="eastAsia"/>
          <w:color w:val="auto"/>
          <w:szCs w:val="21"/>
          <w:highlight w:val="none"/>
        </w:rPr>
      </w:pPr>
      <w:r>
        <w:rPr>
          <w:rFonts w:hint="eastAsia"/>
          <w:color w:val="auto"/>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74BB2CF8">
      <w:pPr>
        <w:ind w:firstLine="420" w:firstLineChars="200"/>
        <w:rPr>
          <w:rFonts w:hint="eastAsia"/>
          <w:color w:val="auto"/>
          <w:szCs w:val="21"/>
          <w:highlight w:val="none"/>
        </w:rPr>
      </w:pPr>
      <w:r>
        <w:rPr>
          <w:rFonts w:hint="eastAsia"/>
          <w:color w:val="auto"/>
          <w:szCs w:val="21"/>
          <w:highlight w:val="none"/>
        </w:rPr>
        <w:t xml:space="preserve">（解密异常情况处理：详见本章 </w:t>
      </w:r>
      <w:r>
        <w:rPr>
          <w:color w:val="auto"/>
          <w:szCs w:val="21"/>
          <w:highlight w:val="none"/>
        </w:rPr>
        <w:t>27.2</w:t>
      </w:r>
      <w:r>
        <w:rPr>
          <w:rFonts w:hint="eastAsia"/>
          <w:color w:val="auto"/>
          <w:szCs w:val="21"/>
          <w:highlight w:val="none"/>
        </w:rPr>
        <w:t>电子交易活动的中止）如投标人成功解密投标文件，但未在“政采云”电子开标大厅参加开标的，视同认可开标过程和结果，由此产生的后果由投标人自行负责。</w:t>
      </w:r>
    </w:p>
    <w:p w14:paraId="4CA8301B">
      <w:pPr>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4</w:t>
      </w:r>
      <w:r>
        <w:rPr>
          <w:rFonts w:hint="eastAsia"/>
          <w:color w:val="auto"/>
          <w:szCs w:val="21"/>
          <w:highlight w:val="none"/>
        </w:rPr>
        <w:t>.</w:t>
      </w:r>
      <w:r>
        <w:rPr>
          <w:color w:val="auto"/>
          <w:szCs w:val="21"/>
          <w:highlight w:val="none"/>
        </w:rPr>
        <w:t>4</w:t>
      </w:r>
      <w:r>
        <w:rPr>
          <w:rFonts w:hint="eastAsia"/>
          <w:color w:val="auto"/>
          <w:szCs w:val="21"/>
          <w:highlight w:val="none"/>
        </w:rPr>
        <w:t>开标工作人员将做开标记录。</w:t>
      </w:r>
    </w:p>
    <w:p w14:paraId="2806A89C">
      <w:pPr>
        <w:pStyle w:val="23"/>
        <w:ind w:firstLine="420" w:firstLineChars="200"/>
        <w:rPr>
          <w:rFonts w:hint="eastAsia" w:cs="宋体"/>
          <w:color w:val="auto"/>
          <w:szCs w:val="21"/>
          <w:highlight w:val="none"/>
        </w:rPr>
      </w:pPr>
      <w:r>
        <w:rPr>
          <w:rFonts w:hint="eastAsia"/>
          <w:color w:val="auto"/>
          <w:szCs w:val="21"/>
          <w:highlight w:val="none"/>
        </w:rPr>
        <w:t>2</w:t>
      </w:r>
      <w:r>
        <w:rPr>
          <w:color w:val="auto"/>
          <w:szCs w:val="21"/>
          <w:highlight w:val="none"/>
        </w:rPr>
        <w:t>4</w:t>
      </w:r>
      <w:r>
        <w:rPr>
          <w:rFonts w:hint="eastAsia"/>
          <w:color w:val="auto"/>
          <w:szCs w:val="21"/>
          <w:highlight w:val="none"/>
        </w:rPr>
        <w:t>.5</w:t>
      </w:r>
      <w:r>
        <w:rPr>
          <w:rFonts w:hint="eastAsia" w:ascii="Times New Roman"/>
          <w:color w:val="auto"/>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FE62AA5">
      <w:pPr>
        <w:pStyle w:val="23"/>
        <w:ind w:left="2" w:firstLine="422" w:firstLineChars="200"/>
        <w:jc w:val="left"/>
        <w:rPr>
          <w:rFonts w:hint="eastAsia" w:cs="宋体"/>
          <w:b/>
          <w:color w:val="auto"/>
          <w:szCs w:val="21"/>
          <w:highlight w:val="none"/>
        </w:rPr>
      </w:pPr>
      <w:r>
        <w:rPr>
          <w:rFonts w:hint="eastAsia" w:cs="宋体"/>
          <w:b/>
          <w:color w:val="auto"/>
          <w:szCs w:val="21"/>
          <w:highlight w:val="none"/>
        </w:rPr>
        <w:t>25.资格审查</w:t>
      </w:r>
    </w:p>
    <w:p w14:paraId="1C4FA1DB">
      <w:pPr>
        <w:pStyle w:val="23"/>
        <w:ind w:left="2" w:firstLine="420" w:firstLineChars="200"/>
        <w:jc w:val="left"/>
        <w:rPr>
          <w:rFonts w:hint="eastAsia" w:cs="宋体"/>
          <w:color w:val="auto"/>
          <w:szCs w:val="21"/>
          <w:highlight w:val="none"/>
        </w:rPr>
      </w:pPr>
      <w:r>
        <w:rPr>
          <w:rFonts w:hint="eastAsia" w:cs="宋体"/>
          <w:color w:val="auto"/>
          <w:szCs w:val="21"/>
          <w:highlight w:val="none"/>
        </w:rPr>
        <w:t>25.1开标结束后，采购人或者采购代理机构应当依法对投标人的资格进行审查。合格投标人不足3家的，不得评标。</w:t>
      </w:r>
    </w:p>
    <w:p w14:paraId="443E2B8E">
      <w:pPr>
        <w:ind w:firstLine="422" w:firstLineChars="200"/>
        <w:jc w:val="left"/>
        <w:rPr>
          <w:rFonts w:hint="eastAsia" w:cs="宋体"/>
          <w:b/>
          <w:color w:val="auto"/>
          <w:szCs w:val="21"/>
          <w:highlight w:val="none"/>
        </w:rPr>
      </w:pPr>
      <w:r>
        <w:rPr>
          <w:rFonts w:hint="eastAsia" w:cs="宋体"/>
          <w:b/>
          <w:color w:val="auto"/>
          <w:szCs w:val="21"/>
          <w:highlight w:val="none"/>
        </w:rPr>
        <w:t>26.评标</w:t>
      </w:r>
    </w:p>
    <w:p w14:paraId="418DAD37">
      <w:pPr>
        <w:ind w:firstLine="420" w:firstLineChars="200"/>
        <w:jc w:val="left"/>
        <w:rPr>
          <w:rFonts w:hint="eastAsia" w:cs="宋体"/>
          <w:color w:val="auto"/>
          <w:szCs w:val="21"/>
          <w:highlight w:val="none"/>
        </w:rPr>
      </w:pPr>
      <w:r>
        <w:rPr>
          <w:rFonts w:hint="eastAsia" w:cs="宋体"/>
          <w:color w:val="auto"/>
          <w:szCs w:val="21"/>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388194EE">
      <w:pPr>
        <w:ind w:firstLine="420" w:firstLineChars="200"/>
        <w:jc w:val="left"/>
        <w:rPr>
          <w:rFonts w:hint="eastAsia" w:cs="宋体"/>
          <w:color w:val="auto"/>
          <w:szCs w:val="21"/>
          <w:highlight w:val="none"/>
        </w:rPr>
      </w:pPr>
      <w:r>
        <w:rPr>
          <w:rFonts w:hint="eastAsia" w:cs="宋体"/>
          <w:color w:val="auto"/>
          <w:szCs w:val="21"/>
          <w:highlight w:val="none"/>
        </w:rPr>
        <w:t>采购人委派代表参加评标委员会的，要向采购代理机构出具授权函。</w:t>
      </w:r>
    </w:p>
    <w:p w14:paraId="344562A7">
      <w:pPr>
        <w:pStyle w:val="23"/>
        <w:ind w:firstLine="420" w:firstLineChars="200"/>
        <w:rPr>
          <w:rFonts w:hint="eastAsia" w:cs="宋体"/>
          <w:bCs/>
          <w:color w:val="auto"/>
          <w:szCs w:val="21"/>
          <w:highlight w:val="none"/>
        </w:rPr>
      </w:pPr>
      <w:bookmarkStart w:id="97" w:name="_Toc191374422"/>
      <w:r>
        <w:rPr>
          <w:rFonts w:hint="eastAsia" w:cs="宋体"/>
          <w:bCs/>
          <w:color w:val="auto"/>
          <w:szCs w:val="21"/>
          <w:highlight w:val="none"/>
        </w:rPr>
        <w:t>26.2评标原则</w:t>
      </w:r>
      <w:bookmarkEnd w:id="97"/>
      <w:r>
        <w:rPr>
          <w:rFonts w:hint="eastAsia" w:cs="宋体"/>
          <w:bCs/>
          <w:color w:val="auto"/>
          <w:szCs w:val="21"/>
          <w:highlight w:val="none"/>
        </w:rPr>
        <w:t>及方法</w:t>
      </w:r>
    </w:p>
    <w:p w14:paraId="17AED309">
      <w:pPr>
        <w:ind w:firstLine="420" w:firstLineChars="200"/>
        <w:jc w:val="left"/>
        <w:rPr>
          <w:rFonts w:hint="eastAsia" w:cs="宋体"/>
          <w:color w:val="auto"/>
          <w:szCs w:val="21"/>
          <w:highlight w:val="none"/>
        </w:rPr>
      </w:pPr>
      <w:r>
        <w:rPr>
          <w:rFonts w:hint="eastAsia" w:cs="宋体"/>
          <w:color w:val="auto"/>
          <w:szCs w:val="21"/>
          <w:highlight w:val="none"/>
        </w:rPr>
        <w:t>评标活动遵循公平、公正、科学和择优的原则。</w:t>
      </w:r>
    </w:p>
    <w:p w14:paraId="5885DC32">
      <w:pPr>
        <w:pStyle w:val="23"/>
        <w:ind w:firstLine="420" w:firstLineChars="200"/>
        <w:rPr>
          <w:rFonts w:hint="eastAsia" w:cs="宋体"/>
          <w:bCs/>
          <w:color w:val="auto"/>
          <w:szCs w:val="21"/>
          <w:highlight w:val="none"/>
        </w:rPr>
      </w:pPr>
      <w:r>
        <w:rPr>
          <w:rFonts w:hint="eastAsia" w:cs="宋体"/>
          <w:color w:val="auto"/>
          <w:szCs w:val="21"/>
          <w:highlight w:val="none"/>
        </w:rPr>
        <w:t>26.3</w:t>
      </w:r>
      <w:r>
        <w:rPr>
          <w:rFonts w:hint="eastAsia" w:cs="宋体"/>
          <w:bCs/>
          <w:color w:val="auto"/>
          <w:szCs w:val="21"/>
          <w:highlight w:val="none"/>
        </w:rPr>
        <w:t>评标方法</w:t>
      </w:r>
    </w:p>
    <w:p w14:paraId="48ABF20D">
      <w:pPr>
        <w:ind w:firstLine="420" w:firstLineChars="200"/>
        <w:jc w:val="left"/>
        <w:rPr>
          <w:rFonts w:hint="eastAsia" w:cs="宋体"/>
          <w:color w:val="auto"/>
          <w:szCs w:val="21"/>
          <w:highlight w:val="none"/>
        </w:rPr>
      </w:pPr>
      <w:r>
        <w:rPr>
          <w:rFonts w:hint="eastAsia" w:cs="宋体"/>
          <w:color w:val="auto"/>
          <w:szCs w:val="21"/>
          <w:highlight w:val="none"/>
        </w:rPr>
        <w:t>本项目按</w:t>
      </w:r>
      <w:r>
        <w:rPr>
          <w:rFonts w:hint="eastAsia" w:cs="宋体"/>
          <w:b/>
          <w:bCs/>
          <w:color w:val="auto"/>
          <w:szCs w:val="21"/>
          <w:highlight w:val="none"/>
        </w:rPr>
        <w:t>“投标人须知前附表”</w:t>
      </w:r>
      <w:r>
        <w:rPr>
          <w:rFonts w:hint="eastAsia" w:cs="宋体"/>
          <w:color w:val="auto"/>
          <w:szCs w:val="21"/>
          <w:highlight w:val="none"/>
        </w:rPr>
        <w:t>规定的评标方法评标。在评标中，不得改变招标文件中规定的评标标准、方法和中标条件。第七章</w:t>
      </w:r>
      <w:r>
        <w:rPr>
          <w:rFonts w:hint="eastAsia" w:cs="宋体"/>
          <w:b/>
          <w:bCs/>
          <w:color w:val="auto"/>
          <w:szCs w:val="21"/>
          <w:highlight w:val="none"/>
        </w:rPr>
        <w:t>“评标方法”</w:t>
      </w:r>
      <w:r>
        <w:rPr>
          <w:rFonts w:hint="eastAsia" w:cs="宋体"/>
          <w:color w:val="auto"/>
          <w:szCs w:val="21"/>
          <w:highlight w:val="none"/>
        </w:rPr>
        <w:t>没有规定的评审因素和标准，不作为评标依据。</w:t>
      </w:r>
    </w:p>
    <w:p w14:paraId="4D7B4C60">
      <w:pPr>
        <w:ind w:firstLine="420" w:firstLineChars="200"/>
        <w:rPr>
          <w:rFonts w:hint="eastAsia" w:cs="宋体"/>
          <w:color w:val="auto"/>
          <w:szCs w:val="21"/>
          <w:highlight w:val="none"/>
        </w:rPr>
      </w:pPr>
      <w:r>
        <w:rPr>
          <w:rFonts w:hint="eastAsia" w:cs="宋体"/>
          <w:color w:val="auto"/>
          <w:szCs w:val="21"/>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BF0B8F3">
      <w:pPr>
        <w:ind w:firstLine="420" w:firstLineChars="200"/>
        <w:rPr>
          <w:rFonts w:hint="eastAsia" w:cs="宋体"/>
          <w:color w:val="auto"/>
          <w:kern w:val="0"/>
          <w:szCs w:val="21"/>
          <w:highlight w:val="none"/>
        </w:rPr>
      </w:pPr>
      <w:r>
        <w:rPr>
          <w:rFonts w:hint="eastAsia" w:cs="宋体"/>
          <w:color w:val="auto"/>
          <w:szCs w:val="21"/>
          <w:highlight w:val="none"/>
        </w:rPr>
        <w:t>★26.5</w:t>
      </w:r>
      <w:r>
        <w:rPr>
          <w:rFonts w:hint="eastAsia" w:cs="宋体"/>
          <w:color w:val="auto"/>
          <w:kern w:val="0"/>
          <w:szCs w:val="21"/>
          <w:highlight w:val="none"/>
        </w:rPr>
        <w:t>在评标过程中，评标委员会发现投标人有本须知19条款规定的情形，应当认定其投标无效，并书面报告本级财政部门。</w:t>
      </w:r>
    </w:p>
    <w:p w14:paraId="0B023E14">
      <w:pPr>
        <w:ind w:firstLine="422" w:firstLineChars="200"/>
        <w:rPr>
          <w:rFonts w:hint="eastAsia" w:cs="宋体"/>
          <w:b/>
          <w:bCs/>
          <w:color w:val="auto"/>
          <w:kern w:val="0"/>
          <w:szCs w:val="21"/>
          <w:highlight w:val="none"/>
        </w:rPr>
      </w:pPr>
      <w:r>
        <w:rPr>
          <w:rFonts w:hint="eastAsia" w:cs="宋体"/>
          <w:b/>
          <w:bCs/>
          <w:color w:val="auto"/>
          <w:szCs w:val="21"/>
          <w:highlight w:val="none"/>
        </w:rPr>
        <w:t>★26.6有</w:t>
      </w:r>
      <w:r>
        <w:rPr>
          <w:rFonts w:hint="eastAsia" w:cs="宋体"/>
          <w:b/>
          <w:bCs/>
          <w:color w:val="auto"/>
          <w:kern w:val="0"/>
          <w:szCs w:val="21"/>
          <w:highlight w:val="none"/>
        </w:rPr>
        <w:t>下列情形之一的，视为投标人串通投标，其投标无效：</w:t>
      </w:r>
    </w:p>
    <w:p w14:paraId="32D8C5A9">
      <w:pPr>
        <w:pStyle w:val="23"/>
        <w:ind w:firstLine="630" w:firstLineChars="300"/>
        <w:rPr>
          <w:rFonts w:hint="eastAsia" w:cs="宋体"/>
          <w:color w:val="auto"/>
          <w:szCs w:val="21"/>
          <w:highlight w:val="none"/>
        </w:rPr>
      </w:pPr>
      <w:r>
        <w:rPr>
          <w:rFonts w:hint="eastAsia" w:cs="宋体"/>
          <w:color w:val="auto"/>
          <w:szCs w:val="21"/>
          <w:highlight w:val="none"/>
        </w:rPr>
        <w:t>（一）不同投标人的投标文件由同一单位或者个人编制；</w:t>
      </w:r>
    </w:p>
    <w:p w14:paraId="560C7BCD">
      <w:pPr>
        <w:pStyle w:val="23"/>
        <w:ind w:firstLine="630" w:firstLineChars="300"/>
        <w:rPr>
          <w:rFonts w:hint="eastAsia" w:cs="宋体"/>
          <w:color w:val="auto"/>
          <w:szCs w:val="21"/>
          <w:highlight w:val="none"/>
        </w:rPr>
      </w:pPr>
      <w:r>
        <w:rPr>
          <w:rFonts w:hint="eastAsia" w:cs="宋体"/>
          <w:color w:val="auto"/>
          <w:szCs w:val="21"/>
          <w:highlight w:val="none"/>
        </w:rPr>
        <w:t>（二）不同投标人委托同一单位或者个人办理投标事宜；</w:t>
      </w:r>
    </w:p>
    <w:p w14:paraId="0A480B20">
      <w:pPr>
        <w:pStyle w:val="23"/>
        <w:ind w:firstLine="630" w:firstLineChars="300"/>
        <w:rPr>
          <w:rFonts w:hint="eastAsia" w:cs="宋体"/>
          <w:color w:val="auto"/>
          <w:szCs w:val="21"/>
          <w:highlight w:val="none"/>
        </w:rPr>
      </w:pPr>
      <w:r>
        <w:rPr>
          <w:rFonts w:hint="eastAsia" w:cs="宋体"/>
          <w:color w:val="auto"/>
          <w:szCs w:val="21"/>
          <w:highlight w:val="none"/>
        </w:rPr>
        <w:t>（三）不同投标人的投标文件载明的项目管理成员或者联系人员为同一人；</w:t>
      </w:r>
    </w:p>
    <w:p w14:paraId="0BBCFF99">
      <w:pPr>
        <w:pStyle w:val="23"/>
        <w:ind w:firstLine="630" w:firstLineChars="300"/>
        <w:rPr>
          <w:rFonts w:hint="eastAsia" w:cs="宋体"/>
          <w:color w:val="auto"/>
          <w:szCs w:val="21"/>
          <w:highlight w:val="none"/>
        </w:rPr>
      </w:pPr>
      <w:r>
        <w:rPr>
          <w:rFonts w:hint="eastAsia" w:cs="宋体"/>
          <w:color w:val="auto"/>
          <w:szCs w:val="21"/>
          <w:highlight w:val="none"/>
        </w:rPr>
        <w:t>（四）不同投标人的投标文件异常一致或者投标报价呈规律性差异；</w:t>
      </w:r>
    </w:p>
    <w:p w14:paraId="496789CE">
      <w:pPr>
        <w:pStyle w:val="23"/>
        <w:ind w:firstLine="630" w:firstLineChars="300"/>
        <w:rPr>
          <w:rFonts w:hint="eastAsia" w:cs="宋体"/>
          <w:color w:val="auto"/>
          <w:szCs w:val="21"/>
          <w:highlight w:val="none"/>
        </w:rPr>
      </w:pPr>
      <w:r>
        <w:rPr>
          <w:rFonts w:hint="eastAsia" w:cs="宋体"/>
          <w:color w:val="auto"/>
          <w:szCs w:val="21"/>
          <w:highlight w:val="none"/>
        </w:rPr>
        <w:t>（五）不同投标人的投标文件相互混装；</w:t>
      </w:r>
    </w:p>
    <w:p w14:paraId="7F2DAEF7">
      <w:pPr>
        <w:pStyle w:val="23"/>
        <w:ind w:firstLine="630" w:firstLineChars="300"/>
        <w:rPr>
          <w:rFonts w:hint="eastAsia" w:cs="宋体"/>
          <w:color w:val="auto"/>
          <w:szCs w:val="21"/>
          <w:highlight w:val="none"/>
        </w:rPr>
      </w:pPr>
      <w:r>
        <w:rPr>
          <w:rFonts w:hint="eastAsia" w:cs="宋体"/>
          <w:color w:val="auto"/>
          <w:szCs w:val="21"/>
          <w:highlight w:val="none"/>
        </w:rPr>
        <w:t>（六）不同投标人的投标保证金从同一单位或者个人的账户转出。</w:t>
      </w:r>
    </w:p>
    <w:p w14:paraId="31F8262A">
      <w:pPr>
        <w:pStyle w:val="23"/>
        <w:ind w:firstLine="422" w:firstLineChars="200"/>
        <w:rPr>
          <w:rFonts w:hint="eastAsia" w:cs="宋体"/>
          <w:b/>
          <w:bCs/>
          <w:color w:val="auto"/>
          <w:szCs w:val="21"/>
          <w:highlight w:val="none"/>
        </w:rPr>
      </w:pPr>
      <w:r>
        <w:rPr>
          <w:b/>
          <w:bCs/>
          <w:color w:val="auto"/>
          <w:szCs w:val="21"/>
          <w:highlight w:val="none"/>
        </w:rPr>
        <w:t>27.</w:t>
      </w:r>
      <w:r>
        <w:rPr>
          <w:rFonts w:hint="eastAsia"/>
          <w:b/>
          <w:bCs/>
          <w:color w:val="auto"/>
          <w:szCs w:val="21"/>
          <w:highlight w:val="none"/>
        </w:rPr>
        <w:t>采购活动的终止</w:t>
      </w:r>
    </w:p>
    <w:p w14:paraId="05881636">
      <w:pPr>
        <w:pStyle w:val="23"/>
        <w:ind w:firstLine="422" w:firstLineChars="200"/>
        <w:rPr>
          <w:rFonts w:hint="eastAsia" w:cs="宋体"/>
          <w:b/>
          <w:bCs/>
          <w:color w:val="auto"/>
          <w:szCs w:val="21"/>
          <w:highlight w:val="none"/>
        </w:rPr>
      </w:pPr>
      <w:r>
        <w:rPr>
          <w:rFonts w:hint="eastAsia" w:cs="宋体"/>
          <w:b/>
          <w:bCs/>
          <w:color w:val="auto"/>
          <w:szCs w:val="21"/>
          <w:highlight w:val="none"/>
        </w:rPr>
        <w:t>27.1在招标采购中，出现下列情形之一的，应予废标：</w:t>
      </w:r>
    </w:p>
    <w:p w14:paraId="7435C8F2">
      <w:pPr>
        <w:pStyle w:val="23"/>
        <w:ind w:firstLine="630" w:firstLineChars="300"/>
        <w:rPr>
          <w:rFonts w:hint="eastAsia" w:cs="宋体"/>
          <w:color w:val="auto"/>
          <w:szCs w:val="21"/>
          <w:highlight w:val="none"/>
        </w:rPr>
      </w:pPr>
      <w:r>
        <w:rPr>
          <w:rFonts w:hint="eastAsia" w:cs="宋体"/>
          <w:color w:val="auto"/>
          <w:szCs w:val="21"/>
          <w:highlight w:val="none"/>
        </w:rPr>
        <w:t>（1）符合专业条件的投标人或者对招标文件作实质响应的投标人不足3家的；</w:t>
      </w:r>
    </w:p>
    <w:p w14:paraId="0C96843E">
      <w:pPr>
        <w:pStyle w:val="23"/>
        <w:ind w:firstLine="630" w:firstLineChars="300"/>
        <w:rPr>
          <w:rFonts w:hint="eastAsia" w:cs="宋体"/>
          <w:color w:val="auto"/>
          <w:szCs w:val="21"/>
          <w:highlight w:val="none"/>
        </w:rPr>
      </w:pPr>
      <w:r>
        <w:rPr>
          <w:rFonts w:hint="eastAsia" w:cs="宋体"/>
          <w:color w:val="auto"/>
          <w:szCs w:val="21"/>
          <w:highlight w:val="none"/>
        </w:rPr>
        <w:t>（2）出现影响采购公正的违法、违规行为的；</w:t>
      </w:r>
    </w:p>
    <w:p w14:paraId="7AF1ADF0">
      <w:pPr>
        <w:pStyle w:val="23"/>
        <w:ind w:firstLine="630" w:firstLineChars="300"/>
        <w:rPr>
          <w:rFonts w:hint="eastAsia" w:cs="宋体"/>
          <w:color w:val="auto"/>
          <w:szCs w:val="21"/>
          <w:highlight w:val="none"/>
        </w:rPr>
      </w:pPr>
      <w:r>
        <w:rPr>
          <w:rFonts w:hint="eastAsia" w:cs="宋体"/>
          <w:color w:val="auto"/>
          <w:szCs w:val="21"/>
          <w:highlight w:val="none"/>
        </w:rPr>
        <w:t>（3）投标人的报价均超过了采购预算，采购人不能支付的；</w:t>
      </w:r>
    </w:p>
    <w:p w14:paraId="0BEB136C">
      <w:pPr>
        <w:pStyle w:val="23"/>
        <w:ind w:firstLine="630" w:firstLineChars="300"/>
        <w:rPr>
          <w:rFonts w:hint="eastAsia" w:cs="宋体"/>
          <w:color w:val="auto"/>
          <w:szCs w:val="21"/>
          <w:highlight w:val="none"/>
        </w:rPr>
      </w:pPr>
      <w:r>
        <w:rPr>
          <w:rFonts w:hint="eastAsia" w:cs="宋体"/>
          <w:color w:val="auto"/>
          <w:szCs w:val="21"/>
          <w:highlight w:val="none"/>
        </w:rPr>
        <w:t>（4）因重大变故，采购任务取消的。</w:t>
      </w:r>
    </w:p>
    <w:p w14:paraId="3F80D019">
      <w:pPr>
        <w:pStyle w:val="23"/>
        <w:ind w:firstLine="632" w:firstLineChars="300"/>
        <w:rPr>
          <w:rFonts w:hint="eastAsia" w:cs="宋体"/>
          <w:b/>
          <w:bCs/>
          <w:color w:val="auto"/>
          <w:szCs w:val="21"/>
          <w:highlight w:val="none"/>
        </w:rPr>
      </w:pPr>
      <w:r>
        <w:rPr>
          <w:rFonts w:hint="eastAsia" w:cs="宋体"/>
          <w:b/>
          <w:bCs/>
          <w:color w:val="auto"/>
          <w:szCs w:val="21"/>
          <w:highlight w:val="none"/>
        </w:rPr>
        <w:t>废标后，应当将废标理由通知所有投标人。</w:t>
      </w:r>
    </w:p>
    <w:p w14:paraId="39AF21C0">
      <w:pPr>
        <w:ind w:firstLine="422" w:firstLineChars="200"/>
        <w:rPr>
          <w:rFonts w:hint="eastAsia"/>
          <w:b/>
          <w:color w:val="auto"/>
          <w:szCs w:val="21"/>
          <w:highlight w:val="none"/>
        </w:rPr>
      </w:pPr>
      <w:r>
        <w:rPr>
          <w:rFonts w:hint="eastAsia"/>
          <w:b/>
          <w:color w:val="auto"/>
          <w:szCs w:val="21"/>
          <w:highlight w:val="none"/>
        </w:rPr>
        <w:t>2</w:t>
      </w:r>
      <w:r>
        <w:rPr>
          <w:b/>
          <w:color w:val="auto"/>
          <w:szCs w:val="21"/>
          <w:highlight w:val="none"/>
        </w:rPr>
        <w:t>7.2</w:t>
      </w:r>
      <w:r>
        <w:rPr>
          <w:rFonts w:hint="eastAsia"/>
          <w:b/>
          <w:color w:val="auto"/>
          <w:szCs w:val="21"/>
          <w:highlight w:val="none"/>
        </w:rPr>
        <w:t>电子交易活动的中止</w:t>
      </w:r>
    </w:p>
    <w:p w14:paraId="37FECA20">
      <w:pPr>
        <w:ind w:firstLine="420" w:firstLineChars="200"/>
        <w:rPr>
          <w:rFonts w:hint="eastAsia"/>
          <w:bCs/>
          <w:color w:val="auto"/>
          <w:szCs w:val="21"/>
          <w:highlight w:val="none"/>
        </w:rPr>
      </w:pPr>
      <w:r>
        <w:rPr>
          <w:rFonts w:hint="eastAsia"/>
          <w:bCs/>
          <w:color w:val="auto"/>
          <w:szCs w:val="21"/>
          <w:highlight w:val="none"/>
        </w:rPr>
        <w:t>采购过程中出现以下情形，导致电子交易平台无法正常运行，或者无法保证电子交易的公平、公正和安全时，采购代理机构可中止电子交易活动：</w:t>
      </w:r>
    </w:p>
    <w:p w14:paraId="7B44371E">
      <w:pPr>
        <w:ind w:firstLine="420" w:firstLineChars="200"/>
        <w:rPr>
          <w:rFonts w:hint="eastAsia"/>
          <w:bCs/>
          <w:color w:val="auto"/>
          <w:szCs w:val="21"/>
          <w:highlight w:val="none"/>
        </w:rPr>
      </w:pPr>
      <w:r>
        <w:rPr>
          <w:rFonts w:hint="eastAsia"/>
          <w:bCs/>
          <w:color w:val="auto"/>
          <w:szCs w:val="21"/>
          <w:highlight w:val="none"/>
        </w:rPr>
        <w:t>（1）电子交易平台发生故障而无法登录访问的；</w:t>
      </w:r>
    </w:p>
    <w:p w14:paraId="21F20A4E">
      <w:pPr>
        <w:ind w:firstLine="420" w:firstLineChars="200"/>
        <w:rPr>
          <w:rFonts w:hint="eastAsia"/>
          <w:bCs/>
          <w:color w:val="auto"/>
          <w:szCs w:val="21"/>
          <w:highlight w:val="none"/>
        </w:rPr>
      </w:pPr>
      <w:r>
        <w:rPr>
          <w:rFonts w:hint="eastAsia"/>
          <w:bCs/>
          <w:color w:val="auto"/>
          <w:szCs w:val="21"/>
          <w:highlight w:val="none"/>
        </w:rPr>
        <w:t>（2）电子交易平台应用或数据库出现错误，不能进行正常操作的；</w:t>
      </w:r>
    </w:p>
    <w:p w14:paraId="21EE5D7D">
      <w:pPr>
        <w:ind w:firstLine="420" w:firstLineChars="200"/>
        <w:rPr>
          <w:rFonts w:hint="eastAsia"/>
          <w:bCs/>
          <w:color w:val="auto"/>
          <w:szCs w:val="21"/>
          <w:highlight w:val="none"/>
        </w:rPr>
      </w:pPr>
      <w:r>
        <w:rPr>
          <w:rFonts w:hint="eastAsia"/>
          <w:bCs/>
          <w:color w:val="auto"/>
          <w:szCs w:val="21"/>
          <w:highlight w:val="none"/>
        </w:rPr>
        <w:t>（3）电子交易平台发现严重安全漏洞，有潜在泄密危险的；</w:t>
      </w:r>
    </w:p>
    <w:p w14:paraId="4ABFFF23">
      <w:pPr>
        <w:ind w:firstLine="420" w:firstLineChars="200"/>
        <w:rPr>
          <w:rFonts w:hint="eastAsia"/>
          <w:bCs/>
          <w:color w:val="auto"/>
          <w:szCs w:val="21"/>
          <w:highlight w:val="none"/>
        </w:rPr>
      </w:pPr>
      <w:r>
        <w:rPr>
          <w:rFonts w:hint="eastAsia"/>
          <w:bCs/>
          <w:color w:val="auto"/>
          <w:szCs w:val="21"/>
          <w:highlight w:val="none"/>
        </w:rPr>
        <w:t>（4）病毒发作导致不能进行正常操作的；</w:t>
      </w:r>
    </w:p>
    <w:p w14:paraId="04A65E47">
      <w:pPr>
        <w:ind w:firstLine="420" w:firstLineChars="200"/>
        <w:rPr>
          <w:rFonts w:hint="eastAsia"/>
          <w:bCs/>
          <w:color w:val="auto"/>
          <w:szCs w:val="21"/>
          <w:highlight w:val="none"/>
        </w:rPr>
      </w:pPr>
      <w:r>
        <w:rPr>
          <w:rFonts w:hint="eastAsia"/>
          <w:bCs/>
          <w:color w:val="auto"/>
          <w:szCs w:val="21"/>
          <w:highlight w:val="none"/>
        </w:rPr>
        <w:t>（5）其他无法保证电子交易的公平、公正和安全的情况。</w:t>
      </w:r>
    </w:p>
    <w:p w14:paraId="0F6E6D41">
      <w:pPr>
        <w:pStyle w:val="23"/>
        <w:ind w:firstLine="632" w:firstLineChars="300"/>
        <w:rPr>
          <w:rFonts w:hint="eastAsia" w:cs="宋体"/>
          <w:color w:val="auto"/>
          <w:szCs w:val="21"/>
          <w:highlight w:val="none"/>
        </w:rPr>
      </w:pPr>
      <w:r>
        <w:rPr>
          <w:b/>
          <w:color w:val="auto"/>
          <w:szCs w:val="21"/>
          <w:highlight w:val="none"/>
        </w:rPr>
        <w:t>27.3</w:t>
      </w:r>
      <w:r>
        <w:rPr>
          <w:rFonts w:hint="eastAsia"/>
          <w:b/>
          <w:color w:val="auto"/>
          <w:szCs w:val="21"/>
          <w:highlight w:val="none"/>
        </w:rPr>
        <w:t>出现2</w:t>
      </w:r>
      <w:r>
        <w:rPr>
          <w:b/>
          <w:color w:val="auto"/>
          <w:szCs w:val="21"/>
          <w:highlight w:val="none"/>
        </w:rPr>
        <w:t>7.2</w:t>
      </w:r>
      <w:r>
        <w:rPr>
          <w:rFonts w:hint="eastAsia"/>
          <w:b/>
          <w:color w:val="auto"/>
          <w:szCs w:val="21"/>
          <w:highlight w:val="none"/>
        </w:rPr>
        <w:t>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09FAAFCF">
      <w:pPr>
        <w:pStyle w:val="4"/>
        <w:bidi w:val="0"/>
        <w:rPr>
          <w:rFonts w:hint="eastAsia" w:ascii="宋体" w:hAnsi="宋体" w:eastAsia="宋体" w:cs="Times New Roman"/>
        </w:rPr>
      </w:pPr>
      <w:bookmarkStart w:id="98" w:name="_Toc25921"/>
      <w:bookmarkStart w:id="99" w:name="_Toc491076993"/>
      <w:bookmarkStart w:id="100" w:name="_Toc24605"/>
      <w:bookmarkStart w:id="101" w:name="_Toc23473"/>
      <w:r>
        <w:rPr>
          <w:rFonts w:hint="eastAsia" w:ascii="宋体" w:hAnsi="宋体" w:eastAsia="宋体" w:cs="Times New Roman"/>
        </w:rPr>
        <w:t>六、中标结果</w:t>
      </w:r>
      <w:bookmarkEnd w:id="98"/>
      <w:bookmarkEnd w:id="99"/>
      <w:bookmarkEnd w:id="100"/>
      <w:bookmarkEnd w:id="101"/>
    </w:p>
    <w:p w14:paraId="67FFC363">
      <w:pPr>
        <w:ind w:firstLine="422" w:firstLineChars="200"/>
        <w:jc w:val="left"/>
        <w:rPr>
          <w:rFonts w:hint="eastAsia" w:cs="宋体"/>
          <w:b/>
          <w:bCs/>
          <w:color w:val="auto"/>
          <w:szCs w:val="21"/>
          <w:highlight w:val="none"/>
        </w:rPr>
      </w:pPr>
      <w:bookmarkStart w:id="102" w:name="_Toc491076994"/>
      <w:r>
        <w:rPr>
          <w:rFonts w:hint="eastAsia" w:cs="宋体"/>
          <w:b/>
          <w:bCs/>
          <w:color w:val="auto"/>
          <w:szCs w:val="21"/>
          <w:highlight w:val="none"/>
        </w:rPr>
        <w:t>28.中标人的确定</w:t>
      </w:r>
    </w:p>
    <w:p w14:paraId="05364068">
      <w:pPr>
        <w:ind w:firstLine="420" w:firstLineChars="200"/>
        <w:jc w:val="left"/>
        <w:rPr>
          <w:rFonts w:hint="eastAsia" w:cs="宋体"/>
          <w:color w:val="auto"/>
          <w:szCs w:val="21"/>
          <w:highlight w:val="none"/>
        </w:rPr>
      </w:pPr>
      <w:r>
        <w:rPr>
          <w:rFonts w:hint="eastAsia" w:cs="宋体"/>
          <w:color w:val="auto"/>
          <w:szCs w:val="21"/>
          <w:highlight w:val="none"/>
        </w:rPr>
        <w:t>28.1采购代理机构应当在评标结束之日起2个工作日内将评标报告送采购人确认。</w:t>
      </w:r>
    </w:p>
    <w:p w14:paraId="62868D1E">
      <w:pPr>
        <w:ind w:firstLine="420" w:firstLineChars="200"/>
        <w:jc w:val="left"/>
        <w:rPr>
          <w:rFonts w:hint="eastAsia" w:cs="宋体"/>
          <w:color w:val="auto"/>
          <w:szCs w:val="21"/>
          <w:highlight w:val="none"/>
        </w:rPr>
      </w:pPr>
      <w:r>
        <w:rPr>
          <w:rFonts w:hint="eastAsia" w:cs="宋体"/>
          <w:color w:val="auto"/>
          <w:szCs w:val="21"/>
          <w:highlight w:val="none"/>
        </w:rPr>
        <w:t>28.2采购人应当在收到评标报告之日起5个工作日内，在评标报告中推荐的中标候选人中按顺序确定中标人。</w:t>
      </w:r>
    </w:p>
    <w:p w14:paraId="24BB43C5">
      <w:pPr>
        <w:ind w:firstLine="422" w:firstLineChars="200"/>
        <w:jc w:val="left"/>
        <w:rPr>
          <w:rFonts w:hint="eastAsia" w:cs="宋体"/>
          <w:b/>
          <w:bCs/>
          <w:color w:val="auto"/>
          <w:szCs w:val="21"/>
          <w:highlight w:val="none"/>
        </w:rPr>
      </w:pPr>
      <w:r>
        <w:rPr>
          <w:rFonts w:hint="eastAsia" w:cs="宋体"/>
          <w:b/>
          <w:bCs/>
          <w:color w:val="auto"/>
          <w:szCs w:val="21"/>
          <w:highlight w:val="none"/>
        </w:rPr>
        <w:t>29.中标通知书</w:t>
      </w:r>
    </w:p>
    <w:p w14:paraId="43417AC0">
      <w:pPr>
        <w:ind w:firstLine="420" w:firstLineChars="200"/>
        <w:jc w:val="left"/>
        <w:rPr>
          <w:rFonts w:hint="eastAsia" w:cs="宋体"/>
          <w:color w:val="auto"/>
          <w:szCs w:val="21"/>
          <w:highlight w:val="none"/>
        </w:rPr>
      </w:pPr>
      <w:r>
        <w:rPr>
          <w:rFonts w:hint="eastAsia" w:cs="宋体"/>
          <w:color w:val="auto"/>
          <w:szCs w:val="21"/>
          <w:highlight w:val="none"/>
        </w:rPr>
        <w:t>29.1中标人确定之日起2个工作日内，采购代理机构在上财政部门指定的媒体上公告中标结果，中标公告期限为1个工作日，同时向中标人发出中标通知书。</w:t>
      </w:r>
    </w:p>
    <w:p w14:paraId="10148F88">
      <w:pPr>
        <w:ind w:firstLine="420" w:firstLineChars="200"/>
        <w:jc w:val="left"/>
        <w:rPr>
          <w:rFonts w:hint="eastAsia" w:cs="宋体"/>
          <w:color w:val="auto"/>
          <w:szCs w:val="21"/>
          <w:highlight w:val="none"/>
        </w:rPr>
      </w:pPr>
      <w:r>
        <w:rPr>
          <w:rFonts w:hint="eastAsia" w:cs="宋体"/>
          <w:color w:val="auto"/>
          <w:szCs w:val="21"/>
          <w:highlight w:val="none"/>
        </w:rPr>
        <w:t>29.2中标通知书是合同的一个组成部分。</w:t>
      </w:r>
    </w:p>
    <w:p w14:paraId="2C82450A">
      <w:pPr>
        <w:ind w:firstLine="422" w:firstLineChars="200"/>
        <w:jc w:val="left"/>
        <w:rPr>
          <w:rFonts w:hint="eastAsia" w:cs="宋体"/>
          <w:b/>
          <w:bCs/>
          <w:color w:val="auto"/>
          <w:szCs w:val="21"/>
          <w:highlight w:val="none"/>
        </w:rPr>
      </w:pPr>
      <w:r>
        <w:rPr>
          <w:rFonts w:hint="eastAsia" w:cs="宋体"/>
          <w:b/>
          <w:bCs/>
          <w:color w:val="auto"/>
          <w:szCs w:val="21"/>
          <w:highlight w:val="none"/>
        </w:rPr>
        <w:t>30.签订合同</w:t>
      </w:r>
    </w:p>
    <w:p w14:paraId="15D0C180">
      <w:pPr>
        <w:ind w:firstLine="420" w:firstLineChars="200"/>
        <w:jc w:val="left"/>
        <w:rPr>
          <w:rFonts w:hint="eastAsia" w:cs="宋体"/>
          <w:color w:val="auto"/>
          <w:szCs w:val="21"/>
          <w:highlight w:val="none"/>
        </w:rPr>
      </w:pPr>
      <w:r>
        <w:rPr>
          <w:rFonts w:hint="eastAsia" w:cs="宋体"/>
          <w:color w:val="auto"/>
          <w:szCs w:val="21"/>
          <w:highlight w:val="none"/>
        </w:rPr>
        <w:t>30.1采购人与中标人应当在中标通知书发出之日起30日内，按照招标文件和中标人投标文件的规定签订政府采购合同。</w:t>
      </w:r>
    </w:p>
    <w:p w14:paraId="6A74C007">
      <w:pPr>
        <w:ind w:firstLine="420" w:firstLineChars="200"/>
        <w:jc w:val="left"/>
        <w:rPr>
          <w:rFonts w:hint="eastAsia" w:cs="宋体"/>
          <w:color w:val="auto"/>
          <w:szCs w:val="21"/>
          <w:highlight w:val="none"/>
        </w:rPr>
      </w:pPr>
      <w:r>
        <w:rPr>
          <w:rFonts w:hint="eastAsia" w:cs="宋体"/>
          <w:color w:val="auto"/>
          <w:szCs w:val="21"/>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4495489">
      <w:pPr>
        <w:ind w:firstLine="420" w:firstLineChars="200"/>
        <w:jc w:val="left"/>
        <w:rPr>
          <w:rFonts w:hint="eastAsia" w:cs="宋体"/>
          <w:color w:val="auto"/>
          <w:szCs w:val="21"/>
          <w:highlight w:val="none"/>
        </w:rPr>
      </w:pPr>
      <w:r>
        <w:rPr>
          <w:rFonts w:hint="eastAsia" w:cs="宋体"/>
          <w:color w:val="auto"/>
          <w:szCs w:val="21"/>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5348641C">
      <w:pPr>
        <w:ind w:firstLine="422" w:firstLineChars="200"/>
        <w:jc w:val="left"/>
        <w:rPr>
          <w:rFonts w:hint="eastAsia" w:cs="宋体"/>
          <w:b/>
          <w:bCs/>
          <w:color w:val="auto"/>
          <w:szCs w:val="21"/>
          <w:highlight w:val="none"/>
        </w:rPr>
      </w:pPr>
      <w:r>
        <w:rPr>
          <w:rFonts w:hint="eastAsia" w:cs="宋体"/>
          <w:b/>
          <w:bCs/>
          <w:color w:val="auto"/>
          <w:szCs w:val="21"/>
          <w:highlight w:val="none"/>
        </w:rPr>
        <w:t>31.履约担保</w:t>
      </w:r>
    </w:p>
    <w:p w14:paraId="1D1BD6FF">
      <w:pPr>
        <w:ind w:firstLine="420" w:firstLineChars="200"/>
        <w:jc w:val="left"/>
        <w:rPr>
          <w:rFonts w:hint="eastAsia" w:cs="宋体"/>
          <w:color w:val="auto"/>
          <w:szCs w:val="21"/>
          <w:highlight w:val="none"/>
        </w:rPr>
      </w:pPr>
      <w:r>
        <w:rPr>
          <w:rFonts w:hint="eastAsia" w:cs="宋体"/>
          <w:color w:val="auto"/>
          <w:szCs w:val="21"/>
          <w:highlight w:val="none"/>
        </w:rPr>
        <w:t>31.1签订合同前，中标人应按</w:t>
      </w:r>
      <w:r>
        <w:rPr>
          <w:rFonts w:hint="eastAsia" w:cs="宋体"/>
          <w:b/>
          <w:bCs/>
          <w:color w:val="auto"/>
          <w:szCs w:val="21"/>
          <w:highlight w:val="none"/>
        </w:rPr>
        <w:t>“投标人须知前附表”</w:t>
      </w:r>
      <w:r>
        <w:rPr>
          <w:rFonts w:hint="eastAsia" w:cs="宋体"/>
          <w:color w:val="auto"/>
          <w:szCs w:val="21"/>
          <w:highlight w:val="none"/>
        </w:rPr>
        <w:t>上确定的履约担保的金额，向采购人提交履约担保，联合体中标的，其履约担保由牵头人递交。否则，视为放弃中标项目，投标保证金将不予退还。</w:t>
      </w:r>
    </w:p>
    <w:p w14:paraId="46232D8B">
      <w:pPr>
        <w:ind w:firstLine="420" w:firstLineChars="200"/>
        <w:jc w:val="left"/>
        <w:rPr>
          <w:rFonts w:hint="eastAsia" w:cs="宋体"/>
          <w:color w:val="auto"/>
          <w:szCs w:val="28"/>
          <w:highlight w:val="none"/>
        </w:rPr>
      </w:pPr>
      <w:r>
        <w:rPr>
          <w:rFonts w:hint="eastAsia" w:cs="宋体"/>
          <w:color w:val="auto"/>
          <w:szCs w:val="21"/>
          <w:highlight w:val="none"/>
        </w:rPr>
        <w:t>31.2签订合同后，如中标人不按双方签订合同约定履约，则没收其全部履约保证金，履约保证金不足以赔偿损失的，按实际损失赔偿。</w:t>
      </w:r>
    </w:p>
    <w:p w14:paraId="5748F5A8">
      <w:pPr>
        <w:pStyle w:val="4"/>
        <w:bidi w:val="0"/>
        <w:rPr>
          <w:rFonts w:hint="eastAsia" w:ascii="宋体" w:hAnsi="宋体" w:eastAsia="宋体" w:cs="Times New Roman"/>
        </w:rPr>
      </w:pPr>
      <w:bookmarkStart w:id="103" w:name="_Toc14360"/>
      <w:bookmarkStart w:id="104" w:name="_Toc17375"/>
      <w:bookmarkStart w:id="105" w:name="_Toc4865"/>
      <w:r>
        <w:rPr>
          <w:rFonts w:hint="eastAsia" w:ascii="宋体" w:hAnsi="宋体" w:eastAsia="宋体" w:cs="Times New Roman"/>
        </w:rPr>
        <w:t>七、其他事项</w:t>
      </w:r>
      <w:bookmarkEnd w:id="102"/>
      <w:bookmarkEnd w:id="103"/>
      <w:bookmarkEnd w:id="104"/>
      <w:bookmarkEnd w:id="105"/>
    </w:p>
    <w:p w14:paraId="6B95FC17">
      <w:pPr>
        <w:ind w:firstLine="422" w:firstLineChars="200"/>
        <w:jc w:val="left"/>
        <w:rPr>
          <w:rFonts w:hint="eastAsia" w:cs="宋体"/>
          <w:b/>
          <w:bCs/>
          <w:color w:val="auto"/>
          <w:szCs w:val="21"/>
          <w:highlight w:val="none"/>
        </w:rPr>
      </w:pPr>
      <w:r>
        <w:rPr>
          <w:rFonts w:hint="eastAsia" w:cs="宋体"/>
          <w:b/>
          <w:bCs/>
          <w:color w:val="auto"/>
          <w:szCs w:val="21"/>
          <w:highlight w:val="none"/>
        </w:rPr>
        <w:t>32.需要补充的其他内容</w:t>
      </w:r>
    </w:p>
    <w:p w14:paraId="7A5F4135">
      <w:pPr>
        <w:ind w:firstLine="420" w:firstLineChars="200"/>
        <w:jc w:val="left"/>
        <w:rPr>
          <w:rFonts w:hint="eastAsia" w:cs="宋体"/>
          <w:color w:val="auto"/>
          <w:szCs w:val="21"/>
          <w:highlight w:val="none"/>
        </w:rPr>
      </w:pPr>
      <w:r>
        <w:rPr>
          <w:rFonts w:hint="eastAsia" w:cs="宋体"/>
          <w:color w:val="auto"/>
          <w:szCs w:val="21"/>
          <w:highlight w:val="none"/>
        </w:rPr>
        <w:t>32.1采购代理机构按以下货物招标收费标准下浮</w:t>
      </w:r>
      <w:r>
        <w:rPr>
          <w:rFonts w:hint="eastAsia" w:cs="宋体"/>
          <w:color w:val="auto"/>
          <w:szCs w:val="21"/>
          <w:highlight w:val="none"/>
          <w:lang w:val="en-US" w:eastAsia="zh-CN"/>
        </w:rPr>
        <w:t>40</w:t>
      </w:r>
      <w:r>
        <w:rPr>
          <w:rFonts w:hint="eastAsia" w:cs="宋体"/>
          <w:color w:val="auto"/>
          <w:szCs w:val="21"/>
          <w:highlight w:val="none"/>
        </w:rPr>
        <w:t>%向中标人收取采购代理服务费：</w:t>
      </w:r>
    </w:p>
    <w:tbl>
      <w:tblPr>
        <w:tblStyle w:val="44"/>
        <w:tblW w:w="484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Layout w:type="autofit"/>
        <w:tblCellMar>
          <w:top w:w="0" w:type="dxa"/>
          <w:left w:w="108" w:type="dxa"/>
          <w:bottom w:w="0" w:type="dxa"/>
          <w:right w:w="108" w:type="dxa"/>
        </w:tblCellMar>
      </w:tblPr>
      <w:tblGrid>
        <w:gridCol w:w="2406"/>
        <w:gridCol w:w="2288"/>
        <w:gridCol w:w="2288"/>
        <w:gridCol w:w="2655"/>
      </w:tblGrid>
      <w:tr w14:paraId="1A363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409" w:hRule="atLeast"/>
          <w:jc w:val="center"/>
        </w:trPr>
        <w:tc>
          <w:tcPr>
            <w:tcW w:w="1248" w:type="pct"/>
            <w:vMerge w:val="restart"/>
            <w:shd w:val="clear" w:color="auto" w:fill="FFFFFF" w:themeFill="background1"/>
            <w:vAlign w:val="center"/>
          </w:tcPr>
          <w:p w14:paraId="249DA45C">
            <w:pPr>
              <w:spacing w:line="360" w:lineRule="exact"/>
              <w:jc w:val="center"/>
              <w:rPr>
                <w:b/>
                <w:bCs/>
                <w:color w:val="auto"/>
                <w:kern w:val="0"/>
                <w:szCs w:val="21"/>
                <w:highlight w:val="none"/>
              </w:rPr>
            </w:pPr>
            <w:r>
              <w:rPr>
                <w:b/>
                <w:bCs/>
                <w:color w:val="auto"/>
                <w:kern w:val="0"/>
                <w:szCs w:val="21"/>
                <w:highlight w:val="none"/>
              </w:rPr>
              <w:t>中标金额（万元）</w:t>
            </w:r>
          </w:p>
        </w:tc>
        <w:tc>
          <w:tcPr>
            <w:tcW w:w="3751" w:type="pct"/>
            <w:gridSpan w:val="3"/>
            <w:shd w:val="clear" w:color="auto" w:fill="FFFFFF" w:themeFill="background1"/>
            <w:vAlign w:val="center"/>
          </w:tcPr>
          <w:p w14:paraId="517826DA">
            <w:pPr>
              <w:spacing w:line="360" w:lineRule="exact"/>
              <w:jc w:val="center"/>
              <w:rPr>
                <w:b/>
                <w:bCs/>
                <w:color w:val="auto"/>
                <w:kern w:val="0"/>
                <w:szCs w:val="21"/>
                <w:highlight w:val="none"/>
              </w:rPr>
            </w:pPr>
            <w:r>
              <w:rPr>
                <w:b/>
                <w:bCs/>
                <w:color w:val="auto"/>
                <w:kern w:val="0"/>
                <w:szCs w:val="21"/>
                <w:highlight w:val="none"/>
              </w:rPr>
              <w:t>收费标准</w:t>
            </w:r>
          </w:p>
        </w:tc>
      </w:tr>
      <w:tr w14:paraId="33A06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cantSplit/>
          <w:trHeight w:val="393" w:hRule="atLeast"/>
          <w:jc w:val="center"/>
        </w:trPr>
        <w:tc>
          <w:tcPr>
            <w:tcW w:w="1248" w:type="pct"/>
            <w:vMerge w:val="continue"/>
            <w:shd w:val="clear" w:color="auto" w:fill="FFFFFF" w:themeFill="background1"/>
            <w:vAlign w:val="center"/>
          </w:tcPr>
          <w:p w14:paraId="59A57FAC">
            <w:pPr>
              <w:spacing w:line="360" w:lineRule="exact"/>
              <w:jc w:val="center"/>
              <w:rPr>
                <w:b/>
                <w:bCs/>
                <w:color w:val="auto"/>
                <w:kern w:val="0"/>
                <w:szCs w:val="21"/>
                <w:highlight w:val="none"/>
              </w:rPr>
            </w:pPr>
          </w:p>
        </w:tc>
        <w:tc>
          <w:tcPr>
            <w:tcW w:w="1187" w:type="pct"/>
            <w:shd w:val="clear" w:color="auto" w:fill="FFFFFF" w:themeFill="background1"/>
            <w:vAlign w:val="center"/>
          </w:tcPr>
          <w:p w14:paraId="089B1D83">
            <w:pPr>
              <w:spacing w:line="360" w:lineRule="exact"/>
              <w:jc w:val="center"/>
              <w:rPr>
                <w:b/>
                <w:bCs/>
                <w:color w:val="auto"/>
                <w:kern w:val="0"/>
                <w:szCs w:val="21"/>
                <w:highlight w:val="none"/>
              </w:rPr>
            </w:pPr>
            <w:r>
              <w:rPr>
                <w:b/>
                <w:bCs/>
                <w:color w:val="auto"/>
                <w:kern w:val="0"/>
                <w:szCs w:val="21"/>
                <w:highlight w:val="none"/>
              </w:rPr>
              <w:t>货物招标</w:t>
            </w:r>
          </w:p>
        </w:tc>
        <w:tc>
          <w:tcPr>
            <w:tcW w:w="1187" w:type="pct"/>
            <w:shd w:val="clear" w:color="auto" w:fill="FFFFFF" w:themeFill="background1"/>
            <w:vAlign w:val="center"/>
          </w:tcPr>
          <w:p w14:paraId="6DB21189">
            <w:pPr>
              <w:spacing w:line="360" w:lineRule="exact"/>
              <w:jc w:val="center"/>
              <w:rPr>
                <w:b/>
                <w:bCs/>
                <w:color w:val="auto"/>
                <w:kern w:val="0"/>
                <w:szCs w:val="21"/>
                <w:highlight w:val="none"/>
              </w:rPr>
            </w:pPr>
            <w:r>
              <w:rPr>
                <w:b/>
                <w:bCs/>
                <w:color w:val="auto"/>
                <w:kern w:val="0"/>
                <w:szCs w:val="21"/>
                <w:highlight w:val="none"/>
              </w:rPr>
              <w:t>服务招标</w:t>
            </w:r>
          </w:p>
        </w:tc>
        <w:tc>
          <w:tcPr>
            <w:tcW w:w="1376" w:type="pct"/>
            <w:shd w:val="clear" w:color="auto" w:fill="FFFFFF" w:themeFill="background1"/>
            <w:vAlign w:val="center"/>
          </w:tcPr>
          <w:p w14:paraId="38817753">
            <w:pPr>
              <w:spacing w:line="360" w:lineRule="exact"/>
              <w:jc w:val="center"/>
              <w:rPr>
                <w:b/>
                <w:bCs/>
                <w:color w:val="auto"/>
                <w:kern w:val="0"/>
                <w:szCs w:val="21"/>
                <w:highlight w:val="none"/>
              </w:rPr>
            </w:pPr>
            <w:r>
              <w:rPr>
                <w:b/>
                <w:bCs/>
                <w:color w:val="auto"/>
                <w:kern w:val="0"/>
                <w:szCs w:val="21"/>
                <w:highlight w:val="none"/>
              </w:rPr>
              <w:t>工程招标</w:t>
            </w:r>
          </w:p>
        </w:tc>
      </w:tr>
      <w:tr w14:paraId="3BCAC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93" w:hRule="atLeast"/>
          <w:jc w:val="center"/>
        </w:trPr>
        <w:tc>
          <w:tcPr>
            <w:tcW w:w="1248" w:type="pct"/>
            <w:shd w:val="clear" w:color="auto" w:fill="FFFFFF" w:themeFill="background1"/>
            <w:vAlign w:val="center"/>
          </w:tcPr>
          <w:p w14:paraId="582F0B2D">
            <w:pPr>
              <w:spacing w:line="360" w:lineRule="exact"/>
              <w:jc w:val="center"/>
              <w:rPr>
                <w:color w:val="auto"/>
                <w:kern w:val="0"/>
                <w:szCs w:val="21"/>
                <w:highlight w:val="none"/>
              </w:rPr>
            </w:pPr>
            <w:r>
              <w:rPr>
                <w:rFonts w:hint="eastAsia"/>
                <w:color w:val="auto"/>
                <w:kern w:val="0"/>
                <w:szCs w:val="21"/>
                <w:highlight w:val="none"/>
              </w:rPr>
              <w:t>50万元及以下</w:t>
            </w:r>
          </w:p>
        </w:tc>
        <w:tc>
          <w:tcPr>
            <w:tcW w:w="1187" w:type="pct"/>
            <w:shd w:val="clear" w:color="auto" w:fill="92D050"/>
          </w:tcPr>
          <w:p w14:paraId="0CC6C54D">
            <w:pPr>
              <w:spacing w:line="360" w:lineRule="exact"/>
              <w:jc w:val="center"/>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7</w:t>
            </w:r>
            <w:r>
              <w:rPr>
                <w:rFonts w:ascii="宋体" w:hAnsi="宋体" w:eastAsia="宋体" w:cs="Times New Roman"/>
                <w:b w:val="0"/>
                <w:bCs w:val="0"/>
                <w:color w:val="auto"/>
                <w:kern w:val="0"/>
                <w:szCs w:val="21"/>
                <w:highlight w:val="none"/>
              </w:rPr>
              <w:t>万元</w:t>
            </w:r>
          </w:p>
        </w:tc>
        <w:tc>
          <w:tcPr>
            <w:tcW w:w="1187" w:type="pct"/>
            <w:shd w:val="clear" w:color="auto" w:fill="FFFFFF" w:themeFill="background1"/>
          </w:tcPr>
          <w:p w14:paraId="1F814B8B">
            <w:pPr>
              <w:spacing w:line="360" w:lineRule="exact"/>
              <w:jc w:val="center"/>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7</w:t>
            </w:r>
            <w:r>
              <w:rPr>
                <w:rFonts w:ascii="宋体" w:hAnsi="宋体" w:eastAsia="宋体" w:cs="Times New Roman"/>
                <w:b w:val="0"/>
                <w:bCs w:val="0"/>
                <w:color w:val="auto"/>
                <w:kern w:val="0"/>
                <w:szCs w:val="21"/>
                <w:highlight w:val="none"/>
              </w:rPr>
              <w:t>万元</w:t>
            </w:r>
          </w:p>
        </w:tc>
        <w:tc>
          <w:tcPr>
            <w:tcW w:w="1376" w:type="pct"/>
            <w:shd w:val="clear" w:color="auto" w:fill="FFFFFF" w:themeFill="background1"/>
          </w:tcPr>
          <w:p w14:paraId="5B5CED54">
            <w:pPr>
              <w:spacing w:line="360" w:lineRule="exact"/>
              <w:jc w:val="center"/>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7</w:t>
            </w:r>
            <w:r>
              <w:rPr>
                <w:rFonts w:ascii="宋体" w:hAnsi="宋体" w:eastAsia="宋体" w:cs="Times New Roman"/>
                <w:b w:val="0"/>
                <w:bCs w:val="0"/>
                <w:color w:val="auto"/>
                <w:kern w:val="0"/>
                <w:szCs w:val="21"/>
                <w:highlight w:val="none"/>
              </w:rPr>
              <w:t>万元</w:t>
            </w:r>
          </w:p>
        </w:tc>
      </w:tr>
      <w:tr w14:paraId="77B3E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93" w:hRule="atLeast"/>
          <w:jc w:val="center"/>
        </w:trPr>
        <w:tc>
          <w:tcPr>
            <w:tcW w:w="1248" w:type="pct"/>
            <w:shd w:val="clear" w:color="auto" w:fill="FFFFFF" w:themeFill="background1"/>
            <w:vAlign w:val="center"/>
          </w:tcPr>
          <w:p w14:paraId="3C626E4E">
            <w:pPr>
              <w:spacing w:line="360" w:lineRule="exact"/>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50—100（含）</w:t>
            </w:r>
          </w:p>
        </w:tc>
        <w:tc>
          <w:tcPr>
            <w:tcW w:w="1187" w:type="pct"/>
            <w:shd w:val="clear" w:color="auto" w:fill="92D050"/>
          </w:tcPr>
          <w:p w14:paraId="17D88206">
            <w:pPr>
              <w:spacing w:line="360" w:lineRule="exact"/>
              <w:jc w:val="center"/>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5</w:t>
            </w:r>
            <w:r>
              <w:rPr>
                <w:rFonts w:ascii="宋体" w:hAnsi="宋体" w:eastAsia="宋体" w:cs="Times New Roman"/>
                <w:b w:val="0"/>
                <w:bCs w:val="0"/>
                <w:color w:val="auto"/>
                <w:kern w:val="0"/>
                <w:szCs w:val="21"/>
                <w:highlight w:val="none"/>
              </w:rPr>
              <w:t>%</w:t>
            </w:r>
          </w:p>
        </w:tc>
        <w:tc>
          <w:tcPr>
            <w:tcW w:w="1187" w:type="pct"/>
            <w:shd w:val="clear" w:color="auto" w:fill="FFFFFF" w:themeFill="background1"/>
          </w:tcPr>
          <w:p w14:paraId="48888224">
            <w:pPr>
              <w:spacing w:line="360" w:lineRule="exact"/>
              <w:jc w:val="center"/>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5</w:t>
            </w:r>
            <w:r>
              <w:rPr>
                <w:rFonts w:ascii="宋体" w:hAnsi="宋体" w:eastAsia="宋体" w:cs="Times New Roman"/>
                <w:b w:val="0"/>
                <w:bCs w:val="0"/>
                <w:color w:val="auto"/>
                <w:kern w:val="0"/>
                <w:szCs w:val="21"/>
                <w:highlight w:val="none"/>
              </w:rPr>
              <w:t>%</w:t>
            </w:r>
          </w:p>
        </w:tc>
        <w:tc>
          <w:tcPr>
            <w:tcW w:w="1376" w:type="pct"/>
            <w:shd w:val="clear" w:color="auto" w:fill="FFFFFF" w:themeFill="background1"/>
          </w:tcPr>
          <w:p w14:paraId="0925ECD2">
            <w:pPr>
              <w:spacing w:line="360" w:lineRule="exact"/>
              <w:jc w:val="center"/>
              <w:rPr>
                <w:rFonts w:ascii="宋体" w:hAnsi="宋体" w:eastAsia="宋体" w:cs="Times New Roman"/>
                <w:b w:val="0"/>
                <w:bCs w:val="0"/>
                <w:color w:val="auto"/>
                <w:kern w:val="0"/>
                <w:szCs w:val="21"/>
                <w:highlight w:val="none"/>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5</w:t>
            </w:r>
            <w:r>
              <w:rPr>
                <w:rFonts w:ascii="宋体" w:hAnsi="宋体" w:eastAsia="宋体" w:cs="Times New Roman"/>
                <w:b w:val="0"/>
                <w:bCs w:val="0"/>
                <w:color w:val="auto"/>
                <w:kern w:val="0"/>
                <w:szCs w:val="21"/>
                <w:highlight w:val="none"/>
              </w:rPr>
              <w:t>%</w:t>
            </w:r>
          </w:p>
        </w:tc>
      </w:tr>
      <w:tr w14:paraId="6136C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93" w:hRule="atLeast"/>
          <w:jc w:val="center"/>
        </w:trPr>
        <w:tc>
          <w:tcPr>
            <w:tcW w:w="1248" w:type="pct"/>
            <w:shd w:val="clear" w:color="auto" w:fill="FFFFFF" w:themeFill="background1"/>
            <w:vAlign w:val="center"/>
          </w:tcPr>
          <w:p w14:paraId="1A61ED5F">
            <w:pPr>
              <w:spacing w:line="360" w:lineRule="exact"/>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100—500（含）</w:t>
            </w:r>
          </w:p>
        </w:tc>
        <w:tc>
          <w:tcPr>
            <w:tcW w:w="1187" w:type="pct"/>
            <w:shd w:val="clear" w:color="auto" w:fill="92D050"/>
            <w:vAlign w:val="center"/>
          </w:tcPr>
          <w:p w14:paraId="24DF3D07">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3</w:t>
            </w:r>
            <w:r>
              <w:rPr>
                <w:rFonts w:ascii="宋体" w:hAnsi="宋体" w:eastAsia="宋体" w:cs="Times New Roman"/>
                <w:b w:val="0"/>
                <w:bCs w:val="0"/>
                <w:color w:val="auto"/>
                <w:kern w:val="0"/>
                <w:szCs w:val="21"/>
                <w:highlight w:val="none"/>
              </w:rPr>
              <w:t>%</w:t>
            </w:r>
          </w:p>
        </w:tc>
        <w:tc>
          <w:tcPr>
            <w:tcW w:w="1187" w:type="pct"/>
            <w:shd w:val="clear" w:color="auto" w:fill="FFFFFF" w:themeFill="background1"/>
            <w:vAlign w:val="center"/>
          </w:tcPr>
          <w:p w14:paraId="55550664">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3</w:t>
            </w:r>
            <w:r>
              <w:rPr>
                <w:rFonts w:ascii="宋体" w:hAnsi="宋体" w:eastAsia="宋体" w:cs="Times New Roman"/>
                <w:b w:val="0"/>
                <w:bCs w:val="0"/>
                <w:color w:val="auto"/>
                <w:kern w:val="0"/>
                <w:szCs w:val="21"/>
                <w:highlight w:val="none"/>
              </w:rPr>
              <w:t>%</w:t>
            </w:r>
          </w:p>
        </w:tc>
        <w:tc>
          <w:tcPr>
            <w:tcW w:w="1376" w:type="pct"/>
            <w:shd w:val="clear" w:color="auto" w:fill="FFFFFF" w:themeFill="background1"/>
            <w:vAlign w:val="center"/>
          </w:tcPr>
          <w:p w14:paraId="423C910E">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p>
        </w:tc>
      </w:tr>
      <w:tr w14:paraId="5D057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93" w:hRule="atLeast"/>
          <w:jc w:val="center"/>
        </w:trPr>
        <w:tc>
          <w:tcPr>
            <w:tcW w:w="1248" w:type="pct"/>
            <w:shd w:val="clear" w:color="auto" w:fill="FFFFFF" w:themeFill="background1"/>
            <w:vAlign w:val="center"/>
          </w:tcPr>
          <w:p w14:paraId="2AE48FF5">
            <w:pPr>
              <w:spacing w:line="360" w:lineRule="exact"/>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500—1000（含）</w:t>
            </w:r>
          </w:p>
        </w:tc>
        <w:tc>
          <w:tcPr>
            <w:tcW w:w="1187" w:type="pct"/>
            <w:shd w:val="clear" w:color="auto" w:fill="92D050"/>
            <w:vAlign w:val="center"/>
          </w:tcPr>
          <w:p w14:paraId="660DA263">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p>
        </w:tc>
        <w:tc>
          <w:tcPr>
            <w:tcW w:w="1187" w:type="pct"/>
            <w:shd w:val="clear" w:color="auto" w:fill="FFFFFF" w:themeFill="background1"/>
            <w:vAlign w:val="center"/>
          </w:tcPr>
          <w:p w14:paraId="7015370D">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5</w:t>
            </w:r>
            <w:r>
              <w:rPr>
                <w:rFonts w:ascii="宋体" w:hAnsi="宋体" w:eastAsia="宋体" w:cs="Times New Roman"/>
                <w:b w:val="0"/>
                <w:bCs w:val="0"/>
                <w:color w:val="auto"/>
                <w:kern w:val="0"/>
                <w:szCs w:val="21"/>
                <w:highlight w:val="none"/>
              </w:rPr>
              <w:t>%</w:t>
            </w:r>
          </w:p>
        </w:tc>
        <w:tc>
          <w:tcPr>
            <w:tcW w:w="1376" w:type="pct"/>
            <w:shd w:val="clear" w:color="auto" w:fill="FFFFFF" w:themeFill="background1"/>
            <w:vAlign w:val="center"/>
          </w:tcPr>
          <w:p w14:paraId="56701586">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7</w:t>
            </w:r>
            <w:r>
              <w:rPr>
                <w:rFonts w:ascii="宋体" w:hAnsi="宋体" w:eastAsia="宋体" w:cs="Times New Roman"/>
                <w:b w:val="0"/>
                <w:bCs w:val="0"/>
                <w:color w:val="auto"/>
                <w:kern w:val="0"/>
                <w:szCs w:val="21"/>
                <w:highlight w:val="none"/>
              </w:rPr>
              <w:t>%</w:t>
            </w:r>
          </w:p>
        </w:tc>
      </w:tr>
      <w:tr w14:paraId="52CA2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393" w:hRule="atLeast"/>
          <w:jc w:val="center"/>
        </w:trPr>
        <w:tc>
          <w:tcPr>
            <w:tcW w:w="1248" w:type="pct"/>
            <w:shd w:val="clear" w:color="auto" w:fill="FFFFFF" w:themeFill="background1"/>
            <w:vAlign w:val="center"/>
          </w:tcPr>
          <w:p w14:paraId="7F77F7B2">
            <w:pPr>
              <w:spacing w:line="360" w:lineRule="exact"/>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1000—5000（含）</w:t>
            </w:r>
          </w:p>
        </w:tc>
        <w:tc>
          <w:tcPr>
            <w:tcW w:w="1187" w:type="pct"/>
            <w:shd w:val="clear" w:color="auto" w:fill="92D050"/>
            <w:vAlign w:val="center"/>
          </w:tcPr>
          <w:p w14:paraId="61FEBBC0">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7</w:t>
            </w:r>
            <w:r>
              <w:rPr>
                <w:rFonts w:ascii="宋体" w:hAnsi="宋体" w:eastAsia="宋体" w:cs="Times New Roman"/>
                <w:b w:val="0"/>
                <w:bCs w:val="0"/>
                <w:color w:val="auto"/>
                <w:kern w:val="0"/>
                <w:szCs w:val="21"/>
                <w:highlight w:val="none"/>
              </w:rPr>
              <w:t>%</w:t>
            </w:r>
          </w:p>
        </w:tc>
        <w:tc>
          <w:tcPr>
            <w:tcW w:w="1187" w:type="pct"/>
            <w:shd w:val="clear" w:color="auto" w:fill="FFFFFF" w:themeFill="background1"/>
            <w:vAlign w:val="center"/>
          </w:tcPr>
          <w:p w14:paraId="51D7BAB5">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4</w:t>
            </w:r>
            <w:r>
              <w:rPr>
                <w:rFonts w:ascii="宋体" w:hAnsi="宋体" w:eastAsia="宋体" w:cs="Times New Roman"/>
                <w:b w:val="0"/>
                <w:bCs w:val="0"/>
                <w:color w:val="auto"/>
                <w:kern w:val="0"/>
                <w:szCs w:val="21"/>
                <w:highlight w:val="none"/>
              </w:rPr>
              <w:t>%</w:t>
            </w:r>
          </w:p>
        </w:tc>
        <w:tc>
          <w:tcPr>
            <w:tcW w:w="1376" w:type="pct"/>
            <w:shd w:val="clear" w:color="auto" w:fill="FFFFFF" w:themeFill="background1"/>
            <w:vAlign w:val="center"/>
          </w:tcPr>
          <w:p w14:paraId="2037B249">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4</w:t>
            </w:r>
            <w:r>
              <w:rPr>
                <w:rFonts w:ascii="宋体" w:hAnsi="宋体" w:eastAsia="宋体" w:cs="Times New Roman"/>
                <w:b w:val="0"/>
                <w:bCs w:val="0"/>
                <w:color w:val="auto"/>
                <w:kern w:val="0"/>
                <w:szCs w:val="21"/>
                <w:highlight w:val="none"/>
              </w:rPr>
              <w:t>%</w:t>
            </w:r>
          </w:p>
        </w:tc>
      </w:tr>
      <w:tr w14:paraId="4CEDD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424" w:hRule="atLeast"/>
          <w:jc w:val="center"/>
        </w:trPr>
        <w:tc>
          <w:tcPr>
            <w:tcW w:w="1248" w:type="pct"/>
            <w:shd w:val="clear" w:color="auto" w:fill="FFFFFF" w:themeFill="background1"/>
            <w:vAlign w:val="center"/>
          </w:tcPr>
          <w:p w14:paraId="18894105">
            <w:pPr>
              <w:spacing w:line="360" w:lineRule="exact"/>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5000—10000（含）</w:t>
            </w:r>
          </w:p>
        </w:tc>
        <w:tc>
          <w:tcPr>
            <w:tcW w:w="1187" w:type="pct"/>
            <w:shd w:val="clear" w:color="auto" w:fill="92D050"/>
            <w:vAlign w:val="center"/>
          </w:tcPr>
          <w:p w14:paraId="54C62A35">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25</w:t>
            </w:r>
            <w:r>
              <w:rPr>
                <w:rFonts w:ascii="宋体" w:hAnsi="宋体" w:eastAsia="宋体" w:cs="Times New Roman"/>
                <w:b w:val="0"/>
                <w:bCs w:val="0"/>
                <w:color w:val="auto"/>
                <w:kern w:val="0"/>
                <w:szCs w:val="21"/>
                <w:highlight w:val="none"/>
              </w:rPr>
              <w:t>%</w:t>
            </w:r>
          </w:p>
        </w:tc>
        <w:tc>
          <w:tcPr>
            <w:tcW w:w="1187" w:type="pct"/>
            <w:shd w:val="clear" w:color="auto" w:fill="FFFFFF" w:themeFill="background1"/>
            <w:vAlign w:val="center"/>
          </w:tcPr>
          <w:p w14:paraId="239DA3F1">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1</w:t>
            </w:r>
            <w:r>
              <w:rPr>
                <w:rFonts w:ascii="宋体" w:hAnsi="宋体" w:eastAsia="宋体" w:cs="Times New Roman"/>
                <w:b w:val="0"/>
                <w:bCs w:val="0"/>
                <w:color w:val="auto"/>
                <w:kern w:val="0"/>
                <w:szCs w:val="21"/>
                <w:highlight w:val="none"/>
              </w:rPr>
              <w:t>%</w:t>
            </w:r>
          </w:p>
        </w:tc>
        <w:tc>
          <w:tcPr>
            <w:tcW w:w="1376" w:type="pct"/>
            <w:shd w:val="clear" w:color="auto" w:fill="FFFFFF" w:themeFill="background1"/>
            <w:vAlign w:val="center"/>
          </w:tcPr>
          <w:p w14:paraId="3576DFBC">
            <w:pPr>
              <w:spacing w:line="360" w:lineRule="exact"/>
              <w:jc w:val="center"/>
              <w:rPr>
                <w:rFonts w:ascii="宋体" w:hAnsi="宋体" w:eastAsia="宋体" w:cs="Times New Roman"/>
                <w:b w:val="0"/>
                <w:bCs w:val="0"/>
                <w:color w:val="auto"/>
                <w:kern w:val="0"/>
                <w:szCs w:val="21"/>
                <w:highlight w:val="none"/>
                <w:lang w:val="en-US" w:eastAsia="zh-CN"/>
              </w:rPr>
            </w:pPr>
            <w:r>
              <w:rPr>
                <w:rFonts w:hint="eastAsia" w:ascii="宋体" w:hAnsi="宋体" w:eastAsia="宋体" w:cs="Times New Roman"/>
                <w:b w:val="0"/>
                <w:bCs w:val="0"/>
                <w:color w:val="auto"/>
                <w:kern w:val="0"/>
                <w:szCs w:val="21"/>
                <w:highlight w:val="none"/>
              </w:rPr>
              <w:t>0</w:t>
            </w:r>
            <w:r>
              <w:rPr>
                <w:rFonts w:ascii="宋体" w:hAnsi="宋体" w:eastAsia="宋体" w:cs="Times New Roman"/>
                <w:b w:val="0"/>
                <w:bCs w:val="0"/>
                <w:color w:val="auto"/>
                <w:kern w:val="0"/>
                <w:szCs w:val="21"/>
                <w:highlight w:val="none"/>
              </w:rPr>
              <w:t>.</w:t>
            </w:r>
            <w:r>
              <w:rPr>
                <w:rFonts w:hint="eastAsia" w:ascii="宋体" w:hAnsi="宋体" w:eastAsia="宋体" w:cs="Times New Roman"/>
                <w:b w:val="0"/>
                <w:bCs w:val="0"/>
                <w:color w:val="auto"/>
                <w:kern w:val="0"/>
                <w:szCs w:val="21"/>
                <w:highlight w:val="none"/>
              </w:rPr>
              <w:t>25</w:t>
            </w:r>
            <w:r>
              <w:rPr>
                <w:rFonts w:ascii="宋体" w:hAnsi="宋体" w:eastAsia="宋体" w:cs="Times New Roman"/>
                <w:b w:val="0"/>
                <w:bCs w:val="0"/>
                <w:color w:val="auto"/>
                <w:kern w:val="0"/>
                <w:szCs w:val="21"/>
                <w:highlight w:val="none"/>
              </w:rPr>
              <w:t>%</w:t>
            </w:r>
          </w:p>
        </w:tc>
      </w:tr>
    </w:tbl>
    <w:p w14:paraId="7D5C3889">
      <w:pPr>
        <w:ind w:firstLine="420" w:firstLineChars="200"/>
        <w:rPr>
          <w:rFonts w:hint="eastAsia" w:cs="宋体"/>
          <w:color w:val="auto"/>
          <w:kern w:val="0"/>
          <w:szCs w:val="21"/>
          <w:highlight w:val="none"/>
        </w:rPr>
      </w:pPr>
      <w:r>
        <w:rPr>
          <w:rFonts w:hint="eastAsia" w:cs="宋体"/>
          <w:color w:val="auto"/>
          <w:kern w:val="0"/>
          <w:szCs w:val="21"/>
          <w:highlight w:val="none"/>
        </w:rPr>
        <w:t>备注：招标代理服务收费按差额定率累进法计算。</w:t>
      </w:r>
    </w:p>
    <w:p w14:paraId="7F2A0DA5">
      <w:pPr>
        <w:ind w:firstLine="420" w:firstLineChars="200"/>
        <w:jc w:val="left"/>
        <w:rPr>
          <w:rFonts w:hint="eastAsia" w:cs="宋体"/>
          <w:color w:val="auto"/>
          <w:szCs w:val="21"/>
          <w:highlight w:val="none"/>
        </w:rPr>
      </w:pPr>
      <w:r>
        <w:rPr>
          <w:rFonts w:hint="eastAsia" w:cs="宋体"/>
          <w:color w:val="auto"/>
          <w:szCs w:val="21"/>
          <w:highlight w:val="none"/>
        </w:rPr>
        <w:t>32.2中标人应在接受“中标通知书”前向采购代理机构一次付清代理服务费，若因中标人未缴纳代理服务费，采购代理机构有权向有关部门提取诉讼。</w:t>
      </w:r>
    </w:p>
    <w:p w14:paraId="63C78DC0">
      <w:pPr>
        <w:ind w:firstLine="422" w:firstLineChars="200"/>
        <w:jc w:val="left"/>
        <w:rPr>
          <w:rFonts w:hint="eastAsia" w:cs="宋体"/>
          <w:b/>
          <w:bCs/>
          <w:color w:val="auto"/>
          <w:szCs w:val="21"/>
          <w:highlight w:val="none"/>
        </w:rPr>
      </w:pPr>
      <w:r>
        <w:rPr>
          <w:rFonts w:hint="eastAsia" w:cs="宋体"/>
          <w:b/>
          <w:bCs/>
          <w:color w:val="auto"/>
          <w:szCs w:val="21"/>
          <w:highlight w:val="none"/>
        </w:rPr>
        <w:t>32.3代理服务费收款账户信息如下：</w:t>
      </w:r>
    </w:p>
    <w:p w14:paraId="6D2F9A82">
      <w:pPr>
        <w:ind w:firstLine="422" w:firstLineChars="200"/>
        <w:jc w:val="left"/>
        <w:rPr>
          <w:rFonts w:hint="eastAsia" w:cs="宋体"/>
          <w:b/>
          <w:bCs/>
          <w:color w:val="auto"/>
          <w:szCs w:val="21"/>
          <w:highlight w:val="none"/>
        </w:rPr>
      </w:pPr>
      <w:r>
        <w:rPr>
          <w:rFonts w:hint="eastAsia" w:cs="宋体"/>
          <w:b/>
          <w:bCs/>
          <w:color w:val="auto"/>
          <w:szCs w:val="21"/>
          <w:highlight w:val="none"/>
        </w:rPr>
        <w:t>招标公司名称：云南招标股份有限公司</w:t>
      </w:r>
    </w:p>
    <w:p w14:paraId="039F58F6">
      <w:pPr>
        <w:ind w:firstLine="422" w:firstLineChars="200"/>
        <w:jc w:val="left"/>
        <w:rPr>
          <w:rFonts w:hint="eastAsia" w:cs="宋体"/>
          <w:b/>
          <w:bCs/>
          <w:color w:val="auto"/>
          <w:szCs w:val="21"/>
          <w:highlight w:val="none"/>
        </w:rPr>
      </w:pPr>
      <w:r>
        <w:rPr>
          <w:rFonts w:hint="eastAsia" w:cs="宋体"/>
          <w:b/>
          <w:bCs/>
          <w:color w:val="auto"/>
          <w:szCs w:val="21"/>
          <w:highlight w:val="none"/>
        </w:rPr>
        <w:t>开户银行全称：中国工商银行股份有限公司昆明西市区支行</w:t>
      </w:r>
    </w:p>
    <w:p w14:paraId="3FE1B4BF">
      <w:pPr>
        <w:ind w:firstLine="422" w:firstLineChars="200"/>
        <w:jc w:val="left"/>
        <w:rPr>
          <w:rFonts w:hint="eastAsia" w:cs="宋体"/>
          <w:b/>
          <w:bCs/>
          <w:color w:val="auto"/>
          <w:szCs w:val="21"/>
          <w:highlight w:val="none"/>
        </w:rPr>
      </w:pPr>
      <w:r>
        <w:rPr>
          <w:rFonts w:hint="eastAsia" w:cs="宋体"/>
          <w:b/>
          <w:bCs/>
          <w:color w:val="auto"/>
          <w:szCs w:val="21"/>
          <w:highlight w:val="none"/>
        </w:rPr>
        <w:t>账  号：2502016009024543511</w:t>
      </w:r>
    </w:p>
    <w:p w14:paraId="1263EFE1">
      <w:pPr>
        <w:ind w:firstLine="420" w:firstLineChars="200"/>
        <w:jc w:val="left"/>
        <w:rPr>
          <w:rFonts w:hint="eastAsia" w:cs="宋体"/>
          <w:color w:val="auto"/>
          <w:szCs w:val="21"/>
          <w:highlight w:val="none"/>
        </w:rPr>
      </w:pPr>
      <w:r>
        <w:rPr>
          <w:rFonts w:hint="eastAsia" w:cs="宋体"/>
          <w:color w:val="auto"/>
          <w:szCs w:val="21"/>
          <w:highlight w:val="none"/>
        </w:rPr>
        <w:t>32.4其它需要补充的其他内容：见“投标人须知前附表”。</w:t>
      </w:r>
    </w:p>
    <w:p w14:paraId="2ED23146">
      <w:pPr>
        <w:pStyle w:val="23"/>
        <w:ind w:firstLine="422" w:firstLineChars="200"/>
        <w:rPr>
          <w:rFonts w:hint="eastAsia"/>
          <w:b/>
          <w:bCs/>
          <w:color w:val="auto"/>
          <w:szCs w:val="21"/>
          <w:highlight w:val="none"/>
        </w:rPr>
      </w:pPr>
      <w:r>
        <w:rPr>
          <w:rFonts w:hint="eastAsia"/>
          <w:b/>
          <w:bCs/>
          <w:color w:val="auto"/>
          <w:szCs w:val="21"/>
          <w:highlight w:val="none"/>
        </w:rPr>
        <w:t>33.招标文件编制依据</w:t>
      </w:r>
    </w:p>
    <w:p w14:paraId="2E7C5243">
      <w:pPr>
        <w:pStyle w:val="23"/>
        <w:ind w:firstLine="420" w:firstLineChars="200"/>
        <w:rPr>
          <w:rFonts w:hint="eastAsia"/>
          <w:color w:val="auto"/>
          <w:szCs w:val="21"/>
          <w:highlight w:val="none"/>
        </w:rPr>
      </w:pPr>
      <w:r>
        <w:rPr>
          <w:rFonts w:hint="eastAsia"/>
          <w:color w:val="auto"/>
          <w:szCs w:val="21"/>
          <w:highlight w:val="none"/>
        </w:rPr>
        <w:t>33.1本招标文件根据《中华人民共和国政府采购法》及相关法律法规编制。</w:t>
      </w:r>
    </w:p>
    <w:p w14:paraId="19EA0C02">
      <w:pPr>
        <w:pStyle w:val="23"/>
        <w:ind w:firstLine="422" w:firstLineChars="200"/>
        <w:rPr>
          <w:rFonts w:hint="eastAsia"/>
          <w:b/>
          <w:bCs/>
          <w:color w:val="auto"/>
          <w:szCs w:val="21"/>
          <w:highlight w:val="none"/>
        </w:rPr>
      </w:pPr>
      <w:r>
        <w:rPr>
          <w:rFonts w:hint="eastAsia"/>
          <w:b/>
          <w:bCs/>
          <w:color w:val="auto"/>
          <w:szCs w:val="21"/>
          <w:highlight w:val="none"/>
        </w:rPr>
        <w:t>34.</w:t>
      </w:r>
      <w:r>
        <w:rPr>
          <w:rFonts w:hint="eastAsia"/>
          <w:b/>
          <w:color w:val="auto"/>
          <w:szCs w:val="21"/>
          <w:highlight w:val="none"/>
        </w:rPr>
        <w:t>需要补充的其他内容</w:t>
      </w:r>
    </w:p>
    <w:p w14:paraId="7A83DD98">
      <w:pPr>
        <w:pStyle w:val="23"/>
        <w:ind w:firstLine="420" w:firstLineChars="200"/>
        <w:rPr>
          <w:rFonts w:hint="eastAsia"/>
          <w:color w:val="auto"/>
          <w:szCs w:val="21"/>
          <w:highlight w:val="none"/>
        </w:rPr>
      </w:pPr>
      <w:r>
        <w:rPr>
          <w:color w:val="auto"/>
          <w:szCs w:val="21"/>
          <w:highlight w:val="none"/>
        </w:rPr>
        <w:t>3</w:t>
      </w:r>
      <w:r>
        <w:rPr>
          <w:rFonts w:hint="eastAsia"/>
          <w:color w:val="auto"/>
          <w:szCs w:val="21"/>
          <w:highlight w:val="none"/>
        </w:rPr>
        <w:t>4</w:t>
      </w:r>
      <w:r>
        <w:rPr>
          <w:color w:val="auto"/>
          <w:szCs w:val="21"/>
          <w:highlight w:val="none"/>
        </w:rPr>
        <w:t>.1“</w:t>
      </w:r>
      <w:r>
        <w:rPr>
          <w:b/>
          <w:color w:val="auto"/>
          <w:szCs w:val="21"/>
          <w:highlight w:val="none"/>
        </w:rPr>
        <w:t>投标人须知前附表</w:t>
      </w:r>
      <w:r>
        <w:rPr>
          <w:color w:val="auto"/>
          <w:szCs w:val="21"/>
          <w:highlight w:val="none"/>
        </w:rPr>
        <w:t>”</w:t>
      </w:r>
      <w:r>
        <w:rPr>
          <w:rFonts w:hint="eastAsia"/>
          <w:color w:val="auto"/>
          <w:szCs w:val="21"/>
          <w:highlight w:val="none"/>
        </w:rPr>
        <w:t>中若</w:t>
      </w:r>
      <w:r>
        <w:rPr>
          <w:color w:val="auto"/>
          <w:szCs w:val="21"/>
          <w:highlight w:val="none"/>
        </w:rPr>
        <w:t>规定</w:t>
      </w:r>
      <w:r>
        <w:rPr>
          <w:rFonts w:hint="eastAsia"/>
          <w:color w:val="auto"/>
          <w:szCs w:val="21"/>
          <w:highlight w:val="none"/>
        </w:rPr>
        <w:t>可以接受</w:t>
      </w:r>
      <w:r>
        <w:rPr>
          <w:color w:val="auto"/>
          <w:szCs w:val="21"/>
          <w:highlight w:val="none"/>
        </w:rPr>
        <w:t>备选方案</w:t>
      </w:r>
      <w:r>
        <w:rPr>
          <w:rFonts w:hint="eastAsia"/>
          <w:color w:val="auto"/>
          <w:szCs w:val="21"/>
          <w:highlight w:val="none"/>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2806B635">
      <w:pPr>
        <w:pStyle w:val="23"/>
        <w:ind w:firstLine="420" w:firstLineChars="200"/>
        <w:rPr>
          <w:rFonts w:hint="eastAsia"/>
          <w:color w:val="auto"/>
          <w:szCs w:val="21"/>
          <w:highlight w:val="none"/>
        </w:rPr>
      </w:pPr>
      <w:r>
        <w:rPr>
          <w:rFonts w:hint="eastAsia"/>
          <w:color w:val="auto"/>
          <w:szCs w:val="21"/>
          <w:highlight w:val="none"/>
        </w:rPr>
        <w:t>评标委员会在对有备选方案的投标人进行评审时，应当以</w:t>
      </w:r>
      <w:r>
        <w:rPr>
          <w:color w:val="auto"/>
          <w:szCs w:val="21"/>
          <w:highlight w:val="none"/>
        </w:rPr>
        <w:t>主选方案</w:t>
      </w:r>
      <w:r>
        <w:rPr>
          <w:rFonts w:hint="eastAsia"/>
          <w:color w:val="auto"/>
          <w:szCs w:val="21"/>
          <w:highlight w:val="none"/>
        </w:rPr>
        <w:t>为准进行</w:t>
      </w:r>
      <w:r>
        <w:rPr>
          <w:color w:val="auto"/>
          <w:szCs w:val="21"/>
          <w:highlight w:val="none"/>
        </w:rPr>
        <w:t>评</w:t>
      </w:r>
      <w:r>
        <w:rPr>
          <w:rFonts w:hint="eastAsia"/>
          <w:color w:val="auto"/>
          <w:szCs w:val="21"/>
          <w:highlight w:val="none"/>
        </w:rPr>
        <w:t>审，如考虑备选方案的，备选方案必须实质性响应招标文件要求</w:t>
      </w:r>
      <w:r>
        <w:rPr>
          <w:color w:val="auto"/>
          <w:szCs w:val="21"/>
          <w:highlight w:val="none"/>
        </w:rPr>
        <w:t>。</w:t>
      </w:r>
    </w:p>
    <w:p w14:paraId="6AE9F3A1">
      <w:pPr>
        <w:widowControl/>
        <w:ind w:firstLine="420" w:firstLineChars="200"/>
        <w:jc w:val="left"/>
        <w:rPr>
          <w:rFonts w:hint="eastAsia"/>
          <w:b/>
          <w:bCs/>
          <w:color w:val="auto"/>
          <w:szCs w:val="21"/>
          <w:highlight w:val="none"/>
        </w:rPr>
      </w:pPr>
      <w:r>
        <w:rPr>
          <w:rFonts w:hint="eastAsia"/>
          <w:color w:val="auto"/>
          <w:szCs w:val="21"/>
          <w:highlight w:val="none"/>
        </w:rPr>
        <w:t>34.2其它需要补充的其他内容：见</w:t>
      </w:r>
      <w:r>
        <w:rPr>
          <w:rFonts w:hint="eastAsia"/>
          <w:b/>
          <w:bCs/>
          <w:color w:val="auto"/>
          <w:szCs w:val="21"/>
          <w:highlight w:val="none"/>
        </w:rPr>
        <w:t>“投标人须知前附表”。</w:t>
      </w:r>
    </w:p>
    <w:p w14:paraId="2090F7D5">
      <w:pPr>
        <w:widowControl/>
        <w:ind w:firstLine="420" w:firstLineChars="200"/>
        <w:jc w:val="left"/>
        <w:rPr>
          <w:rFonts w:hint="eastAsia" w:cs="宋体"/>
          <w:color w:val="auto"/>
          <w:szCs w:val="21"/>
          <w:highlight w:val="none"/>
        </w:rPr>
      </w:pPr>
      <w:r>
        <w:rPr>
          <w:rFonts w:hint="eastAsia" w:cs="宋体"/>
          <w:color w:val="auto"/>
          <w:szCs w:val="21"/>
          <w:highlight w:val="none"/>
        </w:rPr>
        <w:br w:type="page"/>
      </w:r>
    </w:p>
    <w:p w14:paraId="0E7BC85A">
      <w:pPr>
        <w:pStyle w:val="2"/>
        <w:bidi w:val="0"/>
        <w:rPr>
          <w:rFonts w:hint="eastAsia"/>
        </w:rPr>
      </w:pPr>
      <w:bookmarkStart w:id="106" w:name="_Toc16612"/>
      <w:bookmarkStart w:id="107" w:name="_Toc7277"/>
      <w:bookmarkStart w:id="108" w:name="_Toc213141090"/>
      <w:bookmarkStart w:id="109" w:name="_Toc26989"/>
      <w:bookmarkStart w:id="110" w:name="_Toc18866"/>
      <w:bookmarkStart w:id="111" w:name="_Toc32200"/>
      <w:bookmarkStart w:id="112" w:name="_Hlk17287648"/>
      <w:r>
        <w:rPr>
          <w:rFonts w:hint="eastAsia"/>
        </w:rPr>
        <w:t xml:space="preserve">第三章 </w:t>
      </w:r>
      <w:r>
        <w:rPr>
          <w:rFonts w:hint="eastAsia"/>
          <w:lang w:val="en-US" w:eastAsia="zh-CN"/>
        </w:rPr>
        <w:t xml:space="preserve"> </w:t>
      </w:r>
      <w:r>
        <w:rPr>
          <w:rFonts w:hint="eastAsia"/>
        </w:rPr>
        <w:t>合同书样式及主要条款</w:t>
      </w:r>
      <w:bookmarkEnd w:id="106"/>
      <w:bookmarkEnd w:id="107"/>
      <w:bookmarkEnd w:id="108"/>
      <w:bookmarkEnd w:id="109"/>
    </w:p>
    <w:p w14:paraId="48753398">
      <w:pPr>
        <w:tabs>
          <w:tab w:val="left" w:pos="6750"/>
        </w:tabs>
        <w:spacing w:before="25" w:line="240" w:lineRule="auto"/>
        <w:ind w:left="102"/>
        <w:rPr>
          <w:rFonts w:hint="eastAsia"/>
          <w:b/>
          <w:color w:val="auto"/>
          <w:sz w:val="24"/>
          <w:highlight w:val="none"/>
        </w:rPr>
      </w:pPr>
      <w:bookmarkStart w:id="113" w:name="_Toc331685783"/>
    </w:p>
    <w:bookmarkEnd w:id="113"/>
    <w:p w14:paraId="7A5C1F6C">
      <w:pPr>
        <w:spacing w:line="240" w:lineRule="auto"/>
        <w:ind w:left="102"/>
        <w:rPr>
          <w:rFonts w:hint="default" w:eastAsia="宋体"/>
          <w:b/>
          <w:sz w:val="24"/>
          <w:highlight w:val="none"/>
          <w:lang w:val="en-US" w:eastAsia="zh-CN"/>
        </w:rPr>
      </w:pPr>
      <w:r>
        <w:rPr>
          <w:b/>
          <w:sz w:val="24"/>
          <w:highlight w:val="none"/>
        </w:rPr>
        <w:t>本合同须加盖甲乙双方骑缝章有效</w:t>
      </w:r>
    </w:p>
    <w:p w14:paraId="2A5EC033">
      <w:pPr>
        <w:spacing w:after="160" w:line="240" w:lineRule="auto"/>
        <w:rPr>
          <w:rFonts w:hint="eastAsia"/>
          <w:sz w:val="32"/>
          <w:szCs w:val="20"/>
          <w:highlight w:val="none"/>
        </w:rPr>
      </w:pPr>
    </w:p>
    <w:p w14:paraId="55A82909">
      <w:pPr>
        <w:spacing w:before="6" w:after="160" w:line="240" w:lineRule="auto"/>
        <w:rPr>
          <w:rFonts w:hint="eastAsia"/>
          <w:sz w:val="16"/>
          <w:szCs w:val="20"/>
          <w:highlight w:val="none"/>
        </w:rPr>
      </w:pPr>
    </w:p>
    <w:p w14:paraId="28F1D331">
      <w:pPr>
        <w:pStyle w:val="17"/>
        <w:rPr>
          <w:rFonts w:hint="eastAsia"/>
        </w:rPr>
      </w:pPr>
    </w:p>
    <w:p w14:paraId="1C7BE750">
      <w:pPr>
        <w:tabs>
          <w:tab w:val="left" w:pos="2611"/>
        </w:tabs>
        <w:spacing w:line="240" w:lineRule="auto"/>
        <w:jc w:val="center"/>
        <w:rPr>
          <w:rFonts w:hint="eastAsia" w:eastAsia="宋体" w:cs="华文中宋"/>
          <w:b/>
          <w:sz w:val="60"/>
          <w:szCs w:val="44"/>
          <w:highlight w:val="none"/>
          <w:lang w:val="en-US" w:eastAsia="zh-CN"/>
        </w:rPr>
      </w:pPr>
      <w:r>
        <w:rPr>
          <w:rFonts w:hint="eastAsia" w:cs="华文中宋"/>
          <w:b/>
          <w:sz w:val="60"/>
          <w:szCs w:val="44"/>
          <w:highlight w:val="none"/>
        </w:rPr>
        <w:t>政府采购</w:t>
      </w:r>
      <w:r>
        <w:rPr>
          <w:rFonts w:hint="eastAsia" w:cs="华文中宋"/>
          <w:b/>
          <w:sz w:val="60"/>
          <w:szCs w:val="44"/>
          <w:highlight w:val="none"/>
          <w:lang w:val="en-US" w:eastAsia="zh-CN"/>
        </w:rPr>
        <w:t>合同</w:t>
      </w:r>
    </w:p>
    <w:p w14:paraId="2FB11531">
      <w:pPr>
        <w:tabs>
          <w:tab w:val="left" w:pos="2611"/>
        </w:tabs>
        <w:spacing w:line="240" w:lineRule="auto"/>
        <w:jc w:val="center"/>
        <w:rPr>
          <w:rFonts w:hint="eastAsia" w:cs="华文中宋"/>
          <w:b/>
          <w:sz w:val="32"/>
          <w:szCs w:val="32"/>
          <w:highlight w:val="none"/>
        </w:rPr>
      </w:pPr>
      <w:r>
        <w:rPr>
          <w:rFonts w:cs="华文中宋"/>
          <w:b/>
          <w:sz w:val="32"/>
          <w:szCs w:val="32"/>
          <w:highlight w:val="none"/>
        </w:rPr>
        <w:t>（</w:t>
      </w:r>
      <w:r>
        <w:rPr>
          <w:rFonts w:hint="eastAsia" w:cs="华文中宋"/>
          <w:b/>
          <w:sz w:val="32"/>
          <w:szCs w:val="32"/>
          <w:highlight w:val="none"/>
          <w:lang w:val="en-US" w:eastAsia="zh-CN"/>
        </w:rPr>
        <w:t>电子交易项目适用</w:t>
      </w:r>
      <w:r>
        <w:rPr>
          <w:rFonts w:cs="华文中宋"/>
          <w:b/>
          <w:sz w:val="32"/>
          <w:szCs w:val="32"/>
          <w:highlight w:val="none"/>
        </w:rPr>
        <w:t>）</w:t>
      </w:r>
    </w:p>
    <w:p w14:paraId="20FAA15F">
      <w:pPr>
        <w:spacing w:after="160" w:line="240" w:lineRule="auto"/>
        <w:rPr>
          <w:rFonts w:hint="eastAsia"/>
          <w:sz w:val="26"/>
          <w:szCs w:val="20"/>
          <w:highlight w:val="none"/>
        </w:rPr>
      </w:pPr>
    </w:p>
    <w:p w14:paraId="2C6CA1F9">
      <w:pPr>
        <w:spacing w:after="160" w:line="240" w:lineRule="auto"/>
        <w:rPr>
          <w:rFonts w:hint="eastAsia"/>
          <w:sz w:val="20"/>
          <w:szCs w:val="20"/>
          <w:highlight w:val="none"/>
        </w:rPr>
      </w:pPr>
    </w:p>
    <w:p w14:paraId="09FAF43A">
      <w:pPr>
        <w:pStyle w:val="17"/>
        <w:rPr>
          <w:rFonts w:hint="eastAsia"/>
        </w:rPr>
      </w:pPr>
    </w:p>
    <w:p w14:paraId="0C47C12A">
      <w:pPr>
        <w:spacing w:after="160" w:line="600" w:lineRule="auto"/>
        <w:ind w:left="1842" w:leftChars="877" w:firstLine="257" w:firstLineChars="71"/>
        <w:rPr>
          <w:b/>
          <w:bCs/>
          <w:color w:val="auto"/>
          <w:sz w:val="36"/>
          <w:szCs w:val="36"/>
          <w:u w:val="single"/>
        </w:rPr>
      </w:pPr>
      <w:r>
        <w:rPr>
          <w:rFonts w:hint="eastAsia"/>
          <w:b/>
          <w:bCs/>
          <w:color w:val="auto"/>
          <w:sz w:val="36"/>
          <w:szCs w:val="36"/>
        </w:rPr>
        <w:t>项目名称:</w:t>
      </w:r>
      <w:r>
        <w:rPr>
          <w:rFonts w:hint="eastAsia"/>
          <w:b/>
          <w:bCs/>
          <w:color w:val="auto"/>
          <w:sz w:val="36"/>
          <w:szCs w:val="36"/>
          <w:u w:val="single"/>
        </w:rPr>
        <w:t xml:space="preserve">                         </w:t>
      </w:r>
    </w:p>
    <w:p w14:paraId="1B3C9379">
      <w:pPr>
        <w:spacing w:line="600" w:lineRule="auto"/>
        <w:ind w:left="1842" w:leftChars="877" w:firstLine="257" w:firstLineChars="71"/>
        <w:rPr>
          <w:rFonts w:cs="华文中宋"/>
          <w:b/>
          <w:bCs/>
          <w:color w:val="auto"/>
          <w:sz w:val="36"/>
          <w:szCs w:val="36"/>
        </w:rPr>
      </w:pPr>
      <w:r>
        <w:rPr>
          <w:rFonts w:hint="eastAsia" w:cs="华文中宋"/>
          <w:b/>
          <w:bCs/>
          <w:color w:val="auto"/>
          <w:sz w:val="36"/>
          <w:szCs w:val="36"/>
        </w:rPr>
        <w:t>合同编号:</w:t>
      </w:r>
      <w:r>
        <w:rPr>
          <w:rFonts w:hint="eastAsia"/>
          <w:b/>
          <w:bCs/>
          <w:color w:val="auto"/>
          <w:sz w:val="36"/>
          <w:szCs w:val="36"/>
          <w:u w:val="single"/>
        </w:rPr>
        <w:t xml:space="preserve">                         </w:t>
      </w:r>
    </w:p>
    <w:p w14:paraId="111EE985">
      <w:pPr>
        <w:spacing w:line="600" w:lineRule="auto"/>
        <w:ind w:left="1842" w:leftChars="877" w:firstLine="257" w:firstLineChars="71"/>
        <w:rPr>
          <w:rFonts w:cs="华文中宋"/>
          <w:b/>
          <w:bCs/>
          <w:color w:val="auto"/>
          <w:sz w:val="36"/>
          <w:szCs w:val="36"/>
        </w:rPr>
      </w:pPr>
      <w:r>
        <w:rPr>
          <w:rFonts w:hint="eastAsia" w:cs="华文中宋"/>
          <w:b/>
          <w:bCs/>
          <w:color w:val="auto"/>
          <w:sz w:val="36"/>
          <w:szCs w:val="36"/>
        </w:rPr>
        <w:t>自 编 号:</w:t>
      </w:r>
      <w:r>
        <w:rPr>
          <w:rFonts w:hint="eastAsia"/>
          <w:b/>
          <w:bCs/>
          <w:color w:val="auto"/>
          <w:sz w:val="36"/>
          <w:szCs w:val="36"/>
          <w:u w:val="single"/>
        </w:rPr>
        <w:t xml:space="preserve">                         </w:t>
      </w:r>
    </w:p>
    <w:p w14:paraId="23EAB3BC">
      <w:pPr>
        <w:pStyle w:val="17"/>
        <w:spacing w:line="600" w:lineRule="auto"/>
        <w:ind w:left="1842" w:leftChars="877" w:firstLine="245" w:firstLineChars="71"/>
        <w:rPr>
          <w:rFonts w:hint="default" w:ascii="宋体" w:hAnsi="宋体" w:eastAsia="金山简黑体"/>
          <w:bCs/>
          <w:color w:val="auto"/>
          <w:sz w:val="36"/>
          <w:szCs w:val="36"/>
          <w:lang w:val="en-US" w:eastAsia="zh-CN"/>
        </w:rPr>
      </w:pPr>
      <w:r>
        <w:rPr>
          <w:rFonts w:hint="eastAsia" w:ascii="宋体" w:hAnsi="宋体"/>
          <w:bCs/>
          <w:color w:val="auto"/>
          <w:sz w:val="36"/>
          <w:szCs w:val="36"/>
        </w:rPr>
        <w:t>甲    方:</w:t>
      </w:r>
      <w:r>
        <w:rPr>
          <w:rFonts w:hint="eastAsia" w:ascii="宋体" w:hAnsi="宋体"/>
          <w:bCs/>
          <w:color w:val="auto"/>
          <w:sz w:val="36"/>
          <w:szCs w:val="36"/>
          <w:u w:val="single"/>
        </w:rPr>
        <w:t>普洱市林业和草原局</w:t>
      </w:r>
      <w:r>
        <w:rPr>
          <w:rFonts w:hint="eastAsia" w:ascii="宋体" w:hAnsi="宋体"/>
          <w:bCs/>
          <w:color w:val="auto"/>
          <w:sz w:val="36"/>
          <w:szCs w:val="36"/>
          <w:u w:val="single"/>
          <w:lang w:val="en-US" w:eastAsia="zh-CN"/>
        </w:rPr>
        <w:t xml:space="preserve">         </w:t>
      </w:r>
    </w:p>
    <w:p w14:paraId="65BBB36F">
      <w:pPr>
        <w:spacing w:line="600" w:lineRule="auto"/>
        <w:ind w:left="1842" w:leftChars="877" w:firstLine="257" w:firstLineChars="71"/>
        <w:rPr>
          <w:rFonts w:hint="eastAsia"/>
          <w:b/>
          <w:bCs/>
          <w:color w:val="auto"/>
          <w:sz w:val="36"/>
          <w:szCs w:val="36"/>
          <w:u w:val="single"/>
        </w:rPr>
      </w:pPr>
      <w:r>
        <w:rPr>
          <w:rFonts w:hint="eastAsia"/>
          <w:b/>
          <w:bCs/>
          <w:color w:val="auto"/>
          <w:sz w:val="36"/>
          <w:szCs w:val="36"/>
        </w:rPr>
        <w:t>乙    方:</w:t>
      </w:r>
      <w:r>
        <w:rPr>
          <w:rFonts w:hint="eastAsia"/>
          <w:b/>
          <w:bCs/>
          <w:color w:val="auto"/>
          <w:sz w:val="36"/>
          <w:szCs w:val="36"/>
          <w:u w:val="single"/>
        </w:rPr>
        <w:t xml:space="preserve">         </w:t>
      </w:r>
      <w:r>
        <w:rPr>
          <w:rFonts w:hint="eastAsia"/>
          <w:b/>
          <w:bCs/>
          <w:color w:val="auto"/>
          <w:sz w:val="36"/>
          <w:szCs w:val="36"/>
          <w:u w:val="single"/>
          <w:lang w:val="en-US" w:eastAsia="zh-CN"/>
        </w:rPr>
        <w:t xml:space="preserve">            </w:t>
      </w:r>
      <w:r>
        <w:rPr>
          <w:rFonts w:hint="eastAsia"/>
          <w:b/>
          <w:bCs/>
          <w:color w:val="auto"/>
          <w:sz w:val="36"/>
          <w:szCs w:val="36"/>
          <w:u w:val="single"/>
        </w:rPr>
        <w:t xml:space="preserve">    </w:t>
      </w:r>
    </w:p>
    <w:p w14:paraId="122D0167">
      <w:pPr>
        <w:spacing w:line="600" w:lineRule="auto"/>
        <w:ind w:left="1842" w:leftChars="877"/>
        <w:rPr>
          <w:rFonts w:hint="eastAsia"/>
          <w:b/>
          <w:bCs/>
          <w:color w:val="auto"/>
          <w:sz w:val="36"/>
          <w:szCs w:val="36"/>
          <w:u w:val="single"/>
        </w:rPr>
      </w:pPr>
    </w:p>
    <w:p w14:paraId="30C4D46B">
      <w:pPr>
        <w:tabs>
          <w:tab w:val="left" w:pos="2611"/>
        </w:tabs>
        <w:spacing w:line="240" w:lineRule="auto"/>
        <w:ind w:left="0" w:leftChars="0" w:firstLine="2107" w:firstLineChars="583"/>
        <w:jc w:val="both"/>
        <w:rPr>
          <w:rFonts w:hint="eastAsia" w:cs="华文中宋"/>
          <w:b/>
          <w:sz w:val="28"/>
          <w:szCs w:val="28"/>
          <w:highlight w:val="none"/>
        </w:rPr>
      </w:pPr>
      <w:r>
        <w:rPr>
          <w:rFonts w:hint="eastAsia" w:ascii="宋体" w:hAnsi="宋体" w:eastAsia="宋体" w:cs="Times New Roman"/>
          <w:b/>
          <w:bCs/>
          <w:color w:val="auto"/>
          <w:sz w:val="36"/>
          <w:szCs w:val="36"/>
          <w:lang w:eastAsia="zh-CN"/>
        </w:rPr>
        <w:t>签订地点：</w:t>
      </w:r>
      <w:r>
        <w:rPr>
          <w:rFonts w:hint="eastAsia" w:ascii="宋体" w:hAnsi="宋体" w:eastAsia="宋体" w:cs="Times New Roman"/>
          <w:b/>
          <w:bCs/>
          <w:color w:val="auto"/>
          <w:sz w:val="36"/>
          <w:szCs w:val="36"/>
          <w:u w:val="single"/>
          <w:lang w:val="en-US" w:eastAsia="zh-CN"/>
        </w:rPr>
        <w:t xml:space="preserve">           </w:t>
      </w:r>
    </w:p>
    <w:p w14:paraId="704348D9">
      <w:pPr>
        <w:spacing w:line="240" w:lineRule="auto"/>
        <w:rPr>
          <w:rFonts w:hint="eastAsia" w:cs="华文中宋"/>
          <w:b/>
          <w:sz w:val="24"/>
          <w:highlight w:val="none"/>
        </w:rPr>
      </w:pPr>
      <w:r>
        <w:rPr>
          <w:sz w:val="27"/>
          <w:highlight w:val="none"/>
        </w:rPr>
        <w:br w:type="page"/>
      </w:r>
    </w:p>
    <w:p w14:paraId="7BC631AA">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甲方（采购人公章）名称： </w:t>
      </w:r>
    </w:p>
    <w:p w14:paraId="31460644">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地址： </w:t>
      </w:r>
    </w:p>
    <w:p w14:paraId="15391E87">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邮编： </w:t>
      </w:r>
    </w:p>
    <w:p w14:paraId="6EA9F137">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法定代表人或委托代理人： </w:t>
      </w:r>
    </w:p>
    <w:p w14:paraId="3DA01196">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项目（技术）负责人： </w:t>
      </w:r>
    </w:p>
    <w:p w14:paraId="566F0C94">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电话： </w:t>
      </w:r>
    </w:p>
    <w:p w14:paraId="6AF7B20B">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签订日期： </w:t>
      </w:r>
    </w:p>
    <w:p w14:paraId="1B5919E5">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lang w:val="en-US" w:eastAsia="zh-CN"/>
        </w:rPr>
      </w:pPr>
    </w:p>
    <w:p w14:paraId="1E39E00F">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乙方（供应商公章）名称： </w:t>
      </w:r>
    </w:p>
    <w:p w14:paraId="7F7A9253">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地址： </w:t>
      </w:r>
    </w:p>
    <w:p w14:paraId="0A318BFE">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邮编： </w:t>
      </w:r>
    </w:p>
    <w:p w14:paraId="1056FA99">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法定代表人或委托代理人： </w:t>
      </w:r>
    </w:p>
    <w:p w14:paraId="43745D0B">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经办人： </w:t>
      </w:r>
    </w:p>
    <w:p w14:paraId="49C2C4B5">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电话： </w:t>
      </w:r>
    </w:p>
    <w:p w14:paraId="49679ACF">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签订日期： </w:t>
      </w:r>
    </w:p>
    <w:p w14:paraId="7CF30149">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lang w:val="en-US" w:eastAsia="zh-CN"/>
        </w:rPr>
      </w:pPr>
    </w:p>
    <w:p w14:paraId="136582E2">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丙方（鉴证方公章）名称： </w:t>
      </w:r>
    </w:p>
    <w:p w14:paraId="2EE92F03">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地址： </w:t>
      </w:r>
    </w:p>
    <w:p w14:paraId="57D67E65">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邮编： </w:t>
      </w:r>
    </w:p>
    <w:p w14:paraId="0BB0310A">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法定代表人或委托代理人： </w:t>
      </w:r>
    </w:p>
    <w:p w14:paraId="6D351503">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经办人： </w:t>
      </w:r>
    </w:p>
    <w:p w14:paraId="7CE2B5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val="0"/>
          <w:sz w:val="28"/>
          <w:szCs w:val="28"/>
          <w:highlight w:val="none"/>
        </w:rPr>
      </w:pPr>
      <w:r>
        <w:rPr>
          <w:rFonts w:hint="eastAsia" w:ascii="宋体" w:hAnsi="宋体" w:eastAsia="宋体" w:cs="宋体"/>
          <w:b/>
          <w:bCs w:val="0"/>
          <w:color w:val="auto"/>
          <w:sz w:val="24"/>
          <w:szCs w:val="24"/>
          <w:lang w:val="en-US" w:eastAsia="zh-CN"/>
        </w:rPr>
        <w:t xml:space="preserve">电话： </w:t>
      </w:r>
    </w:p>
    <w:p w14:paraId="0E564AC3">
      <w:pPr>
        <w:spacing w:after="160" w:line="240" w:lineRule="auto"/>
        <w:rPr>
          <w:rFonts w:hint="eastAsia"/>
          <w:sz w:val="20"/>
          <w:szCs w:val="20"/>
          <w:highlight w:val="none"/>
        </w:rPr>
      </w:pPr>
      <w:r>
        <w:rPr>
          <w:sz w:val="20"/>
          <w:szCs w:val="20"/>
          <w:highlight w:val="none"/>
        </w:rPr>
        <w:br w:type="page"/>
      </w:r>
    </w:p>
    <w:p w14:paraId="58CFD32E">
      <w:pPr>
        <w:pStyle w:val="3"/>
        <w:bidi w:val="0"/>
        <w:rPr>
          <w:rFonts w:hint="eastAsia"/>
        </w:rPr>
      </w:pPr>
      <w:bookmarkStart w:id="114" w:name="_Toc22209"/>
      <w:bookmarkStart w:id="115" w:name="_Toc29046"/>
      <w:r>
        <w:rPr>
          <w:rFonts w:hint="eastAsia"/>
        </w:rPr>
        <w:t>第一节</w:t>
      </w:r>
      <w:r>
        <w:rPr>
          <w:rFonts w:hint="eastAsia"/>
          <w:lang w:val="en-US" w:eastAsia="zh-CN"/>
        </w:rPr>
        <w:t xml:space="preserve">  </w:t>
      </w:r>
      <w:r>
        <w:rPr>
          <w:rFonts w:hint="eastAsia"/>
        </w:rPr>
        <w:t>政府采购合同协议书</w:t>
      </w:r>
      <w:bookmarkEnd w:id="114"/>
      <w:bookmarkEnd w:id="115"/>
    </w:p>
    <w:p w14:paraId="7A5B7FFB">
      <w:pPr>
        <w:pStyle w:val="18"/>
        <w:keepNext w:val="0"/>
        <w:keepLines w:val="0"/>
        <w:pageBreakBefore w:val="0"/>
        <w:kinsoku/>
        <w:wordWrap/>
        <w:overflowPunct/>
        <w:topLinePunct w:val="0"/>
        <w:bidi w:val="0"/>
        <w:adjustRightInd w:val="0"/>
        <w:snapToGrid w:val="0"/>
        <w:spacing w:before="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依据《中华人民共和国民法典》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《中华人民共和国政府采购法》等有关的法律法规，</w:t>
      </w:r>
      <w:r>
        <w:rPr>
          <w:rFonts w:hint="eastAsia" w:cs="宋体"/>
          <w:b/>
          <w:bCs/>
          <w:sz w:val="21"/>
          <w:szCs w:val="21"/>
          <w:highlight w:val="none"/>
          <w:u w:val="single"/>
          <w:lang w:eastAsia="zh-CN"/>
        </w:rPr>
        <w:t>2025年普洱市乡镇早期火情处置能力提升建设项目</w:t>
      </w:r>
      <w:r>
        <w:rPr>
          <w:rFonts w:hint="eastAsia" w:ascii="宋体" w:hAnsi="宋体" w:eastAsia="宋体" w:cs="宋体"/>
          <w:b/>
          <w:bCs/>
          <w:sz w:val="21"/>
          <w:szCs w:val="21"/>
          <w:highlight w:val="none"/>
          <w:u w:val="single"/>
          <w:lang w:val="en-US" w:eastAsia="zh-CN"/>
        </w:rPr>
        <w:t>X包</w:t>
      </w:r>
      <w:r>
        <w:rPr>
          <w:rFonts w:hint="eastAsia" w:ascii="宋体" w:hAnsi="宋体" w:eastAsia="宋体" w:cs="宋体"/>
          <w:b/>
          <w:bCs/>
          <w:sz w:val="21"/>
          <w:szCs w:val="21"/>
          <w:highlight w:val="none"/>
          <w:u w:val="single"/>
          <w:lang w:eastAsia="zh-CN"/>
        </w:rPr>
        <w:t>（</w:t>
      </w:r>
      <w:r>
        <w:rPr>
          <w:rFonts w:hint="eastAsia" w:ascii="宋体" w:hAnsi="宋体" w:eastAsia="宋体" w:cs="宋体"/>
          <w:b/>
          <w:bCs/>
          <w:sz w:val="21"/>
          <w:szCs w:val="21"/>
          <w:highlight w:val="none"/>
          <w:u w:val="single"/>
          <w:lang w:val="en-US" w:eastAsia="zh-CN"/>
        </w:rPr>
        <w:t xml:space="preserve">项目编号：      ，招标编号：      </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w:t>
      </w:r>
      <w:r>
        <w:rPr>
          <w:rFonts w:hint="eastAsia" w:ascii="宋体" w:hAnsi="宋体" w:eastAsia="宋体" w:cs="宋体"/>
          <w:sz w:val="21"/>
          <w:szCs w:val="21"/>
          <w:highlight w:val="none"/>
          <w:u w:val="none"/>
          <w:lang w:val="en-US" w:eastAsia="zh-CN"/>
        </w:rPr>
        <w:t>依法委托</w:t>
      </w:r>
      <w:r>
        <w:rPr>
          <w:rFonts w:hint="eastAsia" w:ascii="宋体" w:hAnsi="宋体" w:eastAsia="宋体" w:cs="宋体"/>
          <w:b/>
          <w:bCs/>
          <w:sz w:val="21"/>
          <w:szCs w:val="21"/>
          <w:highlight w:val="none"/>
          <w:u w:val="single"/>
          <w:lang w:val="en-US" w:eastAsia="zh-CN"/>
        </w:rPr>
        <w:t>云南招标股份有限公司</w:t>
      </w:r>
      <w:r>
        <w:rPr>
          <w:rFonts w:hint="eastAsia" w:ascii="宋体" w:hAnsi="宋体" w:eastAsia="宋体" w:cs="宋体"/>
          <w:sz w:val="21"/>
          <w:szCs w:val="21"/>
          <w:highlight w:val="none"/>
          <w:u w:val="none"/>
          <w:lang w:val="en-US" w:eastAsia="zh-CN"/>
        </w:rPr>
        <w:t>以</w:t>
      </w:r>
      <w:r>
        <w:rPr>
          <w:rFonts w:hint="eastAsia" w:ascii="宋体" w:hAnsi="宋体" w:eastAsia="宋体" w:cs="宋体"/>
          <w:sz w:val="21"/>
          <w:szCs w:val="21"/>
          <w:highlight w:val="none"/>
          <w:u w:val="single"/>
          <w:lang w:val="en-US" w:eastAsia="zh-CN"/>
        </w:rPr>
        <w:t>政府采购</w:t>
      </w:r>
      <w:r>
        <w:rPr>
          <w:rFonts w:hint="eastAsia" w:ascii="宋体" w:hAnsi="宋体" w:eastAsia="宋体" w:cs="宋体"/>
          <w:sz w:val="21"/>
          <w:szCs w:val="21"/>
          <w:highlight w:val="none"/>
          <w:u w:val="none"/>
          <w:lang w:val="en-US" w:eastAsia="zh-CN"/>
        </w:rPr>
        <w:t>组织形</w:t>
      </w:r>
      <w:r>
        <w:rPr>
          <w:rFonts w:hint="eastAsia" w:ascii="宋体" w:hAnsi="宋体" w:eastAsia="宋体" w:cs="宋体"/>
          <w:sz w:val="21"/>
          <w:szCs w:val="21"/>
          <w:highlight w:val="none"/>
          <w:u w:val="single"/>
          <w:lang w:val="en-US" w:eastAsia="zh-CN"/>
        </w:rPr>
        <w:t>公开招标</w:t>
      </w:r>
      <w:r>
        <w:rPr>
          <w:rFonts w:hint="eastAsia" w:ascii="宋体" w:hAnsi="宋体" w:eastAsia="宋体" w:cs="宋体"/>
          <w:sz w:val="21"/>
          <w:szCs w:val="21"/>
          <w:highlight w:val="none"/>
          <w:u w:val="none"/>
          <w:lang w:val="en-US" w:eastAsia="zh-CN"/>
        </w:rPr>
        <w:t>方式采购。根据评审结果，确定</w:t>
      </w:r>
      <w:r>
        <w:rPr>
          <w:rFonts w:hint="eastAsia" w:ascii="宋体" w:hAnsi="宋体" w:eastAsia="宋体" w:cs="宋体"/>
          <w:b/>
          <w:bCs/>
          <w:sz w:val="21"/>
          <w:szCs w:val="21"/>
          <w:highlight w:val="none"/>
          <w:u w:val="single"/>
          <w:lang w:val="en-US" w:eastAsia="zh-CN"/>
        </w:rPr>
        <w:t xml:space="preserve"> XXX </w:t>
      </w:r>
      <w:r>
        <w:rPr>
          <w:rFonts w:hint="eastAsia" w:ascii="宋体" w:hAnsi="宋体" w:eastAsia="宋体" w:cs="宋体"/>
          <w:b w:val="0"/>
          <w:bCs w:val="0"/>
          <w:sz w:val="21"/>
          <w:szCs w:val="21"/>
          <w:highlight w:val="none"/>
          <w:u w:val="none"/>
          <w:lang w:val="en-US" w:eastAsia="zh-CN"/>
        </w:rPr>
        <w:t>为中标方。</w:t>
      </w:r>
      <w:r>
        <w:rPr>
          <w:rFonts w:hint="eastAsia" w:ascii="宋体" w:hAnsi="宋体" w:eastAsia="宋体" w:cs="宋体"/>
          <w:sz w:val="21"/>
          <w:szCs w:val="21"/>
          <w:highlight w:val="none"/>
          <w:lang w:val="en-US" w:eastAsia="zh-CN"/>
        </w:rPr>
        <w:t>经友好协商，甲乙双方根据</w:t>
      </w:r>
      <w:r>
        <w:rPr>
          <w:rFonts w:hint="eastAsia" w:ascii="宋体" w:hAnsi="宋体" w:eastAsia="宋体" w:cs="宋体"/>
          <w:i w:val="0"/>
          <w:iCs w:val="0"/>
          <w:sz w:val="21"/>
          <w:szCs w:val="21"/>
          <w:highlight w:val="none"/>
          <w:u w:val="none"/>
          <w:lang w:eastAsia="zh-CN"/>
        </w:rPr>
        <w:t>本采购项目</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招标</w:t>
      </w: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lang w:eastAsia="zh-CN"/>
        </w:rPr>
        <w:t>文件等</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乙方的《投标（响应）文件》及《中标（成交）通知书》，甲乙双方同意签订本合同。具体情况及要求如下：</w:t>
      </w:r>
    </w:p>
    <w:p w14:paraId="5DF1B46F">
      <w:pPr>
        <w:keepNext w:val="0"/>
        <w:keepLines w:val="0"/>
        <w:pageBreakBefore w:val="0"/>
        <w:numPr>
          <w:ilvl w:val="0"/>
          <w:numId w:val="0"/>
        </w:numPr>
        <w:kinsoku/>
        <w:wordWrap/>
        <w:overflowPunct/>
        <w:topLinePunct w:val="0"/>
        <w:bidi w:val="0"/>
        <w:adjustRightInd w:val="0"/>
        <w:snapToGrid w:val="0"/>
        <w:spacing w:before="0"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1.</w:t>
      </w:r>
      <w:r>
        <w:rPr>
          <w:rFonts w:hint="eastAsia" w:ascii="宋体" w:hAnsi="宋体" w:eastAsia="宋体" w:cs="宋体"/>
          <w:b/>
          <w:sz w:val="21"/>
          <w:szCs w:val="21"/>
          <w:highlight w:val="none"/>
        </w:rPr>
        <w:t>项目信息</w:t>
      </w:r>
    </w:p>
    <w:p w14:paraId="3D8EBBE6">
      <w:pPr>
        <w:pStyle w:val="18"/>
        <w:keepNext w:val="0"/>
        <w:keepLines w:val="0"/>
        <w:pageBreakBefore w:val="0"/>
        <w:numPr>
          <w:ilvl w:val="0"/>
          <w:numId w:val="0"/>
        </w:numPr>
        <w:kinsoku/>
        <w:wordWrap/>
        <w:overflowPunct/>
        <w:topLinePunct w:val="0"/>
        <w:bidi w:val="0"/>
        <w:adjustRightInd w:val="0"/>
        <w:snapToGrid w:val="0"/>
        <w:spacing w:before="0" w:after="0" w:line="360" w:lineRule="auto"/>
        <w:ind w:left="0" w:leftChars="0" w:firstLine="404"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pacing w:val="-4"/>
          <w:kern w:val="2"/>
          <w:sz w:val="21"/>
          <w:szCs w:val="21"/>
          <w:lang w:val="en-US" w:eastAsia="zh-CN" w:bidi="ar-SA"/>
        </w:rPr>
        <w:t>（1）</w:t>
      </w: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4FD37C38">
      <w:pPr>
        <w:pStyle w:val="18"/>
        <w:keepNext w:val="0"/>
        <w:keepLines w:val="0"/>
        <w:pageBreakBefore w:val="0"/>
        <w:numPr>
          <w:ilvl w:val="0"/>
          <w:numId w:val="0"/>
        </w:numPr>
        <w:tabs>
          <w:tab w:val="left" w:pos="999"/>
        </w:tabs>
        <w:kinsoku/>
        <w:wordWrap/>
        <w:overflowPunct/>
        <w:topLinePunct w:val="0"/>
        <w:bidi w:val="0"/>
        <w:adjustRightInd w:val="0"/>
        <w:snapToGrid w:val="0"/>
        <w:spacing w:before="0" w:after="0" w:line="360" w:lineRule="auto"/>
        <w:ind w:left="0" w:leftChars="0" w:firstLine="404"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采购项目编号：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6BFF35E6">
      <w:pPr>
        <w:pStyle w:val="18"/>
        <w:keepNext w:val="0"/>
        <w:keepLines w:val="0"/>
        <w:pageBreakBefore w:val="0"/>
        <w:kinsoku/>
        <w:wordWrap/>
        <w:overflowPunct/>
        <w:topLinePunct w:val="0"/>
        <w:bidi w:val="0"/>
        <w:adjustRightInd w:val="0"/>
        <w:snapToGrid w:val="0"/>
        <w:spacing w:before="0" w:after="0" w:line="360" w:lineRule="auto"/>
        <w:ind w:left="0" w:leftChars="0" w:firstLine="404"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65846CC">
      <w:pPr>
        <w:keepNext w:val="0"/>
        <w:keepLines w:val="0"/>
        <w:pageBreakBefore w:val="0"/>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（3）项目内容：</w:t>
      </w:r>
      <w:r>
        <w:rPr>
          <w:rFonts w:hint="eastAsia" w:ascii="宋体" w:hAnsi="宋体" w:eastAsia="宋体" w:cs="宋体"/>
          <w:color w:val="auto"/>
          <w:sz w:val="21"/>
          <w:szCs w:val="21"/>
          <w:highlight w:val="none"/>
          <w:lang w:val="en-US" w:eastAsia="zh-CN"/>
        </w:rPr>
        <w:t>采购标的（品名、生产企业、品牌、规格型号、数量、价格等</w:t>
      </w:r>
      <w:r>
        <w:rPr>
          <w:rFonts w:hint="eastAsia" w:ascii="宋体" w:hAnsi="宋体" w:eastAsia="宋体" w:cs="宋体"/>
          <w:sz w:val="21"/>
          <w:szCs w:val="21"/>
          <w:highlight w:val="none"/>
          <w:lang w:val="en-US" w:eastAsia="zh-CN"/>
        </w:rPr>
        <w:t>）详见附表1：</w:t>
      </w:r>
      <w:r>
        <w:rPr>
          <w:rFonts w:hint="eastAsia" w:ascii="宋体" w:hAnsi="宋体" w:eastAsia="宋体" w:cs="宋体"/>
          <w:sz w:val="21"/>
          <w:szCs w:val="21"/>
          <w:highlight w:val="none"/>
          <w:u w:val="single"/>
          <w:lang w:val="en-US" w:eastAsia="zh-CN"/>
        </w:rPr>
        <w:t>2025年普洱市乡镇早期火情处置能力提升建设项目X包采购清单</w:t>
      </w:r>
      <w:r>
        <w:rPr>
          <w:rFonts w:hint="eastAsia" w:ascii="宋体" w:hAnsi="宋体" w:eastAsia="宋体" w:cs="宋体"/>
          <w:sz w:val="21"/>
          <w:szCs w:val="21"/>
          <w:highlight w:val="none"/>
          <w:lang w:val="en-US" w:eastAsia="zh-CN"/>
        </w:rPr>
        <w:t>内容。</w:t>
      </w:r>
    </w:p>
    <w:p w14:paraId="5DE7C9FF">
      <w:pPr>
        <w:pStyle w:val="371"/>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FE"/>
      </w:r>
      <w:r>
        <w:rPr>
          <w:rFonts w:hint="eastAsia" w:ascii="宋体" w:hAnsi="宋体" w:eastAsia="宋体" w:cs="宋体"/>
          <w:iCs w:val="0"/>
          <w:sz w:val="21"/>
          <w:szCs w:val="21"/>
          <w:highlight w:val="none"/>
          <w:lang w:val="en-US" w:eastAsia="zh-CN"/>
        </w:rPr>
        <w:t>分散采购</w:t>
      </w:r>
    </w:p>
    <w:p w14:paraId="527D2236">
      <w:pPr>
        <w:pStyle w:val="371"/>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FE"/>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14:paraId="4769C7D0">
      <w:pPr>
        <w:pStyle w:val="371"/>
        <w:keepNext w:val="0"/>
        <w:keepLines w:val="0"/>
        <w:pageBreakBefore w:val="0"/>
        <w:numPr>
          <w:ilvl w:val="0"/>
          <w:numId w:val="0"/>
        </w:numPr>
        <w:kinsoku/>
        <w:wordWrap/>
        <w:overflowPunct/>
        <w:topLinePunct w:val="0"/>
        <w:bidi w:val="0"/>
        <w:adjustRightInd w:val="0"/>
        <w:snapToGrid w:val="0"/>
        <w:spacing w:before="0" w:line="360" w:lineRule="auto"/>
        <w:ind w:left="0" w:leftChars="0" w:firstLine="2318" w:firstLineChars="1104"/>
        <w:textAlignment w:val="auto"/>
        <w:rPr>
          <w:rFonts w:hint="eastAsia" w:ascii="宋体" w:hAnsi="宋体" w:eastAsia="宋体" w:cs="宋体"/>
          <w:iCs w:val="0"/>
          <w:sz w:val="21"/>
          <w:szCs w:val="21"/>
          <w:highlight w:val="none"/>
          <w:u w:val="single"/>
          <w:lang w:val="en-US" w:eastAsia="zh-CN"/>
        </w:rPr>
      </w:pP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6F321EC4">
      <w:pPr>
        <w:pStyle w:val="371"/>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w w:val="100"/>
          <w:kern w:val="2"/>
          <w:sz w:val="21"/>
          <w:szCs w:val="21"/>
          <w:highlight w:val="none"/>
          <w:lang w:val="en-US" w:eastAsia="zh-CN" w:bidi="ar-SA"/>
        </w:rPr>
      </w:pP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 w:eastAsia="zh-CN"/>
        </w:rPr>
        <w:t>6</w:t>
      </w:r>
      <w:r>
        <w:rPr>
          <w:rFonts w:hint="eastAsia" w:ascii="宋体" w:hAnsi="宋体" w:eastAsia="宋体" w:cs="宋体"/>
          <w:sz w:val="21"/>
          <w:szCs w:val="21"/>
          <w:highlight w:val="none"/>
          <w:lang w:val="en-US" w:eastAsia="zh-CN"/>
        </w:rPr>
        <w:t>）</w:t>
      </w:r>
      <w:r>
        <w:rPr>
          <w:rFonts w:hint="eastAsia" w:ascii="宋体" w:hAnsi="宋体" w:eastAsia="宋体" w:cs="宋体"/>
          <w:w w:val="100"/>
          <w:kern w:val="2"/>
          <w:sz w:val="21"/>
          <w:szCs w:val="21"/>
          <w:highlight w:val="none"/>
          <w:lang w:val="en-US" w:eastAsia="zh-CN" w:bidi="ar-SA"/>
        </w:rPr>
        <w:t>中标（成交）采购标的制造商是否为中小企业：</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 xml:space="preserve">是      </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否</w:t>
      </w:r>
    </w:p>
    <w:p w14:paraId="12C169A5">
      <w:pPr>
        <w:keepNext w:val="0"/>
        <w:keepLines w:val="0"/>
        <w:pageBreakBefore w:val="0"/>
        <w:numPr>
          <w:ilvl w:val="0"/>
          <w:numId w:val="0"/>
        </w:numPr>
        <w:kinsoku/>
        <w:wordWrap/>
        <w:overflowPunct/>
        <w:topLinePunct w:val="0"/>
        <w:bidi w:val="0"/>
        <w:adjustRightInd w:val="0"/>
        <w:snapToGrid w:val="0"/>
        <w:spacing w:before="0" w:line="360" w:lineRule="auto"/>
        <w:ind w:left="0" w:leftChars="0" w:firstLine="420" w:firstLineChars="200"/>
        <w:textAlignment w:val="auto"/>
        <w:rPr>
          <w:rFonts w:hint="eastAsia" w:ascii="宋体" w:hAnsi="宋体" w:eastAsia="宋体" w:cs="宋体"/>
          <w:iCs/>
          <w:sz w:val="21"/>
          <w:szCs w:val="21"/>
          <w:highlight w:val="none"/>
        </w:rPr>
      </w:pPr>
      <w:r>
        <w:rPr>
          <w:rFonts w:hint="eastAsia" w:ascii="宋体" w:hAnsi="宋体" w:eastAsia="宋体" w:cs="宋体"/>
          <w:w w:val="100"/>
          <w:sz w:val="21"/>
          <w:szCs w:val="21"/>
          <w:highlight w:val="none"/>
          <w:lang w:val="en-US" w:eastAsia="zh-CN"/>
        </w:rPr>
        <w:t>本合同</w:t>
      </w:r>
      <w:r>
        <w:rPr>
          <w:rFonts w:hint="eastAsia" w:ascii="宋体" w:hAnsi="宋体" w:eastAsia="宋体" w:cs="宋体"/>
          <w:w w:val="100"/>
          <w:sz w:val="21"/>
          <w:szCs w:val="21"/>
          <w:highlight w:val="none"/>
        </w:rPr>
        <w:t>是否</w:t>
      </w:r>
      <w:r>
        <w:rPr>
          <w:rFonts w:hint="eastAsia" w:ascii="宋体" w:hAnsi="宋体" w:eastAsia="宋体" w:cs="宋体"/>
          <w:w w:val="100"/>
          <w:sz w:val="21"/>
          <w:szCs w:val="21"/>
          <w:highlight w:val="none"/>
          <w:lang w:eastAsia="zh-CN"/>
        </w:rPr>
        <w:t>为专门面向</w:t>
      </w:r>
      <w:r>
        <w:rPr>
          <w:rFonts w:hint="eastAsia" w:ascii="宋体" w:hAnsi="宋体" w:eastAsia="宋体" w:cs="宋体"/>
          <w:w w:val="100"/>
          <w:sz w:val="21"/>
          <w:szCs w:val="21"/>
          <w:highlight w:val="none"/>
        </w:rPr>
        <w:t>中小企业</w:t>
      </w:r>
      <w:r>
        <w:rPr>
          <w:rFonts w:hint="eastAsia" w:ascii="宋体" w:hAnsi="宋体" w:eastAsia="宋体" w:cs="宋体"/>
          <w:w w:val="100"/>
          <w:sz w:val="21"/>
          <w:szCs w:val="21"/>
          <w:highlight w:val="none"/>
          <w:lang w:eastAsia="zh-CN"/>
        </w:rPr>
        <w:t>的采</w:t>
      </w:r>
      <w:r>
        <w:rPr>
          <w:rFonts w:hint="eastAsia" w:ascii="宋体" w:hAnsi="宋体" w:eastAsia="宋体" w:cs="宋体"/>
          <w:w w:val="100"/>
          <w:sz w:val="21"/>
          <w:szCs w:val="21"/>
          <w:highlight w:val="none"/>
          <w:shd w:val="clear" w:color="auto" w:fill="auto"/>
          <w:lang w:eastAsia="zh-CN"/>
        </w:rPr>
        <w:t>购</w:t>
      </w:r>
      <w:r>
        <w:rPr>
          <w:rFonts w:hint="eastAsia" w:ascii="宋体" w:hAnsi="宋体" w:eastAsia="宋体" w:cs="宋体"/>
          <w:w w:val="100"/>
          <w:sz w:val="21"/>
          <w:szCs w:val="21"/>
          <w:highlight w:val="none"/>
          <w:shd w:val="clear" w:color="auto" w:fill="auto"/>
        </w:rPr>
        <w:t>合同</w:t>
      </w:r>
      <w:r>
        <w:rPr>
          <w:rFonts w:hint="eastAsia" w:ascii="宋体" w:hAnsi="宋体" w:eastAsia="宋体" w:cs="宋体"/>
          <w:w w:val="100"/>
          <w:sz w:val="21"/>
          <w:szCs w:val="21"/>
          <w:highlight w:val="none"/>
          <w:shd w:val="clear" w:color="auto" w:fill="auto"/>
          <w:lang w:eastAsia="zh-CN"/>
        </w:rPr>
        <w:t>（中小企业预留合同）</w:t>
      </w:r>
      <w:r>
        <w:rPr>
          <w:rFonts w:hint="eastAsia" w:ascii="宋体" w:hAnsi="宋体" w:eastAsia="宋体" w:cs="宋体"/>
          <w:sz w:val="21"/>
          <w:szCs w:val="21"/>
          <w:highlight w:val="none"/>
          <w:shd w:val="clear" w:color="auto" w:fill="auto"/>
        </w:rPr>
        <w:t>：</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9689DF4">
      <w:pPr>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若本项目不专门面向中小企业采购，是否给予小微企业评审优惠：</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31B0DBE8">
      <w:pPr>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中标（成交）采购标的制造商是否为残疾人福利性单位：</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7C6313BB">
      <w:pPr>
        <w:keepNext w:val="0"/>
        <w:keepLines w:val="0"/>
        <w:pageBreakBefore w:val="0"/>
        <w:numPr>
          <w:ilvl w:val="0"/>
          <w:numId w:val="0"/>
        </w:numPr>
        <w:kinsoku/>
        <w:wordWrap/>
        <w:overflowPunct/>
        <w:topLinePunct w:val="0"/>
        <w:bidi w:val="0"/>
        <w:snapToGrid w:val="0"/>
        <w:spacing w:line="360" w:lineRule="auto"/>
        <w:ind w:lef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中标（成交）采购标的制造商是否为监狱企业：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5DD4E011">
      <w:pPr>
        <w:keepNext w:val="0"/>
        <w:keepLines w:val="0"/>
        <w:pageBreakBefore w:val="0"/>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 w:eastAsia="zh-CN"/>
        </w:rPr>
        <w:t>7</w:t>
      </w:r>
      <w:r>
        <w:rPr>
          <w:rFonts w:hint="eastAsia" w:ascii="宋体" w:hAnsi="宋体" w:eastAsia="宋体" w:cs="宋体"/>
          <w:sz w:val="21"/>
          <w:szCs w:val="21"/>
          <w:highlight w:val="none"/>
        </w:rPr>
        <w:t>）合同是否分包：</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3EF26042">
      <w:pPr>
        <w:keepNext w:val="0"/>
        <w:keepLines w:val="0"/>
        <w:pageBreakBefore w:val="0"/>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分包主要内容：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617E95BC">
      <w:pPr>
        <w:keepNext w:val="0"/>
        <w:keepLines w:val="0"/>
        <w:pageBreakBefore w:val="0"/>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eastAsia="zh-CN"/>
        </w:rPr>
        <w:t>（如供应商和制造商不同，请分别填写）</w:t>
      </w:r>
      <w:r>
        <w:rPr>
          <w:rFonts w:hint="eastAsia" w:ascii="宋体" w:hAnsi="宋体" w:eastAsia="宋体" w:cs="宋体"/>
          <w:sz w:val="21"/>
          <w:szCs w:val="21"/>
          <w:highlight w:val="none"/>
        </w:rPr>
        <w:t>：</w:t>
      </w:r>
    </w:p>
    <w:p w14:paraId="4ED0E77B">
      <w:pPr>
        <w:keepNext w:val="0"/>
        <w:keepLines w:val="0"/>
        <w:pageBreakBefore w:val="0"/>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57D4BDE2">
      <w:pPr>
        <w:keepNext w:val="0"/>
        <w:keepLines w:val="0"/>
        <w:pageBreakBefore w:val="0"/>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类型</w:t>
      </w:r>
      <w:r>
        <w:rPr>
          <w:rFonts w:hint="eastAsia" w:ascii="宋体" w:hAnsi="宋体" w:eastAsia="宋体" w:cs="宋体"/>
          <w:sz w:val="21"/>
          <w:szCs w:val="21"/>
          <w:highlight w:val="none"/>
          <w:lang w:eastAsia="zh-CN"/>
        </w:rPr>
        <w:t>（如果供应商和制造商不同，只填写制造商类型）</w:t>
      </w:r>
      <w:r>
        <w:rPr>
          <w:rFonts w:hint="eastAsia" w:ascii="宋体" w:hAnsi="宋体" w:eastAsia="宋体" w:cs="宋体"/>
          <w:sz w:val="21"/>
          <w:szCs w:val="21"/>
          <w:highlight w:val="none"/>
        </w:rPr>
        <w:t>：</w:t>
      </w:r>
    </w:p>
    <w:p w14:paraId="3D829AE1">
      <w:pPr>
        <w:keepNext w:val="0"/>
        <w:keepLines w:val="0"/>
        <w:pageBreakBefore w:val="0"/>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大型企业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中型企业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小微型企业</w:t>
      </w:r>
      <w:r>
        <w:rPr>
          <w:rFonts w:hint="eastAsia" w:ascii="宋体" w:hAnsi="宋体" w:eastAsia="宋体" w:cs="宋体"/>
          <w:iCs/>
          <w:sz w:val="21"/>
          <w:szCs w:val="21"/>
          <w:highlight w:val="none"/>
          <w:lang w:val="en-US" w:eastAsia="zh-CN"/>
        </w:rPr>
        <w:t xml:space="preserve">  </w:t>
      </w:r>
    </w:p>
    <w:p w14:paraId="3A329F67">
      <w:pPr>
        <w:keepNext w:val="0"/>
        <w:keepLines w:val="0"/>
        <w:pageBreakBefore w:val="0"/>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残疾人福利性单位</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监狱</w:t>
      </w:r>
      <w:r>
        <w:rPr>
          <w:rFonts w:hint="eastAsia" w:ascii="宋体" w:hAnsi="宋体" w:eastAsia="宋体" w:cs="宋体"/>
          <w:iCs/>
          <w:sz w:val="21"/>
          <w:szCs w:val="21"/>
          <w:highlight w:val="none"/>
        </w:rPr>
        <w:t>企业</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p>
    <w:p w14:paraId="2AF3B3CB">
      <w:pPr>
        <w:keepNext w:val="0"/>
        <w:keepLines w:val="0"/>
        <w:pageBreakBefore w:val="0"/>
        <w:numPr>
          <w:ilvl w:val="0"/>
          <w:numId w:val="0"/>
        </w:numPr>
        <w:kinsoku/>
        <w:wordWrap/>
        <w:overflowPunct/>
        <w:topLinePunct w:val="0"/>
        <w:bidi w:val="0"/>
        <w:adjustRightInd w:val="0"/>
        <w:snapToGrid w:val="0"/>
        <w:spacing w:before="0" w:line="360" w:lineRule="auto"/>
        <w:ind w:left="0" w:leftChars="0" w:firstLine="420" w:firstLineChars="20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w:t>
      </w:r>
      <w:r>
        <w:rPr>
          <w:rFonts w:hint="eastAsia" w:ascii="宋体" w:hAnsi="宋体" w:eastAsia="宋体" w:cs="宋体"/>
          <w:sz w:val="21"/>
          <w:szCs w:val="21"/>
          <w:highlight w:val="none"/>
          <w:u w:val="none"/>
          <w:lang w:val="en" w:eastAsia="zh-CN"/>
        </w:rPr>
        <w:t>8</w:t>
      </w:r>
      <w:r>
        <w:rPr>
          <w:rFonts w:hint="eastAsia" w:ascii="宋体" w:hAnsi="宋体" w:eastAsia="宋体" w:cs="宋体"/>
          <w:sz w:val="21"/>
          <w:szCs w:val="21"/>
          <w:highlight w:val="none"/>
          <w:u w:val="none"/>
          <w:lang w:val="en-US" w:eastAsia="zh-CN"/>
        </w:rPr>
        <w:t>）中标（成交）供应商是否为外商投资企业：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6069E693">
      <w:pPr>
        <w:pStyle w:val="371"/>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val="0"/>
          <w:sz w:val="21"/>
          <w:szCs w:val="21"/>
          <w:highlight w:val="none"/>
          <w:lang w:val="en-US" w:eastAsia="zh-CN"/>
        </w:rPr>
        <w:t>外商</w:t>
      </w:r>
      <w:r>
        <w:rPr>
          <w:rFonts w:hint="eastAsia" w:ascii="宋体" w:hAnsi="宋体" w:eastAsia="宋体" w:cs="宋体"/>
          <w:sz w:val="21"/>
          <w:szCs w:val="21"/>
          <w:highlight w:val="none"/>
          <w:u w:val="none"/>
          <w:lang w:val="en-US" w:eastAsia="zh-CN"/>
        </w:rPr>
        <w:t>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46D082F1">
      <w:pPr>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（9）涉及商品包装和快递包装的，是否参考</w:t>
      </w:r>
      <w:r>
        <w:rPr>
          <w:rFonts w:hint="eastAsia" w:ascii="宋体" w:hAnsi="宋体" w:eastAsia="宋体" w:cs="宋体"/>
          <w:sz w:val="21"/>
          <w:szCs w:val="21"/>
          <w:highlight w:val="none"/>
        </w:rPr>
        <w:t>《商品包装政府采购需求标准（试行）》、《快递包装政府采购需求标准（试行）》</w:t>
      </w:r>
      <w:r>
        <w:rPr>
          <w:rFonts w:hint="eastAsia" w:ascii="宋体" w:hAnsi="宋体" w:eastAsia="宋体" w:cs="宋体"/>
          <w:sz w:val="21"/>
          <w:szCs w:val="21"/>
          <w:highlight w:val="none"/>
          <w:lang w:eastAsia="zh-CN"/>
        </w:rPr>
        <w:t>明确产品及相关快递服务的具体包装要求：</w:t>
      </w:r>
    </w:p>
    <w:p w14:paraId="4A9DB15F">
      <w:pPr>
        <w:keepNext w:val="0"/>
        <w:keepLines w:val="0"/>
        <w:pageBreakBefore w:val="0"/>
        <w:numPr>
          <w:ilvl w:val="0"/>
          <w:numId w:val="0"/>
        </w:numPr>
        <w:kinsoku/>
        <w:wordWrap/>
        <w:overflowPunct/>
        <w:topLinePunct w:val="0"/>
        <w:bidi w:val="0"/>
        <w:adjustRightInd w:val="0"/>
        <w:snapToGrid w:val="0"/>
        <w:spacing w:before="0" w:line="360" w:lineRule="auto"/>
        <w:ind w:left="0" w:firstLine="420" w:firstLineChars="20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 xml:space="preserve">是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不涉及</w:t>
      </w:r>
    </w:p>
    <w:p w14:paraId="363FBB8B">
      <w:pPr>
        <w:keepNext w:val="0"/>
        <w:keepLines w:val="0"/>
        <w:pageBreakBefore w:val="0"/>
        <w:numPr>
          <w:ilvl w:val="0"/>
          <w:numId w:val="0"/>
        </w:numPr>
        <w:shd w:val="clear" w:color="auto" w:fill="auto"/>
        <w:kinsoku/>
        <w:wordWrap/>
        <w:overflowPunct/>
        <w:topLinePunct w:val="0"/>
        <w:bidi w:val="0"/>
        <w:adjustRightInd w:val="0"/>
        <w:snapToGrid w:val="0"/>
        <w:spacing w:before="0" w:line="360" w:lineRule="auto"/>
        <w:ind w:firstLine="422"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2.</w:t>
      </w:r>
      <w:r>
        <w:rPr>
          <w:rFonts w:hint="eastAsia" w:ascii="宋体" w:hAnsi="宋体" w:eastAsia="宋体" w:cs="宋体"/>
          <w:b/>
          <w:szCs w:val="21"/>
          <w:highlight w:val="none"/>
        </w:rPr>
        <w:t>合同金额</w:t>
      </w:r>
    </w:p>
    <w:p w14:paraId="52459A39">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（1）合同</w:t>
      </w:r>
      <w:r>
        <w:rPr>
          <w:rFonts w:hint="eastAsia" w:ascii="宋体" w:hAnsi="宋体" w:eastAsia="宋体" w:cs="宋体"/>
          <w:szCs w:val="21"/>
          <w:highlight w:val="none"/>
          <w:lang w:val="en-US" w:eastAsia="zh-CN"/>
        </w:rPr>
        <w:t>总</w:t>
      </w:r>
      <w:r>
        <w:rPr>
          <w:rFonts w:hint="eastAsia" w:ascii="宋体" w:hAnsi="宋体" w:eastAsia="宋体" w:cs="宋体"/>
          <w:szCs w:val="21"/>
          <w:highlight w:val="none"/>
        </w:rPr>
        <w:t>金额</w:t>
      </w:r>
      <w:r>
        <w:rPr>
          <w:rFonts w:hint="eastAsia" w:ascii="宋体" w:hAnsi="宋体" w:eastAsia="宋体" w:cs="宋体"/>
          <w:szCs w:val="21"/>
          <w:highlight w:val="none"/>
          <w:lang w:eastAsia="zh-CN"/>
        </w:rPr>
        <w:t>：</w:t>
      </w:r>
    </w:p>
    <w:p w14:paraId="7D13B1E1">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小写：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p w14:paraId="484015C6">
      <w:pPr>
        <w:keepNext w:val="0"/>
        <w:keepLines w:val="0"/>
        <w:pageBreakBefore w:val="0"/>
        <w:shd w:val="clear" w:color="auto" w:fill="auto"/>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B69B18E">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leftChars="0" w:firstLine="420" w:firstLineChars="200"/>
        <w:textAlignment w:val="auto"/>
        <w:rPr>
          <w:rFonts w:hint="default" w:ascii="宋体" w:hAnsi="宋体" w:eastAsia="宋体" w:cs="宋体"/>
          <w:szCs w:val="21"/>
          <w:highlight w:val="none"/>
          <w:u w:val="single"/>
          <w:lang w:val="en-US" w:eastAsia="zh-CN"/>
        </w:rPr>
      </w:pPr>
      <w:r>
        <w:rPr>
          <w:rFonts w:hint="eastAsia" w:ascii="宋体" w:hAnsi="宋体" w:eastAsia="宋体" w:cs="宋体"/>
          <w:kern w:val="2"/>
          <w:sz w:val="21"/>
          <w:szCs w:val="21"/>
          <w:highlight w:val="none"/>
          <w:lang w:val="en-US" w:eastAsia="zh-CN" w:bidi="ar-SA"/>
        </w:rPr>
        <w:t>（2）</w:t>
      </w:r>
      <w:r>
        <w:rPr>
          <w:rFonts w:hint="eastAsia" w:ascii="宋体" w:hAnsi="宋体" w:eastAsia="宋体" w:cs="宋体"/>
          <w:highlight w:val="none"/>
        </w:rPr>
        <w:t>付款方式</w:t>
      </w:r>
      <w:r>
        <w:rPr>
          <w:rFonts w:hint="eastAsia" w:ascii="宋体" w:hAnsi="宋体" w:eastAsia="宋体" w:cs="宋体"/>
          <w:szCs w:val="21"/>
          <w:highlight w:val="none"/>
        </w:rPr>
        <w:t>：</w:t>
      </w:r>
      <w:r>
        <w:rPr>
          <w:rFonts w:hint="eastAsia" w:ascii="宋体" w:hAnsi="宋体" w:eastAsia="宋体" w:cs="宋体"/>
          <w:szCs w:val="21"/>
          <w:highlight w:val="none"/>
          <w:u w:val="single"/>
          <w:lang w:val="en-US" w:eastAsia="zh-CN"/>
        </w:rPr>
        <w:t>签订合同，到货、现场安装、调试、培训、验收合格后，乙方开具合法有效发票，甲方收到发票</w:t>
      </w:r>
      <w:r>
        <w:rPr>
          <w:rFonts w:hint="eastAsia" w:cs="宋体"/>
          <w:szCs w:val="21"/>
          <w:highlight w:val="none"/>
          <w:u w:val="single"/>
          <w:lang w:val="en-US" w:eastAsia="zh-CN"/>
        </w:rPr>
        <w:t>15个工作日</w:t>
      </w:r>
      <w:r>
        <w:rPr>
          <w:rFonts w:hint="eastAsia" w:ascii="宋体" w:hAnsi="宋体" w:eastAsia="宋体" w:cs="宋体"/>
          <w:szCs w:val="21"/>
          <w:highlight w:val="none"/>
          <w:u w:val="single"/>
          <w:lang w:val="en-US" w:eastAsia="zh-CN"/>
        </w:rPr>
        <w:t>内以银行转账方式支付合同总价款的100%（计：xxx元，大写：XXX）。</w:t>
      </w:r>
    </w:p>
    <w:p w14:paraId="7B9B9ED3">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b w:val="0"/>
          <w:bCs w:val="0"/>
          <w:szCs w:val="21"/>
          <w:highlight w:val="none"/>
          <w:u w:val="single"/>
        </w:rPr>
      </w:pPr>
      <w:r>
        <w:rPr>
          <w:rFonts w:hint="eastAsia" w:ascii="宋体" w:hAnsi="宋体" w:eastAsia="宋体" w:cs="宋体"/>
          <w:b w:val="0"/>
          <w:bCs w:val="0"/>
          <w:kern w:val="2"/>
          <w:sz w:val="21"/>
          <w:szCs w:val="21"/>
          <w:lang w:val="en-US" w:eastAsia="zh-CN" w:bidi="ar-SA"/>
        </w:rPr>
        <w:t>（3）</w:t>
      </w:r>
      <w:r>
        <w:rPr>
          <w:rFonts w:hint="eastAsia" w:ascii="宋体" w:hAnsi="宋体" w:eastAsia="宋体" w:cs="宋体"/>
          <w:b w:val="0"/>
          <w:bCs w:val="0"/>
          <w:szCs w:val="21"/>
          <w:highlight w:val="none"/>
          <w:u w:val="none"/>
          <w:lang w:val="en-US" w:eastAsia="zh-CN"/>
        </w:rPr>
        <w:t>合同形式：固定总价合同。</w:t>
      </w:r>
    </w:p>
    <w:p w14:paraId="68B9E06D">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leftChars="0" w:firstLine="422" w:firstLineChars="200"/>
        <w:textAlignment w:val="auto"/>
        <w:rPr>
          <w:rFonts w:hint="eastAsia" w:ascii="宋体" w:hAnsi="宋体" w:eastAsia="宋体" w:cs="宋体"/>
          <w:b/>
          <w:bCs w:val="0"/>
          <w:szCs w:val="21"/>
          <w:highlight w:val="none"/>
          <w:u w:val="single"/>
        </w:rPr>
      </w:pPr>
      <w:r>
        <w:rPr>
          <w:rFonts w:hint="eastAsia" w:ascii="宋体" w:hAnsi="宋体" w:eastAsia="宋体" w:cs="宋体"/>
          <w:b/>
          <w:bCs w:val="0"/>
          <w:szCs w:val="21"/>
          <w:highlight w:val="none"/>
          <w:lang w:val="en-US" w:eastAsia="zh-CN"/>
        </w:rPr>
        <w:t>3.</w:t>
      </w:r>
      <w:r>
        <w:rPr>
          <w:rFonts w:hint="eastAsia" w:ascii="宋体" w:hAnsi="宋体" w:eastAsia="宋体" w:cs="宋体"/>
          <w:b/>
          <w:bCs w:val="0"/>
          <w:szCs w:val="21"/>
          <w:highlight w:val="none"/>
        </w:rPr>
        <w:t>合同履行</w:t>
      </w:r>
    </w:p>
    <w:p w14:paraId="0BD7CC01">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w:t>
      </w:r>
      <w:r>
        <w:rPr>
          <w:rFonts w:hint="eastAsia" w:ascii="宋体" w:hAnsi="宋体" w:eastAsia="宋体" w:cs="宋体"/>
          <w:szCs w:val="21"/>
          <w:highlight w:val="none"/>
          <w:lang w:eastAsia="zh-CN"/>
        </w:rPr>
        <w:t>履约</w:t>
      </w:r>
      <w:r>
        <w:rPr>
          <w:rFonts w:hint="eastAsia" w:ascii="宋体" w:hAnsi="宋体" w:eastAsia="宋体" w:cs="宋体"/>
          <w:szCs w:val="21"/>
          <w:highlight w:val="none"/>
        </w:rPr>
        <w:t>地点</w:t>
      </w:r>
      <w:r>
        <w:rPr>
          <w:rFonts w:hint="eastAsia" w:ascii="宋体" w:hAnsi="宋体" w:eastAsia="宋体" w:cs="宋体"/>
          <w:b w:val="0"/>
          <w:bCs/>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甲方指定地点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p w14:paraId="3723AA16">
      <w:pPr>
        <w:keepNext w:val="0"/>
        <w:keepLines w:val="0"/>
        <w:pageBreakBefore w:val="0"/>
        <w:shd w:val="clear" w:color="auto" w:fill="auto"/>
        <w:kinsoku/>
        <w:wordWrap/>
        <w:overflowPunct/>
        <w:topLinePunct w:val="0"/>
        <w:bidi w:val="0"/>
        <w:spacing w:line="360" w:lineRule="auto"/>
        <w:ind w:left="0" w:firstLine="420" w:firstLineChars="200"/>
        <w:jc w:val="left"/>
        <w:textAlignment w:val="auto"/>
        <w:rPr>
          <w:rFonts w:hint="eastAsia" w:ascii="宋体" w:hAnsi="宋体" w:eastAsia="宋体" w:cs="宋体"/>
          <w:bCs/>
          <w:szCs w:val="21"/>
          <w:highlight w:val="none"/>
        </w:rPr>
      </w:pP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rPr>
        <w:t>）履约</w:t>
      </w:r>
      <w:r>
        <w:rPr>
          <w:rFonts w:hint="eastAsia" w:ascii="宋体" w:hAnsi="宋体" w:eastAsia="宋体" w:cs="宋体"/>
          <w:bCs/>
          <w:szCs w:val="21"/>
          <w:highlight w:val="none"/>
          <w:lang w:val="en-US" w:eastAsia="zh-CN"/>
        </w:rPr>
        <w:t>保证金</w:t>
      </w:r>
      <w:r>
        <w:rPr>
          <w:rFonts w:hint="eastAsia" w:ascii="宋体" w:hAnsi="宋体" w:eastAsia="宋体" w:cs="宋体"/>
          <w:bCs/>
          <w:szCs w:val="21"/>
          <w:highlight w:val="none"/>
        </w:rPr>
        <w:t>：签订合同</w:t>
      </w:r>
      <w:r>
        <w:rPr>
          <w:rFonts w:hint="eastAsia" w:ascii="宋体" w:hAnsi="宋体" w:eastAsia="宋体" w:cs="宋体"/>
          <w:bCs/>
          <w:szCs w:val="21"/>
          <w:highlight w:val="none"/>
          <w:lang w:val="en-US" w:eastAsia="zh-CN"/>
        </w:rPr>
        <w:t>后</w:t>
      </w:r>
      <w:r>
        <w:rPr>
          <w:rFonts w:hint="eastAsia" w:ascii="宋体" w:hAnsi="宋体" w:eastAsia="宋体" w:cs="宋体"/>
          <w:bCs/>
          <w:szCs w:val="21"/>
          <w:highlight w:val="none"/>
        </w:rPr>
        <w:t>，乙方向甲方支付合同总价款5%（计：</w:t>
      </w:r>
      <w:r>
        <w:rPr>
          <w:rFonts w:hint="eastAsia" w:ascii="宋体" w:hAnsi="宋体" w:eastAsia="宋体" w:cs="宋体"/>
          <w:bCs/>
          <w:sz w:val="21"/>
          <w:szCs w:val="21"/>
          <w:highlight w:val="none"/>
          <w:u w:val="single"/>
          <w:lang w:val="en-US" w:eastAsia="zh-CN"/>
        </w:rPr>
        <w:t>xxx</w:t>
      </w:r>
      <w:r>
        <w:rPr>
          <w:rFonts w:hint="eastAsia" w:ascii="宋体" w:hAnsi="宋体" w:eastAsia="宋体" w:cs="宋体"/>
          <w:bCs/>
          <w:szCs w:val="21"/>
          <w:highlight w:val="none"/>
        </w:rPr>
        <w:t>元，大写：</w:t>
      </w:r>
      <w:r>
        <w:rPr>
          <w:rFonts w:hint="eastAsia" w:ascii="宋体" w:hAnsi="宋体" w:eastAsia="宋体" w:cs="宋体"/>
          <w:bCs/>
          <w:sz w:val="21"/>
          <w:szCs w:val="21"/>
          <w:highlight w:val="none"/>
          <w:u w:val="single"/>
          <w:lang w:val="en-US" w:eastAsia="zh-CN"/>
        </w:rPr>
        <w:t>xxxx</w:t>
      </w:r>
      <w:r>
        <w:rPr>
          <w:rFonts w:hint="eastAsia" w:ascii="宋体" w:hAnsi="宋体" w:eastAsia="宋体" w:cs="宋体"/>
          <w:bCs/>
          <w:szCs w:val="21"/>
          <w:highlight w:val="none"/>
        </w:rPr>
        <w:t>）作为履约保证金。</w:t>
      </w:r>
      <w:r>
        <w:rPr>
          <w:rFonts w:hint="eastAsia" w:ascii="宋体" w:hAnsi="宋体" w:eastAsia="宋体" w:cs="宋体"/>
          <w:bCs/>
          <w:szCs w:val="21"/>
          <w:highlight w:val="none"/>
          <w:lang w:val="en-US" w:eastAsia="zh-CN"/>
        </w:rPr>
        <w:t>履约</w:t>
      </w:r>
      <w:r>
        <w:rPr>
          <w:rFonts w:hint="eastAsia" w:ascii="宋体" w:hAnsi="宋体" w:eastAsia="宋体" w:cs="宋体"/>
          <w:bCs/>
          <w:szCs w:val="21"/>
          <w:highlight w:val="none"/>
        </w:rPr>
        <w:t>期满（</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rPr>
        <w:t>年），根据乙方履约情况甲方一次性无息</w:t>
      </w:r>
      <w:r>
        <w:rPr>
          <w:rFonts w:hint="eastAsia" w:ascii="宋体" w:hAnsi="宋体" w:eastAsia="宋体" w:cs="宋体"/>
          <w:bCs/>
          <w:szCs w:val="21"/>
          <w:highlight w:val="none"/>
          <w:lang w:val="en-US" w:eastAsia="zh-CN"/>
        </w:rPr>
        <w:t>退还</w:t>
      </w:r>
      <w:r>
        <w:rPr>
          <w:rFonts w:hint="eastAsia" w:ascii="宋体" w:hAnsi="宋体" w:eastAsia="宋体" w:cs="宋体"/>
          <w:bCs/>
          <w:szCs w:val="21"/>
          <w:highlight w:val="none"/>
        </w:rPr>
        <w:t>给乙方，</w:t>
      </w:r>
      <w:r>
        <w:rPr>
          <w:rFonts w:hint="eastAsia" w:ascii="宋体" w:hAnsi="宋体" w:eastAsia="宋体" w:cs="宋体"/>
          <w:bCs/>
          <w:szCs w:val="21"/>
          <w:highlight w:val="none"/>
          <w:lang w:val="en-US" w:eastAsia="zh-CN"/>
        </w:rPr>
        <w:t>履约</w:t>
      </w:r>
      <w:r>
        <w:rPr>
          <w:rFonts w:hint="eastAsia" w:ascii="宋体" w:hAnsi="宋体" w:eastAsia="宋体" w:cs="宋体"/>
          <w:bCs/>
          <w:szCs w:val="21"/>
          <w:highlight w:val="none"/>
        </w:rPr>
        <w:t>期内如乙方未按照合同约定履约导致甲方因此产生的费用或损失超过履约保证金的，扣除履约保证金后乙方按照实际发生的费用将不足部分支付给甲方。</w:t>
      </w:r>
    </w:p>
    <w:p w14:paraId="64A43E82">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4.</w:t>
      </w:r>
      <w:r>
        <w:rPr>
          <w:rFonts w:hint="eastAsia" w:ascii="宋体" w:hAnsi="宋体" w:eastAsia="宋体" w:cs="宋体"/>
          <w:b/>
          <w:szCs w:val="21"/>
          <w:highlight w:val="none"/>
        </w:rPr>
        <w:t>合同验收</w:t>
      </w:r>
    </w:p>
    <w:p w14:paraId="6514D478">
      <w:pPr>
        <w:pStyle w:val="17"/>
        <w:keepNext w:val="0"/>
        <w:keepLines w:val="0"/>
        <w:pageBreakBefore w:val="0"/>
        <w:numPr>
          <w:ilvl w:val="0"/>
          <w:numId w:val="0"/>
        </w:numPr>
        <w:shd w:val="clear" w:color="auto" w:fill="auto"/>
        <w:kinsoku/>
        <w:wordWrap/>
        <w:overflowPunct/>
        <w:topLinePunct w:val="0"/>
        <w:bidi w:val="0"/>
        <w:spacing w:after="0" w:line="360" w:lineRule="auto"/>
        <w:ind w:left="0" w:leftChars="0" w:firstLine="420" w:firstLineChars="200"/>
        <w:textAlignment w:val="auto"/>
        <w:rPr>
          <w:rFonts w:hint="eastAsia" w:ascii="宋体" w:hAnsi="宋体" w:eastAsia="宋体" w:cs="宋体"/>
          <w:b w:val="0"/>
          <w:bCs/>
          <w:spacing w:val="0"/>
          <w:kern w:val="2"/>
          <w:sz w:val="21"/>
          <w:szCs w:val="21"/>
          <w:highlight w:val="none"/>
          <w:lang w:val="en-US" w:eastAsia="zh-CN" w:bidi="ar-SA"/>
        </w:rPr>
      </w:pPr>
      <w:r>
        <w:rPr>
          <w:rFonts w:hint="eastAsia" w:ascii="宋体" w:hAnsi="宋体" w:eastAsia="宋体" w:cs="宋体"/>
          <w:b w:val="0"/>
          <w:bCs/>
          <w:spacing w:val="0"/>
          <w:kern w:val="2"/>
          <w:sz w:val="21"/>
          <w:szCs w:val="21"/>
          <w:lang w:val="en-US" w:eastAsia="zh-CN" w:bidi="ar-SA"/>
        </w:rPr>
        <w:t>（1）</w:t>
      </w:r>
      <w:r>
        <w:rPr>
          <w:rFonts w:hint="eastAsia" w:ascii="宋体" w:hAnsi="宋体" w:eastAsia="宋体" w:cs="宋体"/>
          <w:b w:val="0"/>
          <w:bCs/>
          <w:spacing w:val="0"/>
          <w:kern w:val="2"/>
          <w:sz w:val="21"/>
          <w:szCs w:val="21"/>
          <w:highlight w:val="none"/>
          <w:lang w:val="en-US" w:eastAsia="zh-CN" w:bidi="ar-SA"/>
        </w:rPr>
        <w:t>产品的安装、调试工作由乙方负责，生产企业专业技术人员按照质量标准要求完成安装及调试，保证满足国家、行业技术标准和甲方要求。</w:t>
      </w:r>
    </w:p>
    <w:p w14:paraId="5EBEFDEC">
      <w:pPr>
        <w:pStyle w:val="17"/>
        <w:keepNext w:val="0"/>
        <w:keepLines w:val="0"/>
        <w:pageBreakBefore w:val="0"/>
        <w:numPr>
          <w:ilvl w:val="0"/>
          <w:numId w:val="0"/>
        </w:numPr>
        <w:shd w:val="clear" w:color="auto" w:fill="auto"/>
        <w:kinsoku/>
        <w:wordWrap/>
        <w:overflowPunct/>
        <w:topLinePunct w:val="0"/>
        <w:bidi w:val="0"/>
        <w:spacing w:after="0" w:line="360" w:lineRule="auto"/>
        <w:ind w:left="0" w:leftChars="0" w:firstLine="420" w:firstLineChars="200"/>
        <w:textAlignment w:val="auto"/>
        <w:rPr>
          <w:rFonts w:hint="eastAsia" w:ascii="宋体" w:hAnsi="宋体" w:eastAsia="宋体" w:cs="宋体"/>
          <w:b w:val="0"/>
          <w:bCs/>
          <w:spacing w:val="0"/>
          <w:kern w:val="2"/>
          <w:sz w:val="21"/>
          <w:szCs w:val="21"/>
          <w:highlight w:val="none"/>
          <w:lang w:val="en-US" w:eastAsia="zh-CN" w:bidi="ar-SA"/>
        </w:rPr>
      </w:pPr>
      <w:r>
        <w:rPr>
          <w:rFonts w:hint="eastAsia" w:ascii="宋体" w:hAnsi="宋体" w:eastAsia="宋体" w:cs="宋体"/>
          <w:b w:val="0"/>
          <w:bCs/>
          <w:spacing w:val="0"/>
          <w:kern w:val="2"/>
          <w:sz w:val="21"/>
          <w:szCs w:val="21"/>
          <w:lang w:val="en-US" w:eastAsia="zh-CN" w:bidi="ar-SA"/>
        </w:rPr>
        <w:t>（2）</w:t>
      </w:r>
      <w:r>
        <w:rPr>
          <w:rFonts w:hint="eastAsia" w:ascii="宋体" w:hAnsi="宋体" w:eastAsia="宋体" w:cs="宋体"/>
          <w:b w:val="0"/>
          <w:bCs/>
          <w:spacing w:val="0"/>
          <w:kern w:val="2"/>
          <w:sz w:val="21"/>
          <w:szCs w:val="21"/>
          <w:highlight w:val="none"/>
          <w:lang w:val="en-US" w:eastAsia="zh-CN" w:bidi="ar-SA"/>
        </w:rPr>
        <w:t>交货验收必须由甲方和乙方共同进行，乙方提供产品到达指定地点，甲乙双方对产品名称、数量、生产企业/品牌、型号进行初步验收。</w:t>
      </w:r>
    </w:p>
    <w:p w14:paraId="6138C70E">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bCs/>
          <w:szCs w:val="21"/>
          <w:highlight w:val="none"/>
        </w:rPr>
      </w:pPr>
      <w:r>
        <w:rPr>
          <w:rFonts w:hint="eastAsia" w:ascii="宋体" w:hAnsi="宋体" w:eastAsia="宋体" w:cs="宋体"/>
          <w:b w:val="0"/>
          <w:bCs/>
          <w:spacing w:val="0"/>
          <w:kern w:val="2"/>
          <w:sz w:val="21"/>
          <w:szCs w:val="21"/>
          <w:highlight w:val="none"/>
          <w:lang w:val="en-US" w:eastAsia="zh-CN" w:bidi="ar-SA"/>
        </w:rPr>
        <w:t>（3）甲方自行组织或邀请第</w:t>
      </w:r>
      <w:r>
        <w:rPr>
          <w:rFonts w:hint="eastAsia" w:ascii="宋体" w:hAnsi="宋体" w:eastAsia="宋体" w:cs="宋体"/>
          <w:bCs/>
          <w:szCs w:val="21"/>
          <w:highlight w:val="none"/>
        </w:rPr>
        <w:t>三方（可包括本项目评委、未</w:t>
      </w:r>
      <w:r>
        <w:rPr>
          <w:rFonts w:hint="eastAsia" w:ascii="宋体" w:hAnsi="宋体" w:eastAsia="宋体" w:cs="宋体"/>
          <w:bCs/>
          <w:szCs w:val="21"/>
          <w:highlight w:val="none"/>
          <w:lang w:eastAsia="zh-CN"/>
        </w:rPr>
        <w:t>成交</w:t>
      </w:r>
      <w:r>
        <w:rPr>
          <w:rFonts w:hint="eastAsia" w:ascii="宋体" w:hAnsi="宋体" w:eastAsia="宋体" w:cs="宋体"/>
          <w:bCs/>
          <w:szCs w:val="21"/>
          <w:highlight w:val="none"/>
        </w:rPr>
        <w:t>投标单位、质量监督部门、其他医疗机构相关专业人员等）参与，按照国家和行业相关质量标准及</w:t>
      </w:r>
      <w:r>
        <w:rPr>
          <w:rFonts w:hint="eastAsia" w:ascii="宋体" w:hAnsi="宋体" w:eastAsia="宋体" w:cs="宋体"/>
          <w:bCs/>
          <w:szCs w:val="21"/>
          <w:highlight w:val="none"/>
          <w:lang w:eastAsia="zh-CN"/>
        </w:rPr>
        <w:t>响应文件</w:t>
      </w:r>
      <w:r>
        <w:rPr>
          <w:rFonts w:hint="eastAsia" w:ascii="宋体" w:hAnsi="宋体" w:eastAsia="宋体" w:cs="宋体"/>
          <w:bCs/>
          <w:szCs w:val="21"/>
          <w:highlight w:val="none"/>
        </w:rPr>
        <w:t>响应的产品性能、技术参数做最终验收，验收过程发生的费用（如检测费、专家费用等）由乙方承担。验收过程中：甲方如认为有需要的，可委托相关检</w:t>
      </w:r>
      <w:r>
        <w:rPr>
          <w:rFonts w:hint="eastAsia" w:ascii="宋体" w:hAnsi="宋体" w:eastAsia="宋体" w:cs="宋体"/>
          <w:bCs/>
          <w:szCs w:val="21"/>
          <w:highlight w:val="none"/>
          <w:lang w:val="en-US" w:eastAsia="zh-CN"/>
        </w:rPr>
        <w:t>测</w:t>
      </w:r>
      <w:r>
        <w:rPr>
          <w:rFonts w:hint="eastAsia" w:ascii="宋体" w:hAnsi="宋体" w:eastAsia="宋体" w:cs="宋体"/>
          <w:bCs/>
          <w:szCs w:val="21"/>
          <w:highlight w:val="none"/>
        </w:rPr>
        <w:t>部门对产品进行抽检，自检或检</w:t>
      </w:r>
      <w:r>
        <w:rPr>
          <w:rFonts w:hint="eastAsia" w:ascii="宋体" w:hAnsi="宋体" w:eastAsia="宋体" w:cs="宋体"/>
          <w:bCs/>
          <w:szCs w:val="21"/>
          <w:highlight w:val="none"/>
          <w:lang w:val="en-US" w:eastAsia="zh-CN"/>
        </w:rPr>
        <w:t>测</w:t>
      </w:r>
      <w:r>
        <w:rPr>
          <w:rFonts w:hint="eastAsia" w:ascii="宋体" w:hAnsi="宋体" w:eastAsia="宋体" w:cs="宋体"/>
          <w:bCs/>
          <w:szCs w:val="21"/>
          <w:highlight w:val="none"/>
        </w:rPr>
        <w:t>部门抽检不合格的不给予验收，影响甲方实施进度的将追究相关责任，抽检所产生的费用全部由乙方负责；供应产品涉及计量检测的，乙方需完成首次计量检测，并向甲方提供第三方检测合格报告(检测费用由乙方支付)</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乙方提供的产品及服务不满足要求</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验收不合格的，甲方有权解除合同并追究乙方的法律责任。</w:t>
      </w:r>
    </w:p>
    <w:p w14:paraId="0ACD5C44">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bCs/>
          <w:szCs w:val="21"/>
          <w:highlight w:val="none"/>
          <w:u w:val="single"/>
        </w:rPr>
      </w:pP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rPr>
        <w:t>）履约验收时间：</w:t>
      </w:r>
      <w:r>
        <w:rPr>
          <w:rFonts w:hint="eastAsia" w:ascii="宋体" w:hAnsi="宋体" w:eastAsia="宋体" w:cs="宋体"/>
          <w:bCs/>
          <w:szCs w:val="21"/>
          <w:highlight w:val="none"/>
          <w:u w:val="single"/>
          <w:lang w:val="en-US" w:eastAsia="zh-CN"/>
        </w:rPr>
        <w:t>产品到货、调试、培训后，乙方</w:t>
      </w:r>
      <w:r>
        <w:rPr>
          <w:rFonts w:hint="eastAsia" w:ascii="宋体" w:hAnsi="宋体" w:eastAsia="宋体" w:cs="宋体"/>
          <w:bCs/>
          <w:szCs w:val="21"/>
          <w:highlight w:val="none"/>
          <w:u w:val="single"/>
        </w:rPr>
        <w:t>提出验收申请之日起</w:t>
      </w:r>
      <w:r>
        <w:rPr>
          <w:rFonts w:hint="eastAsia" w:ascii="宋体" w:hAnsi="宋体" w:eastAsia="宋体" w:cs="宋体"/>
          <w:bCs/>
          <w:szCs w:val="21"/>
          <w:highlight w:val="none"/>
          <w:u w:val="single"/>
          <w:lang w:val="en-US" w:eastAsia="zh-CN"/>
        </w:rPr>
        <w:t>7个工作日</w:t>
      </w:r>
      <w:r>
        <w:rPr>
          <w:rFonts w:hint="eastAsia" w:ascii="宋体" w:hAnsi="宋体" w:eastAsia="宋体" w:cs="宋体"/>
          <w:bCs/>
          <w:szCs w:val="21"/>
          <w:highlight w:val="none"/>
          <w:u w:val="single"/>
        </w:rPr>
        <w:t>内</w:t>
      </w:r>
      <w:r>
        <w:rPr>
          <w:rFonts w:hint="eastAsia" w:ascii="宋体" w:hAnsi="宋体" w:eastAsia="宋体" w:cs="宋体"/>
          <w:bCs/>
          <w:szCs w:val="21"/>
          <w:highlight w:val="none"/>
          <w:u w:val="single"/>
          <w:lang w:val="en-US" w:eastAsia="zh-CN"/>
        </w:rPr>
        <w:t>甲方</w:t>
      </w:r>
      <w:r>
        <w:rPr>
          <w:rFonts w:hint="eastAsia" w:ascii="宋体" w:hAnsi="宋体" w:eastAsia="宋体" w:cs="宋体"/>
          <w:bCs/>
          <w:szCs w:val="21"/>
          <w:highlight w:val="none"/>
          <w:u w:val="single"/>
        </w:rPr>
        <w:t>组织验收</w:t>
      </w:r>
      <w:r>
        <w:rPr>
          <w:rFonts w:hint="eastAsia" w:ascii="宋体" w:hAnsi="宋体" w:eastAsia="宋体" w:cs="宋体"/>
          <w:bCs/>
          <w:szCs w:val="21"/>
          <w:highlight w:val="none"/>
          <w:u w:val="single"/>
          <w:lang w:eastAsia="zh-CN"/>
        </w:rPr>
        <w:t>。</w:t>
      </w:r>
      <w:r>
        <w:rPr>
          <w:rFonts w:hint="eastAsia" w:ascii="宋体" w:hAnsi="宋体" w:eastAsia="宋体" w:cs="宋体"/>
          <w:bCs/>
          <w:szCs w:val="21"/>
          <w:highlight w:val="none"/>
          <w:u w:val="single"/>
          <w:lang w:val="en-US" w:eastAsia="zh-CN"/>
        </w:rPr>
        <w:t xml:space="preserve"> </w:t>
      </w:r>
    </w:p>
    <w:p w14:paraId="7323B30E">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leftChars="0" w:firstLine="422"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5.</w:t>
      </w:r>
      <w:r>
        <w:rPr>
          <w:rFonts w:hint="eastAsia" w:ascii="宋体" w:hAnsi="宋体" w:eastAsia="宋体" w:cs="宋体"/>
          <w:b/>
          <w:szCs w:val="21"/>
          <w:highlight w:val="none"/>
        </w:rPr>
        <w:t>组成合同的文件</w:t>
      </w:r>
    </w:p>
    <w:p w14:paraId="330E0CE2">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本协议书与下列文件一起构成合同文件，如下述文件之间有任何抵触、矛盾或歧义，应按以下顺序解释：</w:t>
      </w:r>
    </w:p>
    <w:p w14:paraId="07B1E9C6">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政府采购</w:t>
      </w:r>
      <w:r>
        <w:rPr>
          <w:rFonts w:hint="eastAsia" w:ascii="宋体" w:hAnsi="宋体" w:eastAsia="宋体" w:cs="宋体"/>
          <w:color w:val="auto"/>
          <w:szCs w:val="21"/>
          <w:highlight w:val="none"/>
        </w:rPr>
        <w:t>合同协议书及其变更、补充</w:t>
      </w:r>
      <w:r>
        <w:rPr>
          <w:rFonts w:hint="eastAsia" w:ascii="宋体" w:hAnsi="宋体" w:eastAsia="宋体" w:cs="宋体"/>
          <w:color w:val="auto"/>
          <w:szCs w:val="21"/>
          <w:highlight w:val="none"/>
          <w:lang w:eastAsia="zh-CN"/>
        </w:rPr>
        <w:t>协议</w:t>
      </w:r>
    </w:p>
    <w:p w14:paraId="1523800E">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）政府采购合同专用条款</w:t>
      </w:r>
    </w:p>
    <w:p w14:paraId="14886D00">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）政府采购合同通用条款</w:t>
      </w:r>
    </w:p>
    <w:p w14:paraId="52E699C1">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）中标</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w:t>
      </w:r>
    </w:p>
    <w:p w14:paraId="4795417A">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）投标（响应）文件</w:t>
      </w:r>
    </w:p>
    <w:p w14:paraId="0B24C641">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（6）采购文件</w:t>
      </w:r>
    </w:p>
    <w:p w14:paraId="7AEA565F">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（7）有关技术文件，图纸</w:t>
      </w:r>
    </w:p>
    <w:p w14:paraId="1B496043">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p>
    <w:p w14:paraId="0EDD1FAD">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leftChars="0" w:firstLine="422"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6.</w:t>
      </w:r>
      <w:r>
        <w:rPr>
          <w:rFonts w:hint="eastAsia" w:ascii="宋体" w:hAnsi="宋体" w:eastAsia="宋体" w:cs="宋体"/>
          <w:b/>
          <w:szCs w:val="21"/>
          <w:highlight w:val="none"/>
        </w:rPr>
        <w:t>合同生效</w:t>
      </w:r>
    </w:p>
    <w:p w14:paraId="68A1CB89">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双方签字、盖章后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生效。</w:t>
      </w:r>
    </w:p>
    <w:p w14:paraId="3D353310">
      <w:pPr>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0" w:leftChars="0" w:firstLine="422" w:firstLineChars="200"/>
        <w:textAlignment w:val="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7.</w:t>
      </w:r>
      <w:r>
        <w:rPr>
          <w:rFonts w:hint="eastAsia" w:ascii="宋体" w:hAnsi="宋体" w:eastAsia="宋体" w:cs="宋体"/>
          <w:b/>
          <w:szCs w:val="21"/>
          <w:highlight w:val="none"/>
        </w:rPr>
        <w:t>合同份数</w:t>
      </w:r>
    </w:p>
    <w:p w14:paraId="368FC922">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eastAsia="zh-CN"/>
        </w:rPr>
        <w:t>甲方</w:t>
      </w:r>
      <w:r>
        <w:rPr>
          <w:rFonts w:hint="eastAsia" w:ascii="宋体" w:hAnsi="宋体" w:eastAsia="宋体" w:cs="宋体"/>
          <w:szCs w:val="21"/>
          <w:highlight w:val="none"/>
        </w:rPr>
        <w:t>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eastAsia="zh-CN"/>
        </w:rPr>
        <w:t>乙方</w:t>
      </w:r>
      <w:r>
        <w:rPr>
          <w:rFonts w:hint="eastAsia" w:ascii="宋体" w:hAnsi="宋体" w:eastAsia="宋体" w:cs="宋体"/>
          <w:szCs w:val="21"/>
          <w:highlight w:val="none"/>
        </w:rPr>
        <w:t>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份，均具有同等法律效力。</w:t>
      </w:r>
    </w:p>
    <w:p w14:paraId="1E6F7BA5">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合同订立时间</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2025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F503BB9">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rPr>
        <w:t>合同订立地点：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普洱市林业和草原局</w:t>
      </w:r>
      <w:r>
        <w:rPr>
          <w:rFonts w:hint="eastAsia" w:ascii="宋体" w:hAnsi="宋体" w:eastAsia="宋体" w:cs="宋体"/>
          <w:szCs w:val="21"/>
          <w:highlight w:val="none"/>
          <w:u w:val="single"/>
        </w:rPr>
        <w:t xml:space="preserve">   </w:t>
      </w:r>
      <w:r>
        <w:rPr>
          <w:rFonts w:hint="eastAsia" w:cs="宋体"/>
          <w:szCs w:val="21"/>
          <w:highlight w:val="none"/>
          <w:u w:val="single"/>
          <w:lang w:val="en-US" w:eastAsia="zh-CN"/>
        </w:rPr>
        <w:t xml:space="preserve">    </w:t>
      </w:r>
    </w:p>
    <w:p w14:paraId="7BC422D4">
      <w:pPr>
        <w:keepNext w:val="0"/>
        <w:keepLines w:val="0"/>
        <w:pageBreakBefore w:val="0"/>
        <w:shd w:val="clear" w:color="auto" w:fill="auto"/>
        <w:kinsoku/>
        <w:wordWrap/>
        <w:overflowPunct/>
        <w:topLinePunct w:val="0"/>
        <w:bidi w:val="0"/>
        <w:adjustRightInd w:val="0"/>
        <w:snapToGrid w:val="0"/>
        <w:spacing w:line="360" w:lineRule="auto"/>
        <w:ind w:left="0" w:firstLine="420" w:firstLineChars="200"/>
        <w:textAlignment w:val="auto"/>
        <w:rPr>
          <w:rFonts w:hint="default" w:ascii="宋体" w:hAnsi="宋体" w:eastAsia="宋体"/>
          <w:szCs w:val="21"/>
          <w:highlight w:val="none"/>
          <w:lang w:val="en-US" w:eastAsia="zh-CN"/>
        </w:rPr>
      </w:pPr>
      <w:r>
        <w:rPr>
          <w:rFonts w:hint="eastAsia" w:ascii="宋体" w:hAnsi="宋体" w:eastAsia="宋体" w:cs="宋体"/>
          <w:szCs w:val="21"/>
          <w:highlight w:val="none"/>
          <w:lang w:val="en-US" w:eastAsia="zh-CN"/>
        </w:rPr>
        <w:t>附表1：2025年普洱市乡镇早期火情处置能力提升建设项目X包采购内容。</w:t>
      </w:r>
    </w:p>
    <w:p w14:paraId="5E8E4563">
      <w:pPr>
        <w:pStyle w:val="71"/>
        <w:keepNext w:val="0"/>
        <w:keepLines w:val="0"/>
        <w:pageBreakBefore w:val="0"/>
        <w:shd w:val="clear" w:color="auto" w:fill="auto"/>
        <w:kinsoku/>
        <w:wordWrap/>
        <w:overflowPunct/>
        <w:topLinePunct w:val="0"/>
        <w:bidi w:val="0"/>
        <w:spacing w:line="380" w:lineRule="exact"/>
        <w:ind w:left="0"/>
        <w:textAlignment w:val="auto"/>
        <w:rPr>
          <w:highlight w:val="none"/>
        </w:rPr>
      </w:pPr>
    </w:p>
    <w:p w14:paraId="480960D7">
      <w:pPr>
        <w:pStyle w:val="71"/>
        <w:keepNext w:val="0"/>
        <w:keepLines w:val="0"/>
        <w:pageBreakBefore w:val="0"/>
        <w:shd w:val="clear" w:color="auto" w:fill="auto"/>
        <w:kinsoku/>
        <w:wordWrap/>
        <w:overflowPunct/>
        <w:topLinePunct w:val="0"/>
        <w:bidi w:val="0"/>
        <w:spacing w:line="380" w:lineRule="exact"/>
        <w:ind w:left="0"/>
        <w:textAlignment w:val="auto"/>
        <w:rPr>
          <w:highlight w:val="none"/>
        </w:rPr>
        <w:sectPr>
          <w:footerReference r:id="rId8" w:type="default"/>
          <w:pgSz w:w="11906" w:h="16838"/>
          <w:pgMar w:top="1440" w:right="1083" w:bottom="1440" w:left="1083" w:header="851" w:footer="850" w:gutter="0"/>
          <w:pgBorders>
            <w:top w:val="none" w:sz="0" w:space="0"/>
            <w:left w:val="none" w:sz="0" w:space="0"/>
            <w:bottom w:val="none" w:sz="0" w:space="0"/>
            <w:right w:val="none" w:sz="0" w:space="0"/>
          </w:pgBorders>
          <w:pgNumType w:fmt="decimal" w:start="1"/>
          <w:cols w:space="720" w:num="1"/>
          <w:rtlGutter w:val="0"/>
          <w:docGrid w:type="lines" w:linePitch="319" w:charSpace="0"/>
        </w:sectPr>
      </w:pPr>
    </w:p>
    <w:p w14:paraId="2D7CF455">
      <w:pPr>
        <w:pStyle w:val="371"/>
        <w:shd w:val="clear" w:color="auto" w:fill="auto"/>
        <w:tabs>
          <w:tab w:val="left" w:pos="1340"/>
        </w:tabs>
        <w:spacing w:beforeLines="0"/>
        <w:ind w:left="0" w:leftChars="0" w:firstLine="0" w:firstLineChars="0"/>
        <w:jc w:val="both"/>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附表1</w:t>
      </w:r>
    </w:p>
    <w:p w14:paraId="7207C3BE">
      <w:pPr>
        <w:pStyle w:val="371"/>
        <w:shd w:val="clear" w:color="auto" w:fill="auto"/>
        <w:tabs>
          <w:tab w:val="left" w:pos="1340"/>
        </w:tabs>
        <w:spacing w:beforeLines="0"/>
        <w:ind w:left="0" w:leftChars="0" w:firstLine="0" w:firstLineChars="0"/>
        <w:jc w:val="center"/>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普2025年普洱市乡镇早期火情处置能力提升建设项目X包采购清单</w:t>
      </w:r>
    </w:p>
    <w:tbl>
      <w:tblPr>
        <w:tblStyle w:val="44"/>
        <w:tblpPr w:leftFromText="180" w:rightFromText="180" w:vertAnchor="text" w:horzAnchor="page" w:tblpX="768" w:tblpY="143"/>
        <w:tblOverlap w:val="never"/>
        <w:tblW w:w="15821" w:type="dxa"/>
        <w:jc w:val="center"/>
        <w:tblLayout w:type="fixed"/>
        <w:tblCellMar>
          <w:top w:w="0" w:type="dxa"/>
          <w:left w:w="108" w:type="dxa"/>
          <w:bottom w:w="0" w:type="dxa"/>
          <w:right w:w="108" w:type="dxa"/>
        </w:tblCellMar>
      </w:tblPr>
      <w:tblGrid>
        <w:gridCol w:w="429"/>
        <w:gridCol w:w="1954"/>
        <w:gridCol w:w="1867"/>
        <w:gridCol w:w="1963"/>
        <w:gridCol w:w="576"/>
        <w:gridCol w:w="615"/>
        <w:gridCol w:w="1200"/>
        <w:gridCol w:w="1215"/>
        <w:gridCol w:w="1464"/>
        <w:gridCol w:w="1428"/>
        <w:gridCol w:w="1565"/>
        <w:gridCol w:w="1545"/>
      </w:tblGrid>
      <w:tr w14:paraId="06889B92">
        <w:tblPrEx>
          <w:tblCellMar>
            <w:top w:w="0" w:type="dxa"/>
            <w:left w:w="108" w:type="dxa"/>
            <w:bottom w:w="0" w:type="dxa"/>
            <w:right w:w="108" w:type="dxa"/>
          </w:tblCellMar>
        </w:tblPrEx>
        <w:trPr>
          <w:trHeight w:val="620" w:hRule="atLeast"/>
          <w:jc w:val="center"/>
        </w:trPr>
        <w:tc>
          <w:tcPr>
            <w:tcW w:w="429" w:type="dxa"/>
            <w:tcBorders>
              <w:top w:val="single" w:color="000000" w:sz="8" w:space="0"/>
              <w:left w:val="single" w:color="000000" w:sz="8" w:space="0"/>
              <w:bottom w:val="single" w:color="000000" w:sz="8" w:space="0"/>
              <w:right w:val="single" w:color="000000" w:sz="8" w:space="0"/>
            </w:tcBorders>
            <w:noWrap w:val="0"/>
            <w:vAlign w:val="center"/>
          </w:tcPr>
          <w:p w14:paraId="23153DE6">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Cs/>
                <w:color w:val="auto"/>
                <w:kern w:val="0"/>
                <w:szCs w:val="21"/>
                <w:highlight w:val="none"/>
              </w:rPr>
              <w:t>序号</w:t>
            </w:r>
          </w:p>
        </w:tc>
        <w:tc>
          <w:tcPr>
            <w:tcW w:w="1954" w:type="dxa"/>
            <w:tcBorders>
              <w:top w:val="single" w:color="000000" w:sz="8" w:space="0"/>
              <w:left w:val="single" w:color="000000" w:sz="8" w:space="0"/>
              <w:bottom w:val="single" w:color="000000" w:sz="8" w:space="0"/>
              <w:right w:val="single" w:color="000000" w:sz="8" w:space="0"/>
            </w:tcBorders>
            <w:noWrap w:val="0"/>
            <w:vAlign w:val="center"/>
          </w:tcPr>
          <w:p w14:paraId="5DA9873E">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kern w:val="0"/>
                <w:szCs w:val="21"/>
                <w:highlight w:val="none"/>
                <w:lang w:val="en-US" w:eastAsia="zh-CN"/>
              </w:rPr>
              <w:t>标的名称</w:t>
            </w:r>
          </w:p>
        </w:tc>
        <w:tc>
          <w:tcPr>
            <w:tcW w:w="1867" w:type="dxa"/>
            <w:tcBorders>
              <w:top w:val="single" w:color="000000" w:sz="8" w:space="0"/>
              <w:left w:val="single" w:color="000000" w:sz="8" w:space="0"/>
              <w:bottom w:val="single" w:color="000000" w:sz="8" w:space="0"/>
              <w:right w:val="single" w:color="000000" w:sz="8" w:space="0"/>
            </w:tcBorders>
            <w:noWrap w:val="0"/>
            <w:vAlign w:val="center"/>
          </w:tcPr>
          <w:p w14:paraId="5CADE47D">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kern w:val="0"/>
                <w:szCs w:val="21"/>
                <w:highlight w:val="none"/>
              </w:rPr>
              <w:t>生产企业</w:t>
            </w:r>
            <w:r>
              <w:rPr>
                <w:rFonts w:hint="eastAsia" w:ascii="黑体" w:hAnsi="黑体" w:eastAsia="黑体" w:cs="黑体"/>
                <w:bCs/>
                <w:color w:val="auto"/>
                <w:kern w:val="0"/>
                <w:szCs w:val="21"/>
                <w:highlight w:val="none"/>
                <w:lang w:val="en-US" w:eastAsia="zh-CN"/>
              </w:rPr>
              <w:t>/品牌</w:t>
            </w:r>
          </w:p>
        </w:tc>
        <w:tc>
          <w:tcPr>
            <w:tcW w:w="1963" w:type="dxa"/>
            <w:tcBorders>
              <w:top w:val="single" w:color="000000" w:sz="8" w:space="0"/>
              <w:left w:val="single" w:color="000000" w:sz="8" w:space="0"/>
              <w:bottom w:val="single" w:color="000000" w:sz="8" w:space="0"/>
              <w:right w:val="single" w:color="000000" w:sz="8" w:space="0"/>
            </w:tcBorders>
            <w:noWrap w:val="0"/>
            <w:vAlign w:val="center"/>
          </w:tcPr>
          <w:p w14:paraId="5431E5DF">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Cs/>
                <w:color w:val="auto"/>
                <w:kern w:val="0"/>
                <w:szCs w:val="21"/>
                <w:highlight w:val="none"/>
                <w:lang w:val="en-US" w:eastAsia="zh-CN"/>
              </w:rPr>
              <w:t>规格</w:t>
            </w:r>
            <w:r>
              <w:rPr>
                <w:rFonts w:hint="eastAsia" w:ascii="黑体" w:hAnsi="黑体" w:eastAsia="黑体" w:cs="黑体"/>
                <w:bCs/>
                <w:color w:val="auto"/>
                <w:kern w:val="0"/>
                <w:szCs w:val="21"/>
                <w:highlight w:val="none"/>
              </w:rPr>
              <w:t>型号</w:t>
            </w:r>
          </w:p>
        </w:tc>
        <w:tc>
          <w:tcPr>
            <w:tcW w:w="576" w:type="dxa"/>
            <w:tcBorders>
              <w:top w:val="single" w:color="000000" w:sz="8" w:space="0"/>
              <w:left w:val="single" w:color="000000" w:sz="8" w:space="0"/>
              <w:bottom w:val="single" w:color="000000" w:sz="8" w:space="0"/>
              <w:right w:val="single" w:color="000000" w:sz="8" w:space="0"/>
            </w:tcBorders>
            <w:noWrap w:val="0"/>
            <w:vAlign w:val="center"/>
          </w:tcPr>
          <w:p w14:paraId="32B9E60A">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Cs/>
                <w:color w:val="auto"/>
                <w:kern w:val="0"/>
                <w:szCs w:val="21"/>
                <w:highlight w:val="none"/>
              </w:rPr>
              <w:t>数量</w:t>
            </w:r>
          </w:p>
        </w:tc>
        <w:tc>
          <w:tcPr>
            <w:tcW w:w="615" w:type="dxa"/>
            <w:tcBorders>
              <w:top w:val="single" w:color="000000" w:sz="8" w:space="0"/>
              <w:left w:val="single" w:color="000000" w:sz="8" w:space="0"/>
              <w:bottom w:val="single" w:color="000000" w:sz="8" w:space="0"/>
              <w:right w:val="single" w:color="000000" w:sz="8" w:space="0"/>
            </w:tcBorders>
            <w:noWrap w:val="0"/>
            <w:vAlign w:val="center"/>
          </w:tcPr>
          <w:p w14:paraId="41E4D899">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Cs/>
                <w:color w:val="auto"/>
                <w:kern w:val="0"/>
                <w:szCs w:val="21"/>
                <w:highlight w:val="none"/>
              </w:rPr>
              <w:t>单位</w:t>
            </w:r>
          </w:p>
        </w:tc>
        <w:tc>
          <w:tcPr>
            <w:tcW w:w="1200" w:type="dxa"/>
            <w:tcBorders>
              <w:top w:val="single" w:color="000000" w:sz="8" w:space="0"/>
              <w:left w:val="single" w:color="000000" w:sz="8" w:space="0"/>
              <w:bottom w:val="single" w:color="000000" w:sz="8" w:space="0"/>
              <w:right w:val="single" w:color="000000" w:sz="8" w:space="0"/>
            </w:tcBorders>
            <w:noWrap w:val="0"/>
            <w:vAlign w:val="center"/>
          </w:tcPr>
          <w:p w14:paraId="7FF66F47">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Cs/>
                <w:color w:val="auto"/>
                <w:kern w:val="0"/>
                <w:szCs w:val="21"/>
                <w:highlight w:val="none"/>
              </w:rPr>
              <w:t>单价(元)</w:t>
            </w:r>
          </w:p>
        </w:tc>
        <w:tc>
          <w:tcPr>
            <w:tcW w:w="1215" w:type="dxa"/>
            <w:tcBorders>
              <w:top w:val="single" w:color="000000" w:sz="8" w:space="0"/>
              <w:left w:val="single" w:color="000000" w:sz="8" w:space="0"/>
              <w:bottom w:val="single" w:color="000000" w:sz="8" w:space="0"/>
              <w:right w:val="single" w:color="000000" w:sz="8" w:space="0"/>
            </w:tcBorders>
            <w:noWrap w:val="0"/>
            <w:vAlign w:val="center"/>
          </w:tcPr>
          <w:p w14:paraId="01210CA4">
            <w:pPr>
              <w:widowControl/>
              <w:shd w:val="clear" w:color="auto" w:fill="auto"/>
              <w:jc w:val="center"/>
              <w:textAlignment w:val="center"/>
              <w:rPr>
                <w:rFonts w:hint="eastAsia" w:ascii="黑体" w:hAnsi="黑体" w:eastAsia="黑体" w:cs="黑体"/>
                <w:bCs/>
                <w:color w:val="auto"/>
                <w:kern w:val="2"/>
                <w:sz w:val="21"/>
                <w:szCs w:val="21"/>
                <w:highlight w:val="none"/>
                <w:lang w:val="en-US" w:eastAsia="zh-CN" w:bidi="ar-SA"/>
              </w:rPr>
            </w:pPr>
            <w:r>
              <w:rPr>
                <w:rFonts w:hint="eastAsia" w:ascii="黑体" w:hAnsi="黑体" w:eastAsia="黑体" w:cs="黑体"/>
                <w:bCs/>
                <w:color w:val="auto"/>
                <w:kern w:val="0"/>
                <w:szCs w:val="21"/>
                <w:highlight w:val="none"/>
              </w:rPr>
              <w:t>小计（元）</w:t>
            </w:r>
          </w:p>
        </w:tc>
        <w:tc>
          <w:tcPr>
            <w:tcW w:w="1464" w:type="dxa"/>
            <w:tcBorders>
              <w:top w:val="single" w:color="000000" w:sz="8" w:space="0"/>
              <w:left w:val="single" w:color="000000" w:sz="8" w:space="0"/>
              <w:bottom w:val="single" w:color="000000" w:sz="8" w:space="0"/>
              <w:right w:val="single" w:color="000000" w:sz="8" w:space="0"/>
            </w:tcBorders>
            <w:noWrap w:val="0"/>
            <w:vAlign w:val="center"/>
          </w:tcPr>
          <w:p w14:paraId="26453F19">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是否涉及</w:t>
            </w:r>
          </w:p>
          <w:p w14:paraId="6FEF2A9B">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进口产品</w:t>
            </w:r>
          </w:p>
        </w:tc>
        <w:tc>
          <w:tcPr>
            <w:tcW w:w="1428" w:type="dxa"/>
            <w:tcBorders>
              <w:top w:val="single" w:color="000000" w:sz="8" w:space="0"/>
              <w:left w:val="single" w:color="000000" w:sz="8" w:space="0"/>
              <w:bottom w:val="single" w:color="000000" w:sz="8" w:space="0"/>
              <w:right w:val="single" w:color="000000" w:sz="8" w:space="0"/>
            </w:tcBorders>
            <w:noWrap w:val="0"/>
            <w:vAlign w:val="center"/>
          </w:tcPr>
          <w:p w14:paraId="669EA408">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是否涉及</w:t>
            </w:r>
          </w:p>
          <w:p w14:paraId="4693180F">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iCs w:val="0"/>
                <w:szCs w:val="21"/>
                <w:highlight w:val="none"/>
                <w:lang w:val="en-US" w:eastAsia="zh-CN"/>
              </w:rPr>
              <w:t>节能产品</w:t>
            </w:r>
          </w:p>
        </w:tc>
        <w:tc>
          <w:tcPr>
            <w:tcW w:w="1565" w:type="dxa"/>
            <w:tcBorders>
              <w:top w:val="single" w:color="000000" w:sz="8" w:space="0"/>
              <w:left w:val="single" w:color="000000" w:sz="8" w:space="0"/>
              <w:bottom w:val="single" w:color="000000" w:sz="8" w:space="0"/>
              <w:right w:val="single" w:color="000000" w:sz="8" w:space="0"/>
            </w:tcBorders>
            <w:noWrap w:val="0"/>
            <w:vAlign w:val="center"/>
          </w:tcPr>
          <w:p w14:paraId="0CB37ED2">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是否涉及</w:t>
            </w:r>
          </w:p>
          <w:p w14:paraId="6A285D9A">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 w:val="0"/>
                <w:bCs w:val="0"/>
                <w:sz w:val="21"/>
                <w:szCs w:val="21"/>
                <w:highlight w:val="none"/>
                <w:u w:val="none"/>
                <w:lang w:val="en-US" w:eastAsia="zh-CN"/>
              </w:rPr>
              <w:t>环境标志产品</w:t>
            </w:r>
          </w:p>
        </w:tc>
        <w:tc>
          <w:tcPr>
            <w:tcW w:w="1545" w:type="dxa"/>
            <w:tcBorders>
              <w:top w:val="single" w:color="000000" w:sz="8" w:space="0"/>
              <w:left w:val="single" w:color="000000" w:sz="8" w:space="0"/>
              <w:bottom w:val="single" w:color="000000" w:sz="8" w:space="0"/>
              <w:right w:val="single" w:color="000000" w:sz="8" w:space="0"/>
            </w:tcBorders>
            <w:noWrap w:val="0"/>
            <w:vAlign w:val="center"/>
          </w:tcPr>
          <w:p w14:paraId="07835879">
            <w:pPr>
              <w:widowControl/>
              <w:shd w:val="clear" w:color="auto" w:fill="auto"/>
              <w:jc w:val="center"/>
              <w:textAlignment w:val="center"/>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是否涉及</w:t>
            </w:r>
          </w:p>
          <w:p w14:paraId="3FD30B02">
            <w:pPr>
              <w:widowControl/>
              <w:shd w:val="clear" w:color="auto" w:fill="auto"/>
              <w:jc w:val="center"/>
              <w:textAlignment w:val="center"/>
              <w:rPr>
                <w:rFonts w:hint="eastAsia" w:ascii="黑体" w:hAnsi="黑体" w:eastAsia="黑体" w:cs="黑体"/>
                <w:bCs/>
                <w:color w:val="auto"/>
                <w:szCs w:val="21"/>
                <w:highlight w:val="none"/>
              </w:rPr>
            </w:pPr>
            <w:r>
              <w:rPr>
                <w:rFonts w:hint="eastAsia" w:ascii="黑体" w:hAnsi="黑体" w:eastAsia="黑体" w:cs="黑体"/>
                <w:b w:val="0"/>
                <w:bCs w:val="0"/>
                <w:kern w:val="2"/>
                <w:sz w:val="21"/>
                <w:szCs w:val="21"/>
                <w:highlight w:val="none"/>
                <w:u w:val="none"/>
                <w:lang w:val="en-US" w:eastAsia="zh-CN"/>
              </w:rPr>
              <w:t>绿色产品</w:t>
            </w:r>
          </w:p>
        </w:tc>
      </w:tr>
      <w:tr w14:paraId="36D356DB">
        <w:tblPrEx>
          <w:tblCellMar>
            <w:top w:w="0" w:type="dxa"/>
            <w:left w:w="108" w:type="dxa"/>
            <w:bottom w:w="0" w:type="dxa"/>
            <w:right w:w="108" w:type="dxa"/>
          </w:tblCellMar>
        </w:tblPrEx>
        <w:trPr>
          <w:trHeight w:val="692" w:hRule="atLeast"/>
          <w:jc w:val="center"/>
        </w:trPr>
        <w:tc>
          <w:tcPr>
            <w:tcW w:w="429" w:type="dxa"/>
            <w:tcBorders>
              <w:top w:val="nil"/>
              <w:left w:val="single" w:color="000000" w:sz="8" w:space="0"/>
              <w:bottom w:val="single" w:color="000000" w:sz="8" w:space="0"/>
              <w:right w:val="single" w:color="000000" w:sz="8" w:space="0"/>
            </w:tcBorders>
            <w:noWrap w:val="0"/>
            <w:vAlign w:val="center"/>
          </w:tcPr>
          <w:p w14:paraId="5F70BBA8">
            <w:pPr>
              <w:pStyle w:val="17"/>
              <w:shd w:val="clear" w:color="auto" w:fill="auto"/>
              <w:spacing w:line="240" w:lineRule="auto"/>
              <w:rPr>
                <w:rFonts w:hint="default" w:ascii="Times New Roman" w:hAnsi="Times New Roman" w:eastAsia="宋体" w:cs="Times New Roman"/>
                <w:highlight w:val="none"/>
                <w:lang w:val="en-US" w:eastAsia="zh-CN"/>
              </w:rPr>
            </w:pPr>
          </w:p>
        </w:tc>
        <w:tc>
          <w:tcPr>
            <w:tcW w:w="1954" w:type="dxa"/>
            <w:tcBorders>
              <w:top w:val="nil"/>
              <w:left w:val="single" w:color="000000" w:sz="8" w:space="0"/>
              <w:bottom w:val="single" w:color="000000" w:sz="8" w:space="0"/>
              <w:right w:val="single" w:color="000000" w:sz="8" w:space="0"/>
            </w:tcBorders>
            <w:noWrap w:val="0"/>
            <w:vAlign w:val="center"/>
          </w:tcPr>
          <w:p w14:paraId="68DFCAD4">
            <w:pPr>
              <w:pStyle w:val="371"/>
              <w:shd w:val="clear" w:color="auto" w:fill="auto"/>
              <w:rPr>
                <w:rFonts w:hint="default"/>
                <w:highlight w:val="none"/>
              </w:rPr>
            </w:pPr>
          </w:p>
        </w:tc>
        <w:tc>
          <w:tcPr>
            <w:tcW w:w="1867" w:type="dxa"/>
            <w:tcBorders>
              <w:top w:val="nil"/>
              <w:left w:val="single" w:color="000000" w:sz="8" w:space="0"/>
              <w:bottom w:val="single" w:color="000000" w:sz="8" w:space="0"/>
              <w:right w:val="single" w:color="000000" w:sz="8" w:space="0"/>
            </w:tcBorders>
            <w:noWrap w:val="0"/>
            <w:vAlign w:val="center"/>
          </w:tcPr>
          <w:p w14:paraId="3A5FCE5B">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u w:val="none"/>
              </w:rPr>
            </w:pPr>
          </w:p>
        </w:tc>
        <w:tc>
          <w:tcPr>
            <w:tcW w:w="1963" w:type="dxa"/>
            <w:tcBorders>
              <w:top w:val="nil"/>
              <w:left w:val="single" w:color="000000" w:sz="8" w:space="0"/>
              <w:bottom w:val="single" w:color="000000" w:sz="8" w:space="0"/>
              <w:right w:val="single" w:color="000000" w:sz="8" w:space="0"/>
            </w:tcBorders>
            <w:noWrap w:val="0"/>
            <w:vAlign w:val="center"/>
          </w:tcPr>
          <w:p w14:paraId="7A9859D1">
            <w:pPr>
              <w:widowControl/>
              <w:shd w:val="clear" w:color="auto" w:fill="auto"/>
              <w:jc w:val="center"/>
              <w:textAlignment w:val="center"/>
              <w:rPr>
                <w:rFonts w:hint="default" w:ascii="黑体" w:hAnsi="黑体" w:eastAsia="黑体" w:cs="黑体"/>
                <w:bCs/>
                <w:color w:val="auto"/>
                <w:kern w:val="0"/>
                <w:szCs w:val="21"/>
                <w:highlight w:val="none"/>
                <w:lang w:val="en-US" w:eastAsia="zh-CN"/>
              </w:rPr>
            </w:pPr>
          </w:p>
        </w:tc>
        <w:tc>
          <w:tcPr>
            <w:tcW w:w="576" w:type="dxa"/>
            <w:tcBorders>
              <w:top w:val="nil"/>
              <w:left w:val="single" w:color="000000" w:sz="8" w:space="0"/>
              <w:bottom w:val="single" w:color="000000" w:sz="8" w:space="0"/>
              <w:right w:val="single" w:color="000000" w:sz="8" w:space="0"/>
            </w:tcBorders>
            <w:noWrap w:val="0"/>
            <w:vAlign w:val="center"/>
          </w:tcPr>
          <w:p w14:paraId="30F716EB">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615" w:type="dxa"/>
            <w:tcBorders>
              <w:top w:val="nil"/>
              <w:left w:val="single" w:color="000000" w:sz="8" w:space="0"/>
              <w:bottom w:val="single" w:color="000000" w:sz="8" w:space="0"/>
              <w:right w:val="single" w:color="000000" w:sz="8" w:space="0"/>
            </w:tcBorders>
            <w:noWrap w:val="0"/>
            <w:vAlign w:val="center"/>
          </w:tcPr>
          <w:p w14:paraId="05296978">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00" w:type="dxa"/>
            <w:tcBorders>
              <w:top w:val="nil"/>
              <w:left w:val="single" w:color="000000" w:sz="8" w:space="0"/>
              <w:bottom w:val="single" w:color="000000" w:sz="8" w:space="0"/>
              <w:right w:val="single" w:color="000000" w:sz="8" w:space="0"/>
            </w:tcBorders>
            <w:noWrap w:val="0"/>
            <w:vAlign w:val="center"/>
          </w:tcPr>
          <w:p w14:paraId="0F36D0AD">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15" w:type="dxa"/>
            <w:tcBorders>
              <w:top w:val="nil"/>
              <w:left w:val="single" w:color="000000" w:sz="8" w:space="0"/>
              <w:bottom w:val="single" w:color="000000" w:sz="8" w:space="0"/>
              <w:right w:val="single" w:color="000000" w:sz="8" w:space="0"/>
            </w:tcBorders>
            <w:noWrap w:val="0"/>
            <w:vAlign w:val="center"/>
          </w:tcPr>
          <w:p w14:paraId="7DA9F715">
            <w:pPr>
              <w:widowControl/>
              <w:shd w:val="clear" w:color="auto" w:fill="auto"/>
              <w:spacing w:line="240" w:lineRule="auto"/>
              <w:jc w:val="center"/>
              <w:textAlignment w:val="center"/>
              <w:rPr>
                <w:rFonts w:hint="default" w:ascii="Times New Roman" w:hAnsi="Times New Roman" w:eastAsia="黑体" w:cs="Times New Roman"/>
                <w:color w:val="auto"/>
                <w:kern w:val="2"/>
                <w:sz w:val="21"/>
                <w:szCs w:val="21"/>
                <w:highlight w:val="none"/>
                <w:lang w:val="en-US" w:eastAsia="zh-CN" w:bidi="ar-SA"/>
              </w:rPr>
            </w:pPr>
          </w:p>
        </w:tc>
        <w:tc>
          <w:tcPr>
            <w:tcW w:w="1464" w:type="dxa"/>
            <w:tcBorders>
              <w:top w:val="nil"/>
              <w:left w:val="single" w:color="000000" w:sz="8" w:space="0"/>
              <w:bottom w:val="single" w:color="000000" w:sz="8" w:space="0"/>
              <w:right w:val="single" w:color="000000" w:sz="8" w:space="0"/>
            </w:tcBorders>
            <w:noWrap w:val="0"/>
            <w:vAlign w:val="center"/>
          </w:tcPr>
          <w:p w14:paraId="1C090C85">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493F90CF">
            <w:pPr>
              <w:pStyle w:val="17"/>
              <w:keepNext w:val="0"/>
              <w:keepLines w:val="0"/>
              <w:pageBreakBefore w:val="0"/>
              <w:shd w:val="clear" w:color="auto" w:fill="auto"/>
              <w:kinsoku/>
              <w:wordWrap/>
              <w:overflowPunct/>
              <w:topLinePunct w:val="0"/>
              <w:autoSpaceDE/>
              <w:autoSpaceDN/>
              <w:bidi w:val="0"/>
              <w:spacing w:after="0" w:line="240" w:lineRule="auto"/>
              <w:rPr>
                <w:rFonts w:hint="default" w:ascii="黑体" w:hAnsi="黑体" w:eastAsia="黑体" w:cs="黑体"/>
                <w:color w:val="auto"/>
                <w:kern w:val="2"/>
                <w:sz w:val="15"/>
                <w:szCs w:val="15"/>
                <w:highlight w:val="none"/>
                <w:lang w:val="en-US" w:eastAsia="zh-CN" w:bidi="ar-SA"/>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428" w:type="dxa"/>
            <w:tcBorders>
              <w:top w:val="nil"/>
              <w:left w:val="single" w:color="000000" w:sz="8" w:space="0"/>
              <w:bottom w:val="single" w:color="000000" w:sz="8" w:space="0"/>
              <w:right w:val="single" w:color="000000" w:sz="8" w:space="0"/>
            </w:tcBorders>
            <w:noWrap w:val="0"/>
            <w:vAlign w:val="center"/>
          </w:tcPr>
          <w:p w14:paraId="1368B795">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0805A14E">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黑体" w:hAnsi="黑体" w:eastAsia="黑体" w:cs="黑体"/>
                <w:color w:val="auto"/>
                <w:kern w:val="2"/>
                <w:sz w:val="15"/>
                <w:szCs w:val="15"/>
                <w:highlight w:val="none"/>
                <w:u w:val="single"/>
                <w:lang w:val="en-US" w:eastAsia="zh-CN" w:bidi="ar-SA"/>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565" w:type="dxa"/>
            <w:tcBorders>
              <w:top w:val="nil"/>
              <w:left w:val="single" w:color="000000" w:sz="8" w:space="0"/>
              <w:bottom w:val="single" w:color="000000" w:sz="8" w:space="0"/>
              <w:right w:val="single" w:color="000000" w:sz="8" w:space="0"/>
            </w:tcBorders>
            <w:noWrap w:val="0"/>
            <w:vAlign w:val="center"/>
          </w:tcPr>
          <w:p w14:paraId="227D8D3E">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6AE81E2F">
            <w:pPr>
              <w:pStyle w:val="17"/>
              <w:keepNext w:val="0"/>
              <w:keepLines w:val="0"/>
              <w:pageBreakBefore w:val="0"/>
              <w:shd w:val="clear" w:color="auto" w:fill="auto"/>
              <w:kinsoku/>
              <w:wordWrap/>
              <w:overflowPunct/>
              <w:topLinePunct w:val="0"/>
              <w:autoSpaceDE/>
              <w:autoSpaceDN/>
              <w:bidi w:val="0"/>
              <w:spacing w:after="0" w:line="240" w:lineRule="auto"/>
              <w:rPr>
                <w:rFonts w:hint="default" w:ascii="黑体" w:hAnsi="黑体" w:eastAsia="黑体" w:cs="宋体"/>
                <w:color w:val="auto"/>
                <w:kern w:val="2"/>
                <w:sz w:val="15"/>
                <w:szCs w:val="15"/>
                <w:highlight w:val="none"/>
                <w:lang w:val="en-US" w:eastAsia="zh-CN" w:bidi="ar-SA"/>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545" w:type="dxa"/>
            <w:tcBorders>
              <w:top w:val="nil"/>
              <w:left w:val="single" w:color="000000" w:sz="8" w:space="0"/>
              <w:bottom w:val="single" w:color="000000" w:sz="8" w:space="0"/>
              <w:right w:val="single" w:color="000000" w:sz="8" w:space="0"/>
            </w:tcBorders>
            <w:noWrap w:val="0"/>
            <w:vAlign w:val="center"/>
          </w:tcPr>
          <w:p w14:paraId="705153BC">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7BA8AEFA">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黑体" w:hAnsi="黑体" w:eastAsia="黑体" w:cs="宋体"/>
                <w:color w:val="auto"/>
                <w:kern w:val="2"/>
                <w:sz w:val="15"/>
                <w:szCs w:val="15"/>
                <w:highlight w:val="none"/>
                <w:lang w:val="en-US" w:eastAsia="zh-CN" w:bidi="ar-SA"/>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r>
      <w:tr w14:paraId="190CA934">
        <w:tblPrEx>
          <w:tblCellMar>
            <w:top w:w="0" w:type="dxa"/>
            <w:left w:w="108" w:type="dxa"/>
            <w:bottom w:w="0" w:type="dxa"/>
            <w:right w:w="108" w:type="dxa"/>
          </w:tblCellMar>
        </w:tblPrEx>
        <w:trPr>
          <w:trHeight w:val="692" w:hRule="atLeast"/>
          <w:jc w:val="center"/>
        </w:trPr>
        <w:tc>
          <w:tcPr>
            <w:tcW w:w="429" w:type="dxa"/>
            <w:tcBorders>
              <w:top w:val="nil"/>
              <w:left w:val="single" w:color="000000" w:sz="8" w:space="0"/>
              <w:bottom w:val="single" w:color="000000" w:sz="8" w:space="0"/>
              <w:right w:val="single" w:color="000000" w:sz="8" w:space="0"/>
            </w:tcBorders>
            <w:noWrap w:val="0"/>
            <w:vAlign w:val="center"/>
          </w:tcPr>
          <w:p w14:paraId="483269D9">
            <w:pPr>
              <w:pStyle w:val="17"/>
              <w:shd w:val="clear" w:color="auto" w:fill="auto"/>
              <w:spacing w:line="240" w:lineRule="auto"/>
              <w:rPr>
                <w:rFonts w:hint="default" w:ascii="Times New Roman" w:hAnsi="Times New Roman" w:cs="Times New Roman"/>
                <w:highlight w:val="none"/>
                <w:lang w:val="en-US" w:eastAsia="zh-CN"/>
              </w:rPr>
            </w:pPr>
          </w:p>
        </w:tc>
        <w:tc>
          <w:tcPr>
            <w:tcW w:w="1954" w:type="dxa"/>
            <w:tcBorders>
              <w:top w:val="nil"/>
              <w:left w:val="single" w:color="000000" w:sz="8" w:space="0"/>
              <w:bottom w:val="single" w:color="000000" w:sz="8" w:space="0"/>
              <w:right w:val="single" w:color="000000" w:sz="8" w:space="0"/>
            </w:tcBorders>
            <w:noWrap w:val="0"/>
            <w:vAlign w:val="center"/>
          </w:tcPr>
          <w:p w14:paraId="7D265CB6">
            <w:pPr>
              <w:pStyle w:val="371"/>
              <w:shd w:val="clear" w:color="auto" w:fill="auto"/>
              <w:rPr>
                <w:rFonts w:hint="default"/>
                <w:highlight w:val="none"/>
              </w:rPr>
            </w:pPr>
          </w:p>
        </w:tc>
        <w:tc>
          <w:tcPr>
            <w:tcW w:w="1867" w:type="dxa"/>
            <w:tcBorders>
              <w:top w:val="nil"/>
              <w:left w:val="single" w:color="000000" w:sz="8" w:space="0"/>
              <w:bottom w:val="single" w:color="000000" w:sz="8" w:space="0"/>
              <w:right w:val="single" w:color="000000" w:sz="8" w:space="0"/>
            </w:tcBorders>
            <w:noWrap w:val="0"/>
            <w:vAlign w:val="center"/>
          </w:tcPr>
          <w:p w14:paraId="05B7957B">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u w:val="none"/>
              </w:rPr>
            </w:pPr>
          </w:p>
        </w:tc>
        <w:tc>
          <w:tcPr>
            <w:tcW w:w="1963" w:type="dxa"/>
            <w:tcBorders>
              <w:top w:val="nil"/>
              <w:left w:val="single" w:color="000000" w:sz="8" w:space="0"/>
              <w:bottom w:val="single" w:color="000000" w:sz="8" w:space="0"/>
              <w:right w:val="single" w:color="000000" w:sz="8" w:space="0"/>
            </w:tcBorders>
            <w:noWrap w:val="0"/>
            <w:vAlign w:val="center"/>
          </w:tcPr>
          <w:p w14:paraId="5EE14764">
            <w:pPr>
              <w:widowControl/>
              <w:shd w:val="clear" w:color="auto" w:fill="auto"/>
              <w:jc w:val="center"/>
              <w:textAlignment w:val="center"/>
              <w:rPr>
                <w:rFonts w:hint="default" w:ascii="黑体" w:hAnsi="黑体" w:eastAsia="黑体" w:cs="黑体"/>
                <w:bCs/>
                <w:color w:val="auto"/>
                <w:kern w:val="0"/>
                <w:szCs w:val="21"/>
                <w:highlight w:val="none"/>
                <w:lang w:val="en-US" w:eastAsia="zh-CN"/>
              </w:rPr>
            </w:pPr>
          </w:p>
        </w:tc>
        <w:tc>
          <w:tcPr>
            <w:tcW w:w="576" w:type="dxa"/>
            <w:tcBorders>
              <w:top w:val="nil"/>
              <w:left w:val="single" w:color="000000" w:sz="8" w:space="0"/>
              <w:bottom w:val="single" w:color="000000" w:sz="8" w:space="0"/>
              <w:right w:val="single" w:color="000000" w:sz="8" w:space="0"/>
            </w:tcBorders>
            <w:noWrap w:val="0"/>
            <w:vAlign w:val="center"/>
          </w:tcPr>
          <w:p w14:paraId="3221BD19">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615" w:type="dxa"/>
            <w:tcBorders>
              <w:top w:val="nil"/>
              <w:left w:val="single" w:color="000000" w:sz="8" w:space="0"/>
              <w:bottom w:val="single" w:color="000000" w:sz="8" w:space="0"/>
              <w:right w:val="single" w:color="000000" w:sz="8" w:space="0"/>
            </w:tcBorders>
            <w:noWrap w:val="0"/>
            <w:vAlign w:val="center"/>
          </w:tcPr>
          <w:p w14:paraId="05566018">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00" w:type="dxa"/>
            <w:tcBorders>
              <w:top w:val="nil"/>
              <w:left w:val="single" w:color="000000" w:sz="8" w:space="0"/>
              <w:bottom w:val="single" w:color="000000" w:sz="8" w:space="0"/>
              <w:right w:val="single" w:color="000000" w:sz="8" w:space="0"/>
            </w:tcBorders>
            <w:noWrap w:val="0"/>
            <w:vAlign w:val="center"/>
          </w:tcPr>
          <w:p w14:paraId="4940B663">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15" w:type="dxa"/>
            <w:tcBorders>
              <w:top w:val="nil"/>
              <w:left w:val="single" w:color="000000" w:sz="8" w:space="0"/>
              <w:bottom w:val="single" w:color="000000" w:sz="8" w:space="0"/>
              <w:right w:val="single" w:color="000000" w:sz="8" w:space="0"/>
            </w:tcBorders>
            <w:noWrap w:val="0"/>
            <w:vAlign w:val="center"/>
          </w:tcPr>
          <w:p w14:paraId="0E54BD65">
            <w:pPr>
              <w:widowControl/>
              <w:shd w:val="clear" w:color="auto" w:fill="auto"/>
              <w:spacing w:line="240" w:lineRule="auto"/>
              <w:jc w:val="center"/>
              <w:textAlignment w:val="center"/>
              <w:rPr>
                <w:rFonts w:hint="default" w:ascii="Times New Roman" w:hAnsi="Times New Roman" w:eastAsia="黑体" w:cs="Times New Roman"/>
                <w:color w:val="auto"/>
                <w:kern w:val="2"/>
                <w:sz w:val="21"/>
                <w:szCs w:val="21"/>
                <w:highlight w:val="none"/>
                <w:lang w:val="en-US" w:eastAsia="zh-CN" w:bidi="ar-SA"/>
              </w:rPr>
            </w:pPr>
          </w:p>
        </w:tc>
        <w:tc>
          <w:tcPr>
            <w:tcW w:w="1464" w:type="dxa"/>
            <w:tcBorders>
              <w:top w:val="nil"/>
              <w:left w:val="single" w:color="000000" w:sz="8" w:space="0"/>
              <w:bottom w:val="single" w:color="000000" w:sz="8" w:space="0"/>
              <w:right w:val="single" w:color="000000" w:sz="8" w:space="0"/>
            </w:tcBorders>
            <w:noWrap w:val="0"/>
            <w:vAlign w:val="center"/>
          </w:tcPr>
          <w:p w14:paraId="5578518E">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1A47D346">
            <w:pPr>
              <w:pStyle w:val="17"/>
              <w:keepNext w:val="0"/>
              <w:keepLines w:val="0"/>
              <w:pageBreakBefore w:val="0"/>
              <w:shd w:val="clear" w:color="auto" w:fill="auto"/>
              <w:kinsoku/>
              <w:wordWrap/>
              <w:overflowPunct/>
              <w:topLinePunct w:val="0"/>
              <w:autoSpaceDE/>
              <w:autoSpaceDN/>
              <w:bidi w:val="0"/>
              <w:spacing w:after="0" w:line="240" w:lineRule="auto"/>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428" w:type="dxa"/>
            <w:tcBorders>
              <w:top w:val="nil"/>
              <w:left w:val="single" w:color="000000" w:sz="8" w:space="0"/>
              <w:bottom w:val="single" w:color="000000" w:sz="8" w:space="0"/>
              <w:right w:val="single" w:color="000000" w:sz="8" w:space="0"/>
            </w:tcBorders>
            <w:noWrap w:val="0"/>
            <w:vAlign w:val="center"/>
          </w:tcPr>
          <w:p w14:paraId="0D8619A5">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1C6E9BE9">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565" w:type="dxa"/>
            <w:tcBorders>
              <w:top w:val="nil"/>
              <w:left w:val="single" w:color="000000" w:sz="8" w:space="0"/>
              <w:bottom w:val="single" w:color="000000" w:sz="8" w:space="0"/>
              <w:right w:val="single" w:color="000000" w:sz="8" w:space="0"/>
            </w:tcBorders>
            <w:noWrap w:val="0"/>
            <w:vAlign w:val="center"/>
          </w:tcPr>
          <w:p w14:paraId="16E4ED7D">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1A05733F">
            <w:pPr>
              <w:pStyle w:val="17"/>
              <w:keepNext w:val="0"/>
              <w:keepLines w:val="0"/>
              <w:pageBreakBefore w:val="0"/>
              <w:shd w:val="clear" w:color="auto" w:fill="auto"/>
              <w:kinsoku/>
              <w:wordWrap/>
              <w:overflowPunct/>
              <w:topLinePunct w:val="0"/>
              <w:autoSpaceDE/>
              <w:autoSpaceDN/>
              <w:bidi w:val="0"/>
              <w:spacing w:after="0" w:line="240" w:lineRule="auto"/>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545" w:type="dxa"/>
            <w:tcBorders>
              <w:top w:val="nil"/>
              <w:left w:val="single" w:color="000000" w:sz="8" w:space="0"/>
              <w:bottom w:val="single" w:color="000000" w:sz="8" w:space="0"/>
              <w:right w:val="single" w:color="000000" w:sz="8" w:space="0"/>
            </w:tcBorders>
            <w:noWrap w:val="0"/>
            <w:vAlign w:val="center"/>
          </w:tcPr>
          <w:p w14:paraId="1B2EB6C6">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2DA4881C">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r>
      <w:tr w14:paraId="03135610">
        <w:tblPrEx>
          <w:tblCellMar>
            <w:top w:w="0" w:type="dxa"/>
            <w:left w:w="108" w:type="dxa"/>
            <w:bottom w:w="0" w:type="dxa"/>
            <w:right w:w="108" w:type="dxa"/>
          </w:tblCellMar>
        </w:tblPrEx>
        <w:trPr>
          <w:trHeight w:val="692" w:hRule="atLeast"/>
          <w:jc w:val="center"/>
        </w:trPr>
        <w:tc>
          <w:tcPr>
            <w:tcW w:w="429" w:type="dxa"/>
            <w:tcBorders>
              <w:top w:val="nil"/>
              <w:left w:val="single" w:color="000000" w:sz="8" w:space="0"/>
              <w:bottom w:val="single" w:color="000000" w:sz="8" w:space="0"/>
              <w:right w:val="single" w:color="000000" w:sz="8" w:space="0"/>
            </w:tcBorders>
            <w:noWrap w:val="0"/>
            <w:vAlign w:val="center"/>
          </w:tcPr>
          <w:p w14:paraId="5687F2FA">
            <w:pPr>
              <w:pStyle w:val="17"/>
              <w:shd w:val="clear" w:color="auto" w:fill="auto"/>
              <w:spacing w:line="240" w:lineRule="auto"/>
              <w:rPr>
                <w:rFonts w:hint="default" w:ascii="Times New Roman" w:hAnsi="Times New Roman" w:cs="Times New Roman"/>
                <w:highlight w:val="none"/>
                <w:lang w:val="en-US" w:eastAsia="zh-CN"/>
              </w:rPr>
            </w:pPr>
          </w:p>
        </w:tc>
        <w:tc>
          <w:tcPr>
            <w:tcW w:w="1954" w:type="dxa"/>
            <w:tcBorders>
              <w:top w:val="nil"/>
              <w:left w:val="single" w:color="000000" w:sz="8" w:space="0"/>
              <w:bottom w:val="single" w:color="000000" w:sz="8" w:space="0"/>
              <w:right w:val="single" w:color="000000" w:sz="8" w:space="0"/>
            </w:tcBorders>
            <w:noWrap w:val="0"/>
            <w:vAlign w:val="center"/>
          </w:tcPr>
          <w:p w14:paraId="6C759ED4">
            <w:pPr>
              <w:pStyle w:val="371"/>
              <w:shd w:val="clear" w:color="auto" w:fill="auto"/>
              <w:rPr>
                <w:rFonts w:hint="default"/>
                <w:highlight w:val="none"/>
              </w:rPr>
            </w:pPr>
          </w:p>
        </w:tc>
        <w:tc>
          <w:tcPr>
            <w:tcW w:w="1867" w:type="dxa"/>
            <w:tcBorders>
              <w:top w:val="nil"/>
              <w:left w:val="single" w:color="000000" w:sz="8" w:space="0"/>
              <w:bottom w:val="single" w:color="000000" w:sz="8" w:space="0"/>
              <w:right w:val="single" w:color="000000" w:sz="8" w:space="0"/>
            </w:tcBorders>
            <w:noWrap w:val="0"/>
            <w:vAlign w:val="center"/>
          </w:tcPr>
          <w:p w14:paraId="1F4A8B7A">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u w:val="none"/>
              </w:rPr>
            </w:pPr>
          </w:p>
        </w:tc>
        <w:tc>
          <w:tcPr>
            <w:tcW w:w="1963" w:type="dxa"/>
            <w:tcBorders>
              <w:top w:val="nil"/>
              <w:left w:val="single" w:color="000000" w:sz="8" w:space="0"/>
              <w:bottom w:val="single" w:color="000000" w:sz="8" w:space="0"/>
              <w:right w:val="single" w:color="000000" w:sz="8" w:space="0"/>
            </w:tcBorders>
            <w:noWrap w:val="0"/>
            <w:vAlign w:val="center"/>
          </w:tcPr>
          <w:p w14:paraId="3F0E2715">
            <w:pPr>
              <w:widowControl/>
              <w:shd w:val="clear" w:color="auto" w:fill="auto"/>
              <w:jc w:val="center"/>
              <w:textAlignment w:val="center"/>
              <w:rPr>
                <w:rFonts w:hint="default" w:ascii="黑体" w:hAnsi="黑体" w:eastAsia="黑体" w:cs="黑体"/>
                <w:bCs/>
                <w:color w:val="auto"/>
                <w:kern w:val="0"/>
                <w:szCs w:val="21"/>
                <w:highlight w:val="none"/>
                <w:lang w:val="en-US" w:eastAsia="zh-CN"/>
              </w:rPr>
            </w:pPr>
          </w:p>
        </w:tc>
        <w:tc>
          <w:tcPr>
            <w:tcW w:w="576" w:type="dxa"/>
            <w:tcBorders>
              <w:top w:val="nil"/>
              <w:left w:val="single" w:color="000000" w:sz="8" w:space="0"/>
              <w:bottom w:val="single" w:color="000000" w:sz="8" w:space="0"/>
              <w:right w:val="single" w:color="000000" w:sz="8" w:space="0"/>
            </w:tcBorders>
            <w:noWrap w:val="0"/>
            <w:vAlign w:val="center"/>
          </w:tcPr>
          <w:p w14:paraId="689FB6D4">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615" w:type="dxa"/>
            <w:tcBorders>
              <w:top w:val="nil"/>
              <w:left w:val="single" w:color="000000" w:sz="8" w:space="0"/>
              <w:bottom w:val="single" w:color="000000" w:sz="8" w:space="0"/>
              <w:right w:val="single" w:color="000000" w:sz="8" w:space="0"/>
            </w:tcBorders>
            <w:noWrap w:val="0"/>
            <w:vAlign w:val="center"/>
          </w:tcPr>
          <w:p w14:paraId="10B82559">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00" w:type="dxa"/>
            <w:tcBorders>
              <w:top w:val="nil"/>
              <w:left w:val="single" w:color="000000" w:sz="8" w:space="0"/>
              <w:bottom w:val="single" w:color="000000" w:sz="8" w:space="0"/>
              <w:right w:val="single" w:color="000000" w:sz="8" w:space="0"/>
            </w:tcBorders>
            <w:noWrap w:val="0"/>
            <w:vAlign w:val="center"/>
          </w:tcPr>
          <w:p w14:paraId="319178E0">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15" w:type="dxa"/>
            <w:tcBorders>
              <w:top w:val="nil"/>
              <w:left w:val="single" w:color="000000" w:sz="8" w:space="0"/>
              <w:bottom w:val="single" w:color="000000" w:sz="8" w:space="0"/>
              <w:right w:val="single" w:color="000000" w:sz="8" w:space="0"/>
            </w:tcBorders>
            <w:noWrap w:val="0"/>
            <w:vAlign w:val="center"/>
          </w:tcPr>
          <w:p w14:paraId="028B76C6">
            <w:pPr>
              <w:widowControl/>
              <w:shd w:val="clear" w:color="auto" w:fill="auto"/>
              <w:spacing w:line="240" w:lineRule="auto"/>
              <w:jc w:val="center"/>
              <w:textAlignment w:val="center"/>
              <w:rPr>
                <w:rFonts w:hint="default" w:ascii="Times New Roman" w:hAnsi="Times New Roman" w:eastAsia="黑体" w:cs="Times New Roman"/>
                <w:color w:val="auto"/>
                <w:kern w:val="2"/>
                <w:sz w:val="21"/>
                <w:szCs w:val="21"/>
                <w:highlight w:val="none"/>
                <w:lang w:val="en-US" w:eastAsia="zh-CN" w:bidi="ar-SA"/>
              </w:rPr>
            </w:pPr>
          </w:p>
        </w:tc>
        <w:tc>
          <w:tcPr>
            <w:tcW w:w="1464" w:type="dxa"/>
            <w:tcBorders>
              <w:top w:val="nil"/>
              <w:left w:val="single" w:color="000000" w:sz="8" w:space="0"/>
              <w:bottom w:val="single" w:color="000000" w:sz="8" w:space="0"/>
              <w:right w:val="single" w:color="000000" w:sz="8" w:space="0"/>
            </w:tcBorders>
            <w:noWrap w:val="0"/>
            <w:vAlign w:val="center"/>
          </w:tcPr>
          <w:p w14:paraId="205CF4C1">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4E58827E">
            <w:pPr>
              <w:pStyle w:val="17"/>
              <w:keepNext w:val="0"/>
              <w:keepLines w:val="0"/>
              <w:pageBreakBefore w:val="0"/>
              <w:shd w:val="clear" w:color="auto" w:fill="auto"/>
              <w:kinsoku/>
              <w:wordWrap/>
              <w:overflowPunct/>
              <w:topLinePunct w:val="0"/>
              <w:autoSpaceDE/>
              <w:autoSpaceDN/>
              <w:bidi w:val="0"/>
              <w:spacing w:after="0" w:line="240" w:lineRule="auto"/>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428" w:type="dxa"/>
            <w:tcBorders>
              <w:top w:val="nil"/>
              <w:left w:val="single" w:color="000000" w:sz="8" w:space="0"/>
              <w:bottom w:val="single" w:color="000000" w:sz="8" w:space="0"/>
              <w:right w:val="single" w:color="000000" w:sz="8" w:space="0"/>
            </w:tcBorders>
            <w:noWrap w:val="0"/>
            <w:vAlign w:val="center"/>
          </w:tcPr>
          <w:p w14:paraId="34257870">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79986839">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565" w:type="dxa"/>
            <w:tcBorders>
              <w:top w:val="nil"/>
              <w:left w:val="single" w:color="000000" w:sz="8" w:space="0"/>
              <w:bottom w:val="single" w:color="000000" w:sz="8" w:space="0"/>
              <w:right w:val="single" w:color="000000" w:sz="8" w:space="0"/>
            </w:tcBorders>
            <w:noWrap w:val="0"/>
            <w:vAlign w:val="center"/>
          </w:tcPr>
          <w:p w14:paraId="512515C7">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02EE91BB">
            <w:pPr>
              <w:pStyle w:val="17"/>
              <w:keepNext w:val="0"/>
              <w:keepLines w:val="0"/>
              <w:pageBreakBefore w:val="0"/>
              <w:shd w:val="clear" w:color="auto" w:fill="auto"/>
              <w:kinsoku/>
              <w:wordWrap/>
              <w:overflowPunct/>
              <w:topLinePunct w:val="0"/>
              <w:autoSpaceDE/>
              <w:autoSpaceDN/>
              <w:bidi w:val="0"/>
              <w:spacing w:after="0" w:line="240" w:lineRule="auto"/>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c>
          <w:tcPr>
            <w:tcW w:w="1545" w:type="dxa"/>
            <w:tcBorders>
              <w:top w:val="nil"/>
              <w:left w:val="single" w:color="000000" w:sz="8" w:space="0"/>
              <w:bottom w:val="single" w:color="000000" w:sz="8" w:space="0"/>
              <w:right w:val="single" w:color="000000" w:sz="8" w:space="0"/>
            </w:tcBorders>
            <w:noWrap w:val="0"/>
            <w:vAlign w:val="center"/>
          </w:tcPr>
          <w:p w14:paraId="0AD1CDBD">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ascii="宋体" w:hAnsi="宋体" w:eastAsia="宋体" w:cs="宋体"/>
                <w:sz w:val="15"/>
                <w:szCs w:val="15"/>
                <w:highlight w:val="none"/>
                <w:u w:val="none"/>
                <w:lang w:val="en-US" w:eastAsia="zh-CN"/>
              </w:rPr>
            </w:pPr>
            <w:r>
              <w:rPr>
                <w:rFonts w:hint="eastAsia" w:ascii="宋体" w:hAnsi="宋体" w:eastAsia="宋体" w:cs="宋体"/>
                <w:sz w:val="15"/>
                <w:szCs w:val="15"/>
                <w:highlight w:val="none"/>
                <w:u w:val="none"/>
                <w:lang w:val="en-US" w:eastAsia="zh-CN"/>
              </w:rPr>
              <w:sym w:font="Wingdings" w:char="00A8"/>
            </w:r>
            <w:r>
              <w:rPr>
                <w:rFonts w:hint="eastAsia" w:ascii="宋体" w:hAnsi="宋体" w:eastAsia="宋体" w:cs="宋体"/>
                <w:sz w:val="15"/>
                <w:szCs w:val="15"/>
                <w:highlight w:val="none"/>
                <w:u w:val="none"/>
                <w:lang w:val="en-US" w:eastAsia="zh-CN"/>
              </w:rPr>
              <w:t>是，（品目名称）；</w:t>
            </w:r>
          </w:p>
          <w:p w14:paraId="510D1E6A">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eastAsia"/>
                <w:sz w:val="15"/>
                <w:szCs w:val="15"/>
                <w:highlight w:val="none"/>
                <w:lang w:val="en-US" w:eastAsia="zh-CN"/>
              </w:rPr>
            </w:pPr>
            <w:r>
              <w:rPr>
                <w:rFonts w:hint="eastAsia"/>
                <w:sz w:val="15"/>
                <w:szCs w:val="15"/>
                <w:highlight w:val="none"/>
                <w:lang w:val="en-US" w:eastAsia="zh-CN"/>
              </w:rPr>
              <w:sym w:font="Wingdings" w:char="00A8"/>
            </w:r>
            <w:r>
              <w:rPr>
                <w:rFonts w:hint="eastAsia"/>
                <w:sz w:val="15"/>
                <w:szCs w:val="15"/>
                <w:highlight w:val="none"/>
                <w:lang w:val="en-US" w:eastAsia="zh-CN"/>
              </w:rPr>
              <w:t>否</w:t>
            </w:r>
          </w:p>
        </w:tc>
      </w:tr>
      <w:tr w14:paraId="2C68E542">
        <w:tblPrEx>
          <w:tblCellMar>
            <w:top w:w="0" w:type="dxa"/>
            <w:left w:w="108" w:type="dxa"/>
            <w:bottom w:w="0" w:type="dxa"/>
            <w:right w:w="108" w:type="dxa"/>
          </w:tblCellMar>
        </w:tblPrEx>
        <w:trPr>
          <w:trHeight w:val="647" w:hRule="atLeast"/>
          <w:jc w:val="center"/>
        </w:trPr>
        <w:tc>
          <w:tcPr>
            <w:tcW w:w="429" w:type="dxa"/>
            <w:tcBorders>
              <w:top w:val="nil"/>
              <w:left w:val="single" w:color="000000" w:sz="8" w:space="0"/>
              <w:bottom w:val="single" w:color="000000" w:sz="8" w:space="0"/>
              <w:right w:val="single" w:color="000000" w:sz="8" w:space="0"/>
            </w:tcBorders>
            <w:noWrap w:val="0"/>
            <w:vAlign w:val="center"/>
          </w:tcPr>
          <w:p w14:paraId="182E1544">
            <w:pPr>
              <w:pStyle w:val="17"/>
              <w:shd w:val="clear" w:color="auto" w:fill="auto"/>
              <w:spacing w:line="240" w:lineRule="auto"/>
              <w:rPr>
                <w:rFonts w:hint="default" w:ascii="Times New Roman" w:hAnsi="Times New Roman" w:eastAsia="宋体" w:cs="Times New Roman"/>
                <w:highlight w:val="none"/>
                <w:lang w:val="en-US" w:eastAsia="zh-CN"/>
              </w:rPr>
            </w:pPr>
          </w:p>
        </w:tc>
        <w:tc>
          <w:tcPr>
            <w:tcW w:w="1954" w:type="dxa"/>
            <w:tcBorders>
              <w:top w:val="nil"/>
              <w:left w:val="single" w:color="000000" w:sz="8" w:space="0"/>
              <w:bottom w:val="single" w:color="000000" w:sz="8" w:space="0"/>
              <w:right w:val="single" w:color="000000" w:sz="8" w:space="0"/>
            </w:tcBorders>
            <w:noWrap w:val="0"/>
            <w:vAlign w:val="center"/>
          </w:tcPr>
          <w:p w14:paraId="7FA6E8C5">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u w:val="none"/>
              </w:rPr>
            </w:pPr>
          </w:p>
        </w:tc>
        <w:tc>
          <w:tcPr>
            <w:tcW w:w="1867" w:type="dxa"/>
            <w:tcBorders>
              <w:top w:val="nil"/>
              <w:left w:val="single" w:color="000000" w:sz="8" w:space="0"/>
              <w:bottom w:val="single" w:color="000000" w:sz="8" w:space="0"/>
              <w:right w:val="single" w:color="000000" w:sz="8" w:space="0"/>
            </w:tcBorders>
            <w:noWrap w:val="0"/>
            <w:vAlign w:val="center"/>
          </w:tcPr>
          <w:p w14:paraId="43BC9112">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u w:val="none"/>
              </w:rPr>
            </w:pPr>
          </w:p>
        </w:tc>
        <w:tc>
          <w:tcPr>
            <w:tcW w:w="1963" w:type="dxa"/>
            <w:tcBorders>
              <w:top w:val="nil"/>
              <w:left w:val="single" w:color="000000" w:sz="8" w:space="0"/>
              <w:bottom w:val="single" w:color="000000" w:sz="8" w:space="0"/>
              <w:right w:val="single" w:color="000000" w:sz="8" w:space="0"/>
            </w:tcBorders>
            <w:noWrap w:val="0"/>
            <w:vAlign w:val="center"/>
          </w:tcPr>
          <w:p w14:paraId="1E3F398E">
            <w:pPr>
              <w:widowControl/>
              <w:shd w:val="clear" w:color="auto" w:fill="auto"/>
              <w:jc w:val="center"/>
              <w:textAlignment w:val="center"/>
              <w:rPr>
                <w:rFonts w:hint="default" w:ascii="黑体" w:hAnsi="黑体" w:eastAsia="黑体" w:cs="黑体"/>
                <w:bCs/>
                <w:color w:val="auto"/>
                <w:kern w:val="0"/>
                <w:szCs w:val="21"/>
                <w:highlight w:val="none"/>
                <w:lang w:val="en-US" w:eastAsia="zh-CN"/>
              </w:rPr>
            </w:pPr>
          </w:p>
        </w:tc>
        <w:tc>
          <w:tcPr>
            <w:tcW w:w="576" w:type="dxa"/>
            <w:tcBorders>
              <w:top w:val="nil"/>
              <w:left w:val="single" w:color="000000" w:sz="8" w:space="0"/>
              <w:bottom w:val="single" w:color="000000" w:sz="8" w:space="0"/>
              <w:right w:val="single" w:color="000000" w:sz="8" w:space="0"/>
            </w:tcBorders>
            <w:noWrap w:val="0"/>
            <w:vAlign w:val="center"/>
          </w:tcPr>
          <w:p w14:paraId="1927BBEA">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615" w:type="dxa"/>
            <w:tcBorders>
              <w:top w:val="nil"/>
              <w:left w:val="single" w:color="000000" w:sz="8" w:space="0"/>
              <w:bottom w:val="single" w:color="000000" w:sz="8" w:space="0"/>
              <w:right w:val="single" w:color="000000" w:sz="8" w:space="0"/>
            </w:tcBorders>
            <w:noWrap w:val="0"/>
            <w:vAlign w:val="center"/>
          </w:tcPr>
          <w:p w14:paraId="6448C5CE">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00" w:type="dxa"/>
            <w:tcBorders>
              <w:top w:val="nil"/>
              <w:left w:val="single" w:color="000000" w:sz="8" w:space="0"/>
              <w:bottom w:val="single" w:color="000000" w:sz="8" w:space="0"/>
              <w:right w:val="single" w:color="000000" w:sz="8" w:space="0"/>
            </w:tcBorders>
            <w:noWrap w:val="0"/>
            <w:vAlign w:val="center"/>
          </w:tcPr>
          <w:p w14:paraId="252AF6B0">
            <w:pPr>
              <w:widowControl/>
              <w:shd w:val="clear" w:color="auto" w:fill="auto"/>
              <w:spacing w:line="240" w:lineRule="auto"/>
              <w:jc w:val="center"/>
              <w:textAlignment w:val="center"/>
              <w:rPr>
                <w:rFonts w:hint="default" w:ascii="Times New Roman" w:hAnsi="Times New Roman" w:eastAsia="黑体" w:cs="Times New Roman"/>
                <w:color w:val="auto"/>
                <w:sz w:val="21"/>
                <w:szCs w:val="21"/>
                <w:highlight w:val="none"/>
                <w:lang w:val="en-US" w:eastAsia="zh-CN"/>
              </w:rPr>
            </w:pPr>
          </w:p>
        </w:tc>
        <w:tc>
          <w:tcPr>
            <w:tcW w:w="1215" w:type="dxa"/>
            <w:tcBorders>
              <w:top w:val="nil"/>
              <w:left w:val="single" w:color="000000" w:sz="8" w:space="0"/>
              <w:bottom w:val="single" w:color="000000" w:sz="8" w:space="0"/>
              <w:right w:val="single" w:color="000000" w:sz="8" w:space="0"/>
            </w:tcBorders>
            <w:noWrap w:val="0"/>
            <w:vAlign w:val="center"/>
          </w:tcPr>
          <w:p w14:paraId="767C5542">
            <w:pPr>
              <w:widowControl/>
              <w:shd w:val="clear" w:color="auto" w:fill="auto"/>
              <w:spacing w:line="240" w:lineRule="auto"/>
              <w:jc w:val="center"/>
              <w:textAlignment w:val="center"/>
              <w:rPr>
                <w:rFonts w:hint="default" w:ascii="Times New Roman" w:hAnsi="Times New Roman" w:eastAsia="黑体" w:cs="Times New Roman"/>
                <w:color w:val="auto"/>
                <w:kern w:val="2"/>
                <w:sz w:val="21"/>
                <w:szCs w:val="21"/>
                <w:highlight w:val="none"/>
                <w:lang w:val="en-US" w:eastAsia="zh-CN" w:bidi="ar-SA"/>
              </w:rPr>
            </w:pPr>
          </w:p>
        </w:tc>
        <w:tc>
          <w:tcPr>
            <w:tcW w:w="1464" w:type="dxa"/>
            <w:tcBorders>
              <w:top w:val="nil"/>
              <w:left w:val="single" w:color="000000" w:sz="8" w:space="0"/>
              <w:bottom w:val="single" w:color="000000" w:sz="8" w:space="0"/>
              <w:right w:val="single" w:color="000000" w:sz="8" w:space="0"/>
            </w:tcBorders>
            <w:noWrap w:val="0"/>
            <w:vAlign w:val="center"/>
          </w:tcPr>
          <w:p w14:paraId="2E8400EE">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eastAsia="宋体" w:cs="Times New Roman"/>
                <w:sz w:val="15"/>
                <w:szCs w:val="15"/>
                <w:highlight w:val="none"/>
                <w:u w:val="none"/>
                <w:lang w:val="en-US" w:eastAsia="zh-CN"/>
              </w:rPr>
            </w:pPr>
            <w:r>
              <w:rPr>
                <w:rFonts w:hint="default" w:ascii="Times New Roman" w:hAnsi="Times New Roman" w:eastAsia="宋体" w:cs="Times New Roman"/>
                <w:sz w:val="15"/>
                <w:szCs w:val="15"/>
                <w:highlight w:val="none"/>
                <w:u w:val="none"/>
                <w:lang w:val="en-US" w:eastAsia="zh-CN"/>
              </w:rPr>
              <w:sym w:font="Wingdings" w:char="00A8"/>
            </w:r>
            <w:r>
              <w:rPr>
                <w:rFonts w:hint="default" w:ascii="Times New Roman" w:hAnsi="Times New Roman" w:eastAsia="宋体" w:cs="Times New Roman"/>
                <w:sz w:val="15"/>
                <w:szCs w:val="15"/>
                <w:highlight w:val="none"/>
                <w:u w:val="none"/>
                <w:lang w:val="en-US" w:eastAsia="zh-CN"/>
              </w:rPr>
              <w:t>是，（品目名称）；</w:t>
            </w:r>
          </w:p>
          <w:p w14:paraId="7C320C58">
            <w:pPr>
              <w:pStyle w:val="17"/>
              <w:keepNext w:val="0"/>
              <w:keepLines w:val="0"/>
              <w:pageBreakBefore w:val="0"/>
              <w:shd w:val="clear" w:color="auto" w:fill="auto"/>
              <w:kinsoku/>
              <w:wordWrap/>
              <w:overflowPunct/>
              <w:topLinePunct w:val="0"/>
              <w:autoSpaceDE/>
              <w:autoSpaceDN/>
              <w:bidi w:val="0"/>
              <w:spacing w:after="0" w:line="240" w:lineRule="auto"/>
              <w:rPr>
                <w:rFonts w:hint="default" w:ascii="Times New Roman" w:hAnsi="Times New Roman" w:eastAsia="黑体" w:cs="Times New Roman"/>
                <w:color w:val="auto"/>
                <w:kern w:val="2"/>
                <w:sz w:val="15"/>
                <w:szCs w:val="15"/>
                <w:highlight w:val="none"/>
                <w:lang w:val="en-US" w:eastAsia="zh-CN" w:bidi="ar-SA"/>
              </w:rPr>
            </w:pPr>
            <w:r>
              <w:rPr>
                <w:rFonts w:hint="default" w:ascii="Times New Roman" w:hAnsi="Times New Roman" w:cs="Times New Roman"/>
                <w:sz w:val="15"/>
                <w:szCs w:val="15"/>
                <w:highlight w:val="none"/>
                <w:lang w:val="en-US" w:eastAsia="zh-CN"/>
              </w:rPr>
              <w:sym w:font="Wingdings" w:char="00A8"/>
            </w:r>
            <w:r>
              <w:rPr>
                <w:rFonts w:hint="default" w:ascii="Times New Roman" w:hAnsi="Times New Roman" w:cs="Times New Roman"/>
                <w:sz w:val="15"/>
                <w:szCs w:val="15"/>
                <w:highlight w:val="none"/>
                <w:lang w:val="en-US" w:eastAsia="zh-CN"/>
              </w:rPr>
              <w:t>否</w:t>
            </w:r>
          </w:p>
        </w:tc>
        <w:tc>
          <w:tcPr>
            <w:tcW w:w="1428" w:type="dxa"/>
            <w:tcBorders>
              <w:top w:val="nil"/>
              <w:left w:val="single" w:color="000000" w:sz="8" w:space="0"/>
              <w:bottom w:val="single" w:color="000000" w:sz="8" w:space="0"/>
              <w:right w:val="single" w:color="000000" w:sz="8" w:space="0"/>
            </w:tcBorders>
            <w:noWrap w:val="0"/>
            <w:vAlign w:val="center"/>
          </w:tcPr>
          <w:p w14:paraId="4CD42E55">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eastAsia="宋体" w:cs="Times New Roman"/>
                <w:sz w:val="15"/>
                <w:szCs w:val="15"/>
                <w:highlight w:val="none"/>
                <w:u w:val="none"/>
                <w:lang w:val="en-US" w:eastAsia="zh-CN"/>
              </w:rPr>
            </w:pPr>
            <w:r>
              <w:rPr>
                <w:rFonts w:hint="default" w:ascii="Times New Roman" w:hAnsi="Times New Roman" w:eastAsia="宋体" w:cs="Times New Roman"/>
                <w:sz w:val="15"/>
                <w:szCs w:val="15"/>
                <w:highlight w:val="none"/>
                <w:u w:val="none"/>
                <w:lang w:val="en-US" w:eastAsia="zh-CN"/>
              </w:rPr>
              <w:sym w:font="Wingdings" w:char="00A8"/>
            </w:r>
            <w:r>
              <w:rPr>
                <w:rFonts w:hint="default" w:ascii="Times New Roman" w:hAnsi="Times New Roman" w:eastAsia="宋体" w:cs="Times New Roman"/>
                <w:sz w:val="15"/>
                <w:szCs w:val="15"/>
                <w:highlight w:val="none"/>
                <w:u w:val="none"/>
                <w:lang w:val="en-US" w:eastAsia="zh-CN"/>
              </w:rPr>
              <w:t>是，（品目名称）；</w:t>
            </w:r>
          </w:p>
          <w:p w14:paraId="36179802">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eastAsia="黑体" w:cs="Times New Roman"/>
                <w:color w:val="auto"/>
                <w:kern w:val="2"/>
                <w:sz w:val="15"/>
                <w:szCs w:val="15"/>
                <w:highlight w:val="none"/>
                <w:u w:val="single"/>
                <w:lang w:val="en-US" w:eastAsia="zh-CN" w:bidi="ar-SA"/>
              </w:rPr>
            </w:pPr>
            <w:r>
              <w:rPr>
                <w:rFonts w:hint="default" w:ascii="Times New Roman" w:hAnsi="Times New Roman" w:cs="Times New Roman"/>
                <w:sz w:val="15"/>
                <w:szCs w:val="15"/>
                <w:highlight w:val="none"/>
                <w:lang w:val="en-US" w:eastAsia="zh-CN"/>
              </w:rPr>
              <w:sym w:font="Wingdings" w:char="00A8"/>
            </w:r>
            <w:r>
              <w:rPr>
                <w:rFonts w:hint="default" w:ascii="Times New Roman" w:hAnsi="Times New Roman" w:cs="Times New Roman"/>
                <w:sz w:val="15"/>
                <w:szCs w:val="15"/>
                <w:highlight w:val="none"/>
                <w:lang w:val="en-US" w:eastAsia="zh-CN"/>
              </w:rPr>
              <w:t>否</w:t>
            </w:r>
          </w:p>
        </w:tc>
        <w:tc>
          <w:tcPr>
            <w:tcW w:w="1565" w:type="dxa"/>
            <w:tcBorders>
              <w:top w:val="nil"/>
              <w:left w:val="single" w:color="000000" w:sz="8" w:space="0"/>
              <w:bottom w:val="single" w:color="000000" w:sz="8" w:space="0"/>
              <w:right w:val="single" w:color="000000" w:sz="8" w:space="0"/>
            </w:tcBorders>
            <w:noWrap w:val="0"/>
            <w:vAlign w:val="center"/>
          </w:tcPr>
          <w:p w14:paraId="51A4097B">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eastAsia="宋体" w:cs="Times New Roman"/>
                <w:sz w:val="15"/>
                <w:szCs w:val="15"/>
                <w:highlight w:val="none"/>
                <w:u w:val="none"/>
                <w:lang w:val="en-US" w:eastAsia="zh-CN"/>
              </w:rPr>
            </w:pPr>
            <w:r>
              <w:rPr>
                <w:rFonts w:hint="default" w:ascii="Times New Roman" w:hAnsi="Times New Roman" w:eastAsia="宋体" w:cs="Times New Roman"/>
                <w:sz w:val="15"/>
                <w:szCs w:val="15"/>
                <w:highlight w:val="none"/>
                <w:u w:val="none"/>
                <w:lang w:val="en-US" w:eastAsia="zh-CN"/>
              </w:rPr>
              <w:sym w:font="Wingdings" w:char="00A8"/>
            </w:r>
            <w:r>
              <w:rPr>
                <w:rFonts w:hint="default" w:ascii="Times New Roman" w:hAnsi="Times New Roman" w:eastAsia="宋体" w:cs="Times New Roman"/>
                <w:sz w:val="15"/>
                <w:szCs w:val="15"/>
                <w:highlight w:val="none"/>
                <w:u w:val="none"/>
                <w:lang w:val="en-US" w:eastAsia="zh-CN"/>
              </w:rPr>
              <w:t>是，（品目名称）；</w:t>
            </w:r>
          </w:p>
          <w:p w14:paraId="324E044B">
            <w:pPr>
              <w:pStyle w:val="17"/>
              <w:keepNext w:val="0"/>
              <w:keepLines w:val="0"/>
              <w:pageBreakBefore w:val="0"/>
              <w:shd w:val="clear" w:color="auto" w:fill="auto"/>
              <w:kinsoku/>
              <w:wordWrap/>
              <w:overflowPunct/>
              <w:topLinePunct w:val="0"/>
              <w:autoSpaceDE/>
              <w:autoSpaceDN/>
              <w:bidi w:val="0"/>
              <w:spacing w:after="0" w:line="240" w:lineRule="auto"/>
              <w:rPr>
                <w:rFonts w:hint="default" w:ascii="Times New Roman" w:hAnsi="Times New Roman" w:eastAsia="黑体" w:cs="Times New Roman"/>
                <w:color w:val="auto"/>
                <w:kern w:val="2"/>
                <w:sz w:val="15"/>
                <w:szCs w:val="15"/>
                <w:highlight w:val="none"/>
                <w:lang w:val="en-US" w:eastAsia="zh-CN" w:bidi="ar-SA"/>
              </w:rPr>
            </w:pPr>
            <w:r>
              <w:rPr>
                <w:rFonts w:hint="default" w:ascii="Times New Roman" w:hAnsi="Times New Roman" w:cs="Times New Roman"/>
                <w:sz w:val="15"/>
                <w:szCs w:val="15"/>
                <w:highlight w:val="none"/>
                <w:lang w:val="en-US" w:eastAsia="zh-CN"/>
              </w:rPr>
              <w:sym w:font="Wingdings" w:char="00A8"/>
            </w:r>
            <w:r>
              <w:rPr>
                <w:rFonts w:hint="default" w:ascii="Times New Roman" w:hAnsi="Times New Roman" w:cs="Times New Roman"/>
                <w:sz w:val="15"/>
                <w:szCs w:val="15"/>
                <w:highlight w:val="none"/>
                <w:lang w:val="en-US" w:eastAsia="zh-CN"/>
              </w:rPr>
              <w:t>否</w:t>
            </w:r>
          </w:p>
        </w:tc>
        <w:tc>
          <w:tcPr>
            <w:tcW w:w="1545" w:type="dxa"/>
            <w:tcBorders>
              <w:top w:val="nil"/>
              <w:left w:val="single" w:color="000000" w:sz="8" w:space="0"/>
              <w:bottom w:val="single" w:color="000000" w:sz="8" w:space="0"/>
              <w:right w:val="single" w:color="000000" w:sz="8" w:space="0"/>
            </w:tcBorders>
            <w:noWrap w:val="0"/>
            <w:vAlign w:val="center"/>
          </w:tcPr>
          <w:p w14:paraId="564FBBF6">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eastAsia="宋体" w:cs="Times New Roman"/>
                <w:sz w:val="15"/>
                <w:szCs w:val="15"/>
                <w:highlight w:val="none"/>
                <w:u w:val="none"/>
                <w:lang w:val="en-US" w:eastAsia="zh-CN"/>
              </w:rPr>
            </w:pPr>
            <w:r>
              <w:rPr>
                <w:rFonts w:hint="default" w:ascii="Times New Roman" w:hAnsi="Times New Roman" w:eastAsia="宋体" w:cs="Times New Roman"/>
                <w:sz w:val="15"/>
                <w:szCs w:val="15"/>
                <w:highlight w:val="none"/>
                <w:u w:val="none"/>
                <w:lang w:val="en-US" w:eastAsia="zh-CN"/>
              </w:rPr>
              <w:sym w:font="Wingdings" w:char="00A8"/>
            </w:r>
            <w:r>
              <w:rPr>
                <w:rFonts w:hint="default" w:ascii="Times New Roman" w:hAnsi="Times New Roman" w:eastAsia="宋体" w:cs="Times New Roman"/>
                <w:sz w:val="15"/>
                <w:szCs w:val="15"/>
                <w:highlight w:val="none"/>
                <w:u w:val="none"/>
                <w:lang w:val="en-US" w:eastAsia="zh-CN"/>
              </w:rPr>
              <w:t>是，（品目名称）；</w:t>
            </w:r>
          </w:p>
          <w:p w14:paraId="3CCDDA0E">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eastAsia="黑体" w:cs="Times New Roman"/>
                <w:color w:val="auto"/>
                <w:kern w:val="2"/>
                <w:sz w:val="15"/>
                <w:szCs w:val="15"/>
                <w:highlight w:val="none"/>
                <w:lang w:val="en-US" w:eastAsia="zh-CN" w:bidi="ar-SA"/>
              </w:rPr>
            </w:pPr>
            <w:r>
              <w:rPr>
                <w:rFonts w:hint="default" w:ascii="Times New Roman" w:hAnsi="Times New Roman" w:cs="Times New Roman"/>
                <w:sz w:val="15"/>
                <w:szCs w:val="15"/>
                <w:highlight w:val="none"/>
                <w:lang w:val="en-US" w:eastAsia="zh-CN"/>
              </w:rPr>
              <w:sym w:font="Wingdings" w:char="00A8"/>
            </w:r>
            <w:r>
              <w:rPr>
                <w:rFonts w:hint="default" w:ascii="Times New Roman" w:hAnsi="Times New Roman" w:cs="Times New Roman"/>
                <w:sz w:val="15"/>
                <w:szCs w:val="15"/>
                <w:highlight w:val="none"/>
                <w:lang w:val="en-US" w:eastAsia="zh-CN"/>
              </w:rPr>
              <w:t>否</w:t>
            </w:r>
          </w:p>
        </w:tc>
      </w:tr>
      <w:tr w14:paraId="2A824C66">
        <w:tblPrEx>
          <w:tblCellMar>
            <w:top w:w="0" w:type="dxa"/>
            <w:left w:w="108" w:type="dxa"/>
            <w:bottom w:w="0" w:type="dxa"/>
            <w:right w:w="108" w:type="dxa"/>
          </w:tblCellMar>
        </w:tblPrEx>
        <w:trPr>
          <w:trHeight w:val="647" w:hRule="atLeast"/>
          <w:jc w:val="center"/>
        </w:trPr>
        <w:tc>
          <w:tcPr>
            <w:tcW w:w="15821" w:type="dxa"/>
            <w:gridSpan w:val="12"/>
            <w:tcBorders>
              <w:top w:val="nil"/>
              <w:left w:val="single" w:color="000000" w:sz="8" w:space="0"/>
              <w:bottom w:val="single" w:color="auto" w:sz="4" w:space="0"/>
              <w:right w:val="single" w:color="000000" w:sz="8" w:space="0"/>
            </w:tcBorders>
            <w:noWrap w:val="0"/>
            <w:vAlign w:val="center"/>
          </w:tcPr>
          <w:p w14:paraId="1A3BF40D">
            <w:pPr>
              <w:keepNext w:val="0"/>
              <w:keepLines w:val="0"/>
              <w:pageBreakBefore w:val="0"/>
              <w:numPr>
                <w:ilvl w:val="0"/>
                <w:numId w:val="0"/>
              </w:numPr>
              <w:shd w:val="clear" w:color="auto" w:fill="auto"/>
              <w:kinsoku/>
              <w:wordWrap/>
              <w:overflowPunct/>
              <w:topLinePunct w:val="0"/>
              <w:autoSpaceDE/>
              <w:autoSpaceDN/>
              <w:bidi w:val="0"/>
              <w:adjustRightInd w:val="0"/>
              <w:snapToGrid w:val="0"/>
              <w:spacing w:before="0" w:line="240" w:lineRule="auto"/>
              <w:ind w:left="0" w:leftChars="0" w:firstLine="0" w:firstLineChars="0"/>
              <w:rPr>
                <w:rFonts w:hint="default" w:ascii="Times New Roman" w:hAnsi="Times New Roman" w:cs="Times New Roman"/>
                <w:sz w:val="15"/>
                <w:szCs w:val="15"/>
                <w:highlight w:val="none"/>
                <w:lang w:val="en-US" w:eastAsia="zh-CN"/>
              </w:rPr>
            </w:pPr>
            <w:r>
              <w:rPr>
                <w:rFonts w:hint="default" w:ascii="Times New Roman" w:hAnsi="Times New Roman" w:eastAsia="黑体" w:cs="Times New Roman"/>
                <w:color w:val="auto"/>
                <w:kern w:val="0"/>
                <w:sz w:val="24"/>
                <w:szCs w:val="24"/>
                <w:highlight w:val="none"/>
              </w:rPr>
              <w:t>合计</w:t>
            </w:r>
            <w:r>
              <w:rPr>
                <w:rFonts w:hint="default" w:ascii="Times New Roman" w:hAnsi="Times New Roman" w:eastAsia="黑体" w:cs="Times New Roman"/>
                <w:color w:val="auto"/>
                <w:kern w:val="0"/>
                <w:sz w:val="24"/>
                <w:szCs w:val="24"/>
                <w:highlight w:val="none"/>
                <w:lang w:val="en-US" w:eastAsia="zh-CN"/>
              </w:rPr>
              <w:t>(人民币)</w:t>
            </w:r>
            <w:r>
              <w:rPr>
                <w:rFonts w:hint="default" w:ascii="Times New Roman" w:hAnsi="Times New Roman" w:eastAsia="黑体" w:cs="Times New Roman"/>
                <w:color w:val="auto"/>
                <w:kern w:val="0"/>
                <w:sz w:val="24"/>
                <w:szCs w:val="24"/>
                <w:highlight w:val="none"/>
              </w:rPr>
              <w:t>：</w:t>
            </w:r>
            <w:r>
              <w:rPr>
                <w:rFonts w:hint="eastAsia" w:eastAsia="黑体" w:cs="Times New Roman"/>
                <w:color w:val="auto"/>
                <w:kern w:val="0"/>
                <w:sz w:val="24"/>
                <w:szCs w:val="24"/>
                <w:highlight w:val="none"/>
                <w:lang w:val="en-US" w:eastAsia="zh-CN"/>
              </w:rPr>
              <w:t>XXX</w:t>
            </w:r>
            <w:r>
              <w:rPr>
                <w:rFonts w:hint="default" w:ascii="Times New Roman" w:hAnsi="Times New Roman" w:eastAsia="黑体" w:cs="Times New Roman"/>
                <w:color w:val="auto"/>
                <w:kern w:val="0"/>
                <w:sz w:val="24"/>
                <w:szCs w:val="24"/>
                <w:highlight w:val="none"/>
                <w:lang w:val="en-US" w:eastAsia="zh-CN"/>
              </w:rPr>
              <w:t>元</w:t>
            </w:r>
            <w:r>
              <w:rPr>
                <w:rFonts w:hint="default" w:ascii="Times New Roman" w:hAnsi="Times New Roman" w:eastAsia="黑体" w:cs="Times New Roman"/>
                <w:color w:val="auto"/>
                <w:kern w:val="0"/>
                <w:sz w:val="24"/>
                <w:szCs w:val="24"/>
                <w:highlight w:val="none"/>
                <w:lang w:eastAsia="zh-CN"/>
              </w:rPr>
              <w:t>（</w:t>
            </w:r>
            <w:r>
              <w:rPr>
                <w:rFonts w:hint="default" w:ascii="Times New Roman" w:hAnsi="Times New Roman" w:eastAsia="黑体" w:cs="Times New Roman"/>
                <w:color w:val="auto"/>
                <w:kern w:val="0"/>
                <w:sz w:val="24"/>
                <w:szCs w:val="24"/>
                <w:highlight w:val="none"/>
                <w:lang w:val="en-US" w:eastAsia="zh-CN"/>
              </w:rPr>
              <w:t>大写：</w:t>
            </w:r>
            <w:r>
              <w:rPr>
                <w:rFonts w:hint="eastAsia" w:eastAsia="黑体" w:cs="Times New Roman"/>
                <w:color w:val="auto"/>
                <w:kern w:val="0"/>
                <w:sz w:val="24"/>
                <w:szCs w:val="24"/>
                <w:highlight w:val="none"/>
                <w:lang w:val="en-US" w:eastAsia="zh-CN"/>
              </w:rPr>
              <w:t>XXX</w:t>
            </w:r>
            <w:r>
              <w:rPr>
                <w:rFonts w:hint="default" w:ascii="Times New Roman" w:hAnsi="Times New Roman" w:eastAsia="黑体" w:cs="Times New Roman"/>
                <w:color w:val="auto"/>
                <w:kern w:val="0"/>
                <w:sz w:val="24"/>
                <w:szCs w:val="24"/>
                <w:highlight w:val="none"/>
                <w:lang w:val="en-US" w:eastAsia="zh-CN"/>
              </w:rPr>
              <w:t>整</w:t>
            </w:r>
            <w:r>
              <w:rPr>
                <w:rFonts w:hint="default" w:ascii="Times New Roman" w:hAnsi="Times New Roman" w:eastAsia="黑体" w:cs="Times New Roman"/>
                <w:color w:val="auto"/>
                <w:kern w:val="0"/>
                <w:sz w:val="24"/>
                <w:szCs w:val="24"/>
                <w:highlight w:val="none"/>
                <w:lang w:eastAsia="zh-CN"/>
              </w:rPr>
              <w:t>）</w:t>
            </w:r>
          </w:p>
        </w:tc>
      </w:tr>
      <w:tr w14:paraId="226A6BBD">
        <w:tblPrEx>
          <w:tblCellMar>
            <w:top w:w="0" w:type="dxa"/>
            <w:left w:w="108" w:type="dxa"/>
            <w:bottom w:w="0" w:type="dxa"/>
            <w:right w:w="108" w:type="dxa"/>
          </w:tblCellMar>
        </w:tblPrEx>
        <w:trPr>
          <w:trHeight w:val="560" w:hRule="atLeast"/>
          <w:jc w:val="center"/>
        </w:trPr>
        <w:tc>
          <w:tcPr>
            <w:tcW w:w="15821" w:type="dxa"/>
            <w:gridSpan w:val="12"/>
            <w:tcBorders>
              <w:top w:val="single" w:color="auto" w:sz="4" w:space="0"/>
              <w:left w:val="single" w:color="auto" w:sz="4" w:space="0"/>
              <w:bottom w:val="single" w:color="auto" w:sz="4" w:space="0"/>
              <w:right w:val="single" w:color="auto" w:sz="4" w:space="0"/>
            </w:tcBorders>
            <w:noWrap w:val="0"/>
            <w:vAlign w:val="center"/>
          </w:tcPr>
          <w:p w14:paraId="6DF1ACD5">
            <w:pPr>
              <w:shd w:val="clear" w:color="auto" w:fill="auto"/>
              <w:adjustRightInd w:val="0"/>
              <w:snapToGrid w:val="0"/>
              <w:spacing w:before="0" w:beforeLines="0" w:line="400" w:lineRule="exact"/>
              <w:jc w:val="lef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注：1.采购标的的配置清单见附件</w:t>
            </w:r>
            <w:r>
              <w:rPr>
                <w:rFonts w:hint="eastAsia" w:cs="Times New Roman"/>
                <w:highlight w:val="none"/>
                <w:lang w:val="en-US" w:eastAsia="zh-CN"/>
              </w:rPr>
              <w:t>XXX</w:t>
            </w:r>
            <w:r>
              <w:rPr>
                <w:rFonts w:hint="default" w:ascii="Times New Roman" w:hAnsi="Times New Roman" w:cs="Times New Roman"/>
                <w:highlight w:val="none"/>
                <w:lang w:val="en-US" w:eastAsia="zh-CN"/>
              </w:rPr>
              <w:t>；</w:t>
            </w:r>
          </w:p>
          <w:p w14:paraId="420DDB63">
            <w:pPr>
              <w:widowControl/>
              <w:shd w:val="clear" w:color="auto" w:fill="auto"/>
              <w:ind w:firstLine="420" w:firstLineChars="200"/>
              <w:jc w:val="left"/>
              <w:textAlignment w:val="center"/>
              <w:rPr>
                <w:rFonts w:hint="eastAsia" w:ascii="黑体" w:hAnsi="黑体" w:eastAsia="黑体" w:cs="宋体"/>
                <w:color w:val="auto"/>
                <w:kern w:val="0"/>
                <w:sz w:val="24"/>
                <w:szCs w:val="24"/>
                <w:highlight w:val="none"/>
              </w:rPr>
            </w:pPr>
            <w:r>
              <w:rPr>
                <w:rFonts w:hint="default" w:ascii="Times New Roman" w:hAnsi="Times New Roman" w:cs="Times New Roman"/>
                <w:iCs w:val="0"/>
                <w:szCs w:val="21"/>
                <w:highlight w:val="none"/>
                <w:lang w:val="en-US" w:eastAsia="zh-CN"/>
              </w:rPr>
              <w:t>2.</w:t>
            </w:r>
            <w:r>
              <w:rPr>
                <w:rFonts w:hint="eastAsia" w:ascii="宋体" w:hAnsi="宋体" w:cs="宋体"/>
                <w:iCs w:val="0"/>
                <w:szCs w:val="21"/>
                <w:highlight w:val="none"/>
                <w:lang w:val="en-US" w:eastAsia="zh-CN"/>
              </w:rPr>
              <w:t>进口产品、</w:t>
            </w:r>
            <w:r>
              <w:rPr>
                <w:rFonts w:hint="eastAsia" w:ascii="宋体" w:hAnsi="宋体"/>
                <w:iCs w:val="0"/>
                <w:szCs w:val="21"/>
                <w:highlight w:val="none"/>
                <w:lang w:val="en-US" w:eastAsia="zh-CN"/>
              </w:rPr>
              <w:t>节能产品、</w:t>
            </w:r>
            <w:r>
              <w:rPr>
                <w:rFonts w:hint="eastAsia" w:ascii="宋体" w:hAnsi="宋体"/>
                <w:b w:val="0"/>
                <w:bCs w:val="0"/>
                <w:sz w:val="21"/>
                <w:szCs w:val="21"/>
                <w:highlight w:val="none"/>
                <w:u w:val="none"/>
                <w:lang w:val="en-US" w:eastAsia="zh-CN"/>
              </w:rPr>
              <w:t>环境标志</w:t>
            </w:r>
            <w:r>
              <w:rPr>
                <w:rFonts w:hint="eastAsia" w:ascii="宋体" w:hAnsi="宋体" w:eastAsia="宋体"/>
                <w:b w:val="0"/>
                <w:bCs w:val="0"/>
                <w:sz w:val="21"/>
                <w:szCs w:val="21"/>
                <w:highlight w:val="none"/>
                <w:u w:val="none"/>
                <w:lang w:val="en-US" w:eastAsia="zh-CN"/>
              </w:rPr>
              <w:t>产品、</w:t>
            </w:r>
            <w:r>
              <w:rPr>
                <w:rFonts w:hint="eastAsia" w:ascii="宋体" w:hAnsi="宋体" w:eastAsia="宋体" w:cs="Times New Roman"/>
                <w:b w:val="0"/>
                <w:bCs w:val="0"/>
                <w:kern w:val="2"/>
                <w:sz w:val="21"/>
                <w:szCs w:val="21"/>
                <w:highlight w:val="none"/>
                <w:u w:val="none"/>
                <w:lang w:val="en-US" w:eastAsia="zh-CN"/>
              </w:rPr>
              <w:t>绿色产品</w:t>
            </w:r>
            <w:r>
              <w:rPr>
                <w:rFonts w:hint="eastAsia" w:ascii="宋体" w:hAnsi="宋体" w:cs="宋体"/>
                <w:iCs w:val="0"/>
                <w:szCs w:val="21"/>
                <w:highlight w:val="none"/>
                <w:lang w:eastAsia="zh-CN"/>
              </w:rPr>
              <w:t>品目名称</w:t>
            </w:r>
            <w:r>
              <w:rPr>
                <w:rFonts w:hint="eastAsia" w:ascii="宋体" w:hAnsi="宋体" w:cs="宋体"/>
                <w:iCs w:val="0"/>
                <w:szCs w:val="21"/>
                <w:highlight w:val="none"/>
                <w:lang w:val="en-US" w:eastAsia="zh-CN"/>
              </w:rPr>
              <w:t>分别指</w:t>
            </w:r>
            <w:r>
              <w:rPr>
                <w:rFonts w:hint="eastAsia" w:ascii="宋体" w:hAnsi="宋体" w:cs="宋体"/>
                <w:iCs w:val="0"/>
                <w:szCs w:val="21"/>
                <w:highlight w:val="none"/>
                <w:lang w:eastAsia="zh-CN"/>
              </w:rPr>
              <w:t>《政府采购品目分类目录》、</w:t>
            </w:r>
            <w:r>
              <w:rPr>
                <w:rFonts w:hint="eastAsia" w:ascii="宋体" w:hAnsi="宋体"/>
                <w:iCs w:val="0"/>
                <w:szCs w:val="21"/>
                <w:highlight w:val="none"/>
                <w:lang w:eastAsia="zh-CN"/>
              </w:rPr>
              <w:t>《节能产品政府采购品目清单》、《环境标志产品政府采购品目清单》、</w:t>
            </w:r>
            <w:r>
              <w:rPr>
                <w:rFonts w:hint="eastAsia" w:ascii="宋体" w:hAnsi="宋体" w:eastAsia="宋体" w:cs="Times New Roman"/>
                <w:iCs w:val="0"/>
                <w:kern w:val="2"/>
                <w:sz w:val="21"/>
                <w:szCs w:val="21"/>
                <w:highlight w:val="none"/>
                <w:u w:val="none"/>
                <w:lang w:eastAsia="zh-CN"/>
              </w:rPr>
              <w:t>绿色产品政府采购相关政策确定的底级品目名称。</w:t>
            </w:r>
          </w:p>
        </w:tc>
      </w:tr>
    </w:tbl>
    <w:p w14:paraId="31EA2527">
      <w:pPr>
        <w:shd w:val="clear" w:color="auto" w:fill="auto"/>
        <w:adjustRightInd w:val="0"/>
        <w:snapToGrid w:val="0"/>
        <w:spacing w:before="0" w:beforeLines="0" w:line="400" w:lineRule="exact"/>
        <w:rPr>
          <w:rFonts w:hint="eastAsia" w:ascii="宋体" w:hAnsi="宋体"/>
          <w:szCs w:val="21"/>
          <w:highlight w:val="none"/>
        </w:rPr>
      </w:pPr>
    </w:p>
    <w:p w14:paraId="3308DF9D">
      <w:pPr>
        <w:shd w:val="clear" w:color="auto" w:fill="auto"/>
        <w:rPr>
          <w:rFonts w:hint="eastAsia"/>
          <w:highlight w:val="none"/>
        </w:rPr>
      </w:pPr>
    </w:p>
    <w:p w14:paraId="2BCDF9AA">
      <w:pPr>
        <w:pStyle w:val="71"/>
        <w:shd w:val="clear" w:color="auto" w:fill="auto"/>
        <w:rPr>
          <w:rFonts w:hint="eastAsia"/>
          <w:highlight w:val="none"/>
        </w:rPr>
        <w:sectPr>
          <w:headerReference r:id="rId9" w:type="first"/>
          <w:footerReference r:id="rId11" w:type="first"/>
          <w:footerReference r:id="rId10" w:type="default"/>
          <w:pgSz w:w="16838" w:h="11906" w:orient="landscape"/>
          <w:pgMar w:top="1219" w:right="1191" w:bottom="1219" w:left="1134" w:header="850" w:footer="850" w:gutter="0"/>
          <w:pgBorders>
            <w:top w:val="none" w:sz="0" w:space="0"/>
            <w:left w:val="none" w:sz="0" w:space="0"/>
            <w:bottom w:val="none" w:sz="0" w:space="0"/>
            <w:right w:val="none" w:sz="0" w:space="0"/>
          </w:pgBorders>
          <w:pgNumType w:fmt="decimal"/>
          <w:cols w:space="720" w:num="1"/>
          <w:rtlGutter w:val="0"/>
          <w:docGrid w:type="linesAndChars" w:linePitch="338" w:charSpace="0"/>
        </w:sectPr>
      </w:pPr>
    </w:p>
    <w:tbl>
      <w:tblPr>
        <w:tblStyle w:val="44"/>
        <w:tblW w:w="954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149"/>
        <w:gridCol w:w="2741"/>
        <w:gridCol w:w="2248"/>
        <w:gridCol w:w="2405"/>
      </w:tblGrid>
      <w:tr w14:paraId="1B3AA2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890" w:type="dxa"/>
            <w:gridSpan w:val="2"/>
            <w:tcBorders>
              <w:bottom w:val="single" w:color="auto" w:sz="2" w:space="0"/>
              <w:right w:val="single" w:color="auto" w:sz="2" w:space="0"/>
            </w:tcBorders>
            <w:noWrap w:val="0"/>
            <w:vAlign w:val="center"/>
          </w:tcPr>
          <w:p w14:paraId="26A06461">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lang w:eastAsia="zh-CN"/>
              </w:rPr>
              <w:t>、受采购人委托签订合同的单位</w:t>
            </w:r>
            <w:r>
              <w:rPr>
                <w:rFonts w:hint="eastAsia" w:ascii="宋体" w:hAnsi="宋体"/>
                <w:szCs w:val="21"/>
                <w:highlight w:val="none"/>
              </w:rPr>
              <w:t>或</w:t>
            </w:r>
            <w:r>
              <w:rPr>
                <w:rFonts w:hint="eastAsia"/>
                <w:szCs w:val="21"/>
                <w:highlight w:val="none"/>
              </w:rPr>
              <w:t>采购文件约定的合同甲方）</w:t>
            </w:r>
          </w:p>
        </w:tc>
        <w:tc>
          <w:tcPr>
            <w:tcW w:w="4653" w:type="dxa"/>
            <w:gridSpan w:val="2"/>
            <w:tcBorders>
              <w:left w:val="single" w:color="auto" w:sz="2" w:space="0"/>
              <w:bottom w:val="single" w:color="auto" w:sz="2" w:space="0"/>
            </w:tcBorders>
            <w:noWrap w:val="0"/>
            <w:vAlign w:val="center"/>
          </w:tcPr>
          <w:p w14:paraId="373C851B">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03BAE3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149" w:type="dxa"/>
            <w:tcBorders>
              <w:top w:val="single" w:color="auto" w:sz="2" w:space="0"/>
              <w:bottom w:val="single" w:color="auto" w:sz="2" w:space="0"/>
              <w:right w:val="single" w:color="auto" w:sz="2" w:space="0"/>
            </w:tcBorders>
            <w:noWrap w:val="0"/>
            <w:vAlign w:val="center"/>
          </w:tcPr>
          <w:p w14:paraId="09721C93">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48B46C01">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0FDDDA82">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2405" w:type="dxa"/>
            <w:tcBorders>
              <w:top w:val="single" w:color="auto" w:sz="2" w:space="0"/>
              <w:left w:val="single" w:color="auto" w:sz="2" w:space="0"/>
              <w:bottom w:val="single" w:color="auto" w:sz="2" w:space="0"/>
            </w:tcBorders>
            <w:noWrap w:val="0"/>
            <w:vAlign w:val="center"/>
          </w:tcPr>
          <w:p w14:paraId="1A7B23ED">
            <w:pPr>
              <w:adjustRightInd w:val="0"/>
              <w:snapToGrid w:val="0"/>
              <w:spacing w:line="300" w:lineRule="exact"/>
              <w:jc w:val="center"/>
              <w:rPr>
                <w:spacing w:val="20"/>
                <w:szCs w:val="21"/>
                <w:highlight w:val="none"/>
              </w:rPr>
            </w:pPr>
          </w:p>
        </w:tc>
      </w:tr>
      <w:tr w14:paraId="004D7F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149" w:type="dxa"/>
            <w:tcBorders>
              <w:top w:val="single" w:color="auto" w:sz="2" w:space="0"/>
              <w:right w:val="single" w:color="auto" w:sz="2" w:space="0"/>
            </w:tcBorders>
            <w:noWrap w:val="0"/>
            <w:vAlign w:val="center"/>
          </w:tcPr>
          <w:p w14:paraId="37294907">
            <w:pPr>
              <w:adjustRightInd w:val="0"/>
              <w:snapToGrid w:val="0"/>
              <w:spacing w:line="300" w:lineRule="exact"/>
              <w:jc w:val="center"/>
              <w:rPr>
                <w:szCs w:val="21"/>
                <w:highlight w:val="none"/>
              </w:rPr>
            </w:pPr>
            <w:r>
              <w:rPr>
                <w:szCs w:val="21"/>
                <w:highlight w:val="none"/>
              </w:rPr>
              <w:t>法定代表人</w:t>
            </w:r>
          </w:p>
          <w:p w14:paraId="1D04A23F">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741" w:type="dxa"/>
            <w:tcBorders>
              <w:top w:val="single" w:color="auto" w:sz="2" w:space="0"/>
              <w:left w:val="single" w:color="auto" w:sz="2" w:space="0"/>
              <w:right w:val="single" w:color="auto" w:sz="2" w:space="0"/>
            </w:tcBorders>
            <w:noWrap w:val="0"/>
            <w:vAlign w:val="center"/>
          </w:tcPr>
          <w:p w14:paraId="0593207E">
            <w:pPr>
              <w:adjustRightInd w:val="0"/>
              <w:snapToGrid w:val="0"/>
              <w:spacing w:line="300" w:lineRule="exact"/>
              <w:jc w:val="center"/>
              <w:rPr>
                <w:szCs w:val="21"/>
                <w:highlight w:val="none"/>
              </w:rPr>
            </w:pPr>
          </w:p>
        </w:tc>
        <w:tc>
          <w:tcPr>
            <w:tcW w:w="2248" w:type="dxa"/>
            <w:tcBorders>
              <w:top w:val="single" w:color="auto" w:sz="2" w:space="0"/>
              <w:left w:val="single" w:color="auto" w:sz="2" w:space="0"/>
              <w:right w:val="single" w:color="auto" w:sz="2" w:space="0"/>
            </w:tcBorders>
            <w:noWrap w:val="0"/>
            <w:vAlign w:val="center"/>
          </w:tcPr>
          <w:p w14:paraId="13726DFB">
            <w:pPr>
              <w:adjustRightInd w:val="0"/>
              <w:snapToGrid w:val="0"/>
              <w:spacing w:line="300" w:lineRule="exact"/>
              <w:jc w:val="center"/>
              <w:rPr>
                <w:szCs w:val="21"/>
                <w:highlight w:val="none"/>
              </w:rPr>
            </w:pPr>
            <w:r>
              <w:rPr>
                <w:szCs w:val="21"/>
                <w:highlight w:val="none"/>
              </w:rPr>
              <w:t>法定代表人</w:t>
            </w:r>
          </w:p>
          <w:p w14:paraId="1B3C6A06">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405" w:type="dxa"/>
            <w:tcBorders>
              <w:top w:val="single" w:color="auto" w:sz="2" w:space="0"/>
              <w:left w:val="single" w:color="auto" w:sz="2" w:space="0"/>
              <w:bottom w:val="single" w:color="auto" w:sz="2" w:space="0"/>
            </w:tcBorders>
            <w:noWrap w:val="0"/>
            <w:vAlign w:val="center"/>
          </w:tcPr>
          <w:p w14:paraId="3EBDCD83">
            <w:pPr>
              <w:adjustRightInd w:val="0"/>
              <w:snapToGrid w:val="0"/>
              <w:spacing w:line="300" w:lineRule="exact"/>
              <w:jc w:val="center"/>
              <w:rPr>
                <w:szCs w:val="21"/>
                <w:highlight w:val="none"/>
              </w:rPr>
            </w:pPr>
          </w:p>
        </w:tc>
      </w:tr>
      <w:tr w14:paraId="7BF5DA2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6BD7C3C3">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住所</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0DBBA18E">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018FA75F">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住所</w:t>
            </w:r>
          </w:p>
        </w:tc>
        <w:tc>
          <w:tcPr>
            <w:tcW w:w="2405" w:type="dxa"/>
            <w:tcBorders>
              <w:top w:val="single" w:color="auto" w:sz="2" w:space="0"/>
              <w:left w:val="single" w:color="auto" w:sz="2" w:space="0"/>
              <w:bottom w:val="single" w:color="auto" w:sz="2" w:space="0"/>
            </w:tcBorders>
            <w:noWrap w:val="0"/>
            <w:vAlign w:val="center"/>
          </w:tcPr>
          <w:p w14:paraId="20AF83E9">
            <w:pPr>
              <w:adjustRightInd w:val="0"/>
              <w:snapToGrid w:val="0"/>
              <w:spacing w:line="300" w:lineRule="exact"/>
              <w:jc w:val="center"/>
              <w:rPr>
                <w:spacing w:val="20"/>
                <w:szCs w:val="21"/>
                <w:highlight w:val="none"/>
              </w:rPr>
            </w:pPr>
          </w:p>
        </w:tc>
      </w:tr>
      <w:tr w14:paraId="6F991D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67FD2EF2">
            <w:pPr>
              <w:adjustRightInd w:val="0"/>
              <w:snapToGrid w:val="0"/>
              <w:spacing w:line="300" w:lineRule="exact"/>
              <w:jc w:val="center"/>
              <w:rPr>
                <w:szCs w:val="21"/>
                <w:highlight w:val="none"/>
              </w:rPr>
            </w:pPr>
            <w:r>
              <w:rPr>
                <w:szCs w:val="21"/>
                <w:highlight w:val="none"/>
              </w:rPr>
              <w:t>联系人</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20669F7C">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246015FF">
            <w:pPr>
              <w:adjustRightInd w:val="0"/>
              <w:snapToGrid w:val="0"/>
              <w:spacing w:line="300" w:lineRule="exact"/>
              <w:jc w:val="center"/>
              <w:rPr>
                <w:szCs w:val="21"/>
                <w:highlight w:val="none"/>
              </w:rPr>
            </w:pPr>
            <w:r>
              <w:rPr>
                <w:szCs w:val="21"/>
                <w:highlight w:val="none"/>
              </w:rPr>
              <w:t>联系人</w:t>
            </w:r>
          </w:p>
        </w:tc>
        <w:tc>
          <w:tcPr>
            <w:tcW w:w="2405" w:type="dxa"/>
            <w:tcBorders>
              <w:top w:val="single" w:color="auto" w:sz="2" w:space="0"/>
              <w:left w:val="single" w:color="auto" w:sz="2" w:space="0"/>
              <w:bottom w:val="single" w:color="auto" w:sz="2" w:space="0"/>
            </w:tcBorders>
            <w:noWrap w:val="0"/>
            <w:vAlign w:val="center"/>
          </w:tcPr>
          <w:p w14:paraId="589E0F1C">
            <w:pPr>
              <w:adjustRightInd w:val="0"/>
              <w:snapToGrid w:val="0"/>
              <w:spacing w:line="300" w:lineRule="exact"/>
              <w:jc w:val="center"/>
              <w:rPr>
                <w:spacing w:val="20"/>
                <w:szCs w:val="21"/>
                <w:highlight w:val="none"/>
              </w:rPr>
            </w:pPr>
          </w:p>
        </w:tc>
      </w:tr>
      <w:tr w14:paraId="63173F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0E842672">
            <w:pPr>
              <w:adjustRightInd w:val="0"/>
              <w:snapToGrid w:val="0"/>
              <w:spacing w:line="300" w:lineRule="exact"/>
              <w:jc w:val="center"/>
              <w:rPr>
                <w:szCs w:val="21"/>
                <w:highlight w:val="none"/>
              </w:rPr>
            </w:pPr>
            <w:r>
              <w:rPr>
                <w:szCs w:val="21"/>
                <w:highlight w:val="none"/>
              </w:rPr>
              <w:t>联系电话</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45E2342F">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288FCEDD">
            <w:pPr>
              <w:adjustRightInd w:val="0"/>
              <w:snapToGrid w:val="0"/>
              <w:spacing w:line="300" w:lineRule="exact"/>
              <w:jc w:val="center"/>
              <w:rPr>
                <w:szCs w:val="21"/>
                <w:highlight w:val="none"/>
              </w:rPr>
            </w:pPr>
            <w:r>
              <w:rPr>
                <w:szCs w:val="21"/>
                <w:highlight w:val="none"/>
              </w:rPr>
              <w:t>联系电话</w:t>
            </w:r>
          </w:p>
        </w:tc>
        <w:tc>
          <w:tcPr>
            <w:tcW w:w="2405" w:type="dxa"/>
            <w:tcBorders>
              <w:top w:val="single" w:color="auto" w:sz="2" w:space="0"/>
              <w:left w:val="single" w:color="auto" w:sz="2" w:space="0"/>
              <w:bottom w:val="single" w:color="auto" w:sz="2" w:space="0"/>
            </w:tcBorders>
            <w:noWrap w:val="0"/>
            <w:vAlign w:val="center"/>
          </w:tcPr>
          <w:p w14:paraId="4B469F3A">
            <w:pPr>
              <w:adjustRightInd w:val="0"/>
              <w:snapToGrid w:val="0"/>
              <w:spacing w:line="300" w:lineRule="exact"/>
              <w:jc w:val="center"/>
              <w:rPr>
                <w:spacing w:val="20"/>
                <w:szCs w:val="21"/>
                <w:highlight w:val="none"/>
              </w:rPr>
            </w:pPr>
          </w:p>
        </w:tc>
      </w:tr>
      <w:tr w14:paraId="74A0A1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26413494">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通信地址</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73386BAB">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4AF64200">
            <w:pPr>
              <w:adjustRightInd w:val="0"/>
              <w:snapToGrid w:val="0"/>
              <w:spacing w:line="300" w:lineRule="exact"/>
              <w:jc w:val="center"/>
              <w:rPr>
                <w:szCs w:val="21"/>
                <w:highlight w:val="none"/>
              </w:rPr>
            </w:pPr>
            <w:r>
              <w:rPr>
                <w:rFonts w:hint="eastAsia"/>
                <w:szCs w:val="21"/>
                <w:highlight w:val="none"/>
                <w:lang w:eastAsia="zh-CN"/>
              </w:rPr>
              <w:t>通信地址</w:t>
            </w:r>
          </w:p>
        </w:tc>
        <w:tc>
          <w:tcPr>
            <w:tcW w:w="2405" w:type="dxa"/>
            <w:tcBorders>
              <w:top w:val="single" w:color="auto" w:sz="2" w:space="0"/>
              <w:left w:val="single" w:color="auto" w:sz="2" w:space="0"/>
              <w:bottom w:val="single" w:color="auto" w:sz="2" w:space="0"/>
            </w:tcBorders>
            <w:noWrap w:val="0"/>
            <w:vAlign w:val="center"/>
          </w:tcPr>
          <w:p w14:paraId="3D8409AA">
            <w:pPr>
              <w:adjustRightInd w:val="0"/>
              <w:snapToGrid w:val="0"/>
              <w:spacing w:line="300" w:lineRule="exact"/>
              <w:jc w:val="center"/>
              <w:rPr>
                <w:spacing w:val="20"/>
                <w:szCs w:val="21"/>
                <w:highlight w:val="none"/>
              </w:rPr>
            </w:pPr>
          </w:p>
        </w:tc>
      </w:tr>
      <w:tr w14:paraId="35DA72F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60E49DC4">
            <w:pPr>
              <w:adjustRightInd w:val="0"/>
              <w:snapToGrid w:val="0"/>
              <w:spacing w:line="300" w:lineRule="exact"/>
              <w:jc w:val="center"/>
              <w:rPr>
                <w:szCs w:val="21"/>
                <w:highlight w:val="none"/>
              </w:rPr>
            </w:pPr>
            <w:r>
              <w:rPr>
                <w:szCs w:val="21"/>
                <w:highlight w:val="none"/>
              </w:rPr>
              <w:t>邮政编码</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4D0EBCF3">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6976F8AB">
            <w:pPr>
              <w:adjustRightInd w:val="0"/>
              <w:snapToGrid w:val="0"/>
              <w:spacing w:line="300" w:lineRule="exact"/>
              <w:jc w:val="center"/>
              <w:rPr>
                <w:szCs w:val="21"/>
                <w:highlight w:val="none"/>
              </w:rPr>
            </w:pPr>
            <w:r>
              <w:rPr>
                <w:szCs w:val="21"/>
                <w:highlight w:val="none"/>
              </w:rPr>
              <w:t>邮政编码</w:t>
            </w:r>
          </w:p>
        </w:tc>
        <w:tc>
          <w:tcPr>
            <w:tcW w:w="2405" w:type="dxa"/>
            <w:tcBorders>
              <w:top w:val="single" w:color="auto" w:sz="2" w:space="0"/>
              <w:left w:val="single" w:color="auto" w:sz="2" w:space="0"/>
              <w:bottom w:val="single" w:color="auto" w:sz="2" w:space="0"/>
            </w:tcBorders>
            <w:noWrap w:val="0"/>
            <w:vAlign w:val="center"/>
          </w:tcPr>
          <w:p w14:paraId="7BC3200E">
            <w:pPr>
              <w:adjustRightInd w:val="0"/>
              <w:snapToGrid w:val="0"/>
              <w:spacing w:line="300" w:lineRule="exact"/>
              <w:jc w:val="center"/>
              <w:rPr>
                <w:spacing w:val="20"/>
                <w:szCs w:val="21"/>
                <w:highlight w:val="none"/>
              </w:rPr>
            </w:pPr>
          </w:p>
        </w:tc>
      </w:tr>
      <w:tr w14:paraId="300CEB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73F09B95">
            <w:pPr>
              <w:adjustRightInd w:val="0"/>
              <w:snapToGrid w:val="0"/>
              <w:spacing w:line="300" w:lineRule="exact"/>
              <w:jc w:val="center"/>
              <w:rPr>
                <w:szCs w:val="21"/>
                <w:highlight w:val="none"/>
              </w:rPr>
            </w:pPr>
            <w:r>
              <w:rPr>
                <w:rFonts w:hint="eastAsia"/>
                <w:szCs w:val="21"/>
                <w:highlight w:val="none"/>
              </w:rPr>
              <w:t>电子邮箱</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4F16143E">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1942A7EF">
            <w:pPr>
              <w:adjustRightInd w:val="0"/>
              <w:snapToGrid w:val="0"/>
              <w:spacing w:line="300" w:lineRule="exact"/>
              <w:jc w:val="center"/>
              <w:rPr>
                <w:szCs w:val="21"/>
                <w:highlight w:val="none"/>
              </w:rPr>
            </w:pPr>
            <w:r>
              <w:rPr>
                <w:rFonts w:hint="eastAsia"/>
                <w:szCs w:val="21"/>
                <w:highlight w:val="none"/>
              </w:rPr>
              <w:t>电子邮箱</w:t>
            </w:r>
          </w:p>
        </w:tc>
        <w:tc>
          <w:tcPr>
            <w:tcW w:w="2405" w:type="dxa"/>
            <w:tcBorders>
              <w:top w:val="single" w:color="auto" w:sz="2" w:space="0"/>
              <w:left w:val="single" w:color="auto" w:sz="2" w:space="0"/>
              <w:bottom w:val="single" w:color="auto" w:sz="2" w:space="0"/>
            </w:tcBorders>
            <w:noWrap w:val="0"/>
            <w:vAlign w:val="center"/>
          </w:tcPr>
          <w:p w14:paraId="74CBCD41">
            <w:pPr>
              <w:adjustRightInd w:val="0"/>
              <w:snapToGrid w:val="0"/>
              <w:spacing w:line="300" w:lineRule="exact"/>
              <w:jc w:val="center"/>
              <w:rPr>
                <w:spacing w:val="20"/>
                <w:szCs w:val="21"/>
                <w:highlight w:val="none"/>
              </w:rPr>
            </w:pPr>
          </w:p>
        </w:tc>
      </w:tr>
      <w:tr w14:paraId="304074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78FF66D6">
            <w:pPr>
              <w:adjustRightInd w:val="0"/>
              <w:snapToGrid w:val="0"/>
              <w:spacing w:line="300" w:lineRule="exact"/>
              <w:jc w:val="center"/>
              <w:rPr>
                <w:szCs w:val="21"/>
                <w:highlight w:val="none"/>
              </w:rPr>
            </w:pPr>
            <w:r>
              <w:rPr>
                <w:rFonts w:hint="eastAsia"/>
                <w:szCs w:val="21"/>
                <w:highlight w:val="none"/>
              </w:rPr>
              <w:t>统一社会信用代码</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737D7064">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684556FC">
            <w:pPr>
              <w:adjustRightInd w:val="0"/>
              <w:snapToGrid w:val="0"/>
              <w:spacing w:line="300" w:lineRule="exact"/>
              <w:jc w:val="center"/>
              <w:rPr>
                <w:szCs w:val="21"/>
                <w:highlight w:val="none"/>
              </w:rPr>
            </w:pPr>
            <w:r>
              <w:rPr>
                <w:rFonts w:hint="eastAsia"/>
                <w:szCs w:val="21"/>
                <w:highlight w:val="none"/>
              </w:rPr>
              <w:t>统一社会信用代码</w:t>
            </w:r>
          </w:p>
        </w:tc>
        <w:tc>
          <w:tcPr>
            <w:tcW w:w="2405" w:type="dxa"/>
            <w:tcBorders>
              <w:top w:val="single" w:color="auto" w:sz="2" w:space="0"/>
              <w:left w:val="single" w:color="auto" w:sz="2" w:space="0"/>
              <w:bottom w:val="single" w:color="auto" w:sz="2" w:space="0"/>
            </w:tcBorders>
            <w:noWrap w:val="0"/>
            <w:vAlign w:val="center"/>
          </w:tcPr>
          <w:p w14:paraId="4F8433E1">
            <w:pPr>
              <w:adjustRightInd w:val="0"/>
              <w:snapToGrid w:val="0"/>
              <w:spacing w:line="300" w:lineRule="exact"/>
              <w:jc w:val="center"/>
              <w:rPr>
                <w:spacing w:val="20"/>
                <w:szCs w:val="21"/>
                <w:highlight w:val="none"/>
              </w:rPr>
            </w:pPr>
          </w:p>
        </w:tc>
      </w:tr>
      <w:tr w14:paraId="13EECF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2BF3BBDF">
            <w:pPr>
              <w:adjustRightInd w:val="0"/>
              <w:snapToGrid w:val="0"/>
              <w:spacing w:line="300" w:lineRule="exact"/>
              <w:jc w:val="center"/>
              <w:rPr>
                <w:szCs w:val="21"/>
                <w:highlight w:val="none"/>
              </w:rPr>
            </w:pPr>
            <w:r>
              <w:rPr>
                <w:szCs w:val="21"/>
                <w:highlight w:val="none"/>
              </w:rPr>
              <w:t>开户名称</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75DD6417">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14E4A713">
            <w:pPr>
              <w:adjustRightInd w:val="0"/>
              <w:snapToGrid w:val="0"/>
              <w:spacing w:line="300" w:lineRule="exact"/>
              <w:jc w:val="center"/>
              <w:rPr>
                <w:szCs w:val="21"/>
                <w:highlight w:val="none"/>
              </w:rPr>
            </w:pPr>
            <w:r>
              <w:rPr>
                <w:szCs w:val="21"/>
                <w:highlight w:val="none"/>
              </w:rPr>
              <w:t>开户名称</w:t>
            </w:r>
          </w:p>
        </w:tc>
        <w:tc>
          <w:tcPr>
            <w:tcW w:w="2405" w:type="dxa"/>
            <w:tcBorders>
              <w:top w:val="single" w:color="auto" w:sz="2" w:space="0"/>
              <w:left w:val="single" w:color="auto" w:sz="2" w:space="0"/>
              <w:bottom w:val="single" w:color="auto" w:sz="2" w:space="0"/>
            </w:tcBorders>
            <w:noWrap w:val="0"/>
            <w:vAlign w:val="center"/>
          </w:tcPr>
          <w:p w14:paraId="77568AA0">
            <w:pPr>
              <w:adjustRightInd w:val="0"/>
              <w:snapToGrid w:val="0"/>
              <w:spacing w:line="300" w:lineRule="exact"/>
              <w:jc w:val="center"/>
              <w:rPr>
                <w:spacing w:val="20"/>
                <w:szCs w:val="21"/>
                <w:highlight w:val="none"/>
              </w:rPr>
            </w:pPr>
          </w:p>
        </w:tc>
      </w:tr>
      <w:tr w14:paraId="270008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7289B621">
            <w:pPr>
              <w:adjustRightInd w:val="0"/>
              <w:snapToGrid w:val="0"/>
              <w:spacing w:line="300" w:lineRule="exact"/>
              <w:jc w:val="center"/>
              <w:rPr>
                <w:szCs w:val="21"/>
                <w:highlight w:val="none"/>
              </w:rPr>
            </w:pPr>
            <w:r>
              <w:rPr>
                <w:szCs w:val="21"/>
                <w:highlight w:val="none"/>
              </w:rPr>
              <w:t>开户银行</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2BE21170">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5FA44776">
            <w:pPr>
              <w:adjustRightInd w:val="0"/>
              <w:snapToGrid w:val="0"/>
              <w:spacing w:line="300" w:lineRule="exact"/>
              <w:jc w:val="center"/>
              <w:rPr>
                <w:szCs w:val="21"/>
                <w:highlight w:val="none"/>
              </w:rPr>
            </w:pPr>
            <w:r>
              <w:rPr>
                <w:szCs w:val="21"/>
                <w:highlight w:val="none"/>
              </w:rPr>
              <w:t>开户银行</w:t>
            </w:r>
          </w:p>
        </w:tc>
        <w:tc>
          <w:tcPr>
            <w:tcW w:w="2405" w:type="dxa"/>
            <w:tcBorders>
              <w:top w:val="single" w:color="auto" w:sz="2" w:space="0"/>
              <w:left w:val="single" w:color="auto" w:sz="2" w:space="0"/>
              <w:bottom w:val="single" w:color="auto" w:sz="2" w:space="0"/>
            </w:tcBorders>
            <w:noWrap w:val="0"/>
            <w:vAlign w:val="center"/>
          </w:tcPr>
          <w:p w14:paraId="15104567">
            <w:pPr>
              <w:adjustRightInd w:val="0"/>
              <w:snapToGrid w:val="0"/>
              <w:spacing w:line="300" w:lineRule="exact"/>
              <w:jc w:val="center"/>
              <w:rPr>
                <w:spacing w:val="20"/>
                <w:szCs w:val="21"/>
                <w:highlight w:val="none"/>
              </w:rPr>
            </w:pPr>
          </w:p>
        </w:tc>
      </w:tr>
      <w:tr w14:paraId="7E2209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49" w:type="dxa"/>
            <w:tcBorders>
              <w:top w:val="single" w:color="auto" w:sz="2" w:space="0"/>
              <w:bottom w:val="single" w:color="auto" w:sz="2" w:space="0"/>
              <w:right w:val="single" w:color="auto" w:sz="2" w:space="0"/>
            </w:tcBorders>
            <w:noWrap w:val="0"/>
            <w:vAlign w:val="center"/>
          </w:tcPr>
          <w:p w14:paraId="74EEFA7D">
            <w:pPr>
              <w:adjustRightInd w:val="0"/>
              <w:snapToGrid w:val="0"/>
              <w:spacing w:line="300" w:lineRule="exact"/>
              <w:jc w:val="center"/>
              <w:rPr>
                <w:szCs w:val="21"/>
                <w:highlight w:val="none"/>
              </w:rPr>
            </w:pPr>
            <w:r>
              <w:rPr>
                <w:szCs w:val="21"/>
                <w:highlight w:val="none"/>
              </w:rPr>
              <w:t>银行账号</w:t>
            </w:r>
          </w:p>
        </w:tc>
        <w:tc>
          <w:tcPr>
            <w:tcW w:w="2741" w:type="dxa"/>
            <w:tcBorders>
              <w:top w:val="single" w:color="auto" w:sz="2" w:space="0"/>
              <w:left w:val="single" w:color="auto" w:sz="2" w:space="0"/>
              <w:bottom w:val="single" w:color="auto" w:sz="2" w:space="0"/>
              <w:right w:val="single" w:color="auto" w:sz="2" w:space="0"/>
            </w:tcBorders>
            <w:noWrap w:val="0"/>
            <w:vAlign w:val="center"/>
          </w:tcPr>
          <w:p w14:paraId="49F23659">
            <w:pPr>
              <w:adjustRightInd w:val="0"/>
              <w:snapToGrid w:val="0"/>
              <w:spacing w:line="300" w:lineRule="exact"/>
              <w:jc w:val="center"/>
              <w:rPr>
                <w:szCs w:val="21"/>
                <w:highlight w:val="none"/>
              </w:rPr>
            </w:pPr>
          </w:p>
        </w:tc>
        <w:tc>
          <w:tcPr>
            <w:tcW w:w="2248" w:type="dxa"/>
            <w:tcBorders>
              <w:top w:val="single" w:color="auto" w:sz="2" w:space="0"/>
              <w:left w:val="single" w:color="auto" w:sz="2" w:space="0"/>
              <w:bottom w:val="single" w:color="auto" w:sz="2" w:space="0"/>
              <w:right w:val="single" w:color="auto" w:sz="2" w:space="0"/>
            </w:tcBorders>
            <w:noWrap w:val="0"/>
            <w:vAlign w:val="center"/>
          </w:tcPr>
          <w:p w14:paraId="35C092C1">
            <w:pPr>
              <w:adjustRightInd w:val="0"/>
              <w:snapToGrid w:val="0"/>
              <w:spacing w:line="300" w:lineRule="exact"/>
              <w:jc w:val="center"/>
              <w:rPr>
                <w:szCs w:val="21"/>
                <w:highlight w:val="none"/>
              </w:rPr>
            </w:pPr>
            <w:r>
              <w:rPr>
                <w:szCs w:val="21"/>
                <w:highlight w:val="none"/>
              </w:rPr>
              <w:t>银行账号</w:t>
            </w:r>
          </w:p>
        </w:tc>
        <w:tc>
          <w:tcPr>
            <w:tcW w:w="2405" w:type="dxa"/>
            <w:tcBorders>
              <w:top w:val="single" w:color="auto" w:sz="2" w:space="0"/>
              <w:left w:val="single" w:color="auto" w:sz="2" w:space="0"/>
              <w:bottom w:val="single" w:color="auto" w:sz="2" w:space="0"/>
            </w:tcBorders>
            <w:noWrap w:val="0"/>
            <w:vAlign w:val="center"/>
          </w:tcPr>
          <w:p w14:paraId="60CDD6B9">
            <w:pPr>
              <w:adjustRightInd w:val="0"/>
              <w:snapToGrid w:val="0"/>
              <w:spacing w:line="300" w:lineRule="exact"/>
              <w:jc w:val="center"/>
              <w:rPr>
                <w:spacing w:val="20"/>
                <w:szCs w:val="21"/>
                <w:highlight w:val="none"/>
              </w:rPr>
            </w:pPr>
          </w:p>
        </w:tc>
      </w:tr>
      <w:tr w14:paraId="28F2E4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543" w:type="dxa"/>
            <w:gridSpan w:val="4"/>
            <w:tcBorders>
              <w:top w:val="single" w:color="auto" w:sz="2" w:space="0"/>
            </w:tcBorders>
            <w:noWrap w:val="0"/>
            <w:vAlign w:val="center"/>
          </w:tcPr>
          <w:p w14:paraId="6E17CADC">
            <w:pPr>
              <w:pStyle w:val="18"/>
              <w:adjustRightInd w:val="0"/>
              <w:snapToGrid w:val="0"/>
              <w:spacing w:before="156" w:beforeLines="50" w:after="0" w:line="360" w:lineRule="auto"/>
              <w:ind w:left="0" w:leftChars="0"/>
              <w:jc w:val="left"/>
              <w:rPr>
                <w:spacing w:val="20"/>
                <w:szCs w:val="21"/>
                <w:highlight w:val="none"/>
              </w:rPr>
            </w:pPr>
            <w:r>
              <w:rPr>
                <w:rFonts w:hint="eastAsia" w:ascii="宋体" w:hAnsi="宋体"/>
                <w:szCs w:val="21"/>
                <w:highlight w:val="none"/>
              </w:rPr>
              <w:t>注：涉及联合体或其他合同主体的信息应按上表格式加列。</w:t>
            </w:r>
          </w:p>
        </w:tc>
      </w:tr>
    </w:tbl>
    <w:p w14:paraId="1150B17A">
      <w:pPr>
        <w:pStyle w:val="3"/>
        <w:bidi w:val="0"/>
        <w:rPr>
          <w:rFonts w:ascii="黑体" w:hAnsi="黑体" w:eastAsia="黑体"/>
          <w:szCs w:val="28"/>
          <w:highlight w:val="none"/>
        </w:rPr>
      </w:pPr>
      <w:r>
        <w:rPr>
          <w:rFonts w:ascii="宋体" w:hAnsi="宋体"/>
          <w:szCs w:val="21"/>
          <w:highlight w:val="none"/>
          <w:u w:val="single"/>
        </w:rPr>
        <w:br w:type="page"/>
      </w:r>
      <w:bookmarkStart w:id="116" w:name="_Toc27624"/>
      <w:bookmarkStart w:id="117" w:name="_Toc20479"/>
      <w:r>
        <w:rPr>
          <w:rFonts w:hint="eastAsia"/>
        </w:rPr>
        <w:t>第二节</w:t>
      </w:r>
      <w:r>
        <w:rPr>
          <w:rFonts w:hint="eastAsia"/>
          <w:lang w:val="en-US" w:eastAsia="zh-CN"/>
        </w:rPr>
        <w:t xml:space="preserve">  </w:t>
      </w:r>
      <w:r>
        <w:rPr>
          <w:rFonts w:hint="eastAsia"/>
        </w:rPr>
        <w:t>政府采购合同通用条款</w:t>
      </w:r>
      <w:bookmarkEnd w:id="116"/>
      <w:bookmarkEnd w:id="117"/>
    </w:p>
    <w:p w14:paraId="15FECC22">
      <w:pPr>
        <w:keepNext w:val="0"/>
        <w:keepLines w:val="0"/>
        <w:pageBreakBefore w:val="0"/>
        <w:tabs>
          <w:tab w:val="left" w:pos="8820"/>
          <w:tab w:val="left" w:pos="9345"/>
          <w:tab w:val="left" w:pos="9765"/>
        </w:tabs>
        <w:kinsoku/>
        <w:wordWrap/>
        <w:overflowPunct/>
        <w:topLinePunct w:val="0"/>
        <w:bidi w:val="0"/>
        <w:adjustRightInd w:val="0"/>
        <w:snapToGrid w:val="0"/>
        <w:spacing w:before="0"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1.</w:t>
      </w:r>
      <w:r>
        <w:rPr>
          <w:rFonts w:hint="eastAsia" w:ascii="宋体" w:hAnsi="宋体" w:eastAsia="宋体" w:cs="宋体"/>
          <w:b/>
          <w:bCs/>
          <w:sz w:val="21"/>
          <w:szCs w:val="21"/>
          <w:highlight w:val="none"/>
        </w:rPr>
        <w:t>定义</w:t>
      </w:r>
    </w:p>
    <w:p w14:paraId="186C49EB">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1.1合同当事人</w:t>
      </w:r>
    </w:p>
    <w:p w14:paraId="05682E80">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65F5A124">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0F446BAC">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000000"/>
          <w:sz w:val="21"/>
          <w:szCs w:val="21"/>
          <w:highlight w:val="none"/>
        </w:rPr>
        <w:t>依法参与合同缔结或履行，享有权利、承担义务的合同当事人</w:t>
      </w:r>
      <w:r>
        <w:rPr>
          <w:rFonts w:hint="eastAsia" w:ascii="宋体" w:hAnsi="宋体" w:eastAsia="宋体" w:cs="宋体"/>
          <w:color w:val="auto"/>
          <w:sz w:val="21"/>
          <w:szCs w:val="21"/>
          <w:highlight w:val="none"/>
        </w:rPr>
        <w:t>。</w:t>
      </w:r>
    </w:p>
    <w:p w14:paraId="02968783">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103E83E6">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000000"/>
          <w:sz w:val="21"/>
          <w:szCs w:val="21"/>
          <w:highlight w:val="none"/>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sz w:val="21"/>
          <w:szCs w:val="21"/>
          <w:highlight w:val="none"/>
        </w:rPr>
        <w:t>政府采购合同专用条款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政府采购合同通用条款</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投标（响应）文件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有关技术文件</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图纸</w:t>
      </w:r>
      <w:r>
        <w:rPr>
          <w:rFonts w:hint="eastAsia" w:ascii="宋体" w:hAnsi="宋体" w:eastAsia="宋体" w:cs="宋体"/>
          <w:sz w:val="21"/>
          <w:szCs w:val="21"/>
          <w:highlight w:val="none"/>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 w:val="21"/>
          <w:szCs w:val="21"/>
          <w:highlight w:val="none"/>
        </w:rPr>
        <w:t>。</w:t>
      </w:r>
    </w:p>
    <w:p w14:paraId="01DB425E">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2E275695">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w:t>
      </w:r>
      <w:r>
        <w:rPr>
          <w:rFonts w:hint="eastAsia" w:ascii="宋体" w:hAnsi="宋体" w:eastAsia="宋体" w:cs="宋体"/>
          <w:color w:val="000000"/>
          <w:sz w:val="21"/>
          <w:szCs w:val="21"/>
          <w:highlight w:val="none"/>
        </w:rPr>
        <w:t>包括软件）及相关的其备品备件、工具、手册及</w:t>
      </w:r>
      <w:r>
        <w:rPr>
          <w:rFonts w:hint="eastAsia" w:ascii="宋体" w:hAnsi="宋体" w:eastAsia="宋体" w:cs="宋体"/>
          <w:color w:val="000000"/>
          <w:sz w:val="21"/>
          <w:szCs w:val="21"/>
          <w:highlight w:val="none"/>
          <w:lang w:val="en"/>
        </w:rPr>
        <w:t>其他</w:t>
      </w:r>
      <w:r>
        <w:rPr>
          <w:rFonts w:hint="eastAsia" w:ascii="宋体" w:hAnsi="宋体" w:eastAsia="宋体" w:cs="宋体"/>
          <w:color w:val="000000"/>
          <w:sz w:val="21"/>
          <w:szCs w:val="21"/>
          <w:highlight w:val="none"/>
        </w:rPr>
        <w:t>技术资料和材料</w:t>
      </w:r>
      <w:r>
        <w:rPr>
          <w:rFonts w:hint="eastAsia" w:ascii="宋体" w:hAnsi="宋体" w:eastAsia="宋体" w:cs="宋体"/>
          <w:color w:val="000000"/>
          <w:sz w:val="21"/>
          <w:szCs w:val="21"/>
          <w:highlight w:val="none"/>
          <w:lang w:eastAsia="zh-CN"/>
        </w:rPr>
        <w:t>等</w:t>
      </w:r>
      <w:r>
        <w:rPr>
          <w:rFonts w:hint="eastAsia" w:ascii="宋体" w:hAnsi="宋体" w:eastAsia="宋体" w:cs="宋体"/>
          <w:color w:val="000000"/>
          <w:sz w:val="21"/>
          <w:szCs w:val="21"/>
          <w:highlight w:val="none"/>
        </w:rPr>
        <w:t>。</w:t>
      </w:r>
    </w:p>
    <w:p w14:paraId="7784587C">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000000"/>
          <w:sz w:val="21"/>
          <w:szCs w:val="21"/>
          <w:highlight w:val="none"/>
        </w:rPr>
        <w:t>服务”系指根据合同规定，乙方应提供的</w:t>
      </w:r>
      <w:r>
        <w:rPr>
          <w:rFonts w:hint="eastAsia" w:ascii="宋体" w:hAnsi="宋体" w:eastAsia="宋体" w:cs="宋体"/>
          <w:color w:val="000000"/>
          <w:sz w:val="21"/>
          <w:szCs w:val="21"/>
          <w:highlight w:val="none"/>
          <w:lang w:val="en-US" w:eastAsia="zh-CN"/>
        </w:rPr>
        <w:t>与货物有关的</w:t>
      </w:r>
      <w:r>
        <w:rPr>
          <w:rFonts w:hint="eastAsia" w:ascii="宋体" w:hAnsi="宋体" w:eastAsia="宋体" w:cs="宋体"/>
          <w:color w:val="000000"/>
          <w:sz w:val="21"/>
          <w:szCs w:val="21"/>
          <w:highlight w:val="none"/>
        </w:rPr>
        <w:t>技术、管理和</w:t>
      </w:r>
      <w:r>
        <w:rPr>
          <w:rFonts w:hint="eastAsia" w:ascii="宋体" w:hAnsi="宋体" w:eastAsia="宋体" w:cs="宋体"/>
          <w:color w:val="000000"/>
          <w:sz w:val="21"/>
          <w:szCs w:val="21"/>
          <w:highlight w:val="none"/>
          <w:lang w:val="en"/>
        </w:rPr>
        <w:t>其他</w:t>
      </w:r>
      <w:r>
        <w:rPr>
          <w:rFonts w:hint="eastAsia" w:ascii="宋体" w:hAnsi="宋体" w:eastAsia="宋体" w:cs="宋体"/>
          <w:color w:val="000000"/>
          <w:sz w:val="21"/>
          <w:szCs w:val="21"/>
          <w:highlight w:val="none"/>
        </w:rPr>
        <w:t>服务，包括但不限于：管理和质量保证、运输、保险、检验、现场准备、安装、集成、调试、培训、维修、</w:t>
      </w:r>
      <w:r>
        <w:rPr>
          <w:rFonts w:hint="eastAsia" w:ascii="宋体" w:hAnsi="宋体" w:eastAsia="宋体" w:cs="宋体"/>
          <w:color w:val="000000"/>
          <w:sz w:val="21"/>
          <w:szCs w:val="21"/>
          <w:highlight w:val="none"/>
          <w:lang w:eastAsia="zh-CN"/>
        </w:rPr>
        <w:t>废弃处置、</w:t>
      </w:r>
      <w:r>
        <w:rPr>
          <w:rFonts w:hint="eastAsia" w:ascii="宋体" w:hAnsi="宋体" w:eastAsia="宋体" w:cs="宋体"/>
          <w:color w:val="000000"/>
          <w:sz w:val="21"/>
          <w:szCs w:val="21"/>
          <w:highlight w:val="none"/>
        </w:rPr>
        <w:t>技术支持等以及合同中规定乙方应承担的</w:t>
      </w:r>
      <w:r>
        <w:rPr>
          <w:rFonts w:hint="eastAsia" w:ascii="宋体" w:hAnsi="宋体" w:eastAsia="宋体" w:cs="宋体"/>
          <w:color w:val="000000"/>
          <w:sz w:val="21"/>
          <w:szCs w:val="21"/>
          <w:highlight w:val="none"/>
          <w:lang w:val="en"/>
        </w:rPr>
        <w:t>其他</w:t>
      </w:r>
      <w:r>
        <w:rPr>
          <w:rFonts w:hint="eastAsia" w:ascii="宋体" w:hAnsi="宋体" w:eastAsia="宋体" w:cs="宋体"/>
          <w:color w:val="000000"/>
          <w:sz w:val="21"/>
          <w:szCs w:val="21"/>
          <w:highlight w:val="none"/>
        </w:rPr>
        <w:t>义务。</w:t>
      </w:r>
    </w:p>
    <w:p w14:paraId="423AE158">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）“分包”系指中标</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成交</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供应商按采购文件、投标（响应）文件的规定，根据分包意向协议，将中标</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成交</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项目中的部分履约内容，分给具有相应资质条件的供应商履行合同的行为。</w:t>
      </w:r>
    </w:p>
    <w:p w14:paraId="5B841E52">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sz w:val="21"/>
          <w:szCs w:val="21"/>
          <w:highlight w:val="none"/>
        </w:rPr>
        <w:t>“联合体”系指</w:t>
      </w:r>
      <w:r>
        <w:rPr>
          <w:rFonts w:hint="eastAsia" w:ascii="宋体" w:hAnsi="宋体" w:eastAsia="宋体" w:cs="宋体"/>
          <w:sz w:val="21"/>
          <w:szCs w:val="21"/>
          <w:highlight w:val="none"/>
          <w:lang w:eastAsia="zh-CN"/>
        </w:rPr>
        <w:t>由</w:t>
      </w:r>
      <w:r>
        <w:rPr>
          <w:rFonts w:hint="eastAsia" w:ascii="宋体" w:hAnsi="宋体" w:eastAsia="宋体" w:cs="宋体"/>
          <w:sz w:val="21"/>
          <w:szCs w:val="21"/>
          <w:highlight w:val="none"/>
        </w:rPr>
        <w:t>两个以上的自然人、法人或者</w:t>
      </w:r>
      <w:r>
        <w:rPr>
          <w:rFonts w:hint="eastAsia" w:ascii="宋体" w:hAnsi="宋体" w:eastAsia="宋体" w:cs="宋体"/>
          <w:sz w:val="21"/>
          <w:szCs w:val="21"/>
          <w:highlight w:val="none"/>
          <w:lang w:val="en-US" w:eastAsia="zh-CN"/>
        </w:rPr>
        <w:t>非法人</w:t>
      </w:r>
      <w:r>
        <w:rPr>
          <w:rFonts w:hint="eastAsia" w:ascii="宋体" w:hAnsi="宋体" w:eastAsia="宋体" w:cs="宋体"/>
          <w:sz w:val="21"/>
          <w:szCs w:val="21"/>
          <w:highlight w:val="none"/>
        </w:rPr>
        <w:t>组织组成，</w:t>
      </w:r>
      <w:r>
        <w:rPr>
          <w:rFonts w:hint="eastAsia" w:ascii="宋体" w:hAnsi="宋体" w:eastAsia="宋体" w:cs="宋体"/>
          <w:sz w:val="21"/>
          <w:szCs w:val="21"/>
          <w:highlight w:val="none"/>
          <w:lang w:eastAsia="zh-CN"/>
        </w:rPr>
        <w:t>以一个供应商的身份共同参加政府采购的主体</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承担连带责任。联合体具体要求见【</w:t>
      </w:r>
      <w:r>
        <w:rPr>
          <w:rFonts w:hint="eastAsia" w:ascii="宋体" w:hAnsi="宋体" w:eastAsia="宋体" w:cs="宋体"/>
          <w:b/>
          <w:bCs/>
          <w:color w:val="000000"/>
          <w:sz w:val="21"/>
          <w:szCs w:val="21"/>
          <w:highlight w:val="none"/>
        </w:rPr>
        <w:t>政府采购合同专用条款</w:t>
      </w:r>
      <w:r>
        <w:rPr>
          <w:rFonts w:hint="eastAsia" w:ascii="宋体" w:hAnsi="宋体" w:eastAsia="宋体" w:cs="宋体"/>
          <w:color w:val="000000"/>
          <w:sz w:val="21"/>
          <w:szCs w:val="21"/>
          <w:highlight w:val="none"/>
        </w:rPr>
        <w:t>】。</w:t>
      </w:r>
    </w:p>
    <w:p w14:paraId="08D66745">
      <w:pPr>
        <w:keepNext w:val="0"/>
        <w:keepLines w:val="0"/>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）其他术语解释，见【</w:t>
      </w:r>
      <w:r>
        <w:rPr>
          <w:rFonts w:hint="eastAsia" w:ascii="宋体" w:hAnsi="宋体" w:eastAsia="宋体" w:cs="宋体"/>
          <w:b/>
          <w:bCs/>
          <w:color w:val="000000"/>
          <w:sz w:val="21"/>
          <w:szCs w:val="21"/>
          <w:highlight w:val="none"/>
        </w:rPr>
        <w:t>政府采购合同专用条款</w:t>
      </w:r>
      <w:r>
        <w:rPr>
          <w:rFonts w:hint="eastAsia" w:ascii="宋体" w:hAnsi="宋体" w:eastAsia="宋体" w:cs="宋体"/>
          <w:color w:val="000000"/>
          <w:sz w:val="21"/>
          <w:szCs w:val="21"/>
          <w:highlight w:val="none"/>
        </w:rPr>
        <w:t>】。</w:t>
      </w:r>
    </w:p>
    <w:p w14:paraId="6348ED42">
      <w:pPr>
        <w:keepNext w:val="0"/>
        <w:keepLines w:val="0"/>
        <w:pageBreakBefore w:val="0"/>
        <w:numPr>
          <w:ilvl w:val="0"/>
          <w:numId w:val="7"/>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合同标的及金额</w:t>
      </w:r>
    </w:p>
    <w:p w14:paraId="570A08BB">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
          <w:bCs/>
          <w:i/>
          <w:iCs/>
          <w:color w:val="000000"/>
          <w:sz w:val="21"/>
          <w:szCs w:val="21"/>
          <w:highlight w:val="none"/>
        </w:rPr>
      </w:pPr>
      <w:r>
        <w:rPr>
          <w:rFonts w:hint="eastAsia" w:ascii="宋体" w:hAnsi="宋体" w:eastAsia="宋体" w:cs="宋体"/>
          <w:color w:val="000000"/>
          <w:sz w:val="21"/>
          <w:szCs w:val="21"/>
          <w:highlight w:val="none"/>
          <w:lang w:eastAsia="zh-CN"/>
        </w:rPr>
        <w:t>2</w:t>
      </w:r>
      <w:r>
        <w:rPr>
          <w:rFonts w:hint="eastAsia" w:ascii="宋体" w:hAnsi="宋体" w:eastAsia="宋体" w:cs="宋体"/>
          <w:color w:val="000000"/>
          <w:sz w:val="21"/>
          <w:szCs w:val="21"/>
          <w:highlight w:val="none"/>
        </w:rPr>
        <w:t>.1合同标的及金额应与中标（成交）结果一致。乙方为履行本合同而发生的所有费用均应包含在合同</w:t>
      </w:r>
      <w:r>
        <w:rPr>
          <w:rFonts w:hint="eastAsia" w:ascii="宋体" w:hAnsi="宋体" w:eastAsia="宋体" w:cs="宋体"/>
          <w:color w:val="000000"/>
          <w:sz w:val="21"/>
          <w:szCs w:val="21"/>
          <w:highlight w:val="none"/>
          <w:lang w:eastAsia="zh-CN"/>
        </w:rPr>
        <w:t>价款</w:t>
      </w:r>
      <w:r>
        <w:rPr>
          <w:rFonts w:hint="eastAsia" w:ascii="宋体" w:hAnsi="宋体" w:eastAsia="宋体" w:cs="宋体"/>
          <w:color w:val="000000"/>
          <w:sz w:val="21"/>
          <w:szCs w:val="21"/>
          <w:highlight w:val="none"/>
        </w:rPr>
        <w:t>中，甲方不再另行支付</w:t>
      </w:r>
      <w:r>
        <w:rPr>
          <w:rFonts w:hint="eastAsia" w:ascii="宋体" w:hAnsi="宋体" w:eastAsia="宋体" w:cs="宋体"/>
          <w:color w:val="000000"/>
          <w:sz w:val="21"/>
          <w:szCs w:val="21"/>
          <w:highlight w:val="none"/>
          <w:lang w:val="en"/>
        </w:rPr>
        <w:t>其他</w:t>
      </w:r>
      <w:r>
        <w:rPr>
          <w:rFonts w:hint="eastAsia" w:ascii="宋体" w:hAnsi="宋体" w:eastAsia="宋体" w:cs="宋体"/>
          <w:color w:val="000000"/>
          <w:sz w:val="21"/>
          <w:szCs w:val="21"/>
          <w:highlight w:val="none"/>
        </w:rPr>
        <w:t>任何费用。</w:t>
      </w:r>
    </w:p>
    <w:p w14:paraId="16E83766">
      <w:pPr>
        <w:keepNext w:val="0"/>
        <w:keepLines w:val="0"/>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3</w:t>
      </w:r>
      <w:r>
        <w:rPr>
          <w:rFonts w:hint="eastAsia" w:ascii="宋体" w:hAnsi="宋体" w:eastAsia="宋体" w:cs="宋体"/>
          <w:b/>
          <w:color w:val="000000"/>
          <w:sz w:val="21"/>
          <w:szCs w:val="21"/>
          <w:highlight w:val="none"/>
          <w:lang w:val="en-US" w:eastAsia="zh-CN"/>
        </w:rPr>
        <w:t>.</w:t>
      </w:r>
      <w:r>
        <w:rPr>
          <w:rFonts w:hint="eastAsia" w:ascii="宋体" w:hAnsi="宋体" w:eastAsia="宋体" w:cs="宋体"/>
          <w:b/>
          <w:color w:val="000000"/>
          <w:sz w:val="21"/>
          <w:szCs w:val="21"/>
          <w:highlight w:val="none"/>
        </w:rPr>
        <w:t>履行合同的时间、地点和方式</w:t>
      </w:r>
    </w:p>
    <w:p w14:paraId="13DCF3FC">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3</w:t>
      </w:r>
      <w:r>
        <w:rPr>
          <w:rFonts w:hint="eastAsia" w:ascii="宋体" w:hAnsi="宋体" w:eastAsia="宋体" w:cs="宋体"/>
          <w:color w:val="000000"/>
          <w:sz w:val="21"/>
          <w:szCs w:val="21"/>
          <w:highlight w:val="none"/>
        </w:rPr>
        <w:t>.1</w:t>
      </w:r>
      <w:r>
        <w:rPr>
          <w:rFonts w:hint="eastAsia" w:ascii="宋体" w:hAnsi="宋体" w:eastAsia="宋体" w:cs="宋体"/>
          <w:sz w:val="21"/>
          <w:szCs w:val="21"/>
          <w:highlight w:val="none"/>
        </w:rPr>
        <w:t>乙方应当在约定的时间、地点</w:t>
      </w:r>
      <w:r>
        <w:rPr>
          <w:rFonts w:hint="eastAsia" w:ascii="宋体" w:hAnsi="宋体" w:eastAsia="宋体" w:cs="宋体"/>
          <w:sz w:val="21"/>
          <w:szCs w:val="21"/>
          <w:highlight w:val="none"/>
          <w:lang w:eastAsia="zh-CN"/>
        </w:rPr>
        <w:t>，按照约定</w:t>
      </w:r>
      <w:r>
        <w:rPr>
          <w:rFonts w:hint="eastAsia" w:ascii="宋体" w:hAnsi="宋体" w:eastAsia="宋体" w:cs="宋体"/>
          <w:sz w:val="21"/>
          <w:szCs w:val="21"/>
          <w:highlight w:val="none"/>
        </w:rPr>
        <w:t>方式履行合同。</w:t>
      </w:r>
    </w:p>
    <w:p w14:paraId="697E7A8E">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4</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甲方的权利和义务</w:t>
      </w:r>
    </w:p>
    <w:p w14:paraId="2F3A44C8">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rPr>
        <w:t>.1签署合同后，甲方</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确定</w:t>
      </w:r>
      <w:r>
        <w:rPr>
          <w:rFonts w:hint="eastAsia" w:ascii="宋体" w:hAnsi="宋体" w:eastAsia="宋体" w:cs="宋体"/>
          <w:color w:val="000000"/>
          <w:sz w:val="21"/>
          <w:szCs w:val="21"/>
          <w:highlight w:val="none"/>
          <w:lang w:val="en-US" w:eastAsia="zh-CN"/>
        </w:rPr>
        <w:t>项目负责人（或项目联系人）</w:t>
      </w:r>
      <w:r>
        <w:rPr>
          <w:rFonts w:hint="eastAsia" w:ascii="宋体" w:hAnsi="宋体" w:eastAsia="宋体" w:cs="宋体"/>
          <w:color w:val="000000"/>
          <w:sz w:val="21"/>
          <w:szCs w:val="21"/>
          <w:highlight w:val="none"/>
        </w:rPr>
        <w:t>，负责与本合同有关的事务。甲方有权对乙方的履约行为进行检查，并及时确认乙方提交的事项。甲方应当配合乙方完成相关项目实施工作。</w:t>
      </w:r>
    </w:p>
    <w:p w14:paraId="3F3F95D2">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rPr>
        <w:t>.2甲方有权要求乙方按时提交各阶段有关安排计划，并有权定期核对乙方提供货物数量、规格、质量等内容。甲方有权督促乙方工作并要求乙方更换不符合要求的货物。</w:t>
      </w:r>
    </w:p>
    <w:p w14:paraId="16024D10">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rPr>
        <w:t>.3甲方有权要求乙方对缺陷部分予以修复，并按合同约定享有货物保修及其他合同约定的权利。</w:t>
      </w:r>
    </w:p>
    <w:p w14:paraId="2EAD8971">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4.4甲方应当按照合同约定及时对交付的货物进行验收，</w:t>
      </w:r>
      <w:r>
        <w:rPr>
          <w:rFonts w:hint="eastAsia" w:ascii="宋体" w:hAnsi="宋体" w:eastAsia="宋体" w:cs="宋体"/>
          <w:b w:val="0"/>
          <w:bCs w:val="0"/>
          <w:sz w:val="21"/>
          <w:szCs w:val="21"/>
          <w:highlight w:val="none"/>
          <w:lang w:eastAsia="zh-CN"/>
        </w:rPr>
        <w:t>未</w:t>
      </w:r>
      <w:r>
        <w:rPr>
          <w:rFonts w:hint="eastAsia" w:ascii="宋体" w:hAnsi="宋体" w:eastAsia="宋体" w:cs="宋体"/>
          <w:color w:val="000000"/>
          <w:sz w:val="21"/>
          <w:szCs w:val="21"/>
          <w:highlight w:val="none"/>
          <w:lang w:val="en-US" w:eastAsia="zh-CN"/>
        </w:rPr>
        <w:t>在</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约定的期限内对乙方履约提出任何异议或者向乙方作出任何说明的，</w:t>
      </w:r>
      <w:r>
        <w:rPr>
          <w:rFonts w:hint="eastAsia" w:ascii="宋体" w:hAnsi="宋体" w:eastAsia="宋体" w:cs="宋体"/>
          <w:color w:val="000000"/>
          <w:sz w:val="21"/>
          <w:szCs w:val="21"/>
          <w:highlight w:val="none"/>
          <w:lang w:val="en-US" w:eastAsia="zh-CN"/>
        </w:rPr>
        <w:t>视为验收通过。</w:t>
      </w:r>
    </w:p>
    <w:p w14:paraId="2257B902">
      <w:pPr>
        <w:keepNext w:val="0"/>
        <w:keepLines w:val="0"/>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甲方应当根据合同约定</w:t>
      </w:r>
      <w:r>
        <w:rPr>
          <w:rFonts w:hint="eastAsia" w:ascii="宋体" w:hAnsi="宋体" w:eastAsia="宋体" w:cs="宋体"/>
          <w:color w:val="000000"/>
          <w:sz w:val="21"/>
          <w:szCs w:val="21"/>
          <w:highlight w:val="none"/>
          <w:lang w:eastAsia="zh-CN"/>
        </w:rPr>
        <w:t>及</w:t>
      </w:r>
      <w:r>
        <w:rPr>
          <w:rFonts w:hint="eastAsia" w:ascii="宋体" w:hAnsi="宋体" w:eastAsia="宋体" w:cs="宋体"/>
          <w:color w:val="000000"/>
          <w:sz w:val="21"/>
          <w:szCs w:val="21"/>
          <w:highlight w:val="none"/>
        </w:rPr>
        <w:t>时向乙方支付</w:t>
      </w:r>
      <w:r>
        <w:rPr>
          <w:rFonts w:hint="eastAsia" w:ascii="宋体" w:hAnsi="宋体" w:eastAsia="宋体" w:cs="宋体"/>
          <w:color w:val="000000"/>
          <w:sz w:val="21"/>
          <w:szCs w:val="21"/>
          <w:highlight w:val="none"/>
          <w:lang w:eastAsia="zh-CN"/>
        </w:rPr>
        <w:t>合同价款，不得以内部人员变更、履行内部付款流程等为由，拒绝或迟延支付。</w:t>
      </w:r>
    </w:p>
    <w:p w14:paraId="293DC48C">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国家法律法规规定</w:t>
      </w:r>
      <w:r>
        <w:rPr>
          <w:rFonts w:hint="eastAsia" w:ascii="宋体" w:hAnsi="宋体" w:eastAsia="宋体" w:cs="宋体"/>
          <w:color w:val="000000"/>
          <w:sz w:val="21"/>
          <w:szCs w:val="21"/>
          <w:highlight w:val="none"/>
          <w:lang w:eastAsia="zh-CN"/>
        </w:rPr>
        <w:t>及</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sz w:val="21"/>
          <w:szCs w:val="21"/>
          <w:highlight w:val="none"/>
          <w:lang w:eastAsia="zh-CN"/>
        </w:rPr>
        <w:t>约定应</w:t>
      </w:r>
      <w:r>
        <w:rPr>
          <w:rFonts w:hint="eastAsia" w:ascii="宋体" w:hAnsi="宋体" w:eastAsia="宋体" w:cs="宋体"/>
          <w:color w:val="000000"/>
          <w:sz w:val="21"/>
          <w:szCs w:val="21"/>
          <w:highlight w:val="none"/>
        </w:rPr>
        <w:t>由甲方承担的其他义务和责任。</w:t>
      </w:r>
    </w:p>
    <w:p w14:paraId="15679C75">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5</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乙方的权利和义务</w:t>
      </w:r>
    </w:p>
    <w:p w14:paraId="0E82A6BA">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5</w:t>
      </w:r>
      <w:r>
        <w:rPr>
          <w:rFonts w:hint="eastAsia" w:ascii="宋体" w:hAnsi="宋体" w:eastAsia="宋体" w:cs="宋体"/>
          <w:color w:val="000000"/>
          <w:sz w:val="21"/>
          <w:szCs w:val="21"/>
          <w:highlight w:val="none"/>
        </w:rPr>
        <w:t>.1签署合同后，乙方</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确定</w:t>
      </w:r>
      <w:r>
        <w:rPr>
          <w:rFonts w:hint="eastAsia" w:ascii="宋体" w:hAnsi="宋体" w:eastAsia="宋体" w:cs="宋体"/>
          <w:color w:val="000000"/>
          <w:sz w:val="21"/>
          <w:szCs w:val="21"/>
          <w:highlight w:val="none"/>
          <w:lang w:val="en-US" w:eastAsia="zh-CN"/>
        </w:rPr>
        <w:t>项目负责人（或项目联系人）</w:t>
      </w:r>
      <w:r>
        <w:rPr>
          <w:rFonts w:hint="eastAsia" w:ascii="宋体" w:hAnsi="宋体" w:eastAsia="宋体" w:cs="宋体"/>
          <w:color w:val="000000"/>
          <w:sz w:val="21"/>
          <w:szCs w:val="21"/>
          <w:highlight w:val="none"/>
        </w:rPr>
        <w:t>，负责与本合同有关的事务。</w:t>
      </w:r>
    </w:p>
    <w:p w14:paraId="539DE5EC">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5</w:t>
      </w:r>
      <w:r>
        <w:rPr>
          <w:rFonts w:hint="eastAsia" w:ascii="宋体" w:hAnsi="宋体" w:eastAsia="宋体" w:cs="宋体"/>
          <w:color w:val="000000"/>
          <w:sz w:val="21"/>
          <w:szCs w:val="21"/>
          <w:highlight w:val="none"/>
        </w:rPr>
        <w:t>.2乙方应按照合同要求履约，充分合理安排，确保提供的货物</w:t>
      </w:r>
      <w:r>
        <w:rPr>
          <w:rFonts w:hint="eastAsia" w:ascii="宋体" w:hAnsi="宋体" w:eastAsia="宋体" w:cs="宋体"/>
          <w:color w:val="000000"/>
          <w:sz w:val="21"/>
          <w:szCs w:val="21"/>
          <w:highlight w:val="none"/>
          <w:lang w:eastAsia="zh-CN"/>
        </w:rPr>
        <w:t>及相关</w:t>
      </w:r>
      <w:r>
        <w:rPr>
          <w:rFonts w:hint="eastAsia" w:ascii="宋体" w:hAnsi="宋体" w:eastAsia="宋体" w:cs="宋体"/>
          <w:color w:val="000000"/>
          <w:sz w:val="21"/>
          <w:szCs w:val="21"/>
          <w:highlight w:val="none"/>
        </w:rPr>
        <w:t>服务符合合同</w:t>
      </w:r>
      <w:r>
        <w:rPr>
          <w:rFonts w:hint="eastAsia" w:ascii="宋体" w:hAnsi="宋体" w:eastAsia="宋体" w:cs="宋体"/>
          <w:color w:val="000000"/>
          <w:sz w:val="21"/>
          <w:szCs w:val="21"/>
          <w:highlight w:val="none"/>
          <w:lang w:eastAsia="zh-CN"/>
        </w:rPr>
        <w:t>有关</w:t>
      </w:r>
      <w:r>
        <w:rPr>
          <w:rFonts w:hint="eastAsia" w:ascii="宋体" w:hAnsi="宋体" w:eastAsia="宋体" w:cs="宋体"/>
          <w:color w:val="000000"/>
          <w:sz w:val="21"/>
          <w:szCs w:val="21"/>
          <w:highlight w:val="none"/>
        </w:rPr>
        <w:t>要求。接受项目行业管理部门及政府有关部门的指导，配合甲方的履约检查</w:t>
      </w:r>
      <w:r>
        <w:rPr>
          <w:rFonts w:hint="eastAsia" w:ascii="宋体" w:hAnsi="宋体" w:eastAsia="宋体" w:cs="宋体"/>
          <w:color w:val="000000"/>
          <w:sz w:val="21"/>
          <w:szCs w:val="21"/>
          <w:highlight w:val="none"/>
          <w:lang w:eastAsia="zh-CN"/>
        </w:rPr>
        <w:t>及验收</w:t>
      </w:r>
      <w:r>
        <w:rPr>
          <w:rFonts w:hint="eastAsia" w:ascii="宋体" w:hAnsi="宋体" w:eastAsia="宋体" w:cs="宋体"/>
          <w:color w:val="000000"/>
          <w:sz w:val="21"/>
          <w:szCs w:val="21"/>
          <w:highlight w:val="none"/>
        </w:rPr>
        <w:t>，并负责项目实施过程中的所有协调工作。</w:t>
      </w:r>
    </w:p>
    <w:p w14:paraId="797B00A4">
      <w:pPr>
        <w:pStyle w:val="17"/>
        <w:keepNext w:val="0"/>
        <w:keepLines w:val="0"/>
        <w:pageBreakBefore w:val="0"/>
        <w:kinsoku/>
        <w:wordWrap/>
        <w:overflowPunct/>
        <w:topLinePunct w:val="0"/>
        <w:bidi w:val="0"/>
        <w:spacing w:after="0" w:line="360" w:lineRule="auto"/>
        <w:ind w:firstLine="369" w:firstLineChars="176"/>
        <w:textAlignment w:val="auto"/>
        <w:rPr>
          <w:rFonts w:hint="eastAsia" w:ascii="宋体" w:hAnsi="宋体" w:eastAsia="宋体" w:cs="宋体"/>
          <w:b w:val="0"/>
          <w:color w:val="000000"/>
          <w:spacing w:val="0"/>
          <w:kern w:val="2"/>
          <w:sz w:val="21"/>
          <w:szCs w:val="21"/>
          <w:highlight w:val="none"/>
          <w:lang w:val="en-US" w:eastAsia="zh-CN" w:bidi="ar-SA"/>
        </w:rPr>
      </w:pPr>
      <w:r>
        <w:rPr>
          <w:rFonts w:hint="eastAsia" w:ascii="宋体" w:hAnsi="宋体" w:eastAsia="宋体" w:cs="宋体"/>
          <w:b w:val="0"/>
          <w:color w:val="000000"/>
          <w:spacing w:val="0"/>
          <w:kern w:val="2"/>
          <w:sz w:val="21"/>
          <w:szCs w:val="21"/>
          <w:highlight w:val="none"/>
          <w:lang w:val="en-US" w:eastAsia="zh-CN" w:bidi="ar-SA"/>
        </w:rPr>
        <w:t>5.3乙方有权根据合同约定向甲方收取合同价款。</w:t>
      </w:r>
    </w:p>
    <w:p w14:paraId="7566987B">
      <w:pPr>
        <w:pStyle w:val="17"/>
        <w:keepNext w:val="0"/>
        <w:keepLines w:val="0"/>
        <w:pageBreakBefore w:val="0"/>
        <w:kinsoku/>
        <w:wordWrap/>
        <w:overflowPunct/>
        <w:topLinePunct w:val="0"/>
        <w:bidi w:val="0"/>
        <w:spacing w:after="0" w:line="360" w:lineRule="auto"/>
        <w:ind w:firstLine="369" w:firstLineChars="176"/>
        <w:textAlignment w:val="auto"/>
        <w:rPr>
          <w:rFonts w:hint="eastAsia" w:ascii="宋体" w:hAnsi="宋体" w:eastAsia="宋体" w:cs="宋体"/>
          <w:b w:val="0"/>
          <w:color w:val="000000"/>
          <w:spacing w:val="0"/>
          <w:kern w:val="2"/>
          <w:sz w:val="21"/>
          <w:szCs w:val="21"/>
          <w:highlight w:val="none"/>
          <w:lang w:val="en-US" w:eastAsia="zh-CN" w:bidi="ar-SA"/>
        </w:rPr>
      </w:pPr>
      <w:r>
        <w:rPr>
          <w:rFonts w:hint="eastAsia" w:ascii="宋体" w:hAnsi="宋体" w:eastAsia="宋体" w:cs="宋体"/>
          <w:b w:val="0"/>
          <w:color w:val="000000"/>
          <w:spacing w:val="0"/>
          <w:kern w:val="2"/>
          <w:sz w:val="21"/>
          <w:szCs w:val="21"/>
          <w:highlight w:val="none"/>
          <w:lang w:val="en-US" w:eastAsia="zh-CN" w:bidi="ar-SA"/>
        </w:rPr>
        <w:t>5.4国家法律法规规定及【政府采购合同专用条款】约定应由乙方承担的其他义务和责任。</w:t>
      </w:r>
    </w:p>
    <w:p w14:paraId="672DA3A4">
      <w:pPr>
        <w:keepNext w:val="0"/>
        <w:keepLines w:val="0"/>
        <w:pageBreakBefore w:val="0"/>
        <w:numPr>
          <w:ilvl w:val="0"/>
          <w:numId w:val="8"/>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合同履</w:t>
      </w:r>
      <w:r>
        <w:rPr>
          <w:rFonts w:hint="eastAsia" w:ascii="宋体" w:hAnsi="宋体" w:eastAsia="宋体" w:cs="宋体"/>
          <w:b/>
          <w:bCs/>
          <w:color w:val="000000"/>
          <w:sz w:val="21"/>
          <w:szCs w:val="21"/>
          <w:highlight w:val="none"/>
          <w:lang w:val="en-US" w:eastAsia="zh-CN"/>
        </w:rPr>
        <w:t>行</w:t>
      </w:r>
    </w:p>
    <w:p w14:paraId="7728E6EE">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6</w:t>
      </w:r>
      <w:r>
        <w:rPr>
          <w:rFonts w:hint="eastAsia" w:ascii="宋体" w:hAnsi="宋体" w:eastAsia="宋体" w:cs="宋体"/>
          <w:color w:val="000000"/>
          <w:sz w:val="21"/>
          <w:szCs w:val="21"/>
          <w:highlight w:val="none"/>
        </w:rPr>
        <w:t>.1甲乙双方应当按照</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sz w:val="21"/>
          <w:szCs w:val="21"/>
          <w:highlight w:val="none"/>
        </w:rPr>
        <w:t>约定顺序履行合同义务；如果没有先后顺序的，应当同时履行。</w:t>
      </w:r>
    </w:p>
    <w:p w14:paraId="2EE1D69E">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6</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甲乙双方按照合同约定顺序履行合同义务时，应当先履行一方未履行的，后履行一方有权拒绝其履行请求。先履行一方履行不符合约定的，后履行一方有权拒绝其相应的履行请求。</w:t>
      </w:r>
    </w:p>
    <w:p w14:paraId="564C688B">
      <w:pPr>
        <w:keepNext w:val="0"/>
        <w:keepLines w:val="0"/>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7</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货物包装、运输</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保险</w:t>
      </w:r>
      <w:r>
        <w:rPr>
          <w:rFonts w:hint="eastAsia" w:ascii="宋体" w:hAnsi="宋体" w:eastAsia="宋体" w:cs="宋体"/>
          <w:b/>
          <w:bCs/>
          <w:color w:val="000000"/>
          <w:sz w:val="21"/>
          <w:szCs w:val="21"/>
          <w:highlight w:val="none"/>
          <w:lang w:eastAsia="zh-CN"/>
        </w:rPr>
        <w:t>和交付</w:t>
      </w:r>
      <w:r>
        <w:rPr>
          <w:rFonts w:hint="eastAsia" w:ascii="宋体" w:hAnsi="宋体" w:eastAsia="宋体" w:cs="宋体"/>
          <w:b/>
          <w:bCs/>
          <w:color w:val="000000"/>
          <w:sz w:val="21"/>
          <w:szCs w:val="21"/>
          <w:highlight w:val="none"/>
        </w:rPr>
        <w:t>要求</w:t>
      </w:r>
    </w:p>
    <w:p w14:paraId="72F546DD">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7</w:t>
      </w:r>
      <w:r>
        <w:rPr>
          <w:rFonts w:hint="eastAsia" w:ascii="宋体" w:hAnsi="宋体" w:eastAsia="宋体" w:cs="宋体"/>
          <w:color w:val="000000"/>
          <w:sz w:val="21"/>
          <w:szCs w:val="21"/>
          <w:highlight w:val="none"/>
        </w:rPr>
        <w:t>.1本合同</w:t>
      </w:r>
      <w:r>
        <w:rPr>
          <w:rFonts w:hint="eastAsia" w:ascii="宋体" w:hAnsi="宋体" w:eastAsia="宋体" w:cs="宋体"/>
          <w:bCs/>
          <w:color w:val="000000"/>
          <w:sz w:val="21"/>
          <w:szCs w:val="21"/>
          <w:highlight w:val="none"/>
        </w:rPr>
        <w:t>涉及商品包装</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快递包装的，</w:t>
      </w:r>
      <w:r>
        <w:rPr>
          <w:rFonts w:hint="eastAsia" w:ascii="宋体" w:hAnsi="宋体" w:eastAsia="宋体" w:cs="宋体"/>
          <w:color w:val="000000"/>
          <w:sz w:val="21"/>
          <w:szCs w:val="21"/>
          <w:highlight w:val="none"/>
        </w:rPr>
        <w:t>除</w:t>
      </w:r>
      <w:r>
        <w:rPr>
          <w:rFonts w:hint="eastAsia" w:ascii="宋体" w:hAnsi="宋体" w:eastAsia="宋体" w:cs="宋体"/>
          <w:b/>
          <w:color w:val="000000"/>
          <w:sz w:val="21"/>
          <w:szCs w:val="21"/>
          <w:highlight w:val="none"/>
        </w:rPr>
        <w:t>【政府采购合同专用条款】</w:t>
      </w:r>
      <w:r>
        <w:rPr>
          <w:rFonts w:hint="eastAsia" w:ascii="宋体" w:hAnsi="宋体" w:eastAsia="宋体" w:cs="宋体"/>
          <w:bCs/>
          <w:color w:val="000000"/>
          <w:sz w:val="21"/>
          <w:szCs w:val="21"/>
          <w:highlight w:val="none"/>
        </w:rPr>
        <w:t>另有</w:t>
      </w:r>
      <w:r>
        <w:rPr>
          <w:rFonts w:hint="eastAsia" w:ascii="宋体" w:hAnsi="宋体" w:eastAsia="宋体" w:cs="宋体"/>
          <w:bCs/>
          <w:color w:val="000000"/>
          <w:sz w:val="21"/>
          <w:szCs w:val="21"/>
          <w:highlight w:val="none"/>
          <w:lang w:eastAsia="zh-CN"/>
        </w:rPr>
        <w:t>约</w:t>
      </w:r>
      <w:r>
        <w:rPr>
          <w:rFonts w:hint="eastAsia" w:ascii="宋体" w:hAnsi="宋体" w:eastAsia="宋体" w:cs="宋体"/>
          <w:bCs/>
          <w:color w:val="000000"/>
          <w:sz w:val="21"/>
          <w:szCs w:val="21"/>
          <w:highlight w:val="none"/>
        </w:rPr>
        <w:t>定</w:t>
      </w:r>
      <w:r>
        <w:rPr>
          <w:rFonts w:hint="eastAsia" w:ascii="宋体" w:hAnsi="宋体" w:eastAsia="宋体" w:cs="宋体"/>
          <w:bCs/>
          <w:color w:val="000000"/>
          <w:sz w:val="21"/>
          <w:szCs w:val="21"/>
          <w:highlight w:val="none"/>
          <w:lang w:eastAsia="zh-CN"/>
        </w:rPr>
        <w:t>外</w:t>
      </w:r>
      <w:r>
        <w:rPr>
          <w:rFonts w:hint="eastAsia" w:ascii="宋体" w:hAnsi="宋体" w:eastAsia="宋体" w:cs="宋体"/>
          <w:bCs/>
          <w:color w:val="000000"/>
          <w:sz w:val="21"/>
          <w:szCs w:val="21"/>
          <w:highlight w:val="none"/>
        </w:rPr>
        <w:t>，</w:t>
      </w:r>
      <w:r>
        <w:rPr>
          <w:rFonts w:hint="eastAsia" w:ascii="宋体" w:hAnsi="宋体" w:eastAsia="宋体" w:cs="宋体"/>
          <w:color w:val="000000"/>
          <w:sz w:val="21"/>
          <w:szCs w:val="21"/>
          <w:highlight w:val="none"/>
        </w:rPr>
        <w:t>包装应适应远距离运输、防潮、防震、防锈和防野蛮装卸等要求，确保货物安全无损地运抵</w:t>
      </w:r>
      <w:r>
        <w:rPr>
          <w:rFonts w:hint="eastAsia" w:ascii="宋体" w:hAnsi="宋体" w:eastAsia="宋体" w:cs="宋体"/>
          <w:b/>
          <w:color w:val="000000"/>
          <w:sz w:val="21"/>
          <w:szCs w:val="21"/>
          <w:highlight w:val="none"/>
        </w:rPr>
        <w:t>【政府采购合同专用条款】</w:t>
      </w:r>
      <w:r>
        <w:rPr>
          <w:rFonts w:hint="eastAsia" w:ascii="宋体" w:hAnsi="宋体" w:eastAsia="宋体" w:cs="宋体"/>
          <w:b w:val="0"/>
          <w:bCs/>
          <w:color w:val="000000"/>
          <w:sz w:val="21"/>
          <w:szCs w:val="21"/>
          <w:highlight w:val="none"/>
          <w:lang w:eastAsia="zh-CN"/>
        </w:rPr>
        <w:t>约定的</w:t>
      </w:r>
      <w:r>
        <w:rPr>
          <w:rFonts w:hint="eastAsia" w:ascii="宋体" w:hAnsi="宋体" w:eastAsia="宋体" w:cs="宋体"/>
          <w:color w:val="000000"/>
          <w:sz w:val="21"/>
          <w:szCs w:val="21"/>
          <w:highlight w:val="none"/>
        </w:rPr>
        <w:t>指定现场。</w:t>
      </w:r>
    </w:p>
    <w:p w14:paraId="56C0F15E">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7</w:t>
      </w:r>
      <w:r>
        <w:rPr>
          <w:rFonts w:hint="eastAsia" w:ascii="宋体" w:hAnsi="宋体" w:eastAsia="宋体" w:cs="宋体"/>
          <w:color w:val="000000"/>
          <w:sz w:val="21"/>
          <w:szCs w:val="21"/>
          <w:highlight w:val="none"/>
        </w:rPr>
        <w:t>.2除</w:t>
      </w:r>
      <w:r>
        <w:rPr>
          <w:rFonts w:hint="eastAsia" w:ascii="宋体" w:hAnsi="宋体" w:eastAsia="宋体" w:cs="宋体"/>
          <w:b/>
          <w:color w:val="000000"/>
          <w:sz w:val="21"/>
          <w:szCs w:val="21"/>
          <w:highlight w:val="none"/>
        </w:rPr>
        <w:t>【政府采购合同专用条款】</w:t>
      </w:r>
      <w:r>
        <w:rPr>
          <w:rFonts w:hint="eastAsia" w:ascii="宋体" w:hAnsi="宋体" w:eastAsia="宋体" w:cs="宋体"/>
          <w:bCs/>
          <w:color w:val="000000"/>
          <w:sz w:val="21"/>
          <w:szCs w:val="21"/>
          <w:highlight w:val="none"/>
        </w:rPr>
        <w:t>另有</w:t>
      </w:r>
      <w:r>
        <w:rPr>
          <w:rFonts w:hint="eastAsia" w:ascii="宋体" w:hAnsi="宋体" w:eastAsia="宋体" w:cs="宋体"/>
          <w:bCs/>
          <w:color w:val="000000"/>
          <w:sz w:val="21"/>
          <w:szCs w:val="21"/>
          <w:highlight w:val="none"/>
          <w:lang w:eastAsia="zh-CN"/>
        </w:rPr>
        <w:t>约</w:t>
      </w:r>
      <w:r>
        <w:rPr>
          <w:rFonts w:hint="eastAsia" w:ascii="宋体" w:hAnsi="宋体" w:eastAsia="宋体" w:cs="宋体"/>
          <w:bCs/>
          <w:color w:val="000000"/>
          <w:sz w:val="21"/>
          <w:szCs w:val="21"/>
          <w:highlight w:val="none"/>
        </w:rPr>
        <w:t>定</w:t>
      </w:r>
      <w:r>
        <w:rPr>
          <w:rFonts w:hint="eastAsia" w:ascii="宋体" w:hAnsi="宋体" w:eastAsia="宋体" w:cs="宋体"/>
          <w:bCs/>
          <w:color w:val="000000"/>
          <w:sz w:val="21"/>
          <w:szCs w:val="21"/>
          <w:highlight w:val="none"/>
          <w:lang w:eastAsia="zh-CN"/>
        </w:rPr>
        <w:t>外</w:t>
      </w:r>
      <w:r>
        <w:rPr>
          <w:rFonts w:hint="eastAsia" w:ascii="宋体" w:hAnsi="宋体" w:eastAsia="宋体" w:cs="宋体"/>
          <w:bCs/>
          <w:color w:val="000000"/>
          <w:sz w:val="21"/>
          <w:szCs w:val="21"/>
          <w:highlight w:val="none"/>
        </w:rPr>
        <w:t>，</w:t>
      </w:r>
      <w:r>
        <w:rPr>
          <w:rFonts w:hint="eastAsia" w:ascii="宋体" w:hAnsi="宋体" w:eastAsia="宋体" w:cs="宋体"/>
          <w:color w:val="000000"/>
          <w:sz w:val="21"/>
          <w:szCs w:val="21"/>
          <w:highlight w:val="none"/>
        </w:rPr>
        <w:t>乙方负责办理将货物运抵本合同规定的交货地点</w:t>
      </w:r>
      <w:r>
        <w:rPr>
          <w:rFonts w:hint="eastAsia" w:ascii="宋体" w:hAnsi="宋体" w:eastAsia="宋体" w:cs="宋体"/>
          <w:color w:val="000000"/>
          <w:sz w:val="21"/>
          <w:szCs w:val="21"/>
          <w:highlight w:val="none"/>
          <w:lang w:eastAsia="zh-CN"/>
        </w:rPr>
        <w:t>，并装卸、交付至甲方</w:t>
      </w:r>
      <w:r>
        <w:rPr>
          <w:rFonts w:hint="eastAsia" w:ascii="宋体" w:hAnsi="宋体" w:eastAsia="宋体" w:cs="宋体"/>
          <w:color w:val="000000"/>
          <w:sz w:val="21"/>
          <w:szCs w:val="21"/>
          <w:highlight w:val="none"/>
        </w:rPr>
        <w:t>的一切运输事项，相关费用应</w:t>
      </w:r>
      <w:r>
        <w:rPr>
          <w:rFonts w:hint="eastAsia" w:ascii="宋体" w:hAnsi="宋体" w:eastAsia="宋体" w:cs="宋体"/>
          <w:color w:val="000000"/>
          <w:sz w:val="21"/>
          <w:szCs w:val="21"/>
          <w:highlight w:val="none"/>
          <w:lang w:eastAsia="zh-CN"/>
        </w:rPr>
        <w:t>包含</w:t>
      </w:r>
      <w:r>
        <w:rPr>
          <w:rFonts w:hint="eastAsia" w:ascii="宋体" w:hAnsi="宋体" w:eastAsia="宋体" w:cs="宋体"/>
          <w:color w:val="000000"/>
          <w:sz w:val="21"/>
          <w:szCs w:val="21"/>
          <w:highlight w:val="none"/>
        </w:rPr>
        <w:t>在合同</w:t>
      </w:r>
      <w:r>
        <w:rPr>
          <w:rFonts w:hint="eastAsia" w:ascii="宋体" w:hAnsi="宋体" w:eastAsia="宋体" w:cs="宋体"/>
          <w:color w:val="000000"/>
          <w:sz w:val="21"/>
          <w:szCs w:val="21"/>
          <w:highlight w:val="none"/>
          <w:lang w:eastAsia="zh-CN"/>
        </w:rPr>
        <w:t>价款</w:t>
      </w:r>
      <w:r>
        <w:rPr>
          <w:rFonts w:hint="eastAsia" w:ascii="宋体" w:hAnsi="宋体" w:eastAsia="宋体" w:cs="宋体"/>
          <w:color w:val="000000"/>
          <w:sz w:val="21"/>
          <w:szCs w:val="21"/>
          <w:highlight w:val="none"/>
        </w:rPr>
        <w:t>中。</w:t>
      </w:r>
    </w:p>
    <w:p w14:paraId="6BE06E60">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7</w:t>
      </w:r>
      <w:r>
        <w:rPr>
          <w:rFonts w:hint="eastAsia" w:ascii="宋体" w:hAnsi="宋体" w:eastAsia="宋体" w:cs="宋体"/>
          <w:color w:val="000000"/>
          <w:sz w:val="21"/>
          <w:szCs w:val="21"/>
          <w:highlight w:val="none"/>
        </w:rPr>
        <w:t>.3货物保险要求按</w:t>
      </w:r>
      <w:r>
        <w:rPr>
          <w:rFonts w:hint="eastAsia" w:ascii="宋体" w:hAnsi="宋体" w:eastAsia="宋体" w:cs="宋体"/>
          <w:b/>
          <w:color w:val="000000"/>
          <w:sz w:val="21"/>
          <w:szCs w:val="21"/>
          <w:highlight w:val="none"/>
        </w:rPr>
        <w:t>【政府采购合同专用条款】</w:t>
      </w:r>
      <w:r>
        <w:rPr>
          <w:rFonts w:hint="eastAsia" w:ascii="宋体" w:hAnsi="宋体" w:eastAsia="宋体" w:cs="宋体"/>
          <w:bCs/>
          <w:color w:val="000000"/>
          <w:sz w:val="21"/>
          <w:szCs w:val="21"/>
          <w:highlight w:val="none"/>
        </w:rPr>
        <w:t>规定执行</w:t>
      </w:r>
      <w:r>
        <w:rPr>
          <w:rFonts w:hint="eastAsia" w:ascii="宋体" w:hAnsi="宋体" w:eastAsia="宋体" w:cs="宋体"/>
          <w:color w:val="000000"/>
          <w:sz w:val="21"/>
          <w:szCs w:val="21"/>
          <w:highlight w:val="none"/>
        </w:rPr>
        <w:t>。</w:t>
      </w:r>
    </w:p>
    <w:p w14:paraId="4AA26044">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7</w:t>
      </w: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val="en-US" w:eastAsia="zh-CN"/>
        </w:rPr>
        <w:t xml:space="preserve"> 除采购活动</w:t>
      </w:r>
      <w:r>
        <w:rPr>
          <w:rFonts w:hint="eastAsia" w:ascii="宋体" w:hAnsi="宋体" w:eastAsia="宋体" w:cs="宋体"/>
          <w:color w:val="000000"/>
          <w:sz w:val="21"/>
          <w:szCs w:val="21"/>
          <w:highlight w:val="none"/>
        </w:rPr>
        <w:t>对商品包装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快递包装</w:t>
      </w:r>
      <w:r>
        <w:rPr>
          <w:rFonts w:hint="eastAsia" w:ascii="宋体" w:hAnsi="宋体" w:eastAsia="宋体" w:cs="宋体"/>
          <w:color w:val="000000"/>
          <w:sz w:val="21"/>
          <w:szCs w:val="21"/>
          <w:highlight w:val="none"/>
          <w:lang w:val="en-US" w:eastAsia="zh-CN"/>
        </w:rPr>
        <w:t>达成具体约定外</w:t>
      </w:r>
      <w:r>
        <w:rPr>
          <w:rFonts w:hint="eastAsia" w:ascii="宋体" w:hAnsi="宋体" w:eastAsia="宋体" w:cs="宋体"/>
          <w:color w:val="000000"/>
          <w:sz w:val="21"/>
          <w:szCs w:val="21"/>
          <w:highlight w:val="none"/>
        </w:rPr>
        <w:t>，乙方提供产品及相关快递服务</w:t>
      </w:r>
      <w:r>
        <w:rPr>
          <w:rFonts w:hint="eastAsia" w:ascii="宋体" w:hAnsi="宋体" w:eastAsia="宋体" w:cs="宋体"/>
          <w:color w:val="000000"/>
          <w:sz w:val="21"/>
          <w:szCs w:val="21"/>
          <w:highlight w:val="none"/>
          <w:lang w:val="en-US" w:eastAsia="zh-CN"/>
        </w:rPr>
        <w:t>涉及到</w:t>
      </w:r>
      <w:r>
        <w:rPr>
          <w:rFonts w:hint="eastAsia" w:ascii="宋体" w:hAnsi="宋体" w:eastAsia="宋体" w:cs="宋体"/>
          <w:color w:val="000000"/>
          <w:sz w:val="21"/>
          <w:szCs w:val="21"/>
          <w:highlight w:val="none"/>
        </w:rPr>
        <w:t>具体包装要求</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应</w:t>
      </w:r>
      <w:r>
        <w:rPr>
          <w:rFonts w:hint="eastAsia" w:ascii="宋体" w:hAnsi="宋体" w:eastAsia="宋体" w:cs="宋体"/>
          <w:color w:val="000000"/>
          <w:sz w:val="21"/>
          <w:szCs w:val="21"/>
          <w:highlight w:val="none"/>
          <w:lang w:val="en-US" w:eastAsia="zh-CN"/>
        </w:rPr>
        <w:t>不低于</w:t>
      </w:r>
      <w:r>
        <w:rPr>
          <w:rFonts w:hint="eastAsia" w:ascii="宋体" w:hAnsi="宋体" w:eastAsia="宋体" w:cs="宋体"/>
          <w:color w:val="000000"/>
          <w:sz w:val="21"/>
          <w:szCs w:val="21"/>
          <w:highlight w:val="none"/>
        </w:rPr>
        <w:t>《商品包装政府采购需求标准（试行）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快递包装政府采购需求标准（试行）》</w:t>
      </w:r>
      <w:r>
        <w:rPr>
          <w:rFonts w:hint="eastAsia" w:ascii="宋体" w:hAnsi="宋体" w:eastAsia="宋体" w:cs="宋体"/>
          <w:color w:val="000000"/>
          <w:sz w:val="21"/>
          <w:szCs w:val="21"/>
          <w:highlight w:val="none"/>
          <w:lang w:val="en-US" w:eastAsia="zh-CN"/>
        </w:rPr>
        <w:t>标准</w:t>
      </w:r>
      <w:r>
        <w:rPr>
          <w:rFonts w:hint="eastAsia" w:ascii="宋体" w:hAnsi="宋体" w:eastAsia="宋体" w:cs="宋体"/>
          <w:color w:val="000000"/>
          <w:sz w:val="21"/>
          <w:szCs w:val="21"/>
          <w:highlight w:val="none"/>
        </w:rPr>
        <w:t>，并作为履约验收的内容，必要时甲方可以要求乙方在履约验收环节出具检测报告。</w:t>
      </w:r>
    </w:p>
    <w:p w14:paraId="6757AAC2">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 </w:t>
      </w:r>
      <w:r>
        <w:rPr>
          <w:rFonts w:hint="eastAsia" w:ascii="宋体" w:hAnsi="宋体" w:eastAsia="宋体" w:cs="宋体"/>
          <w:color w:val="000000"/>
          <w:sz w:val="21"/>
          <w:szCs w:val="21"/>
          <w:highlight w:val="none"/>
        </w:rPr>
        <w:t>乙方在运输到达之前</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提前通知</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，并提示货物运输装卸的注意事项</w:t>
      </w:r>
      <w:r>
        <w:rPr>
          <w:rFonts w:hint="eastAsia" w:ascii="宋体" w:hAnsi="宋体" w:eastAsia="宋体" w:cs="宋体"/>
          <w:color w:val="000000"/>
          <w:sz w:val="21"/>
          <w:szCs w:val="21"/>
          <w:highlight w:val="none"/>
          <w:lang w:eastAsia="zh-CN"/>
        </w:rPr>
        <w:t>，甲方配合乙方做好货物的接收工作。</w:t>
      </w:r>
    </w:p>
    <w:p w14:paraId="5064A5A2">
      <w:pPr>
        <w:pStyle w:val="371"/>
        <w:keepNext w:val="0"/>
        <w:keepLines w:val="0"/>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kern w:val="2"/>
          <w:sz w:val="21"/>
          <w:szCs w:val="21"/>
          <w:highlight w:val="none"/>
          <w:lang w:val="en-US" w:eastAsia="zh-CN"/>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kern w:val="2"/>
          <w:sz w:val="21"/>
          <w:szCs w:val="21"/>
          <w:highlight w:val="none"/>
          <w:lang w:eastAsia="zh-CN"/>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03170FAC">
      <w:pPr>
        <w:keepNext w:val="0"/>
        <w:keepLines w:val="0"/>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000000"/>
          <w:sz w:val="21"/>
          <w:szCs w:val="21"/>
          <w:highlight w:val="none"/>
          <w:lang w:eastAsia="zh-CN"/>
        </w:rPr>
        <w:t>8</w:t>
      </w:r>
      <w:r>
        <w:rPr>
          <w:rFonts w:hint="eastAsia" w:ascii="宋体" w:hAnsi="宋体" w:eastAsia="宋体" w:cs="宋体"/>
          <w:b/>
          <w:color w:val="000000"/>
          <w:sz w:val="21"/>
          <w:szCs w:val="21"/>
          <w:highlight w:val="none"/>
          <w:lang w:val="en-US" w:eastAsia="zh-CN"/>
        </w:rPr>
        <w:t>.</w:t>
      </w:r>
      <w:r>
        <w:rPr>
          <w:rFonts w:hint="eastAsia" w:ascii="宋体" w:hAnsi="宋体" w:eastAsia="宋体" w:cs="宋体"/>
          <w:b/>
          <w:color w:val="auto"/>
          <w:sz w:val="21"/>
          <w:szCs w:val="21"/>
          <w:highlight w:val="none"/>
        </w:rPr>
        <w:t>质量标准和保证</w:t>
      </w:r>
    </w:p>
    <w:p w14:paraId="0BDC8C24">
      <w:pPr>
        <w:pStyle w:val="23"/>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.1质量标准</w:t>
      </w:r>
    </w:p>
    <w:p w14:paraId="46120C34">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000000"/>
          <w:sz w:val="21"/>
          <w:szCs w:val="21"/>
          <w:highlight w:val="none"/>
          <w:lang w:eastAsia="zh-CN"/>
        </w:rPr>
        <w:t>约</w:t>
      </w:r>
      <w:r>
        <w:rPr>
          <w:rFonts w:hint="eastAsia" w:ascii="宋体" w:hAnsi="宋体" w:eastAsia="宋体" w:cs="宋体"/>
          <w:color w:val="000000"/>
          <w:sz w:val="21"/>
          <w:szCs w:val="21"/>
          <w:highlight w:val="none"/>
        </w:rPr>
        <w:t>定的</w:t>
      </w:r>
      <w:r>
        <w:rPr>
          <w:rFonts w:hint="eastAsia" w:ascii="宋体" w:hAnsi="宋体" w:eastAsia="宋体" w:cs="宋体"/>
          <w:sz w:val="21"/>
          <w:szCs w:val="21"/>
          <w:highlight w:val="none"/>
        </w:rPr>
        <w:t>品牌、规格型号、技术性能、配置、质量、数量等要求。</w:t>
      </w:r>
      <w:r>
        <w:rPr>
          <w:rFonts w:hint="eastAsia" w:ascii="宋体" w:hAnsi="宋体" w:eastAsia="宋体" w:cs="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65513629">
      <w:pPr>
        <w:pStyle w:val="23"/>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（2）采用中华人民共和国法定计量单位。</w:t>
      </w:r>
    </w:p>
    <w:p w14:paraId="29758663">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486771DD">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42A7C688">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.2保证</w:t>
      </w:r>
    </w:p>
    <w:p w14:paraId="3F02B26E">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sz w:val="21"/>
          <w:szCs w:val="21"/>
          <w:highlight w:val="none"/>
        </w:rPr>
        <w:t>在其使用寿命期内具</w:t>
      </w:r>
      <w:r>
        <w:rPr>
          <w:rFonts w:hint="eastAsia" w:ascii="宋体" w:hAnsi="宋体" w:eastAsia="宋体" w:cs="宋体"/>
          <w:sz w:val="21"/>
          <w:szCs w:val="21"/>
          <w:highlight w:val="none"/>
          <w:lang w:eastAsia="zh-CN"/>
        </w:rPr>
        <w:t>备合同约定</w:t>
      </w:r>
      <w:r>
        <w:rPr>
          <w:rFonts w:hint="eastAsia" w:ascii="宋体" w:hAnsi="宋体" w:eastAsia="宋体" w:cs="宋体"/>
          <w:sz w:val="21"/>
          <w:szCs w:val="21"/>
          <w:highlight w:val="none"/>
        </w:rPr>
        <w:t>的性能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65E25D72">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2621978F">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217C5842">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000000"/>
          <w:sz w:val="21"/>
          <w:szCs w:val="21"/>
          <w:highlight w:val="none"/>
          <w:lang w:eastAsia="zh-CN"/>
        </w:rPr>
        <w:t>追究</w:t>
      </w:r>
      <w:r>
        <w:rPr>
          <w:rFonts w:hint="eastAsia" w:ascii="宋体" w:hAnsi="宋体" w:eastAsia="宋体" w:cs="宋体"/>
          <w:color w:val="auto"/>
          <w:sz w:val="21"/>
          <w:szCs w:val="21"/>
          <w:highlight w:val="none"/>
        </w:rPr>
        <w:t>乙方</w:t>
      </w:r>
      <w:r>
        <w:rPr>
          <w:rFonts w:hint="eastAsia" w:ascii="宋体" w:hAnsi="宋体" w:eastAsia="宋体" w:cs="宋体"/>
          <w:color w:val="000000"/>
          <w:sz w:val="21"/>
          <w:szCs w:val="21"/>
          <w:highlight w:val="none"/>
          <w:lang w:eastAsia="zh-CN"/>
        </w:rPr>
        <w:t>的违约责任</w:t>
      </w:r>
      <w:r>
        <w:rPr>
          <w:rFonts w:hint="eastAsia" w:ascii="宋体" w:hAnsi="宋体" w:eastAsia="宋体" w:cs="宋体"/>
          <w:color w:val="auto"/>
          <w:sz w:val="21"/>
          <w:szCs w:val="21"/>
          <w:highlight w:val="none"/>
        </w:rPr>
        <w:t>。</w:t>
      </w:r>
    </w:p>
    <w:p w14:paraId="240B5761">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1B064C6B">
      <w:pPr>
        <w:keepNext w:val="0"/>
        <w:keepLines w:val="0"/>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000000"/>
          <w:sz w:val="21"/>
          <w:szCs w:val="21"/>
          <w:highlight w:val="none"/>
          <w:lang w:eastAsia="zh-CN"/>
        </w:rPr>
        <w:t>9</w:t>
      </w:r>
      <w:r>
        <w:rPr>
          <w:rFonts w:hint="eastAsia" w:ascii="宋体" w:hAnsi="宋体" w:eastAsia="宋体" w:cs="宋体"/>
          <w:b/>
          <w:bCs/>
          <w:color w:val="auto"/>
          <w:sz w:val="21"/>
          <w:szCs w:val="21"/>
          <w:highlight w:val="none"/>
        </w:rPr>
        <w:t>.权利瑕疵担保</w:t>
      </w:r>
    </w:p>
    <w:p w14:paraId="49994898">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9</w:t>
      </w:r>
      <w:r>
        <w:rPr>
          <w:rFonts w:hint="eastAsia" w:ascii="宋体" w:hAnsi="宋体" w:eastAsia="宋体" w:cs="宋体"/>
          <w:color w:val="000000"/>
          <w:sz w:val="21"/>
          <w:szCs w:val="21"/>
          <w:highlight w:val="none"/>
        </w:rPr>
        <w:t>.1乙方保证对其出售的货物享有合法的权利。</w:t>
      </w:r>
    </w:p>
    <w:p w14:paraId="76618B5F">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9</w:t>
      </w:r>
      <w:r>
        <w:rPr>
          <w:rFonts w:hint="eastAsia" w:ascii="宋体" w:hAnsi="宋体" w:eastAsia="宋体" w:cs="宋体"/>
          <w:color w:val="000000"/>
          <w:sz w:val="21"/>
          <w:szCs w:val="21"/>
          <w:highlight w:val="none"/>
        </w:rPr>
        <w:t>.2</w:t>
      </w:r>
      <w:r>
        <w:rPr>
          <w:rFonts w:hint="eastAsia" w:ascii="宋体" w:hAnsi="宋体" w:eastAsia="宋体" w:cs="宋体"/>
          <w:sz w:val="21"/>
          <w:szCs w:val="21"/>
          <w:highlight w:val="none"/>
        </w:rPr>
        <w:t>乙方保证在交付的货物上不存在抵押权等担保物权。</w:t>
      </w:r>
    </w:p>
    <w:p w14:paraId="643CF44F">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9</w:t>
      </w:r>
      <w:r>
        <w:rPr>
          <w:rFonts w:hint="eastAsia" w:ascii="宋体" w:hAnsi="宋体" w:eastAsia="宋体" w:cs="宋体"/>
          <w:color w:val="000000"/>
          <w:sz w:val="21"/>
          <w:szCs w:val="21"/>
          <w:highlight w:val="none"/>
        </w:rPr>
        <w:t>.3如甲方使用</w:t>
      </w:r>
      <w:r>
        <w:rPr>
          <w:rFonts w:hint="eastAsia" w:ascii="宋体" w:hAnsi="宋体" w:eastAsia="宋体" w:cs="宋体"/>
          <w:color w:val="000000"/>
          <w:sz w:val="21"/>
          <w:szCs w:val="21"/>
          <w:highlight w:val="none"/>
          <w:lang w:val="en-US" w:eastAsia="zh-CN"/>
        </w:rPr>
        <w:t>上述</w:t>
      </w:r>
      <w:r>
        <w:rPr>
          <w:rFonts w:hint="eastAsia" w:ascii="宋体" w:hAnsi="宋体" w:eastAsia="宋体" w:cs="宋体"/>
          <w:color w:val="000000"/>
          <w:sz w:val="21"/>
          <w:szCs w:val="21"/>
          <w:highlight w:val="none"/>
        </w:rPr>
        <w:t>货物构成</w:t>
      </w:r>
      <w:r>
        <w:rPr>
          <w:rFonts w:hint="eastAsia" w:ascii="宋体" w:hAnsi="宋体" w:eastAsia="宋体" w:cs="宋体"/>
          <w:color w:val="000000"/>
          <w:sz w:val="21"/>
          <w:szCs w:val="21"/>
          <w:highlight w:val="none"/>
          <w:lang w:val="en-US" w:eastAsia="zh-CN"/>
        </w:rPr>
        <w:t>对第三人</w:t>
      </w:r>
      <w:r>
        <w:rPr>
          <w:rFonts w:hint="eastAsia" w:ascii="宋体" w:hAnsi="宋体" w:eastAsia="宋体" w:cs="宋体"/>
          <w:color w:val="000000"/>
          <w:sz w:val="21"/>
          <w:szCs w:val="21"/>
          <w:highlight w:val="none"/>
        </w:rPr>
        <w:t>侵权的，则由乙方承担全部责任。</w:t>
      </w:r>
    </w:p>
    <w:p w14:paraId="39064DB5">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eastAsia="zh-CN"/>
        </w:rPr>
        <w:t>0</w:t>
      </w:r>
      <w:r>
        <w:rPr>
          <w:rFonts w:hint="eastAsia" w:ascii="宋体" w:hAnsi="宋体" w:eastAsia="宋体" w:cs="宋体"/>
          <w:b/>
          <w:bCs/>
          <w:color w:val="000000"/>
          <w:sz w:val="21"/>
          <w:szCs w:val="21"/>
          <w:highlight w:val="none"/>
        </w:rPr>
        <w:t>.知识产权保护</w:t>
      </w:r>
    </w:p>
    <w:p w14:paraId="7FE2E513">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0</w:t>
      </w:r>
      <w:r>
        <w:rPr>
          <w:rFonts w:hint="eastAsia" w:ascii="宋体" w:hAnsi="宋体" w:eastAsia="宋体" w:cs="宋体"/>
          <w:color w:val="000000"/>
          <w:sz w:val="21"/>
          <w:szCs w:val="21"/>
          <w:highlight w:val="none"/>
        </w:rPr>
        <w:t>.1乙方对其所销售的货物应当享有知识产权或经权利人合法授权，保证没有侵犯任</w:t>
      </w:r>
      <w:r>
        <w:rPr>
          <w:rFonts w:hint="eastAsia" w:ascii="宋体" w:hAnsi="宋体" w:eastAsia="宋体" w:cs="宋体"/>
          <w:color w:val="auto"/>
          <w:sz w:val="21"/>
          <w:szCs w:val="21"/>
          <w:highlight w:val="none"/>
        </w:rPr>
        <w:t>何第三人的知识产权等权利。</w:t>
      </w:r>
      <w:bookmarkStart w:id="118" w:name="_Hlk163047038"/>
      <w:r>
        <w:rPr>
          <w:rFonts w:hint="eastAsia" w:ascii="宋体" w:hAnsi="宋体" w:eastAsia="宋体" w:cs="宋体"/>
          <w:sz w:val="21"/>
          <w:szCs w:val="21"/>
          <w:highlight w:val="none"/>
        </w:rPr>
        <w:t>因违反前述约定对第三人构成侵权的，应当由乙方向第三人承担法律责任；甲方依法向第三人赔偿后，有权向乙方追偿。甲方有其他损失的，乙方应当赔偿</w:t>
      </w:r>
      <w:bookmarkEnd w:id="118"/>
      <w:r>
        <w:rPr>
          <w:rFonts w:hint="eastAsia" w:ascii="宋体" w:hAnsi="宋体" w:eastAsia="宋体" w:cs="宋体"/>
          <w:color w:val="auto"/>
          <w:sz w:val="21"/>
          <w:szCs w:val="21"/>
          <w:highlight w:val="none"/>
        </w:rPr>
        <w:t>。</w:t>
      </w:r>
    </w:p>
    <w:p w14:paraId="271BFFCD">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.保密义务</w:t>
      </w:r>
    </w:p>
    <w:p w14:paraId="6651D480">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11.1</w:t>
      </w:r>
      <w:r>
        <w:rPr>
          <w:rFonts w:hint="eastAsia" w:ascii="宋体" w:hAnsi="宋体" w:eastAsia="宋体" w:cs="宋体"/>
          <w:sz w:val="21"/>
          <w:szCs w:val="21"/>
          <w:highlight w:val="none"/>
        </w:rPr>
        <w:t>甲、乙双方</w:t>
      </w:r>
      <w:r>
        <w:rPr>
          <w:rFonts w:hint="eastAsia" w:ascii="宋体" w:hAnsi="宋体" w:eastAsia="宋体" w:cs="宋体"/>
          <w:sz w:val="21"/>
          <w:szCs w:val="21"/>
          <w:highlight w:val="none"/>
          <w:lang w:eastAsia="zh-CN"/>
        </w:rPr>
        <w:t>对</w:t>
      </w:r>
      <w:r>
        <w:rPr>
          <w:rFonts w:hint="eastAsia" w:ascii="宋体" w:hAnsi="宋体" w:eastAsia="宋体" w:cs="宋体"/>
          <w:sz w:val="21"/>
          <w:szCs w:val="21"/>
          <w:highlight w:val="none"/>
        </w:rPr>
        <w:t>采购和合同履行过程中所获悉的</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商业秘密或者其他应当保密的信息，均有保密义务</w:t>
      </w:r>
      <w:r>
        <w:rPr>
          <w:rFonts w:hint="eastAsia" w:ascii="宋体" w:hAnsi="宋体" w:eastAsia="宋体" w:cs="宋体"/>
          <w:sz w:val="21"/>
          <w:szCs w:val="21"/>
          <w:highlight w:val="none"/>
          <w:lang w:eastAsia="zh-CN"/>
        </w:rPr>
        <w:t>且不受合同有效期所限，直至该信息成为公开信息</w:t>
      </w:r>
      <w:r>
        <w:rPr>
          <w:rFonts w:hint="eastAsia" w:ascii="宋体" w:hAnsi="宋体" w:eastAsia="宋体" w:cs="宋体"/>
          <w:sz w:val="21"/>
          <w:szCs w:val="21"/>
          <w:highlight w:val="none"/>
        </w:rPr>
        <w:t>。泄露、不正当地使用</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w:t>
      </w:r>
      <w:r>
        <w:rPr>
          <w:rFonts w:hint="eastAsia" w:ascii="宋体" w:hAnsi="宋体" w:eastAsia="宋体" w:cs="宋体"/>
          <w:sz w:val="21"/>
          <w:szCs w:val="21"/>
          <w:highlight w:val="none"/>
          <w:lang w:eastAsia="zh-CN"/>
        </w:rPr>
        <w:t>其他应当保密的</w:t>
      </w:r>
      <w:r>
        <w:rPr>
          <w:rFonts w:hint="eastAsia" w:ascii="宋体" w:hAnsi="宋体" w:eastAsia="宋体" w:cs="宋体"/>
          <w:sz w:val="21"/>
          <w:szCs w:val="21"/>
          <w:highlight w:val="none"/>
        </w:rPr>
        <w:t>信息，应当承担</w:t>
      </w:r>
      <w:r>
        <w:rPr>
          <w:rFonts w:hint="eastAsia" w:ascii="宋体" w:hAnsi="宋体" w:eastAsia="宋体" w:cs="宋体"/>
          <w:sz w:val="21"/>
          <w:szCs w:val="21"/>
          <w:highlight w:val="none"/>
          <w:lang w:eastAsia="zh-CN"/>
        </w:rPr>
        <w:t>相应</w:t>
      </w:r>
      <w:r>
        <w:rPr>
          <w:rFonts w:hint="eastAsia" w:ascii="宋体" w:hAnsi="宋体" w:eastAsia="宋体" w:cs="宋体"/>
          <w:sz w:val="21"/>
          <w:szCs w:val="21"/>
          <w:highlight w:val="none"/>
        </w:rPr>
        <w:t>责任。其他应当保密的信息由双方在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0C550555">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.合同价款支付</w:t>
      </w:r>
    </w:p>
    <w:p w14:paraId="7D4D2F0C">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20ACA314">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12.2</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2FBCA40E">
      <w:pPr>
        <w:pStyle w:val="17"/>
        <w:keepNext w:val="0"/>
        <w:keepLines w:val="0"/>
        <w:pageBreakBefore w:val="0"/>
        <w:kinsoku/>
        <w:wordWrap/>
        <w:overflowPunct/>
        <w:topLinePunct w:val="0"/>
        <w:bidi w:val="0"/>
        <w:spacing w:after="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.履约保证金</w:t>
      </w:r>
    </w:p>
    <w:p w14:paraId="4F75D311">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w:t>
      </w:r>
      <w:r>
        <w:rPr>
          <w:rFonts w:hint="eastAsia" w:ascii="宋体" w:hAnsi="宋体" w:eastAsia="宋体" w:cs="宋体"/>
          <w:sz w:val="21"/>
          <w:szCs w:val="21"/>
          <w:highlight w:val="none"/>
        </w:rPr>
        <w:t>乙方应当以支票、汇票、本票或者金融机构、担保机构出具的保函等非现金形式提交。</w:t>
      </w:r>
    </w:p>
    <w:p w14:paraId="3EAA31BE">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1A88EB7E">
      <w:pPr>
        <w:keepNext w:val="0"/>
        <w:keepLines w:val="0"/>
        <w:pageBreakBefore w:val="0"/>
        <w:kinsoku/>
        <w:wordWrap/>
        <w:overflowPunct/>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62BC8EC0">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color w:val="auto"/>
          <w:sz w:val="21"/>
          <w:szCs w:val="21"/>
          <w:highlight w:val="none"/>
        </w:rPr>
        <w:t>售后服务</w:t>
      </w:r>
    </w:p>
    <w:p w14:paraId="17030068">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.1除项目不涉及或采购活动中明确约定无须承担外，乙方还应提供下列服务：</w:t>
      </w:r>
    </w:p>
    <w:p w14:paraId="3687DCE3">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00397341">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37C3E461">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33A16EC0">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sz w:val="21"/>
          <w:szCs w:val="21"/>
          <w:highlight w:val="none"/>
          <w:lang w:eastAsia="zh-CN"/>
        </w:rPr>
        <w:t>；</w:t>
      </w:r>
    </w:p>
    <w:p w14:paraId="1CC16549">
      <w:pPr>
        <w:pStyle w:val="371"/>
        <w:keepNext w:val="0"/>
        <w:keepLines w:val="0"/>
        <w:pageBreakBefore w:val="0"/>
        <w:kinsoku/>
        <w:wordWrap/>
        <w:overflowPunct/>
        <w:topLinePunct w:val="0"/>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755192F9">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28E784DA">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2135E02E">
      <w:pPr>
        <w:keepNext w:val="0"/>
        <w:keepLines w:val="0"/>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.违约责任</w:t>
      </w:r>
    </w:p>
    <w:p w14:paraId="53274B2E">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0BF74972">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4EF895DC">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.2迟延交货的违约责任</w:t>
      </w:r>
    </w:p>
    <w:p w14:paraId="0F8A9884">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389E4999">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145D5AC1">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.3迟延支付的违约责任</w:t>
      </w:r>
    </w:p>
    <w:p w14:paraId="1E9D7D97">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53B294B3">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67756A43">
      <w:pPr>
        <w:keepNext w:val="0"/>
        <w:keepLines w:val="0"/>
        <w:pageBreakBefore w:val="0"/>
        <w:numPr>
          <w:ilvl w:val="0"/>
          <w:numId w:val="9"/>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59F36B9D">
      <w:pPr>
        <w:keepNext w:val="0"/>
        <w:keepLines w:val="0"/>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7DA4BCA9">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54C5E45E">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412823B9">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13AAC6DD">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3AA847BD">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（3）乙方分立、合并或者变更住所的，应当及时以书面形式告知甲方。乙方没有</w:t>
      </w:r>
      <w:r>
        <w:rPr>
          <w:rFonts w:hint="eastAsia" w:ascii="宋体" w:hAnsi="宋体" w:eastAsia="宋体" w:cs="宋体"/>
          <w:sz w:val="21"/>
          <w:szCs w:val="21"/>
          <w:highlight w:val="none"/>
          <w:lang w:eastAsia="zh-CN"/>
        </w:rPr>
        <w:t>及时告知</w:t>
      </w:r>
      <w:r>
        <w:rPr>
          <w:rFonts w:hint="eastAsia" w:ascii="宋体" w:hAnsi="宋体" w:eastAsia="宋体" w:cs="宋体"/>
          <w:sz w:val="21"/>
          <w:szCs w:val="21"/>
          <w:highlight w:val="none"/>
        </w:rPr>
        <w:t>甲方，致使</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履行发生困难的，甲方可以中止合同履行并要求乙方承担由此给甲方造成的损失。</w:t>
      </w:r>
    </w:p>
    <w:p w14:paraId="41550A41">
      <w:pPr>
        <w:keepNext w:val="0"/>
        <w:keepLines w:val="0"/>
        <w:pageBreakBefore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0F86C2D6">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1E98A275">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1C9500A8">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并追究乙方的违约责</w:t>
      </w:r>
      <w:r>
        <w:rPr>
          <w:rFonts w:hint="eastAsia" w:ascii="宋体" w:hAnsi="宋体" w:eastAsia="宋体" w:cs="宋体"/>
          <w:sz w:val="21"/>
          <w:szCs w:val="21"/>
          <w:highlight w:val="none"/>
          <w:lang w:val="en-US" w:eastAsia="zh-CN"/>
        </w:rPr>
        <w:t>任</w:t>
      </w:r>
      <w:r>
        <w:rPr>
          <w:rFonts w:hint="eastAsia" w:ascii="宋体" w:hAnsi="宋体" w:eastAsia="宋体" w:cs="宋体"/>
          <w:color w:val="auto"/>
          <w:sz w:val="21"/>
          <w:szCs w:val="21"/>
          <w:highlight w:val="none"/>
        </w:rPr>
        <w:t>。</w:t>
      </w:r>
    </w:p>
    <w:p w14:paraId="31E1B4DF">
      <w:pPr>
        <w:pStyle w:val="371"/>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16.4</w:t>
      </w:r>
      <w:r>
        <w:rPr>
          <w:rFonts w:hint="eastAsia" w:ascii="宋体" w:hAnsi="宋体" w:eastAsia="宋体" w:cs="宋体"/>
          <w:color w:val="auto"/>
          <w:kern w:val="2"/>
          <w:sz w:val="21"/>
          <w:szCs w:val="21"/>
          <w:highlight w:val="none"/>
          <w:lang w:val="en-US" w:eastAsia="zh-CN"/>
        </w:rPr>
        <w:t>涉及国家利益、社会公共利益的情形</w:t>
      </w:r>
    </w:p>
    <w:p w14:paraId="25E07475">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政府采购合同继续履行将损害国家利益和社会公共利益的，双方当事人</w:t>
      </w:r>
      <w:r>
        <w:rPr>
          <w:rFonts w:hint="eastAsia" w:ascii="宋体" w:hAnsi="宋体" w:eastAsia="宋体" w:cs="宋体"/>
          <w:sz w:val="21"/>
          <w:szCs w:val="21"/>
          <w:highlight w:val="none"/>
          <w:lang w:val="en-US" w:eastAsia="zh-CN"/>
        </w:rPr>
        <w:t>应当变更、</w:t>
      </w:r>
      <w:r>
        <w:rPr>
          <w:rFonts w:hint="eastAsia" w:ascii="宋体" w:hAnsi="宋体" w:eastAsia="宋体" w:cs="宋体"/>
          <w:sz w:val="21"/>
          <w:szCs w:val="21"/>
          <w:highlight w:val="none"/>
        </w:rPr>
        <w:t>中止</w:t>
      </w:r>
      <w:r>
        <w:rPr>
          <w:rFonts w:hint="eastAsia" w:ascii="宋体" w:hAnsi="宋体" w:eastAsia="宋体" w:cs="宋体"/>
          <w:sz w:val="21"/>
          <w:szCs w:val="21"/>
          <w:highlight w:val="none"/>
          <w:lang w:eastAsia="zh-CN"/>
        </w:rPr>
        <w:t>或者终止</w:t>
      </w:r>
      <w:r>
        <w:rPr>
          <w:rFonts w:hint="eastAsia" w:ascii="宋体" w:hAnsi="宋体" w:eastAsia="宋体" w:cs="宋体"/>
          <w:sz w:val="21"/>
          <w:szCs w:val="21"/>
          <w:highlight w:val="none"/>
        </w:rPr>
        <w:t>合同。有过错的一方应当承担赔偿责任，双方都有过错的，各自承担相应的责任。</w:t>
      </w:r>
    </w:p>
    <w:p w14:paraId="711E727D">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.合同分包</w:t>
      </w:r>
    </w:p>
    <w:p w14:paraId="05C24FB9">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198E2550">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协议属于本合同组成部分。</w:t>
      </w:r>
    </w:p>
    <w:p w14:paraId="13744001">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.不可抗力</w:t>
      </w:r>
    </w:p>
    <w:p w14:paraId="10D573D6">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.1不可抗力是指合同双方不能预见、不能避免且不能克服的客观情况。</w:t>
      </w:r>
    </w:p>
    <w:p w14:paraId="17A2A0BE">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.2任何一方对由于不可抗力造成的部分或全部不能履行合同不承担违约责任。但迟延履行后发生不可抗力的，不能免除责任。</w:t>
      </w:r>
    </w:p>
    <w:p w14:paraId="192C1B22">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6F1DFDCF">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.解决争议的方法</w:t>
      </w:r>
    </w:p>
    <w:p w14:paraId="1ACE42B0">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.1因本合同及合同有关事项发生的争议，由</w:t>
      </w:r>
      <w:r>
        <w:rPr>
          <w:rFonts w:hint="eastAsia" w:ascii="宋体" w:hAnsi="宋体" w:eastAsia="宋体" w:cs="宋体"/>
          <w:sz w:val="21"/>
          <w:szCs w:val="21"/>
          <w:highlight w:val="none"/>
          <w:lang w:eastAsia="zh-CN"/>
        </w:rPr>
        <w:t>甲乙双</w:t>
      </w:r>
      <w:r>
        <w:rPr>
          <w:rFonts w:hint="eastAsia" w:ascii="宋体" w:hAnsi="宋体" w:eastAsia="宋体" w:cs="宋体"/>
          <w:sz w:val="21"/>
          <w:szCs w:val="21"/>
          <w:highlight w:val="none"/>
        </w:rPr>
        <w:t>方友好协商解决。协商不成时，可以</w:t>
      </w:r>
      <w:r>
        <w:rPr>
          <w:rFonts w:hint="eastAsia" w:ascii="宋体" w:hAnsi="宋体" w:eastAsia="宋体" w:cs="宋体"/>
          <w:sz w:val="21"/>
          <w:szCs w:val="21"/>
          <w:highlight w:val="none"/>
          <w:lang w:eastAsia="zh-CN"/>
        </w:rPr>
        <w:t>向有关组织申请</w:t>
      </w:r>
      <w:r>
        <w:rPr>
          <w:rFonts w:hint="eastAsia" w:ascii="宋体" w:hAnsi="宋体" w:eastAsia="宋体" w:cs="宋体"/>
          <w:sz w:val="21"/>
          <w:szCs w:val="21"/>
          <w:highlight w:val="none"/>
        </w:rPr>
        <w:t>调解。合同一方或</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方不愿调解或调解不成的，可以通过仲裁或诉讼的方式解决争议。</w:t>
      </w:r>
    </w:p>
    <w:p w14:paraId="4A64DFA5">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中进一步约定选择与争议有实际联系的地点的人民法院管辖，但管辖法院的约定不得违反级别管辖和专属管辖的规定。</w:t>
      </w:r>
    </w:p>
    <w:p w14:paraId="342C8FE3">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.3如</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rPr>
        <w:t>有争议的事项不影响合同其他部分的履行，在争议解决期间，合同其他部分应</w:t>
      </w:r>
      <w:r>
        <w:rPr>
          <w:rFonts w:hint="eastAsia" w:ascii="宋体" w:hAnsi="宋体" w:eastAsia="宋体" w:cs="宋体"/>
          <w:sz w:val="21"/>
          <w:szCs w:val="21"/>
          <w:highlight w:val="none"/>
          <w:lang w:eastAsia="zh-CN"/>
        </w:rPr>
        <w:t>当</w:t>
      </w:r>
      <w:r>
        <w:rPr>
          <w:rFonts w:hint="eastAsia" w:ascii="宋体" w:hAnsi="宋体" w:eastAsia="宋体" w:cs="宋体"/>
          <w:sz w:val="21"/>
          <w:szCs w:val="21"/>
          <w:highlight w:val="none"/>
        </w:rPr>
        <w:t>继续履行。</w:t>
      </w:r>
    </w:p>
    <w:p w14:paraId="3E40D7AC">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.政府采购政策</w:t>
      </w:r>
    </w:p>
    <w:p w14:paraId="7E7E4C1A">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w:t>
      </w:r>
      <w:r>
        <w:rPr>
          <w:rFonts w:hint="eastAsia" w:ascii="宋体" w:hAnsi="宋体" w:eastAsia="宋体" w:cs="宋体"/>
          <w:sz w:val="21"/>
          <w:szCs w:val="21"/>
          <w:highlight w:val="none"/>
          <w:lang w:val="en-GB"/>
        </w:rPr>
        <w:t>本合同应当按照规定执行政府采购政策。</w:t>
      </w:r>
    </w:p>
    <w:p w14:paraId="7FA8598F">
      <w:pPr>
        <w:keepNext w:val="0"/>
        <w:keepLines w:val="0"/>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本合同依法执行政府采购政策的方式和内容，属于合同履约验收的范围。</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，有过错的一方应当承担赔偿责任，双方都有过错的，各自承担相应的责任。</w:t>
      </w:r>
    </w:p>
    <w:p w14:paraId="400BAAB7">
      <w:pPr>
        <w:pStyle w:val="17"/>
        <w:keepNext w:val="0"/>
        <w:keepLines w:val="0"/>
        <w:pageBreakBefore w:val="0"/>
        <w:kinsoku/>
        <w:wordWrap/>
        <w:overflowPunct/>
        <w:topLinePunct w:val="0"/>
        <w:bidi w:val="0"/>
        <w:spacing w:after="0" w:line="360" w:lineRule="auto"/>
        <w:ind w:firstLine="420" w:firstLineChars="200"/>
        <w:textAlignment w:val="auto"/>
        <w:rPr>
          <w:rFonts w:hint="eastAsia" w:ascii="宋体" w:hAnsi="宋体" w:eastAsia="宋体" w:cs="宋体"/>
          <w:b w:val="0"/>
          <w:color w:val="auto"/>
          <w:spacing w:val="0"/>
          <w:kern w:val="2"/>
          <w:sz w:val="21"/>
          <w:szCs w:val="21"/>
          <w:highlight w:val="none"/>
          <w:lang w:val="en-US" w:eastAsia="zh-CN" w:bidi="ar-SA"/>
        </w:rPr>
      </w:pPr>
      <w:r>
        <w:rPr>
          <w:rFonts w:hint="eastAsia" w:ascii="宋体" w:hAnsi="宋体" w:eastAsia="宋体" w:cs="宋体"/>
          <w:b w:val="0"/>
          <w:color w:val="auto"/>
          <w:spacing w:val="0"/>
          <w:kern w:val="2"/>
          <w:sz w:val="21"/>
          <w:szCs w:val="21"/>
          <w:highlight w:val="none"/>
          <w:lang w:val="en-US" w:eastAsia="zh-CN" w:bidi="ar-SA"/>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E1B41AB">
      <w:pPr>
        <w:keepNext w:val="0"/>
        <w:keepLines w:val="0"/>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val="0"/>
          <w:color w:val="auto"/>
          <w:spacing w:val="0"/>
          <w:kern w:val="2"/>
          <w:sz w:val="21"/>
          <w:szCs w:val="21"/>
          <w:highlight w:val="none"/>
          <w:lang w:val="en-US" w:eastAsia="zh-CN" w:bidi="ar-SA"/>
        </w:rPr>
      </w:pPr>
      <w:r>
        <w:rPr>
          <w:rFonts w:hint="eastAsia" w:ascii="宋体" w:hAnsi="宋体" w:eastAsia="宋体" w:cs="宋体"/>
          <w:b w:val="0"/>
          <w:color w:val="auto"/>
          <w:spacing w:val="0"/>
          <w:kern w:val="2"/>
          <w:sz w:val="21"/>
          <w:szCs w:val="21"/>
          <w:highlight w:val="none"/>
          <w:lang w:val="en-US" w:eastAsia="zh-CN" w:bidi="ar-SA"/>
        </w:rPr>
        <w:t>21.法律适用</w:t>
      </w:r>
    </w:p>
    <w:p w14:paraId="425B40A3">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.1本合同的订立、生效、解释、履行及与本合同有关的争议解决，均适用法律、行政法规。</w:t>
      </w:r>
    </w:p>
    <w:p w14:paraId="4EB56227">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.2本合同条款与法律、行政法规的强制性规定不一致的，双方当事人应按照法律、行政法规的强制性规定修改本合同的相关条款。</w:t>
      </w:r>
    </w:p>
    <w:p w14:paraId="56ED792F">
      <w:pPr>
        <w:keepNext w:val="0"/>
        <w:keepLines w:val="0"/>
        <w:pageBreakBefore w:val="0"/>
        <w:numPr>
          <w:ilvl w:val="0"/>
          <w:numId w:val="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22.</w:t>
      </w:r>
      <w:r>
        <w:rPr>
          <w:rFonts w:hint="eastAsia" w:ascii="宋体" w:hAnsi="宋体" w:eastAsia="宋体" w:cs="宋体"/>
          <w:b/>
          <w:color w:val="auto"/>
          <w:sz w:val="21"/>
          <w:szCs w:val="21"/>
          <w:highlight w:val="none"/>
        </w:rPr>
        <w:t>通知</w:t>
      </w:r>
    </w:p>
    <w:p w14:paraId="0AF420EB">
      <w:pPr>
        <w:pStyle w:val="371"/>
        <w:keepNext w:val="0"/>
        <w:keepLines w:val="0"/>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.1本合同任何一方向对方发出的通知、信件、数据电文等，应当发送至本合同第一部分《政府采购合同协议书》所约定的通讯地址、联系人、联系电话或电子邮箱。</w:t>
      </w:r>
    </w:p>
    <w:p w14:paraId="1A665B41">
      <w:pPr>
        <w:pStyle w:val="371"/>
        <w:keepNext w:val="0"/>
        <w:keepLines w:val="0"/>
        <w:pageBreakBefore w:val="0"/>
        <w:kinsoku/>
        <w:wordWrap/>
        <w:overflowPunct/>
        <w:topLinePunct w:val="0"/>
        <w:bidi w:val="0"/>
        <w:spacing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.2一方当事人变更名称、</w:t>
      </w:r>
      <w:r>
        <w:rPr>
          <w:rFonts w:hint="eastAsia" w:ascii="宋体" w:hAnsi="宋体" w:eastAsia="宋体" w:cs="宋体"/>
          <w:sz w:val="21"/>
          <w:szCs w:val="21"/>
          <w:highlight w:val="none"/>
          <w:lang w:eastAsia="zh-CN"/>
        </w:rPr>
        <w:t>住所</w:t>
      </w:r>
      <w:r>
        <w:rPr>
          <w:rFonts w:hint="eastAsia" w:ascii="宋体" w:hAnsi="宋体" w:eastAsia="宋体" w:cs="宋体"/>
          <w:sz w:val="21"/>
          <w:szCs w:val="21"/>
          <w:highlight w:val="none"/>
        </w:rPr>
        <w:t>、联系人、联系电话或电子邮箱</w:t>
      </w:r>
      <w:r>
        <w:rPr>
          <w:rFonts w:hint="eastAsia" w:ascii="宋体" w:hAnsi="宋体" w:eastAsia="宋体" w:cs="宋体"/>
          <w:sz w:val="21"/>
          <w:szCs w:val="21"/>
          <w:highlight w:val="none"/>
          <w:lang w:eastAsia="zh-CN"/>
        </w:rPr>
        <w:t>等信息</w:t>
      </w:r>
      <w:r>
        <w:rPr>
          <w:rFonts w:hint="eastAsia" w:ascii="宋体" w:hAnsi="宋体" w:eastAsia="宋体" w:cs="宋体"/>
          <w:sz w:val="21"/>
          <w:szCs w:val="21"/>
          <w:highlight w:val="none"/>
        </w:rPr>
        <w:t>的，应当在变更后3日内及时书面通知对方，对方实际收到变更通知前的送达仍为有效送达。</w:t>
      </w:r>
    </w:p>
    <w:p w14:paraId="21F0B0D4">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本合同一方给另一方的通知均应采用书面形式，传真或快递送到本合同中规定的对方的地址和办理签收手续。</w:t>
      </w:r>
    </w:p>
    <w:p w14:paraId="6C987555">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64646D42">
      <w:pPr>
        <w:keepNext w:val="0"/>
        <w:keepLines w:val="0"/>
        <w:pageBreakBefore w:val="0"/>
        <w:numPr>
          <w:ilvl w:val="0"/>
          <w:numId w:val="0"/>
        </w:numPr>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lang w:val="en-US" w:eastAsia="zh-CN" w:bidi="ar-SA"/>
        </w:rPr>
        <w:t>23.</w:t>
      </w:r>
      <w:r>
        <w:rPr>
          <w:rFonts w:hint="eastAsia" w:ascii="宋体" w:hAnsi="宋体" w:eastAsia="宋体" w:cs="宋体"/>
          <w:b/>
          <w:bCs/>
          <w:color w:val="auto"/>
          <w:sz w:val="21"/>
          <w:szCs w:val="21"/>
          <w:highlight w:val="none"/>
        </w:rPr>
        <w:t>合同未尽事项</w:t>
      </w:r>
    </w:p>
    <w:p w14:paraId="21A6AE93">
      <w:pPr>
        <w:keepNext w:val="0"/>
        <w:keepLines w:val="0"/>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1FE061DD">
      <w:pPr>
        <w:keepNext w:val="0"/>
        <w:keepLines w:val="0"/>
        <w:pageBreakBefore w:val="0"/>
        <w:kinsoku/>
        <w:wordWrap/>
        <w:overflowPunct/>
        <w:topLinePunct w:val="0"/>
        <w:bidi w:val="0"/>
        <w:adjustRightInd w:val="0"/>
        <w:snapToGrid w:val="0"/>
        <w:spacing w:line="360" w:lineRule="auto"/>
        <w:ind w:firstLine="420" w:firstLineChars="200"/>
        <w:jc w:val="left"/>
        <w:textAlignment w:val="auto"/>
        <w:rPr>
          <w:rFonts w:ascii="黑体" w:hAnsi="华文中宋" w:eastAsia="黑体"/>
          <w:color w:val="auto"/>
          <w:sz w:val="28"/>
          <w:szCs w:val="28"/>
          <w:highlight w:val="none"/>
        </w:rPr>
      </w:pPr>
      <w:r>
        <w:rPr>
          <w:rFonts w:hint="eastAsia" w:ascii="宋体" w:hAnsi="宋体" w:eastAsia="宋体" w:cs="宋体"/>
          <w:bCs/>
          <w:color w:val="auto"/>
          <w:sz w:val="21"/>
          <w:szCs w:val="21"/>
          <w:highlight w:val="none"/>
          <w:lang w:val="en-US" w:eastAsia="zh-CN"/>
        </w:rPr>
        <w:t>23.2合同附件与合同正文具有同等的法律效力。</w:t>
      </w:r>
      <w:bookmarkStart w:id="119" w:name="_Toc20313"/>
    </w:p>
    <w:p w14:paraId="31F22AC0">
      <w:pPr>
        <w:adjustRightInd w:val="0"/>
        <w:snapToGrid w:val="0"/>
        <w:jc w:val="center"/>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br w:type="page"/>
      </w:r>
    </w:p>
    <w:p w14:paraId="074DEA2A">
      <w:pPr>
        <w:pStyle w:val="3"/>
        <w:bidi w:val="0"/>
        <w:rPr>
          <w:rFonts w:hint="eastAsia"/>
        </w:rPr>
      </w:pPr>
      <w:bookmarkStart w:id="120" w:name="_Toc18135"/>
      <w:r>
        <w:rPr>
          <w:rFonts w:hint="eastAsia"/>
        </w:rPr>
        <w:t>第三节</w:t>
      </w:r>
      <w:r>
        <w:rPr>
          <w:rFonts w:hint="eastAsia"/>
          <w:lang w:val="en-US" w:eastAsia="zh-CN"/>
        </w:rPr>
        <w:t xml:space="preserve">  </w:t>
      </w:r>
      <w:r>
        <w:rPr>
          <w:rFonts w:hint="eastAsia"/>
        </w:rPr>
        <w:t>政府采购合同专用条款</w:t>
      </w:r>
      <w:bookmarkEnd w:id="119"/>
      <w:bookmarkEnd w:id="120"/>
    </w:p>
    <w:tbl>
      <w:tblPr>
        <w:tblStyle w:val="44"/>
        <w:tblpPr w:leftFromText="180" w:rightFromText="180" w:vertAnchor="text" w:horzAnchor="page" w:tblpX="1331" w:tblpY="550"/>
        <w:tblOverlap w:val="never"/>
        <w:tblW w:w="9483"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6134"/>
      </w:tblGrid>
      <w:tr w14:paraId="1D2238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03961E4">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EB657D8">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）项</w:t>
            </w:r>
          </w:p>
        </w:tc>
        <w:tc>
          <w:tcPr>
            <w:tcW w:w="1742" w:type="dxa"/>
            <w:noWrap w:val="0"/>
            <w:vAlign w:val="center"/>
          </w:tcPr>
          <w:p w14:paraId="4CCE5FC4">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联合体具体要求</w:t>
            </w:r>
          </w:p>
        </w:tc>
        <w:tc>
          <w:tcPr>
            <w:tcW w:w="6134" w:type="dxa"/>
            <w:noWrap w:val="0"/>
            <w:vAlign w:val="center"/>
          </w:tcPr>
          <w:p w14:paraId="697A2D4B">
            <w:p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42A935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2FC88E80">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319144B">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第1.2（</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）项</w:t>
            </w:r>
          </w:p>
        </w:tc>
        <w:tc>
          <w:tcPr>
            <w:tcW w:w="1742" w:type="dxa"/>
            <w:noWrap w:val="0"/>
            <w:vAlign w:val="center"/>
          </w:tcPr>
          <w:p w14:paraId="0B6159FC">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其他术语解释</w:t>
            </w:r>
          </w:p>
        </w:tc>
        <w:tc>
          <w:tcPr>
            <w:tcW w:w="6134" w:type="dxa"/>
            <w:noWrap w:val="0"/>
            <w:vAlign w:val="center"/>
          </w:tcPr>
          <w:p w14:paraId="2BF8126D">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w:t>
            </w:r>
          </w:p>
        </w:tc>
      </w:tr>
      <w:tr w14:paraId="0E0D09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30" w:hRule="atLeast"/>
        </w:trPr>
        <w:tc>
          <w:tcPr>
            <w:tcW w:w="1607" w:type="dxa"/>
            <w:noWrap w:val="0"/>
            <w:vAlign w:val="center"/>
          </w:tcPr>
          <w:p w14:paraId="776E2AE8">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3728B4B1">
            <w:pPr>
              <w:adjustRightInd w:val="0"/>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4.4款</w:t>
            </w:r>
          </w:p>
        </w:tc>
        <w:tc>
          <w:tcPr>
            <w:tcW w:w="1742" w:type="dxa"/>
            <w:noWrap w:val="0"/>
            <w:vAlign w:val="center"/>
          </w:tcPr>
          <w:p w14:paraId="66FA1E5C">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履约验收中甲方提出异议或作出说明的期限</w:t>
            </w:r>
          </w:p>
        </w:tc>
        <w:tc>
          <w:tcPr>
            <w:tcW w:w="6134" w:type="dxa"/>
            <w:noWrap w:val="0"/>
            <w:vAlign w:val="center"/>
          </w:tcPr>
          <w:p w14:paraId="3F60A592">
            <w:pPr>
              <w:pStyle w:val="17"/>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b w:val="0"/>
                <w:spacing w:val="0"/>
                <w:kern w:val="2"/>
                <w:sz w:val="21"/>
                <w:szCs w:val="21"/>
                <w:highlight w:val="none"/>
                <w:lang w:val="en-US" w:eastAsia="zh-CN" w:bidi="ar-SA"/>
              </w:rPr>
              <w:t>7个工作日内</w:t>
            </w:r>
          </w:p>
        </w:tc>
      </w:tr>
      <w:tr w14:paraId="13A982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52DE8CA">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69714212">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4.6款</w:t>
            </w:r>
          </w:p>
        </w:tc>
        <w:tc>
          <w:tcPr>
            <w:tcW w:w="1742" w:type="dxa"/>
            <w:noWrap w:val="0"/>
            <w:vAlign w:val="center"/>
          </w:tcPr>
          <w:p w14:paraId="30B7C44E">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约定甲方承担的其他义务和责任</w:t>
            </w:r>
          </w:p>
        </w:tc>
        <w:tc>
          <w:tcPr>
            <w:tcW w:w="6134" w:type="dxa"/>
            <w:noWrap w:val="0"/>
            <w:vAlign w:val="center"/>
          </w:tcPr>
          <w:p w14:paraId="21CC4CED">
            <w:pPr>
              <w:numPr>
                <w:ilvl w:val="0"/>
                <w:numId w:val="0"/>
              </w:num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1.提供必要安装条件（如场地、电源、水源等）。</w:t>
            </w:r>
          </w:p>
          <w:p w14:paraId="309242BC">
            <w:pPr>
              <w:numPr>
                <w:ilvl w:val="0"/>
                <w:numId w:val="0"/>
              </w:num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2.按操作技术要求使用产品，并完成产品的日常管理。</w:t>
            </w:r>
          </w:p>
        </w:tc>
      </w:tr>
      <w:tr w14:paraId="26A11E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F035CA0">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第二节</w:t>
            </w:r>
          </w:p>
          <w:p w14:paraId="2F32FF6A">
            <w:pPr>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5.4款</w:t>
            </w:r>
          </w:p>
        </w:tc>
        <w:tc>
          <w:tcPr>
            <w:tcW w:w="1742" w:type="dxa"/>
            <w:noWrap w:val="0"/>
            <w:vAlign w:val="center"/>
          </w:tcPr>
          <w:p w14:paraId="00754F90">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约定乙方承担的其他义务和责任</w:t>
            </w:r>
          </w:p>
        </w:tc>
        <w:tc>
          <w:tcPr>
            <w:tcW w:w="6134" w:type="dxa"/>
            <w:noWrap w:val="0"/>
            <w:vAlign w:val="center"/>
          </w:tcPr>
          <w:p w14:paraId="7B7FE6C8">
            <w:pPr>
              <w:numPr>
                <w:ilvl w:val="0"/>
                <w:numId w:val="0"/>
              </w:num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乙方安装、调试、培训等人员应通过完整的技术培训，保证甲方完全掌握产品的性能及操作使用方法，能够独立、熟练的使用和管理产品，培训内容包括但不限于使用操作技术要领、一般的维修、日常维护及保养、简单故障排除等内容。 </w:t>
            </w:r>
          </w:p>
          <w:p w14:paraId="3193D7A6">
            <w:pPr>
              <w:numPr>
                <w:ilvl w:val="0"/>
                <w:numId w:val="0"/>
              </w:num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2.指导和配合甲方开展质量管理工作。</w:t>
            </w:r>
          </w:p>
        </w:tc>
      </w:tr>
      <w:tr w14:paraId="09EE5A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38B94D8">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第二节</w:t>
            </w:r>
          </w:p>
          <w:p w14:paraId="25F24A7F">
            <w:pPr>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第</w:t>
            </w:r>
            <w:r>
              <w:rPr>
                <w:rFonts w:hint="eastAsia" w:ascii="宋体" w:hAnsi="宋体" w:eastAsia="宋体" w:cs="宋体"/>
                <w:sz w:val="21"/>
                <w:szCs w:val="21"/>
                <w:highlight w:val="none"/>
                <w:lang w:val="en-US" w:eastAsia="zh-CN"/>
              </w:rPr>
              <w:t>6.1款</w:t>
            </w:r>
          </w:p>
        </w:tc>
        <w:tc>
          <w:tcPr>
            <w:tcW w:w="1742" w:type="dxa"/>
            <w:noWrap w:val="0"/>
            <w:vAlign w:val="center"/>
          </w:tcPr>
          <w:p w14:paraId="3E992A6C">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履行合同义务的顺序</w:t>
            </w:r>
          </w:p>
        </w:tc>
        <w:tc>
          <w:tcPr>
            <w:tcW w:w="6134" w:type="dxa"/>
            <w:noWrap w:val="0"/>
            <w:vAlign w:val="center"/>
          </w:tcPr>
          <w:p w14:paraId="4A7C3DC4">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1.签订合同后5个工作日内，乙方向甲方支付合同总价款5%（计：XXX元，大写：XXX）作为履约保证金。</w:t>
            </w:r>
          </w:p>
          <w:p w14:paraId="35604697">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2.合同签订后，乙方应在签订合同后</w:t>
            </w:r>
            <w:r>
              <w:rPr>
                <w:rFonts w:hint="eastAsia" w:ascii="宋体" w:hAnsi="宋体" w:eastAsia="宋体" w:cs="宋体"/>
                <w:b/>
                <w:bCs/>
                <w:kern w:val="2"/>
                <w:sz w:val="21"/>
                <w:szCs w:val="21"/>
                <w:highlight w:val="none"/>
                <w:u w:val="single"/>
                <w:lang w:val="en-US" w:eastAsia="zh-CN" w:bidi="ar-SA"/>
              </w:rPr>
              <w:t xml:space="preserve"> X天内</w:t>
            </w:r>
            <w:r>
              <w:rPr>
                <w:rFonts w:hint="eastAsia" w:ascii="宋体" w:hAnsi="宋体" w:eastAsia="宋体" w:cs="宋体"/>
                <w:kern w:val="2"/>
                <w:sz w:val="21"/>
                <w:szCs w:val="21"/>
                <w:highlight w:val="none"/>
                <w:lang w:val="en-US" w:eastAsia="zh-CN" w:bidi="ar-SA"/>
              </w:rPr>
              <w:t>完成产品到货、调试、培训、验收合格后交付甲方正常使用。</w:t>
            </w:r>
          </w:p>
          <w:p w14:paraId="73410923">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3.验收合格后，乙方开具合法有效发票，甲方收到发票</w:t>
            </w:r>
            <w:r>
              <w:rPr>
                <w:rFonts w:hint="eastAsia" w:cs="宋体"/>
                <w:kern w:val="2"/>
                <w:sz w:val="21"/>
                <w:szCs w:val="21"/>
                <w:highlight w:val="none"/>
                <w:u w:val="single"/>
                <w:lang w:val="en-US" w:eastAsia="zh-CN" w:bidi="ar-SA"/>
              </w:rPr>
              <w:t>15个工作日</w:t>
            </w:r>
            <w:r>
              <w:rPr>
                <w:rFonts w:hint="eastAsia" w:cs="宋体"/>
                <w:kern w:val="2"/>
                <w:sz w:val="21"/>
                <w:szCs w:val="21"/>
                <w:highlight w:val="none"/>
                <w:u w:val="none"/>
                <w:lang w:val="en-US" w:eastAsia="zh-CN" w:bidi="ar-SA"/>
              </w:rPr>
              <w:t>内以</w:t>
            </w:r>
            <w:r>
              <w:rPr>
                <w:rFonts w:hint="eastAsia" w:ascii="宋体" w:hAnsi="宋体" w:eastAsia="宋体" w:cs="宋体"/>
                <w:kern w:val="2"/>
                <w:sz w:val="21"/>
                <w:szCs w:val="21"/>
                <w:highlight w:val="none"/>
                <w:lang w:val="en-US" w:eastAsia="zh-CN" w:bidi="ar-SA"/>
              </w:rPr>
              <w:t>银行转账方式支付合同总价款的</w:t>
            </w:r>
            <w:r>
              <w:rPr>
                <w:rFonts w:hint="eastAsia" w:ascii="宋体" w:hAnsi="宋体" w:eastAsia="宋体" w:cs="宋体"/>
                <w:sz w:val="21"/>
                <w:szCs w:val="21"/>
                <w:highlight w:val="none"/>
                <w:u w:val="single"/>
                <w:lang w:val="en-US" w:eastAsia="zh-CN"/>
              </w:rPr>
              <w:t xml:space="preserve"> </w:t>
            </w:r>
            <w:r>
              <w:rPr>
                <w:rFonts w:hint="eastAsia" w:cs="宋体"/>
                <w:sz w:val="21"/>
                <w:szCs w:val="21"/>
                <w:highlight w:val="none"/>
                <w:u w:val="single"/>
                <w:lang w:val="en-US" w:eastAsia="zh-CN"/>
              </w:rPr>
              <w:t>100</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%（计：</w:t>
            </w:r>
            <w:r>
              <w:rPr>
                <w:rFonts w:hint="eastAsia" w:ascii="宋体" w:hAnsi="宋体" w:eastAsia="宋体" w:cs="宋体"/>
                <w:sz w:val="21"/>
                <w:szCs w:val="21"/>
                <w:highlight w:val="none"/>
                <w:u w:val="single"/>
                <w:lang w:val="en-US" w:eastAsia="zh-CN"/>
              </w:rPr>
              <w:t>XXX</w:t>
            </w:r>
            <w:r>
              <w:rPr>
                <w:rFonts w:hint="eastAsia" w:ascii="宋体" w:hAnsi="宋体" w:eastAsia="宋体" w:cs="宋体"/>
                <w:sz w:val="21"/>
                <w:szCs w:val="21"/>
                <w:highlight w:val="none"/>
                <w:u w:val="single"/>
              </w:rPr>
              <w:t>元，大写：</w:t>
            </w:r>
            <w:r>
              <w:rPr>
                <w:rFonts w:hint="eastAsia" w:ascii="宋体" w:hAnsi="宋体" w:eastAsia="宋体" w:cs="宋体"/>
                <w:sz w:val="21"/>
                <w:szCs w:val="21"/>
                <w:highlight w:val="none"/>
                <w:u w:val="single"/>
                <w:lang w:val="en-US" w:eastAsia="zh-CN"/>
              </w:rPr>
              <w:t xml:space="preserve">XXX </w:t>
            </w:r>
            <w:r>
              <w:rPr>
                <w:rFonts w:hint="eastAsia" w:ascii="宋体" w:hAnsi="宋体" w:eastAsia="宋体" w:cs="宋体"/>
                <w:sz w:val="21"/>
                <w:szCs w:val="21"/>
                <w:highlight w:val="none"/>
                <w:u w:val="single"/>
              </w:rPr>
              <w:t>）</w:t>
            </w:r>
            <w:r>
              <w:rPr>
                <w:rFonts w:hint="eastAsia" w:ascii="宋体" w:hAnsi="宋体" w:eastAsia="宋体" w:cs="宋体"/>
                <w:kern w:val="2"/>
                <w:sz w:val="21"/>
                <w:szCs w:val="21"/>
                <w:highlight w:val="none"/>
                <w:lang w:val="en-US" w:eastAsia="zh-CN" w:bidi="ar-SA"/>
              </w:rPr>
              <w:t>。</w:t>
            </w:r>
          </w:p>
          <w:p w14:paraId="6584ACDA">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4.履约期满，根据乙方履约情况甲方一次性无息退还给乙方合同总价款5%（计：XXX元，大写：XXX）的履约保证金。</w:t>
            </w:r>
          </w:p>
        </w:tc>
      </w:tr>
      <w:tr w14:paraId="722ED5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65997F6">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C234D09">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款</w:t>
            </w:r>
          </w:p>
        </w:tc>
        <w:tc>
          <w:tcPr>
            <w:tcW w:w="1742" w:type="dxa"/>
            <w:noWrap w:val="0"/>
            <w:vAlign w:val="center"/>
          </w:tcPr>
          <w:p w14:paraId="54C6D819">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包装</w:t>
            </w:r>
            <w:r>
              <w:rPr>
                <w:rFonts w:hint="eastAsia" w:ascii="宋体" w:hAnsi="宋体" w:eastAsia="宋体" w:cs="宋体"/>
                <w:sz w:val="21"/>
                <w:szCs w:val="21"/>
                <w:highlight w:val="none"/>
                <w:lang w:eastAsia="zh-CN"/>
              </w:rPr>
              <w:t>特殊要求</w:t>
            </w:r>
          </w:p>
        </w:tc>
        <w:tc>
          <w:tcPr>
            <w:tcW w:w="6134" w:type="dxa"/>
            <w:noWrap w:val="0"/>
            <w:vAlign w:val="center"/>
          </w:tcPr>
          <w:p w14:paraId="4AFA5296">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7485FC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630DDAC4">
            <w:pPr>
              <w:adjustRightInd w:val="0"/>
              <w:snapToGrid w:val="0"/>
              <w:jc w:val="center"/>
              <w:rPr>
                <w:rFonts w:hint="eastAsia" w:ascii="宋体" w:hAnsi="宋体" w:eastAsia="宋体" w:cs="宋体"/>
                <w:sz w:val="21"/>
                <w:szCs w:val="21"/>
                <w:highlight w:val="none"/>
              </w:rPr>
            </w:pPr>
          </w:p>
        </w:tc>
        <w:tc>
          <w:tcPr>
            <w:tcW w:w="1742" w:type="dxa"/>
            <w:noWrap w:val="0"/>
            <w:vAlign w:val="center"/>
          </w:tcPr>
          <w:p w14:paraId="6FB7265C">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指定现场</w:t>
            </w:r>
          </w:p>
        </w:tc>
        <w:tc>
          <w:tcPr>
            <w:tcW w:w="6134" w:type="dxa"/>
            <w:noWrap w:val="0"/>
            <w:vAlign w:val="center"/>
          </w:tcPr>
          <w:p w14:paraId="4F29FCFE">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甲方指定地点</w:t>
            </w:r>
          </w:p>
        </w:tc>
      </w:tr>
      <w:tr w14:paraId="57D4D8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1DFB85CE">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12CDCFDF">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款</w:t>
            </w:r>
          </w:p>
        </w:tc>
        <w:tc>
          <w:tcPr>
            <w:tcW w:w="1742" w:type="dxa"/>
            <w:noWrap w:val="0"/>
            <w:vAlign w:val="center"/>
          </w:tcPr>
          <w:p w14:paraId="26ABCABE">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运输特殊要求</w:t>
            </w:r>
          </w:p>
        </w:tc>
        <w:tc>
          <w:tcPr>
            <w:tcW w:w="6134" w:type="dxa"/>
            <w:noWrap w:val="0"/>
            <w:vAlign w:val="center"/>
          </w:tcPr>
          <w:p w14:paraId="4B0C11F0">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1B7D08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3C24E97E">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06F96E0E">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款</w:t>
            </w:r>
          </w:p>
        </w:tc>
        <w:tc>
          <w:tcPr>
            <w:tcW w:w="1742" w:type="dxa"/>
            <w:noWrap w:val="0"/>
            <w:vAlign w:val="center"/>
          </w:tcPr>
          <w:p w14:paraId="1DD90095">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保险要求</w:t>
            </w:r>
          </w:p>
        </w:tc>
        <w:tc>
          <w:tcPr>
            <w:tcW w:w="6134" w:type="dxa"/>
            <w:noWrap w:val="0"/>
            <w:vAlign w:val="center"/>
          </w:tcPr>
          <w:p w14:paraId="432312A7">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107B4D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694A606">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283AA250">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.2（1）项</w:t>
            </w:r>
          </w:p>
        </w:tc>
        <w:tc>
          <w:tcPr>
            <w:tcW w:w="1742" w:type="dxa"/>
            <w:noWrap w:val="0"/>
            <w:vAlign w:val="center"/>
          </w:tcPr>
          <w:p w14:paraId="3EEE6ECD">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质量保证期</w:t>
            </w:r>
          </w:p>
        </w:tc>
        <w:tc>
          <w:tcPr>
            <w:tcW w:w="6134" w:type="dxa"/>
            <w:noWrap w:val="0"/>
            <w:vAlign w:val="center"/>
          </w:tcPr>
          <w:p w14:paraId="790D7647">
            <w:pPr>
              <w:autoSpaceDE w:val="0"/>
              <w:autoSpaceDN w:val="0"/>
              <w:adjustRightInd w:val="0"/>
              <w:snapToGrid w:val="0"/>
              <w:jc w:val="lef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single"/>
                <w:lang w:val="en-US" w:eastAsia="zh-CN"/>
              </w:rPr>
              <w:t xml:space="preserve"> X </w:t>
            </w:r>
            <w:r>
              <w:rPr>
                <w:rFonts w:hint="eastAsia" w:ascii="宋体" w:hAnsi="宋体" w:eastAsia="宋体" w:cs="宋体"/>
                <w:sz w:val="21"/>
                <w:szCs w:val="21"/>
                <w:highlight w:val="none"/>
                <w:u w:val="none"/>
                <w:lang w:val="en-US" w:eastAsia="zh-CN"/>
              </w:rPr>
              <w:t>年（</w:t>
            </w:r>
            <w:r>
              <w:rPr>
                <w:rFonts w:hint="eastAsia" w:ascii="宋体" w:hAnsi="宋体" w:eastAsia="宋体" w:cs="宋体"/>
                <w:color w:val="auto"/>
                <w:sz w:val="21"/>
                <w:szCs w:val="21"/>
                <w:highlight w:val="none"/>
              </w:rPr>
              <w:t>产品验收合格交付甲方使用次日算起</w:t>
            </w:r>
            <w:r>
              <w:rPr>
                <w:rFonts w:hint="eastAsia" w:ascii="宋体" w:hAnsi="宋体" w:eastAsia="宋体" w:cs="宋体"/>
                <w:sz w:val="21"/>
                <w:szCs w:val="21"/>
                <w:highlight w:val="none"/>
                <w:u w:val="none"/>
                <w:lang w:val="en-US" w:eastAsia="zh-CN"/>
              </w:rPr>
              <w:t>）。</w:t>
            </w:r>
          </w:p>
        </w:tc>
      </w:tr>
      <w:tr w14:paraId="590191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6D3C32F">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258D464B">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.2（3）项</w:t>
            </w:r>
          </w:p>
        </w:tc>
        <w:tc>
          <w:tcPr>
            <w:tcW w:w="1742" w:type="dxa"/>
            <w:noWrap w:val="0"/>
            <w:vAlign w:val="center"/>
          </w:tcPr>
          <w:p w14:paraId="723BB175">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货物质量缺陷</w:t>
            </w:r>
          </w:p>
          <w:p w14:paraId="29F7028C">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响应时间</w:t>
            </w:r>
          </w:p>
        </w:tc>
        <w:tc>
          <w:tcPr>
            <w:tcW w:w="6134" w:type="dxa"/>
            <w:noWrap w:val="0"/>
            <w:vAlign w:val="center"/>
          </w:tcPr>
          <w:p w14:paraId="0F4637F3">
            <w:pPr>
              <w:adjustRightInd w:val="0"/>
              <w:snapToGrid w:val="0"/>
              <w:jc w:val="left"/>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甲方在使用乙方提供产品过程中发生的质量问题，乙方应提供及时有效的技术支持，保证电话每周7×24 小时 技术报修和咨询，接到甲方报修通知必须 立即 响应，</w:t>
            </w:r>
            <w:r>
              <w:rPr>
                <w:rFonts w:hint="eastAsia" w:ascii="宋体" w:hAnsi="宋体" w:eastAsia="宋体" w:cs="宋体"/>
                <w:kern w:val="2"/>
                <w:sz w:val="21"/>
                <w:szCs w:val="21"/>
                <w:highlight w:val="none"/>
                <w:u w:val="single"/>
                <w:lang w:val="en-US" w:eastAsia="zh-CN" w:bidi="ar-SA"/>
              </w:rPr>
              <w:t xml:space="preserve">    小时内 </w:t>
            </w:r>
            <w:r>
              <w:rPr>
                <w:rFonts w:hint="eastAsia" w:ascii="宋体" w:hAnsi="宋体" w:eastAsia="宋体" w:cs="宋体"/>
                <w:kern w:val="2"/>
                <w:sz w:val="21"/>
                <w:szCs w:val="21"/>
                <w:highlight w:val="none"/>
                <w:lang w:val="en-US" w:eastAsia="zh-CN" w:bidi="ar-SA"/>
              </w:rPr>
              <w:t>做出甲方认可处理方案，需维修工程师到场的，保证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小时内完成维修或者更换。超过保修期的产品，提供终身维护（包括配套软件免费升级）和技术咨询服务。 </w:t>
            </w:r>
          </w:p>
        </w:tc>
      </w:tr>
      <w:tr w14:paraId="11D6F9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D81F7E2">
            <w:pPr>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第二节</w:t>
            </w:r>
          </w:p>
          <w:p w14:paraId="6FF32D7E">
            <w:pPr>
              <w:pStyle w:val="371"/>
              <w:ind w:firstLine="0" w:firstLine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第11.1款</w:t>
            </w:r>
          </w:p>
        </w:tc>
        <w:tc>
          <w:tcPr>
            <w:tcW w:w="1742" w:type="dxa"/>
            <w:noWrap w:val="0"/>
            <w:vAlign w:val="center"/>
          </w:tcPr>
          <w:p w14:paraId="28E49079">
            <w:pPr>
              <w:adjustRightInd w:val="0"/>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其他应当保密的信息</w:t>
            </w:r>
          </w:p>
        </w:tc>
        <w:tc>
          <w:tcPr>
            <w:tcW w:w="6134" w:type="dxa"/>
            <w:noWrap w:val="0"/>
            <w:vAlign w:val="center"/>
          </w:tcPr>
          <w:p w14:paraId="5C07F4B3">
            <w:p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没有甲方事先书面同意，乙方不得将有关合同或任何合同条文、规格、计划、图纸、样品或资料提供给与履行本合同无关的任何其他人。即使向履行本合同有关的人员提供，也应注意保密并限于履行合同的必需范围。</w:t>
            </w:r>
          </w:p>
        </w:tc>
      </w:tr>
      <w:tr w14:paraId="093D7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13B88EF">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14CCF23">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.2款</w:t>
            </w:r>
          </w:p>
        </w:tc>
        <w:tc>
          <w:tcPr>
            <w:tcW w:w="1742" w:type="dxa"/>
            <w:noWrap w:val="0"/>
            <w:vAlign w:val="center"/>
          </w:tcPr>
          <w:p w14:paraId="09B3B2DC">
            <w:pPr>
              <w:adjustRightInd w:val="0"/>
              <w:snapToGrid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合同价款支付</w:t>
            </w:r>
            <w:r>
              <w:rPr>
                <w:rFonts w:hint="eastAsia" w:ascii="宋体" w:hAnsi="宋体" w:eastAsia="宋体" w:cs="宋体"/>
                <w:sz w:val="21"/>
                <w:szCs w:val="21"/>
                <w:highlight w:val="none"/>
                <w:lang w:eastAsia="zh-CN"/>
              </w:rPr>
              <w:t>时间</w:t>
            </w:r>
          </w:p>
        </w:tc>
        <w:tc>
          <w:tcPr>
            <w:tcW w:w="6134" w:type="dxa"/>
            <w:noWrap w:val="0"/>
            <w:vAlign w:val="center"/>
          </w:tcPr>
          <w:p w14:paraId="741FF6E8">
            <w:pPr>
              <w:adjustRightInd w:val="0"/>
              <w:snapToGrid w:val="0"/>
              <w:jc w:val="left"/>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验收合格，甲乙双方签署验收报告后，乙方开具合法有效发票，甲方收到发票</w:t>
            </w:r>
            <w:r>
              <w:rPr>
                <w:rFonts w:hint="eastAsia" w:ascii="宋体" w:hAnsi="宋体" w:eastAsia="宋体" w:cs="宋体"/>
                <w:b/>
                <w:bCs/>
                <w:kern w:val="2"/>
                <w:sz w:val="21"/>
                <w:szCs w:val="21"/>
                <w:highlight w:val="none"/>
                <w:u w:val="single"/>
                <w:lang w:val="en-US" w:eastAsia="zh-CN" w:bidi="ar-SA"/>
              </w:rPr>
              <w:t xml:space="preserve">    </w:t>
            </w:r>
            <w:r>
              <w:rPr>
                <w:rFonts w:hint="eastAsia" w:cs="宋体"/>
                <w:b/>
                <w:bCs/>
                <w:kern w:val="2"/>
                <w:sz w:val="21"/>
                <w:szCs w:val="21"/>
                <w:highlight w:val="none"/>
                <w:u w:val="single"/>
                <w:lang w:val="en-US" w:eastAsia="zh-CN" w:bidi="ar-SA"/>
              </w:rPr>
              <w:t xml:space="preserve">   </w:t>
            </w:r>
            <w:r>
              <w:rPr>
                <w:rFonts w:hint="eastAsia" w:cs="宋体"/>
                <w:b w:val="0"/>
                <w:bCs w:val="0"/>
                <w:kern w:val="2"/>
                <w:sz w:val="21"/>
                <w:szCs w:val="21"/>
                <w:highlight w:val="none"/>
                <w:u w:val="none"/>
                <w:lang w:val="en-US" w:eastAsia="zh-CN" w:bidi="ar-SA"/>
              </w:rPr>
              <w:t>以</w:t>
            </w:r>
            <w:r>
              <w:rPr>
                <w:rFonts w:hint="eastAsia" w:ascii="宋体" w:hAnsi="宋体" w:eastAsia="宋体" w:cs="宋体"/>
                <w:kern w:val="2"/>
                <w:sz w:val="21"/>
                <w:szCs w:val="21"/>
                <w:highlight w:val="none"/>
                <w:lang w:val="en-US" w:eastAsia="zh-CN" w:bidi="ar-SA"/>
              </w:rPr>
              <w:t>银行转账方式支付。</w:t>
            </w:r>
          </w:p>
        </w:tc>
      </w:tr>
      <w:tr w14:paraId="30076E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4405EC0">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01BD705A">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13.2</w:t>
            </w:r>
            <w:r>
              <w:rPr>
                <w:rFonts w:hint="eastAsia" w:ascii="宋体" w:hAnsi="宋体" w:eastAsia="宋体" w:cs="宋体"/>
                <w:sz w:val="21"/>
                <w:szCs w:val="21"/>
                <w:highlight w:val="none"/>
              </w:rPr>
              <w:t>款</w:t>
            </w:r>
          </w:p>
        </w:tc>
        <w:tc>
          <w:tcPr>
            <w:tcW w:w="1742" w:type="dxa"/>
            <w:noWrap w:val="0"/>
            <w:vAlign w:val="center"/>
          </w:tcPr>
          <w:p w14:paraId="4F9CF3F1">
            <w:pPr>
              <w:adjustRightInd w:val="0"/>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履约保证金不予退还的情形</w:t>
            </w:r>
          </w:p>
        </w:tc>
        <w:tc>
          <w:tcPr>
            <w:tcW w:w="6134" w:type="dxa"/>
            <w:noWrap w:val="0"/>
            <w:vAlign w:val="center"/>
          </w:tcPr>
          <w:p w14:paraId="59DA74E0">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1.乙方无正当理由，超过交货期10个工作日。</w:t>
            </w:r>
          </w:p>
          <w:p w14:paraId="6A024EBA">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2.乙方提供的产品不符合合同约定的质量标准、性能或存在产品质量缺陷，且未在交货期内予以解决。</w:t>
            </w:r>
          </w:p>
          <w:p w14:paraId="7F9605A4">
            <w:pPr>
              <w:adjustRightInd w:val="0"/>
              <w:snapToGrid w:val="0"/>
              <w:jc w:val="left"/>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3.乙方未按照合同约定履约导致甲方因此产生的费用或损失超过履约保证金的，扣除履约保证金后乙方按照实际发生的费用将不足部分支付给甲方。</w:t>
            </w:r>
          </w:p>
        </w:tc>
      </w:tr>
      <w:tr w14:paraId="17798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AA69FF9">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0CF9937A">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13.3</w:t>
            </w:r>
            <w:r>
              <w:rPr>
                <w:rFonts w:hint="eastAsia" w:ascii="宋体" w:hAnsi="宋体" w:eastAsia="宋体" w:cs="宋体"/>
                <w:sz w:val="21"/>
                <w:szCs w:val="21"/>
                <w:highlight w:val="none"/>
              </w:rPr>
              <w:t>款</w:t>
            </w:r>
          </w:p>
        </w:tc>
        <w:tc>
          <w:tcPr>
            <w:tcW w:w="1742" w:type="dxa"/>
            <w:noWrap w:val="0"/>
            <w:vAlign w:val="center"/>
          </w:tcPr>
          <w:p w14:paraId="6A37D914">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履约保证金退还时间及</w:t>
            </w:r>
            <w:r>
              <w:rPr>
                <w:rFonts w:hint="eastAsia" w:ascii="宋体" w:hAnsi="宋体" w:eastAsia="宋体" w:cs="宋体"/>
                <w:sz w:val="21"/>
                <w:szCs w:val="21"/>
                <w:highlight w:val="none"/>
                <w:lang w:eastAsia="zh-CN"/>
              </w:rPr>
              <w:t>逾期退还的</w:t>
            </w:r>
            <w:r>
              <w:rPr>
                <w:rFonts w:hint="eastAsia" w:ascii="宋体" w:hAnsi="宋体" w:eastAsia="宋体" w:cs="宋体"/>
                <w:sz w:val="21"/>
                <w:szCs w:val="21"/>
                <w:highlight w:val="none"/>
              </w:rPr>
              <w:t>违约金</w:t>
            </w:r>
          </w:p>
        </w:tc>
        <w:tc>
          <w:tcPr>
            <w:tcW w:w="6134" w:type="dxa"/>
            <w:noWrap w:val="0"/>
            <w:vAlign w:val="center"/>
          </w:tcPr>
          <w:p w14:paraId="2755ED66">
            <w:p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履约期满（</w:t>
            </w:r>
            <w:r>
              <w:rPr>
                <w:rFonts w:hint="eastAsia" w:ascii="宋体" w:hAnsi="宋体" w:eastAsia="宋体" w:cs="宋体"/>
                <w:kern w:val="2"/>
                <w:sz w:val="21"/>
                <w:szCs w:val="21"/>
                <w:highlight w:val="none"/>
                <w:u w:val="single"/>
                <w:lang w:val="en-US" w:eastAsia="zh-CN" w:bidi="ar-SA"/>
              </w:rPr>
              <w:t xml:space="preserve"> X </w:t>
            </w:r>
            <w:r>
              <w:rPr>
                <w:rFonts w:hint="eastAsia" w:ascii="宋体" w:hAnsi="宋体" w:eastAsia="宋体" w:cs="宋体"/>
                <w:kern w:val="2"/>
                <w:sz w:val="21"/>
                <w:szCs w:val="21"/>
                <w:highlight w:val="none"/>
                <w:lang w:val="en-US" w:eastAsia="zh-CN" w:bidi="ar-SA"/>
              </w:rPr>
              <w:t>年），根据乙方履约情况甲方一次性无息退还给乙方。</w:t>
            </w:r>
          </w:p>
        </w:tc>
      </w:tr>
      <w:tr w14:paraId="4DD7A0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473F809B">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758096F3">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）项</w:t>
            </w:r>
          </w:p>
        </w:tc>
        <w:tc>
          <w:tcPr>
            <w:tcW w:w="1742" w:type="dxa"/>
            <w:noWrap w:val="0"/>
            <w:vAlign w:val="center"/>
          </w:tcPr>
          <w:p w14:paraId="19B8ABCD">
            <w:pPr>
              <w:adjustRightInd w:val="0"/>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运行监督、维修期限</w:t>
            </w:r>
          </w:p>
        </w:tc>
        <w:tc>
          <w:tcPr>
            <w:tcW w:w="6134" w:type="dxa"/>
            <w:noWrap w:val="0"/>
            <w:vAlign w:val="center"/>
          </w:tcPr>
          <w:p w14:paraId="31F785D4">
            <w:pPr>
              <w:numPr>
                <w:ilvl w:val="0"/>
                <w:numId w:val="0"/>
              </w:num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乙方应对质保期内产品的质量及安全问题负责，生产企业工程师应按照产品说明书要求完成设备巡检维护保养（巡检每季度不得少于一次，维护保养每半年不得少于一次），免费更换备品备件，并提供相关巡检维修记录。</w:t>
            </w:r>
          </w:p>
          <w:p w14:paraId="56ABFD31">
            <w:pPr>
              <w:numPr>
                <w:ilvl w:val="0"/>
                <w:numId w:val="0"/>
              </w:num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2.乙方应保证产品因故障停用时间小于</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小时，若超过</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小时，重新计算质保期，如经乙方2次维修仍不能达到质量标准的，甲方有权要求乙方更换全新产品或退货并追究乙方责任。</w:t>
            </w:r>
          </w:p>
        </w:tc>
      </w:tr>
      <w:tr w14:paraId="374032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264916AC">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0100B291">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）项</w:t>
            </w:r>
          </w:p>
        </w:tc>
        <w:tc>
          <w:tcPr>
            <w:tcW w:w="1742" w:type="dxa"/>
            <w:noWrap w:val="0"/>
            <w:vAlign w:val="center"/>
          </w:tcPr>
          <w:p w14:paraId="2FD7AB11">
            <w:pPr>
              <w:adjustRightInd w:val="0"/>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货物回收的约定</w:t>
            </w:r>
          </w:p>
        </w:tc>
        <w:tc>
          <w:tcPr>
            <w:tcW w:w="6134" w:type="dxa"/>
            <w:noWrap w:val="0"/>
            <w:vAlign w:val="center"/>
          </w:tcPr>
          <w:p w14:paraId="38371109">
            <w:p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r w14:paraId="63CC00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19E85FE">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22EDD2D6">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）项</w:t>
            </w:r>
          </w:p>
        </w:tc>
        <w:tc>
          <w:tcPr>
            <w:tcW w:w="1742" w:type="dxa"/>
            <w:noWrap w:val="0"/>
            <w:vAlign w:val="center"/>
          </w:tcPr>
          <w:p w14:paraId="53BA49F7">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乙方提供的其他服务</w:t>
            </w:r>
          </w:p>
        </w:tc>
        <w:tc>
          <w:tcPr>
            <w:tcW w:w="6134" w:type="dxa"/>
            <w:noWrap w:val="0"/>
            <w:vAlign w:val="center"/>
          </w:tcPr>
          <w:p w14:paraId="358A6535">
            <w:p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超过保修期的产品，提供终身维护（包括配套软件免费升级）和技术咨询服务。</w:t>
            </w:r>
          </w:p>
        </w:tc>
      </w:tr>
      <w:tr w14:paraId="575BD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037623B">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14A17F9F">
            <w:pPr>
              <w:adjustRightInd w:val="0"/>
              <w:snapToGrid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1款</w:t>
            </w:r>
          </w:p>
        </w:tc>
        <w:tc>
          <w:tcPr>
            <w:tcW w:w="1742" w:type="dxa"/>
            <w:noWrap w:val="0"/>
            <w:vAlign w:val="center"/>
          </w:tcPr>
          <w:p w14:paraId="01DE6E61">
            <w:pPr>
              <w:adjustRightInd w:val="0"/>
              <w:snapToGrid w:val="0"/>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修理、重作、更换相关具体规定</w:t>
            </w:r>
          </w:p>
        </w:tc>
        <w:tc>
          <w:tcPr>
            <w:tcW w:w="6134" w:type="dxa"/>
            <w:noWrap w:val="0"/>
            <w:vAlign w:val="center"/>
          </w:tcPr>
          <w:p w14:paraId="6906CECA">
            <w:pPr>
              <w:adjustRightInd w:val="0"/>
              <w:snapToGrid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乙方必须依照响应文件及本合同标的内容提供所有产品，不得擅自变更。如发生不可抗因素确需变更的，需提供变更申请和合法证明文件，在价格不改变的情况下提供与本合同标的技术质量相同或更高档次的产品供甲方选择，甲方书面确认且双方签订补充合同后方可变更，并报备同级财政主管部门。</w:t>
            </w:r>
          </w:p>
        </w:tc>
      </w:tr>
      <w:tr w14:paraId="7C4ACC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0D1BE84">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51F6C579">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.2（2）项</w:t>
            </w:r>
          </w:p>
        </w:tc>
        <w:tc>
          <w:tcPr>
            <w:tcW w:w="1742" w:type="dxa"/>
            <w:noWrap w:val="0"/>
            <w:vAlign w:val="center"/>
          </w:tcPr>
          <w:p w14:paraId="474CCE6C">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迟延交货赔偿费</w:t>
            </w:r>
          </w:p>
        </w:tc>
        <w:tc>
          <w:tcPr>
            <w:tcW w:w="6134" w:type="dxa"/>
            <w:noWrap w:val="0"/>
            <w:vAlign w:val="center"/>
          </w:tcPr>
          <w:p w14:paraId="651FFF6F">
            <w:pPr>
              <w:adjustRightInd w:val="0"/>
              <w:snapToGrid w:val="0"/>
              <w:jc w:val="left"/>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none"/>
              </w:rPr>
              <w:t>每逾期一日，乙方应按照逾期交货时间每日千分之五的标准累计向甲方支付违约金。超过10个工作日的，甲方有权解除合同，取消乙方</w:t>
            </w:r>
            <w:r>
              <w:rPr>
                <w:rFonts w:hint="eastAsia" w:ascii="宋体" w:hAnsi="宋体" w:eastAsia="宋体" w:cs="宋体"/>
                <w:sz w:val="21"/>
                <w:szCs w:val="21"/>
                <w:highlight w:val="none"/>
                <w:u w:val="none"/>
                <w:lang w:eastAsia="zh-CN"/>
              </w:rPr>
              <w:t>成交</w:t>
            </w:r>
            <w:r>
              <w:rPr>
                <w:rFonts w:hint="eastAsia" w:ascii="宋体" w:hAnsi="宋体" w:eastAsia="宋体" w:cs="宋体"/>
                <w:sz w:val="21"/>
                <w:szCs w:val="21"/>
                <w:highlight w:val="none"/>
                <w:u w:val="none"/>
              </w:rPr>
              <w:t>资格，发布取消乙方</w:t>
            </w:r>
            <w:r>
              <w:rPr>
                <w:rFonts w:hint="eastAsia" w:ascii="宋体" w:hAnsi="宋体" w:eastAsia="宋体" w:cs="宋体"/>
                <w:sz w:val="21"/>
                <w:szCs w:val="21"/>
                <w:highlight w:val="none"/>
                <w:u w:val="none"/>
                <w:lang w:eastAsia="zh-CN"/>
              </w:rPr>
              <w:t>成交</w:t>
            </w:r>
            <w:r>
              <w:rPr>
                <w:rFonts w:hint="eastAsia" w:ascii="宋体" w:hAnsi="宋体" w:eastAsia="宋体" w:cs="宋体"/>
                <w:sz w:val="21"/>
                <w:szCs w:val="21"/>
                <w:highlight w:val="none"/>
                <w:u w:val="none"/>
              </w:rPr>
              <w:t>资格公告及原因，报备相关管理部门。如给甲方造成损失的，乙方还应赔偿甲方损失</w:t>
            </w:r>
            <w:r>
              <w:rPr>
                <w:rFonts w:hint="eastAsia" w:ascii="宋体" w:hAnsi="宋体" w:eastAsia="宋体" w:cs="宋体"/>
                <w:sz w:val="21"/>
                <w:szCs w:val="21"/>
                <w:highlight w:val="none"/>
                <w:u w:val="none"/>
                <w:lang w:eastAsia="zh-CN"/>
              </w:rPr>
              <w:t>。</w:t>
            </w:r>
          </w:p>
        </w:tc>
      </w:tr>
      <w:tr w14:paraId="30DD30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6" w:hRule="atLeast"/>
        </w:trPr>
        <w:tc>
          <w:tcPr>
            <w:tcW w:w="1607" w:type="dxa"/>
            <w:noWrap w:val="0"/>
            <w:vAlign w:val="center"/>
          </w:tcPr>
          <w:p w14:paraId="771F8206">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391E3C42">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3款</w:t>
            </w:r>
          </w:p>
        </w:tc>
        <w:tc>
          <w:tcPr>
            <w:tcW w:w="1742" w:type="dxa"/>
            <w:noWrap w:val="0"/>
            <w:vAlign w:val="center"/>
          </w:tcPr>
          <w:p w14:paraId="0BB3AF47">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逾期付款利息</w:t>
            </w:r>
          </w:p>
        </w:tc>
        <w:tc>
          <w:tcPr>
            <w:tcW w:w="6134" w:type="dxa"/>
            <w:noWrap w:val="0"/>
            <w:vAlign w:val="center"/>
          </w:tcPr>
          <w:p w14:paraId="0520BFFF">
            <w:pPr>
              <w:adjustRightInd w:val="0"/>
              <w:snapToGrid w:val="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除发生不可抗力事件外，乙方在承诺的交货期内必须完成产品到货、安装、调试、培训和交付工作。甲方无正当理由逾期支付合同款的，按照逾期付款时间每日千分之五的标准累计向乙方支付违约金，经乙方书面通知后在10个工作日内仍未启动支付程序的，乙方可以要求甲方在乙方要求的时间内支付应该支付货款或者解除合同。</w:t>
            </w:r>
          </w:p>
        </w:tc>
      </w:tr>
      <w:tr w14:paraId="215E36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033C53A9">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6EF227FE">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.4</w:t>
            </w:r>
            <w:r>
              <w:rPr>
                <w:rFonts w:hint="eastAsia" w:ascii="宋体" w:hAnsi="宋体" w:eastAsia="宋体" w:cs="宋体"/>
                <w:sz w:val="21"/>
                <w:szCs w:val="21"/>
                <w:highlight w:val="none"/>
                <w:lang w:val="en-US" w:eastAsia="zh-CN"/>
              </w:rPr>
              <w:t>款</w:t>
            </w:r>
          </w:p>
        </w:tc>
        <w:tc>
          <w:tcPr>
            <w:tcW w:w="1742" w:type="dxa"/>
            <w:tcBorders>
              <w:left w:val="single" w:color="auto" w:sz="2" w:space="0"/>
              <w:bottom w:val="single" w:color="auto" w:sz="2" w:space="0"/>
              <w:right w:val="single" w:color="auto" w:sz="2" w:space="0"/>
            </w:tcBorders>
            <w:noWrap w:val="0"/>
            <w:vAlign w:val="center"/>
          </w:tcPr>
          <w:p w14:paraId="5B8289D0">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其他违约责任</w:t>
            </w:r>
          </w:p>
        </w:tc>
        <w:tc>
          <w:tcPr>
            <w:tcW w:w="6134" w:type="dxa"/>
            <w:tcBorders>
              <w:left w:val="single" w:color="auto" w:sz="2" w:space="0"/>
              <w:bottom w:val="single" w:color="auto" w:sz="2" w:space="0"/>
            </w:tcBorders>
            <w:noWrap w:val="0"/>
            <w:vAlign w:val="center"/>
          </w:tcPr>
          <w:p w14:paraId="2D161A4A">
            <w:pPr>
              <w:numPr>
                <w:ilvl w:val="0"/>
                <w:numId w:val="0"/>
              </w:numPr>
              <w:adjustRightInd w:val="0"/>
              <w:snapToGrid w:val="0"/>
              <w:jc w:val="lef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乙方负责将产品运送至甲方指定地点，交付甲方前发生的风险均由乙方负责，由于采用不充分、不妥善的防护措施造成的损坏、丢失及运输过程中发生的一切责任和费用由乙方承担。</w:t>
            </w:r>
          </w:p>
        </w:tc>
      </w:tr>
      <w:tr w14:paraId="4D7F8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5AC81A80">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743C541">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w:t>
            </w: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款</w:t>
            </w:r>
          </w:p>
        </w:tc>
        <w:tc>
          <w:tcPr>
            <w:tcW w:w="1742" w:type="dxa"/>
            <w:tcBorders>
              <w:top w:val="single" w:color="auto" w:sz="2" w:space="0"/>
              <w:left w:val="single" w:color="auto" w:sz="2" w:space="0"/>
              <w:right w:val="single" w:color="auto" w:sz="2" w:space="0"/>
            </w:tcBorders>
            <w:noWrap w:val="0"/>
            <w:vAlign w:val="center"/>
          </w:tcPr>
          <w:p w14:paraId="772ADE2B">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解决争议的方法</w:t>
            </w:r>
          </w:p>
        </w:tc>
        <w:tc>
          <w:tcPr>
            <w:tcW w:w="6134" w:type="dxa"/>
            <w:tcBorders>
              <w:top w:val="single" w:color="auto" w:sz="2" w:space="0"/>
              <w:left w:val="single" w:color="auto" w:sz="2" w:space="0"/>
            </w:tcBorders>
            <w:noWrap w:val="0"/>
            <w:vAlign w:val="center"/>
          </w:tcPr>
          <w:p w14:paraId="0CBEC18E">
            <w:pPr>
              <w:autoSpaceDE w:val="0"/>
              <w:autoSpaceDN w:val="0"/>
              <w:adjustRightInd w:val="0"/>
              <w:snapToGrid w:val="0"/>
              <w:spacing w:line="400" w:lineRule="exact"/>
              <w:jc w:val="left"/>
              <w:rPr>
                <w:rFonts w:hint="eastAsia" w:ascii="宋体" w:hAnsi="宋体" w:eastAsia="宋体" w:cs="宋体"/>
                <w:sz w:val="21"/>
                <w:szCs w:val="21"/>
                <w:highlight w:val="none"/>
                <w:u w:val="single"/>
              </w:rPr>
            </w:pPr>
            <w:r>
              <w:rPr>
                <w:rFonts w:hint="eastAsia" w:ascii="宋体" w:hAnsi="宋体" w:eastAsia="宋体" w:cs="宋体"/>
                <w:b w:val="0"/>
                <w:bCs w:val="0"/>
                <w:iCs/>
                <w:sz w:val="21"/>
                <w:szCs w:val="21"/>
                <w:highlight w:val="none"/>
              </w:rPr>
              <w:t>因本合同及合同有关事项发生的争议</w:t>
            </w:r>
            <w:r>
              <w:rPr>
                <w:rFonts w:hint="eastAsia" w:ascii="宋体" w:hAnsi="宋体" w:eastAsia="宋体" w:cs="宋体"/>
                <w:b w:val="0"/>
                <w:bCs w:val="0"/>
                <w:iCs/>
                <w:sz w:val="21"/>
                <w:szCs w:val="21"/>
                <w:highlight w:val="none"/>
                <w:lang w:eastAsia="zh-CN"/>
              </w:rPr>
              <w:t>，向</w:t>
            </w:r>
            <w:r>
              <w:rPr>
                <w:rFonts w:hint="eastAsia" w:ascii="宋体" w:hAnsi="宋体" w:eastAsia="宋体" w:cs="宋体"/>
                <w:b w:val="0"/>
                <w:bCs w:val="0"/>
                <w:iCs/>
                <w:sz w:val="21"/>
                <w:szCs w:val="21"/>
                <w:highlight w:val="none"/>
                <w:u w:val="single"/>
                <w:lang w:eastAsia="zh-CN"/>
              </w:rPr>
              <w:t>甲方</w:t>
            </w:r>
            <w:r>
              <w:rPr>
                <w:rFonts w:hint="eastAsia" w:ascii="宋体" w:hAnsi="宋体" w:eastAsia="宋体" w:cs="宋体"/>
                <w:b w:val="0"/>
                <w:bCs w:val="0"/>
                <w:iCs/>
                <w:sz w:val="21"/>
                <w:szCs w:val="21"/>
                <w:highlight w:val="none"/>
                <w:lang w:eastAsia="zh-CN"/>
              </w:rPr>
              <w:t>所在地人民法院提请诉讼</w:t>
            </w:r>
            <w:r>
              <w:rPr>
                <w:rFonts w:hint="eastAsia" w:ascii="宋体" w:hAnsi="宋体" w:eastAsia="宋体" w:cs="宋体"/>
                <w:b w:val="0"/>
                <w:bCs w:val="0"/>
                <w:iCs/>
                <w:sz w:val="21"/>
                <w:szCs w:val="21"/>
                <w:highlight w:val="none"/>
              </w:rPr>
              <w:t>。</w:t>
            </w:r>
          </w:p>
        </w:tc>
      </w:tr>
      <w:tr w14:paraId="2A1200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3B870511">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第二节</w:t>
            </w:r>
          </w:p>
          <w:p w14:paraId="4FDBAD00">
            <w:pPr>
              <w:adjustRightInd w:val="0"/>
              <w:snapToGrid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第2</w:t>
            </w:r>
            <w:r>
              <w:rPr>
                <w:rFonts w:hint="eastAsia" w:ascii="宋体" w:hAnsi="宋体" w:eastAsia="宋体" w:cs="宋体"/>
                <w:sz w:val="21"/>
                <w:szCs w:val="21"/>
                <w:highlight w:val="none"/>
                <w:lang w:val="en-US" w:eastAsia="zh-CN"/>
              </w:rPr>
              <w:t>3.1</w:t>
            </w:r>
            <w:r>
              <w:rPr>
                <w:rFonts w:hint="eastAsia" w:ascii="宋体" w:hAnsi="宋体" w:eastAsia="宋体" w:cs="宋体"/>
                <w:sz w:val="21"/>
                <w:szCs w:val="21"/>
                <w:highlight w:val="none"/>
                <w:lang w:eastAsia="zh-CN"/>
              </w:rPr>
              <w:t>款</w:t>
            </w:r>
          </w:p>
        </w:tc>
        <w:tc>
          <w:tcPr>
            <w:tcW w:w="1742" w:type="dxa"/>
            <w:noWrap w:val="0"/>
            <w:vAlign w:val="center"/>
          </w:tcPr>
          <w:p w14:paraId="4873A537">
            <w:pPr>
              <w:adjustRightInd w:val="0"/>
              <w:snapToGrid w:val="0"/>
              <w:jc w:val="center"/>
              <w:rPr>
                <w:rFonts w:hint="eastAsia" w:ascii="宋体" w:hAnsi="宋体" w:eastAsia="宋体" w:cs="宋体"/>
                <w:sz w:val="21"/>
                <w:szCs w:val="21"/>
                <w:highlight w:val="none"/>
              </w:rPr>
            </w:pPr>
            <w:r>
              <w:rPr>
                <w:rFonts w:hint="eastAsia" w:ascii="宋体" w:hAnsi="宋体" w:eastAsia="宋体" w:cs="宋体"/>
                <w:bCs/>
                <w:color w:val="auto"/>
                <w:sz w:val="21"/>
                <w:szCs w:val="21"/>
                <w:highlight w:val="none"/>
                <w:lang w:eastAsia="zh-CN"/>
              </w:rPr>
              <w:t>其他专用条款</w:t>
            </w:r>
          </w:p>
        </w:tc>
        <w:tc>
          <w:tcPr>
            <w:tcW w:w="6134" w:type="dxa"/>
            <w:noWrap w:val="0"/>
            <w:vAlign w:val="center"/>
          </w:tcPr>
          <w:p w14:paraId="7AF1B843">
            <w:pPr>
              <w:numPr>
                <w:ilvl w:val="0"/>
                <w:numId w:val="0"/>
              </w:numPr>
              <w:adjustRightInd w:val="0"/>
              <w:snapToGrid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乙方提供的产品必须是全新、未使用过的</w:t>
            </w:r>
            <w:r>
              <w:rPr>
                <w:rFonts w:hint="eastAsia" w:ascii="宋体" w:hAnsi="宋体" w:eastAsia="宋体" w:cs="宋体"/>
                <w:sz w:val="21"/>
                <w:szCs w:val="21"/>
                <w:highlight w:val="none"/>
                <w:lang w:val="en-US" w:eastAsia="zh-CN"/>
              </w:rPr>
              <w:t>符合国家质量检测和出厂标准的原装</w:t>
            </w:r>
            <w:r>
              <w:rPr>
                <w:rFonts w:hint="eastAsia" w:ascii="宋体" w:hAnsi="宋体" w:eastAsia="宋体" w:cs="宋体"/>
                <w:sz w:val="21"/>
                <w:szCs w:val="21"/>
                <w:highlight w:val="none"/>
              </w:rPr>
              <w:t>产品（包括零部件），供应</w:t>
            </w:r>
            <w:r>
              <w:rPr>
                <w:rFonts w:hint="eastAsia" w:ascii="宋体" w:hAnsi="宋体" w:eastAsia="宋体" w:cs="宋体"/>
                <w:sz w:val="21"/>
                <w:szCs w:val="21"/>
                <w:highlight w:val="none"/>
                <w:lang w:val="en-US" w:eastAsia="zh-CN"/>
              </w:rPr>
              <w:t>产品</w:t>
            </w:r>
            <w:r>
              <w:rPr>
                <w:rFonts w:hint="eastAsia" w:ascii="宋体" w:hAnsi="宋体" w:eastAsia="宋体" w:cs="宋体"/>
                <w:sz w:val="21"/>
                <w:szCs w:val="21"/>
                <w:highlight w:val="none"/>
              </w:rPr>
              <w:t>生产日期距</w:t>
            </w:r>
            <w:r>
              <w:rPr>
                <w:rFonts w:hint="eastAsia" w:ascii="宋体" w:hAnsi="宋体" w:eastAsia="宋体" w:cs="宋体"/>
                <w:sz w:val="21"/>
                <w:szCs w:val="21"/>
                <w:highlight w:val="none"/>
                <w:lang w:eastAsia="zh-CN"/>
              </w:rPr>
              <w:t>成交</w:t>
            </w:r>
            <w:r>
              <w:rPr>
                <w:rFonts w:hint="eastAsia" w:ascii="宋体" w:hAnsi="宋体" w:eastAsia="宋体" w:cs="宋体"/>
                <w:sz w:val="21"/>
                <w:szCs w:val="21"/>
                <w:highlight w:val="none"/>
              </w:rPr>
              <w:t>通知书发出之日不超过</w:t>
            </w:r>
            <w:r>
              <w:rPr>
                <w:rFonts w:hint="eastAsia" w:ascii="宋体" w:hAnsi="宋体" w:eastAsia="宋体" w:cs="宋体"/>
                <w:sz w:val="21"/>
                <w:szCs w:val="21"/>
                <w:highlight w:val="none"/>
                <w:lang w:val="en-US" w:eastAsia="zh-CN"/>
              </w:rPr>
              <w:t>半年</w:t>
            </w:r>
            <w:r>
              <w:rPr>
                <w:rFonts w:hint="eastAsia" w:ascii="宋体" w:hAnsi="宋体" w:eastAsia="宋体" w:cs="宋体"/>
                <w:sz w:val="21"/>
                <w:szCs w:val="21"/>
                <w:highlight w:val="none"/>
              </w:rPr>
              <w:t>，不得将即将停产或淘汰的产品提供给甲方，且在正常使用和保养条件下，其使用寿命期内各项指标均达到质量要求，且在产品寿命保证期内，乙方对因设计、工艺、材料的缺陷所发生的故障负责。</w:t>
            </w:r>
          </w:p>
          <w:p w14:paraId="01665873">
            <w:pPr>
              <w:numPr>
                <w:ilvl w:val="0"/>
                <w:numId w:val="0"/>
              </w:num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2.乙方在产品发运手续办理完毕</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小时内或货到甲方</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小时前通知甲方，并在运输单（物流单）上清楚备注设备名称、生产企业/品牌、型号和数量，每一包装单元外包装标明产品名称，内附详细的装箱单和产品质量合格证。</w:t>
            </w:r>
          </w:p>
          <w:p w14:paraId="18915A1F">
            <w:pPr>
              <w:numPr>
                <w:ilvl w:val="0"/>
                <w:numId w:val="0"/>
              </w:num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交货前乙方应对产品作全面检查，并对验收文件进行整</w:t>
            </w:r>
            <w:r>
              <w:rPr>
                <w:rFonts w:hint="eastAsia" w:ascii="宋体" w:hAnsi="宋体" w:eastAsia="宋体" w:cs="宋体"/>
                <w:sz w:val="21"/>
                <w:szCs w:val="21"/>
                <w:highlight w:val="none"/>
                <w:lang w:val="en-US" w:eastAsia="zh-CN"/>
              </w:rPr>
              <w:t>理。交货时乙方随货向甲方交付装箱清单、用户手册（使用说明书）、合格证、原厂保修卡、工具、备件、质量检验报告等（属于进口产品的，供货时应同时随附中文使用说明书、报关单等）并列出验收清单，作为甲方收货验收和使用的依据，如有缺失应及时补齐（资料不齐视为逾期交货）。</w:t>
            </w:r>
          </w:p>
          <w:p w14:paraId="6D74E70F">
            <w:pPr>
              <w:numPr>
                <w:ilvl w:val="0"/>
                <w:numId w:val="0"/>
              </w:numPr>
              <w:adjustRightInd w:val="0"/>
              <w:snapToGrid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4.采购文件、响应文件、成交通知书、配置清单和补充合同（如有）、廉洁购销合同为本合同不可分割的部分，与本合同具有同等法律效力。</w:t>
            </w:r>
          </w:p>
        </w:tc>
      </w:tr>
    </w:tbl>
    <w:p w14:paraId="52FE5D09">
      <w:pPr>
        <w:rPr>
          <w:highlight w:val="none"/>
        </w:rPr>
      </w:pPr>
    </w:p>
    <w:p w14:paraId="1DB552B4">
      <w:pPr>
        <w:rPr>
          <w:rFonts w:hint="eastAsia" w:cs="宋体"/>
          <w:b/>
          <w:bCs/>
          <w:color w:val="auto"/>
          <w:sz w:val="36"/>
          <w:highlight w:val="none"/>
        </w:rPr>
      </w:pPr>
      <w:r>
        <w:rPr>
          <w:rFonts w:hint="eastAsia" w:ascii="宋体" w:hAnsi="宋体"/>
          <w:b/>
          <w:bCs/>
          <w:color w:val="000000"/>
          <w:sz w:val="24"/>
          <w:highlight w:val="none"/>
        </w:rPr>
        <w:br w:type="page"/>
      </w:r>
    </w:p>
    <w:p w14:paraId="6606AAFA">
      <w:pPr>
        <w:pStyle w:val="2"/>
        <w:bidi w:val="0"/>
        <w:rPr>
          <w:rFonts w:hint="eastAsia"/>
        </w:rPr>
      </w:pPr>
      <w:bookmarkStart w:id="121" w:name="_Toc16742"/>
      <w:r>
        <w:rPr>
          <w:rFonts w:hint="eastAsia"/>
        </w:rPr>
        <w:t>第四章  投标文件格式</w:t>
      </w:r>
      <w:bookmarkEnd w:id="110"/>
      <w:bookmarkEnd w:id="111"/>
      <w:bookmarkEnd w:id="121"/>
    </w:p>
    <w:p w14:paraId="1C5C6B50">
      <w:pPr>
        <w:widowControl/>
        <w:rPr>
          <w:rFonts w:hint="eastAsia" w:cs="宋体"/>
          <w:b/>
          <w:bCs/>
          <w:color w:val="auto"/>
          <w:sz w:val="44"/>
          <w:szCs w:val="44"/>
          <w:highlight w:val="none"/>
        </w:rPr>
      </w:pPr>
      <w:bookmarkStart w:id="122" w:name="_Toc496520982"/>
      <w:bookmarkStart w:id="123" w:name="_Toc213141093"/>
      <w:r>
        <w:rPr>
          <w:rFonts w:hint="eastAsia" w:cs="宋体"/>
          <w:b/>
          <w:bCs/>
          <w:color w:val="auto"/>
          <w:sz w:val="44"/>
          <w:szCs w:val="44"/>
          <w:highlight w:val="none"/>
        </w:rPr>
        <w:t>封面</w:t>
      </w:r>
    </w:p>
    <w:p w14:paraId="54F1050C">
      <w:pPr>
        <w:widowControl/>
        <w:jc w:val="center"/>
        <w:rPr>
          <w:rFonts w:hint="default" w:eastAsia="宋体" w:cs="宋体"/>
          <w:b/>
          <w:bCs/>
          <w:color w:val="auto"/>
          <w:sz w:val="44"/>
          <w:szCs w:val="44"/>
          <w:highlight w:val="none"/>
          <w:u w:val="none"/>
          <w:lang w:val="en-US" w:eastAsia="zh-CN"/>
        </w:rPr>
      </w:pPr>
      <w:r>
        <w:rPr>
          <w:rFonts w:hint="eastAsia" w:cs="宋体"/>
          <w:b/>
          <w:bCs/>
          <w:color w:val="auto"/>
          <w:sz w:val="52"/>
          <w:szCs w:val="52"/>
          <w:highlight w:val="none"/>
          <w:lang w:eastAsia="zh-CN"/>
        </w:rPr>
        <w:t>2025年普洱市乡镇早期火情处置能力提升建设项目</w:t>
      </w:r>
      <w:r>
        <w:rPr>
          <w:rFonts w:hint="eastAsia" w:cs="宋体"/>
          <w:b/>
          <w:bCs/>
          <w:color w:val="FF0000"/>
          <w:sz w:val="52"/>
          <w:szCs w:val="52"/>
          <w:highlight w:val="none"/>
          <w:u w:val="single"/>
          <w:lang w:val="en-US" w:eastAsia="zh-CN"/>
        </w:rPr>
        <w:t xml:space="preserve"> X </w:t>
      </w:r>
      <w:r>
        <w:rPr>
          <w:rFonts w:hint="eastAsia" w:cs="宋体"/>
          <w:b/>
          <w:bCs/>
          <w:color w:val="auto"/>
          <w:sz w:val="52"/>
          <w:szCs w:val="52"/>
          <w:highlight w:val="none"/>
          <w:u w:val="none"/>
          <w:lang w:val="en-US" w:eastAsia="zh-CN"/>
        </w:rPr>
        <w:t>包</w:t>
      </w:r>
    </w:p>
    <w:p w14:paraId="13E4A222">
      <w:pPr>
        <w:pStyle w:val="23"/>
        <w:spacing w:line="720" w:lineRule="exact"/>
        <w:jc w:val="center"/>
        <w:rPr>
          <w:rFonts w:hint="eastAsia" w:cs="宋体"/>
          <w:b/>
          <w:color w:val="auto"/>
          <w:sz w:val="48"/>
          <w:szCs w:val="48"/>
          <w:highlight w:val="none"/>
        </w:rPr>
      </w:pPr>
    </w:p>
    <w:p w14:paraId="15CC4155">
      <w:pPr>
        <w:pStyle w:val="23"/>
        <w:spacing w:line="500" w:lineRule="exact"/>
        <w:jc w:val="center"/>
        <w:rPr>
          <w:rFonts w:hint="eastAsia" w:cs="宋体"/>
          <w:b/>
          <w:color w:val="auto"/>
          <w:sz w:val="32"/>
          <w:szCs w:val="32"/>
          <w:highlight w:val="none"/>
        </w:rPr>
      </w:pPr>
    </w:p>
    <w:p w14:paraId="12E38810">
      <w:pPr>
        <w:pStyle w:val="23"/>
        <w:spacing w:line="500" w:lineRule="exact"/>
        <w:jc w:val="center"/>
        <w:rPr>
          <w:rFonts w:hint="eastAsia" w:cs="宋体"/>
          <w:b/>
          <w:color w:val="auto"/>
          <w:sz w:val="32"/>
          <w:szCs w:val="32"/>
          <w:highlight w:val="none"/>
        </w:rPr>
      </w:pPr>
    </w:p>
    <w:p w14:paraId="30B532AC">
      <w:pPr>
        <w:pStyle w:val="23"/>
        <w:spacing w:line="500" w:lineRule="exact"/>
        <w:jc w:val="center"/>
        <w:rPr>
          <w:rFonts w:hint="eastAsia" w:cs="宋体"/>
          <w:b/>
          <w:color w:val="auto"/>
          <w:sz w:val="32"/>
          <w:szCs w:val="32"/>
          <w:highlight w:val="none"/>
        </w:rPr>
      </w:pPr>
    </w:p>
    <w:p w14:paraId="3DF9DD87">
      <w:pPr>
        <w:pStyle w:val="23"/>
        <w:spacing w:line="500" w:lineRule="exact"/>
        <w:jc w:val="center"/>
        <w:rPr>
          <w:rFonts w:hint="eastAsia" w:cs="宋体"/>
          <w:b/>
          <w:color w:val="auto"/>
          <w:sz w:val="32"/>
          <w:szCs w:val="32"/>
          <w:highlight w:val="none"/>
        </w:rPr>
      </w:pPr>
    </w:p>
    <w:p w14:paraId="5B5C62F2">
      <w:pPr>
        <w:pStyle w:val="23"/>
        <w:spacing w:line="500" w:lineRule="exact"/>
        <w:jc w:val="center"/>
        <w:rPr>
          <w:rFonts w:hint="eastAsia" w:cs="宋体"/>
          <w:b/>
          <w:color w:val="auto"/>
          <w:sz w:val="32"/>
          <w:szCs w:val="32"/>
          <w:highlight w:val="none"/>
        </w:rPr>
      </w:pPr>
    </w:p>
    <w:p w14:paraId="6F224189">
      <w:pPr>
        <w:pStyle w:val="23"/>
        <w:spacing w:line="780" w:lineRule="exact"/>
        <w:jc w:val="center"/>
        <w:rPr>
          <w:rFonts w:hint="eastAsia" w:cs="宋体"/>
          <w:b/>
          <w:color w:val="auto"/>
          <w:sz w:val="72"/>
          <w:szCs w:val="72"/>
          <w:highlight w:val="none"/>
        </w:rPr>
      </w:pPr>
      <w:r>
        <w:rPr>
          <w:rFonts w:hint="eastAsia" w:cs="宋体"/>
          <w:b/>
          <w:color w:val="auto"/>
          <w:sz w:val="72"/>
          <w:szCs w:val="72"/>
          <w:highlight w:val="none"/>
        </w:rPr>
        <w:t>投 标 文 件</w:t>
      </w:r>
    </w:p>
    <w:p w14:paraId="6E043BD5">
      <w:pPr>
        <w:pStyle w:val="23"/>
        <w:spacing w:line="500" w:lineRule="exact"/>
        <w:jc w:val="center"/>
        <w:rPr>
          <w:rFonts w:hint="eastAsia" w:cs="宋体"/>
          <w:b/>
          <w:color w:val="auto"/>
          <w:sz w:val="28"/>
          <w:szCs w:val="28"/>
          <w:highlight w:val="none"/>
        </w:rPr>
      </w:pPr>
      <w:r>
        <w:rPr>
          <w:rFonts w:hint="eastAsia" w:cs="宋体"/>
          <w:b/>
          <w:color w:val="auto"/>
          <w:sz w:val="28"/>
          <w:szCs w:val="28"/>
          <w:highlight w:val="none"/>
        </w:rPr>
        <w:t>招标编号：</w:t>
      </w:r>
      <w:r>
        <w:rPr>
          <w:rFonts w:hint="eastAsia" w:cs="宋体"/>
          <w:b/>
          <w:color w:val="auto"/>
          <w:sz w:val="28"/>
          <w:szCs w:val="28"/>
          <w:highlight w:val="none"/>
          <w:lang w:eastAsia="zh-CN"/>
        </w:rPr>
        <w:t>C53JX1025001213</w:t>
      </w:r>
      <w:r>
        <w:rPr>
          <w:rFonts w:hint="eastAsia" w:cs="宋体"/>
          <w:b/>
          <w:color w:val="auto"/>
          <w:sz w:val="28"/>
          <w:szCs w:val="28"/>
          <w:highlight w:val="none"/>
          <w:lang w:val="en-US" w:eastAsia="zh-CN"/>
        </w:rPr>
        <w:t>-</w:t>
      </w:r>
      <w:r>
        <w:rPr>
          <w:rFonts w:hint="eastAsia" w:cs="宋体"/>
          <w:b/>
          <w:color w:val="FF0000"/>
          <w:sz w:val="28"/>
          <w:szCs w:val="28"/>
          <w:highlight w:val="none"/>
          <w:lang w:val="en-US" w:eastAsia="zh-CN"/>
        </w:rPr>
        <w:t>00X</w:t>
      </w:r>
    </w:p>
    <w:p w14:paraId="4E80C3E4">
      <w:pPr>
        <w:rPr>
          <w:rFonts w:hint="eastAsia" w:cs="宋体"/>
          <w:b/>
          <w:color w:val="auto"/>
          <w:sz w:val="28"/>
          <w:szCs w:val="28"/>
          <w:highlight w:val="none"/>
        </w:rPr>
      </w:pPr>
    </w:p>
    <w:p w14:paraId="6DFE3112">
      <w:pPr>
        <w:ind w:firstLine="2" w:firstLineChars="1"/>
        <w:rPr>
          <w:rFonts w:hint="eastAsia" w:cs="宋体"/>
          <w:b/>
          <w:color w:val="auto"/>
          <w:szCs w:val="21"/>
          <w:highlight w:val="none"/>
        </w:rPr>
      </w:pPr>
    </w:p>
    <w:p w14:paraId="53A02962">
      <w:pPr>
        <w:ind w:firstLine="2" w:firstLineChars="1"/>
        <w:rPr>
          <w:rFonts w:hint="eastAsia" w:cs="宋体"/>
          <w:b/>
          <w:color w:val="auto"/>
          <w:szCs w:val="21"/>
          <w:highlight w:val="none"/>
        </w:rPr>
      </w:pPr>
    </w:p>
    <w:p w14:paraId="640BD03E">
      <w:pPr>
        <w:ind w:firstLine="2" w:firstLineChars="1"/>
        <w:rPr>
          <w:rFonts w:hint="eastAsia" w:cs="宋体"/>
          <w:b/>
          <w:color w:val="auto"/>
          <w:szCs w:val="21"/>
          <w:highlight w:val="none"/>
        </w:rPr>
      </w:pPr>
    </w:p>
    <w:p w14:paraId="2646096F">
      <w:pPr>
        <w:ind w:firstLine="2" w:firstLineChars="1"/>
        <w:rPr>
          <w:rFonts w:hint="eastAsia" w:cs="宋体"/>
          <w:b/>
          <w:color w:val="auto"/>
          <w:sz w:val="20"/>
          <w:szCs w:val="20"/>
          <w:highlight w:val="none"/>
        </w:rPr>
      </w:pPr>
    </w:p>
    <w:p w14:paraId="00952FF2">
      <w:pPr>
        <w:ind w:firstLine="2160" w:firstLineChars="900"/>
        <w:rPr>
          <w:rFonts w:hint="eastAsia" w:cs="宋体"/>
          <w:b/>
          <w:color w:val="auto"/>
          <w:sz w:val="24"/>
          <w:highlight w:val="none"/>
        </w:rPr>
      </w:pPr>
      <w:r>
        <w:rPr>
          <w:rFonts w:hint="eastAsia" w:cs="宋体"/>
          <w:b/>
          <w:color w:val="auto"/>
          <w:sz w:val="24"/>
          <w:highlight w:val="none"/>
        </w:rPr>
        <w:t>投标人：（加盖电子公章）</w:t>
      </w:r>
    </w:p>
    <w:p w14:paraId="7E1C6277">
      <w:pPr>
        <w:ind w:firstLine="2" w:firstLineChars="1"/>
        <w:jc w:val="center"/>
        <w:rPr>
          <w:rFonts w:hint="eastAsia" w:cs="宋体"/>
          <w:b/>
          <w:color w:val="auto"/>
          <w:sz w:val="24"/>
          <w:highlight w:val="none"/>
        </w:rPr>
      </w:pPr>
    </w:p>
    <w:p w14:paraId="67B23F06">
      <w:pPr>
        <w:ind w:firstLine="2160" w:firstLineChars="900"/>
        <w:rPr>
          <w:rFonts w:hint="eastAsia" w:cs="宋体"/>
          <w:b/>
          <w:color w:val="auto"/>
          <w:sz w:val="24"/>
          <w:highlight w:val="none"/>
        </w:rPr>
      </w:pPr>
      <w:r>
        <w:rPr>
          <w:rFonts w:hint="eastAsia" w:cs="宋体"/>
          <w:b/>
          <w:color w:val="auto"/>
          <w:sz w:val="24"/>
          <w:highlight w:val="none"/>
        </w:rPr>
        <w:t>法定代表人/单位负责人（电子签名）：</w:t>
      </w:r>
    </w:p>
    <w:p w14:paraId="3CCE47A0">
      <w:pPr>
        <w:ind w:firstLine="2" w:firstLineChars="1"/>
        <w:jc w:val="center"/>
        <w:rPr>
          <w:rFonts w:hint="eastAsia" w:cs="宋体"/>
          <w:b/>
          <w:color w:val="auto"/>
          <w:sz w:val="24"/>
          <w:highlight w:val="none"/>
          <w:u w:val="single"/>
        </w:rPr>
      </w:pPr>
    </w:p>
    <w:p w14:paraId="24991C08">
      <w:pPr>
        <w:ind w:left="0" w:leftChars="0" w:firstLine="2100" w:firstLineChars="875"/>
        <w:rPr>
          <w:rFonts w:hint="eastAsia" w:cs="宋体"/>
          <w:b/>
          <w:color w:val="auto"/>
          <w:sz w:val="24"/>
          <w:highlight w:val="none"/>
        </w:rPr>
      </w:pPr>
      <w:r>
        <w:rPr>
          <w:rFonts w:hint="eastAsia" w:cs="宋体"/>
          <w:b/>
          <w:color w:val="auto"/>
          <w:sz w:val="24"/>
          <w:highlight w:val="none"/>
          <w:lang w:val="en-US" w:eastAsia="zh-CN"/>
        </w:rPr>
        <w:t xml:space="preserve">日期：   </w:t>
      </w:r>
      <w:r>
        <w:rPr>
          <w:rFonts w:hint="eastAsia" w:cs="宋体"/>
          <w:b/>
          <w:color w:val="auto"/>
          <w:sz w:val="24"/>
          <w:highlight w:val="none"/>
        </w:rPr>
        <w:t>年   月   日</w:t>
      </w:r>
    </w:p>
    <w:p w14:paraId="7BF57ED0">
      <w:pPr>
        <w:rPr>
          <w:rFonts w:hint="eastAsia" w:cs="宋体"/>
          <w:color w:val="auto"/>
          <w:highlight w:val="none"/>
        </w:rPr>
      </w:pPr>
      <w:r>
        <w:rPr>
          <w:rFonts w:hint="eastAsia" w:cs="宋体"/>
          <w:color w:val="auto"/>
          <w:highlight w:val="none"/>
        </w:rPr>
        <w:br w:type="page"/>
      </w:r>
    </w:p>
    <w:p w14:paraId="2FA5292B">
      <w:pPr>
        <w:pStyle w:val="3"/>
        <w:bidi w:val="0"/>
        <w:rPr>
          <w:rFonts w:hint="eastAsia"/>
        </w:rPr>
      </w:pPr>
      <w:bookmarkStart w:id="124" w:name="_Toc12579"/>
      <w:bookmarkStart w:id="125" w:name="_Toc16252"/>
      <w:bookmarkStart w:id="126" w:name="_Toc28588"/>
      <w:r>
        <w:rPr>
          <w:rFonts w:hint="eastAsia"/>
        </w:rPr>
        <w:t>一、开标一览表</w:t>
      </w:r>
      <w:bookmarkEnd w:id="122"/>
      <w:bookmarkEnd w:id="123"/>
      <w:bookmarkEnd w:id="124"/>
      <w:bookmarkEnd w:id="125"/>
      <w:bookmarkEnd w:id="126"/>
    </w:p>
    <w:p w14:paraId="090CC03F">
      <w:pPr>
        <w:pStyle w:val="23"/>
        <w:rPr>
          <w:rFonts w:hint="eastAsia" w:cs="宋体"/>
          <w:b/>
          <w:color w:val="auto"/>
          <w:szCs w:val="21"/>
          <w:highlight w:val="none"/>
        </w:rPr>
      </w:pPr>
      <w:r>
        <w:rPr>
          <w:rFonts w:hint="eastAsia" w:cs="宋体"/>
          <w:b/>
          <w:color w:val="auto"/>
          <w:szCs w:val="21"/>
          <w:highlight w:val="none"/>
        </w:rPr>
        <w:t>项目名称：</w:t>
      </w:r>
    </w:p>
    <w:p w14:paraId="33A10BA6">
      <w:pPr>
        <w:pStyle w:val="23"/>
        <w:rPr>
          <w:rFonts w:hint="eastAsia" w:cs="宋体"/>
          <w:color w:val="auto"/>
          <w:szCs w:val="21"/>
          <w:highlight w:val="none"/>
          <w:u w:val="single"/>
        </w:rPr>
      </w:pPr>
      <w:r>
        <w:rPr>
          <w:rFonts w:hint="eastAsia" w:cs="宋体"/>
          <w:b/>
          <w:color w:val="auto"/>
          <w:szCs w:val="21"/>
          <w:highlight w:val="none"/>
        </w:rPr>
        <w:t>招标编号：</w:t>
      </w:r>
    </w:p>
    <w:tbl>
      <w:tblPr>
        <w:tblStyle w:val="44"/>
        <w:tblW w:w="511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00"/>
        <w:gridCol w:w="1349"/>
        <w:gridCol w:w="1259"/>
        <w:gridCol w:w="1377"/>
        <w:gridCol w:w="1261"/>
        <w:gridCol w:w="1384"/>
        <w:gridCol w:w="1266"/>
        <w:gridCol w:w="699"/>
      </w:tblGrid>
      <w:tr w14:paraId="56F5C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9" w:hRule="atLeast"/>
        </w:trPr>
        <w:tc>
          <w:tcPr>
            <w:tcW w:w="784" w:type="pct"/>
            <w:noWrap/>
            <w:vAlign w:val="center"/>
          </w:tcPr>
          <w:p w14:paraId="3EBDC101">
            <w:pPr>
              <w:pStyle w:val="23"/>
              <w:jc w:val="center"/>
              <w:rPr>
                <w:rFonts w:hint="eastAsia" w:cs="宋体"/>
                <w:b/>
                <w:color w:val="auto"/>
                <w:szCs w:val="21"/>
                <w:highlight w:val="none"/>
              </w:rPr>
            </w:pPr>
            <w:r>
              <w:rPr>
                <w:rFonts w:hint="eastAsia" w:cs="宋体"/>
                <w:b/>
                <w:color w:val="auto"/>
                <w:szCs w:val="21"/>
                <w:highlight w:val="none"/>
              </w:rPr>
              <w:t>投标人名称</w:t>
            </w:r>
          </w:p>
        </w:tc>
        <w:tc>
          <w:tcPr>
            <w:tcW w:w="661" w:type="pct"/>
            <w:noWrap/>
            <w:vAlign w:val="center"/>
          </w:tcPr>
          <w:p w14:paraId="629CAE54">
            <w:pPr>
              <w:pStyle w:val="23"/>
              <w:jc w:val="center"/>
              <w:rPr>
                <w:rFonts w:hint="eastAsia" w:cs="宋体"/>
                <w:b/>
                <w:color w:val="auto"/>
                <w:szCs w:val="21"/>
                <w:highlight w:val="none"/>
              </w:rPr>
            </w:pPr>
            <w:r>
              <w:rPr>
                <w:rFonts w:hint="eastAsia" w:cs="宋体"/>
                <w:b/>
                <w:color w:val="auto"/>
                <w:szCs w:val="21"/>
                <w:highlight w:val="none"/>
              </w:rPr>
              <w:t>投标总报价（元）</w:t>
            </w:r>
          </w:p>
        </w:tc>
        <w:tc>
          <w:tcPr>
            <w:tcW w:w="617" w:type="pct"/>
            <w:noWrap/>
            <w:vAlign w:val="center"/>
          </w:tcPr>
          <w:p w14:paraId="3A95DFFD">
            <w:pPr>
              <w:pStyle w:val="23"/>
              <w:jc w:val="center"/>
              <w:rPr>
                <w:rFonts w:hint="eastAsia" w:cs="宋体"/>
                <w:b/>
                <w:color w:val="auto"/>
                <w:szCs w:val="21"/>
                <w:highlight w:val="none"/>
              </w:rPr>
            </w:pPr>
            <w:r>
              <w:rPr>
                <w:rFonts w:hint="eastAsia" w:cs="宋体"/>
                <w:b/>
                <w:color w:val="auto"/>
                <w:szCs w:val="21"/>
                <w:highlight w:val="none"/>
              </w:rPr>
              <w:t>交货期</w:t>
            </w:r>
          </w:p>
        </w:tc>
        <w:tc>
          <w:tcPr>
            <w:tcW w:w="675" w:type="pct"/>
            <w:noWrap/>
            <w:vAlign w:val="center"/>
          </w:tcPr>
          <w:p w14:paraId="2740362B">
            <w:pPr>
              <w:pStyle w:val="23"/>
              <w:jc w:val="center"/>
              <w:rPr>
                <w:rFonts w:hint="eastAsia" w:cs="宋体"/>
                <w:b/>
                <w:color w:val="auto"/>
                <w:szCs w:val="21"/>
                <w:highlight w:val="none"/>
              </w:rPr>
            </w:pPr>
            <w:r>
              <w:rPr>
                <w:rFonts w:hint="eastAsia" w:cs="宋体"/>
                <w:b/>
                <w:color w:val="auto"/>
                <w:szCs w:val="21"/>
                <w:highlight w:val="none"/>
              </w:rPr>
              <w:t>交货地点</w:t>
            </w:r>
          </w:p>
        </w:tc>
        <w:tc>
          <w:tcPr>
            <w:tcW w:w="618" w:type="pct"/>
            <w:vAlign w:val="center"/>
          </w:tcPr>
          <w:p w14:paraId="361AA9A0">
            <w:pPr>
              <w:pStyle w:val="23"/>
              <w:jc w:val="center"/>
              <w:rPr>
                <w:rFonts w:hint="eastAsia" w:cs="宋体"/>
                <w:b/>
                <w:color w:val="auto"/>
                <w:szCs w:val="21"/>
                <w:highlight w:val="none"/>
                <w:lang w:val="en-US" w:eastAsia="zh-CN"/>
              </w:rPr>
            </w:pPr>
            <w:r>
              <w:rPr>
                <w:rFonts w:hint="eastAsia" w:cs="宋体"/>
                <w:b/>
                <w:color w:val="auto"/>
                <w:szCs w:val="21"/>
                <w:highlight w:val="none"/>
                <w:lang w:val="en-US" w:eastAsia="zh-CN"/>
              </w:rPr>
              <w:t>交货方式</w:t>
            </w:r>
          </w:p>
        </w:tc>
        <w:tc>
          <w:tcPr>
            <w:tcW w:w="678" w:type="pct"/>
            <w:vAlign w:val="center"/>
          </w:tcPr>
          <w:p w14:paraId="6A8D0E9C">
            <w:pPr>
              <w:pStyle w:val="23"/>
              <w:jc w:val="center"/>
              <w:rPr>
                <w:rFonts w:hint="default" w:eastAsia="宋体" w:cs="宋体"/>
                <w:b/>
                <w:color w:val="auto"/>
                <w:szCs w:val="21"/>
                <w:highlight w:val="none"/>
                <w:lang w:val="en-US" w:eastAsia="zh-CN"/>
              </w:rPr>
            </w:pPr>
            <w:r>
              <w:rPr>
                <w:rFonts w:hint="eastAsia" w:cs="宋体"/>
                <w:b/>
                <w:color w:val="auto"/>
                <w:szCs w:val="21"/>
                <w:highlight w:val="none"/>
                <w:lang w:val="en-US" w:eastAsia="zh-CN"/>
              </w:rPr>
              <w:t>质量承诺</w:t>
            </w:r>
          </w:p>
        </w:tc>
        <w:tc>
          <w:tcPr>
            <w:tcW w:w="620" w:type="pct"/>
            <w:noWrap/>
            <w:vAlign w:val="center"/>
          </w:tcPr>
          <w:p w14:paraId="20E76BFF">
            <w:pPr>
              <w:pStyle w:val="23"/>
              <w:jc w:val="center"/>
              <w:rPr>
                <w:rFonts w:hint="default" w:cs="宋体"/>
                <w:b/>
                <w:color w:val="auto"/>
                <w:szCs w:val="21"/>
                <w:highlight w:val="none"/>
                <w:lang w:val="en-US" w:eastAsia="zh-CN"/>
              </w:rPr>
            </w:pPr>
            <w:r>
              <w:rPr>
                <w:rFonts w:hint="eastAsia" w:cs="宋体"/>
                <w:b/>
                <w:color w:val="auto"/>
                <w:szCs w:val="21"/>
                <w:highlight w:val="none"/>
                <w:lang w:val="en-US" w:eastAsia="zh-CN"/>
              </w:rPr>
              <w:t>质保期</w:t>
            </w:r>
          </w:p>
        </w:tc>
        <w:tc>
          <w:tcPr>
            <w:tcW w:w="342" w:type="pct"/>
            <w:noWrap/>
            <w:vAlign w:val="center"/>
          </w:tcPr>
          <w:p w14:paraId="3D607225">
            <w:pPr>
              <w:pStyle w:val="23"/>
              <w:jc w:val="center"/>
              <w:rPr>
                <w:rFonts w:hint="eastAsia" w:cs="宋体"/>
                <w:b/>
                <w:color w:val="auto"/>
                <w:szCs w:val="21"/>
                <w:highlight w:val="none"/>
              </w:rPr>
            </w:pPr>
            <w:r>
              <w:rPr>
                <w:rFonts w:hint="eastAsia" w:cs="宋体"/>
                <w:b/>
                <w:color w:val="auto"/>
                <w:szCs w:val="21"/>
                <w:highlight w:val="none"/>
              </w:rPr>
              <w:t>备注</w:t>
            </w:r>
          </w:p>
        </w:tc>
      </w:tr>
      <w:tr w14:paraId="7AF16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56" w:hRule="atLeast"/>
        </w:trPr>
        <w:tc>
          <w:tcPr>
            <w:tcW w:w="784" w:type="pct"/>
            <w:noWrap/>
            <w:vAlign w:val="center"/>
          </w:tcPr>
          <w:p w14:paraId="43127EB3">
            <w:pPr>
              <w:pStyle w:val="23"/>
              <w:jc w:val="center"/>
              <w:rPr>
                <w:rFonts w:hint="eastAsia" w:cs="宋体"/>
                <w:color w:val="auto"/>
                <w:szCs w:val="21"/>
                <w:highlight w:val="none"/>
              </w:rPr>
            </w:pPr>
          </w:p>
        </w:tc>
        <w:tc>
          <w:tcPr>
            <w:tcW w:w="661" w:type="pct"/>
            <w:noWrap/>
            <w:vAlign w:val="center"/>
          </w:tcPr>
          <w:p w14:paraId="536B9744">
            <w:pPr>
              <w:pStyle w:val="23"/>
              <w:jc w:val="left"/>
              <w:rPr>
                <w:rFonts w:hint="eastAsia" w:cs="宋体"/>
                <w:b/>
                <w:bCs/>
                <w:color w:val="auto"/>
                <w:szCs w:val="21"/>
                <w:highlight w:val="none"/>
                <w:lang w:val="en-US" w:eastAsia="zh-CN"/>
              </w:rPr>
            </w:pPr>
            <w:r>
              <w:rPr>
                <w:rFonts w:hint="eastAsia" w:cs="宋体"/>
                <w:b/>
                <w:bCs/>
                <w:color w:val="auto"/>
                <w:szCs w:val="21"/>
                <w:highlight w:val="none"/>
                <w:lang w:val="en-US" w:eastAsia="zh-CN"/>
              </w:rPr>
              <w:t>小写：</w:t>
            </w:r>
          </w:p>
          <w:p w14:paraId="4137011D">
            <w:pPr>
              <w:jc w:val="left"/>
              <w:rPr>
                <w:rFonts w:hint="default"/>
                <w:lang w:val="en-US" w:eastAsia="zh-CN"/>
              </w:rPr>
            </w:pPr>
            <w:r>
              <w:rPr>
                <w:rFonts w:hint="eastAsia" w:cs="宋体"/>
                <w:b/>
                <w:bCs/>
                <w:color w:val="auto"/>
                <w:szCs w:val="21"/>
                <w:highlight w:val="none"/>
                <w:lang w:val="en-US" w:eastAsia="zh-CN"/>
              </w:rPr>
              <w:t>大写：</w:t>
            </w:r>
          </w:p>
        </w:tc>
        <w:tc>
          <w:tcPr>
            <w:tcW w:w="617" w:type="pct"/>
            <w:noWrap/>
            <w:vAlign w:val="center"/>
          </w:tcPr>
          <w:p w14:paraId="6204226C">
            <w:pPr>
              <w:pStyle w:val="23"/>
              <w:jc w:val="center"/>
              <w:rPr>
                <w:rFonts w:hint="eastAsia" w:cs="宋体"/>
                <w:color w:val="auto"/>
                <w:szCs w:val="21"/>
                <w:highlight w:val="none"/>
              </w:rPr>
            </w:pPr>
          </w:p>
        </w:tc>
        <w:tc>
          <w:tcPr>
            <w:tcW w:w="675" w:type="pct"/>
            <w:noWrap/>
            <w:vAlign w:val="center"/>
          </w:tcPr>
          <w:p w14:paraId="4DF9304E">
            <w:pPr>
              <w:pStyle w:val="23"/>
              <w:jc w:val="center"/>
              <w:rPr>
                <w:rFonts w:hint="eastAsia" w:cs="宋体"/>
                <w:color w:val="auto"/>
                <w:szCs w:val="21"/>
                <w:highlight w:val="none"/>
              </w:rPr>
            </w:pPr>
          </w:p>
        </w:tc>
        <w:tc>
          <w:tcPr>
            <w:tcW w:w="618" w:type="pct"/>
            <w:vAlign w:val="center"/>
          </w:tcPr>
          <w:p w14:paraId="00F6BB0E">
            <w:pPr>
              <w:pStyle w:val="23"/>
              <w:jc w:val="center"/>
              <w:rPr>
                <w:rFonts w:hint="eastAsia" w:cs="宋体"/>
                <w:color w:val="auto"/>
                <w:szCs w:val="21"/>
                <w:highlight w:val="none"/>
              </w:rPr>
            </w:pPr>
          </w:p>
        </w:tc>
        <w:tc>
          <w:tcPr>
            <w:tcW w:w="678" w:type="pct"/>
            <w:vAlign w:val="center"/>
          </w:tcPr>
          <w:p w14:paraId="18058A9B">
            <w:pPr>
              <w:pStyle w:val="23"/>
              <w:jc w:val="center"/>
              <w:rPr>
                <w:rFonts w:hint="eastAsia" w:cs="宋体"/>
                <w:color w:val="auto"/>
                <w:szCs w:val="21"/>
                <w:highlight w:val="none"/>
              </w:rPr>
            </w:pPr>
          </w:p>
        </w:tc>
        <w:tc>
          <w:tcPr>
            <w:tcW w:w="620" w:type="pct"/>
            <w:noWrap/>
            <w:vAlign w:val="center"/>
          </w:tcPr>
          <w:p w14:paraId="42D214C7">
            <w:pPr>
              <w:pStyle w:val="23"/>
              <w:jc w:val="center"/>
              <w:rPr>
                <w:rFonts w:hint="eastAsia" w:cs="宋体"/>
                <w:color w:val="auto"/>
                <w:szCs w:val="21"/>
                <w:highlight w:val="none"/>
              </w:rPr>
            </w:pPr>
          </w:p>
        </w:tc>
        <w:tc>
          <w:tcPr>
            <w:tcW w:w="342" w:type="pct"/>
            <w:noWrap/>
            <w:vAlign w:val="center"/>
          </w:tcPr>
          <w:p w14:paraId="54B84D7E">
            <w:pPr>
              <w:pStyle w:val="23"/>
              <w:jc w:val="center"/>
              <w:rPr>
                <w:rFonts w:hint="eastAsia" w:cs="宋体"/>
                <w:color w:val="auto"/>
                <w:szCs w:val="21"/>
                <w:highlight w:val="none"/>
              </w:rPr>
            </w:pPr>
          </w:p>
        </w:tc>
      </w:tr>
    </w:tbl>
    <w:p w14:paraId="3189ACA2">
      <w:pPr>
        <w:ind w:firstLine="2" w:firstLineChars="1"/>
        <w:rPr>
          <w:rFonts w:hint="eastAsia" w:cs="宋体"/>
          <w:color w:val="auto"/>
          <w:szCs w:val="21"/>
          <w:highlight w:val="none"/>
        </w:rPr>
      </w:pPr>
    </w:p>
    <w:tbl>
      <w:tblPr>
        <w:tblStyle w:val="44"/>
        <w:tblW w:w="5534" w:type="dxa"/>
        <w:tblInd w:w="0" w:type="dxa"/>
        <w:tblLayout w:type="fixed"/>
        <w:tblCellMar>
          <w:top w:w="0" w:type="dxa"/>
          <w:left w:w="108" w:type="dxa"/>
          <w:bottom w:w="0" w:type="dxa"/>
          <w:right w:w="108" w:type="dxa"/>
        </w:tblCellMar>
      </w:tblPr>
      <w:tblGrid>
        <w:gridCol w:w="5534"/>
      </w:tblGrid>
      <w:tr w14:paraId="69E57D1F">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06EE4DFE">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22B6BD5C">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53D806B3">
            <w:pPr>
              <w:pStyle w:val="54"/>
              <w:spacing w:line="240" w:lineRule="auto"/>
              <w:ind w:left="-921" w:leftChars="-439"/>
              <w:jc w:val="both"/>
              <w:rPr>
                <w:rFonts w:hint="eastAsia" w:cs="宋体"/>
                <w:color w:val="auto"/>
                <w:sz w:val="21"/>
                <w:szCs w:val="21"/>
                <w:highlight w:val="none"/>
              </w:rPr>
            </w:pPr>
          </w:p>
        </w:tc>
      </w:tr>
      <w:tr w14:paraId="0D85D8FC">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4798165B">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52D769A6">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AE7E34E">
            <w:pPr>
              <w:pStyle w:val="54"/>
              <w:spacing w:line="240" w:lineRule="auto"/>
              <w:jc w:val="both"/>
              <w:rPr>
                <w:rFonts w:hint="eastAsia" w:cs="宋体"/>
                <w:color w:val="auto"/>
                <w:sz w:val="21"/>
                <w:szCs w:val="21"/>
                <w:highlight w:val="none"/>
              </w:rPr>
            </w:pPr>
          </w:p>
        </w:tc>
      </w:tr>
      <w:tr w14:paraId="29FEAA8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3A5AFA67">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4AA8D68A">
      <w:pPr>
        <w:pStyle w:val="23"/>
        <w:rPr>
          <w:rFonts w:hint="eastAsia" w:cs="宋体"/>
          <w:b/>
          <w:color w:val="auto"/>
          <w:szCs w:val="21"/>
          <w:highlight w:val="none"/>
        </w:rPr>
      </w:pPr>
    </w:p>
    <w:p w14:paraId="3B0A1F56">
      <w:pPr>
        <w:pStyle w:val="23"/>
        <w:rPr>
          <w:rFonts w:hint="eastAsia" w:cs="宋体"/>
          <w:b/>
          <w:color w:val="auto"/>
          <w:szCs w:val="21"/>
          <w:highlight w:val="none"/>
        </w:rPr>
      </w:pPr>
      <w:r>
        <w:rPr>
          <w:rFonts w:hint="eastAsia" w:cs="宋体"/>
          <w:b/>
          <w:color w:val="auto"/>
          <w:szCs w:val="21"/>
          <w:highlight w:val="none"/>
        </w:rPr>
        <w:t>注：</w:t>
      </w:r>
      <w:bookmarkStart w:id="127" w:name="_Toc12960"/>
      <w:bookmarkStart w:id="128" w:name="_Toc496520983"/>
      <w:bookmarkStart w:id="129" w:name="_Toc27545"/>
      <w:r>
        <w:rPr>
          <w:rFonts w:hint="eastAsia" w:cs="宋体"/>
          <w:b/>
          <w:color w:val="auto"/>
          <w:szCs w:val="21"/>
          <w:highlight w:val="none"/>
        </w:rPr>
        <w:t>1.</w:t>
      </w:r>
      <w:r>
        <w:rPr>
          <w:rFonts w:hint="eastAsia" w:cs="宋体"/>
          <w:color w:val="auto"/>
          <w:szCs w:val="21"/>
          <w:highlight w:val="none"/>
        </w:rPr>
        <w:t>表中“</w:t>
      </w:r>
      <w:r>
        <w:rPr>
          <w:rFonts w:hint="eastAsia" w:cs="宋体"/>
          <w:b/>
          <w:color w:val="auto"/>
          <w:szCs w:val="21"/>
          <w:highlight w:val="none"/>
        </w:rPr>
        <w:t>投标总报价</w:t>
      </w:r>
      <w:r>
        <w:rPr>
          <w:rFonts w:hint="eastAsia" w:cs="宋体"/>
          <w:color w:val="auto"/>
          <w:szCs w:val="21"/>
          <w:highlight w:val="none"/>
        </w:rPr>
        <w:t>”应与“</w:t>
      </w:r>
      <w:r>
        <w:rPr>
          <w:rFonts w:hint="eastAsia" w:cs="宋体"/>
          <w:b/>
          <w:color w:val="auto"/>
          <w:szCs w:val="21"/>
          <w:highlight w:val="none"/>
        </w:rPr>
        <w:t>投标函</w:t>
      </w:r>
      <w:r>
        <w:rPr>
          <w:rFonts w:hint="eastAsia" w:cs="宋体"/>
          <w:color w:val="auto"/>
          <w:szCs w:val="21"/>
          <w:highlight w:val="none"/>
        </w:rPr>
        <w:t>”中“</w:t>
      </w:r>
      <w:r>
        <w:rPr>
          <w:rFonts w:hint="eastAsia" w:cs="宋体"/>
          <w:b/>
          <w:color w:val="auto"/>
          <w:szCs w:val="21"/>
          <w:highlight w:val="none"/>
        </w:rPr>
        <w:t>投标总报价</w:t>
      </w:r>
      <w:r>
        <w:rPr>
          <w:rFonts w:hint="eastAsia" w:cs="宋体"/>
          <w:color w:val="auto"/>
          <w:szCs w:val="21"/>
          <w:highlight w:val="none"/>
        </w:rPr>
        <w:t>”和“</w:t>
      </w:r>
      <w:r>
        <w:rPr>
          <w:rFonts w:hint="eastAsia" w:cs="宋体"/>
          <w:b/>
          <w:bCs/>
          <w:color w:val="auto"/>
          <w:szCs w:val="21"/>
          <w:highlight w:val="none"/>
        </w:rPr>
        <w:t>投标报价</w:t>
      </w:r>
      <w:r>
        <w:rPr>
          <w:rFonts w:hint="eastAsia" w:cs="宋体"/>
          <w:b/>
          <w:bCs/>
          <w:color w:val="auto"/>
          <w:szCs w:val="21"/>
          <w:highlight w:val="none"/>
          <w:lang w:val="en-US" w:eastAsia="zh-CN"/>
        </w:rPr>
        <w:t>明细</w:t>
      </w:r>
      <w:r>
        <w:rPr>
          <w:rFonts w:hint="eastAsia" w:cs="宋体"/>
          <w:b/>
          <w:bCs/>
          <w:color w:val="auto"/>
          <w:szCs w:val="21"/>
          <w:highlight w:val="none"/>
        </w:rPr>
        <w:t>表</w:t>
      </w:r>
      <w:r>
        <w:rPr>
          <w:rFonts w:hint="eastAsia" w:cs="宋体"/>
          <w:color w:val="auto"/>
          <w:szCs w:val="21"/>
          <w:highlight w:val="none"/>
        </w:rPr>
        <w:t>”中“</w:t>
      </w:r>
      <w:r>
        <w:rPr>
          <w:rFonts w:hint="eastAsia" w:cs="宋体"/>
          <w:b/>
          <w:color w:val="auto"/>
          <w:szCs w:val="21"/>
          <w:highlight w:val="none"/>
        </w:rPr>
        <w:t>投标总报价</w:t>
      </w:r>
      <w:r>
        <w:rPr>
          <w:rFonts w:hint="eastAsia" w:cs="宋体"/>
          <w:color w:val="auto"/>
          <w:szCs w:val="21"/>
          <w:highlight w:val="none"/>
        </w:rPr>
        <w:t>”一致。</w:t>
      </w:r>
    </w:p>
    <w:p w14:paraId="21FBCE91">
      <w:pPr>
        <w:keepNext w:val="0"/>
        <w:keepLines w:val="0"/>
        <w:pageBreakBefore w:val="0"/>
        <w:widowControl w:val="0"/>
        <w:kinsoku/>
        <w:wordWrap/>
        <w:overflowPunct/>
        <w:topLinePunct w:val="0"/>
        <w:autoSpaceDE/>
        <w:autoSpaceDN/>
        <w:bidi w:val="0"/>
        <w:adjustRightInd/>
        <w:snapToGrid/>
        <w:ind w:left="0" w:firstLine="420" w:firstLineChars="200"/>
        <w:textAlignment w:val="auto"/>
        <w:rPr>
          <w:rFonts w:hint="eastAsia" w:cs="宋体"/>
          <w:b/>
          <w:color w:val="auto"/>
          <w:szCs w:val="21"/>
          <w:highlight w:val="none"/>
        </w:rPr>
      </w:pPr>
      <w:r>
        <w:rPr>
          <w:rFonts w:cs="宋体"/>
          <w:b/>
          <w:color w:val="auto"/>
          <w:szCs w:val="21"/>
          <w:highlight w:val="none"/>
        </w:rPr>
        <w:t>2</w:t>
      </w:r>
      <w:r>
        <w:rPr>
          <w:rFonts w:hint="eastAsia" w:cs="宋体"/>
          <w:b/>
          <w:color w:val="auto"/>
          <w:szCs w:val="21"/>
          <w:highlight w:val="none"/>
        </w:rPr>
        <w:t>.本表应在</w:t>
      </w:r>
      <w:bookmarkStart w:id="130" w:name="_Hlk57073066"/>
      <w:r>
        <w:rPr>
          <w:rFonts w:hint="eastAsia" w:cs="宋体"/>
          <w:b/>
          <w:color w:val="auto"/>
          <w:szCs w:val="21"/>
          <w:highlight w:val="none"/>
        </w:rPr>
        <w:t>加盖电子公章及法定代表人电子签名或电子签章。</w:t>
      </w:r>
    </w:p>
    <w:p w14:paraId="301CD6E3">
      <w:pPr>
        <w:keepNext w:val="0"/>
        <w:keepLines w:val="0"/>
        <w:pageBreakBefore w:val="0"/>
        <w:widowControl w:val="0"/>
        <w:kinsoku/>
        <w:wordWrap/>
        <w:overflowPunct/>
        <w:topLinePunct w:val="0"/>
        <w:autoSpaceDE/>
        <w:autoSpaceDN/>
        <w:bidi w:val="0"/>
        <w:adjustRightInd/>
        <w:snapToGrid/>
        <w:ind w:left="0" w:firstLine="420" w:firstLineChars="200"/>
        <w:textAlignment w:val="auto"/>
        <w:rPr>
          <w:rFonts w:hint="default" w:ascii="宋体" w:hAnsi="宋体" w:eastAsia="宋体" w:cs="宋体"/>
          <w:b/>
          <w:color w:val="auto"/>
          <w:spacing w:val="0"/>
          <w:kern w:val="2"/>
          <w:sz w:val="21"/>
          <w:szCs w:val="21"/>
          <w:highlight w:val="none"/>
          <w:lang w:val="en-US" w:eastAsia="zh-CN" w:bidi="ar-SA"/>
        </w:rPr>
      </w:pPr>
      <w:r>
        <w:rPr>
          <w:rFonts w:hint="eastAsia" w:ascii="宋体" w:hAnsi="宋体" w:eastAsia="宋体" w:cs="宋体"/>
          <w:b/>
          <w:color w:val="auto"/>
          <w:spacing w:val="0"/>
          <w:kern w:val="2"/>
          <w:sz w:val="21"/>
          <w:szCs w:val="21"/>
          <w:highlight w:val="none"/>
          <w:lang w:val="en-US" w:eastAsia="zh-CN" w:bidi="ar-SA"/>
        </w:rPr>
        <w:t>3.开标时，投标文件中开标一览表内容与投标文件中报价明细表内容不一致的，以开标一览表为准。投标文件的大写金额和小写金额不一致的，以大写金额为准；总价金额与按单价汇总金额不一致的，以单价金额计算结果为准；单价金额小数点有明显错位的，应以总价为准，并修改单价。</w:t>
      </w:r>
    </w:p>
    <w:bookmarkEnd w:id="130"/>
    <w:p w14:paraId="7A12EE1D">
      <w:pPr>
        <w:widowControl/>
        <w:jc w:val="left"/>
        <w:rPr>
          <w:rFonts w:hint="eastAsia" w:cs="宋体"/>
          <w:b/>
          <w:color w:val="auto"/>
          <w:kern w:val="44"/>
          <w:sz w:val="28"/>
          <w:szCs w:val="20"/>
          <w:highlight w:val="none"/>
        </w:rPr>
      </w:pPr>
      <w:r>
        <w:rPr>
          <w:rFonts w:cs="宋体"/>
          <w:color w:val="auto"/>
          <w:highlight w:val="none"/>
        </w:rPr>
        <w:br w:type="page"/>
      </w:r>
    </w:p>
    <w:p w14:paraId="007DCAEB">
      <w:pPr>
        <w:pStyle w:val="3"/>
        <w:bidi w:val="0"/>
        <w:rPr>
          <w:rFonts w:hint="eastAsia"/>
        </w:rPr>
      </w:pPr>
      <w:bookmarkStart w:id="131" w:name="_Toc3487"/>
      <w:bookmarkStart w:id="132" w:name="_Toc496520986"/>
      <w:bookmarkStart w:id="133" w:name="_Toc1540"/>
      <w:bookmarkStart w:id="134" w:name="_Toc493600018"/>
      <w:bookmarkStart w:id="135" w:name="_Toc32150"/>
      <w:r>
        <w:rPr>
          <w:rFonts w:hint="eastAsia"/>
        </w:rPr>
        <w:t>二、资格证明文件</w:t>
      </w:r>
      <w:bookmarkEnd w:id="131"/>
    </w:p>
    <w:p w14:paraId="1E2B048E">
      <w:pPr>
        <w:pStyle w:val="23"/>
        <w:numPr>
          <w:ilvl w:val="0"/>
          <w:numId w:val="10"/>
        </w:numPr>
        <w:rPr>
          <w:rFonts w:hint="eastAsia" w:cs="宋体"/>
          <w:color w:val="auto"/>
          <w:szCs w:val="21"/>
          <w:highlight w:val="none"/>
        </w:rPr>
      </w:pPr>
      <w:r>
        <w:rPr>
          <w:rFonts w:hint="eastAsia" w:cs="宋体"/>
          <w:color w:val="auto"/>
          <w:szCs w:val="21"/>
          <w:highlight w:val="none"/>
        </w:rPr>
        <w:t>投标人应按所附格式要求填写并提交。</w:t>
      </w:r>
    </w:p>
    <w:p w14:paraId="63A05A54">
      <w:pPr>
        <w:pStyle w:val="23"/>
        <w:numPr>
          <w:ilvl w:val="0"/>
          <w:numId w:val="10"/>
        </w:numPr>
        <w:rPr>
          <w:rFonts w:hint="eastAsia" w:cs="宋体"/>
          <w:color w:val="auto"/>
          <w:szCs w:val="21"/>
          <w:highlight w:val="none"/>
        </w:rPr>
      </w:pPr>
      <w:r>
        <w:rPr>
          <w:rFonts w:hint="eastAsia" w:cs="宋体"/>
          <w:color w:val="auto"/>
          <w:szCs w:val="21"/>
          <w:highlight w:val="none"/>
        </w:rPr>
        <w:t>资格声明中的签字人应保证全部声明和填写的内容是真实的和正确的。</w:t>
      </w:r>
    </w:p>
    <w:p w14:paraId="7130891A">
      <w:pPr>
        <w:pStyle w:val="23"/>
        <w:numPr>
          <w:ilvl w:val="0"/>
          <w:numId w:val="10"/>
        </w:numPr>
        <w:rPr>
          <w:rFonts w:hint="eastAsia" w:cs="宋体"/>
          <w:color w:val="auto"/>
          <w:szCs w:val="21"/>
          <w:highlight w:val="none"/>
        </w:rPr>
      </w:pPr>
      <w:r>
        <w:rPr>
          <w:rFonts w:hint="eastAsia" w:cs="宋体"/>
          <w:color w:val="auto"/>
          <w:szCs w:val="21"/>
          <w:highlight w:val="none"/>
        </w:rPr>
        <w:t>投标人提交的材料将被保密，但不退还。</w:t>
      </w:r>
    </w:p>
    <w:p w14:paraId="274332B9">
      <w:pPr>
        <w:rPr>
          <w:rFonts w:hint="eastAsia" w:cs="宋体"/>
          <w:color w:val="auto"/>
          <w:highlight w:val="none"/>
        </w:rPr>
      </w:pPr>
    </w:p>
    <w:p w14:paraId="57B38860">
      <w:pPr>
        <w:pStyle w:val="23"/>
        <w:spacing w:line="600" w:lineRule="exact"/>
        <w:rPr>
          <w:rFonts w:hint="eastAsia" w:cs="宋体"/>
          <w:b/>
          <w:color w:val="auto"/>
          <w:sz w:val="28"/>
          <w:szCs w:val="28"/>
          <w:highlight w:val="none"/>
        </w:rPr>
      </w:pPr>
      <w:r>
        <w:rPr>
          <w:rFonts w:hint="eastAsia" w:cs="宋体"/>
          <w:color w:val="auto"/>
          <w:highlight w:val="none"/>
        </w:rPr>
        <w:br w:type="page"/>
      </w:r>
    </w:p>
    <w:p w14:paraId="7913572D">
      <w:pPr>
        <w:jc w:val="center"/>
        <w:outlineLvl w:val="2"/>
        <w:rPr>
          <w:rFonts w:hint="eastAsia"/>
          <w:b/>
          <w:bCs/>
          <w:color w:val="auto"/>
          <w:sz w:val="28"/>
          <w:szCs w:val="36"/>
          <w:highlight w:val="none"/>
        </w:rPr>
      </w:pPr>
      <w:bookmarkStart w:id="136" w:name="_Toc166067769"/>
      <w:bookmarkStart w:id="137" w:name="_Toc13075"/>
      <w:bookmarkStart w:id="138" w:name="_Toc496521006"/>
      <w:bookmarkStart w:id="139" w:name="_Toc14854"/>
      <w:bookmarkStart w:id="140" w:name="_Toc493600038"/>
      <w:bookmarkStart w:id="141" w:name="_Toc46334346"/>
      <w:bookmarkStart w:id="142" w:name="_Toc508636835"/>
      <w:bookmarkStart w:id="143" w:name="_Toc80973395"/>
      <w:bookmarkStart w:id="144" w:name="_Toc509829319"/>
      <w:bookmarkStart w:id="145" w:name="_Toc22338"/>
      <w:bookmarkStart w:id="146" w:name="_Toc125986475"/>
      <w:bookmarkStart w:id="147" w:name="_Toc125904338"/>
      <w:bookmarkStart w:id="148" w:name="_Toc139357066"/>
      <w:r>
        <w:rPr>
          <w:rFonts w:hint="eastAsia"/>
          <w:b/>
          <w:bCs/>
          <w:color w:val="auto"/>
          <w:sz w:val="28"/>
          <w:szCs w:val="36"/>
          <w:highlight w:val="none"/>
        </w:rPr>
        <w:t>（一）投标人信息表</w:t>
      </w:r>
      <w:bookmarkEnd w:id="136"/>
      <w:bookmarkEnd w:id="137"/>
      <w:bookmarkEnd w:id="138"/>
      <w:bookmarkEnd w:id="139"/>
      <w:bookmarkEnd w:id="140"/>
      <w:bookmarkEnd w:id="141"/>
      <w:bookmarkEnd w:id="142"/>
      <w:bookmarkEnd w:id="143"/>
      <w:bookmarkEnd w:id="144"/>
      <w:bookmarkEnd w:id="145"/>
    </w:p>
    <w:p w14:paraId="5F8A70C9">
      <w:pPr>
        <w:pStyle w:val="23"/>
        <w:jc w:val="center"/>
        <w:rPr>
          <w:rFonts w:hint="eastAsia" w:cs="宋体"/>
          <w:b/>
          <w:color w:val="auto"/>
          <w:highlight w:val="none"/>
        </w:rPr>
      </w:pPr>
      <w:r>
        <w:rPr>
          <w:rFonts w:hint="eastAsia" w:cs="宋体"/>
          <w:b/>
          <w:color w:val="auto"/>
          <w:highlight w:val="none"/>
        </w:rPr>
        <w:t>（请投标人如实填写本表信息）</w:t>
      </w:r>
    </w:p>
    <w:tbl>
      <w:tblPr>
        <w:tblStyle w:val="4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84"/>
        <w:gridCol w:w="1524"/>
        <w:gridCol w:w="1863"/>
        <w:gridCol w:w="1136"/>
        <w:gridCol w:w="1235"/>
        <w:gridCol w:w="2720"/>
      </w:tblGrid>
      <w:tr w14:paraId="01841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510" w:type="pct"/>
            <w:gridSpan w:val="2"/>
            <w:tcBorders>
              <w:right w:val="single" w:color="auto" w:sz="4" w:space="0"/>
            </w:tcBorders>
            <w:vAlign w:val="center"/>
          </w:tcPr>
          <w:p w14:paraId="5652ECCF">
            <w:pPr>
              <w:widowControl/>
              <w:jc w:val="center"/>
              <w:rPr>
                <w:rFonts w:hint="eastAsia" w:cs="宋体"/>
                <w:color w:val="auto"/>
                <w:szCs w:val="21"/>
                <w:highlight w:val="none"/>
              </w:rPr>
            </w:pPr>
            <w:r>
              <w:rPr>
                <w:rFonts w:hint="eastAsia" w:cs="宋体"/>
                <w:color w:val="auto"/>
                <w:szCs w:val="21"/>
                <w:highlight w:val="none"/>
              </w:rPr>
              <w:t>公司名称</w:t>
            </w:r>
          </w:p>
        </w:tc>
        <w:tc>
          <w:tcPr>
            <w:tcW w:w="3490" w:type="pct"/>
            <w:gridSpan w:val="4"/>
            <w:tcBorders>
              <w:left w:val="single" w:color="auto" w:sz="4" w:space="0"/>
            </w:tcBorders>
            <w:vAlign w:val="center"/>
          </w:tcPr>
          <w:p w14:paraId="533BBE3F">
            <w:pPr>
              <w:widowControl/>
              <w:jc w:val="left"/>
              <w:rPr>
                <w:rFonts w:hint="eastAsia" w:cs="宋体"/>
                <w:color w:val="auto"/>
                <w:szCs w:val="21"/>
                <w:highlight w:val="none"/>
              </w:rPr>
            </w:pPr>
          </w:p>
        </w:tc>
      </w:tr>
      <w:tr w14:paraId="42FBF1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510" w:type="pct"/>
            <w:gridSpan w:val="2"/>
            <w:tcBorders>
              <w:right w:val="single" w:color="auto" w:sz="4" w:space="0"/>
            </w:tcBorders>
            <w:vAlign w:val="center"/>
          </w:tcPr>
          <w:p w14:paraId="303499A1">
            <w:pPr>
              <w:widowControl/>
              <w:jc w:val="center"/>
              <w:rPr>
                <w:rFonts w:hint="eastAsia" w:cs="宋体"/>
                <w:color w:val="auto"/>
                <w:szCs w:val="21"/>
                <w:highlight w:val="none"/>
              </w:rPr>
            </w:pPr>
            <w:r>
              <w:rPr>
                <w:rFonts w:hint="eastAsia" w:cs="宋体"/>
                <w:color w:val="auto"/>
                <w:szCs w:val="21"/>
                <w:highlight w:val="none"/>
              </w:rPr>
              <w:t>纳税人识别号</w:t>
            </w:r>
          </w:p>
        </w:tc>
        <w:tc>
          <w:tcPr>
            <w:tcW w:w="3490" w:type="pct"/>
            <w:gridSpan w:val="4"/>
            <w:tcBorders>
              <w:left w:val="single" w:color="auto" w:sz="4" w:space="0"/>
            </w:tcBorders>
            <w:vAlign w:val="center"/>
          </w:tcPr>
          <w:p w14:paraId="28ED80C1">
            <w:pPr>
              <w:widowControl/>
              <w:jc w:val="left"/>
              <w:rPr>
                <w:rFonts w:hint="eastAsia" w:cs="宋体"/>
                <w:color w:val="auto"/>
                <w:szCs w:val="21"/>
                <w:highlight w:val="none"/>
              </w:rPr>
            </w:pPr>
          </w:p>
        </w:tc>
      </w:tr>
      <w:tr w14:paraId="42557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510" w:type="pct"/>
            <w:gridSpan w:val="2"/>
            <w:tcBorders>
              <w:right w:val="single" w:color="auto" w:sz="4" w:space="0"/>
            </w:tcBorders>
            <w:vAlign w:val="center"/>
          </w:tcPr>
          <w:p w14:paraId="7C390F84">
            <w:pPr>
              <w:widowControl/>
              <w:jc w:val="center"/>
              <w:rPr>
                <w:rFonts w:hint="eastAsia" w:cs="宋体"/>
                <w:color w:val="auto"/>
                <w:szCs w:val="21"/>
                <w:highlight w:val="none"/>
              </w:rPr>
            </w:pPr>
            <w:r>
              <w:rPr>
                <w:rFonts w:hint="eastAsia" w:cs="宋体"/>
                <w:color w:val="auto"/>
                <w:szCs w:val="21"/>
                <w:highlight w:val="none"/>
              </w:rPr>
              <w:t>公司地址</w:t>
            </w:r>
          </w:p>
        </w:tc>
        <w:tc>
          <w:tcPr>
            <w:tcW w:w="3490" w:type="pct"/>
            <w:gridSpan w:val="4"/>
            <w:tcBorders>
              <w:left w:val="single" w:color="auto" w:sz="4" w:space="0"/>
            </w:tcBorders>
            <w:vAlign w:val="center"/>
          </w:tcPr>
          <w:p w14:paraId="3DB46347">
            <w:pPr>
              <w:widowControl/>
              <w:jc w:val="both"/>
              <w:rPr>
                <w:rFonts w:hint="eastAsia" w:cs="宋体"/>
                <w:color w:val="auto"/>
                <w:szCs w:val="21"/>
                <w:highlight w:val="none"/>
              </w:rPr>
            </w:pPr>
          </w:p>
        </w:tc>
      </w:tr>
      <w:tr w14:paraId="1B599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510" w:type="pct"/>
            <w:gridSpan w:val="2"/>
            <w:tcBorders>
              <w:right w:val="single" w:color="auto" w:sz="4" w:space="0"/>
            </w:tcBorders>
            <w:vAlign w:val="center"/>
          </w:tcPr>
          <w:p w14:paraId="7F941054">
            <w:pPr>
              <w:widowControl/>
              <w:jc w:val="center"/>
              <w:rPr>
                <w:rFonts w:hint="eastAsia" w:cs="宋体"/>
                <w:color w:val="auto"/>
                <w:szCs w:val="21"/>
                <w:highlight w:val="none"/>
              </w:rPr>
            </w:pPr>
            <w:r>
              <w:rPr>
                <w:rFonts w:hint="eastAsia" w:cs="宋体"/>
                <w:color w:val="auto"/>
                <w:szCs w:val="21"/>
                <w:highlight w:val="none"/>
              </w:rPr>
              <w:t>公司性质</w:t>
            </w:r>
          </w:p>
        </w:tc>
        <w:tc>
          <w:tcPr>
            <w:tcW w:w="935" w:type="pct"/>
            <w:tcBorders>
              <w:left w:val="single" w:color="auto" w:sz="4" w:space="0"/>
              <w:right w:val="single" w:color="auto" w:sz="4" w:space="0"/>
            </w:tcBorders>
            <w:vAlign w:val="center"/>
          </w:tcPr>
          <w:p w14:paraId="02FD4860">
            <w:pPr>
              <w:widowControl/>
              <w:jc w:val="center"/>
              <w:rPr>
                <w:rFonts w:hint="eastAsia" w:cs="宋体"/>
                <w:color w:val="auto"/>
                <w:szCs w:val="21"/>
                <w:highlight w:val="none"/>
              </w:rPr>
            </w:pPr>
          </w:p>
        </w:tc>
        <w:tc>
          <w:tcPr>
            <w:tcW w:w="1190" w:type="pct"/>
            <w:gridSpan w:val="2"/>
            <w:tcBorders>
              <w:left w:val="single" w:color="auto" w:sz="4" w:space="0"/>
              <w:right w:val="single" w:color="auto" w:sz="4" w:space="0"/>
            </w:tcBorders>
            <w:vAlign w:val="center"/>
          </w:tcPr>
          <w:p w14:paraId="6E86CFCB">
            <w:pPr>
              <w:widowControl/>
              <w:jc w:val="center"/>
              <w:rPr>
                <w:rFonts w:hint="eastAsia" w:cs="宋体"/>
                <w:color w:val="auto"/>
                <w:szCs w:val="21"/>
                <w:highlight w:val="none"/>
              </w:rPr>
            </w:pPr>
            <w:r>
              <w:rPr>
                <w:rFonts w:hint="eastAsia" w:cs="宋体"/>
                <w:color w:val="auto"/>
                <w:szCs w:val="21"/>
                <w:highlight w:val="none"/>
              </w:rPr>
              <w:t>公司类型</w:t>
            </w:r>
          </w:p>
        </w:tc>
        <w:tc>
          <w:tcPr>
            <w:tcW w:w="1365" w:type="pct"/>
            <w:tcBorders>
              <w:left w:val="single" w:color="auto" w:sz="4" w:space="0"/>
            </w:tcBorders>
            <w:vAlign w:val="center"/>
          </w:tcPr>
          <w:p w14:paraId="11DDACA4">
            <w:pPr>
              <w:widowControl/>
              <w:jc w:val="center"/>
              <w:rPr>
                <w:rFonts w:hint="eastAsia" w:cs="宋体"/>
                <w:color w:val="auto"/>
                <w:szCs w:val="21"/>
                <w:highlight w:val="none"/>
              </w:rPr>
            </w:pPr>
          </w:p>
        </w:tc>
      </w:tr>
      <w:tr w14:paraId="54A457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510" w:type="pct"/>
            <w:gridSpan w:val="2"/>
            <w:vAlign w:val="center"/>
          </w:tcPr>
          <w:p w14:paraId="2DAC1E02">
            <w:pPr>
              <w:widowControl/>
              <w:jc w:val="center"/>
              <w:rPr>
                <w:rFonts w:hint="eastAsia" w:cs="宋体"/>
                <w:color w:val="auto"/>
                <w:szCs w:val="21"/>
                <w:highlight w:val="none"/>
              </w:rPr>
            </w:pPr>
            <w:r>
              <w:rPr>
                <w:rFonts w:hint="eastAsia" w:cs="宋体"/>
                <w:color w:val="auto"/>
                <w:szCs w:val="21"/>
                <w:highlight w:val="none"/>
              </w:rPr>
              <w:t>法定代表人</w:t>
            </w:r>
          </w:p>
        </w:tc>
        <w:tc>
          <w:tcPr>
            <w:tcW w:w="935" w:type="pct"/>
            <w:vAlign w:val="center"/>
          </w:tcPr>
          <w:p w14:paraId="0C5F7C49">
            <w:pPr>
              <w:widowControl/>
              <w:jc w:val="center"/>
              <w:rPr>
                <w:rFonts w:hint="eastAsia" w:cs="宋体"/>
                <w:color w:val="auto"/>
                <w:szCs w:val="21"/>
                <w:highlight w:val="none"/>
              </w:rPr>
            </w:pPr>
          </w:p>
        </w:tc>
        <w:tc>
          <w:tcPr>
            <w:tcW w:w="1190" w:type="pct"/>
            <w:gridSpan w:val="2"/>
            <w:tcBorders>
              <w:right w:val="single" w:color="auto" w:sz="4" w:space="0"/>
            </w:tcBorders>
            <w:vAlign w:val="center"/>
          </w:tcPr>
          <w:p w14:paraId="195C54F2">
            <w:pPr>
              <w:widowControl/>
              <w:jc w:val="center"/>
              <w:rPr>
                <w:rFonts w:hint="eastAsia" w:cs="宋体"/>
                <w:color w:val="auto"/>
                <w:szCs w:val="21"/>
                <w:highlight w:val="none"/>
              </w:rPr>
            </w:pPr>
            <w:r>
              <w:rPr>
                <w:rFonts w:hint="eastAsia" w:cs="宋体"/>
                <w:color w:val="auto"/>
                <w:szCs w:val="21"/>
                <w:highlight w:val="none"/>
              </w:rPr>
              <w:t>注册资金</w:t>
            </w:r>
          </w:p>
        </w:tc>
        <w:tc>
          <w:tcPr>
            <w:tcW w:w="1365" w:type="pct"/>
            <w:tcBorders>
              <w:left w:val="single" w:color="auto" w:sz="4" w:space="0"/>
            </w:tcBorders>
            <w:vAlign w:val="center"/>
          </w:tcPr>
          <w:p w14:paraId="3F4FD55C">
            <w:pPr>
              <w:widowControl/>
              <w:jc w:val="center"/>
              <w:rPr>
                <w:rFonts w:hint="eastAsia" w:cs="宋体"/>
                <w:color w:val="auto"/>
                <w:szCs w:val="21"/>
                <w:highlight w:val="none"/>
              </w:rPr>
            </w:pPr>
          </w:p>
        </w:tc>
      </w:tr>
      <w:tr w14:paraId="6E0C3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1510" w:type="pct"/>
            <w:gridSpan w:val="2"/>
            <w:vMerge w:val="restart"/>
            <w:vAlign w:val="center"/>
          </w:tcPr>
          <w:p w14:paraId="5F5DBAA0">
            <w:pPr>
              <w:widowControl/>
              <w:jc w:val="center"/>
              <w:rPr>
                <w:rFonts w:hint="eastAsia" w:cs="宋体"/>
                <w:color w:val="auto"/>
                <w:szCs w:val="21"/>
                <w:highlight w:val="none"/>
              </w:rPr>
            </w:pPr>
            <w:r>
              <w:rPr>
                <w:rFonts w:hint="eastAsia" w:cs="宋体"/>
                <w:color w:val="auto"/>
                <w:szCs w:val="21"/>
                <w:highlight w:val="none"/>
              </w:rPr>
              <w:t>注册日期</w:t>
            </w:r>
          </w:p>
        </w:tc>
        <w:tc>
          <w:tcPr>
            <w:tcW w:w="935" w:type="pct"/>
            <w:vMerge w:val="restart"/>
            <w:vAlign w:val="center"/>
          </w:tcPr>
          <w:p w14:paraId="3BD64C2F">
            <w:pPr>
              <w:widowControl/>
              <w:jc w:val="center"/>
              <w:rPr>
                <w:rFonts w:hint="eastAsia" w:cs="宋体"/>
                <w:color w:val="auto"/>
                <w:szCs w:val="21"/>
                <w:highlight w:val="none"/>
              </w:rPr>
            </w:pPr>
          </w:p>
        </w:tc>
        <w:tc>
          <w:tcPr>
            <w:tcW w:w="1190" w:type="pct"/>
            <w:gridSpan w:val="2"/>
            <w:tcBorders>
              <w:bottom w:val="single" w:color="auto" w:sz="4" w:space="0"/>
            </w:tcBorders>
            <w:vAlign w:val="center"/>
          </w:tcPr>
          <w:p w14:paraId="77AD27EF">
            <w:pPr>
              <w:widowControl/>
              <w:jc w:val="center"/>
              <w:rPr>
                <w:rFonts w:hint="eastAsia" w:cs="宋体"/>
                <w:color w:val="auto"/>
                <w:szCs w:val="21"/>
                <w:highlight w:val="none"/>
              </w:rPr>
            </w:pPr>
            <w:r>
              <w:rPr>
                <w:rFonts w:hint="eastAsia" w:cs="宋体"/>
                <w:color w:val="auto"/>
                <w:szCs w:val="21"/>
                <w:highlight w:val="none"/>
              </w:rPr>
              <w:t>开户银行</w:t>
            </w:r>
          </w:p>
        </w:tc>
        <w:tc>
          <w:tcPr>
            <w:tcW w:w="1365" w:type="pct"/>
            <w:tcBorders>
              <w:bottom w:val="single" w:color="auto" w:sz="4" w:space="0"/>
            </w:tcBorders>
            <w:vAlign w:val="center"/>
          </w:tcPr>
          <w:p w14:paraId="01CEC133">
            <w:pPr>
              <w:widowControl/>
              <w:jc w:val="center"/>
              <w:rPr>
                <w:rFonts w:hint="eastAsia" w:cs="宋体"/>
                <w:color w:val="auto"/>
                <w:szCs w:val="21"/>
                <w:highlight w:val="none"/>
              </w:rPr>
            </w:pPr>
          </w:p>
        </w:tc>
      </w:tr>
      <w:tr w14:paraId="5410B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1510" w:type="pct"/>
            <w:gridSpan w:val="2"/>
            <w:vMerge w:val="continue"/>
            <w:vAlign w:val="center"/>
          </w:tcPr>
          <w:p w14:paraId="2BC4AD4F">
            <w:pPr>
              <w:widowControl/>
              <w:jc w:val="center"/>
              <w:rPr>
                <w:rFonts w:hint="eastAsia" w:cs="宋体"/>
                <w:color w:val="auto"/>
                <w:szCs w:val="21"/>
                <w:highlight w:val="none"/>
              </w:rPr>
            </w:pPr>
          </w:p>
        </w:tc>
        <w:tc>
          <w:tcPr>
            <w:tcW w:w="935" w:type="pct"/>
            <w:vMerge w:val="continue"/>
            <w:vAlign w:val="center"/>
          </w:tcPr>
          <w:p w14:paraId="6B7AE94C">
            <w:pPr>
              <w:widowControl/>
              <w:jc w:val="center"/>
              <w:rPr>
                <w:rFonts w:hint="eastAsia" w:cs="宋体"/>
                <w:color w:val="auto"/>
                <w:szCs w:val="21"/>
                <w:highlight w:val="none"/>
              </w:rPr>
            </w:pPr>
          </w:p>
        </w:tc>
        <w:tc>
          <w:tcPr>
            <w:tcW w:w="1190" w:type="pct"/>
            <w:gridSpan w:val="2"/>
            <w:tcBorders>
              <w:top w:val="single" w:color="auto" w:sz="4" w:space="0"/>
            </w:tcBorders>
            <w:vAlign w:val="center"/>
          </w:tcPr>
          <w:p w14:paraId="6F5A9D45">
            <w:pPr>
              <w:widowControl/>
              <w:jc w:val="center"/>
              <w:rPr>
                <w:rFonts w:hint="eastAsia" w:cs="宋体"/>
                <w:color w:val="auto"/>
                <w:szCs w:val="21"/>
                <w:highlight w:val="none"/>
              </w:rPr>
            </w:pPr>
            <w:r>
              <w:rPr>
                <w:rFonts w:hint="eastAsia" w:cs="宋体"/>
                <w:color w:val="auto"/>
                <w:szCs w:val="21"/>
                <w:highlight w:val="none"/>
              </w:rPr>
              <w:t>开户基本账号</w:t>
            </w:r>
          </w:p>
        </w:tc>
        <w:tc>
          <w:tcPr>
            <w:tcW w:w="1365" w:type="pct"/>
            <w:tcBorders>
              <w:top w:val="single" w:color="auto" w:sz="4" w:space="0"/>
            </w:tcBorders>
            <w:vAlign w:val="center"/>
          </w:tcPr>
          <w:p w14:paraId="455331CE">
            <w:pPr>
              <w:widowControl/>
              <w:jc w:val="center"/>
              <w:rPr>
                <w:rFonts w:hint="eastAsia" w:cs="宋体"/>
                <w:color w:val="auto"/>
                <w:szCs w:val="21"/>
                <w:highlight w:val="none"/>
              </w:rPr>
            </w:pPr>
          </w:p>
        </w:tc>
      </w:tr>
      <w:tr w14:paraId="36FBA2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510" w:type="pct"/>
            <w:gridSpan w:val="2"/>
            <w:vMerge w:val="restart"/>
            <w:vAlign w:val="center"/>
          </w:tcPr>
          <w:p w14:paraId="6A010D7C">
            <w:pPr>
              <w:widowControl/>
              <w:jc w:val="center"/>
              <w:rPr>
                <w:rFonts w:hint="eastAsia" w:cs="宋体"/>
                <w:color w:val="auto"/>
                <w:szCs w:val="21"/>
                <w:highlight w:val="none"/>
              </w:rPr>
            </w:pPr>
            <w:r>
              <w:rPr>
                <w:rFonts w:hint="eastAsia" w:cs="宋体"/>
                <w:color w:val="auto"/>
                <w:szCs w:val="21"/>
                <w:highlight w:val="none"/>
              </w:rPr>
              <w:t>联系人</w:t>
            </w:r>
          </w:p>
        </w:tc>
        <w:tc>
          <w:tcPr>
            <w:tcW w:w="935" w:type="pct"/>
            <w:vMerge w:val="restart"/>
            <w:vAlign w:val="center"/>
          </w:tcPr>
          <w:p w14:paraId="56D1C7EB">
            <w:pPr>
              <w:widowControl/>
              <w:jc w:val="center"/>
              <w:rPr>
                <w:rFonts w:hint="eastAsia" w:cs="宋体"/>
                <w:color w:val="auto"/>
                <w:szCs w:val="21"/>
                <w:highlight w:val="none"/>
              </w:rPr>
            </w:pPr>
          </w:p>
        </w:tc>
        <w:tc>
          <w:tcPr>
            <w:tcW w:w="570" w:type="pct"/>
            <w:vMerge w:val="restart"/>
            <w:vAlign w:val="center"/>
          </w:tcPr>
          <w:p w14:paraId="6C9FDF45">
            <w:pPr>
              <w:widowControl/>
              <w:jc w:val="center"/>
              <w:rPr>
                <w:rFonts w:hint="eastAsia" w:cs="宋体"/>
                <w:color w:val="auto"/>
                <w:szCs w:val="21"/>
                <w:highlight w:val="none"/>
              </w:rPr>
            </w:pPr>
            <w:r>
              <w:rPr>
                <w:rFonts w:hint="eastAsia" w:cs="宋体"/>
                <w:color w:val="auto"/>
                <w:szCs w:val="21"/>
                <w:highlight w:val="none"/>
              </w:rPr>
              <w:t>联系电话</w:t>
            </w:r>
          </w:p>
        </w:tc>
        <w:tc>
          <w:tcPr>
            <w:tcW w:w="620" w:type="pct"/>
            <w:vAlign w:val="center"/>
          </w:tcPr>
          <w:p w14:paraId="209D1B02">
            <w:pPr>
              <w:widowControl/>
              <w:jc w:val="center"/>
              <w:rPr>
                <w:rFonts w:hint="eastAsia" w:cs="宋体"/>
                <w:color w:val="auto"/>
                <w:szCs w:val="21"/>
                <w:highlight w:val="none"/>
              </w:rPr>
            </w:pPr>
            <w:r>
              <w:rPr>
                <w:rFonts w:hint="eastAsia" w:cs="宋体"/>
                <w:color w:val="auto"/>
                <w:szCs w:val="21"/>
                <w:highlight w:val="none"/>
              </w:rPr>
              <w:t>手机</w:t>
            </w:r>
          </w:p>
        </w:tc>
        <w:tc>
          <w:tcPr>
            <w:tcW w:w="1365" w:type="pct"/>
            <w:vAlign w:val="center"/>
          </w:tcPr>
          <w:p w14:paraId="1175A894">
            <w:pPr>
              <w:widowControl/>
              <w:jc w:val="center"/>
              <w:rPr>
                <w:rFonts w:hint="eastAsia" w:cs="宋体"/>
                <w:color w:val="auto"/>
                <w:szCs w:val="21"/>
                <w:highlight w:val="none"/>
              </w:rPr>
            </w:pPr>
          </w:p>
        </w:tc>
      </w:tr>
      <w:tr w14:paraId="66C6FB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1510" w:type="pct"/>
            <w:gridSpan w:val="2"/>
            <w:vMerge w:val="continue"/>
            <w:vAlign w:val="center"/>
          </w:tcPr>
          <w:p w14:paraId="1300CE77">
            <w:pPr>
              <w:widowControl/>
              <w:jc w:val="center"/>
              <w:rPr>
                <w:rFonts w:hint="eastAsia" w:cs="宋体"/>
                <w:color w:val="auto"/>
                <w:szCs w:val="21"/>
                <w:highlight w:val="none"/>
              </w:rPr>
            </w:pPr>
          </w:p>
        </w:tc>
        <w:tc>
          <w:tcPr>
            <w:tcW w:w="935" w:type="pct"/>
            <w:vMerge w:val="continue"/>
            <w:vAlign w:val="center"/>
          </w:tcPr>
          <w:p w14:paraId="4B17FDF7">
            <w:pPr>
              <w:widowControl/>
              <w:jc w:val="center"/>
              <w:rPr>
                <w:rFonts w:hint="eastAsia" w:cs="宋体"/>
                <w:color w:val="auto"/>
                <w:szCs w:val="21"/>
                <w:highlight w:val="none"/>
              </w:rPr>
            </w:pPr>
          </w:p>
        </w:tc>
        <w:tc>
          <w:tcPr>
            <w:tcW w:w="570" w:type="pct"/>
            <w:vMerge w:val="continue"/>
            <w:vAlign w:val="center"/>
          </w:tcPr>
          <w:p w14:paraId="7982F1E9">
            <w:pPr>
              <w:widowControl/>
              <w:jc w:val="center"/>
              <w:rPr>
                <w:rFonts w:hint="eastAsia" w:cs="宋体"/>
                <w:color w:val="auto"/>
                <w:szCs w:val="21"/>
                <w:highlight w:val="none"/>
              </w:rPr>
            </w:pPr>
          </w:p>
        </w:tc>
        <w:tc>
          <w:tcPr>
            <w:tcW w:w="620" w:type="pct"/>
            <w:vAlign w:val="center"/>
          </w:tcPr>
          <w:p w14:paraId="2F82F2A6">
            <w:pPr>
              <w:widowControl/>
              <w:jc w:val="center"/>
              <w:rPr>
                <w:rFonts w:hint="eastAsia" w:cs="宋体"/>
                <w:color w:val="auto"/>
                <w:szCs w:val="21"/>
                <w:highlight w:val="none"/>
              </w:rPr>
            </w:pPr>
            <w:r>
              <w:rPr>
                <w:rFonts w:hint="eastAsia" w:cs="宋体"/>
                <w:color w:val="auto"/>
                <w:szCs w:val="21"/>
                <w:highlight w:val="none"/>
              </w:rPr>
              <w:t>固话</w:t>
            </w:r>
          </w:p>
        </w:tc>
        <w:tc>
          <w:tcPr>
            <w:tcW w:w="1365" w:type="pct"/>
            <w:vAlign w:val="center"/>
          </w:tcPr>
          <w:p w14:paraId="53D2701F">
            <w:pPr>
              <w:widowControl/>
              <w:jc w:val="center"/>
              <w:rPr>
                <w:rFonts w:hint="eastAsia" w:cs="宋体"/>
                <w:color w:val="auto"/>
                <w:szCs w:val="21"/>
                <w:highlight w:val="none"/>
              </w:rPr>
            </w:pPr>
          </w:p>
        </w:tc>
      </w:tr>
      <w:tr w14:paraId="13B58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1510" w:type="pct"/>
            <w:gridSpan w:val="2"/>
            <w:vAlign w:val="center"/>
          </w:tcPr>
          <w:p w14:paraId="38CACC68">
            <w:pPr>
              <w:widowControl/>
              <w:jc w:val="center"/>
              <w:rPr>
                <w:rFonts w:hint="eastAsia" w:cs="宋体"/>
                <w:color w:val="auto"/>
                <w:szCs w:val="21"/>
                <w:highlight w:val="none"/>
              </w:rPr>
            </w:pPr>
            <w:r>
              <w:rPr>
                <w:rFonts w:hint="eastAsia" w:cs="宋体"/>
                <w:color w:val="auto"/>
                <w:szCs w:val="21"/>
                <w:highlight w:val="none"/>
              </w:rPr>
              <w:t>联系传真（如有）</w:t>
            </w:r>
          </w:p>
        </w:tc>
        <w:tc>
          <w:tcPr>
            <w:tcW w:w="935" w:type="pct"/>
            <w:vAlign w:val="center"/>
          </w:tcPr>
          <w:p w14:paraId="6CFD5E1D">
            <w:pPr>
              <w:widowControl/>
              <w:jc w:val="center"/>
              <w:rPr>
                <w:rFonts w:hint="eastAsia" w:cs="宋体"/>
                <w:color w:val="auto"/>
                <w:szCs w:val="21"/>
                <w:highlight w:val="none"/>
              </w:rPr>
            </w:pPr>
          </w:p>
        </w:tc>
        <w:tc>
          <w:tcPr>
            <w:tcW w:w="1190" w:type="pct"/>
            <w:gridSpan w:val="2"/>
            <w:vAlign w:val="center"/>
          </w:tcPr>
          <w:p w14:paraId="582EFE87">
            <w:pPr>
              <w:widowControl/>
              <w:jc w:val="center"/>
              <w:rPr>
                <w:rFonts w:hint="eastAsia" w:cs="宋体"/>
                <w:color w:val="auto"/>
                <w:szCs w:val="21"/>
                <w:highlight w:val="none"/>
              </w:rPr>
            </w:pPr>
            <w:r>
              <w:rPr>
                <w:rFonts w:hint="eastAsia" w:cs="宋体"/>
                <w:color w:val="auto"/>
                <w:szCs w:val="21"/>
                <w:highlight w:val="none"/>
              </w:rPr>
              <w:t>联系邮箱</w:t>
            </w:r>
          </w:p>
        </w:tc>
        <w:tc>
          <w:tcPr>
            <w:tcW w:w="1365" w:type="pct"/>
            <w:vAlign w:val="center"/>
          </w:tcPr>
          <w:p w14:paraId="4057F1BE">
            <w:pPr>
              <w:widowControl/>
              <w:jc w:val="center"/>
              <w:rPr>
                <w:rFonts w:hint="eastAsia" w:cs="宋体"/>
                <w:color w:val="auto"/>
                <w:szCs w:val="21"/>
                <w:highlight w:val="none"/>
              </w:rPr>
            </w:pPr>
          </w:p>
        </w:tc>
      </w:tr>
      <w:tr w14:paraId="09FEF1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510" w:type="pct"/>
            <w:gridSpan w:val="2"/>
            <w:vAlign w:val="center"/>
          </w:tcPr>
          <w:p w14:paraId="02EEF8DD">
            <w:pPr>
              <w:widowControl/>
              <w:jc w:val="center"/>
              <w:rPr>
                <w:rFonts w:hint="eastAsia" w:cs="宋体"/>
                <w:color w:val="auto"/>
                <w:szCs w:val="21"/>
                <w:highlight w:val="none"/>
              </w:rPr>
            </w:pPr>
            <w:r>
              <w:rPr>
                <w:rFonts w:hint="eastAsia" w:cs="宋体"/>
                <w:color w:val="auto"/>
                <w:szCs w:val="21"/>
                <w:highlight w:val="none"/>
              </w:rPr>
              <w:t>经营范围</w:t>
            </w:r>
          </w:p>
        </w:tc>
        <w:tc>
          <w:tcPr>
            <w:tcW w:w="3490" w:type="pct"/>
            <w:gridSpan w:val="4"/>
            <w:vAlign w:val="center"/>
          </w:tcPr>
          <w:p w14:paraId="618AB2AC">
            <w:pPr>
              <w:widowControl/>
              <w:jc w:val="center"/>
              <w:rPr>
                <w:rFonts w:hint="eastAsia" w:cs="宋体"/>
                <w:color w:val="auto"/>
                <w:szCs w:val="21"/>
                <w:highlight w:val="none"/>
              </w:rPr>
            </w:pPr>
          </w:p>
        </w:tc>
      </w:tr>
      <w:tr w14:paraId="237B2E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510" w:type="pct"/>
            <w:gridSpan w:val="2"/>
            <w:vAlign w:val="center"/>
          </w:tcPr>
          <w:p w14:paraId="4FBB4B25">
            <w:pPr>
              <w:widowControl/>
              <w:jc w:val="center"/>
              <w:rPr>
                <w:rFonts w:hint="eastAsia" w:cs="宋体"/>
                <w:color w:val="auto"/>
                <w:szCs w:val="21"/>
                <w:highlight w:val="none"/>
              </w:rPr>
            </w:pPr>
            <w:r>
              <w:rPr>
                <w:rFonts w:hint="eastAsia" w:cs="宋体"/>
                <w:color w:val="auto"/>
                <w:szCs w:val="21"/>
                <w:highlight w:val="none"/>
              </w:rPr>
              <w:t>公司管理体系认证</w:t>
            </w:r>
          </w:p>
        </w:tc>
        <w:tc>
          <w:tcPr>
            <w:tcW w:w="3490" w:type="pct"/>
            <w:gridSpan w:val="4"/>
            <w:vAlign w:val="center"/>
          </w:tcPr>
          <w:p w14:paraId="0CA7B565">
            <w:pPr>
              <w:widowControl/>
              <w:jc w:val="center"/>
              <w:rPr>
                <w:rFonts w:hint="eastAsia" w:cs="宋体"/>
                <w:color w:val="auto"/>
                <w:szCs w:val="21"/>
                <w:highlight w:val="none"/>
              </w:rPr>
            </w:pPr>
            <w:r>
              <w:rPr>
                <w:rFonts w:hint="eastAsia" w:cs="宋体"/>
                <w:color w:val="auto"/>
                <w:szCs w:val="21"/>
                <w:highlight w:val="none"/>
              </w:rPr>
              <w:t>（质量、职业、环境管理体系等）</w:t>
            </w:r>
          </w:p>
        </w:tc>
      </w:tr>
      <w:tr w14:paraId="2A39A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5000" w:type="pct"/>
            <w:gridSpan w:val="6"/>
            <w:vAlign w:val="center"/>
          </w:tcPr>
          <w:p w14:paraId="4B1D9AA2">
            <w:pPr>
              <w:widowControl/>
              <w:jc w:val="left"/>
              <w:rPr>
                <w:rFonts w:hint="eastAsia" w:cs="宋体"/>
                <w:color w:val="auto"/>
                <w:szCs w:val="21"/>
                <w:highlight w:val="none"/>
              </w:rPr>
            </w:pPr>
            <w:r>
              <w:rPr>
                <w:rFonts w:hint="eastAsia" w:cs="宋体"/>
                <w:color w:val="auto"/>
                <w:szCs w:val="21"/>
                <w:highlight w:val="none"/>
              </w:rPr>
              <w:t>公司资质及各类生产、经营许可</w:t>
            </w:r>
          </w:p>
        </w:tc>
      </w:tr>
      <w:tr w14:paraId="262D09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2" w:hRule="atLeast"/>
          <w:jc w:val="center"/>
        </w:trPr>
        <w:tc>
          <w:tcPr>
            <w:tcW w:w="5000" w:type="pct"/>
            <w:gridSpan w:val="6"/>
            <w:vAlign w:val="center"/>
          </w:tcPr>
          <w:p w14:paraId="2A61A582">
            <w:pPr>
              <w:widowControl/>
              <w:rPr>
                <w:rFonts w:hint="eastAsia" w:cs="宋体"/>
                <w:color w:val="auto"/>
                <w:szCs w:val="21"/>
                <w:highlight w:val="none"/>
              </w:rPr>
            </w:pPr>
            <w:r>
              <w:rPr>
                <w:rFonts w:hint="eastAsia" w:cs="宋体"/>
                <w:color w:val="auto"/>
                <w:szCs w:val="21"/>
                <w:highlight w:val="none"/>
              </w:rPr>
              <w:t>如：工程类资质（工程单位）、设备制造商、经销商（生产、经营许可证、产品认证）、其它资质。</w:t>
            </w:r>
          </w:p>
        </w:tc>
      </w:tr>
      <w:tr w14:paraId="4B7E3F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745" w:type="pct"/>
            <w:vAlign w:val="center"/>
          </w:tcPr>
          <w:p w14:paraId="45CACEE6">
            <w:pPr>
              <w:widowControl/>
              <w:jc w:val="center"/>
              <w:rPr>
                <w:rFonts w:hint="eastAsia" w:cs="宋体"/>
                <w:color w:val="auto"/>
                <w:szCs w:val="21"/>
                <w:highlight w:val="none"/>
              </w:rPr>
            </w:pPr>
            <w:r>
              <w:rPr>
                <w:rFonts w:hint="eastAsia" w:cs="宋体"/>
                <w:color w:val="auto"/>
                <w:szCs w:val="21"/>
                <w:highlight w:val="none"/>
              </w:rPr>
              <w:t>备注</w:t>
            </w:r>
          </w:p>
        </w:tc>
        <w:tc>
          <w:tcPr>
            <w:tcW w:w="4255" w:type="pct"/>
            <w:gridSpan w:val="5"/>
            <w:vAlign w:val="center"/>
          </w:tcPr>
          <w:p w14:paraId="07B4E171">
            <w:pPr>
              <w:widowControl/>
              <w:jc w:val="center"/>
              <w:rPr>
                <w:rFonts w:hint="eastAsia" w:cs="宋体"/>
                <w:color w:val="auto"/>
                <w:szCs w:val="21"/>
                <w:highlight w:val="none"/>
              </w:rPr>
            </w:pPr>
          </w:p>
        </w:tc>
      </w:tr>
    </w:tbl>
    <w:p w14:paraId="4ACA7D8E">
      <w:pPr>
        <w:pStyle w:val="23"/>
        <w:rPr>
          <w:rFonts w:hint="eastAsia" w:cs="宋体"/>
          <w:color w:val="auto"/>
          <w:highlight w:val="none"/>
        </w:rPr>
      </w:pPr>
    </w:p>
    <w:p w14:paraId="035107A2">
      <w:pPr>
        <w:pStyle w:val="17"/>
        <w:rPr>
          <w:rFonts w:hint="eastAsia" w:ascii="宋体" w:hAnsi="宋体" w:eastAsia="宋体"/>
          <w:color w:val="auto"/>
          <w:highlight w:val="none"/>
        </w:rPr>
      </w:pPr>
      <w:r>
        <w:rPr>
          <w:rFonts w:ascii="宋体" w:hAnsi="宋体" w:eastAsia="宋体"/>
          <w:color w:val="auto"/>
          <w:highlight w:val="none"/>
        </w:rPr>
        <w:br w:type="page"/>
      </w:r>
    </w:p>
    <w:p w14:paraId="5B092104">
      <w:pPr>
        <w:jc w:val="center"/>
        <w:outlineLvl w:val="2"/>
        <w:rPr>
          <w:rFonts w:hint="eastAsia"/>
          <w:b/>
          <w:bCs/>
          <w:color w:val="auto"/>
          <w:sz w:val="28"/>
          <w:szCs w:val="36"/>
          <w:highlight w:val="none"/>
        </w:rPr>
      </w:pPr>
      <w:bookmarkStart w:id="149" w:name="_Toc166067770"/>
      <w:bookmarkStart w:id="150" w:name="_Toc30339"/>
      <w:r>
        <w:rPr>
          <w:rFonts w:hint="eastAsia"/>
          <w:b/>
          <w:bCs/>
          <w:color w:val="auto"/>
          <w:sz w:val="28"/>
          <w:szCs w:val="36"/>
          <w:highlight w:val="none"/>
        </w:rPr>
        <w:t>（二）法定代表人身份证明书</w:t>
      </w:r>
      <w:bookmarkEnd w:id="149"/>
      <w:bookmarkEnd w:id="150"/>
    </w:p>
    <w:p w14:paraId="4918A476">
      <w:pPr>
        <w:spacing w:line="440" w:lineRule="exact"/>
        <w:jc w:val="center"/>
        <w:rPr>
          <w:rFonts w:hint="eastAsia" w:cs="宋体"/>
          <w:b/>
          <w:color w:val="auto"/>
          <w:sz w:val="30"/>
          <w:szCs w:val="30"/>
          <w:highlight w:val="none"/>
        </w:rPr>
      </w:pPr>
    </w:p>
    <w:p w14:paraId="63FC7D27">
      <w:pPr>
        <w:rPr>
          <w:rFonts w:hint="eastAsia" w:cs="宋体"/>
          <w:color w:val="auto"/>
          <w:szCs w:val="21"/>
          <w:highlight w:val="none"/>
          <w:u w:val="single"/>
        </w:rPr>
      </w:pPr>
      <w:r>
        <w:rPr>
          <w:rFonts w:hint="eastAsia" w:cs="宋体"/>
          <w:color w:val="auto"/>
          <w:szCs w:val="21"/>
          <w:highlight w:val="none"/>
        </w:rPr>
        <w:t>投标人名称：</w:t>
      </w:r>
      <w:r>
        <w:rPr>
          <w:rFonts w:hint="eastAsia" w:cs="宋体"/>
          <w:color w:val="auto"/>
          <w:szCs w:val="21"/>
          <w:highlight w:val="none"/>
          <w:u w:val="single"/>
        </w:rPr>
        <w:t xml:space="preserve">            </w:t>
      </w:r>
    </w:p>
    <w:p w14:paraId="26B8170C">
      <w:pPr>
        <w:rPr>
          <w:rFonts w:hint="eastAsia" w:cs="宋体"/>
          <w:color w:val="auto"/>
          <w:szCs w:val="21"/>
          <w:highlight w:val="none"/>
          <w:u w:val="single"/>
        </w:rPr>
      </w:pPr>
      <w:r>
        <w:rPr>
          <w:rFonts w:hint="eastAsia" w:cs="宋体"/>
          <w:color w:val="auto"/>
          <w:szCs w:val="21"/>
          <w:highlight w:val="none"/>
        </w:rPr>
        <w:t>单位性质：</w:t>
      </w:r>
      <w:r>
        <w:rPr>
          <w:rFonts w:hint="eastAsia" w:cs="宋体"/>
          <w:color w:val="auto"/>
          <w:szCs w:val="21"/>
          <w:highlight w:val="none"/>
          <w:u w:val="single"/>
        </w:rPr>
        <w:t xml:space="preserve">                 </w:t>
      </w:r>
    </w:p>
    <w:p w14:paraId="31E67F67">
      <w:pPr>
        <w:rPr>
          <w:rFonts w:hint="eastAsia" w:cs="宋体"/>
          <w:color w:val="auto"/>
          <w:szCs w:val="21"/>
          <w:highlight w:val="none"/>
        </w:rPr>
      </w:pPr>
      <w:r>
        <w:rPr>
          <w:rFonts w:hint="eastAsia" w:cs="宋体"/>
          <w:color w:val="auto"/>
          <w:szCs w:val="21"/>
          <w:highlight w:val="none"/>
        </w:rPr>
        <w:t>成立时间：</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549F936">
      <w:pPr>
        <w:rPr>
          <w:rFonts w:hint="eastAsia" w:cs="宋体"/>
          <w:color w:val="auto"/>
          <w:szCs w:val="21"/>
          <w:highlight w:val="none"/>
          <w:u w:val="single"/>
        </w:rPr>
      </w:pPr>
      <w:r>
        <w:rPr>
          <w:rFonts w:hint="eastAsia" w:cs="宋体"/>
          <w:color w:val="auto"/>
          <w:szCs w:val="21"/>
          <w:highlight w:val="none"/>
        </w:rPr>
        <w:t>经营期限：</w:t>
      </w:r>
      <w:r>
        <w:rPr>
          <w:rFonts w:hint="eastAsia" w:cs="宋体"/>
          <w:color w:val="auto"/>
          <w:szCs w:val="21"/>
          <w:highlight w:val="none"/>
          <w:u w:val="single"/>
        </w:rPr>
        <w:t xml:space="preserve">           </w:t>
      </w:r>
    </w:p>
    <w:p w14:paraId="3F688D70">
      <w:pPr>
        <w:rPr>
          <w:rFonts w:hint="eastAsia" w:cs="宋体"/>
          <w:color w:val="auto"/>
          <w:szCs w:val="21"/>
          <w:highlight w:val="none"/>
        </w:rPr>
      </w:pPr>
      <w:r>
        <w:rPr>
          <w:rFonts w:hint="eastAsia" w:cs="宋体"/>
          <w:color w:val="auto"/>
          <w:szCs w:val="21"/>
          <w:highlight w:val="none"/>
        </w:rPr>
        <w:t>姓名：</w:t>
      </w:r>
      <w:r>
        <w:rPr>
          <w:rFonts w:hint="eastAsia" w:cs="宋体"/>
          <w:color w:val="auto"/>
          <w:szCs w:val="21"/>
          <w:highlight w:val="none"/>
          <w:u w:val="single"/>
        </w:rPr>
        <w:t xml:space="preserve">    </w:t>
      </w:r>
      <w:r>
        <w:rPr>
          <w:rFonts w:hint="eastAsia" w:cs="宋体"/>
          <w:color w:val="auto"/>
          <w:szCs w:val="21"/>
          <w:highlight w:val="none"/>
        </w:rPr>
        <w:t>性别：</w:t>
      </w:r>
      <w:r>
        <w:rPr>
          <w:rFonts w:hint="eastAsia" w:cs="宋体"/>
          <w:color w:val="auto"/>
          <w:szCs w:val="21"/>
          <w:highlight w:val="none"/>
          <w:u w:val="single"/>
        </w:rPr>
        <w:t xml:space="preserve">    </w:t>
      </w:r>
      <w:r>
        <w:rPr>
          <w:rFonts w:hint="eastAsia" w:cs="宋体"/>
          <w:color w:val="auto"/>
          <w:szCs w:val="21"/>
          <w:highlight w:val="none"/>
        </w:rPr>
        <w:t>年龄：</w:t>
      </w:r>
      <w:r>
        <w:rPr>
          <w:rFonts w:hint="eastAsia" w:cs="宋体"/>
          <w:color w:val="auto"/>
          <w:szCs w:val="21"/>
          <w:highlight w:val="none"/>
          <w:u w:val="single"/>
        </w:rPr>
        <w:t xml:space="preserve">    </w:t>
      </w:r>
      <w:r>
        <w:rPr>
          <w:rFonts w:hint="eastAsia" w:cs="宋体"/>
          <w:color w:val="auto"/>
          <w:szCs w:val="21"/>
          <w:highlight w:val="none"/>
        </w:rPr>
        <w:t>职务：</w:t>
      </w:r>
      <w:r>
        <w:rPr>
          <w:rFonts w:hint="eastAsia" w:cs="宋体"/>
          <w:color w:val="auto"/>
          <w:szCs w:val="21"/>
          <w:highlight w:val="none"/>
          <w:u w:val="single"/>
        </w:rPr>
        <w:t xml:space="preserve">    </w:t>
      </w:r>
    </w:p>
    <w:p w14:paraId="65239D10">
      <w:pPr>
        <w:rPr>
          <w:rFonts w:hint="eastAsia" w:cs="宋体"/>
          <w:color w:val="auto"/>
          <w:szCs w:val="21"/>
          <w:highlight w:val="none"/>
        </w:rPr>
      </w:pPr>
      <w:r>
        <w:rPr>
          <w:rFonts w:hint="eastAsia" w:cs="宋体"/>
          <w:color w:val="auto"/>
          <w:szCs w:val="21"/>
          <w:highlight w:val="none"/>
        </w:rPr>
        <w:t>系</w:t>
      </w:r>
      <w:r>
        <w:rPr>
          <w:rFonts w:hint="eastAsia" w:cs="宋体"/>
          <w:color w:val="auto"/>
          <w:szCs w:val="21"/>
          <w:highlight w:val="none"/>
          <w:u w:val="single"/>
        </w:rPr>
        <w:t>（投标人名称）</w:t>
      </w:r>
      <w:r>
        <w:rPr>
          <w:rFonts w:hint="eastAsia" w:cs="宋体"/>
          <w:color w:val="auto"/>
          <w:szCs w:val="21"/>
          <w:highlight w:val="none"/>
        </w:rPr>
        <w:t>的法定代表人。</w:t>
      </w:r>
    </w:p>
    <w:p w14:paraId="429ABF67">
      <w:pPr>
        <w:rPr>
          <w:rFonts w:hint="eastAsia" w:cs="宋体"/>
          <w:color w:val="auto"/>
          <w:szCs w:val="21"/>
          <w:highlight w:val="none"/>
        </w:rPr>
      </w:pPr>
      <w:r>
        <w:rPr>
          <w:rFonts w:hint="eastAsia" w:cs="宋体"/>
          <w:color w:val="auto"/>
          <w:szCs w:val="21"/>
          <w:highlight w:val="none"/>
        </w:rPr>
        <w:t>特此证明。</w:t>
      </w:r>
    </w:p>
    <w:p w14:paraId="13C259D0">
      <w:pPr>
        <w:rPr>
          <w:rFonts w:hint="eastAsia" w:cs="宋体"/>
          <w:color w:val="auto"/>
          <w:szCs w:val="21"/>
          <w:highlight w:val="none"/>
        </w:rPr>
      </w:pPr>
    </w:p>
    <w:p w14:paraId="6621BE29">
      <w:pPr>
        <w:pStyle w:val="23"/>
        <w:spacing w:line="500" w:lineRule="exact"/>
        <w:rPr>
          <w:rFonts w:hint="eastAsia" w:cs="宋体"/>
          <w:b/>
          <w:bCs/>
          <w:color w:val="auto"/>
          <w:szCs w:val="21"/>
          <w:highlight w:val="none"/>
        </w:rPr>
      </w:pPr>
      <w:r>
        <w:rPr>
          <w:rFonts w:hint="eastAsia" w:cs="宋体"/>
          <w:b/>
          <w:bCs/>
          <w:color w:val="auto"/>
          <w:szCs w:val="21"/>
          <w:highlight w:val="none"/>
        </w:rPr>
        <w:t>注: 后附法定代表人身份证（扫描件），否则视为无效证明书。</w:t>
      </w:r>
    </w:p>
    <w:p w14:paraId="0891ABDD">
      <w:pPr>
        <w:rPr>
          <w:rFonts w:hint="eastAsia" w:cs="宋体"/>
          <w:color w:val="auto"/>
          <w:szCs w:val="21"/>
          <w:highlight w:val="none"/>
        </w:rPr>
      </w:pPr>
    </w:p>
    <w:p w14:paraId="68C81B4D">
      <w:pPr>
        <w:rPr>
          <w:rFonts w:hint="eastAsia" w:cs="宋体"/>
          <w:color w:val="auto"/>
          <w:szCs w:val="21"/>
          <w:highlight w:val="none"/>
        </w:rPr>
      </w:pPr>
    </w:p>
    <w:p w14:paraId="14E1EDC7">
      <w:pPr>
        <w:ind w:firstLine="2963" w:firstLineChars="1411"/>
        <w:jc w:val="right"/>
        <w:rPr>
          <w:rFonts w:hint="eastAsia" w:cs="宋体"/>
          <w:b/>
          <w:color w:val="auto"/>
          <w:szCs w:val="21"/>
          <w:highlight w:val="none"/>
        </w:rPr>
      </w:pPr>
    </w:p>
    <w:p w14:paraId="3505D97B">
      <w:pPr>
        <w:ind w:firstLine="2963" w:firstLineChars="1411"/>
        <w:jc w:val="right"/>
        <w:rPr>
          <w:rFonts w:hint="eastAsia" w:cs="宋体"/>
          <w:b/>
          <w:color w:val="auto"/>
          <w:szCs w:val="21"/>
          <w:highlight w:val="none"/>
        </w:rPr>
      </w:pPr>
      <w:r>
        <w:rPr>
          <w:rFonts w:hint="eastAsia" w:cs="宋体"/>
          <w:b/>
          <w:color w:val="auto"/>
          <w:szCs w:val="21"/>
          <w:highlight w:val="none"/>
        </w:rPr>
        <w:t>投标人：</w:t>
      </w:r>
      <w:r>
        <w:rPr>
          <w:rFonts w:hint="eastAsia" w:cs="宋体"/>
          <w:b/>
          <w:color w:val="auto"/>
          <w:szCs w:val="21"/>
          <w:highlight w:val="none"/>
          <w:u w:val="single"/>
        </w:rPr>
        <w:t xml:space="preserve">          </w:t>
      </w:r>
      <w:r>
        <w:rPr>
          <w:rFonts w:hint="eastAsia" w:cs="宋体"/>
          <w:b/>
          <w:color w:val="auto"/>
          <w:szCs w:val="21"/>
          <w:highlight w:val="none"/>
        </w:rPr>
        <w:t>（加盖电子公章）</w:t>
      </w:r>
    </w:p>
    <w:p w14:paraId="1F3EC6C5">
      <w:pPr>
        <w:ind w:firstLine="2963" w:firstLineChars="1411"/>
        <w:jc w:val="right"/>
        <w:rPr>
          <w:rFonts w:hint="eastAsia" w:cs="宋体"/>
          <w:b/>
          <w:color w:val="auto"/>
          <w:szCs w:val="21"/>
          <w:highlight w:val="none"/>
          <w:u w:val="single"/>
        </w:rPr>
      </w:pPr>
    </w:p>
    <w:p w14:paraId="1FB83A08">
      <w:pPr>
        <w:ind w:firstLine="2963" w:firstLineChars="1411"/>
        <w:jc w:val="right"/>
        <w:rPr>
          <w:rFonts w:hint="eastAsia" w:cs="宋体"/>
          <w:b/>
          <w:color w:val="auto"/>
          <w:szCs w:val="21"/>
          <w:highlight w:val="none"/>
        </w:rPr>
      </w:pPr>
      <w:r>
        <w:rPr>
          <w:rFonts w:hint="eastAsia" w:cs="宋体"/>
          <w:b/>
          <w:bCs/>
          <w:color w:val="auto"/>
          <w:szCs w:val="21"/>
          <w:highlight w:val="none"/>
          <w:u w:val="none"/>
          <w:lang w:val="en-US" w:eastAsia="zh-CN"/>
        </w:rPr>
        <w:t>日期：</w:t>
      </w:r>
      <w:r>
        <w:rPr>
          <w:rFonts w:hint="eastAsia" w:cs="宋体"/>
          <w:color w:val="auto"/>
          <w:szCs w:val="21"/>
          <w:highlight w:val="none"/>
          <w:u w:val="single"/>
        </w:rPr>
        <w:t xml:space="preserve">    </w:t>
      </w:r>
      <w:r>
        <w:rPr>
          <w:rFonts w:hint="eastAsia" w:cs="宋体"/>
          <w:b/>
          <w:color w:val="auto"/>
          <w:szCs w:val="21"/>
          <w:highlight w:val="none"/>
        </w:rPr>
        <w:t>年</w:t>
      </w:r>
      <w:r>
        <w:rPr>
          <w:rFonts w:hint="eastAsia" w:cs="宋体"/>
          <w:color w:val="auto"/>
          <w:szCs w:val="21"/>
          <w:highlight w:val="none"/>
          <w:u w:val="single"/>
        </w:rPr>
        <w:t xml:space="preserve">    </w:t>
      </w:r>
      <w:r>
        <w:rPr>
          <w:rFonts w:hint="eastAsia" w:cs="宋体"/>
          <w:b/>
          <w:color w:val="auto"/>
          <w:szCs w:val="21"/>
          <w:highlight w:val="none"/>
        </w:rPr>
        <w:t>月</w:t>
      </w:r>
      <w:r>
        <w:rPr>
          <w:rFonts w:hint="eastAsia" w:cs="宋体"/>
          <w:color w:val="auto"/>
          <w:szCs w:val="21"/>
          <w:highlight w:val="none"/>
          <w:u w:val="single"/>
        </w:rPr>
        <w:t xml:space="preserve">    </w:t>
      </w:r>
      <w:r>
        <w:rPr>
          <w:rFonts w:hint="eastAsia" w:cs="宋体"/>
          <w:b/>
          <w:color w:val="auto"/>
          <w:szCs w:val="21"/>
          <w:highlight w:val="none"/>
        </w:rPr>
        <w:t>日</w:t>
      </w:r>
    </w:p>
    <w:p w14:paraId="34826695">
      <w:pPr>
        <w:ind w:left="5397" w:leftChars="2570"/>
        <w:rPr>
          <w:rFonts w:hint="eastAsia" w:cs="宋体"/>
          <w:color w:val="auto"/>
          <w:szCs w:val="21"/>
          <w:highlight w:val="none"/>
        </w:rPr>
      </w:pPr>
    </w:p>
    <w:p w14:paraId="4F9A46E9">
      <w:pPr>
        <w:rPr>
          <w:rFonts w:hint="eastAsia" w:cs="宋体"/>
          <w:color w:val="auto"/>
          <w:szCs w:val="21"/>
          <w:highlight w:val="none"/>
        </w:rPr>
      </w:pPr>
    </w:p>
    <w:p w14:paraId="65B9E820">
      <w:pPr>
        <w:pStyle w:val="23"/>
        <w:spacing w:line="600" w:lineRule="exact"/>
        <w:rPr>
          <w:rFonts w:hint="eastAsia" w:cs="宋体"/>
          <w:b/>
          <w:color w:val="auto"/>
          <w:sz w:val="28"/>
          <w:szCs w:val="28"/>
          <w:highlight w:val="none"/>
        </w:rPr>
      </w:pPr>
      <w:r>
        <w:rPr>
          <w:rFonts w:hint="eastAsia" w:cs="宋体"/>
          <w:b/>
          <w:color w:val="auto"/>
          <w:szCs w:val="21"/>
          <w:highlight w:val="none"/>
        </w:rPr>
        <w:br w:type="page"/>
      </w:r>
    </w:p>
    <w:p w14:paraId="63DB90DC">
      <w:pPr>
        <w:jc w:val="center"/>
        <w:outlineLvl w:val="2"/>
        <w:rPr>
          <w:rFonts w:hint="eastAsia"/>
          <w:b/>
          <w:bCs/>
          <w:color w:val="auto"/>
          <w:sz w:val="28"/>
          <w:szCs w:val="36"/>
          <w:highlight w:val="none"/>
        </w:rPr>
      </w:pPr>
      <w:bookmarkStart w:id="151" w:name="_Toc213141107"/>
      <w:bookmarkStart w:id="152" w:name="_Toc166067771"/>
      <w:bookmarkStart w:id="153" w:name="_Toc493600019"/>
      <w:bookmarkStart w:id="154" w:name="_Toc29216"/>
      <w:bookmarkStart w:id="155" w:name="_Toc6133"/>
      <w:bookmarkStart w:id="156" w:name="_Toc496520987"/>
      <w:bookmarkStart w:id="157" w:name="_Toc5482"/>
      <w:r>
        <w:rPr>
          <w:rFonts w:hint="eastAsia"/>
          <w:b/>
          <w:bCs/>
          <w:color w:val="auto"/>
          <w:sz w:val="28"/>
          <w:szCs w:val="36"/>
          <w:highlight w:val="none"/>
        </w:rPr>
        <w:t>（三）法定代表人授权委托书</w:t>
      </w:r>
      <w:bookmarkEnd w:id="151"/>
      <w:bookmarkEnd w:id="152"/>
      <w:bookmarkEnd w:id="153"/>
      <w:bookmarkEnd w:id="154"/>
      <w:bookmarkEnd w:id="155"/>
      <w:bookmarkEnd w:id="156"/>
      <w:bookmarkEnd w:id="157"/>
    </w:p>
    <w:p w14:paraId="01933775">
      <w:pPr>
        <w:pStyle w:val="23"/>
        <w:spacing w:line="500" w:lineRule="exact"/>
        <w:rPr>
          <w:rFonts w:hint="eastAsia" w:cs="宋体"/>
          <w:b/>
          <w:bCs/>
          <w:color w:val="auto"/>
          <w:szCs w:val="21"/>
          <w:highlight w:val="none"/>
        </w:rPr>
      </w:pPr>
      <w:bookmarkStart w:id="158" w:name="_Hlk57300265"/>
      <w:r>
        <w:rPr>
          <w:rFonts w:hint="eastAsia" w:cs="宋体"/>
          <w:b/>
          <w:bCs/>
          <w:color w:val="auto"/>
          <w:szCs w:val="21"/>
          <w:highlight w:val="none"/>
        </w:rPr>
        <w:t>（注：如为法定代表人在投标过程中签署一切文件和处理与之有关的一切事务，无需提供法定代表人授权委托书。）</w:t>
      </w:r>
    </w:p>
    <w:bookmarkEnd w:id="158"/>
    <w:p w14:paraId="1AA65678">
      <w:pPr>
        <w:ind w:firstLine="420" w:firstLineChars="200"/>
        <w:rPr>
          <w:rFonts w:hint="eastAsia" w:cs="宋体"/>
          <w:color w:val="auto"/>
          <w:szCs w:val="21"/>
          <w:highlight w:val="none"/>
        </w:rPr>
      </w:pPr>
      <w:r>
        <w:rPr>
          <w:rFonts w:hint="eastAsia" w:cs="宋体"/>
          <w:color w:val="auto"/>
          <w:szCs w:val="21"/>
          <w:highlight w:val="none"/>
        </w:rPr>
        <w:t>本授权书声明：</w:t>
      </w:r>
      <w:r>
        <w:rPr>
          <w:rFonts w:hint="eastAsia" w:cs="宋体"/>
          <w:color w:val="auto"/>
          <w:szCs w:val="21"/>
          <w:highlight w:val="none"/>
          <w:u w:val="single"/>
        </w:rPr>
        <w:t xml:space="preserve"> （投标人全称） </w:t>
      </w:r>
      <w:r>
        <w:rPr>
          <w:rFonts w:hint="eastAsia" w:cs="宋体"/>
          <w:color w:val="auto"/>
          <w:szCs w:val="21"/>
          <w:highlight w:val="none"/>
        </w:rPr>
        <w:t>的法定代表人代表本公司授权</w:t>
      </w:r>
      <w:r>
        <w:rPr>
          <w:rFonts w:hint="eastAsia" w:cs="宋体"/>
          <w:color w:val="auto"/>
          <w:szCs w:val="21"/>
          <w:highlight w:val="none"/>
          <w:u w:val="single"/>
        </w:rPr>
        <w:t>（委托代理人姓名）</w:t>
      </w:r>
      <w:r>
        <w:rPr>
          <w:rFonts w:hint="eastAsia" w:cs="宋体"/>
          <w:color w:val="auto"/>
          <w:szCs w:val="21"/>
          <w:highlight w:val="none"/>
        </w:rPr>
        <w:t>为本公司合法代理人，就贵方组织的有关</w:t>
      </w:r>
      <w:r>
        <w:rPr>
          <w:rFonts w:hint="eastAsia" w:cs="宋体"/>
          <w:color w:val="auto"/>
          <w:szCs w:val="21"/>
          <w:highlight w:val="none"/>
          <w:u w:val="single"/>
        </w:rPr>
        <w:t>（项目名称）</w:t>
      </w:r>
      <w:r>
        <w:rPr>
          <w:rFonts w:hint="eastAsia" w:cs="宋体"/>
          <w:color w:val="auto"/>
          <w:szCs w:val="21"/>
          <w:highlight w:val="none"/>
        </w:rPr>
        <w:t>项目（招标编号：</w:t>
      </w:r>
      <w:r>
        <w:rPr>
          <w:rFonts w:hint="eastAsia" w:cs="宋体"/>
          <w:color w:val="auto"/>
          <w:szCs w:val="21"/>
          <w:highlight w:val="none"/>
          <w:u w:val="single"/>
          <w:lang w:val="en-US" w:eastAsia="zh-CN"/>
        </w:rPr>
        <w:t xml:space="preserve">         </w:t>
      </w:r>
      <w:r>
        <w:rPr>
          <w:rFonts w:hint="eastAsia" w:cs="宋体"/>
          <w:color w:val="auto"/>
          <w:szCs w:val="21"/>
          <w:highlight w:val="none"/>
        </w:rPr>
        <w:t>）的招标，以本单位名义投标。代理人在本项目投标过程中所签署的一切文件和处理与之有关的一切事务，我方均予承认。</w:t>
      </w:r>
    </w:p>
    <w:p w14:paraId="5677E8B8">
      <w:pPr>
        <w:pStyle w:val="23"/>
        <w:spacing w:line="500" w:lineRule="exact"/>
        <w:ind w:firstLine="420"/>
        <w:rPr>
          <w:rFonts w:hint="eastAsia" w:cs="宋体"/>
          <w:color w:val="auto"/>
          <w:szCs w:val="21"/>
          <w:highlight w:val="none"/>
        </w:rPr>
      </w:pPr>
      <w:r>
        <w:rPr>
          <w:rFonts w:hint="eastAsia" w:cs="宋体"/>
          <w:color w:val="auto"/>
          <w:szCs w:val="21"/>
          <w:highlight w:val="none"/>
        </w:rPr>
        <w:t>代理人无转委托权。</w:t>
      </w:r>
    </w:p>
    <w:p w14:paraId="04375164">
      <w:pPr>
        <w:pStyle w:val="23"/>
        <w:spacing w:line="500" w:lineRule="exact"/>
        <w:ind w:firstLine="420"/>
        <w:rPr>
          <w:rFonts w:hint="eastAsia" w:cs="宋体"/>
          <w:color w:val="auto"/>
          <w:szCs w:val="21"/>
          <w:highlight w:val="none"/>
        </w:rPr>
      </w:pPr>
    </w:p>
    <w:p w14:paraId="4783DB35">
      <w:pPr>
        <w:ind w:left="4193" w:leftChars="1350" w:hanging="1358" w:hangingChars="647"/>
        <w:jc w:val="right"/>
        <w:rPr>
          <w:rFonts w:hint="eastAsia" w:cs="宋体"/>
          <w:b/>
          <w:color w:val="auto"/>
          <w:szCs w:val="21"/>
          <w:highlight w:val="none"/>
        </w:rPr>
      </w:pPr>
      <w:r>
        <w:rPr>
          <w:rFonts w:hint="eastAsia" w:cs="宋体"/>
          <w:b/>
          <w:color w:val="auto"/>
          <w:szCs w:val="21"/>
          <w:highlight w:val="none"/>
        </w:rPr>
        <w:t>投标人：</w:t>
      </w:r>
      <w:r>
        <w:rPr>
          <w:rFonts w:hint="eastAsia" w:cs="宋体"/>
          <w:b/>
          <w:color w:val="auto"/>
          <w:szCs w:val="21"/>
          <w:highlight w:val="none"/>
          <w:u w:val="single"/>
        </w:rPr>
        <w:t xml:space="preserve">            </w:t>
      </w:r>
      <w:r>
        <w:rPr>
          <w:rFonts w:hint="eastAsia" w:cs="宋体"/>
          <w:b/>
          <w:color w:val="auto"/>
          <w:szCs w:val="21"/>
          <w:highlight w:val="none"/>
        </w:rPr>
        <w:t>（加盖电子公章）</w:t>
      </w:r>
    </w:p>
    <w:p w14:paraId="51C8E3CB">
      <w:pPr>
        <w:wordWrap w:val="0"/>
        <w:ind w:left="4193" w:leftChars="1350" w:hanging="1358" w:hangingChars="647"/>
        <w:jc w:val="right"/>
        <w:rPr>
          <w:rFonts w:hint="eastAsia" w:cs="宋体"/>
          <w:b/>
          <w:color w:val="auto"/>
          <w:szCs w:val="21"/>
          <w:highlight w:val="none"/>
          <w:u w:val="single"/>
        </w:rPr>
      </w:pPr>
      <w:r>
        <w:rPr>
          <w:rFonts w:hint="eastAsia" w:cs="宋体"/>
          <w:b/>
          <w:color w:val="auto"/>
          <w:szCs w:val="21"/>
          <w:highlight w:val="none"/>
        </w:rPr>
        <w:t>法定代表人/单位负责人（电子签名）：</w:t>
      </w:r>
      <w:r>
        <w:rPr>
          <w:rFonts w:hint="eastAsia" w:cs="宋体"/>
          <w:b/>
          <w:color w:val="auto"/>
          <w:szCs w:val="21"/>
          <w:highlight w:val="none"/>
          <w:u w:val="single"/>
        </w:rPr>
        <w:t xml:space="preserve">          </w:t>
      </w:r>
    </w:p>
    <w:p w14:paraId="5FDD77BB">
      <w:pPr>
        <w:ind w:left="4193" w:leftChars="1350" w:hanging="1358" w:hangingChars="647"/>
        <w:jc w:val="right"/>
        <w:rPr>
          <w:rFonts w:hint="eastAsia" w:cs="宋体"/>
          <w:b/>
          <w:color w:val="auto"/>
          <w:szCs w:val="21"/>
          <w:highlight w:val="none"/>
        </w:rPr>
      </w:pPr>
      <w:r>
        <w:rPr>
          <w:rFonts w:hint="eastAsia" w:cs="宋体"/>
          <w:b/>
          <w:color w:val="auto"/>
          <w:szCs w:val="21"/>
          <w:highlight w:val="none"/>
        </w:rPr>
        <w:t>日期：</w:t>
      </w:r>
      <w:r>
        <w:rPr>
          <w:rFonts w:hint="eastAsia" w:cs="宋体"/>
          <w:color w:val="auto"/>
          <w:szCs w:val="21"/>
          <w:highlight w:val="none"/>
          <w:u w:val="single"/>
        </w:rPr>
        <w:t xml:space="preserve">    </w:t>
      </w:r>
      <w:r>
        <w:rPr>
          <w:rFonts w:hint="eastAsia" w:cs="宋体"/>
          <w:b/>
          <w:color w:val="auto"/>
          <w:szCs w:val="21"/>
          <w:highlight w:val="none"/>
        </w:rPr>
        <w:t>年</w:t>
      </w:r>
      <w:r>
        <w:rPr>
          <w:rFonts w:hint="eastAsia" w:cs="宋体"/>
          <w:color w:val="auto"/>
          <w:szCs w:val="21"/>
          <w:highlight w:val="none"/>
          <w:u w:val="single"/>
        </w:rPr>
        <w:t xml:space="preserve">    </w:t>
      </w:r>
      <w:r>
        <w:rPr>
          <w:rFonts w:hint="eastAsia" w:cs="宋体"/>
          <w:b/>
          <w:color w:val="auto"/>
          <w:szCs w:val="21"/>
          <w:highlight w:val="none"/>
        </w:rPr>
        <w:t>月</w:t>
      </w:r>
      <w:r>
        <w:rPr>
          <w:rFonts w:hint="eastAsia" w:cs="宋体"/>
          <w:color w:val="auto"/>
          <w:szCs w:val="21"/>
          <w:highlight w:val="none"/>
          <w:u w:val="single"/>
        </w:rPr>
        <w:t xml:space="preserve">    </w:t>
      </w:r>
      <w:r>
        <w:rPr>
          <w:rFonts w:hint="eastAsia" w:cs="宋体"/>
          <w:b/>
          <w:color w:val="auto"/>
          <w:szCs w:val="21"/>
          <w:highlight w:val="none"/>
        </w:rPr>
        <w:t>日</w:t>
      </w:r>
    </w:p>
    <w:p w14:paraId="1F2F68B6">
      <w:pPr>
        <w:pStyle w:val="23"/>
        <w:spacing w:line="500" w:lineRule="exact"/>
        <w:rPr>
          <w:rFonts w:hint="eastAsia" w:cs="宋体"/>
          <w:color w:val="auto"/>
          <w:szCs w:val="21"/>
          <w:highlight w:val="none"/>
        </w:rPr>
      </w:pPr>
      <w:r>
        <w:rPr>
          <w:rFonts w:hint="eastAsia" w:cs="宋体"/>
          <w:color w:val="auto"/>
          <w:szCs w:val="21"/>
          <w:highlight w:val="none"/>
        </w:rPr>
        <w:t>__________________________________________________________________________________________</w:t>
      </w:r>
    </w:p>
    <w:tbl>
      <w:tblPr>
        <w:tblStyle w:val="44"/>
        <w:tblW w:w="6491" w:type="dxa"/>
        <w:tblInd w:w="97" w:type="dxa"/>
        <w:tblLayout w:type="fixed"/>
        <w:tblCellMar>
          <w:top w:w="0" w:type="dxa"/>
          <w:left w:w="108" w:type="dxa"/>
          <w:bottom w:w="0" w:type="dxa"/>
          <w:right w:w="108" w:type="dxa"/>
        </w:tblCellMar>
      </w:tblPr>
      <w:tblGrid>
        <w:gridCol w:w="2531"/>
        <w:gridCol w:w="3960"/>
      </w:tblGrid>
      <w:tr w14:paraId="4718E417">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0829807C">
            <w:pPr>
              <w:pStyle w:val="23"/>
              <w:spacing w:line="500" w:lineRule="exact"/>
              <w:rPr>
                <w:rFonts w:hint="eastAsia" w:cs="宋体"/>
                <w:color w:val="auto"/>
                <w:szCs w:val="21"/>
                <w:highlight w:val="none"/>
              </w:rPr>
            </w:pPr>
            <w:r>
              <w:rPr>
                <w:rFonts w:hint="eastAsia" w:cs="宋体"/>
                <w:color w:val="auto"/>
                <w:szCs w:val="21"/>
                <w:highlight w:val="none"/>
              </w:rPr>
              <w:t xml:space="preserve">附： </w:t>
            </w:r>
          </w:p>
        </w:tc>
        <w:tc>
          <w:tcPr>
            <w:tcW w:w="3960" w:type="dxa"/>
            <w:tcBorders>
              <w:top w:val="nil"/>
              <w:left w:val="nil"/>
              <w:bottom w:val="nil"/>
              <w:right w:val="nil"/>
            </w:tcBorders>
            <w:noWrap/>
          </w:tcPr>
          <w:p w14:paraId="7BEB9E6A">
            <w:pPr>
              <w:pStyle w:val="23"/>
              <w:spacing w:line="500" w:lineRule="exact"/>
              <w:rPr>
                <w:rFonts w:hint="eastAsia" w:cs="宋体"/>
                <w:color w:val="auto"/>
                <w:szCs w:val="21"/>
                <w:highlight w:val="none"/>
              </w:rPr>
            </w:pPr>
          </w:p>
        </w:tc>
      </w:tr>
      <w:tr w14:paraId="107A2FEF">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28162B6D">
            <w:pPr>
              <w:pStyle w:val="23"/>
              <w:spacing w:line="500" w:lineRule="exact"/>
              <w:jc w:val="distribute"/>
              <w:rPr>
                <w:rFonts w:hint="eastAsia" w:cs="宋体"/>
                <w:color w:val="auto"/>
                <w:szCs w:val="21"/>
                <w:highlight w:val="none"/>
              </w:rPr>
            </w:pPr>
            <w:r>
              <w:rPr>
                <w:rFonts w:hint="eastAsia" w:cs="宋体"/>
                <w:color w:val="auto"/>
                <w:szCs w:val="21"/>
                <w:highlight w:val="none"/>
              </w:rPr>
              <w:t>委托代理人姓名：</w:t>
            </w:r>
          </w:p>
        </w:tc>
        <w:tc>
          <w:tcPr>
            <w:tcW w:w="3960" w:type="dxa"/>
            <w:tcBorders>
              <w:top w:val="nil"/>
              <w:left w:val="nil"/>
              <w:bottom w:val="nil"/>
              <w:right w:val="nil"/>
            </w:tcBorders>
            <w:noWrap/>
          </w:tcPr>
          <w:p w14:paraId="553ECCF8">
            <w:pPr>
              <w:pStyle w:val="23"/>
              <w:spacing w:line="500" w:lineRule="exact"/>
              <w:rPr>
                <w:rFonts w:hint="eastAsia" w:cs="宋体"/>
                <w:color w:val="auto"/>
                <w:szCs w:val="21"/>
                <w:highlight w:val="none"/>
              </w:rPr>
            </w:pPr>
          </w:p>
        </w:tc>
      </w:tr>
      <w:tr w14:paraId="49B79475">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2B4EB3C3">
            <w:pPr>
              <w:pStyle w:val="23"/>
              <w:spacing w:line="500" w:lineRule="exact"/>
              <w:jc w:val="distribute"/>
              <w:rPr>
                <w:rFonts w:hint="eastAsia" w:cs="宋体"/>
                <w:color w:val="auto"/>
                <w:szCs w:val="21"/>
                <w:highlight w:val="none"/>
              </w:rPr>
            </w:pPr>
            <w:r>
              <w:rPr>
                <w:rFonts w:hint="eastAsia" w:cs="宋体"/>
                <w:color w:val="auto"/>
                <w:szCs w:val="21"/>
                <w:highlight w:val="none"/>
              </w:rPr>
              <w:t>职       务：</w:t>
            </w:r>
          </w:p>
        </w:tc>
        <w:tc>
          <w:tcPr>
            <w:tcW w:w="3960" w:type="dxa"/>
            <w:tcBorders>
              <w:top w:val="nil"/>
              <w:left w:val="nil"/>
              <w:bottom w:val="nil"/>
              <w:right w:val="nil"/>
            </w:tcBorders>
            <w:noWrap/>
          </w:tcPr>
          <w:p w14:paraId="05C0F82A">
            <w:pPr>
              <w:pStyle w:val="23"/>
              <w:spacing w:line="500" w:lineRule="exact"/>
              <w:rPr>
                <w:rFonts w:hint="eastAsia" w:cs="宋体"/>
                <w:color w:val="auto"/>
                <w:szCs w:val="21"/>
                <w:highlight w:val="none"/>
              </w:rPr>
            </w:pPr>
          </w:p>
        </w:tc>
      </w:tr>
      <w:tr w14:paraId="69811F0D">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45E6766E">
            <w:pPr>
              <w:pStyle w:val="23"/>
              <w:spacing w:line="500" w:lineRule="exact"/>
              <w:jc w:val="distribute"/>
              <w:rPr>
                <w:rFonts w:hint="eastAsia" w:cs="宋体"/>
                <w:color w:val="auto"/>
                <w:szCs w:val="21"/>
                <w:highlight w:val="none"/>
              </w:rPr>
            </w:pPr>
            <w:r>
              <w:rPr>
                <w:rFonts w:hint="eastAsia" w:cs="宋体"/>
                <w:color w:val="auto"/>
                <w:szCs w:val="21"/>
                <w:highlight w:val="none"/>
              </w:rPr>
              <w:t>身份证号码：</w:t>
            </w:r>
          </w:p>
        </w:tc>
        <w:tc>
          <w:tcPr>
            <w:tcW w:w="3960" w:type="dxa"/>
            <w:tcBorders>
              <w:top w:val="nil"/>
              <w:left w:val="nil"/>
              <w:bottom w:val="nil"/>
              <w:right w:val="nil"/>
            </w:tcBorders>
            <w:noWrap/>
          </w:tcPr>
          <w:p w14:paraId="376BA3FB">
            <w:pPr>
              <w:pStyle w:val="23"/>
              <w:spacing w:line="500" w:lineRule="exact"/>
              <w:rPr>
                <w:rFonts w:hint="eastAsia" w:cs="宋体"/>
                <w:color w:val="auto"/>
                <w:szCs w:val="21"/>
                <w:highlight w:val="none"/>
              </w:rPr>
            </w:pPr>
          </w:p>
        </w:tc>
      </w:tr>
      <w:tr w14:paraId="5451EF98">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762DA10B">
            <w:pPr>
              <w:pStyle w:val="23"/>
              <w:spacing w:line="500" w:lineRule="exact"/>
              <w:jc w:val="distribute"/>
              <w:rPr>
                <w:rFonts w:hint="eastAsia" w:cs="宋体"/>
                <w:color w:val="auto"/>
                <w:szCs w:val="21"/>
                <w:highlight w:val="none"/>
              </w:rPr>
            </w:pPr>
            <w:r>
              <w:rPr>
                <w:rFonts w:hint="eastAsia" w:cs="宋体"/>
                <w:color w:val="auto"/>
                <w:szCs w:val="21"/>
                <w:highlight w:val="none"/>
              </w:rPr>
              <w:t>详 细  地 址：</w:t>
            </w:r>
          </w:p>
        </w:tc>
        <w:tc>
          <w:tcPr>
            <w:tcW w:w="3960" w:type="dxa"/>
            <w:tcBorders>
              <w:top w:val="nil"/>
              <w:left w:val="nil"/>
              <w:bottom w:val="nil"/>
              <w:right w:val="nil"/>
            </w:tcBorders>
            <w:noWrap/>
          </w:tcPr>
          <w:p w14:paraId="704745E4">
            <w:pPr>
              <w:pStyle w:val="23"/>
              <w:spacing w:line="500" w:lineRule="exact"/>
              <w:rPr>
                <w:rFonts w:hint="eastAsia" w:cs="宋体"/>
                <w:color w:val="auto"/>
                <w:szCs w:val="21"/>
                <w:highlight w:val="none"/>
              </w:rPr>
            </w:pPr>
          </w:p>
        </w:tc>
      </w:tr>
      <w:tr w14:paraId="588F80D9">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0DEF3007">
            <w:pPr>
              <w:pStyle w:val="23"/>
              <w:spacing w:line="500" w:lineRule="exact"/>
              <w:jc w:val="distribute"/>
              <w:rPr>
                <w:rFonts w:hint="eastAsia" w:cs="宋体"/>
                <w:color w:val="auto"/>
                <w:szCs w:val="21"/>
                <w:highlight w:val="none"/>
              </w:rPr>
            </w:pPr>
            <w:r>
              <w:rPr>
                <w:rFonts w:hint="eastAsia" w:cs="宋体"/>
                <w:color w:val="auto"/>
                <w:szCs w:val="21"/>
                <w:highlight w:val="none"/>
              </w:rPr>
              <w:t>电       话：</w:t>
            </w:r>
          </w:p>
        </w:tc>
        <w:tc>
          <w:tcPr>
            <w:tcW w:w="3960" w:type="dxa"/>
            <w:tcBorders>
              <w:top w:val="nil"/>
              <w:left w:val="nil"/>
              <w:bottom w:val="nil"/>
              <w:right w:val="nil"/>
            </w:tcBorders>
            <w:noWrap/>
          </w:tcPr>
          <w:p w14:paraId="377E80AA">
            <w:pPr>
              <w:pStyle w:val="23"/>
              <w:spacing w:line="500" w:lineRule="exact"/>
              <w:rPr>
                <w:rFonts w:hint="eastAsia" w:cs="宋体"/>
                <w:color w:val="auto"/>
                <w:szCs w:val="21"/>
                <w:highlight w:val="none"/>
              </w:rPr>
            </w:pPr>
          </w:p>
        </w:tc>
      </w:tr>
    </w:tbl>
    <w:p w14:paraId="2499E37C">
      <w:pPr>
        <w:pStyle w:val="23"/>
        <w:spacing w:line="500" w:lineRule="exact"/>
        <w:ind w:firstLine="420"/>
        <w:rPr>
          <w:rFonts w:hint="eastAsia" w:cs="宋体"/>
          <w:b/>
          <w:bCs/>
          <w:color w:val="auto"/>
          <w:szCs w:val="21"/>
          <w:highlight w:val="none"/>
        </w:rPr>
      </w:pPr>
      <w:r>
        <w:rPr>
          <w:rFonts w:hint="eastAsia" w:cs="宋体"/>
          <w:b/>
          <w:bCs/>
          <w:color w:val="auto"/>
          <w:szCs w:val="21"/>
          <w:highlight w:val="none"/>
        </w:rPr>
        <w:t>注:后附委托代理人身份证（扫描件）</w:t>
      </w:r>
      <w:bookmarkStart w:id="159" w:name="_Hlk57300346"/>
      <w:r>
        <w:rPr>
          <w:rFonts w:hint="eastAsia" w:cs="宋体"/>
          <w:b/>
          <w:bCs/>
          <w:color w:val="auto"/>
          <w:szCs w:val="21"/>
          <w:highlight w:val="none"/>
        </w:rPr>
        <w:t>，否则视为无效委托书</w:t>
      </w:r>
      <w:bookmarkEnd w:id="159"/>
      <w:r>
        <w:rPr>
          <w:rFonts w:hint="eastAsia" w:cs="宋体"/>
          <w:b/>
          <w:bCs/>
          <w:color w:val="auto"/>
          <w:szCs w:val="21"/>
          <w:highlight w:val="none"/>
        </w:rPr>
        <w:t>。</w:t>
      </w:r>
    </w:p>
    <w:p w14:paraId="0A6A6B6A">
      <w:pPr>
        <w:pStyle w:val="23"/>
        <w:spacing w:line="600" w:lineRule="exact"/>
        <w:rPr>
          <w:rFonts w:hint="eastAsia" w:cs="宋体"/>
          <w:b/>
          <w:color w:val="auto"/>
          <w:sz w:val="28"/>
          <w:szCs w:val="28"/>
          <w:highlight w:val="none"/>
        </w:rPr>
      </w:pPr>
      <w:r>
        <w:rPr>
          <w:rFonts w:hint="eastAsia" w:cs="宋体"/>
          <w:color w:val="auto"/>
          <w:sz w:val="24"/>
          <w:highlight w:val="none"/>
        </w:rPr>
        <w:br w:type="page"/>
      </w:r>
    </w:p>
    <w:p w14:paraId="680F3C8A">
      <w:pPr>
        <w:jc w:val="center"/>
        <w:outlineLvl w:val="2"/>
        <w:rPr>
          <w:rFonts w:hint="eastAsia"/>
          <w:b/>
          <w:bCs/>
          <w:color w:val="auto"/>
          <w:sz w:val="28"/>
          <w:szCs w:val="36"/>
          <w:highlight w:val="none"/>
        </w:rPr>
      </w:pPr>
      <w:bookmarkStart w:id="160" w:name="_Toc6898"/>
      <w:bookmarkStart w:id="161" w:name="_Toc9208"/>
      <w:bookmarkStart w:id="162" w:name="_Toc25787"/>
      <w:bookmarkStart w:id="163" w:name="_Toc166067772"/>
      <w:r>
        <w:rPr>
          <w:rFonts w:hint="eastAsia"/>
          <w:b/>
          <w:bCs/>
          <w:color w:val="auto"/>
          <w:sz w:val="28"/>
          <w:szCs w:val="36"/>
          <w:highlight w:val="none"/>
        </w:rPr>
        <w:t>（四）投标保证金交纳凭证</w:t>
      </w:r>
      <w:bookmarkEnd w:id="160"/>
      <w:bookmarkEnd w:id="161"/>
      <w:bookmarkEnd w:id="162"/>
      <w:bookmarkEnd w:id="163"/>
    </w:p>
    <w:p w14:paraId="15364B42">
      <w:pPr>
        <w:jc w:val="center"/>
        <w:rPr>
          <w:rFonts w:hint="eastAsia" w:cs="宋体"/>
          <w:color w:val="auto"/>
          <w:szCs w:val="15"/>
          <w:highlight w:val="none"/>
        </w:rPr>
      </w:pPr>
      <w:r>
        <w:rPr>
          <w:rFonts w:hint="eastAsia" w:cs="宋体"/>
          <w:color w:val="auto"/>
          <w:szCs w:val="15"/>
          <w:highlight w:val="none"/>
        </w:rPr>
        <w:t>（扫描件）</w:t>
      </w:r>
    </w:p>
    <w:p w14:paraId="6D9711D8">
      <w:pPr>
        <w:rPr>
          <w:rFonts w:hint="eastAsia"/>
          <w:color w:val="auto"/>
          <w:highlight w:val="none"/>
        </w:rPr>
      </w:pPr>
    </w:p>
    <w:p w14:paraId="6CC32CA0">
      <w:pPr>
        <w:rPr>
          <w:rFonts w:hint="eastAsia"/>
          <w:color w:val="auto"/>
          <w:highlight w:val="none"/>
        </w:rPr>
      </w:pPr>
    </w:p>
    <w:p w14:paraId="53E9A8E9">
      <w:pPr>
        <w:jc w:val="center"/>
        <w:outlineLvl w:val="2"/>
        <w:rPr>
          <w:rFonts w:hint="eastAsia"/>
          <w:b/>
          <w:bCs/>
          <w:color w:val="auto"/>
          <w:sz w:val="48"/>
          <w:szCs w:val="48"/>
          <w:highlight w:val="none"/>
        </w:rPr>
      </w:pPr>
      <w:bookmarkStart w:id="164" w:name="_Toc166067773"/>
      <w:bookmarkStart w:id="165" w:name="_Toc27954"/>
      <w:r>
        <w:rPr>
          <w:rFonts w:hint="eastAsia"/>
          <w:b/>
          <w:bCs/>
          <w:color w:val="auto"/>
          <w:sz w:val="28"/>
          <w:szCs w:val="36"/>
          <w:highlight w:val="none"/>
        </w:rPr>
        <w:t>（五）</w:t>
      </w:r>
      <w:bookmarkEnd w:id="146"/>
      <w:bookmarkEnd w:id="147"/>
      <w:bookmarkEnd w:id="148"/>
      <w:r>
        <w:rPr>
          <w:rFonts w:hint="eastAsia"/>
          <w:b/>
          <w:bCs/>
          <w:color w:val="auto"/>
          <w:sz w:val="28"/>
          <w:szCs w:val="36"/>
          <w:highlight w:val="none"/>
        </w:rPr>
        <w:t>营业执照或同等法定证明</w:t>
      </w:r>
      <w:bookmarkEnd w:id="164"/>
      <w:bookmarkEnd w:id="165"/>
    </w:p>
    <w:p w14:paraId="7D671179">
      <w:pPr>
        <w:spacing w:line="500" w:lineRule="exact"/>
        <w:jc w:val="center"/>
        <w:rPr>
          <w:rFonts w:hint="eastAsia" w:cs="宋体"/>
          <w:color w:val="auto"/>
          <w:szCs w:val="21"/>
          <w:highlight w:val="none"/>
        </w:rPr>
      </w:pPr>
      <w:r>
        <w:rPr>
          <w:rFonts w:hint="eastAsia" w:cs="宋体"/>
          <w:color w:val="auto"/>
          <w:szCs w:val="21"/>
          <w:highlight w:val="none"/>
        </w:rPr>
        <w:t>（扫描件/复印件）</w:t>
      </w:r>
    </w:p>
    <w:p w14:paraId="2AF29B00">
      <w:pPr>
        <w:spacing w:line="500" w:lineRule="exact"/>
        <w:jc w:val="center"/>
        <w:rPr>
          <w:rFonts w:hint="eastAsia" w:cs="宋体"/>
          <w:color w:val="auto"/>
          <w:szCs w:val="21"/>
          <w:highlight w:val="none"/>
        </w:rPr>
      </w:pPr>
      <w:r>
        <w:rPr>
          <w:rFonts w:hint="eastAsia" w:cs="宋体"/>
          <w:color w:val="auto"/>
          <w:szCs w:val="20"/>
          <w:highlight w:val="none"/>
        </w:rPr>
        <w:t>详见“</w:t>
      </w:r>
      <w:r>
        <w:rPr>
          <w:rFonts w:hint="eastAsia" w:cs="宋体"/>
          <w:b/>
          <w:color w:val="auto"/>
          <w:szCs w:val="28"/>
          <w:highlight w:val="none"/>
        </w:rPr>
        <w:t>投标人须知</w:t>
      </w:r>
      <w:r>
        <w:rPr>
          <w:rFonts w:hint="eastAsia" w:cs="宋体"/>
          <w:color w:val="auto"/>
          <w:szCs w:val="20"/>
          <w:highlight w:val="none"/>
        </w:rPr>
        <w:t>”4.1.</w:t>
      </w:r>
      <w:r>
        <w:rPr>
          <w:rFonts w:cs="宋体"/>
          <w:color w:val="auto"/>
          <w:szCs w:val="20"/>
          <w:highlight w:val="none"/>
        </w:rPr>
        <w:t>1</w:t>
      </w:r>
      <w:r>
        <w:rPr>
          <w:rFonts w:hint="eastAsia" w:cs="宋体"/>
          <w:color w:val="auto"/>
          <w:szCs w:val="20"/>
          <w:highlight w:val="none"/>
        </w:rPr>
        <w:t>款规定。</w:t>
      </w:r>
    </w:p>
    <w:p w14:paraId="32E4004C">
      <w:pPr>
        <w:spacing w:line="600" w:lineRule="exact"/>
        <w:jc w:val="left"/>
        <w:rPr>
          <w:rFonts w:hint="eastAsia" w:cs="宋体"/>
          <w:b/>
          <w:color w:val="auto"/>
          <w:sz w:val="28"/>
          <w:szCs w:val="28"/>
          <w:highlight w:val="none"/>
        </w:rPr>
      </w:pPr>
    </w:p>
    <w:p w14:paraId="65589B62">
      <w:pPr>
        <w:spacing w:line="600" w:lineRule="exact"/>
        <w:jc w:val="left"/>
        <w:rPr>
          <w:rFonts w:hint="eastAsia" w:cs="宋体"/>
          <w:b/>
          <w:color w:val="auto"/>
          <w:sz w:val="28"/>
          <w:szCs w:val="28"/>
          <w:highlight w:val="none"/>
        </w:rPr>
      </w:pPr>
    </w:p>
    <w:p w14:paraId="5F3DEBE6">
      <w:pPr>
        <w:jc w:val="center"/>
        <w:outlineLvl w:val="2"/>
        <w:rPr>
          <w:rFonts w:hint="eastAsia"/>
          <w:b/>
          <w:bCs/>
          <w:color w:val="auto"/>
          <w:sz w:val="28"/>
          <w:szCs w:val="36"/>
          <w:highlight w:val="none"/>
        </w:rPr>
      </w:pPr>
      <w:bookmarkStart w:id="166" w:name="_Toc28984"/>
      <w:bookmarkStart w:id="167" w:name="_Toc125986476"/>
      <w:bookmarkStart w:id="168" w:name="_Toc166067774"/>
      <w:bookmarkStart w:id="169" w:name="_Toc125904339"/>
      <w:bookmarkStart w:id="170" w:name="_Toc139357067"/>
      <w:r>
        <w:rPr>
          <w:rFonts w:hint="eastAsia"/>
          <w:b/>
          <w:bCs/>
          <w:color w:val="auto"/>
          <w:sz w:val="28"/>
          <w:szCs w:val="36"/>
          <w:highlight w:val="none"/>
        </w:rPr>
        <w:t>（六）投标人财务状况报告</w:t>
      </w:r>
      <w:bookmarkEnd w:id="166"/>
      <w:bookmarkEnd w:id="167"/>
      <w:bookmarkEnd w:id="168"/>
      <w:bookmarkEnd w:id="169"/>
      <w:bookmarkEnd w:id="170"/>
    </w:p>
    <w:p w14:paraId="525DB293">
      <w:pPr>
        <w:jc w:val="center"/>
        <w:rPr>
          <w:rFonts w:hint="eastAsia" w:cs="宋体"/>
          <w:color w:val="auto"/>
          <w:highlight w:val="none"/>
        </w:rPr>
      </w:pPr>
      <w:r>
        <w:rPr>
          <w:rFonts w:hint="eastAsia" w:cs="宋体"/>
          <w:color w:val="auto"/>
          <w:highlight w:val="none"/>
        </w:rPr>
        <w:t>详见“</w:t>
      </w:r>
      <w:r>
        <w:rPr>
          <w:rFonts w:hint="eastAsia" w:cs="宋体"/>
          <w:b/>
          <w:color w:val="auto"/>
          <w:szCs w:val="28"/>
          <w:highlight w:val="none"/>
        </w:rPr>
        <w:t>投标人须知前附表</w:t>
      </w:r>
      <w:r>
        <w:rPr>
          <w:rFonts w:hint="eastAsia" w:cs="宋体"/>
          <w:color w:val="auto"/>
          <w:highlight w:val="none"/>
        </w:rPr>
        <w:t>”4.1.2款规定。</w:t>
      </w:r>
    </w:p>
    <w:p w14:paraId="784CD6E7">
      <w:pPr>
        <w:spacing w:line="600" w:lineRule="exact"/>
        <w:jc w:val="left"/>
        <w:rPr>
          <w:rFonts w:hint="eastAsia" w:cs="宋体"/>
          <w:b/>
          <w:color w:val="auto"/>
          <w:sz w:val="28"/>
          <w:szCs w:val="28"/>
          <w:highlight w:val="none"/>
        </w:rPr>
      </w:pPr>
    </w:p>
    <w:p w14:paraId="13395AA2">
      <w:pPr>
        <w:spacing w:line="600" w:lineRule="exact"/>
        <w:jc w:val="left"/>
        <w:rPr>
          <w:rFonts w:hint="eastAsia" w:cs="宋体"/>
          <w:b/>
          <w:color w:val="auto"/>
          <w:sz w:val="28"/>
          <w:szCs w:val="28"/>
          <w:highlight w:val="none"/>
        </w:rPr>
      </w:pPr>
    </w:p>
    <w:p w14:paraId="1C774CD4">
      <w:pPr>
        <w:jc w:val="center"/>
        <w:outlineLvl w:val="2"/>
        <w:rPr>
          <w:rFonts w:hint="eastAsia"/>
          <w:b/>
          <w:bCs/>
          <w:color w:val="auto"/>
          <w:sz w:val="28"/>
          <w:szCs w:val="36"/>
          <w:highlight w:val="none"/>
        </w:rPr>
      </w:pPr>
      <w:bookmarkStart w:id="171" w:name="_Toc125986477"/>
      <w:bookmarkStart w:id="172" w:name="_Toc166067775"/>
      <w:bookmarkStart w:id="173" w:name="_Toc125904340"/>
      <w:bookmarkStart w:id="174" w:name="_Toc3969"/>
      <w:bookmarkStart w:id="175" w:name="_Toc139357068"/>
      <w:r>
        <w:rPr>
          <w:rFonts w:hint="eastAsia"/>
          <w:b/>
          <w:bCs/>
          <w:color w:val="auto"/>
          <w:sz w:val="28"/>
          <w:szCs w:val="36"/>
          <w:highlight w:val="none"/>
        </w:rPr>
        <w:t>（七）投标人依法缴纳税收的证明材料</w:t>
      </w:r>
      <w:bookmarkEnd w:id="171"/>
      <w:bookmarkEnd w:id="172"/>
      <w:bookmarkEnd w:id="173"/>
      <w:bookmarkEnd w:id="174"/>
      <w:bookmarkEnd w:id="175"/>
    </w:p>
    <w:p w14:paraId="14088343">
      <w:pPr>
        <w:jc w:val="center"/>
        <w:rPr>
          <w:rFonts w:hint="eastAsia" w:cs="宋体"/>
          <w:color w:val="auto"/>
          <w:highlight w:val="none"/>
        </w:rPr>
      </w:pPr>
      <w:r>
        <w:rPr>
          <w:rFonts w:hint="eastAsia" w:cs="宋体"/>
          <w:color w:val="auto"/>
          <w:highlight w:val="none"/>
        </w:rPr>
        <w:t>详见“</w:t>
      </w:r>
      <w:r>
        <w:rPr>
          <w:rFonts w:hint="eastAsia" w:cs="宋体"/>
          <w:b/>
          <w:color w:val="auto"/>
          <w:szCs w:val="28"/>
          <w:highlight w:val="none"/>
        </w:rPr>
        <w:t>投标人须知前附表</w:t>
      </w:r>
      <w:r>
        <w:rPr>
          <w:rFonts w:hint="eastAsia" w:cs="宋体"/>
          <w:color w:val="auto"/>
          <w:highlight w:val="none"/>
        </w:rPr>
        <w:t>”4.1.3款规定。</w:t>
      </w:r>
    </w:p>
    <w:p w14:paraId="64DC0B3A">
      <w:pPr>
        <w:widowControl/>
        <w:jc w:val="left"/>
        <w:rPr>
          <w:rFonts w:hint="eastAsia" w:cs="宋体"/>
          <w:color w:val="auto"/>
          <w:highlight w:val="none"/>
        </w:rPr>
      </w:pPr>
    </w:p>
    <w:p w14:paraId="676EFFB5">
      <w:pPr>
        <w:widowControl/>
        <w:jc w:val="left"/>
        <w:rPr>
          <w:rFonts w:hint="eastAsia" w:cs="宋体"/>
          <w:color w:val="auto"/>
          <w:highlight w:val="none"/>
        </w:rPr>
      </w:pPr>
    </w:p>
    <w:p w14:paraId="607BD938">
      <w:pPr>
        <w:jc w:val="center"/>
        <w:outlineLvl w:val="2"/>
        <w:rPr>
          <w:rFonts w:hint="eastAsia"/>
          <w:b/>
          <w:bCs/>
          <w:color w:val="auto"/>
          <w:sz w:val="28"/>
          <w:szCs w:val="36"/>
          <w:highlight w:val="none"/>
        </w:rPr>
      </w:pPr>
      <w:bookmarkStart w:id="176" w:name="_Toc125904341"/>
      <w:bookmarkStart w:id="177" w:name="_Toc9604"/>
      <w:bookmarkStart w:id="178" w:name="_Toc166067776"/>
      <w:bookmarkStart w:id="179" w:name="_Toc139357069"/>
      <w:bookmarkStart w:id="180" w:name="_Toc125986478"/>
      <w:r>
        <w:rPr>
          <w:rFonts w:hint="eastAsia"/>
          <w:b/>
          <w:bCs/>
          <w:color w:val="auto"/>
          <w:sz w:val="28"/>
          <w:szCs w:val="36"/>
          <w:highlight w:val="none"/>
        </w:rPr>
        <w:t>（八）投标人依法缴纳社会保障资金的证明材料</w:t>
      </w:r>
      <w:bookmarkEnd w:id="176"/>
      <w:bookmarkEnd w:id="177"/>
      <w:bookmarkEnd w:id="178"/>
      <w:bookmarkEnd w:id="179"/>
      <w:bookmarkEnd w:id="180"/>
    </w:p>
    <w:p w14:paraId="3C1B97F6">
      <w:pPr>
        <w:jc w:val="center"/>
        <w:rPr>
          <w:rFonts w:hint="eastAsia" w:cs="宋体"/>
          <w:color w:val="auto"/>
          <w:highlight w:val="none"/>
        </w:rPr>
      </w:pPr>
      <w:r>
        <w:rPr>
          <w:rFonts w:hint="eastAsia" w:cs="宋体"/>
          <w:color w:val="auto"/>
          <w:highlight w:val="none"/>
        </w:rPr>
        <w:t>详见“</w:t>
      </w:r>
      <w:r>
        <w:rPr>
          <w:rFonts w:hint="eastAsia" w:cs="宋体"/>
          <w:b/>
          <w:color w:val="auto"/>
          <w:szCs w:val="28"/>
          <w:highlight w:val="none"/>
        </w:rPr>
        <w:t>投标人须知前附表</w:t>
      </w:r>
      <w:r>
        <w:rPr>
          <w:rFonts w:hint="eastAsia" w:cs="宋体"/>
          <w:color w:val="auto"/>
          <w:highlight w:val="none"/>
        </w:rPr>
        <w:t>”4.1.4款规定。</w:t>
      </w:r>
    </w:p>
    <w:p w14:paraId="1BCA6437">
      <w:pPr>
        <w:jc w:val="left"/>
        <w:rPr>
          <w:rFonts w:hint="eastAsia" w:cs="宋体"/>
          <w:color w:val="auto"/>
          <w:highlight w:val="none"/>
        </w:rPr>
      </w:pPr>
    </w:p>
    <w:p w14:paraId="6FF498BF">
      <w:pPr>
        <w:jc w:val="left"/>
        <w:rPr>
          <w:rFonts w:hint="eastAsia" w:cs="宋体"/>
          <w:color w:val="auto"/>
          <w:highlight w:val="none"/>
        </w:rPr>
      </w:pPr>
    </w:p>
    <w:p w14:paraId="6B62DEA6">
      <w:pPr>
        <w:jc w:val="center"/>
        <w:outlineLvl w:val="2"/>
        <w:rPr>
          <w:rFonts w:hint="eastAsia"/>
          <w:b/>
          <w:bCs/>
          <w:color w:val="auto"/>
          <w:sz w:val="28"/>
          <w:szCs w:val="36"/>
          <w:highlight w:val="none"/>
        </w:rPr>
      </w:pPr>
      <w:bookmarkStart w:id="181" w:name="_Toc139357070"/>
      <w:bookmarkStart w:id="182" w:name="_Toc273"/>
      <w:bookmarkStart w:id="183" w:name="_Toc125904342"/>
      <w:bookmarkStart w:id="184" w:name="_Toc125986479"/>
      <w:bookmarkStart w:id="185" w:name="_Toc166067777"/>
      <w:r>
        <w:rPr>
          <w:rFonts w:hint="eastAsia"/>
          <w:b/>
          <w:bCs/>
          <w:color w:val="auto"/>
          <w:sz w:val="28"/>
          <w:szCs w:val="36"/>
          <w:highlight w:val="none"/>
        </w:rPr>
        <w:t>（九）投标人须提供具备履行合同所必需的设备和专业技术能力的证明材料</w:t>
      </w:r>
      <w:bookmarkEnd w:id="181"/>
      <w:bookmarkEnd w:id="182"/>
      <w:bookmarkEnd w:id="183"/>
      <w:bookmarkEnd w:id="184"/>
      <w:bookmarkEnd w:id="185"/>
    </w:p>
    <w:p w14:paraId="68A69E47">
      <w:pPr>
        <w:jc w:val="center"/>
        <w:rPr>
          <w:rFonts w:hint="eastAsia" w:cs="宋体"/>
          <w:color w:val="auto"/>
          <w:highlight w:val="none"/>
        </w:rPr>
      </w:pPr>
      <w:r>
        <w:rPr>
          <w:rFonts w:hint="eastAsia" w:cs="宋体"/>
          <w:color w:val="auto"/>
          <w:highlight w:val="none"/>
        </w:rPr>
        <w:t>（提供承诺书，内容自拟）</w:t>
      </w:r>
    </w:p>
    <w:p w14:paraId="0C25F524">
      <w:pPr>
        <w:widowControl/>
        <w:jc w:val="left"/>
        <w:rPr>
          <w:rFonts w:hint="eastAsia"/>
          <w:b/>
          <w:bCs/>
          <w:color w:val="auto"/>
          <w:sz w:val="32"/>
          <w:szCs w:val="40"/>
          <w:highlight w:val="none"/>
        </w:rPr>
      </w:pPr>
      <w:r>
        <w:rPr>
          <w:b/>
          <w:bCs/>
          <w:color w:val="auto"/>
          <w:sz w:val="32"/>
          <w:szCs w:val="40"/>
          <w:highlight w:val="none"/>
        </w:rPr>
        <w:br w:type="page"/>
      </w:r>
    </w:p>
    <w:p w14:paraId="264A9545">
      <w:pPr>
        <w:jc w:val="center"/>
        <w:outlineLvl w:val="2"/>
        <w:rPr>
          <w:rFonts w:hint="eastAsia"/>
          <w:b/>
          <w:bCs/>
          <w:color w:val="auto"/>
          <w:sz w:val="28"/>
          <w:szCs w:val="36"/>
          <w:highlight w:val="none"/>
        </w:rPr>
      </w:pPr>
      <w:bookmarkStart w:id="186" w:name="_Toc1307"/>
      <w:bookmarkStart w:id="187" w:name="_Toc166067778"/>
      <w:bookmarkStart w:id="188" w:name="_Toc125904343"/>
      <w:bookmarkStart w:id="189" w:name="_Toc139357071"/>
      <w:bookmarkStart w:id="190" w:name="_Toc125986480"/>
      <w:r>
        <w:rPr>
          <w:rFonts w:hint="eastAsia"/>
          <w:b/>
          <w:bCs/>
          <w:color w:val="auto"/>
          <w:sz w:val="28"/>
          <w:szCs w:val="36"/>
          <w:highlight w:val="none"/>
        </w:rPr>
        <w:t>（十）投标人须提供参加政府采购活动前3年内在经营活动中没有重大违法记录的书面声明</w:t>
      </w:r>
      <w:bookmarkEnd w:id="186"/>
      <w:bookmarkEnd w:id="187"/>
      <w:bookmarkEnd w:id="188"/>
      <w:bookmarkEnd w:id="189"/>
      <w:bookmarkEnd w:id="190"/>
    </w:p>
    <w:p w14:paraId="2ADDF6EE">
      <w:pPr>
        <w:jc w:val="center"/>
        <w:rPr>
          <w:rFonts w:hint="eastAsia" w:cs="宋体"/>
          <w:color w:val="auto"/>
          <w:highlight w:val="none"/>
        </w:rPr>
      </w:pPr>
      <w:r>
        <w:rPr>
          <w:rFonts w:hint="eastAsia" w:cs="宋体"/>
          <w:color w:val="auto"/>
          <w:highlight w:val="none"/>
        </w:rPr>
        <w:t>（提供书面声明，内容自拟）</w:t>
      </w:r>
    </w:p>
    <w:p w14:paraId="47A5D6A4">
      <w:pPr>
        <w:jc w:val="left"/>
        <w:rPr>
          <w:rFonts w:hint="eastAsia" w:cs="宋体"/>
          <w:color w:val="auto"/>
          <w:highlight w:val="none"/>
        </w:rPr>
      </w:pPr>
    </w:p>
    <w:p w14:paraId="18355393">
      <w:pPr>
        <w:jc w:val="left"/>
        <w:rPr>
          <w:rFonts w:hint="eastAsia" w:cs="宋体"/>
          <w:color w:val="auto"/>
          <w:highlight w:val="none"/>
        </w:rPr>
      </w:pPr>
    </w:p>
    <w:p w14:paraId="26E44BE5">
      <w:pPr>
        <w:jc w:val="left"/>
        <w:rPr>
          <w:rFonts w:hint="eastAsia" w:cs="宋体"/>
          <w:color w:val="auto"/>
          <w:highlight w:val="none"/>
        </w:rPr>
      </w:pPr>
    </w:p>
    <w:p w14:paraId="5F5C5C60">
      <w:pPr>
        <w:jc w:val="left"/>
        <w:rPr>
          <w:rFonts w:hint="eastAsia" w:cs="宋体"/>
          <w:color w:val="auto"/>
          <w:highlight w:val="none"/>
        </w:rPr>
      </w:pPr>
    </w:p>
    <w:p w14:paraId="7D021FF8">
      <w:pPr>
        <w:jc w:val="left"/>
        <w:rPr>
          <w:rFonts w:hint="eastAsia" w:cs="宋体"/>
          <w:b/>
          <w:bCs/>
          <w:color w:val="auto"/>
          <w:szCs w:val="21"/>
          <w:highlight w:val="none"/>
        </w:rPr>
      </w:pPr>
      <w:r>
        <w:rPr>
          <w:rFonts w:hint="eastAsia" w:cs="宋体"/>
          <w:b/>
          <w:bCs/>
          <w:color w:val="auto"/>
          <w:szCs w:val="21"/>
          <w:highlight w:val="none"/>
        </w:rPr>
        <w:t>注：重大违法记录，是指投标人因违法经营受到刑事处罚或者责令停产停业、吊销许可证或者执照、较大数额罚款等行政处罚。</w:t>
      </w:r>
    </w:p>
    <w:p w14:paraId="5ABEF023">
      <w:pPr>
        <w:jc w:val="left"/>
        <w:rPr>
          <w:rFonts w:hint="eastAsia" w:cs="宋体"/>
          <w:color w:val="auto"/>
          <w:sz w:val="24"/>
          <w:highlight w:val="none"/>
        </w:rPr>
      </w:pPr>
      <w:r>
        <w:rPr>
          <w:rFonts w:hint="eastAsia" w:cs="宋体"/>
          <w:color w:val="auto"/>
          <w:sz w:val="24"/>
          <w:highlight w:val="none"/>
        </w:rPr>
        <w:br w:type="page"/>
      </w:r>
    </w:p>
    <w:p w14:paraId="0C287F59">
      <w:pPr>
        <w:jc w:val="center"/>
        <w:outlineLvl w:val="2"/>
        <w:rPr>
          <w:rFonts w:hint="eastAsia"/>
          <w:b/>
          <w:bCs/>
          <w:color w:val="auto"/>
          <w:sz w:val="28"/>
          <w:szCs w:val="36"/>
          <w:highlight w:val="none"/>
        </w:rPr>
      </w:pPr>
      <w:bookmarkStart w:id="191" w:name="_Toc13783"/>
      <w:bookmarkStart w:id="192" w:name="_Toc125986481"/>
      <w:bookmarkStart w:id="193" w:name="_Toc139357072"/>
      <w:bookmarkStart w:id="194" w:name="_Toc166067779"/>
      <w:bookmarkStart w:id="195" w:name="_Toc125904344"/>
      <w:bookmarkStart w:id="196" w:name="_Toc9882"/>
      <w:r>
        <w:rPr>
          <w:rFonts w:hint="eastAsia"/>
          <w:b/>
          <w:bCs/>
          <w:color w:val="auto"/>
          <w:sz w:val="28"/>
          <w:szCs w:val="36"/>
          <w:highlight w:val="none"/>
        </w:rPr>
        <w:t>（十一）其他资格证明文件</w:t>
      </w:r>
      <w:bookmarkEnd w:id="191"/>
      <w:bookmarkEnd w:id="192"/>
      <w:bookmarkEnd w:id="193"/>
      <w:bookmarkEnd w:id="194"/>
      <w:bookmarkEnd w:id="195"/>
      <w:bookmarkEnd w:id="196"/>
    </w:p>
    <w:p w14:paraId="444FB998">
      <w:pPr>
        <w:widowControl/>
        <w:ind w:firstLine="420" w:firstLineChars="200"/>
        <w:jc w:val="left"/>
        <w:rPr>
          <w:rFonts w:hint="eastAsia" w:cs="宋体"/>
          <w:color w:val="auto"/>
          <w:szCs w:val="21"/>
          <w:highlight w:val="none"/>
        </w:rPr>
      </w:pPr>
      <w:r>
        <w:rPr>
          <w:color w:val="auto"/>
          <w:szCs w:val="21"/>
          <w:highlight w:val="none"/>
        </w:rPr>
        <w:t>招标文件第一章“投标人资格要求”中要求提供的其他资格证明文件，包含但不限于以下资料：</w:t>
      </w:r>
    </w:p>
    <w:p w14:paraId="2785508B">
      <w:pPr>
        <w:snapToGrid w:val="0"/>
        <w:spacing w:line="440" w:lineRule="exact"/>
        <w:ind w:firstLine="420" w:firstLineChars="200"/>
        <w:rPr>
          <w:rFonts w:hint="eastAsia" w:cs="宋体"/>
          <w:b/>
          <w:bCs/>
          <w:color w:val="auto"/>
          <w:szCs w:val="21"/>
          <w:highlight w:val="none"/>
        </w:rPr>
      </w:pPr>
      <w:r>
        <w:rPr>
          <w:rFonts w:hint="eastAsia" w:cs="宋体"/>
          <w:color w:val="auto"/>
          <w:szCs w:val="21"/>
          <w:highlight w:val="none"/>
          <w:lang w:val="en-US" w:eastAsia="zh-CN"/>
        </w:rPr>
        <w:t>1</w:t>
      </w:r>
      <w:r>
        <w:rPr>
          <w:rFonts w:hint="eastAsia" w:cs="宋体"/>
          <w:color w:val="auto"/>
          <w:szCs w:val="21"/>
          <w:highlight w:val="none"/>
        </w:rPr>
        <w:t>、单位负责人为同一人或者存在直接控股、管理关系的不同投标人，不得参加同一合同项下的政府采购活动。</w:t>
      </w:r>
    </w:p>
    <w:p w14:paraId="5B103968">
      <w:pPr>
        <w:snapToGrid w:val="0"/>
        <w:spacing w:line="440" w:lineRule="exact"/>
        <w:ind w:firstLine="420" w:firstLineChars="200"/>
        <w:rPr>
          <w:rFonts w:hint="eastAsia" w:cs="宋体"/>
          <w:b/>
          <w:bCs/>
          <w:color w:val="auto"/>
          <w:szCs w:val="21"/>
          <w:highlight w:val="none"/>
        </w:rPr>
      </w:pPr>
      <w:r>
        <w:rPr>
          <w:rFonts w:hint="eastAsia" w:cs="宋体"/>
          <w:color w:val="auto"/>
          <w:szCs w:val="21"/>
          <w:highlight w:val="none"/>
          <w:lang w:val="en-US" w:eastAsia="zh-CN"/>
        </w:rPr>
        <w:t>2</w:t>
      </w:r>
      <w:r>
        <w:rPr>
          <w:rFonts w:hint="eastAsia" w:cs="宋体"/>
          <w:color w:val="auto"/>
          <w:szCs w:val="21"/>
          <w:highlight w:val="none"/>
        </w:rPr>
        <w:t>、投标人未被列入“信用中国”网站（www.creditchina.gov.cn）失信被执行人、</w:t>
      </w:r>
      <w:r>
        <w:rPr>
          <w:rFonts w:hint="eastAsia" w:cs="宋体"/>
          <w:bCs/>
          <w:color w:val="auto"/>
          <w:kern w:val="0"/>
          <w:szCs w:val="21"/>
          <w:highlight w:val="none"/>
        </w:rPr>
        <w:t>重大税收违法失信主体</w:t>
      </w:r>
      <w:r>
        <w:rPr>
          <w:rFonts w:hint="eastAsia" w:cs="宋体"/>
          <w:color w:val="auto"/>
          <w:szCs w:val="21"/>
          <w:highlight w:val="none"/>
        </w:rPr>
        <w:t>、政府采购严重违法失信行为记录名单，及未被列入中国政府采购网（www.ccgp.gov.cn）“政府采购严重违法失信行为信息记录”（以开标当天工作人员对上述信用信息进行查询核对的结果为准）。</w:t>
      </w:r>
    </w:p>
    <w:p w14:paraId="0731B6AE">
      <w:pPr>
        <w:snapToGrid w:val="0"/>
        <w:spacing w:line="440" w:lineRule="exact"/>
        <w:ind w:firstLine="420" w:firstLineChars="200"/>
        <w:rPr>
          <w:color w:val="auto"/>
          <w:szCs w:val="21"/>
          <w:highlight w:val="none"/>
        </w:rPr>
      </w:pPr>
      <w:r>
        <w:rPr>
          <w:rFonts w:hint="eastAsia"/>
          <w:color w:val="auto"/>
          <w:szCs w:val="21"/>
          <w:highlight w:val="none"/>
          <w:lang w:val="en-US" w:eastAsia="zh-CN"/>
        </w:rPr>
        <w:t>3</w:t>
      </w:r>
      <w:r>
        <w:rPr>
          <w:color w:val="auto"/>
          <w:szCs w:val="21"/>
          <w:highlight w:val="none"/>
        </w:rPr>
        <w:t>、</w:t>
      </w:r>
      <w:r>
        <w:rPr>
          <w:rFonts w:hint="eastAsia"/>
          <w:color w:val="auto"/>
          <w:szCs w:val="21"/>
          <w:highlight w:val="none"/>
        </w:rPr>
        <w:t>本项目不接受联合体投标</w:t>
      </w:r>
      <w:r>
        <w:rPr>
          <w:color w:val="auto"/>
          <w:szCs w:val="21"/>
          <w:highlight w:val="none"/>
        </w:rPr>
        <w:t>。</w:t>
      </w:r>
    </w:p>
    <w:p w14:paraId="40DDFF94">
      <w:pPr>
        <w:snapToGrid w:val="0"/>
        <w:spacing w:line="440" w:lineRule="exact"/>
        <w:ind w:firstLine="420" w:firstLineChars="200"/>
        <w:rPr>
          <w:rFonts w:hint="default" w:eastAsia="金山简黑体"/>
          <w:lang w:val="en-US" w:eastAsia="zh-CN"/>
        </w:rPr>
      </w:pPr>
      <w:r>
        <w:rPr>
          <w:rFonts w:hint="eastAsia"/>
          <w:color w:val="auto"/>
          <w:szCs w:val="21"/>
          <w:highlight w:val="none"/>
          <w:lang w:val="en-US" w:eastAsia="zh-CN"/>
        </w:rPr>
        <w:t>4、其他。</w:t>
      </w:r>
    </w:p>
    <w:p w14:paraId="1436A6F6">
      <w:pPr>
        <w:widowControl/>
        <w:jc w:val="left"/>
        <w:rPr>
          <w:rFonts w:hint="eastAsia"/>
          <w:color w:val="auto"/>
          <w:szCs w:val="21"/>
          <w:highlight w:val="none"/>
        </w:rPr>
      </w:pPr>
      <w:r>
        <w:rPr>
          <w:color w:val="auto"/>
          <w:szCs w:val="21"/>
          <w:highlight w:val="none"/>
        </w:rPr>
        <w:br w:type="page"/>
      </w:r>
    </w:p>
    <w:bookmarkEnd w:id="127"/>
    <w:bookmarkEnd w:id="128"/>
    <w:bookmarkEnd w:id="129"/>
    <w:bookmarkEnd w:id="132"/>
    <w:bookmarkEnd w:id="133"/>
    <w:bookmarkEnd w:id="134"/>
    <w:bookmarkEnd w:id="135"/>
    <w:p w14:paraId="37DE61F4">
      <w:pPr>
        <w:pStyle w:val="3"/>
        <w:bidi w:val="0"/>
        <w:rPr>
          <w:rFonts w:hint="eastAsia"/>
        </w:rPr>
      </w:pPr>
      <w:bookmarkStart w:id="197" w:name="_Toc9268"/>
      <w:bookmarkStart w:id="198" w:name="_Toc496521008"/>
      <w:bookmarkStart w:id="199" w:name="_Toc26281"/>
      <w:bookmarkStart w:id="200" w:name="_Toc22319"/>
      <w:bookmarkStart w:id="201" w:name="_Toc17994"/>
      <w:bookmarkStart w:id="202" w:name="_Toc496520998"/>
      <w:bookmarkStart w:id="203" w:name="_Toc327190555"/>
      <w:bookmarkStart w:id="204" w:name="_Toc4728"/>
      <w:r>
        <w:rPr>
          <w:rFonts w:hint="eastAsia"/>
        </w:rPr>
        <w:t>三、商务部分</w:t>
      </w:r>
      <w:bookmarkEnd w:id="197"/>
    </w:p>
    <w:p w14:paraId="1896A959">
      <w:pPr>
        <w:jc w:val="center"/>
        <w:outlineLvl w:val="2"/>
        <w:rPr>
          <w:rFonts w:hint="eastAsia"/>
          <w:b/>
          <w:bCs/>
          <w:color w:val="auto"/>
          <w:sz w:val="28"/>
          <w:szCs w:val="36"/>
          <w:highlight w:val="none"/>
        </w:rPr>
      </w:pPr>
      <w:bookmarkStart w:id="205" w:name="_Toc125986488"/>
      <w:bookmarkStart w:id="206" w:name="_Toc166067781"/>
      <w:bookmarkStart w:id="207" w:name="_Toc496520999"/>
      <w:bookmarkStart w:id="208" w:name="_Toc1398"/>
      <w:bookmarkStart w:id="209" w:name="_Toc125904352"/>
      <w:bookmarkStart w:id="210" w:name="_Toc493600031"/>
      <w:bookmarkStart w:id="211" w:name="_Toc1107"/>
      <w:bookmarkStart w:id="212" w:name="_Toc487"/>
      <w:bookmarkStart w:id="213" w:name="_Toc139357079"/>
      <w:r>
        <w:rPr>
          <w:rFonts w:hint="eastAsia"/>
          <w:b/>
          <w:bCs/>
          <w:color w:val="auto"/>
          <w:sz w:val="28"/>
          <w:szCs w:val="36"/>
          <w:highlight w:val="none"/>
        </w:rPr>
        <w:t>（一）</w:t>
      </w:r>
      <w:r>
        <w:rPr>
          <w:rFonts w:cs="Segoe UI Symbol"/>
          <w:b/>
          <w:color w:val="auto"/>
          <w:sz w:val="30"/>
          <w:szCs w:val="30"/>
          <w:highlight w:val="none"/>
        </w:rPr>
        <w:t>★</w:t>
      </w:r>
      <w:r>
        <w:rPr>
          <w:rFonts w:hint="eastAsia"/>
          <w:b/>
          <w:bCs/>
          <w:color w:val="auto"/>
          <w:sz w:val="28"/>
          <w:szCs w:val="36"/>
          <w:highlight w:val="none"/>
        </w:rPr>
        <w:t>投 标 函</w:t>
      </w:r>
      <w:bookmarkEnd w:id="205"/>
      <w:bookmarkEnd w:id="206"/>
      <w:bookmarkEnd w:id="207"/>
      <w:bookmarkEnd w:id="208"/>
      <w:bookmarkEnd w:id="209"/>
      <w:bookmarkEnd w:id="210"/>
      <w:bookmarkEnd w:id="211"/>
      <w:bookmarkEnd w:id="212"/>
      <w:bookmarkEnd w:id="213"/>
    </w:p>
    <w:p w14:paraId="0BE92C2D">
      <w:pPr>
        <w:pStyle w:val="23"/>
        <w:rPr>
          <w:rFonts w:hint="eastAsia" w:cs="宋体"/>
          <w:color w:val="auto"/>
          <w:szCs w:val="21"/>
          <w:highlight w:val="none"/>
        </w:rPr>
      </w:pPr>
      <w:r>
        <w:rPr>
          <w:rFonts w:hint="eastAsia" w:cs="宋体"/>
          <w:color w:val="auto"/>
          <w:szCs w:val="21"/>
          <w:highlight w:val="none"/>
        </w:rPr>
        <w:t>致：</w:t>
      </w:r>
      <w:r>
        <w:rPr>
          <w:rFonts w:hint="eastAsia" w:cs="宋体"/>
          <w:color w:val="auto"/>
          <w:szCs w:val="21"/>
          <w:highlight w:val="none"/>
          <w:u w:val="single"/>
        </w:rPr>
        <w:t xml:space="preserve">  （采购人名称）  </w:t>
      </w:r>
    </w:p>
    <w:p w14:paraId="3D363ADA">
      <w:pPr>
        <w:pStyle w:val="23"/>
        <w:ind w:firstLine="482"/>
        <w:rPr>
          <w:rFonts w:hint="eastAsia" w:cs="宋体"/>
          <w:color w:val="auto"/>
          <w:szCs w:val="21"/>
          <w:highlight w:val="none"/>
        </w:rPr>
      </w:pPr>
      <w:r>
        <w:rPr>
          <w:rFonts w:hint="eastAsia" w:cs="宋体"/>
          <w:color w:val="auto"/>
          <w:szCs w:val="21"/>
          <w:highlight w:val="none"/>
        </w:rPr>
        <w:t>我方仔细研究了</w:t>
      </w:r>
      <w:r>
        <w:rPr>
          <w:rFonts w:hint="eastAsia" w:cs="宋体"/>
          <w:color w:val="auto"/>
          <w:szCs w:val="21"/>
          <w:highlight w:val="none"/>
          <w:u w:val="single"/>
        </w:rPr>
        <w:t xml:space="preserve">（项目名称）   </w:t>
      </w:r>
      <w:r>
        <w:rPr>
          <w:rFonts w:hint="eastAsia" w:cs="宋体"/>
          <w:color w:val="auto"/>
          <w:szCs w:val="21"/>
          <w:highlight w:val="none"/>
        </w:rPr>
        <w:t>（招标编号：</w:t>
      </w:r>
      <w:r>
        <w:rPr>
          <w:rFonts w:hint="eastAsia" w:cs="宋体"/>
          <w:color w:val="auto"/>
          <w:szCs w:val="21"/>
          <w:highlight w:val="none"/>
          <w:u w:val="single"/>
        </w:rPr>
        <w:t xml:space="preserve"> </w:t>
      </w:r>
      <w:r>
        <w:rPr>
          <w:rFonts w:cs="宋体"/>
          <w:color w:val="auto"/>
          <w:szCs w:val="21"/>
          <w:highlight w:val="none"/>
          <w:u w:val="single"/>
        </w:rPr>
        <w:t xml:space="preserve">     </w:t>
      </w:r>
      <w:r>
        <w:rPr>
          <w:rFonts w:hint="eastAsia" w:cs="宋体"/>
          <w:color w:val="auto"/>
          <w:szCs w:val="21"/>
          <w:highlight w:val="none"/>
        </w:rPr>
        <w:t>）项目招标文件的全部内容，正式授权下述签字人</w:t>
      </w:r>
      <w:r>
        <w:rPr>
          <w:rFonts w:hint="eastAsia" w:cs="宋体"/>
          <w:color w:val="auto"/>
          <w:szCs w:val="21"/>
          <w:highlight w:val="none"/>
          <w:u w:val="single"/>
        </w:rPr>
        <w:t xml:space="preserve">   （姓名和职务）     </w:t>
      </w:r>
      <w:r>
        <w:rPr>
          <w:rFonts w:hint="eastAsia" w:cs="宋体"/>
          <w:color w:val="auto"/>
          <w:szCs w:val="21"/>
          <w:highlight w:val="none"/>
        </w:rPr>
        <w:t>全权代表投标人</w:t>
      </w:r>
      <w:r>
        <w:rPr>
          <w:rFonts w:hint="eastAsia" w:cs="宋体"/>
          <w:color w:val="auto"/>
          <w:szCs w:val="21"/>
          <w:highlight w:val="none"/>
          <w:u w:val="single"/>
        </w:rPr>
        <w:t xml:space="preserve">  （投标人全称）   </w:t>
      </w:r>
      <w:r>
        <w:rPr>
          <w:rFonts w:hint="eastAsia" w:cs="宋体"/>
          <w:color w:val="auto"/>
          <w:szCs w:val="21"/>
          <w:highlight w:val="none"/>
        </w:rPr>
        <w:t>参加投标，并提交电子投标文件。</w:t>
      </w:r>
    </w:p>
    <w:p w14:paraId="49B4CD1B">
      <w:pPr>
        <w:pStyle w:val="23"/>
        <w:ind w:firstLine="420"/>
        <w:rPr>
          <w:rFonts w:hint="eastAsia" w:cs="宋体"/>
          <w:color w:val="auto"/>
          <w:szCs w:val="21"/>
          <w:highlight w:val="none"/>
        </w:rPr>
      </w:pPr>
      <w:r>
        <w:rPr>
          <w:rFonts w:hint="eastAsia" w:cs="宋体"/>
          <w:color w:val="auto"/>
          <w:szCs w:val="21"/>
          <w:highlight w:val="none"/>
        </w:rPr>
        <w:t>据此函，签字人兹宣布同意如下：</w:t>
      </w:r>
    </w:p>
    <w:p w14:paraId="47FD6609">
      <w:pPr>
        <w:pStyle w:val="23"/>
        <w:ind w:firstLine="420" w:firstLineChars="200"/>
        <w:rPr>
          <w:rFonts w:hint="eastAsia" w:cs="宋体"/>
          <w:b/>
          <w:bCs/>
          <w:color w:val="auto"/>
          <w:szCs w:val="21"/>
          <w:highlight w:val="none"/>
        </w:rPr>
      </w:pPr>
      <w:r>
        <w:rPr>
          <w:rFonts w:hint="eastAsia" w:cs="宋体"/>
          <w:b/>
          <w:bCs/>
          <w:color w:val="auto"/>
          <w:szCs w:val="21"/>
          <w:highlight w:val="none"/>
        </w:rPr>
        <w:t>1、</w:t>
      </w:r>
      <w:r>
        <w:rPr>
          <w:rFonts w:hint="eastAsia" w:cs="宋体"/>
          <w:color w:val="auto"/>
          <w:szCs w:val="21"/>
          <w:highlight w:val="none"/>
        </w:rPr>
        <w:t>按招标文件</w:t>
      </w:r>
      <w:r>
        <w:rPr>
          <w:rFonts w:hint="eastAsia" w:cs="宋体"/>
          <w:bCs/>
          <w:color w:val="auto"/>
          <w:szCs w:val="21"/>
          <w:highlight w:val="none"/>
        </w:rPr>
        <w:t>第五章《</w:t>
      </w:r>
      <w:r>
        <w:rPr>
          <w:rFonts w:hint="eastAsia" w:cs="宋体"/>
          <w:bCs/>
          <w:color w:val="auto"/>
          <w:szCs w:val="21"/>
          <w:highlight w:val="none"/>
          <w:lang w:eastAsia="zh-CN"/>
        </w:rPr>
        <w:t>采购需求</w:t>
      </w:r>
      <w:r>
        <w:rPr>
          <w:rFonts w:hint="eastAsia" w:cs="宋体"/>
          <w:bCs/>
          <w:color w:val="auto"/>
          <w:szCs w:val="21"/>
          <w:highlight w:val="none"/>
        </w:rPr>
        <w:t>》</w:t>
      </w:r>
      <w:r>
        <w:rPr>
          <w:rFonts w:hint="eastAsia" w:cs="宋体"/>
          <w:color w:val="auto"/>
          <w:szCs w:val="21"/>
          <w:highlight w:val="none"/>
        </w:rPr>
        <w:t>，</w:t>
      </w:r>
      <w:r>
        <w:rPr>
          <w:rFonts w:hint="eastAsia" w:cs="宋体"/>
          <w:b/>
          <w:bCs/>
          <w:color w:val="auto"/>
          <w:szCs w:val="21"/>
          <w:highlight w:val="none"/>
        </w:rPr>
        <w:t>投标总报价：小写：</w:t>
      </w:r>
      <w:r>
        <w:rPr>
          <w:rFonts w:hint="eastAsia" w:cs="宋体"/>
          <w:b/>
          <w:bCs/>
          <w:color w:val="auto"/>
          <w:szCs w:val="21"/>
          <w:highlight w:val="none"/>
          <w:u w:val="single"/>
        </w:rPr>
        <w:t xml:space="preserve">        元</w:t>
      </w:r>
      <w:r>
        <w:rPr>
          <w:rFonts w:hint="eastAsia" w:cs="宋体"/>
          <w:b/>
          <w:bCs/>
          <w:color w:val="auto"/>
          <w:szCs w:val="21"/>
          <w:highlight w:val="none"/>
        </w:rPr>
        <w:t>，大写：</w:t>
      </w:r>
      <w:r>
        <w:rPr>
          <w:rFonts w:hint="eastAsia" w:cs="宋体"/>
          <w:b/>
          <w:bCs/>
          <w:color w:val="auto"/>
          <w:szCs w:val="21"/>
          <w:highlight w:val="none"/>
          <w:u w:val="single"/>
        </w:rPr>
        <w:t xml:space="preserve">        </w:t>
      </w:r>
      <w:r>
        <w:rPr>
          <w:rFonts w:hint="eastAsia" w:cs="宋体"/>
          <w:b/>
          <w:bCs/>
          <w:color w:val="auto"/>
          <w:szCs w:val="21"/>
          <w:highlight w:val="none"/>
        </w:rPr>
        <w:t>；</w:t>
      </w:r>
      <w:r>
        <w:rPr>
          <w:b/>
          <w:bCs/>
          <w:color w:val="auto"/>
          <w:highlight w:val="none"/>
        </w:rPr>
        <w:t>在</w:t>
      </w:r>
      <w:r>
        <w:rPr>
          <w:b/>
          <w:bCs/>
          <w:color w:val="auto"/>
          <w:highlight w:val="none"/>
          <w:u w:val="single"/>
        </w:rPr>
        <w:t xml:space="preserve">  （交货期）   </w:t>
      </w:r>
      <w:r>
        <w:rPr>
          <w:b/>
          <w:bCs/>
          <w:color w:val="auto"/>
          <w:highlight w:val="none"/>
        </w:rPr>
        <w:t>完成交货，</w:t>
      </w:r>
      <w:r>
        <w:rPr>
          <w:rFonts w:hint="eastAsia"/>
          <w:b/>
          <w:bCs/>
          <w:color w:val="auto"/>
          <w:highlight w:val="none"/>
        </w:rPr>
        <w:t>质量承诺：</w:t>
      </w:r>
      <w:r>
        <w:rPr>
          <w:rFonts w:hint="eastAsia"/>
          <w:b/>
          <w:bCs/>
          <w:color w:val="auto"/>
          <w:highlight w:val="none"/>
          <w:u w:val="single"/>
        </w:rPr>
        <w:t>满足国家及行业相关法律法规、标准规范规定及采购人要求，一次性验收合格。</w:t>
      </w:r>
    </w:p>
    <w:p w14:paraId="74A7278A">
      <w:pPr>
        <w:pStyle w:val="23"/>
        <w:ind w:firstLine="420"/>
        <w:rPr>
          <w:rFonts w:hint="eastAsia" w:cs="宋体"/>
          <w:color w:val="auto"/>
          <w:spacing w:val="-10"/>
          <w:szCs w:val="21"/>
          <w:highlight w:val="none"/>
        </w:rPr>
      </w:pPr>
      <w:r>
        <w:rPr>
          <w:rFonts w:hint="eastAsia" w:cs="宋体"/>
          <w:b/>
          <w:bCs/>
          <w:color w:val="auto"/>
          <w:szCs w:val="21"/>
          <w:highlight w:val="none"/>
        </w:rPr>
        <w:t>2、</w:t>
      </w:r>
      <w:r>
        <w:rPr>
          <w:rFonts w:hint="eastAsia" w:cs="宋体"/>
          <w:color w:val="auto"/>
          <w:spacing w:val="-10"/>
          <w:szCs w:val="21"/>
          <w:highlight w:val="none"/>
        </w:rPr>
        <w:t>我方已详细审查全部招标文件，包括</w:t>
      </w:r>
      <w:r>
        <w:rPr>
          <w:rFonts w:hint="eastAsia" w:cs="宋体"/>
          <w:color w:val="auto"/>
          <w:spacing w:val="-10"/>
          <w:szCs w:val="21"/>
          <w:highlight w:val="none"/>
          <w:u w:val="single"/>
        </w:rPr>
        <w:t>（澄清文件）(如果有的话)</w:t>
      </w:r>
      <w:r>
        <w:rPr>
          <w:rFonts w:hint="eastAsia" w:cs="宋体"/>
          <w:color w:val="auto"/>
          <w:spacing w:val="-10"/>
          <w:szCs w:val="21"/>
          <w:highlight w:val="none"/>
        </w:rPr>
        <w:t>。我方完全理解相关文件要求，并承担对这方面有不明及误解的后果。</w:t>
      </w:r>
    </w:p>
    <w:p w14:paraId="50A48C4F">
      <w:pPr>
        <w:pStyle w:val="23"/>
        <w:ind w:firstLine="420"/>
        <w:rPr>
          <w:rFonts w:hint="eastAsia" w:cs="宋体"/>
          <w:color w:val="auto"/>
          <w:szCs w:val="21"/>
          <w:highlight w:val="none"/>
        </w:rPr>
      </w:pPr>
      <w:r>
        <w:rPr>
          <w:rFonts w:hint="eastAsia" w:cs="宋体"/>
          <w:b/>
          <w:bCs/>
          <w:color w:val="auto"/>
          <w:szCs w:val="21"/>
          <w:highlight w:val="none"/>
        </w:rPr>
        <w:t>3、</w:t>
      </w:r>
      <w:r>
        <w:rPr>
          <w:rFonts w:hint="eastAsia" w:cs="宋体"/>
          <w:color w:val="auto"/>
          <w:szCs w:val="21"/>
          <w:highlight w:val="none"/>
        </w:rPr>
        <w:t>在投标人须知规定的开标日期起遵循本投标文件，并在投标人须知第17.1条规定的投标文件有效期满之前均具有约束力。</w:t>
      </w:r>
    </w:p>
    <w:p w14:paraId="6957EC7F">
      <w:pPr>
        <w:pStyle w:val="23"/>
        <w:ind w:firstLine="420"/>
        <w:rPr>
          <w:rFonts w:hint="eastAsia" w:cs="宋体"/>
          <w:color w:val="auto"/>
          <w:szCs w:val="21"/>
          <w:highlight w:val="none"/>
        </w:rPr>
      </w:pPr>
      <w:r>
        <w:rPr>
          <w:rFonts w:hint="eastAsia" w:cs="宋体"/>
          <w:b/>
          <w:bCs/>
          <w:color w:val="auto"/>
          <w:szCs w:val="21"/>
          <w:highlight w:val="none"/>
        </w:rPr>
        <w:t>4、</w:t>
      </w:r>
      <w:r>
        <w:rPr>
          <w:rFonts w:hint="eastAsia" w:cs="宋体"/>
          <w:color w:val="auto"/>
          <w:szCs w:val="21"/>
          <w:highlight w:val="none"/>
        </w:rPr>
        <w:t>同意投标人须知中关于投标保证金不予退还的规定。</w:t>
      </w:r>
    </w:p>
    <w:p w14:paraId="5C59D55D">
      <w:pPr>
        <w:pStyle w:val="23"/>
        <w:ind w:firstLine="420"/>
        <w:rPr>
          <w:rFonts w:hint="eastAsia" w:cs="宋体"/>
          <w:color w:val="auto"/>
          <w:szCs w:val="21"/>
          <w:highlight w:val="none"/>
        </w:rPr>
      </w:pPr>
      <w:r>
        <w:rPr>
          <w:rFonts w:hint="eastAsia" w:cs="宋体"/>
          <w:b/>
          <w:bCs/>
          <w:color w:val="auto"/>
          <w:szCs w:val="21"/>
          <w:highlight w:val="none"/>
        </w:rPr>
        <w:t>5、</w:t>
      </w:r>
      <w:r>
        <w:rPr>
          <w:rFonts w:hint="eastAsia" w:cs="宋体"/>
          <w:color w:val="auto"/>
          <w:szCs w:val="21"/>
          <w:highlight w:val="none"/>
        </w:rPr>
        <w:t>同意应贵方要求提供与本投标有关的任何数据或资料，并保证数据和资料的完整性和真实性。</w:t>
      </w:r>
    </w:p>
    <w:p w14:paraId="6E22F5F4">
      <w:pPr>
        <w:pStyle w:val="23"/>
        <w:ind w:firstLine="420"/>
        <w:rPr>
          <w:rFonts w:hint="eastAsia" w:cs="宋体"/>
          <w:color w:val="auto"/>
          <w:szCs w:val="21"/>
          <w:highlight w:val="none"/>
        </w:rPr>
      </w:pPr>
      <w:r>
        <w:rPr>
          <w:rFonts w:hint="eastAsia" w:cs="宋体"/>
          <w:b/>
          <w:bCs/>
          <w:color w:val="auto"/>
          <w:szCs w:val="21"/>
          <w:highlight w:val="none"/>
        </w:rPr>
        <w:t>6、</w:t>
      </w:r>
      <w:r>
        <w:rPr>
          <w:rFonts w:hint="eastAsia" w:cs="宋体"/>
          <w:color w:val="auto"/>
          <w:szCs w:val="21"/>
          <w:highlight w:val="none"/>
        </w:rPr>
        <w:t>完全理解贵方不一定要接受最低报价的投标人为中标人的行为。</w:t>
      </w:r>
    </w:p>
    <w:p w14:paraId="31593E58">
      <w:pPr>
        <w:pStyle w:val="23"/>
        <w:ind w:firstLine="420"/>
        <w:rPr>
          <w:rFonts w:hint="eastAsia" w:cs="宋体"/>
          <w:color w:val="auto"/>
          <w:szCs w:val="21"/>
          <w:highlight w:val="none"/>
        </w:rPr>
      </w:pPr>
      <w:r>
        <w:rPr>
          <w:rFonts w:hint="eastAsia" w:cs="宋体"/>
          <w:b/>
          <w:bCs/>
          <w:color w:val="auto"/>
          <w:szCs w:val="21"/>
          <w:highlight w:val="none"/>
        </w:rPr>
        <w:t>7、</w:t>
      </w:r>
      <w:r>
        <w:rPr>
          <w:rFonts w:hint="eastAsia" w:cs="宋体"/>
          <w:color w:val="auto"/>
          <w:szCs w:val="21"/>
          <w:highlight w:val="none"/>
        </w:rPr>
        <w:t>如我方中标：我方承诺在收到中标通知书后，在规定的期限内与你方签订合同，并履行相应的合同责任和义务，并承担售后服务及保修责任。如因我方原因导致未能在规定期限内签订合同的，愿意接受一切不利于我方的后果。</w:t>
      </w:r>
    </w:p>
    <w:p w14:paraId="5AF843B0">
      <w:pPr>
        <w:pStyle w:val="23"/>
        <w:ind w:firstLine="420"/>
        <w:rPr>
          <w:rFonts w:hint="eastAsia" w:cs="宋体"/>
          <w:color w:val="auto"/>
          <w:szCs w:val="21"/>
          <w:highlight w:val="none"/>
        </w:rPr>
      </w:pPr>
      <w:r>
        <w:rPr>
          <w:rFonts w:hint="eastAsia" w:cs="宋体"/>
          <w:b/>
          <w:bCs/>
          <w:color w:val="auto"/>
          <w:szCs w:val="21"/>
          <w:highlight w:val="none"/>
        </w:rPr>
        <w:t>8、</w:t>
      </w:r>
      <w:r>
        <w:rPr>
          <w:rFonts w:hint="eastAsia" w:cs="宋体"/>
          <w:color w:val="auto"/>
          <w:szCs w:val="21"/>
          <w:highlight w:val="none"/>
        </w:rPr>
        <w:t>我方在此声明，所递交的投标文件及有关资料内容完整、真实和准确。</w:t>
      </w:r>
    </w:p>
    <w:p w14:paraId="103E8C5B">
      <w:pPr>
        <w:pStyle w:val="23"/>
        <w:ind w:firstLine="420"/>
        <w:rPr>
          <w:rFonts w:hint="eastAsia" w:cs="宋体"/>
          <w:color w:val="auto"/>
          <w:szCs w:val="21"/>
          <w:highlight w:val="none"/>
        </w:rPr>
      </w:pPr>
      <w:r>
        <w:rPr>
          <w:rFonts w:hint="eastAsia" w:cs="宋体"/>
          <w:b/>
          <w:bCs/>
          <w:color w:val="auto"/>
          <w:szCs w:val="21"/>
          <w:highlight w:val="none"/>
        </w:rPr>
        <w:t>9、</w:t>
      </w:r>
      <w:r>
        <w:rPr>
          <w:rFonts w:hint="eastAsia" w:cs="宋体"/>
          <w:color w:val="auto"/>
          <w:szCs w:val="21"/>
          <w:highlight w:val="none"/>
        </w:rPr>
        <w:t>（其他补充说明，若有）。</w:t>
      </w:r>
    </w:p>
    <w:p w14:paraId="38FA9409">
      <w:pPr>
        <w:pStyle w:val="23"/>
        <w:ind w:firstLine="420"/>
        <w:rPr>
          <w:rFonts w:hint="eastAsia" w:cs="宋体"/>
          <w:color w:val="auto"/>
          <w:szCs w:val="21"/>
          <w:highlight w:val="none"/>
        </w:rPr>
      </w:pPr>
      <w:r>
        <w:rPr>
          <w:rFonts w:hint="eastAsia" w:cs="宋体"/>
          <w:color w:val="auto"/>
          <w:szCs w:val="21"/>
          <w:highlight w:val="none"/>
        </w:rPr>
        <w:t>与本投标有关的正式通讯地址为：</w:t>
      </w:r>
    </w:p>
    <w:p w14:paraId="72D7D19B">
      <w:pPr>
        <w:pStyle w:val="23"/>
        <w:ind w:firstLine="420"/>
        <w:rPr>
          <w:rFonts w:hint="eastAsia" w:cs="宋体"/>
          <w:color w:val="auto"/>
          <w:szCs w:val="21"/>
          <w:highlight w:val="none"/>
        </w:rPr>
      </w:pPr>
      <w:r>
        <w:rPr>
          <w:rFonts w:hint="eastAsia" w:cs="宋体"/>
          <w:color w:val="auto"/>
          <w:szCs w:val="21"/>
          <w:highlight w:val="none"/>
        </w:rPr>
        <w:t xml:space="preserve">地址： </w:t>
      </w:r>
      <w:r>
        <w:rPr>
          <w:rFonts w:cs="宋体"/>
          <w:color w:val="auto"/>
          <w:szCs w:val="21"/>
          <w:highlight w:val="none"/>
        </w:rPr>
        <w:t xml:space="preserve">         </w:t>
      </w:r>
    </w:p>
    <w:p w14:paraId="2F860AB8">
      <w:pPr>
        <w:pStyle w:val="23"/>
        <w:ind w:firstLine="420"/>
        <w:rPr>
          <w:rFonts w:hint="eastAsia" w:cs="宋体"/>
          <w:color w:val="auto"/>
          <w:szCs w:val="21"/>
          <w:highlight w:val="none"/>
        </w:rPr>
      </w:pPr>
      <w:r>
        <w:rPr>
          <w:rFonts w:hint="eastAsia" w:cs="宋体"/>
          <w:color w:val="auto"/>
          <w:szCs w:val="21"/>
          <w:highlight w:val="none"/>
        </w:rPr>
        <w:t xml:space="preserve">邮政编码： </w:t>
      </w:r>
      <w:r>
        <w:rPr>
          <w:rFonts w:cs="宋体"/>
          <w:color w:val="auto"/>
          <w:szCs w:val="21"/>
          <w:highlight w:val="none"/>
        </w:rPr>
        <w:t xml:space="preserve">      </w:t>
      </w:r>
    </w:p>
    <w:p w14:paraId="772C3416">
      <w:pPr>
        <w:pStyle w:val="23"/>
        <w:ind w:firstLine="420"/>
        <w:rPr>
          <w:rFonts w:hint="eastAsia" w:cs="宋体"/>
          <w:color w:val="auto"/>
          <w:szCs w:val="21"/>
          <w:highlight w:val="none"/>
        </w:rPr>
      </w:pPr>
      <w:r>
        <w:rPr>
          <w:rFonts w:hint="eastAsia" w:cs="宋体"/>
          <w:color w:val="auto"/>
          <w:szCs w:val="21"/>
          <w:highlight w:val="none"/>
        </w:rPr>
        <w:t xml:space="preserve">电话： </w:t>
      </w:r>
      <w:r>
        <w:rPr>
          <w:rFonts w:cs="宋体"/>
          <w:color w:val="auto"/>
          <w:szCs w:val="21"/>
          <w:highlight w:val="none"/>
        </w:rPr>
        <w:t xml:space="preserve">         </w:t>
      </w:r>
    </w:p>
    <w:p w14:paraId="7F367853">
      <w:pPr>
        <w:pStyle w:val="23"/>
        <w:ind w:firstLine="420"/>
        <w:rPr>
          <w:rFonts w:hint="eastAsia" w:cs="宋体"/>
          <w:color w:val="auto"/>
          <w:szCs w:val="21"/>
          <w:highlight w:val="none"/>
        </w:rPr>
      </w:pPr>
      <w:r>
        <w:rPr>
          <w:rFonts w:hint="eastAsia" w:cs="宋体"/>
          <w:color w:val="auto"/>
          <w:szCs w:val="21"/>
          <w:highlight w:val="none"/>
        </w:rPr>
        <w:t>传真：</w:t>
      </w:r>
    </w:p>
    <w:p w14:paraId="5BC8ED60">
      <w:pPr>
        <w:pStyle w:val="23"/>
        <w:ind w:firstLine="420"/>
        <w:rPr>
          <w:rFonts w:hint="eastAsia" w:cs="宋体"/>
          <w:color w:val="auto"/>
          <w:szCs w:val="21"/>
          <w:highlight w:val="none"/>
        </w:rPr>
      </w:pPr>
      <w:r>
        <w:rPr>
          <w:rFonts w:hint="eastAsia" w:cs="宋体"/>
          <w:color w:val="auto"/>
          <w:szCs w:val="21"/>
          <w:highlight w:val="none"/>
        </w:rPr>
        <w:t xml:space="preserve">开户名称： </w:t>
      </w:r>
      <w:r>
        <w:rPr>
          <w:rFonts w:cs="宋体"/>
          <w:color w:val="auto"/>
          <w:szCs w:val="21"/>
          <w:highlight w:val="none"/>
        </w:rPr>
        <w:t xml:space="preserve">        </w:t>
      </w:r>
    </w:p>
    <w:p w14:paraId="76DCEDB7">
      <w:pPr>
        <w:pStyle w:val="23"/>
        <w:ind w:firstLine="420"/>
        <w:rPr>
          <w:rFonts w:hint="eastAsia" w:cs="宋体"/>
          <w:color w:val="auto"/>
          <w:szCs w:val="21"/>
          <w:highlight w:val="none"/>
        </w:rPr>
      </w:pPr>
      <w:r>
        <w:rPr>
          <w:rFonts w:hint="eastAsia" w:cs="宋体"/>
          <w:color w:val="auto"/>
          <w:szCs w:val="21"/>
          <w:highlight w:val="none"/>
        </w:rPr>
        <w:t xml:space="preserve">开户银行： </w:t>
      </w:r>
      <w:r>
        <w:rPr>
          <w:rFonts w:cs="宋体"/>
          <w:color w:val="auto"/>
          <w:szCs w:val="21"/>
          <w:highlight w:val="none"/>
        </w:rPr>
        <w:t xml:space="preserve">     </w:t>
      </w:r>
    </w:p>
    <w:p w14:paraId="3D24F95D">
      <w:pPr>
        <w:pStyle w:val="23"/>
        <w:ind w:firstLine="420"/>
        <w:rPr>
          <w:rFonts w:hint="eastAsia" w:cs="宋体"/>
          <w:color w:val="auto"/>
          <w:szCs w:val="21"/>
          <w:highlight w:val="none"/>
        </w:rPr>
      </w:pPr>
      <w:r>
        <w:rPr>
          <w:rFonts w:hint="eastAsia" w:cs="宋体"/>
          <w:color w:val="auto"/>
          <w:szCs w:val="21"/>
          <w:highlight w:val="none"/>
        </w:rPr>
        <w:t>账    号：</w:t>
      </w:r>
    </w:p>
    <w:p w14:paraId="3B92F4D1">
      <w:pPr>
        <w:rPr>
          <w:rFonts w:hint="eastAsia"/>
          <w:color w:val="auto"/>
          <w:highlight w:val="none"/>
        </w:rPr>
      </w:pPr>
    </w:p>
    <w:tbl>
      <w:tblPr>
        <w:tblStyle w:val="44"/>
        <w:tblW w:w="5534" w:type="dxa"/>
        <w:tblInd w:w="4294" w:type="dxa"/>
        <w:tblLayout w:type="fixed"/>
        <w:tblCellMar>
          <w:top w:w="0" w:type="dxa"/>
          <w:left w:w="108" w:type="dxa"/>
          <w:bottom w:w="0" w:type="dxa"/>
          <w:right w:w="108" w:type="dxa"/>
        </w:tblCellMar>
      </w:tblPr>
      <w:tblGrid>
        <w:gridCol w:w="5534"/>
      </w:tblGrid>
      <w:tr w14:paraId="622E8F66">
        <w:tblPrEx>
          <w:tblCellMar>
            <w:top w:w="0" w:type="dxa"/>
            <w:left w:w="108" w:type="dxa"/>
            <w:bottom w:w="0" w:type="dxa"/>
            <w:right w:w="108" w:type="dxa"/>
          </w:tblCellMar>
        </w:tblPrEx>
        <w:trPr>
          <w:trHeight w:val="397" w:hRule="atLeast"/>
        </w:trPr>
        <w:tc>
          <w:tcPr>
            <w:tcW w:w="5534" w:type="dxa"/>
            <w:noWrap/>
            <w:vAlign w:val="center"/>
          </w:tcPr>
          <w:p w14:paraId="716605FD">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7C179F23">
        <w:tblPrEx>
          <w:tblCellMar>
            <w:top w:w="0" w:type="dxa"/>
            <w:left w:w="108" w:type="dxa"/>
            <w:bottom w:w="0" w:type="dxa"/>
            <w:right w:w="108" w:type="dxa"/>
          </w:tblCellMar>
        </w:tblPrEx>
        <w:trPr>
          <w:trHeight w:val="397" w:hRule="atLeast"/>
        </w:trPr>
        <w:tc>
          <w:tcPr>
            <w:tcW w:w="5534" w:type="dxa"/>
            <w:noWrap/>
            <w:vAlign w:val="center"/>
          </w:tcPr>
          <w:p w14:paraId="6FC1CEF8">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7A359FE8">
        <w:tblPrEx>
          <w:tblCellMar>
            <w:top w:w="0" w:type="dxa"/>
            <w:left w:w="108" w:type="dxa"/>
            <w:bottom w:w="0" w:type="dxa"/>
            <w:right w:w="108" w:type="dxa"/>
          </w:tblCellMar>
        </w:tblPrEx>
        <w:trPr>
          <w:trHeight w:val="397" w:hRule="atLeast"/>
        </w:trPr>
        <w:tc>
          <w:tcPr>
            <w:tcW w:w="5534" w:type="dxa"/>
            <w:noWrap/>
            <w:vAlign w:val="center"/>
          </w:tcPr>
          <w:p w14:paraId="729BDA73">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3E774EB1">
      <w:pPr>
        <w:widowControl/>
        <w:spacing w:line="240" w:lineRule="auto"/>
        <w:jc w:val="left"/>
        <w:rPr>
          <w:rFonts w:hint="eastAsia"/>
          <w:color w:val="auto"/>
          <w:highlight w:val="none"/>
        </w:rPr>
      </w:pPr>
      <w:bookmarkStart w:id="214" w:name="_Toc54716797"/>
      <w:bookmarkStart w:id="215" w:name="_Toc125986489"/>
      <w:bookmarkStart w:id="216" w:name="_Toc80973393"/>
      <w:bookmarkStart w:id="217" w:name="_Toc48831819"/>
      <w:bookmarkStart w:id="218" w:name="_Toc125904354"/>
      <w:bookmarkStart w:id="219" w:name="_Toc9430"/>
      <w:bookmarkStart w:id="220" w:name="_Toc12111"/>
      <w:r>
        <w:rPr>
          <w:color w:val="auto"/>
          <w:highlight w:val="none"/>
        </w:rPr>
        <w:br w:type="page"/>
      </w:r>
    </w:p>
    <w:p w14:paraId="39FDC255">
      <w:pPr>
        <w:widowControl/>
        <w:spacing w:line="240" w:lineRule="auto"/>
        <w:jc w:val="left"/>
        <w:rPr>
          <w:rFonts w:hint="eastAsia"/>
          <w:b/>
          <w:bCs/>
          <w:color w:val="auto"/>
          <w:sz w:val="28"/>
          <w:szCs w:val="36"/>
          <w:highlight w:val="none"/>
        </w:rPr>
        <w:sectPr>
          <w:headerReference r:id="rId12" w:type="first"/>
          <w:footerReference r:id="rId13" w:type="default"/>
          <w:pgSz w:w="11906" w:h="16838"/>
          <w:pgMar w:top="1440" w:right="1080" w:bottom="1440" w:left="1080" w:header="850" w:footer="850" w:gutter="0"/>
          <w:pgBorders>
            <w:top w:val="none" w:sz="0" w:space="0"/>
            <w:left w:val="none" w:sz="0" w:space="0"/>
            <w:bottom w:val="none" w:sz="0" w:space="0"/>
            <w:right w:val="none" w:sz="0" w:space="0"/>
          </w:pgBorders>
          <w:pgNumType w:fmt="decimal"/>
          <w:cols w:space="720" w:num="1"/>
          <w:docGrid w:type="linesAndChars" w:linePitch="331" w:charSpace="0"/>
        </w:sectPr>
      </w:pPr>
      <w:bookmarkStart w:id="221" w:name="_Toc139357080"/>
      <w:bookmarkStart w:id="222" w:name="_Toc166067782"/>
    </w:p>
    <w:p w14:paraId="620B0127">
      <w:pPr>
        <w:jc w:val="center"/>
        <w:outlineLvl w:val="2"/>
        <w:rPr>
          <w:rFonts w:hint="eastAsia"/>
          <w:b/>
          <w:bCs/>
          <w:color w:val="auto"/>
          <w:sz w:val="28"/>
          <w:szCs w:val="36"/>
          <w:highlight w:val="none"/>
        </w:rPr>
      </w:pPr>
      <w:bookmarkStart w:id="223" w:name="_Toc7069"/>
      <w:r>
        <w:rPr>
          <w:rFonts w:hint="eastAsia"/>
          <w:b/>
          <w:bCs/>
          <w:color w:val="auto"/>
          <w:sz w:val="28"/>
          <w:szCs w:val="36"/>
          <w:highlight w:val="none"/>
        </w:rPr>
        <w:t>（二）</w:t>
      </w:r>
      <w:r>
        <w:rPr>
          <w:b/>
          <w:bCs/>
          <w:color w:val="auto"/>
          <w:sz w:val="28"/>
          <w:szCs w:val="36"/>
          <w:highlight w:val="none"/>
        </w:rPr>
        <w:t>★</w:t>
      </w:r>
      <w:r>
        <w:rPr>
          <w:rFonts w:hint="eastAsia"/>
          <w:b/>
          <w:bCs/>
          <w:color w:val="auto"/>
          <w:sz w:val="28"/>
          <w:szCs w:val="36"/>
          <w:highlight w:val="none"/>
          <w:lang w:val="en-US" w:eastAsia="zh-CN"/>
        </w:rPr>
        <w:t>A包投标</w:t>
      </w:r>
      <w:r>
        <w:rPr>
          <w:b/>
          <w:bCs/>
          <w:color w:val="auto"/>
          <w:sz w:val="28"/>
          <w:szCs w:val="36"/>
          <w:highlight w:val="none"/>
        </w:rPr>
        <w:t>报价</w:t>
      </w:r>
      <w:r>
        <w:rPr>
          <w:rFonts w:hint="eastAsia"/>
          <w:b/>
          <w:bCs/>
          <w:color w:val="auto"/>
          <w:sz w:val="28"/>
          <w:szCs w:val="36"/>
          <w:highlight w:val="none"/>
        </w:rPr>
        <w:t>明细</w:t>
      </w:r>
      <w:r>
        <w:rPr>
          <w:b/>
          <w:bCs/>
          <w:color w:val="auto"/>
          <w:sz w:val="28"/>
          <w:szCs w:val="36"/>
          <w:highlight w:val="none"/>
        </w:rPr>
        <w:t>表</w:t>
      </w:r>
      <w:bookmarkEnd w:id="223"/>
    </w:p>
    <w:p w14:paraId="5E94B4CD">
      <w:pPr>
        <w:ind w:firstLine="422"/>
        <w:rPr>
          <w:rFonts w:hint="eastAsia"/>
          <w:b/>
          <w:color w:val="auto"/>
          <w:szCs w:val="21"/>
          <w:highlight w:val="none"/>
        </w:rPr>
      </w:pPr>
      <w:r>
        <w:rPr>
          <w:b/>
          <w:color w:val="auto"/>
          <w:szCs w:val="21"/>
          <w:highlight w:val="none"/>
        </w:rPr>
        <w:t>项目名称：</w:t>
      </w:r>
      <w:r>
        <w:rPr>
          <w:rFonts w:hint="eastAsia"/>
          <w:b/>
          <w:color w:val="auto"/>
          <w:szCs w:val="21"/>
          <w:highlight w:val="none"/>
          <w:lang w:val="en-US" w:eastAsia="zh-CN"/>
        </w:rPr>
        <w:t xml:space="preserve">                                                                                               </w:t>
      </w:r>
      <w:r>
        <w:rPr>
          <w:b/>
          <w:color w:val="auto"/>
          <w:szCs w:val="21"/>
          <w:highlight w:val="none"/>
        </w:rPr>
        <w:t>招标编号：</w:t>
      </w:r>
    </w:p>
    <w:tbl>
      <w:tblPr>
        <w:tblStyle w:val="44"/>
        <w:tblW w:w="141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82"/>
        <w:gridCol w:w="1144"/>
        <w:gridCol w:w="1042"/>
        <w:gridCol w:w="933"/>
        <w:gridCol w:w="1172"/>
        <w:gridCol w:w="1666"/>
        <w:gridCol w:w="1734"/>
        <w:gridCol w:w="1958"/>
        <w:gridCol w:w="992"/>
        <w:gridCol w:w="567"/>
        <w:gridCol w:w="567"/>
        <w:gridCol w:w="851"/>
        <w:gridCol w:w="1166"/>
      </w:tblGrid>
      <w:tr w14:paraId="3F476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blHeader/>
          <w:jc w:val="center"/>
        </w:trPr>
        <w:tc>
          <w:tcPr>
            <w:tcW w:w="382" w:type="dxa"/>
            <w:noWrap/>
            <w:vAlign w:val="center"/>
          </w:tcPr>
          <w:p w14:paraId="4894FD47">
            <w:pPr>
              <w:spacing w:line="240" w:lineRule="auto"/>
              <w:jc w:val="center"/>
              <w:rPr>
                <w:rFonts w:hint="eastAsia"/>
                <w:b/>
                <w:color w:val="auto"/>
                <w:szCs w:val="21"/>
                <w:highlight w:val="none"/>
              </w:rPr>
            </w:pPr>
            <w:r>
              <w:rPr>
                <w:rFonts w:hint="eastAsia"/>
                <w:b/>
                <w:color w:val="auto"/>
                <w:szCs w:val="21"/>
                <w:highlight w:val="none"/>
              </w:rPr>
              <w:t>序号</w:t>
            </w:r>
          </w:p>
        </w:tc>
        <w:tc>
          <w:tcPr>
            <w:tcW w:w="1144" w:type="dxa"/>
            <w:noWrap/>
            <w:vAlign w:val="center"/>
          </w:tcPr>
          <w:p w14:paraId="15038A6B">
            <w:pPr>
              <w:spacing w:line="240" w:lineRule="auto"/>
              <w:jc w:val="center"/>
              <w:rPr>
                <w:rFonts w:hint="eastAsia"/>
                <w:b/>
                <w:color w:val="auto"/>
                <w:szCs w:val="21"/>
                <w:highlight w:val="none"/>
              </w:rPr>
            </w:pPr>
            <w:r>
              <w:rPr>
                <w:rFonts w:hint="eastAsia"/>
                <w:b/>
                <w:color w:val="auto"/>
                <w:szCs w:val="21"/>
                <w:highlight w:val="none"/>
              </w:rPr>
              <w:t>设备名称</w:t>
            </w:r>
          </w:p>
        </w:tc>
        <w:tc>
          <w:tcPr>
            <w:tcW w:w="1042" w:type="dxa"/>
            <w:noWrap/>
            <w:vAlign w:val="center"/>
          </w:tcPr>
          <w:p w14:paraId="7CD11653">
            <w:pPr>
              <w:spacing w:line="240" w:lineRule="auto"/>
              <w:jc w:val="center"/>
              <w:rPr>
                <w:rFonts w:hint="eastAsia"/>
                <w:b/>
                <w:color w:val="auto"/>
                <w:szCs w:val="21"/>
                <w:highlight w:val="none"/>
              </w:rPr>
            </w:pPr>
            <w:r>
              <w:rPr>
                <w:rFonts w:hint="eastAsia"/>
                <w:b/>
                <w:color w:val="auto"/>
                <w:szCs w:val="21"/>
                <w:highlight w:val="none"/>
              </w:rPr>
              <w:t>原产地</w:t>
            </w:r>
          </w:p>
        </w:tc>
        <w:tc>
          <w:tcPr>
            <w:tcW w:w="933" w:type="dxa"/>
            <w:noWrap/>
            <w:vAlign w:val="center"/>
          </w:tcPr>
          <w:p w14:paraId="779DCAF2">
            <w:pPr>
              <w:spacing w:line="240" w:lineRule="auto"/>
              <w:jc w:val="center"/>
              <w:rPr>
                <w:rFonts w:hint="eastAsia"/>
                <w:b/>
                <w:color w:val="auto"/>
                <w:szCs w:val="21"/>
                <w:highlight w:val="none"/>
              </w:rPr>
            </w:pPr>
            <w:r>
              <w:rPr>
                <w:rFonts w:hint="eastAsia"/>
                <w:b/>
                <w:color w:val="auto"/>
                <w:szCs w:val="21"/>
                <w:highlight w:val="none"/>
              </w:rPr>
              <w:t>制造商名称</w:t>
            </w:r>
          </w:p>
        </w:tc>
        <w:tc>
          <w:tcPr>
            <w:tcW w:w="1172" w:type="dxa"/>
            <w:noWrap/>
            <w:vAlign w:val="center"/>
          </w:tcPr>
          <w:p w14:paraId="150131AC">
            <w:pPr>
              <w:spacing w:line="240" w:lineRule="auto"/>
              <w:jc w:val="center"/>
              <w:rPr>
                <w:rFonts w:hint="eastAsia"/>
                <w:b/>
                <w:color w:val="auto"/>
                <w:szCs w:val="21"/>
                <w:highlight w:val="none"/>
              </w:rPr>
            </w:pPr>
            <w:r>
              <w:rPr>
                <w:rFonts w:hint="eastAsia"/>
                <w:b/>
                <w:color w:val="auto"/>
                <w:szCs w:val="21"/>
                <w:highlight w:val="none"/>
              </w:rPr>
              <w:t>品牌</w:t>
            </w:r>
          </w:p>
        </w:tc>
        <w:tc>
          <w:tcPr>
            <w:tcW w:w="1666" w:type="dxa"/>
            <w:noWrap/>
            <w:vAlign w:val="center"/>
          </w:tcPr>
          <w:p w14:paraId="434BE0B4">
            <w:pPr>
              <w:spacing w:line="240" w:lineRule="auto"/>
              <w:rPr>
                <w:rFonts w:hint="eastAsia"/>
                <w:b/>
                <w:color w:val="auto"/>
                <w:szCs w:val="21"/>
                <w:highlight w:val="none"/>
              </w:rPr>
            </w:pPr>
            <w:r>
              <w:rPr>
                <w:rFonts w:hint="eastAsia"/>
                <w:b/>
                <w:color w:val="auto"/>
                <w:szCs w:val="21"/>
                <w:highlight w:val="none"/>
              </w:rPr>
              <w:t>制造商规模（小型企业、中型企业、大型企业）</w:t>
            </w:r>
          </w:p>
        </w:tc>
        <w:tc>
          <w:tcPr>
            <w:tcW w:w="1734" w:type="dxa"/>
            <w:noWrap/>
            <w:vAlign w:val="center"/>
          </w:tcPr>
          <w:p w14:paraId="19894CB3">
            <w:pPr>
              <w:spacing w:line="240" w:lineRule="auto"/>
              <w:rPr>
                <w:rFonts w:hint="eastAsia"/>
                <w:b/>
                <w:color w:val="auto"/>
                <w:szCs w:val="21"/>
                <w:highlight w:val="none"/>
              </w:rPr>
            </w:pPr>
            <w:r>
              <w:rPr>
                <w:rFonts w:hint="eastAsia"/>
                <w:b/>
                <w:color w:val="auto"/>
                <w:szCs w:val="21"/>
                <w:highlight w:val="none"/>
              </w:rPr>
              <w:t>生产商特殊属性（监狱企业、其他、残疾人福利单位）</w:t>
            </w:r>
          </w:p>
        </w:tc>
        <w:tc>
          <w:tcPr>
            <w:tcW w:w="1958" w:type="dxa"/>
            <w:noWrap/>
            <w:vAlign w:val="center"/>
          </w:tcPr>
          <w:p w14:paraId="5C51BF8B">
            <w:pPr>
              <w:spacing w:line="240" w:lineRule="auto"/>
              <w:rPr>
                <w:rFonts w:hint="eastAsia"/>
                <w:b/>
                <w:color w:val="auto"/>
                <w:szCs w:val="21"/>
                <w:highlight w:val="none"/>
              </w:rPr>
            </w:pPr>
            <w:r>
              <w:rPr>
                <w:rFonts w:hint="eastAsia"/>
                <w:b/>
                <w:color w:val="auto"/>
                <w:szCs w:val="21"/>
                <w:highlight w:val="none"/>
              </w:rPr>
              <w:t>是否外商投资企业（如“是”属于外商单独投资还是部分投资）</w:t>
            </w:r>
          </w:p>
        </w:tc>
        <w:tc>
          <w:tcPr>
            <w:tcW w:w="992" w:type="dxa"/>
            <w:noWrap/>
            <w:vAlign w:val="center"/>
          </w:tcPr>
          <w:p w14:paraId="5A5E704E">
            <w:pPr>
              <w:spacing w:line="240" w:lineRule="auto"/>
              <w:jc w:val="center"/>
              <w:rPr>
                <w:rFonts w:hint="eastAsia"/>
                <w:b/>
                <w:color w:val="auto"/>
                <w:szCs w:val="21"/>
                <w:highlight w:val="none"/>
              </w:rPr>
            </w:pPr>
            <w:r>
              <w:rPr>
                <w:rFonts w:hint="eastAsia"/>
                <w:b/>
                <w:color w:val="auto"/>
                <w:szCs w:val="21"/>
                <w:highlight w:val="none"/>
              </w:rPr>
              <w:t>型号</w:t>
            </w:r>
          </w:p>
        </w:tc>
        <w:tc>
          <w:tcPr>
            <w:tcW w:w="567" w:type="dxa"/>
            <w:noWrap/>
            <w:vAlign w:val="center"/>
          </w:tcPr>
          <w:p w14:paraId="07C1509A">
            <w:pPr>
              <w:spacing w:line="240" w:lineRule="auto"/>
              <w:jc w:val="center"/>
              <w:rPr>
                <w:rFonts w:hint="eastAsia"/>
                <w:b/>
                <w:color w:val="auto"/>
                <w:szCs w:val="21"/>
                <w:highlight w:val="none"/>
              </w:rPr>
            </w:pPr>
            <w:r>
              <w:rPr>
                <w:rFonts w:hint="eastAsia"/>
                <w:b/>
                <w:color w:val="auto"/>
                <w:szCs w:val="21"/>
                <w:highlight w:val="none"/>
              </w:rPr>
              <w:t>数量</w:t>
            </w:r>
          </w:p>
        </w:tc>
        <w:tc>
          <w:tcPr>
            <w:tcW w:w="567" w:type="dxa"/>
            <w:noWrap/>
            <w:vAlign w:val="center"/>
          </w:tcPr>
          <w:p w14:paraId="2FEEE4C2">
            <w:pPr>
              <w:spacing w:line="240" w:lineRule="auto"/>
              <w:jc w:val="center"/>
              <w:rPr>
                <w:rFonts w:hint="eastAsia"/>
                <w:b/>
                <w:color w:val="auto"/>
                <w:szCs w:val="21"/>
                <w:highlight w:val="none"/>
              </w:rPr>
            </w:pPr>
            <w:r>
              <w:rPr>
                <w:rFonts w:hint="eastAsia"/>
                <w:b/>
                <w:color w:val="auto"/>
                <w:szCs w:val="21"/>
                <w:highlight w:val="none"/>
              </w:rPr>
              <w:t>单位</w:t>
            </w:r>
          </w:p>
        </w:tc>
        <w:tc>
          <w:tcPr>
            <w:tcW w:w="851" w:type="dxa"/>
            <w:noWrap/>
            <w:vAlign w:val="center"/>
          </w:tcPr>
          <w:p w14:paraId="0118F5F7">
            <w:pPr>
              <w:spacing w:line="240" w:lineRule="auto"/>
              <w:jc w:val="center"/>
              <w:rPr>
                <w:rFonts w:hint="eastAsia"/>
                <w:b/>
                <w:color w:val="auto"/>
                <w:szCs w:val="21"/>
                <w:highlight w:val="none"/>
              </w:rPr>
            </w:pPr>
            <w:r>
              <w:rPr>
                <w:rFonts w:hint="eastAsia"/>
                <w:b/>
                <w:color w:val="auto"/>
                <w:szCs w:val="21"/>
                <w:highlight w:val="none"/>
              </w:rPr>
              <w:t>单价（元）</w:t>
            </w:r>
          </w:p>
        </w:tc>
        <w:tc>
          <w:tcPr>
            <w:tcW w:w="1166" w:type="dxa"/>
            <w:noWrap/>
            <w:vAlign w:val="center"/>
          </w:tcPr>
          <w:p w14:paraId="578B0021">
            <w:pPr>
              <w:spacing w:line="240" w:lineRule="auto"/>
              <w:jc w:val="center"/>
              <w:rPr>
                <w:rFonts w:hint="eastAsia"/>
                <w:b/>
                <w:color w:val="auto"/>
                <w:szCs w:val="21"/>
                <w:highlight w:val="none"/>
              </w:rPr>
            </w:pPr>
            <w:r>
              <w:rPr>
                <w:rFonts w:hint="eastAsia"/>
                <w:b/>
                <w:color w:val="auto"/>
                <w:szCs w:val="21"/>
                <w:highlight w:val="none"/>
              </w:rPr>
              <w:t>分项总价（元）</w:t>
            </w:r>
          </w:p>
        </w:tc>
      </w:tr>
      <w:tr w14:paraId="5FAD1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0" w:hRule="atLeast"/>
          <w:jc w:val="center"/>
        </w:trPr>
        <w:tc>
          <w:tcPr>
            <w:tcW w:w="382" w:type="dxa"/>
            <w:noWrap/>
            <w:vAlign w:val="center"/>
          </w:tcPr>
          <w:p w14:paraId="19E1C771">
            <w:pPr>
              <w:spacing w:line="276" w:lineRule="auto"/>
              <w:jc w:val="center"/>
              <w:rPr>
                <w:rFonts w:hint="eastAsia"/>
                <w:b/>
                <w:bCs/>
                <w:color w:val="auto"/>
                <w:szCs w:val="21"/>
                <w:highlight w:val="none"/>
              </w:rPr>
            </w:pPr>
            <w:r>
              <w:rPr>
                <w:rFonts w:hint="eastAsia"/>
                <w:b/>
                <w:bCs/>
                <w:color w:val="auto"/>
                <w:szCs w:val="21"/>
                <w:highlight w:val="none"/>
              </w:rPr>
              <w:t>1</w:t>
            </w:r>
          </w:p>
        </w:tc>
        <w:tc>
          <w:tcPr>
            <w:tcW w:w="1144" w:type="dxa"/>
            <w:noWrap/>
            <w:vAlign w:val="center"/>
          </w:tcPr>
          <w:p w14:paraId="435CA5DB">
            <w:pPr>
              <w:spacing w:line="240" w:lineRule="auto"/>
              <w:jc w:val="center"/>
              <w:rPr>
                <w:rFonts w:hint="eastAsia"/>
                <w:b/>
                <w:bCs/>
                <w:color w:val="auto"/>
                <w:szCs w:val="21"/>
                <w:highlight w:val="none"/>
              </w:rPr>
            </w:pPr>
          </w:p>
        </w:tc>
        <w:tc>
          <w:tcPr>
            <w:tcW w:w="1042" w:type="dxa"/>
            <w:noWrap/>
            <w:vAlign w:val="center"/>
          </w:tcPr>
          <w:p w14:paraId="3E429453">
            <w:pPr>
              <w:spacing w:line="276" w:lineRule="auto"/>
              <w:jc w:val="center"/>
              <w:rPr>
                <w:rFonts w:hint="eastAsia"/>
                <w:color w:val="auto"/>
                <w:szCs w:val="21"/>
                <w:highlight w:val="none"/>
              </w:rPr>
            </w:pPr>
          </w:p>
        </w:tc>
        <w:tc>
          <w:tcPr>
            <w:tcW w:w="933" w:type="dxa"/>
            <w:noWrap/>
            <w:vAlign w:val="center"/>
          </w:tcPr>
          <w:p w14:paraId="6456507F">
            <w:pPr>
              <w:spacing w:line="276" w:lineRule="auto"/>
              <w:jc w:val="center"/>
              <w:rPr>
                <w:rFonts w:hint="eastAsia"/>
                <w:color w:val="auto"/>
                <w:szCs w:val="21"/>
                <w:highlight w:val="none"/>
              </w:rPr>
            </w:pPr>
          </w:p>
        </w:tc>
        <w:tc>
          <w:tcPr>
            <w:tcW w:w="1172" w:type="dxa"/>
            <w:noWrap/>
            <w:vAlign w:val="center"/>
          </w:tcPr>
          <w:p w14:paraId="2BC13D08">
            <w:pPr>
              <w:spacing w:line="276" w:lineRule="auto"/>
              <w:jc w:val="center"/>
              <w:rPr>
                <w:rFonts w:hint="eastAsia"/>
                <w:color w:val="auto"/>
                <w:szCs w:val="21"/>
                <w:highlight w:val="none"/>
              </w:rPr>
            </w:pPr>
          </w:p>
        </w:tc>
        <w:tc>
          <w:tcPr>
            <w:tcW w:w="1666" w:type="dxa"/>
            <w:noWrap/>
            <w:vAlign w:val="center"/>
          </w:tcPr>
          <w:p w14:paraId="34528D07">
            <w:pPr>
              <w:spacing w:line="276" w:lineRule="auto"/>
              <w:jc w:val="center"/>
              <w:rPr>
                <w:rFonts w:hint="eastAsia"/>
                <w:color w:val="auto"/>
                <w:szCs w:val="21"/>
                <w:highlight w:val="none"/>
              </w:rPr>
            </w:pPr>
          </w:p>
        </w:tc>
        <w:tc>
          <w:tcPr>
            <w:tcW w:w="1734" w:type="dxa"/>
            <w:noWrap/>
            <w:vAlign w:val="center"/>
          </w:tcPr>
          <w:p w14:paraId="5A319D00">
            <w:pPr>
              <w:spacing w:line="276" w:lineRule="auto"/>
              <w:jc w:val="center"/>
              <w:rPr>
                <w:rFonts w:hint="eastAsia"/>
                <w:color w:val="auto"/>
                <w:szCs w:val="21"/>
                <w:highlight w:val="none"/>
              </w:rPr>
            </w:pPr>
          </w:p>
        </w:tc>
        <w:tc>
          <w:tcPr>
            <w:tcW w:w="1958" w:type="dxa"/>
            <w:noWrap/>
            <w:vAlign w:val="center"/>
          </w:tcPr>
          <w:p w14:paraId="5861CBD9">
            <w:pPr>
              <w:spacing w:line="276" w:lineRule="auto"/>
              <w:jc w:val="center"/>
              <w:rPr>
                <w:rFonts w:hint="eastAsia"/>
                <w:color w:val="auto"/>
                <w:szCs w:val="21"/>
                <w:highlight w:val="none"/>
              </w:rPr>
            </w:pPr>
          </w:p>
        </w:tc>
        <w:tc>
          <w:tcPr>
            <w:tcW w:w="992" w:type="dxa"/>
            <w:noWrap/>
            <w:vAlign w:val="center"/>
          </w:tcPr>
          <w:p w14:paraId="4C1D737C">
            <w:pPr>
              <w:spacing w:line="276" w:lineRule="auto"/>
              <w:jc w:val="center"/>
              <w:rPr>
                <w:rFonts w:hint="eastAsia"/>
                <w:color w:val="auto"/>
                <w:szCs w:val="21"/>
                <w:highlight w:val="none"/>
              </w:rPr>
            </w:pPr>
          </w:p>
        </w:tc>
        <w:tc>
          <w:tcPr>
            <w:tcW w:w="567" w:type="dxa"/>
            <w:noWrap/>
            <w:vAlign w:val="center"/>
          </w:tcPr>
          <w:p w14:paraId="0AE4140A">
            <w:pPr>
              <w:spacing w:line="276" w:lineRule="auto"/>
              <w:jc w:val="center"/>
              <w:rPr>
                <w:rFonts w:hint="eastAsia" w:eastAsia="宋体"/>
                <w:b/>
                <w:bCs/>
                <w:color w:val="auto"/>
                <w:szCs w:val="21"/>
                <w:highlight w:val="none"/>
                <w:lang w:val="en-US" w:eastAsia="zh-CN"/>
              </w:rPr>
            </w:pPr>
          </w:p>
        </w:tc>
        <w:tc>
          <w:tcPr>
            <w:tcW w:w="567" w:type="dxa"/>
            <w:noWrap/>
            <w:vAlign w:val="center"/>
          </w:tcPr>
          <w:p w14:paraId="6B07D2B0">
            <w:pPr>
              <w:spacing w:line="276" w:lineRule="auto"/>
              <w:jc w:val="center"/>
              <w:rPr>
                <w:rFonts w:hint="eastAsia"/>
                <w:b/>
                <w:bCs/>
                <w:color w:val="auto"/>
                <w:szCs w:val="21"/>
                <w:highlight w:val="none"/>
              </w:rPr>
            </w:pPr>
          </w:p>
        </w:tc>
        <w:tc>
          <w:tcPr>
            <w:tcW w:w="851" w:type="dxa"/>
            <w:noWrap/>
            <w:vAlign w:val="center"/>
          </w:tcPr>
          <w:p w14:paraId="3EE214D5">
            <w:pPr>
              <w:spacing w:line="276" w:lineRule="auto"/>
              <w:jc w:val="center"/>
              <w:rPr>
                <w:rFonts w:hint="eastAsia"/>
                <w:color w:val="auto"/>
                <w:szCs w:val="21"/>
                <w:highlight w:val="none"/>
              </w:rPr>
            </w:pPr>
          </w:p>
        </w:tc>
        <w:tc>
          <w:tcPr>
            <w:tcW w:w="1166" w:type="dxa"/>
            <w:noWrap/>
            <w:vAlign w:val="center"/>
          </w:tcPr>
          <w:p w14:paraId="140DA304">
            <w:pPr>
              <w:spacing w:line="276" w:lineRule="auto"/>
              <w:jc w:val="center"/>
              <w:rPr>
                <w:rFonts w:hint="eastAsia"/>
                <w:color w:val="auto"/>
                <w:szCs w:val="21"/>
                <w:highlight w:val="none"/>
              </w:rPr>
            </w:pPr>
          </w:p>
        </w:tc>
      </w:tr>
      <w:tr w14:paraId="34D26E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382" w:type="dxa"/>
            <w:noWrap/>
            <w:vAlign w:val="center"/>
          </w:tcPr>
          <w:p w14:paraId="44D8733D">
            <w:pPr>
              <w:spacing w:line="276" w:lineRule="auto"/>
              <w:jc w:val="center"/>
              <w:rPr>
                <w:b/>
                <w:bCs/>
                <w:color w:val="auto"/>
                <w:szCs w:val="21"/>
                <w:highlight w:val="none"/>
              </w:rPr>
            </w:pPr>
            <w:r>
              <w:rPr>
                <w:b/>
                <w:bCs/>
                <w:color w:val="auto"/>
                <w:szCs w:val="21"/>
                <w:highlight w:val="none"/>
              </w:rPr>
              <w:t>…</w:t>
            </w:r>
          </w:p>
        </w:tc>
        <w:tc>
          <w:tcPr>
            <w:tcW w:w="1144" w:type="dxa"/>
            <w:noWrap/>
            <w:vAlign w:val="center"/>
          </w:tcPr>
          <w:p w14:paraId="7E62D859">
            <w:pPr>
              <w:spacing w:line="240" w:lineRule="auto"/>
              <w:jc w:val="center"/>
              <w:rPr>
                <w:rFonts w:hint="eastAsia"/>
                <w:b/>
                <w:bCs/>
                <w:color w:val="auto"/>
                <w:szCs w:val="21"/>
                <w:highlight w:val="none"/>
              </w:rPr>
            </w:pPr>
          </w:p>
        </w:tc>
        <w:tc>
          <w:tcPr>
            <w:tcW w:w="1042" w:type="dxa"/>
            <w:noWrap/>
            <w:vAlign w:val="center"/>
          </w:tcPr>
          <w:p w14:paraId="43A3F5DB">
            <w:pPr>
              <w:spacing w:line="276" w:lineRule="auto"/>
              <w:jc w:val="center"/>
              <w:rPr>
                <w:rFonts w:hint="eastAsia"/>
                <w:color w:val="auto"/>
                <w:szCs w:val="21"/>
                <w:highlight w:val="none"/>
              </w:rPr>
            </w:pPr>
          </w:p>
        </w:tc>
        <w:tc>
          <w:tcPr>
            <w:tcW w:w="933" w:type="dxa"/>
            <w:noWrap/>
            <w:vAlign w:val="center"/>
          </w:tcPr>
          <w:p w14:paraId="01CE2EB4">
            <w:pPr>
              <w:spacing w:line="276" w:lineRule="auto"/>
              <w:jc w:val="center"/>
              <w:rPr>
                <w:rFonts w:hint="eastAsia"/>
                <w:color w:val="auto"/>
                <w:szCs w:val="21"/>
                <w:highlight w:val="none"/>
              </w:rPr>
            </w:pPr>
          </w:p>
        </w:tc>
        <w:tc>
          <w:tcPr>
            <w:tcW w:w="1172" w:type="dxa"/>
            <w:noWrap/>
            <w:vAlign w:val="center"/>
          </w:tcPr>
          <w:p w14:paraId="751BB6B7">
            <w:pPr>
              <w:spacing w:line="276" w:lineRule="auto"/>
              <w:jc w:val="center"/>
              <w:rPr>
                <w:rFonts w:hint="eastAsia"/>
                <w:color w:val="auto"/>
                <w:szCs w:val="21"/>
                <w:highlight w:val="none"/>
              </w:rPr>
            </w:pPr>
          </w:p>
        </w:tc>
        <w:tc>
          <w:tcPr>
            <w:tcW w:w="1666" w:type="dxa"/>
            <w:noWrap/>
            <w:vAlign w:val="center"/>
          </w:tcPr>
          <w:p w14:paraId="0CA2F06A">
            <w:pPr>
              <w:spacing w:line="276" w:lineRule="auto"/>
              <w:jc w:val="center"/>
              <w:rPr>
                <w:rFonts w:hint="eastAsia"/>
                <w:color w:val="auto"/>
                <w:szCs w:val="21"/>
                <w:highlight w:val="none"/>
              </w:rPr>
            </w:pPr>
          </w:p>
        </w:tc>
        <w:tc>
          <w:tcPr>
            <w:tcW w:w="1734" w:type="dxa"/>
            <w:noWrap/>
            <w:vAlign w:val="center"/>
          </w:tcPr>
          <w:p w14:paraId="065DE9CA">
            <w:pPr>
              <w:spacing w:line="276" w:lineRule="auto"/>
              <w:jc w:val="center"/>
              <w:rPr>
                <w:rFonts w:hint="eastAsia"/>
                <w:color w:val="auto"/>
                <w:szCs w:val="21"/>
                <w:highlight w:val="none"/>
              </w:rPr>
            </w:pPr>
          </w:p>
        </w:tc>
        <w:tc>
          <w:tcPr>
            <w:tcW w:w="1958" w:type="dxa"/>
            <w:noWrap/>
            <w:vAlign w:val="center"/>
          </w:tcPr>
          <w:p w14:paraId="71526B05">
            <w:pPr>
              <w:spacing w:line="276" w:lineRule="auto"/>
              <w:jc w:val="center"/>
              <w:rPr>
                <w:rFonts w:hint="eastAsia"/>
                <w:color w:val="auto"/>
                <w:szCs w:val="21"/>
                <w:highlight w:val="none"/>
              </w:rPr>
            </w:pPr>
          </w:p>
        </w:tc>
        <w:tc>
          <w:tcPr>
            <w:tcW w:w="992" w:type="dxa"/>
            <w:noWrap/>
            <w:vAlign w:val="center"/>
          </w:tcPr>
          <w:p w14:paraId="72DA7D47">
            <w:pPr>
              <w:spacing w:line="276" w:lineRule="auto"/>
              <w:jc w:val="center"/>
              <w:rPr>
                <w:rFonts w:hint="eastAsia"/>
                <w:color w:val="auto"/>
                <w:szCs w:val="21"/>
                <w:highlight w:val="none"/>
              </w:rPr>
            </w:pPr>
          </w:p>
        </w:tc>
        <w:tc>
          <w:tcPr>
            <w:tcW w:w="567" w:type="dxa"/>
            <w:noWrap/>
            <w:vAlign w:val="center"/>
          </w:tcPr>
          <w:p w14:paraId="44605FFC">
            <w:pPr>
              <w:spacing w:line="276" w:lineRule="auto"/>
              <w:jc w:val="center"/>
              <w:rPr>
                <w:rFonts w:hint="eastAsia"/>
                <w:b/>
                <w:bCs/>
                <w:color w:val="auto"/>
                <w:szCs w:val="21"/>
                <w:highlight w:val="none"/>
              </w:rPr>
            </w:pPr>
          </w:p>
        </w:tc>
        <w:tc>
          <w:tcPr>
            <w:tcW w:w="567" w:type="dxa"/>
            <w:noWrap/>
            <w:vAlign w:val="center"/>
          </w:tcPr>
          <w:p w14:paraId="728AA522">
            <w:pPr>
              <w:spacing w:line="276" w:lineRule="auto"/>
              <w:jc w:val="center"/>
              <w:rPr>
                <w:rFonts w:hint="eastAsia"/>
                <w:b/>
                <w:bCs/>
                <w:color w:val="auto"/>
                <w:szCs w:val="21"/>
                <w:highlight w:val="none"/>
              </w:rPr>
            </w:pPr>
          </w:p>
        </w:tc>
        <w:tc>
          <w:tcPr>
            <w:tcW w:w="851" w:type="dxa"/>
            <w:noWrap/>
            <w:vAlign w:val="center"/>
          </w:tcPr>
          <w:p w14:paraId="4142A183">
            <w:pPr>
              <w:spacing w:line="276" w:lineRule="auto"/>
              <w:jc w:val="center"/>
              <w:rPr>
                <w:rFonts w:hint="eastAsia"/>
                <w:color w:val="auto"/>
                <w:szCs w:val="21"/>
                <w:highlight w:val="none"/>
              </w:rPr>
            </w:pPr>
          </w:p>
        </w:tc>
        <w:tc>
          <w:tcPr>
            <w:tcW w:w="1166" w:type="dxa"/>
            <w:noWrap/>
            <w:vAlign w:val="center"/>
          </w:tcPr>
          <w:p w14:paraId="7A22F946">
            <w:pPr>
              <w:spacing w:line="276" w:lineRule="auto"/>
              <w:jc w:val="center"/>
              <w:rPr>
                <w:rFonts w:hint="eastAsia"/>
                <w:color w:val="auto"/>
                <w:szCs w:val="21"/>
                <w:highlight w:val="none"/>
              </w:rPr>
            </w:pPr>
          </w:p>
        </w:tc>
      </w:tr>
      <w:tr w14:paraId="401E6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174" w:type="dxa"/>
            <w:gridSpan w:val="13"/>
            <w:noWrap/>
            <w:vAlign w:val="center"/>
          </w:tcPr>
          <w:p w14:paraId="7AF1E560">
            <w:pPr>
              <w:spacing w:line="276" w:lineRule="auto"/>
              <w:jc w:val="center"/>
              <w:rPr>
                <w:rFonts w:hint="eastAsia" w:cs="宋体"/>
                <w:b/>
                <w:color w:val="auto"/>
                <w:szCs w:val="21"/>
                <w:highlight w:val="none"/>
              </w:rPr>
            </w:pPr>
            <w:r>
              <w:rPr>
                <w:rFonts w:hint="eastAsia" w:cs="宋体"/>
                <w:b/>
                <w:color w:val="auto"/>
                <w:szCs w:val="21"/>
                <w:highlight w:val="none"/>
              </w:rPr>
              <w:t>投标总报价（元）：</w:t>
            </w:r>
          </w:p>
        </w:tc>
      </w:tr>
    </w:tbl>
    <w:p w14:paraId="25213338">
      <w:pPr>
        <w:rPr>
          <w:rFonts w:hint="default" w:eastAsia="宋体"/>
          <w:b/>
          <w:bCs/>
          <w:color w:val="auto"/>
          <w:szCs w:val="21"/>
          <w:highlight w:val="none"/>
          <w:lang w:val="en-US" w:eastAsia="zh-CN"/>
        </w:rPr>
      </w:pPr>
      <w:r>
        <w:rPr>
          <w:b/>
          <w:bCs/>
          <w:color w:val="auto"/>
          <w:szCs w:val="21"/>
          <w:highlight w:val="none"/>
        </w:rPr>
        <w:t>填表说明：</w:t>
      </w:r>
    </w:p>
    <w:p w14:paraId="7413C361">
      <w:pPr>
        <w:spacing w:line="276" w:lineRule="auto"/>
        <w:ind w:firstLine="420"/>
        <w:rPr>
          <w:rFonts w:hint="eastAsia" w:eastAsia="宋体"/>
          <w:b/>
          <w:bCs w:val="0"/>
          <w:color w:val="FF0000"/>
          <w:highlight w:val="none"/>
          <w:lang w:val="en-US" w:eastAsia="zh-CN"/>
        </w:rPr>
      </w:pPr>
      <w:r>
        <w:rPr>
          <w:rFonts w:hint="eastAsia"/>
          <w:b/>
          <w:bCs w:val="0"/>
          <w:color w:val="FF0000"/>
          <w:highlight w:val="none"/>
          <w:lang w:val="en-US" w:eastAsia="zh-CN"/>
        </w:rPr>
        <w:t>1、</w:t>
      </w:r>
      <w:r>
        <w:rPr>
          <w:rFonts w:hint="eastAsia" w:cs="宋体"/>
          <w:b/>
          <w:bCs w:val="0"/>
          <w:color w:val="FF0000"/>
          <w:szCs w:val="21"/>
          <w:highlight w:val="none"/>
        </w:rPr>
        <w:t>此表仅</w:t>
      </w:r>
      <w:r>
        <w:rPr>
          <w:rFonts w:hint="eastAsia" w:cs="宋体"/>
          <w:b/>
          <w:bCs w:val="0"/>
          <w:color w:val="FF0000"/>
          <w:szCs w:val="21"/>
          <w:highlight w:val="none"/>
          <w:lang w:val="en-US" w:eastAsia="zh-CN"/>
        </w:rPr>
        <w:t>A包</w:t>
      </w:r>
      <w:r>
        <w:rPr>
          <w:rFonts w:hint="eastAsia" w:cs="宋体"/>
          <w:b/>
          <w:bCs w:val="0"/>
          <w:color w:val="FF0000"/>
          <w:szCs w:val="21"/>
          <w:highlight w:val="none"/>
        </w:rPr>
        <w:t>投标人提供</w:t>
      </w:r>
      <w:r>
        <w:rPr>
          <w:rFonts w:hint="eastAsia" w:cs="宋体"/>
          <w:b/>
          <w:bCs w:val="0"/>
          <w:color w:val="FF0000"/>
          <w:szCs w:val="21"/>
          <w:highlight w:val="none"/>
          <w:lang w:eastAsia="zh-CN"/>
        </w:rPr>
        <w:t>。</w:t>
      </w:r>
    </w:p>
    <w:p w14:paraId="56BA42B3">
      <w:pPr>
        <w:spacing w:line="276" w:lineRule="auto"/>
        <w:ind w:firstLine="420"/>
        <w:rPr>
          <w:rFonts w:hint="eastAsia" w:eastAsia="宋体"/>
          <w:b/>
          <w:bCs/>
          <w:color w:val="auto"/>
          <w:highlight w:val="none"/>
          <w:lang w:eastAsia="zh-CN"/>
        </w:rPr>
      </w:pPr>
      <w:r>
        <w:rPr>
          <w:rFonts w:hint="eastAsia"/>
          <w:b/>
          <w:bCs w:val="0"/>
          <w:color w:val="auto"/>
          <w:highlight w:val="none"/>
          <w:lang w:val="en-US" w:eastAsia="zh-CN"/>
        </w:rPr>
        <w:t>2</w:t>
      </w:r>
      <w:r>
        <w:rPr>
          <w:b/>
          <w:bCs w:val="0"/>
          <w:color w:val="auto"/>
          <w:highlight w:val="none"/>
        </w:rPr>
        <w:t>、投</w:t>
      </w:r>
      <w:r>
        <w:rPr>
          <w:b/>
          <w:color w:val="auto"/>
          <w:highlight w:val="none"/>
        </w:rPr>
        <w:t>标报价</w:t>
      </w:r>
      <w:r>
        <w:rPr>
          <w:rFonts w:hint="eastAsia"/>
          <w:b/>
          <w:color w:val="auto"/>
          <w:highlight w:val="none"/>
        </w:rPr>
        <w:t>包含</w:t>
      </w:r>
      <w:r>
        <w:rPr>
          <w:rFonts w:hint="eastAsia"/>
          <w:b/>
          <w:color w:val="auto"/>
          <w:highlight w:val="none"/>
          <w:lang w:val="en-US" w:eastAsia="zh-CN"/>
        </w:rPr>
        <w:t>但不限于</w:t>
      </w:r>
      <w:r>
        <w:rPr>
          <w:rFonts w:hint="eastAsia"/>
          <w:b/>
          <w:color w:val="auto"/>
          <w:highlight w:val="none"/>
        </w:rPr>
        <w:t>货物、技术资料、货物的税费、运输费（含二次及多次转运费）、保险费、包装费、装卸费、安装费（含各种辅材费）、检测费（含第三方验收）、培训费、售后服务费、与货物有关的供方应纳的税费、产品规格尺寸变化可能产生的费用等所有费用</w:t>
      </w:r>
      <w:r>
        <w:rPr>
          <w:b/>
          <w:bCs/>
          <w:color w:val="auto"/>
          <w:highlight w:val="none"/>
        </w:rPr>
        <w:t>，并能保证投标人完成履行合同所需的全部工作，此价格在合同签订后将不作调整。</w:t>
      </w:r>
    </w:p>
    <w:p w14:paraId="68B0D4D8">
      <w:pPr>
        <w:spacing w:line="276" w:lineRule="auto"/>
        <w:ind w:firstLine="420"/>
        <w:rPr>
          <w:rFonts w:hint="eastAsia"/>
          <w:b/>
          <w:bCs w:val="0"/>
          <w:color w:val="auto"/>
          <w:szCs w:val="21"/>
          <w:highlight w:val="none"/>
        </w:rPr>
      </w:pPr>
      <w:r>
        <w:rPr>
          <w:rFonts w:hint="eastAsia"/>
          <w:b/>
          <w:bCs w:val="0"/>
          <w:color w:val="auto"/>
          <w:highlight w:val="none"/>
          <w:lang w:val="en-US" w:eastAsia="zh-CN"/>
        </w:rPr>
        <w:t>3、</w:t>
      </w:r>
      <w:r>
        <w:rPr>
          <w:b/>
          <w:bCs w:val="0"/>
          <w:color w:val="auto"/>
          <w:highlight w:val="none"/>
        </w:rPr>
        <w:t>投标人必须将招标文件第五章“</w:t>
      </w:r>
      <w:r>
        <w:rPr>
          <w:rFonts w:hint="eastAsia"/>
          <w:b/>
          <w:bCs w:val="0"/>
          <w:color w:val="auto"/>
          <w:highlight w:val="none"/>
          <w:lang w:eastAsia="zh-CN"/>
        </w:rPr>
        <w:t>采购需求</w:t>
      </w:r>
      <w:r>
        <w:rPr>
          <w:b/>
          <w:bCs w:val="0"/>
          <w:color w:val="auto"/>
          <w:highlight w:val="none"/>
        </w:rPr>
        <w:t>”</w:t>
      </w:r>
      <w:r>
        <w:rPr>
          <w:rFonts w:hint="eastAsia"/>
          <w:b/>
          <w:bCs w:val="0"/>
          <w:color w:val="auto"/>
          <w:highlight w:val="none"/>
          <w:lang w:val="en-US" w:eastAsia="zh-CN"/>
        </w:rPr>
        <w:t>中</w:t>
      </w:r>
      <w:r>
        <w:rPr>
          <w:b/>
          <w:bCs w:val="0"/>
          <w:color w:val="auto"/>
          <w:highlight w:val="none"/>
          <w:lang w:eastAsia="zh-CN"/>
        </w:rPr>
        <w:t>所</w:t>
      </w:r>
      <w:r>
        <w:rPr>
          <w:rFonts w:hint="eastAsia"/>
          <w:b/>
          <w:bCs w:val="0"/>
          <w:color w:val="auto"/>
          <w:highlight w:val="none"/>
          <w:lang w:val="en-US" w:eastAsia="zh-CN"/>
        </w:rPr>
        <w:t>投标包</w:t>
      </w:r>
      <w:r>
        <w:rPr>
          <w:b/>
          <w:bCs w:val="0"/>
          <w:color w:val="auto"/>
          <w:highlight w:val="none"/>
          <w:lang w:eastAsia="zh-CN"/>
        </w:rPr>
        <w:t>内容进行整体投标，不得缺项漏项</w:t>
      </w:r>
      <w:r>
        <w:rPr>
          <w:rFonts w:hint="eastAsia"/>
          <w:b/>
          <w:bCs w:val="0"/>
          <w:color w:val="auto"/>
          <w:highlight w:val="none"/>
          <w:lang w:eastAsia="zh-CN"/>
        </w:rPr>
        <w:t>。</w:t>
      </w:r>
      <w:r>
        <w:rPr>
          <w:b/>
          <w:bCs w:val="0"/>
          <w:color w:val="auto"/>
          <w:szCs w:val="21"/>
          <w:highlight w:val="none"/>
          <w:lang w:eastAsia="zh-CN"/>
        </w:rPr>
        <w:t>否则作实质性不响应招标文件处理。</w:t>
      </w:r>
    </w:p>
    <w:p w14:paraId="57FC27C9">
      <w:pPr>
        <w:spacing w:line="276" w:lineRule="auto"/>
        <w:ind w:firstLine="422"/>
        <w:rPr>
          <w:rFonts w:hint="eastAsia"/>
          <w:bCs/>
          <w:color w:val="auto"/>
          <w:szCs w:val="21"/>
          <w:highlight w:val="none"/>
        </w:rPr>
      </w:pPr>
      <w:r>
        <w:rPr>
          <w:rFonts w:hint="eastAsia"/>
          <w:b/>
          <w:bCs w:val="0"/>
          <w:color w:val="auto"/>
          <w:szCs w:val="21"/>
          <w:highlight w:val="none"/>
          <w:lang w:val="en-US" w:eastAsia="zh-CN"/>
        </w:rPr>
        <w:t>4</w:t>
      </w:r>
      <w:r>
        <w:rPr>
          <w:b/>
          <w:bCs w:val="0"/>
          <w:color w:val="auto"/>
          <w:szCs w:val="21"/>
          <w:highlight w:val="none"/>
        </w:rPr>
        <w:t>、在“</w:t>
      </w:r>
      <w:r>
        <w:rPr>
          <w:rFonts w:hint="eastAsia"/>
          <w:b/>
          <w:bCs w:val="0"/>
          <w:color w:val="auto"/>
          <w:szCs w:val="21"/>
          <w:highlight w:val="none"/>
        </w:rPr>
        <w:t>制造商规模（小型企业、中型企业、大型企业）、生产商特殊属性（监狱企业、其他、残疾人福利单位）</w:t>
      </w:r>
      <w:r>
        <w:rPr>
          <w:b/>
          <w:bCs w:val="0"/>
          <w:color w:val="auto"/>
          <w:szCs w:val="21"/>
          <w:highlight w:val="none"/>
        </w:rPr>
        <w:t>”中如实填写小微企业、残疾人福利性单位或监狱企业，并按招标文件要求提供声明函（小微企业、残疾人福利性单位）/证明文件（监狱企业），否则不予进行价格扣除。</w:t>
      </w:r>
    </w:p>
    <w:p w14:paraId="44B19DF8">
      <w:pPr>
        <w:spacing w:line="276" w:lineRule="auto"/>
        <w:rPr>
          <w:rFonts w:hint="eastAsia"/>
          <w:bCs/>
          <w:color w:val="auto"/>
          <w:szCs w:val="21"/>
          <w:highlight w:val="none"/>
        </w:rPr>
      </w:pPr>
    </w:p>
    <w:tbl>
      <w:tblPr>
        <w:tblStyle w:val="44"/>
        <w:tblW w:w="5534" w:type="dxa"/>
        <w:jc w:val="right"/>
        <w:tblLayout w:type="fixed"/>
        <w:tblCellMar>
          <w:top w:w="0" w:type="dxa"/>
          <w:left w:w="108" w:type="dxa"/>
          <w:bottom w:w="0" w:type="dxa"/>
          <w:right w:w="108" w:type="dxa"/>
        </w:tblCellMar>
      </w:tblPr>
      <w:tblGrid>
        <w:gridCol w:w="5534"/>
      </w:tblGrid>
      <w:tr w14:paraId="04C4BEFF">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1BF0923A">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09A5A1F9">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5B3CBBD0">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59EA3225">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06E89C8B">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4A939610">
      <w:pPr>
        <w:jc w:val="center"/>
        <w:outlineLvl w:val="2"/>
        <w:rPr>
          <w:rFonts w:hint="eastAsia" w:cs="宋体"/>
          <w:b/>
          <w:color w:val="auto"/>
          <w:sz w:val="28"/>
          <w:szCs w:val="28"/>
          <w:highlight w:val="none"/>
        </w:rPr>
        <w:sectPr>
          <w:headerReference r:id="rId14" w:type="first"/>
          <w:pgSz w:w="16838" w:h="11906" w:orient="landscape"/>
          <w:pgMar w:top="1080" w:right="1440" w:bottom="1080" w:left="1440" w:header="680" w:footer="680" w:gutter="0"/>
          <w:pgBorders>
            <w:top w:val="none" w:sz="0" w:space="0"/>
            <w:left w:val="none" w:sz="0" w:space="0"/>
            <w:bottom w:val="none" w:sz="0" w:space="0"/>
            <w:right w:val="none" w:sz="0" w:space="0"/>
          </w:pgBorders>
          <w:pgNumType w:fmt="decimal"/>
          <w:cols w:space="720" w:num="1"/>
          <w:docGrid w:type="linesAndChars" w:linePitch="331" w:charSpace="0"/>
        </w:sectPr>
      </w:pPr>
    </w:p>
    <w:p w14:paraId="3281FC22">
      <w:pPr>
        <w:jc w:val="center"/>
        <w:outlineLvl w:val="2"/>
        <w:rPr>
          <w:rFonts w:hint="eastAsia"/>
          <w:b/>
          <w:bCs/>
          <w:color w:val="auto"/>
          <w:sz w:val="28"/>
          <w:szCs w:val="36"/>
          <w:highlight w:val="none"/>
        </w:rPr>
      </w:pPr>
      <w:bookmarkStart w:id="224" w:name="_Toc10109"/>
      <w:r>
        <w:rPr>
          <w:rFonts w:hint="eastAsia"/>
          <w:b/>
          <w:bCs/>
          <w:color w:val="auto"/>
          <w:sz w:val="28"/>
          <w:szCs w:val="36"/>
          <w:highlight w:val="none"/>
        </w:rPr>
        <w:t>（二）</w:t>
      </w:r>
      <w:r>
        <w:rPr>
          <w:b/>
          <w:bCs/>
          <w:color w:val="auto"/>
          <w:sz w:val="28"/>
          <w:szCs w:val="36"/>
          <w:highlight w:val="none"/>
        </w:rPr>
        <w:t>★</w:t>
      </w:r>
      <w:r>
        <w:rPr>
          <w:rFonts w:hint="eastAsia"/>
          <w:b/>
          <w:bCs/>
          <w:color w:val="auto"/>
          <w:sz w:val="28"/>
          <w:szCs w:val="36"/>
          <w:highlight w:val="none"/>
          <w:lang w:val="en-US" w:eastAsia="zh-CN"/>
        </w:rPr>
        <w:t>B包投标</w:t>
      </w:r>
      <w:r>
        <w:rPr>
          <w:b/>
          <w:bCs/>
          <w:color w:val="auto"/>
          <w:sz w:val="28"/>
          <w:szCs w:val="36"/>
          <w:highlight w:val="none"/>
        </w:rPr>
        <w:t>报价</w:t>
      </w:r>
      <w:r>
        <w:rPr>
          <w:rFonts w:hint="eastAsia"/>
          <w:b/>
          <w:bCs/>
          <w:color w:val="auto"/>
          <w:sz w:val="28"/>
          <w:szCs w:val="36"/>
          <w:highlight w:val="none"/>
        </w:rPr>
        <w:t>明细</w:t>
      </w:r>
      <w:r>
        <w:rPr>
          <w:b/>
          <w:bCs/>
          <w:color w:val="auto"/>
          <w:sz w:val="28"/>
          <w:szCs w:val="36"/>
          <w:highlight w:val="none"/>
        </w:rPr>
        <w:t>表</w:t>
      </w:r>
      <w:bookmarkEnd w:id="221"/>
      <w:bookmarkEnd w:id="222"/>
      <w:bookmarkEnd w:id="224"/>
    </w:p>
    <w:p w14:paraId="5F8763D0">
      <w:pPr>
        <w:ind w:firstLine="422"/>
        <w:rPr>
          <w:rFonts w:hint="eastAsia"/>
          <w:b/>
          <w:color w:val="auto"/>
          <w:szCs w:val="21"/>
          <w:highlight w:val="none"/>
        </w:rPr>
      </w:pPr>
      <w:r>
        <w:rPr>
          <w:b/>
          <w:color w:val="auto"/>
          <w:szCs w:val="21"/>
          <w:highlight w:val="none"/>
        </w:rPr>
        <w:t>项目名称：</w:t>
      </w:r>
      <w:r>
        <w:rPr>
          <w:rFonts w:hint="eastAsia"/>
          <w:b/>
          <w:color w:val="auto"/>
          <w:szCs w:val="21"/>
          <w:highlight w:val="none"/>
          <w:lang w:val="en-US" w:eastAsia="zh-CN"/>
        </w:rPr>
        <w:t xml:space="preserve">                                                                                             </w:t>
      </w:r>
      <w:r>
        <w:rPr>
          <w:b/>
          <w:color w:val="auto"/>
          <w:szCs w:val="21"/>
          <w:highlight w:val="none"/>
        </w:rPr>
        <w:t>招标编号：</w:t>
      </w:r>
    </w:p>
    <w:tbl>
      <w:tblPr>
        <w:tblStyle w:val="44"/>
        <w:tblW w:w="141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41"/>
        <w:gridCol w:w="1350"/>
        <w:gridCol w:w="1178"/>
        <w:gridCol w:w="675"/>
        <w:gridCol w:w="954"/>
        <w:gridCol w:w="889"/>
        <w:gridCol w:w="1382"/>
        <w:gridCol w:w="1618"/>
        <w:gridCol w:w="1693"/>
        <w:gridCol w:w="743"/>
        <w:gridCol w:w="567"/>
        <w:gridCol w:w="567"/>
        <w:gridCol w:w="851"/>
        <w:gridCol w:w="1166"/>
      </w:tblGrid>
      <w:tr w14:paraId="53E0B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blHeader/>
          <w:jc w:val="center"/>
        </w:trPr>
        <w:tc>
          <w:tcPr>
            <w:tcW w:w="541" w:type="dxa"/>
            <w:noWrap/>
            <w:vAlign w:val="center"/>
          </w:tcPr>
          <w:p w14:paraId="32D53D52">
            <w:pPr>
              <w:spacing w:line="240" w:lineRule="auto"/>
              <w:jc w:val="center"/>
              <w:rPr>
                <w:rFonts w:hint="eastAsia"/>
                <w:b/>
                <w:color w:val="auto"/>
                <w:szCs w:val="21"/>
                <w:highlight w:val="none"/>
              </w:rPr>
            </w:pPr>
            <w:r>
              <w:rPr>
                <w:rFonts w:hint="eastAsia"/>
                <w:b/>
                <w:color w:val="auto"/>
                <w:szCs w:val="21"/>
                <w:highlight w:val="none"/>
              </w:rPr>
              <w:t>序号</w:t>
            </w:r>
          </w:p>
        </w:tc>
        <w:tc>
          <w:tcPr>
            <w:tcW w:w="1350" w:type="dxa"/>
            <w:noWrap/>
            <w:vAlign w:val="center"/>
          </w:tcPr>
          <w:p w14:paraId="23916486">
            <w:pPr>
              <w:spacing w:line="240" w:lineRule="auto"/>
              <w:jc w:val="center"/>
              <w:rPr>
                <w:rFonts w:hint="eastAsia"/>
                <w:b/>
                <w:color w:val="auto"/>
                <w:szCs w:val="21"/>
                <w:highlight w:val="none"/>
              </w:rPr>
            </w:pPr>
            <w:r>
              <w:rPr>
                <w:rFonts w:hint="eastAsia"/>
                <w:b/>
                <w:color w:val="auto"/>
                <w:szCs w:val="21"/>
                <w:highlight w:val="none"/>
              </w:rPr>
              <w:t>设备名称</w:t>
            </w:r>
          </w:p>
        </w:tc>
        <w:tc>
          <w:tcPr>
            <w:tcW w:w="1178" w:type="dxa"/>
            <w:noWrap/>
            <w:vAlign w:val="center"/>
          </w:tcPr>
          <w:p w14:paraId="0FB45386">
            <w:pPr>
              <w:spacing w:line="240" w:lineRule="auto"/>
              <w:jc w:val="center"/>
              <w:rPr>
                <w:rFonts w:hint="eastAsia"/>
                <w:b/>
                <w:color w:val="auto"/>
                <w:szCs w:val="21"/>
                <w:highlight w:val="none"/>
              </w:rPr>
            </w:pPr>
            <w:r>
              <w:rPr>
                <w:rFonts w:hint="eastAsia"/>
                <w:b/>
                <w:color w:val="auto"/>
                <w:szCs w:val="21"/>
                <w:highlight w:val="none"/>
              </w:rPr>
              <w:t>产品注册证名称</w:t>
            </w:r>
          </w:p>
        </w:tc>
        <w:tc>
          <w:tcPr>
            <w:tcW w:w="675" w:type="dxa"/>
            <w:noWrap/>
            <w:vAlign w:val="center"/>
          </w:tcPr>
          <w:p w14:paraId="3D7C4D91">
            <w:pPr>
              <w:spacing w:line="240" w:lineRule="auto"/>
              <w:jc w:val="center"/>
              <w:rPr>
                <w:rFonts w:hint="eastAsia"/>
                <w:b/>
                <w:color w:val="auto"/>
                <w:szCs w:val="21"/>
                <w:highlight w:val="none"/>
              </w:rPr>
            </w:pPr>
            <w:r>
              <w:rPr>
                <w:rFonts w:hint="eastAsia"/>
                <w:b/>
                <w:color w:val="auto"/>
                <w:szCs w:val="21"/>
                <w:highlight w:val="none"/>
              </w:rPr>
              <w:t>原产地</w:t>
            </w:r>
          </w:p>
        </w:tc>
        <w:tc>
          <w:tcPr>
            <w:tcW w:w="954" w:type="dxa"/>
            <w:noWrap/>
            <w:vAlign w:val="center"/>
          </w:tcPr>
          <w:p w14:paraId="5A7C6F10">
            <w:pPr>
              <w:spacing w:line="240" w:lineRule="auto"/>
              <w:jc w:val="center"/>
              <w:rPr>
                <w:rFonts w:hint="eastAsia"/>
                <w:b/>
                <w:color w:val="auto"/>
                <w:szCs w:val="21"/>
                <w:highlight w:val="none"/>
              </w:rPr>
            </w:pPr>
            <w:r>
              <w:rPr>
                <w:rFonts w:hint="eastAsia"/>
                <w:b/>
                <w:color w:val="auto"/>
                <w:szCs w:val="21"/>
                <w:highlight w:val="none"/>
              </w:rPr>
              <w:t>制造商名称</w:t>
            </w:r>
          </w:p>
        </w:tc>
        <w:tc>
          <w:tcPr>
            <w:tcW w:w="889" w:type="dxa"/>
            <w:noWrap/>
            <w:vAlign w:val="center"/>
          </w:tcPr>
          <w:p w14:paraId="15FC47F8">
            <w:pPr>
              <w:spacing w:line="240" w:lineRule="auto"/>
              <w:jc w:val="center"/>
              <w:rPr>
                <w:rFonts w:hint="eastAsia"/>
                <w:b/>
                <w:color w:val="auto"/>
                <w:szCs w:val="21"/>
                <w:highlight w:val="none"/>
              </w:rPr>
            </w:pPr>
            <w:r>
              <w:rPr>
                <w:rFonts w:hint="eastAsia"/>
                <w:b/>
                <w:color w:val="auto"/>
                <w:szCs w:val="21"/>
                <w:highlight w:val="none"/>
              </w:rPr>
              <w:t>品牌</w:t>
            </w:r>
          </w:p>
        </w:tc>
        <w:tc>
          <w:tcPr>
            <w:tcW w:w="1382" w:type="dxa"/>
            <w:noWrap/>
            <w:vAlign w:val="center"/>
          </w:tcPr>
          <w:p w14:paraId="2E73AF43">
            <w:pPr>
              <w:spacing w:line="240" w:lineRule="auto"/>
              <w:rPr>
                <w:rFonts w:hint="eastAsia"/>
                <w:b/>
                <w:color w:val="auto"/>
                <w:szCs w:val="21"/>
                <w:highlight w:val="none"/>
              </w:rPr>
            </w:pPr>
            <w:r>
              <w:rPr>
                <w:rFonts w:hint="eastAsia"/>
                <w:b/>
                <w:color w:val="auto"/>
                <w:szCs w:val="21"/>
                <w:highlight w:val="none"/>
              </w:rPr>
              <w:t>制造商规模（小型企业、中型企业、大型企业）</w:t>
            </w:r>
          </w:p>
        </w:tc>
        <w:tc>
          <w:tcPr>
            <w:tcW w:w="1618" w:type="dxa"/>
            <w:noWrap/>
            <w:vAlign w:val="center"/>
          </w:tcPr>
          <w:p w14:paraId="0E1B104D">
            <w:pPr>
              <w:spacing w:line="240" w:lineRule="auto"/>
              <w:rPr>
                <w:rFonts w:hint="eastAsia"/>
                <w:b/>
                <w:color w:val="auto"/>
                <w:szCs w:val="21"/>
                <w:highlight w:val="none"/>
              </w:rPr>
            </w:pPr>
            <w:r>
              <w:rPr>
                <w:rFonts w:hint="eastAsia"/>
                <w:b/>
                <w:color w:val="auto"/>
                <w:szCs w:val="21"/>
                <w:highlight w:val="none"/>
              </w:rPr>
              <w:t>生产商特殊属性（监狱企业、其他、残疾人福利单位）</w:t>
            </w:r>
          </w:p>
        </w:tc>
        <w:tc>
          <w:tcPr>
            <w:tcW w:w="1693" w:type="dxa"/>
            <w:noWrap/>
            <w:vAlign w:val="center"/>
          </w:tcPr>
          <w:p w14:paraId="1B0DB6A6">
            <w:pPr>
              <w:spacing w:line="240" w:lineRule="auto"/>
              <w:rPr>
                <w:rFonts w:hint="eastAsia"/>
                <w:b/>
                <w:color w:val="auto"/>
                <w:szCs w:val="21"/>
                <w:highlight w:val="none"/>
              </w:rPr>
            </w:pPr>
            <w:r>
              <w:rPr>
                <w:rFonts w:hint="eastAsia"/>
                <w:b/>
                <w:color w:val="auto"/>
                <w:szCs w:val="21"/>
                <w:highlight w:val="none"/>
              </w:rPr>
              <w:t>是否外商投资企业（如“是”属于外商单独投资还是部分投资）</w:t>
            </w:r>
          </w:p>
        </w:tc>
        <w:tc>
          <w:tcPr>
            <w:tcW w:w="743" w:type="dxa"/>
            <w:noWrap/>
            <w:vAlign w:val="center"/>
          </w:tcPr>
          <w:p w14:paraId="2C0A9DAD">
            <w:pPr>
              <w:spacing w:line="240" w:lineRule="auto"/>
              <w:jc w:val="center"/>
              <w:rPr>
                <w:rFonts w:hint="eastAsia"/>
                <w:b/>
                <w:color w:val="auto"/>
                <w:szCs w:val="21"/>
                <w:highlight w:val="none"/>
              </w:rPr>
            </w:pPr>
            <w:r>
              <w:rPr>
                <w:rFonts w:hint="eastAsia"/>
                <w:b/>
                <w:color w:val="auto"/>
                <w:szCs w:val="21"/>
                <w:highlight w:val="none"/>
              </w:rPr>
              <w:t>型号</w:t>
            </w:r>
          </w:p>
        </w:tc>
        <w:tc>
          <w:tcPr>
            <w:tcW w:w="567" w:type="dxa"/>
            <w:noWrap/>
            <w:vAlign w:val="center"/>
          </w:tcPr>
          <w:p w14:paraId="0EE7656D">
            <w:pPr>
              <w:spacing w:line="240" w:lineRule="auto"/>
              <w:jc w:val="center"/>
              <w:rPr>
                <w:rFonts w:hint="eastAsia"/>
                <w:b/>
                <w:color w:val="auto"/>
                <w:szCs w:val="21"/>
                <w:highlight w:val="none"/>
              </w:rPr>
            </w:pPr>
            <w:r>
              <w:rPr>
                <w:rFonts w:hint="eastAsia"/>
                <w:b/>
                <w:color w:val="auto"/>
                <w:szCs w:val="21"/>
                <w:highlight w:val="none"/>
              </w:rPr>
              <w:t>数量</w:t>
            </w:r>
          </w:p>
        </w:tc>
        <w:tc>
          <w:tcPr>
            <w:tcW w:w="567" w:type="dxa"/>
            <w:noWrap/>
            <w:vAlign w:val="center"/>
          </w:tcPr>
          <w:p w14:paraId="56EA79E3">
            <w:pPr>
              <w:spacing w:line="240" w:lineRule="auto"/>
              <w:jc w:val="center"/>
              <w:rPr>
                <w:rFonts w:hint="eastAsia"/>
                <w:b/>
                <w:color w:val="auto"/>
                <w:szCs w:val="21"/>
                <w:highlight w:val="none"/>
              </w:rPr>
            </w:pPr>
            <w:r>
              <w:rPr>
                <w:rFonts w:hint="eastAsia"/>
                <w:b/>
                <w:color w:val="auto"/>
                <w:szCs w:val="21"/>
                <w:highlight w:val="none"/>
              </w:rPr>
              <w:t>单位</w:t>
            </w:r>
          </w:p>
        </w:tc>
        <w:tc>
          <w:tcPr>
            <w:tcW w:w="851" w:type="dxa"/>
            <w:noWrap/>
            <w:vAlign w:val="center"/>
          </w:tcPr>
          <w:p w14:paraId="39340CEE">
            <w:pPr>
              <w:spacing w:line="240" w:lineRule="auto"/>
              <w:jc w:val="center"/>
              <w:rPr>
                <w:rFonts w:hint="eastAsia"/>
                <w:b/>
                <w:color w:val="auto"/>
                <w:szCs w:val="21"/>
                <w:highlight w:val="none"/>
              </w:rPr>
            </w:pPr>
            <w:r>
              <w:rPr>
                <w:rFonts w:hint="eastAsia"/>
                <w:b/>
                <w:color w:val="auto"/>
                <w:szCs w:val="21"/>
                <w:highlight w:val="none"/>
              </w:rPr>
              <w:t>单价（元）</w:t>
            </w:r>
          </w:p>
        </w:tc>
        <w:tc>
          <w:tcPr>
            <w:tcW w:w="1166" w:type="dxa"/>
            <w:noWrap/>
            <w:vAlign w:val="center"/>
          </w:tcPr>
          <w:p w14:paraId="3B1822DB">
            <w:pPr>
              <w:spacing w:line="240" w:lineRule="auto"/>
              <w:jc w:val="center"/>
              <w:rPr>
                <w:rFonts w:hint="eastAsia"/>
                <w:b/>
                <w:color w:val="auto"/>
                <w:szCs w:val="21"/>
                <w:highlight w:val="none"/>
              </w:rPr>
            </w:pPr>
            <w:r>
              <w:rPr>
                <w:rFonts w:hint="eastAsia"/>
                <w:b/>
                <w:color w:val="auto"/>
                <w:szCs w:val="21"/>
                <w:highlight w:val="none"/>
              </w:rPr>
              <w:t>分项总价（元）</w:t>
            </w:r>
          </w:p>
        </w:tc>
      </w:tr>
      <w:tr w14:paraId="2A3AC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541" w:type="dxa"/>
            <w:noWrap/>
            <w:vAlign w:val="center"/>
          </w:tcPr>
          <w:p w14:paraId="7996D51B">
            <w:pPr>
              <w:spacing w:line="276" w:lineRule="auto"/>
              <w:jc w:val="center"/>
              <w:rPr>
                <w:rFonts w:hint="eastAsia"/>
                <w:b/>
                <w:bCs/>
                <w:color w:val="auto"/>
                <w:szCs w:val="21"/>
                <w:highlight w:val="none"/>
              </w:rPr>
            </w:pPr>
            <w:r>
              <w:rPr>
                <w:rFonts w:hint="eastAsia"/>
                <w:b/>
                <w:bCs/>
                <w:color w:val="auto"/>
                <w:szCs w:val="21"/>
                <w:highlight w:val="none"/>
              </w:rPr>
              <w:t>1</w:t>
            </w:r>
          </w:p>
        </w:tc>
        <w:tc>
          <w:tcPr>
            <w:tcW w:w="1350" w:type="dxa"/>
            <w:noWrap/>
            <w:vAlign w:val="center"/>
          </w:tcPr>
          <w:p w14:paraId="416B6126">
            <w:pPr>
              <w:keepNext w:val="0"/>
              <w:keepLines w:val="0"/>
              <w:widowControl/>
              <w:suppressLineNumbers w:val="0"/>
              <w:jc w:val="center"/>
              <w:textAlignment w:val="center"/>
              <w:rPr>
                <w:rFonts w:hint="eastAsia" w:ascii="宋体" w:hAnsi="宋体" w:eastAsia="宋体" w:cs="宋体"/>
                <w:b/>
                <w:bCs/>
                <w:color w:val="auto"/>
                <w:sz w:val="21"/>
                <w:szCs w:val="21"/>
                <w:highlight w:val="none"/>
              </w:rPr>
            </w:pPr>
          </w:p>
        </w:tc>
        <w:tc>
          <w:tcPr>
            <w:tcW w:w="1178" w:type="dxa"/>
            <w:noWrap/>
            <w:vAlign w:val="center"/>
          </w:tcPr>
          <w:p w14:paraId="691BC068">
            <w:pPr>
              <w:spacing w:line="276" w:lineRule="auto"/>
              <w:jc w:val="center"/>
              <w:rPr>
                <w:rFonts w:hint="eastAsia"/>
                <w:color w:val="auto"/>
                <w:szCs w:val="21"/>
                <w:highlight w:val="none"/>
              </w:rPr>
            </w:pPr>
          </w:p>
        </w:tc>
        <w:tc>
          <w:tcPr>
            <w:tcW w:w="675" w:type="dxa"/>
            <w:noWrap/>
            <w:vAlign w:val="center"/>
          </w:tcPr>
          <w:p w14:paraId="07CEEB30">
            <w:pPr>
              <w:spacing w:line="276" w:lineRule="auto"/>
              <w:jc w:val="center"/>
              <w:rPr>
                <w:rFonts w:hint="eastAsia"/>
                <w:color w:val="auto"/>
                <w:szCs w:val="21"/>
                <w:highlight w:val="none"/>
              </w:rPr>
            </w:pPr>
          </w:p>
        </w:tc>
        <w:tc>
          <w:tcPr>
            <w:tcW w:w="954" w:type="dxa"/>
            <w:noWrap/>
            <w:vAlign w:val="center"/>
          </w:tcPr>
          <w:p w14:paraId="7B53F4F1">
            <w:pPr>
              <w:spacing w:line="276" w:lineRule="auto"/>
              <w:jc w:val="center"/>
              <w:rPr>
                <w:rFonts w:hint="eastAsia"/>
                <w:color w:val="auto"/>
                <w:szCs w:val="21"/>
                <w:highlight w:val="none"/>
              </w:rPr>
            </w:pPr>
          </w:p>
        </w:tc>
        <w:tc>
          <w:tcPr>
            <w:tcW w:w="889" w:type="dxa"/>
            <w:noWrap/>
            <w:vAlign w:val="center"/>
          </w:tcPr>
          <w:p w14:paraId="77744E2A">
            <w:pPr>
              <w:spacing w:line="276" w:lineRule="auto"/>
              <w:jc w:val="center"/>
              <w:rPr>
                <w:rFonts w:hint="eastAsia"/>
                <w:color w:val="auto"/>
                <w:szCs w:val="21"/>
                <w:highlight w:val="none"/>
              </w:rPr>
            </w:pPr>
          </w:p>
        </w:tc>
        <w:tc>
          <w:tcPr>
            <w:tcW w:w="1382" w:type="dxa"/>
            <w:noWrap/>
            <w:vAlign w:val="center"/>
          </w:tcPr>
          <w:p w14:paraId="338FB1A3">
            <w:pPr>
              <w:spacing w:line="276" w:lineRule="auto"/>
              <w:jc w:val="center"/>
              <w:rPr>
                <w:rFonts w:hint="eastAsia"/>
                <w:color w:val="auto"/>
                <w:szCs w:val="21"/>
                <w:highlight w:val="none"/>
              </w:rPr>
            </w:pPr>
          </w:p>
        </w:tc>
        <w:tc>
          <w:tcPr>
            <w:tcW w:w="1618" w:type="dxa"/>
            <w:noWrap/>
            <w:vAlign w:val="center"/>
          </w:tcPr>
          <w:p w14:paraId="15843814">
            <w:pPr>
              <w:spacing w:line="276" w:lineRule="auto"/>
              <w:jc w:val="center"/>
              <w:rPr>
                <w:rFonts w:hint="eastAsia"/>
                <w:color w:val="auto"/>
                <w:szCs w:val="21"/>
                <w:highlight w:val="none"/>
              </w:rPr>
            </w:pPr>
          </w:p>
        </w:tc>
        <w:tc>
          <w:tcPr>
            <w:tcW w:w="1693" w:type="dxa"/>
            <w:noWrap/>
            <w:vAlign w:val="center"/>
          </w:tcPr>
          <w:p w14:paraId="769DE82B">
            <w:pPr>
              <w:spacing w:line="276" w:lineRule="auto"/>
              <w:jc w:val="center"/>
              <w:rPr>
                <w:rFonts w:hint="eastAsia"/>
                <w:color w:val="auto"/>
                <w:szCs w:val="21"/>
                <w:highlight w:val="none"/>
              </w:rPr>
            </w:pPr>
          </w:p>
        </w:tc>
        <w:tc>
          <w:tcPr>
            <w:tcW w:w="743" w:type="dxa"/>
            <w:noWrap/>
            <w:vAlign w:val="center"/>
          </w:tcPr>
          <w:p w14:paraId="7732EA14">
            <w:pPr>
              <w:spacing w:line="276" w:lineRule="auto"/>
              <w:jc w:val="center"/>
              <w:rPr>
                <w:rFonts w:hint="eastAsia"/>
                <w:color w:val="auto"/>
                <w:szCs w:val="21"/>
                <w:highlight w:val="none"/>
              </w:rPr>
            </w:pPr>
          </w:p>
        </w:tc>
        <w:tc>
          <w:tcPr>
            <w:tcW w:w="567" w:type="dxa"/>
            <w:noWrap/>
            <w:vAlign w:val="center"/>
          </w:tcPr>
          <w:p w14:paraId="1B6587FE">
            <w:pPr>
              <w:spacing w:line="276" w:lineRule="auto"/>
              <w:jc w:val="center"/>
              <w:rPr>
                <w:rFonts w:hint="eastAsia" w:eastAsia="宋体"/>
                <w:b/>
                <w:bCs/>
                <w:color w:val="auto"/>
                <w:szCs w:val="21"/>
                <w:highlight w:val="none"/>
                <w:lang w:val="en-US" w:eastAsia="zh-CN"/>
              </w:rPr>
            </w:pPr>
          </w:p>
        </w:tc>
        <w:tc>
          <w:tcPr>
            <w:tcW w:w="567" w:type="dxa"/>
            <w:noWrap/>
            <w:vAlign w:val="center"/>
          </w:tcPr>
          <w:p w14:paraId="484BA599">
            <w:pPr>
              <w:spacing w:line="276" w:lineRule="auto"/>
              <w:jc w:val="center"/>
              <w:rPr>
                <w:rFonts w:hint="eastAsia" w:ascii="宋体" w:hAnsi="宋体" w:eastAsia="宋体" w:cs="宋体"/>
                <w:b/>
                <w:bCs/>
                <w:color w:val="auto"/>
                <w:sz w:val="21"/>
                <w:szCs w:val="21"/>
                <w:highlight w:val="none"/>
              </w:rPr>
            </w:pPr>
          </w:p>
        </w:tc>
        <w:tc>
          <w:tcPr>
            <w:tcW w:w="851" w:type="dxa"/>
            <w:noWrap/>
            <w:vAlign w:val="center"/>
          </w:tcPr>
          <w:p w14:paraId="4DF6761F">
            <w:pPr>
              <w:spacing w:line="276" w:lineRule="auto"/>
              <w:jc w:val="center"/>
              <w:rPr>
                <w:rFonts w:hint="eastAsia"/>
                <w:color w:val="auto"/>
                <w:szCs w:val="21"/>
                <w:highlight w:val="none"/>
              </w:rPr>
            </w:pPr>
          </w:p>
        </w:tc>
        <w:tc>
          <w:tcPr>
            <w:tcW w:w="1166" w:type="dxa"/>
            <w:noWrap/>
            <w:vAlign w:val="center"/>
          </w:tcPr>
          <w:p w14:paraId="188DD116">
            <w:pPr>
              <w:spacing w:line="276" w:lineRule="auto"/>
              <w:jc w:val="center"/>
              <w:rPr>
                <w:rFonts w:hint="eastAsia"/>
                <w:color w:val="auto"/>
                <w:szCs w:val="21"/>
                <w:highlight w:val="none"/>
              </w:rPr>
            </w:pPr>
          </w:p>
        </w:tc>
      </w:tr>
      <w:tr w14:paraId="528C9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541" w:type="dxa"/>
            <w:noWrap/>
            <w:vAlign w:val="center"/>
          </w:tcPr>
          <w:p w14:paraId="29A20284">
            <w:pPr>
              <w:spacing w:line="276" w:lineRule="auto"/>
              <w:jc w:val="center"/>
              <w:rPr>
                <w:rFonts w:hint="eastAsia" w:eastAsia="宋体"/>
                <w:b/>
                <w:bCs/>
                <w:color w:val="auto"/>
                <w:szCs w:val="21"/>
                <w:highlight w:val="none"/>
                <w:lang w:val="en-US" w:eastAsia="zh-CN"/>
              </w:rPr>
            </w:pPr>
            <w:r>
              <w:rPr>
                <w:rFonts w:hint="eastAsia"/>
                <w:b/>
                <w:bCs/>
                <w:color w:val="auto"/>
                <w:szCs w:val="21"/>
                <w:highlight w:val="none"/>
                <w:lang w:val="en-US" w:eastAsia="zh-CN"/>
              </w:rPr>
              <w:t>2</w:t>
            </w:r>
          </w:p>
        </w:tc>
        <w:tc>
          <w:tcPr>
            <w:tcW w:w="1350" w:type="dxa"/>
            <w:noWrap/>
            <w:vAlign w:val="center"/>
          </w:tcPr>
          <w:p w14:paraId="73F35B5D">
            <w:pPr>
              <w:keepNext w:val="0"/>
              <w:keepLines w:val="0"/>
              <w:widowControl/>
              <w:suppressLineNumbers w:val="0"/>
              <w:jc w:val="center"/>
              <w:textAlignment w:val="center"/>
              <w:rPr>
                <w:rFonts w:hint="eastAsia" w:ascii="宋体" w:hAnsi="宋体" w:eastAsia="宋体" w:cs="宋体"/>
                <w:b/>
                <w:bCs/>
                <w:color w:val="auto"/>
                <w:sz w:val="21"/>
                <w:szCs w:val="21"/>
                <w:highlight w:val="none"/>
              </w:rPr>
            </w:pPr>
          </w:p>
        </w:tc>
        <w:tc>
          <w:tcPr>
            <w:tcW w:w="1178" w:type="dxa"/>
            <w:noWrap/>
            <w:vAlign w:val="center"/>
          </w:tcPr>
          <w:p w14:paraId="12849A16">
            <w:pPr>
              <w:spacing w:line="276" w:lineRule="auto"/>
              <w:jc w:val="center"/>
              <w:rPr>
                <w:rFonts w:hint="eastAsia"/>
                <w:color w:val="auto"/>
                <w:szCs w:val="21"/>
                <w:highlight w:val="none"/>
              </w:rPr>
            </w:pPr>
          </w:p>
        </w:tc>
        <w:tc>
          <w:tcPr>
            <w:tcW w:w="675" w:type="dxa"/>
            <w:noWrap/>
            <w:vAlign w:val="center"/>
          </w:tcPr>
          <w:p w14:paraId="6CA2A76C">
            <w:pPr>
              <w:spacing w:line="276" w:lineRule="auto"/>
              <w:jc w:val="center"/>
              <w:rPr>
                <w:rFonts w:hint="eastAsia"/>
                <w:color w:val="auto"/>
                <w:szCs w:val="21"/>
                <w:highlight w:val="none"/>
              </w:rPr>
            </w:pPr>
          </w:p>
        </w:tc>
        <w:tc>
          <w:tcPr>
            <w:tcW w:w="954" w:type="dxa"/>
            <w:noWrap/>
            <w:vAlign w:val="center"/>
          </w:tcPr>
          <w:p w14:paraId="313B5D92">
            <w:pPr>
              <w:spacing w:line="276" w:lineRule="auto"/>
              <w:jc w:val="center"/>
              <w:rPr>
                <w:rFonts w:hint="eastAsia"/>
                <w:color w:val="auto"/>
                <w:szCs w:val="21"/>
                <w:highlight w:val="none"/>
              </w:rPr>
            </w:pPr>
          </w:p>
        </w:tc>
        <w:tc>
          <w:tcPr>
            <w:tcW w:w="889" w:type="dxa"/>
            <w:noWrap/>
            <w:vAlign w:val="center"/>
          </w:tcPr>
          <w:p w14:paraId="5F2D54FF">
            <w:pPr>
              <w:spacing w:line="276" w:lineRule="auto"/>
              <w:jc w:val="center"/>
              <w:rPr>
                <w:rFonts w:hint="eastAsia"/>
                <w:color w:val="auto"/>
                <w:szCs w:val="21"/>
                <w:highlight w:val="none"/>
              </w:rPr>
            </w:pPr>
          </w:p>
        </w:tc>
        <w:tc>
          <w:tcPr>
            <w:tcW w:w="1382" w:type="dxa"/>
            <w:noWrap/>
            <w:vAlign w:val="center"/>
          </w:tcPr>
          <w:p w14:paraId="297D97B9">
            <w:pPr>
              <w:spacing w:line="276" w:lineRule="auto"/>
              <w:jc w:val="center"/>
              <w:rPr>
                <w:rFonts w:hint="eastAsia"/>
                <w:color w:val="auto"/>
                <w:szCs w:val="21"/>
                <w:highlight w:val="none"/>
              </w:rPr>
            </w:pPr>
          </w:p>
        </w:tc>
        <w:tc>
          <w:tcPr>
            <w:tcW w:w="1618" w:type="dxa"/>
            <w:noWrap/>
            <w:vAlign w:val="center"/>
          </w:tcPr>
          <w:p w14:paraId="41F74F67">
            <w:pPr>
              <w:spacing w:line="276" w:lineRule="auto"/>
              <w:jc w:val="center"/>
              <w:rPr>
                <w:rFonts w:hint="eastAsia"/>
                <w:color w:val="auto"/>
                <w:szCs w:val="21"/>
                <w:highlight w:val="none"/>
              </w:rPr>
            </w:pPr>
          </w:p>
        </w:tc>
        <w:tc>
          <w:tcPr>
            <w:tcW w:w="1693" w:type="dxa"/>
            <w:noWrap/>
            <w:vAlign w:val="center"/>
          </w:tcPr>
          <w:p w14:paraId="1061CC9A">
            <w:pPr>
              <w:spacing w:line="276" w:lineRule="auto"/>
              <w:jc w:val="center"/>
              <w:rPr>
                <w:rFonts w:hint="eastAsia"/>
                <w:color w:val="auto"/>
                <w:szCs w:val="21"/>
                <w:highlight w:val="none"/>
              </w:rPr>
            </w:pPr>
          </w:p>
        </w:tc>
        <w:tc>
          <w:tcPr>
            <w:tcW w:w="743" w:type="dxa"/>
            <w:noWrap/>
            <w:vAlign w:val="center"/>
          </w:tcPr>
          <w:p w14:paraId="5228D73F">
            <w:pPr>
              <w:spacing w:line="276" w:lineRule="auto"/>
              <w:jc w:val="center"/>
              <w:rPr>
                <w:rFonts w:hint="eastAsia"/>
                <w:color w:val="auto"/>
                <w:szCs w:val="21"/>
                <w:highlight w:val="none"/>
              </w:rPr>
            </w:pPr>
          </w:p>
        </w:tc>
        <w:tc>
          <w:tcPr>
            <w:tcW w:w="567" w:type="dxa"/>
            <w:noWrap/>
            <w:vAlign w:val="center"/>
          </w:tcPr>
          <w:p w14:paraId="046E13EA">
            <w:pPr>
              <w:spacing w:line="276" w:lineRule="auto"/>
              <w:jc w:val="center"/>
              <w:rPr>
                <w:rFonts w:hint="eastAsia" w:eastAsia="宋体"/>
                <w:b/>
                <w:bCs/>
                <w:color w:val="auto"/>
                <w:szCs w:val="21"/>
                <w:highlight w:val="none"/>
                <w:lang w:val="en-US" w:eastAsia="zh-CN"/>
              </w:rPr>
            </w:pPr>
          </w:p>
        </w:tc>
        <w:tc>
          <w:tcPr>
            <w:tcW w:w="567" w:type="dxa"/>
            <w:noWrap/>
            <w:vAlign w:val="center"/>
          </w:tcPr>
          <w:p w14:paraId="733FEB56">
            <w:pPr>
              <w:spacing w:line="276" w:lineRule="auto"/>
              <w:jc w:val="center"/>
              <w:rPr>
                <w:rFonts w:hint="eastAsia" w:ascii="宋体" w:hAnsi="宋体" w:eastAsia="宋体" w:cs="宋体"/>
                <w:b/>
                <w:bCs/>
                <w:color w:val="auto"/>
                <w:sz w:val="21"/>
                <w:szCs w:val="21"/>
                <w:highlight w:val="none"/>
              </w:rPr>
            </w:pPr>
          </w:p>
        </w:tc>
        <w:tc>
          <w:tcPr>
            <w:tcW w:w="851" w:type="dxa"/>
            <w:noWrap/>
            <w:vAlign w:val="center"/>
          </w:tcPr>
          <w:p w14:paraId="4ECD4278">
            <w:pPr>
              <w:spacing w:line="276" w:lineRule="auto"/>
              <w:jc w:val="center"/>
              <w:rPr>
                <w:rFonts w:hint="eastAsia"/>
                <w:color w:val="auto"/>
                <w:szCs w:val="21"/>
                <w:highlight w:val="none"/>
              </w:rPr>
            </w:pPr>
          </w:p>
        </w:tc>
        <w:tc>
          <w:tcPr>
            <w:tcW w:w="1166" w:type="dxa"/>
            <w:noWrap/>
            <w:vAlign w:val="center"/>
          </w:tcPr>
          <w:p w14:paraId="71FDABB4">
            <w:pPr>
              <w:spacing w:line="276" w:lineRule="auto"/>
              <w:jc w:val="center"/>
              <w:rPr>
                <w:rFonts w:hint="eastAsia"/>
                <w:color w:val="auto"/>
                <w:szCs w:val="21"/>
                <w:highlight w:val="none"/>
              </w:rPr>
            </w:pPr>
          </w:p>
        </w:tc>
      </w:tr>
      <w:tr w14:paraId="12956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541" w:type="dxa"/>
            <w:noWrap/>
            <w:vAlign w:val="center"/>
          </w:tcPr>
          <w:p w14:paraId="25E77D5D">
            <w:pPr>
              <w:spacing w:line="276" w:lineRule="auto"/>
              <w:jc w:val="center"/>
              <w:rPr>
                <w:b/>
                <w:bCs/>
                <w:color w:val="auto"/>
                <w:szCs w:val="21"/>
                <w:highlight w:val="none"/>
              </w:rPr>
            </w:pPr>
            <w:r>
              <w:rPr>
                <w:b/>
                <w:bCs/>
                <w:color w:val="auto"/>
                <w:szCs w:val="21"/>
                <w:highlight w:val="none"/>
              </w:rPr>
              <w:t>…</w:t>
            </w:r>
          </w:p>
        </w:tc>
        <w:tc>
          <w:tcPr>
            <w:tcW w:w="1350" w:type="dxa"/>
            <w:noWrap/>
            <w:vAlign w:val="center"/>
          </w:tcPr>
          <w:p w14:paraId="1FDD26AF">
            <w:pPr>
              <w:spacing w:line="240" w:lineRule="auto"/>
              <w:jc w:val="center"/>
              <w:rPr>
                <w:rFonts w:hint="eastAsia"/>
                <w:b/>
                <w:bCs/>
                <w:color w:val="auto"/>
                <w:szCs w:val="21"/>
                <w:highlight w:val="none"/>
              </w:rPr>
            </w:pPr>
          </w:p>
        </w:tc>
        <w:tc>
          <w:tcPr>
            <w:tcW w:w="1178" w:type="dxa"/>
            <w:noWrap/>
            <w:vAlign w:val="center"/>
          </w:tcPr>
          <w:p w14:paraId="25B2CBCA">
            <w:pPr>
              <w:spacing w:line="276" w:lineRule="auto"/>
              <w:jc w:val="center"/>
              <w:rPr>
                <w:rFonts w:hint="eastAsia"/>
                <w:color w:val="auto"/>
                <w:szCs w:val="21"/>
                <w:highlight w:val="none"/>
              </w:rPr>
            </w:pPr>
          </w:p>
        </w:tc>
        <w:tc>
          <w:tcPr>
            <w:tcW w:w="675" w:type="dxa"/>
            <w:noWrap/>
            <w:vAlign w:val="center"/>
          </w:tcPr>
          <w:p w14:paraId="56615243">
            <w:pPr>
              <w:spacing w:line="276" w:lineRule="auto"/>
              <w:jc w:val="center"/>
              <w:rPr>
                <w:rFonts w:hint="eastAsia"/>
                <w:color w:val="auto"/>
                <w:szCs w:val="21"/>
                <w:highlight w:val="none"/>
              </w:rPr>
            </w:pPr>
          </w:p>
        </w:tc>
        <w:tc>
          <w:tcPr>
            <w:tcW w:w="954" w:type="dxa"/>
            <w:noWrap/>
            <w:vAlign w:val="center"/>
          </w:tcPr>
          <w:p w14:paraId="1D5BBE64">
            <w:pPr>
              <w:spacing w:line="276" w:lineRule="auto"/>
              <w:jc w:val="center"/>
              <w:rPr>
                <w:rFonts w:hint="eastAsia"/>
                <w:color w:val="auto"/>
                <w:szCs w:val="21"/>
                <w:highlight w:val="none"/>
              </w:rPr>
            </w:pPr>
          </w:p>
        </w:tc>
        <w:tc>
          <w:tcPr>
            <w:tcW w:w="889" w:type="dxa"/>
            <w:noWrap/>
            <w:vAlign w:val="center"/>
          </w:tcPr>
          <w:p w14:paraId="79F8E82A">
            <w:pPr>
              <w:spacing w:line="276" w:lineRule="auto"/>
              <w:jc w:val="center"/>
              <w:rPr>
                <w:rFonts w:hint="eastAsia"/>
                <w:color w:val="auto"/>
                <w:szCs w:val="21"/>
                <w:highlight w:val="none"/>
              </w:rPr>
            </w:pPr>
          </w:p>
        </w:tc>
        <w:tc>
          <w:tcPr>
            <w:tcW w:w="1382" w:type="dxa"/>
            <w:noWrap/>
            <w:vAlign w:val="center"/>
          </w:tcPr>
          <w:p w14:paraId="68DAF472">
            <w:pPr>
              <w:spacing w:line="276" w:lineRule="auto"/>
              <w:jc w:val="center"/>
              <w:rPr>
                <w:rFonts w:hint="eastAsia"/>
                <w:color w:val="auto"/>
                <w:szCs w:val="21"/>
                <w:highlight w:val="none"/>
              </w:rPr>
            </w:pPr>
          </w:p>
        </w:tc>
        <w:tc>
          <w:tcPr>
            <w:tcW w:w="1618" w:type="dxa"/>
            <w:noWrap/>
            <w:vAlign w:val="center"/>
          </w:tcPr>
          <w:p w14:paraId="7ECE6EA2">
            <w:pPr>
              <w:spacing w:line="276" w:lineRule="auto"/>
              <w:jc w:val="center"/>
              <w:rPr>
                <w:rFonts w:hint="eastAsia"/>
                <w:color w:val="auto"/>
                <w:szCs w:val="21"/>
                <w:highlight w:val="none"/>
              </w:rPr>
            </w:pPr>
          </w:p>
        </w:tc>
        <w:tc>
          <w:tcPr>
            <w:tcW w:w="1693" w:type="dxa"/>
            <w:noWrap/>
            <w:vAlign w:val="center"/>
          </w:tcPr>
          <w:p w14:paraId="39ECABBC">
            <w:pPr>
              <w:spacing w:line="276" w:lineRule="auto"/>
              <w:jc w:val="center"/>
              <w:rPr>
                <w:rFonts w:hint="eastAsia"/>
                <w:color w:val="auto"/>
                <w:szCs w:val="21"/>
                <w:highlight w:val="none"/>
              </w:rPr>
            </w:pPr>
          </w:p>
        </w:tc>
        <w:tc>
          <w:tcPr>
            <w:tcW w:w="743" w:type="dxa"/>
            <w:noWrap/>
            <w:vAlign w:val="center"/>
          </w:tcPr>
          <w:p w14:paraId="24F50F96">
            <w:pPr>
              <w:spacing w:line="276" w:lineRule="auto"/>
              <w:jc w:val="center"/>
              <w:rPr>
                <w:rFonts w:hint="eastAsia"/>
                <w:color w:val="auto"/>
                <w:szCs w:val="21"/>
                <w:highlight w:val="none"/>
              </w:rPr>
            </w:pPr>
          </w:p>
        </w:tc>
        <w:tc>
          <w:tcPr>
            <w:tcW w:w="567" w:type="dxa"/>
            <w:noWrap/>
            <w:vAlign w:val="center"/>
          </w:tcPr>
          <w:p w14:paraId="161F4588">
            <w:pPr>
              <w:spacing w:line="276" w:lineRule="auto"/>
              <w:jc w:val="center"/>
              <w:rPr>
                <w:rFonts w:hint="eastAsia"/>
                <w:b/>
                <w:bCs/>
                <w:color w:val="auto"/>
                <w:szCs w:val="21"/>
                <w:highlight w:val="none"/>
              </w:rPr>
            </w:pPr>
          </w:p>
        </w:tc>
        <w:tc>
          <w:tcPr>
            <w:tcW w:w="567" w:type="dxa"/>
            <w:noWrap/>
            <w:vAlign w:val="center"/>
          </w:tcPr>
          <w:p w14:paraId="0FE4B3DD">
            <w:pPr>
              <w:spacing w:line="276" w:lineRule="auto"/>
              <w:jc w:val="center"/>
              <w:rPr>
                <w:rFonts w:hint="eastAsia"/>
                <w:b/>
                <w:bCs/>
                <w:color w:val="auto"/>
                <w:szCs w:val="21"/>
                <w:highlight w:val="none"/>
              </w:rPr>
            </w:pPr>
          </w:p>
        </w:tc>
        <w:tc>
          <w:tcPr>
            <w:tcW w:w="851" w:type="dxa"/>
            <w:noWrap/>
            <w:vAlign w:val="center"/>
          </w:tcPr>
          <w:p w14:paraId="5CE53DA5">
            <w:pPr>
              <w:spacing w:line="276" w:lineRule="auto"/>
              <w:jc w:val="center"/>
              <w:rPr>
                <w:rFonts w:hint="eastAsia"/>
                <w:color w:val="auto"/>
                <w:szCs w:val="21"/>
                <w:highlight w:val="none"/>
              </w:rPr>
            </w:pPr>
          </w:p>
        </w:tc>
        <w:tc>
          <w:tcPr>
            <w:tcW w:w="1166" w:type="dxa"/>
            <w:noWrap/>
            <w:vAlign w:val="center"/>
          </w:tcPr>
          <w:p w14:paraId="4D476D2A">
            <w:pPr>
              <w:spacing w:line="276" w:lineRule="auto"/>
              <w:jc w:val="center"/>
              <w:rPr>
                <w:rFonts w:hint="eastAsia"/>
                <w:color w:val="auto"/>
                <w:szCs w:val="21"/>
                <w:highlight w:val="none"/>
              </w:rPr>
            </w:pPr>
          </w:p>
        </w:tc>
      </w:tr>
      <w:tr w14:paraId="0ACF5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174" w:type="dxa"/>
            <w:gridSpan w:val="14"/>
            <w:noWrap/>
            <w:vAlign w:val="center"/>
          </w:tcPr>
          <w:p w14:paraId="7669A2FD">
            <w:pPr>
              <w:spacing w:line="276" w:lineRule="auto"/>
              <w:jc w:val="center"/>
              <w:rPr>
                <w:rFonts w:hint="eastAsia" w:cs="宋体"/>
                <w:b/>
                <w:color w:val="auto"/>
                <w:szCs w:val="21"/>
                <w:highlight w:val="none"/>
              </w:rPr>
            </w:pPr>
            <w:r>
              <w:rPr>
                <w:rFonts w:hint="eastAsia" w:cs="宋体"/>
                <w:b/>
                <w:color w:val="auto"/>
                <w:szCs w:val="21"/>
                <w:highlight w:val="none"/>
              </w:rPr>
              <w:t>投标总报价（元）：</w:t>
            </w:r>
          </w:p>
        </w:tc>
      </w:tr>
    </w:tbl>
    <w:p w14:paraId="2B8C21E4">
      <w:pPr>
        <w:rPr>
          <w:rFonts w:hint="default" w:eastAsia="宋体"/>
          <w:b/>
          <w:bCs/>
          <w:color w:val="auto"/>
          <w:szCs w:val="21"/>
          <w:highlight w:val="none"/>
          <w:lang w:val="en-US" w:eastAsia="zh-CN"/>
        </w:rPr>
      </w:pPr>
      <w:r>
        <w:rPr>
          <w:b/>
          <w:bCs/>
          <w:color w:val="auto"/>
          <w:szCs w:val="21"/>
          <w:highlight w:val="none"/>
        </w:rPr>
        <w:t>填表说明：</w:t>
      </w:r>
    </w:p>
    <w:p w14:paraId="0CCB65EB">
      <w:pPr>
        <w:spacing w:line="276" w:lineRule="auto"/>
        <w:ind w:firstLine="420"/>
        <w:rPr>
          <w:rFonts w:hint="eastAsia" w:eastAsia="宋体"/>
          <w:bCs/>
          <w:color w:val="FF0000"/>
          <w:highlight w:val="none"/>
          <w:lang w:val="en-US" w:eastAsia="zh-CN"/>
        </w:rPr>
      </w:pPr>
      <w:r>
        <w:rPr>
          <w:rFonts w:hint="eastAsia" w:cs="宋体"/>
          <w:b/>
          <w:color w:val="FF0000"/>
          <w:szCs w:val="21"/>
          <w:highlight w:val="none"/>
          <w:lang w:val="en-US" w:eastAsia="zh-CN"/>
        </w:rPr>
        <w:t>1、</w:t>
      </w:r>
      <w:r>
        <w:rPr>
          <w:rFonts w:hint="eastAsia" w:cs="宋体"/>
          <w:b/>
          <w:color w:val="FF0000"/>
          <w:szCs w:val="21"/>
          <w:highlight w:val="none"/>
        </w:rPr>
        <w:t>此表仅</w:t>
      </w:r>
      <w:r>
        <w:rPr>
          <w:rFonts w:hint="eastAsia" w:cs="宋体"/>
          <w:b/>
          <w:color w:val="FF0000"/>
          <w:szCs w:val="21"/>
          <w:highlight w:val="none"/>
          <w:lang w:val="en-US" w:eastAsia="zh-CN"/>
        </w:rPr>
        <w:t>B包</w:t>
      </w:r>
      <w:r>
        <w:rPr>
          <w:rFonts w:hint="eastAsia" w:cs="宋体"/>
          <w:b/>
          <w:color w:val="FF0000"/>
          <w:szCs w:val="21"/>
          <w:highlight w:val="none"/>
        </w:rPr>
        <w:t>投标人提供</w:t>
      </w:r>
      <w:r>
        <w:rPr>
          <w:rFonts w:hint="eastAsia" w:cs="宋体"/>
          <w:b/>
          <w:color w:val="FF0000"/>
          <w:szCs w:val="21"/>
          <w:highlight w:val="none"/>
          <w:lang w:eastAsia="zh-CN"/>
        </w:rPr>
        <w:t>。</w:t>
      </w:r>
    </w:p>
    <w:p w14:paraId="7F9E87BF">
      <w:pPr>
        <w:spacing w:line="276" w:lineRule="auto"/>
        <w:ind w:firstLine="420"/>
        <w:rPr>
          <w:rFonts w:hint="eastAsia" w:eastAsia="宋体"/>
          <w:b/>
          <w:bCs/>
          <w:color w:val="auto"/>
          <w:highlight w:val="none"/>
          <w:lang w:eastAsia="zh-CN"/>
        </w:rPr>
      </w:pPr>
      <w:r>
        <w:rPr>
          <w:rFonts w:hint="eastAsia"/>
          <w:b/>
          <w:bCs w:val="0"/>
          <w:color w:val="auto"/>
          <w:highlight w:val="none"/>
          <w:lang w:val="en-US" w:eastAsia="zh-CN"/>
        </w:rPr>
        <w:t>2</w:t>
      </w:r>
      <w:r>
        <w:rPr>
          <w:b/>
          <w:bCs w:val="0"/>
          <w:color w:val="auto"/>
          <w:highlight w:val="none"/>
        </w:rPr>
        <w:t>、投</w:t>
      </w:r>
      <w:r>
        <w:rPr>
          <w:b/>
          <w:color w:val="auto"/>
          <w:highlight w:val="none"/>
        </w:rPr>
        <w:t>标报价</w:t>
      </w:r>
      <w:r>
        <w:rPr>
          <w:rFonts w:hint="eastAsia"/>
          <w:b/>
          <w:color w:val="auto"/>
          <w:highlight w:val="none"/>
        </w:rPr>
        <w:t>包含</w:t>
      </w:r>
      <w:r>
        <w:rPr>
          <w:rFonts w:hint="eastAsia"/>
          <w:b/>
          <w:color w:val="auto"/>
          <w:highlight w:val="none"/>
          <w:lang w:val="en-US" w:eastAsia="zh-CN"/>
        </w:rPr>
        <w:t>但不限于</w:t>
      </w:r>
      <w:r>
        <w:rPr>
          <w:rFonts w:hint="eastAsia"/>
          <w:b/>
          <w:color w:val="auto"/>
          <w:highlight w:val="none"/>
        </w:rPr>
        <w:t>货物、技术资料、货物的税费、运输费（含二次及多次转运费）、保险费、包装费、装卸费、安装费（含各种辅材费）、检测费（含第三方验收）、培训费、售后服务费、与货物有关的供方应纳的税费、产品规格尺寸变化可能产生的费用等所有费用</w:t>
      </w:r>
      <w:r>
        <w:rPr>
          <w:b/>
          <w:bCs/>
          <w:color w:val="auto"/>
          <w:highlight w:val="none"/>
        </w:rPr>
        <w:t>，并能保证投标人完成履行合同所需的全部工作，此价格在合同签订后将不作调整。</w:t>
      </w:r>
    </w:p>
    <w:p w14:paraId="3C8F7E06">
      <w:pPr>
        <w:spacing w:line="276" w:lineRule="auto"/>
        <w:ind w:firstLine="420"/>
        <w:rPr>
          <w:rFonts w:hint="eastAsia"/>
          <w:b/>
          <w:bCs w:val="0"/>
          <w:color w:val="auto"/>
          <w:szCs w:val="21"/>
          <w:highlight w:val="none"/>
        </w:rPr>
      </w:pPr>
      <w:r>
        <w:rPr>
          <w:rFonts w:hint="eastAsia"/>
          <w:b/>
          <w:bCs w:val="0"/>
          <w:color w:val="auto"/>
          <w:highlight w:val="none"/>
          <w:lang w:val="en-US" w:eastAsia="zh-CN"/>
        </w:rPr>
        <w:t>3、</w:t>
      </w:r>
      <w:r>
        <w:rPr>
          <w:b/>
          <w:bCs w:val="0"/>
          <w:color w:val="auto"/>
          <w:highlight w:val="none"/>
        </w:rPr>
        <w:t>投标人必须将招标文件第五章“</w:t>
      </w:r>
      <w:r>
        <w:rPr>
          <w:rFonts w:hint="eastAsia"/>
          <w:b/>
          <w:bCs w:val="0"/>
          <w:color w:val="auto"/>
          <w:highlight w:val="none"/>
          <w:lang w:eastAsia="zh-CN"/>
        </w:rPr>
        <w:t>采购需求</w:t>
      </w:r>
      <w:r>
        <w:rPr>
          <w:b/>
          <w:bCs w:val="0"/>
          <w:color w:val="auto"/>
          <w:highlight w:val="none"/>
        </w:rPr>
        <w:t>”</w:t>
      </w:r>
      <w:r>
        <w:rPr>
          <w:rFonts w:hint="eastAsia"/>
          <w:b/>
          <w:bCs w:val="0"/>
          <w:color w:val="auto"/>
          <w:highlight w:val="none"/>
          <w:lang w:val="en-US" w:eastAsia="zh-CN"/>
        </w:rPr>
        <w:t>中</w:t>
      </w:r>
      <w:r>
        <w:rPr>
          <w:b/>
          <w:bCs w:val="0"/>
          <w:color w:val="auto"/>
          <w:highlight w:val="none"/>
          <w:lang w:eastAsia="zh-CN"/>
        </w:rPr>
        <w:t>所</w:t>
      </w:r>
      <w:r>
        <w:rPr>
          <w:rFonts w:hint="eastAsia"/>
          <w:b/>
          <w:bCs w:val="0"/>
          <w:color w:val="auto"/>
          <w:highlight w:val="none"/>
          <w:lang w:val="en-US" w:eastAsia="zh-CN"/>
        </w:rPr>
        <w:t>投标包</w:t>
      </w:r>
      <w:r>
        <w:rPr>
          <w:b/>
          <w:bCs w:val="0"/>
          <w:color w:val="auto"/>
          <w:highlight w:val="none"/>
          <w:lang w:eastAsia="zh-CN"/>
        </w:rPr>
        <w:t>内容进行整体投标，不得缺项漏项</w:t>
      </w:r>
      <w:r>
        <w:rPr>
          <w:rFonts w:hint="eastAsia"/>
          <w:b/>
          <w:bCs w:val="0"/>
          <w:color w:val="auto"/>
          <w:highlight w:val="none"/>
          <w:lang w:eastAsia="zh-CN"/>
        </w:rPr>
        <w:t>。</w:t>
      </w:r>
      <w:r>
        <w:rPr>
          <w:b/>
          <w:bCs w:val="0"/>
          <w:color w:val="auto"/>
          <w:szCs w:val="21"/>
          <w:highlight w:val="none"/>
          <w:lang w:eastAsia="zh-CN"/>
        </w:rPr>
        <w:t>否则作实质性不响应招标文件处理。</w:t>
      </w:r>
    </w:p>
    <w:p w14:paraId="45D4A6CF">
      <w:pPr>
        <w:spacing w:line="276" w:lineRule="auto"/>
        <w:ind w:firstLine="422"/>
        <w:rPr>
          <w:rFonts w:hint="eastAsia"/>
          <w:bCs/>
          <w:color w:val="auto"/>
          <w:szCs w:val="21"/>
          <w:highlight w:val="none"/>
        </w:rPr>
      </w:pPr>
      <w:r>
        <w:rPr>
          <w:rFonts w:hint="eastAsia"/>
          <w:b/>
          <w:bCs w:val="0"/>
          <w:color w:val="auto"/>
          <w:szCs w:val="21"/>
          <w:highlight w:val="none"/>
          <w:lang w:val="en-US" w:eastAsia="zh-CN"/>
        </w:rPr>
        <w:t>4</w:t>
      </w:r>
      <w:r>
        <w:rPr>
          <w:b/>
          <w:bCs w:val="0"/>
          <w:color w:val="auto"/>
          <w:szCs w:val="21"/>
          <w:highlight w:val="none"/>
        </w:rPr>
        <w:t>、在“</w:t>
      </w:r>
      <w:r>
        <w:rPr>
          <w:rFonts w:hint="eastAsia"/>
          <w:b/>
          <w:bCs w:val="0"/>
          <w:color w:val="auto"/>
          <w:szCs w:val="21"/>
          <w:highlight w:val="none"/>
        </w:rPr>
        <w:t>制造商规模（小型企业、中型企业、大型企业）、生产商特殊属性（监狱企业、其他、残疾人福利单位）</w:t>
      </w:r>
      <w:r>
        <w:rPr>
          <w:b/>
          <w:bCs w:val="0"/>
          <w:color w:val="auto"/>
          <w:szCs w:val="21"/>
          <w:highlight w:val="none"/>
        </w:rPr>
        <w:t>”中如实填写小微企业、残疾人福利性单位或监狱企业，并按招标文件要求提供声明函（小微企业、残疾人福利性单位）/证明文件（监狱企业），否则不予进行价格扣除。</w:t>
      </w:r>
    </w:p>
    <w:p w14:paraId="19090477">
      <w:pPr>
        <w:spacing w:line="276" w:lineRule="auto"/>
        <w:rPr>
          <w:rFonts w:hint="eastAsia"/>
          <w:bCs/>
          <w:color w:val="auto"/>
          <w:szCs w:val="21"/>
          <w:highlight w:val="none"/>
        </w:rPr>
      </w:pPr>
    </w:p>
    <w:tbl>
      <w:tblPr>
        <w:tblStyle w:val="44"/>
        <w:tblW w:w="5534" w:type="dxa"/>
        <w:jc w:val="right"/>
        <w:tblLayout w:type="fixed"/>
        <w:tblCellMar>
          <w:top w:w="0" w:type="dxa"/>
          <w:left w:w="108" w:type="dxa"/>
          <w:bottom w:w="0" w:type="dxa"/>
          <w:right w:w="108" w:type="dxa"/>
        </w:tblCellMar>
      </w:tblPr>
      <w:tblGrid>
        <w:gridCol w:w="5534"/>
      </w:tblGrid>
      <w:tr w14:paraId="62ECAC36">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517F2124">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74450DD5">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5EE3C336">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147EF6EA">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0CDBB8E4">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0E4DBD64">
      <w:pPr>
        <w:rPr>
          <w:rFonts w:hint="eastAsia"/>
          <w:color w:val="auto"/>
          <w:highlight w:val="none"/>
        </w:rPr>
      </w:pPr>
      <w:r>
        <w:rPr>
          <w:rFonts w:hint="eastAsia"/>
          <w:color w:val="auto"/>
          <w:highlight w:val="none"/>
        </w:rPr>
        <w:br w:type="page"/>
      </w:r>
    </w:p>
    <w:p w14:paraId="1F644971">
      <w:pPr>
        <w:jc w:val="center"/>
        <w:outlineLvl w:val="2"/>
        <w:rPr>
          <w:rFonts w:hint="eastAsia"/>
          <w:b/>
          <w:bCs/>
          <w:color w:val="auto"/>
          <w:sz w:val="28"/>
          <w:szCs w:val="36"/>
          <w:highlight w:val="none"/>
        </w:rPr>
      </w:pPr>
      <w:bookmarkStart w:id="225" w:name="_Toc25750"/>
      <w:r>
        <w:rPr>
          <w:rFonts w:hint="eastAsia"/>
          <w:b/>
          <w:bCs/>
          <w:color w:val="auto"/>
          <w:sz w:val="28"/>
          <w:szCs w:val="36"/>
          <w:highlight w:val="none"/>
        </w:rPr>
        <w:t>（二）</w:t>
      </w:r>
      <w:r>
        <w:rPr>
          <w:b/>
          <w:bCs/>
          <w:color w:val="auto"/>
          <w:sz w:val="28"/>
          <w:szCs w:val="36"/>
          <w:highlight w:val="none"/>
        </w:rPr>
        <w:t>★</w:t>
      </w:r>
      <w:r>
        <w:rPr>
          <w:rFonts w:hint="eastAsia"/>
          <w:b/>
          <w:bCs/>
          <w:color w:val="auto"/>
          <w:sz w:val="28"/>
          <w:szCs w:val="36"/>
          <w:highlight w:val="none"/>
          <w:lang w:val="en-US" w:eastAsia="zh-CN"/>
        </w:rPr>
        <w:t>C包投标</w:t>
      </w:r>
      <w:r>
        <w:rPr>
          <w:b/>
          <w:bCs/>
          <w:color w:val="auto"/>
          <w:sz w:val="28"/>
          <w:szCs w:val="36"/>
          <w:highlight w:val="none"/>
        </w:rPr>
        <w:t>报价</w:t>
      </w:r>
      <w:r>
        <w:rPr>
          <w:rFonts w:hint="eastAsia"/>
          <w:b/>
          <w:bCs/>
          <w:color w:val="auto"/>
          <w:sz w:val="28"/>
          <w:szCs w:val="36"/>
          <w:highlight w:val="none"/>
        </w:rPr>
        <w:t>明细</w:t>
      </w:r>
      <w:r>
        <w:rPr>
          <w:b/>
          <w:bCs/>
          <w:color w:val="auto"/>
          <w:sz w:val="28"/>
          <w:szCs w:val="36"/>
          <w:highlight w:val="none"/>
        </w:rPr>
        <w:t>表</w:t>
      </w:r>
      <w:bookmarkEnd w:id="225"/>
    </w:p>
    <w:p w14:paraId="6E8BD515">
      <w:pPr>
        <w:ind w:firstLine="422"/>
        <w:rPr>
          <w:rFonts w:hint="eastAsia"/>
          <w:b/>
          <w:color w:val="auto"/>
          <w:szCs w:val="21"/>
          <w:highlight w:val="none"/>
        </w:rPr>
      </w:pPr>
      <w:r>
        <w:rPr>
          <w:b/>
          <w:color w:val="auto"/>
          <w:szCs w:val="21"/>
          <w:highlight w:val="none"/>
        </w:rPr>
        <w:t>项目名称：</w:t>
      </w:r>
      <w:r>
        <w:rPr>
          <w:rFonts w:hint="eastAsia"/>
          <w:b/>
          <w:color w:val="auto"/>
          <w:szCs w:val="21"/>
          <w:highlight w:val="none"/>
          <w:lang w:val="en-US" w:eastAsia="zh-CN"/>
        </w:rPr>
        <w:t xml:space="preserve">                                                                                               </w:t>
      </w:r>
      <w:r>
        <w:rPr>
          <w:b/>
          <w:color w:val="auto"/>
          <w:szCs w:val="21"/>
          <w:highlight w:val="none"/>
        </w:rPr>
        <w:t>招标编号：</w:t>
      </w:r>
    </w:p>
    <w:tbl>
      <w:tblPr>
        <w:tblStyle w:val="44"/>
        <w:tblW w:w="141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41"/>
        <w:gridCol w:w="1350"/>
        <w:gridCol w:w="1178"/>
        <w:gridCol w:w="675"/>
        <w:gridCol w:w="954"/>
        <w:gridCol w:w="889"/>
        <w:gridCol w:w="1382"/>
        <w:gridCol w:w="1618"/>
        <w:gridCol w:w="1693"/>
        <w:gridCol w:w="743"/>
        <w:gridCol w:w="567"/>
        <w:gridCol w:w="567"/>
        <w:gridCol w:w="851"/>
        <w:gridCol w:w="1166"/>
      </w:tblGrid>
      <w:tr w14:paraId="64A741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1" w:hRule="atLeast"/>
          <w:tblHeader/>
          <w:jc w:val="center"/>
        </w:trPr>
        <w:tc>
          <w:tcPr>
            <w:tcW w:w="541" w:type="dxa"/>
            <w:noWrap/>
            <w:vAlign w:val="center"/>
          </w:tcPr>
          <w:p w14:paraId="2C00F747">
            <w:pPr>
              <w:spacing w:line="240" w:lineRule="auto"/>
              <w:jc w:val="center"/>
              <w:rPr>
                <w:rFonts w:hint="eastAsia"/>
                <w:b/>
                <w:color w:val="auto"/>
                <w:szCs w:val="21"/>
                <w:highlight w:val="none"/>
              </w:rPr>
            </w:pPr>
            <w:r>
              <w:rPr>
                <w:rFonts w:hint="eastAsia"/>
                <w:b/>
                <w:color w:val="auto"/>
                <w:szCs w:val="21"/>
                <w:highlight w:val="none"/>
              </w:rPr>
              <w:t>序号</w:t>
            </w:r>
          </w:p>
        </w:tc>
        <w:tc>
          <w:tcPr>
            <w:tcW w:w="1350" w:type="dxa"/>
            <w:noWrap/>
            <w:vAlign w:val="center"/>
          </w:tcPr>
          <w:p w14:paraId="2EEFE5D0">
            <w:pPr>
              <w:spacing w:line="240" w:lineRule="auto"/>
              <w:jc w:val="center"/>
              <w:rPr>
                <w:rFonts w:hint="eastAsia"/>
                <w:b/>
                <w:color w:val="auto"/>
                <w:szCs w:val="21"/>
                <w:highlight w:val="none"/>
              </w:rPr>
            </w:pPr>
            <w:r>
              <w:rPr>
                <w:rFonts w:hint="eastAsia"/>
                <w:b/>
                <w:color w:val="auto"/>
                <w:szCs w:val="21"/>
                <w:highlight w:val="none"/>
              </w:rPr>
              <w:t>设备名称</w:t>
            </w:r>
          </w:p>
        </w:tc>
        <w:tc>
          <w:tcPr>
            <w:tcW w:w="1178" w:type="dxa"/>
            <w:noWrap/>
            <w:vAlign w:val="center"/>
          </w:tcPr>
          <w:p w14:paraId="08D40475">
            <w:pPr>
              <w:spacing w:line="240" w:lineRule="auto"/>
              <w:jc w:val="center"/>
              <w:rPr>
                <w:rFonts w:hint="eastAsia"/>
                <w:b/>
                <w:color w:val="auto"/>
                <w:szCs w:val="21"/>
                <w:highlight w:val="none"/>
              </w:rPr>
            </w:pPr>
            <w:r>
              <w:rPr>
                <w:rFonts w:hint="eastAsia"/>
                <w:b/>
                <w:color w:val="auto"/>
                <w:szCs w:val="21"/>
                <w:highlight w:val="none"/>
              </w:rPr>
              <w:t>产品注册证名称</w:t>
            </w:r>
          </w:p>
        </w:tc>
        <w:tc>
          <w:tcPr>
            <w:tcW w:w="675" w:type="dxa"/>
            <w:noWrap/>
            <w:vAlign w:val="center"/>
          </w:tcPr>
          <w:p w14:paraId="7299CDD5">
            <w:pPr>
              <w:spacing w:line="240" w:lineRule="auto"/>
              <w:jc w:val="center"/>
              <w:rPr>
                <w:rFonts w:hint="eastAsia"/>
                <w:b/>
                <w:color w:val="auto"/>
                <w:szCs w:val="21"/>
                <w:highlight w:val="none"/>
              </w:rPr>
            </w:pPr>
            <w:r>
              <w:rPr>
                <w:rFonts w:hint="eastAsia"/>
                <w:b/>
                <w:color w:val="auto"/>
                <w:szCs w:val="21"/>
                <w:highlight w:val="none"/>
              </w:rPr>
              <w:t>原产地</w:t>
            </w:r>
          </w:p>
        </w:tc>
        <w:tc>
          <w:tcPr>
            <w:tcW w:w="954" w:type="dxa"/>
            <w:noWrap/>
            <w:vAlign w:val="center"/>
          </w:tcPr>
          <w:p w14:paraId="15F7C7BF">
            <w:pPr>
              <w:spacing w:line="240" w:lineRule="auto"/>
              <w:jc w:val="center"/>
              <w:rPr>
                <w:rFonts w:hint="eastAsia"/>
                <w:b/>
                <w:color w:val="auto"/>
                <w:szCs w:val="21"/>
                <w:highlight w:val="none"/>
              </w:rPr>
            </w:pPr>
            <w:r>
              <w:rPr>
                <w:rFonts w:hint="eastAsia"/>
                <w:b/>
                <w:color w:val="auto"/>
                <w:szCs w:val="21"/>
                <w:highlight w:val="none"/>
              </w:rPr>
              <w:t>制造商名称</w:t>
            </w:r>
          </w:p>
        </w:tc>
        <w:tc>
          <w:tcPr>
            <w:tcW w:w="889" w:type="dxa"/>
            <w:noWrap/>
            <w:vAlign w:val="center"/>
          </w:tcPr>
          <w:p w14:paraId="3FE2A4C6">
            <w:pPr>
              <w:spacing w:line="240" w:lineRule="auto"/>
              <w:jc w:val="center"/>
              <w:rPr>
                <w:rFonts w:hint="eastAsia"/>
                <w:b/>
                <w:color w:val="auto"/>
                <w:szCs w:val="21"/>
                <w:highlight w:val="none"/>
              </w:rPr>
            </w:pPr>
            <w:r>
              <w:rPr>
                <w:rFonts w:hint="eastAsia"/>
                <w:b/>
                <w:color w:val="auto"/>
                <w:szCs w:val="21"/>
                <w:highlight w:val="none"/>
              </w:rPr>
              <w:t>品牌</w:t>
            </w:r>
          </w:p>
        </w:tc>
        <w:tc>
          <w:tcPr>
            <w:tcW w:w="1382" w:type="dxa"/>
            <w:noWrap/>
            <w:vAlign w:val="center"/>
          </w:tcPr>
          <w:p w14:paraId="41403151">
            <w:pPr>
              <w:spacing w:line="240" w:lineRule="auto"/>
              <w:rPr>
                <w:rFonts w:hint="eastAsia"/>
                <w:b/>
                <w:color w:val="auto"/>
                <w:szCs w:val="21"/>
                <w:highlight w:val="none"/>
              </w:rPr>
            </w:pPr>
            <w:r>
              <w:rPr>
                <w:rFonts w:hint="eastAsia"/>
                <w:b/>
                <w:color w:val="auto"/>
                <w:szCs w:val="21"/>
                <w:highlight w:val="none"/>
              </w:rPr>
              <w:t>制造商规模（小型企业、中型企业、大型企业）</w:t>
            </w:r>
          </w:p>
        </w:tc>
        <w:tc>
          <w:tcPr>
            <w:tcW w:w="1618" w:type="dxa"/>
            <w:noWrap/>
            <w:vAlign w:val="center"/>
          </w:tcPr>
          <w:p w14:paraId="2A5B9549">
            <w:pPr>
              <w:spacing w:line="240" w:lineRule="auto"/>
              <w:rPr>
                <w:rFonts w:hint="eastAsia"/>
                <w:b/>
                <w:color w:val="auto"/>
                <w:szCs w:val="21"/>
                <w:highlight w:val="none"/>
              </w:rPr>
            </w:pPr>
            <w:r>
              <w:rPr>
                <w:rFonts w:hint="eastAsia"/>
                <w:b/>
                <w:color w:val="auto"/>
                <w:szCs w:val="21"/>
                <w:highlight w:val="none"/>
              </w:rPr>
              <w:t>生产商特殊属性（监狱企业、其他、残疾人福利单位）</w:t>
            </w:r>
          </w:p>
        </w:tc>
        <w:tc>
          <w:tcPr>
            <w:tcW w:w="1693" w:type="dxa"/>
            <w:noWrap/>
            <w:vAlign w:val="center"/>
          </w:tcPr>
          <w:p w14:paraId="04FB74FE">
            <w:pPr>
              <w:spacing w:line="240" w:lineRule="auto"/>
              <w:rPr>
                <w:rFonts w:hint="eastAsia"/>
                <w:b/>
                <w:color w:val="auto"/>
                <w:szCs w:val="21"/>
                <w:highlight w:val="none"/>
              </w:rPr>
            </w:pPr>
            <w:r>
              <w:rPr>
                <w:rFonts w:hint="eastAsia"/>
                <w:b/>
                <w:color w:val="auto"/>
                <w:szCs w:val="21"/>
                <w:highlight w:val="none"/>
              </w:rPr>
              <w:t>是否外商投资企业（如“是”属于外商单独投资还是部分投资）</w:t>
            </w:r>
          </w:p>
        </w:tc>
        <w:tc>
          <w:tcPr>
            <w:tcW w:w="743" w:type="dxa"/>
            <w:noWrap/>
            <w:vAlign w:val="center"/>
          </w:tcPr>
          <w:p w14:paraId="47418076">
            <w:pPr>
              <w:spacing w:line="240" w:lineRule="auto"/>
              <w:jc w:val="center"/>
              <w:rPr>
                <w:rFonts w:hint="eastAsia"/>
                <w:b/>
                <w:color w:val="auto"/>
                <w:szCs w:val="21"/>
                <w:highlight w:val="none"/>
              </w:rPr>
            </w:pPr>
            <w:r>
              <w:rPr>
                <w:rFonts w:hint="eastAsia"/>
                <w:b/>
                <w:color w:val="auto"/>
                <w:szCs w:val="21"/>
                <w:highlight w:val="none"/>
              </w:rPr>
              <w:t>型号</w:t>
            </w:r>
          </w:p>
        </w:tc>
        <w:tc>
          <w:tcPr>
            <w:tcW w:w="567" w:type="dxa"/>
            <w:noWrap/>
            <w:vAlign w:val="center"/>
          </w:tcPr>
          <w:p w14:paraId="06BD388F">
            <w:pPr>
              <w:spacing w:line="240" w:lineRule="auto"/>
              <w:jc w:val="center"/>
              <w:rPr>
                <w:rFonts w:hint="eastAsia"/>
                <w:b/>
                <w:color w:val="auto"/>
                <w:szCs w:val="21"/>
                <w:highlight w:val="none"/>
              </w:rPr>
            </w:pPr>
            <w:r>
              <w:rPr>
                <w:rFonts w:hint="eastAsia"/>
                <w:b/>
                <w:color w:val="auto"/>
                <w:szCs w:val="21"/>
                <w:highlight w:val="none"/>
              </w:rPr>
              <w:t>数量</w:t>
            </w:r>
          </w:p>
        </w:tc>
        <w:tc>
          <w:tcPr>
            <w:tcW w:w="567" w:type="dxa"/>
            <w:noWrap/>
            <w:vAlign w:val="center"/>
          </w:tcPr>
          <w:p w14:paraId="62253DB3">
            <w:pPr>
              <w:spacing w:line="240" w:lineRule="auto"/>
              <w:jc w:val="center"/>
              <w:rPr>
                <w:rFonts w:hint="eastAsia"/>
                <w:b/>
                <w:color w:val="auto"/>
                <w:szCs w:val="21"/>
                <w:highlight w:val="none"/>
              </w:rPr>
            </w:pPr>
            <w:r>
              <w:rPr>
                <w:rFonts w:hint="eastAsia"/>
                <w:b/>
                <w:color w:val="auto"/>
                <w:szCs w:val="21"/>
                <w:highlight w:val="none"/>
              </w:rPr>
              <w:t>单位</w:t>
            </w:r>
          </w:p>
        </w:tc>
        <w:tc>
          <w:tcPr>
            <w:tcW w:w="851" w:type="dxa"/>
            <w:noWrap/>
            <w:vAlign w:val="center"/>
          </w:tcPr>
          <w:p w14:paraId="5172C116">
            <w:pPr>
              <w:spacing w:line="240" w:lineRule="auto"/>
              <w:jc w:val="center"/>
              <w:rPr>
                <w:rFonts w:hint="eastAsia"/>
                <w:b/>
                <w:color w:val="auto"/>
                <w:szCs w:val="21"/>
                <w:highlight w:val="none"/>
              </w:rPr>
            </w:pPr>
            <w:r>
              <w:rPr>
                <w:rFonts w:hint="eastAsia"/>
                <w:b/>
                <w:color w:val="auto"/>
                <w:szCs w:val="21"/>
                <w:highlight w:val="none"/>
              </w:rPr>
              <w:t>单价（元）</w:t>
            </w:r>
          </w:p>
        </w:tc>
        <w:tc>
          <w:tcPr>
            <w:tcW w:w="1166" w:type="dxa"/>
            <w:noWrap/>
            <w:vAlign w:val="center"/>
          </w:tcPr>
          <w:p w14:paraId="0B9F9E8C">
            <w:pPr>
              <w:spacing w:line="240" w:lineRule="auto"/>
              <w:jc w:val="center"/>
              <w:rPr>
                <w:rFonts w:hint="eastAsia"/>
                <w:b/>
                <w:color w:val="auto"/>
                <w:szCs w:val="21"/>
                <w:highlight w:val="none"/>
              </w:rPr>
            </w:pPr>
            <w:r>
              <w:rPr>
                <w:rFonts w:hint="eastAsia"/>
                <w:b/>
                <w:color w:val="auto"/>
                <w:szCs w:val="21"/>
                <w:highlight w:val="none"/>
              </w:rPr>
              <w:t>分项总价（元）</w:t>
            </w:r>
          </w:p>
        </w:tc>
      </w:tr>
      <w:tr w14:paraId="5E86A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541" w:type="dxa"/>
            <w:noWrap/>
            <w:vAlign w:val="center"/>
          </w:tcPr>
          <w:p w14:paraId="5FB8B26D">
            <w:pPr>
              <w:spacing w:line="276" w:lineRule="auto"/>
              <w:jc w:val="center"/>
              <w:rPr>
                <w:rFonts w:hint="eastAsia"/>
                <w:b/>
                <w:bCs/>
                <w:color w:val="auto"/>
                <w:szCs w:val="21"/>
                <w:highlight w:val="none"/>
              </w:rPr>
            </w:pPr>
            <w:r>
              <w:rPr>
                <w:rFonts w:hint="eastAsia"/>
                <w:b/>
                <w:bCs/>
                <w:color w:val="auto"/>
                <w:szCs w:val="21"/>
                <w:highlight w:val="none"/>
              </w:rPr>
              <w:t>1</w:t>
            </w:r>
          </w:p>
        </w:tc>
        <w:tc>
          <w:tcPr>
            <w:tcW w:w="1350" w:type="dxa"/>
            <w:noWrap/>
            <w:vAlign w:val="center"/>
          </w:tcPr>
          <w:p w14:paraId="39667CF1">
            <w:pPr>
              <w:keepNext w:val="0"/>
              <w:keepLines w:val="0"/>
              <w:widowControl/>
              <w:suppressLineNumbers w:val="0"/>
              <w:jc w:val="center"/>
              <w:textAlignment w:val="center"/>
              <w:rPr>
                <w:rFonts w:hint="eastAsia" w:ascii="宋体" w:hAnsi="宋体" w:eastAsia="宋体" w:cs="宋体"/>
                <w:b/>
                <w:bCs/>
                <w:color w:val="auto"/>
                <w:sz w:val="21"/>
                <w:szCs w:val="21"/>
                <w:highlight w:val="none"/>
              </w:rPr>
            </w:pPr>
          </w:p>
        </w:tc>
        <w:tc>
          <w:tcPr>
            <w:tcW w:w="1178" w:type="dxa"/>
            <w:noWrap/>
            <w:vAlign w:val="center"/>
          </w:tcPr>
          <w:p w14:paraId="5CC3BAFE">
            <w:pPr>
              <w:spacing w:line="276" w:lineRule="auto"/>
              <w:jc w:val="center"/>
              <w:rPr>
                <w:rFonts w:hint="eastAsia"/>
                <w:color w:val="auto"/>
                <w:szCs w:val="21"/>
                <w:highlight w:val="none"/>
              </w:rPr>
            </w:pPr>
          </w:p>
        </w:tc>
        <w:tc>
          <w:tcPr>
            <w:tcW w:w="675" w:type="dxa"/>
            <w:noWrap/>
            <w:vAlign w:val="center"/>
          </w:tcPr>
          <w:p w14:paraId="585B209F">
            <w:pPr>
              <w:spacing w:line="276" w:lineRule="auto"/>
              <w:jc w:val="center"/>
              <w:rPr>
                <w:rFonts w:hint="eastAsia"/>
                <w:color w:val="auto"/>
                <w:szCs w:val="21"/>
                <w:highlight w:val="none"/>
              </w:rPr>
            </w:pPr>
          </w:p>
        </w:tc>
        <w:tc>
          <w:tcPr>
            <w:tcW w:w="954" w:type="dxa"/>
            <w:noWrap/>
            <w:vAlign w:val="center"/>
          </w:tcPr>
          <w:p w14:paraId="40C51227">
            <w:pPr>
              <w:spacing w:line="276" w:lineRule="auto"/>
              <w:jc w:val="center"/>
              <w:rPr>
                <w:rFonts w:hint="eastAsia"/>
                <w:color w:val="auto"/>
                <w:szCs w:val="21"/>
                <w:highlight w:val="none"/>
              </w:rPr>
            </w:pPr>
          </w:p>
        </w:tc>
        <w:tc>
          <w:tcPr>
            <w:tcW w:w="889" w:type="dxa"/>
            <w:noWrap/>
            <w:vAlign w:val="center"/>
          </w:tcPr>
          <w:p w14:paraId="7A8D4F24">
            <w:pPr>
              <w:spacing w:line="276" w:lineRule="auto"/>
              <w:jc w:val="center"/>
              <w:rPr>
                <w:rFonts w:hint="eastAsia"/>
                <w:color w:val="auto"/>
                <w:szCs w:val="21"/>
                <w:highlight w:val="none"/>
              </w:rPr>
            </w:pPr>
          </w:p>
        </w:tc>
        <w:tc>
          <w:tcPr>
            <w:tcW w:w="1382" w:type="dxa"/>
            <w:noWrap/>
            <w:vAlign w:val="center"/>
          </w:tcPr>
          <w:p w14:paraId="3AE51598">
            <w:pPr>
              <w:spacing w:line="276" w:lineRule="auto"/>
              <w:jc w:val="center"/>
              <w:rPr>
                <w:rFonts w:hint="eastAsia"/>
                <w:color w:val="auto"/>
                <w:szCs w:val="21"/>
                <w:highlight w:val="none"/>
              </w:rPr>
            </w:pPr>
          </w:p>
        </w:tc>
        <w:tc>
          <w:tcPr>
            <w:tcW w:w="1618" w:type="dxa"/>
            <w:noWrap/>
            <w:vAlign w:val="center"/>
          </w:tcPr>
          <w:p w14:paraId="2837F080">
            <w:pPr>
              <w:spacing w:line="276" w:lineRule="auto"/>
              <w:jc w:val="center"/>
              <w:rPr>
                <w:rFonts w:hint="eastAsia"/>
                <w:color w:val="auto"/>
                <w:szCs w:val="21"/>
                <w:highlight w:val="none"/>
              </w:rPr>
            </w:pPr>
          </w:p>
        </w:tc>
        <w:tc>
          <w:tcPr>
            <w:tcW w:w="1693" w:type="dxa"/>
            <w:noWrap/>
            <w:vAlign w:val="center"/>
          </w:tcPr>
          <w:p w14:paraId="71965BFA">
            <w:pPr>
              <w:spacing w:line="276" w:lineRule="auto"/>
              <w:jc w:val="center"/>
              <w:rPr>
                <w:rFonts w:hint="eastAsia"/>
                <w:color w:val="auto"/>
                <w:szCs w:val="21"/>
                <w:highlight w:val="none"/>
              </w:rPr>
            </w:pPr>
          </w:p>
        </w:tc>
        <w:tc>
          <w:tcPr>
            <w:tcW w:w="743" w:type="dxa"/>
            <w:noWrap/>
            <w:vAlign w:val="center"/>
          </w:tcPr>
          <w:p w14:paraId="1E93AE7B">
            <w:pPr>
              <w:spacing w:line="276" w:lineRule="auto"/>
              <w:jc w:val="center"/>
              <w:rPr>
                <w:rFonts w:hint="eastAsia"/>
                <w:color w:val="auto"/>
                <w:szCs w:val="21"/>
                <w:highlight w:val="none"/>
              </w:rPr>
            </w:pPr>
          </w:p>
        </w:tc>
        <w:tc>
          <w:tcPr>
            <w:tcW w:w="567" w:type="dxa"/>
            <w:noWrap/>
            <w:vAlign w:val="center"/>
          </w:tcPr>
          <w:p w14:paraId="24AE4323">
            <w:pPr>
              <w:spacing w:line="276" w:lineRule="auto"/>
              <w:jc w:val="center"/>
              <w:rPr>
                <w:rFonts w:hint="eastAsia" w:eastAsia="宋体"/>
                <w:b/>
                <w:bCs/>
                <w:color w:val="auto"/>
                <w:szCs w:val="21"/>
                <w:highlight w:val="none"/>
                <w:lang w:val="en-US" w:eastAsia="zh-CN"/>
              </w:rPr>
            </w:pPr>
          </w:p>
        </w:tc>
        <w:tc>
          <w:tcPr>
            <w:tcW w:w="567" w:type="dxa"/>
            <w:noWrap/>
            <w:vAlign w:val="center"/>
          </w:tcPr>
          <w:p w14:paraId="39669341">
            <w:pPr>
              <w:spacing w:line="276" w:lineRule="auto"/>
              <w:jc w:val="center"/>
              <w:rPr>
                <w:rFonts w:hint="eastAsia" w:ascii="宋体" w:hAnsi="宋体" w:eastAsia="宋体" w:cs="宋体"/>
                <w:b/>
                <w:bCs/>
                <w:color w:val="auto"/>
                <w:sz w:val="21"/>
                <w:szCs w:val="21"/>
                <w:highlight w:val="none"/>
              </w:rPr>
            </w:pPr>
          </w:p>
        </w:tc>
        <w:tc>
          <w:tcPr>
            <w:tcW w:w="851" w:type="dxa"/>
            <w:noWrap/>
            <w:vAlign w:val="center"/>
          </w:tcPr>
          <w:p w14:paraId="4FACCADE">
            <w:pPr>
              <w:spacing w:line="276" w:lineRule="auto"/>
              <w:jc w:val="center"/>
              <w:rPr>
                <w:rFonts w:hint="eastAsia"/>
                <w:color w:val="auto"/>
                <w:szCs w:val="21"/>
                <w:highlight w:val="none"/>
              </w:rPr>
            </w:pPr>
          </w:p>
        </w:tc>
        <w:tc>
          <w:tcPr>
            <w:tcW w:w="1166" w:type="dxa"/>
            <w:noWrap/>
            <w:vAlign w:val="center"/>
          </w:tcPr>
          <w:p w14:paraId="368AB400">
            <w:pPr>
              <w:spacing w:line="276" w:lineRule="auto"/>
              <w:jc w:val="center"/>
              <w:rPr>
                <w:rFonts w:hint="eastAsia"/>
                <w:color w:val="auto"/>
                <w:szCs w:val="21"/>
                <w:highlight w:val="none"/>
              </w:rPr>
            </w:pPr>
          </w:p>
        </w:tc>
      </w:tr>
      <w:tr w14:paraId="4836F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541" w:type="dxa"/>
            <w:noWrap/>
            <w:vAlign w:val="center"/>
          </w:tcPr>
          <w:p w14:paraId="12830622">
            <w:pPr>
              <w:spacing w:line="276" w:lineRule="auto"/>
              <w:jc w:val="center"/>
              <w:rPr>
                <w:rFonts w:hint="eastAsia" w:eastAsia="宋体"/>
                <w:b/>
                <w:bCs/>
                <w:color w:val="auto"/>
                <w:szCs w:val="21"/>
                <w:highlight w:val="none"/>
                <w:lang w:val="en-US" w:eastAsia="zh-CN"/>
              </w:rPr>
            </w:pPr>
            <w:r>
              <w:rPr>
                <w:rFonts w:hint="eastAsia"/>
                <w:b/>
                <w:bCs/>
                <w:color w:val="auto"/>
                <w:szCs w:val="21"/>
                <w:highlight w:val="none"/>
                <w:lang w:val="en-US" w:eastAsia="zh-CN"/>
              </w:rPr>
              <w:t>2</w:t>
            </w:r>
          </w:p>
        </w:tc>
        <w:tc>
          <w:tcPr>
            <w:tcW w:w="1350" w:type="dxa"/>
            <w:noWrap/>
            <w:vAlign w:val="center"/>
          </w:tcPr>
          <w:p w14:paraId="1E57F08C">
            <w:pPr>
              <w:keepNext w:val="0"/>
              <w:keepLines w:val="0"/>
              <w:widowControl/>
              <w:suppressLineNumbers w:val="0"/>
              <w:jc w:val="center"/>
              <w:textAlignment w:val="center"/>
              <w:rPr>
                <w:rFonts w:hint="eastAsia" w:ascii="宋体" w:hAnsi="宋体" w:eastAsia="宋体" w:cs="宋体"/>
                <w:b/>
                <w:bCs/>
                <w:color w:val="auto"/>
                <w:sz w:val="21"/>
                <w:szCs w:val="21"/>
                <w:highlight w:val="none"/>
              </w:rPr>
            </w:pPr>
          </w:p>
        </w:tc>
        <w:tc>
          <w:tcPr>
            <w:tcW w:w="1178" w:type="dxa"/>
            <w:noWrap/>
            <w:vAlign w:val="center"/>
          </w:tcPr>
          <w:p w14:paraId="7F9EE051">
            <w:pPr>
              <w:spacing w:line="276" w:lineRule="auto"/>
              <w:jc w:val="center"/>
              <w:rPr>
                <w:rFonts w:hint="eastAsia"/>
                <w:color w:val="auto"/>
                <w:szCs w:val="21"/>
                <w:highlight w:val="none"/>
              </w:rPr>
            </w:pPr>
          </w:p>
        </w:tc>
        <w:tc>
          <w:tcPr>
            <w:tcW w:w="675" w:type="dxa"/>
            <w:noWrap/>
            <w:vAlign w:val="center"/>
          </w:tcPr>
          <w:p w14:paraId="76AD2DAC">
            <w:pPr>
              <w:spacing w:line="276" w:lineRule="auto"/>
              <w:jc w:val="center"/>
              <w:rPr>
                <w:rFonts w:hint="eastAsia"/>
                <w:color w:val="auto"/>
                <w:szCs w:val="21"/>
                <w:highlight w:val="none"/>
              </w:rPr>
            </w:pPr>
          </w:p>
        </w:tc>
        <w:tc>
          <w:tcPr>
            <w:tcW w:w="954" w:type="dxa"/>
            <w:noWrap/>
            <w:vAlign w:val="center"/>
          </w:tcPr>
          <w:p w14:paraId="6303A4D7">
            <w:pPr>
              <w:spacing w:line="276" w:lineRule="auto"/>
              <w:jc w:val="center"/>
              <w:rPr>
                <w:rFonts w:hint="eastAsia"/>
                <w:color w:val="auto"/>
                <w:szCs w:val="21"/>
                <w:highlight w:val="none"/>
              </w:rPr>
            </w:pPr>
          </w:p>
        </w:tc>
        <w:tc>
          <w:tcPr>
            <w:tcW w:w="889" w:type="dxa"/>
            <w:noWrap/>
            <w:vAlign w:val="center"/>
          </w:tcPr>
          <w:p w14:paraId="4A227246">
            <w:pPr>
              <w:spacing w:line="276" w:lineRule="auto"/>
              <w:jc w:val="center"/>
              <w:rPr>
                <w:rFonts w:hint="eastAsia"/>
                <w:color w:val="auto"/>
                <w:szCs w:val="21"/>
                <w:highlight w:val="none"/>
              </w:rPr>
            </w:pPr>
          </w:p>
        </w:tc>
        <w:tc>
          <w:tcPr>
            <w:tcW w:w="1382" w:type="dxa"/>
            <w:noWrap/>
            <w:vAlign w:val="center"/>
          </w:tcPr>
          <w:p w14:paraId="1509F6DC">
            <w:pPr>
              <w:spacing w:line="276" w:lineRule="auto"/>
              <w:jc w:val="center"/>
              <w:rPr>
                <w:rFonts w:hint="eastAsia"/>
                <w:color w:val="auto"/>
                <w:szCs w:val="21"/>
                <w:highlight w:val="none"/>
              </w:rPr>
            </w:pPr>
          </w:p>
        </w:tc>
        <w:tc>
          <w:tcPr>
            <w:tcW w:w="1618" w:type="dxa"/>
            <w:noWrap/>
            <w:vAlign w:val="center"/>
          </w:tcPr>
          <w:p w14:paraId="50AFE512">
            <w:pPr>
              <w:spacing w:line="276" w:lineRule="auto"/>
              <w:jc w:val="center"/>
              <w:rPr>
                <w:rFonts w:hint="eastAsia"/>
                <w:color w:val="auto"/>
                <w:szCs w:val="21"/>
                <w:highlight w:val="none"/>
              </w:rPr>
            </w:pPr>
          </w:p>
        </w:tc>
        <w:tc>
          <w:tcPr>
            <w:tcW w:w="1693" w:type="dxa"/>
            <w:noWrap/>
            <w:vAlign w:val="center"/>
          </w:tcPr>
          <w:p w14:paraId="427E6A67">
            <w:pPr>
              <w:spacing w:line="276" w:lineRule="auto"/>
              <w:jc w:val="center"/>
              <w:rPr>
                <w:rFonts w:hint="eastAsia"/>
                <w:color w:val="auto"/>
                <w:szCs w:val="21"/>
                <w:highlight w:val="none"/>
              </w:rPr>
            </w:pPr>
          </w:p>
        </w:tc>
        <w:tc>
          <w:tcPr>
            <w:tcW w:w="743" w:type="dxa"/>
            <w:noWrap/>
            <w:vAlign w:val="center"/>
          </w:tcPr>
          <w:p w14:paraId="1EE73928">
            <w:pPr>
              <w:spacing w:line="276" w:lineRule="auto"/>
              <w:jc w:val="center"/>
              <w:rPr>
                <w:rFonts w:hint="eastAsia"/>
                <w:color w:val="auto"/>
                <w:szCs w:val="21"/>
                <w:highlight w:val="none"/>
              </w:rPr>
            </w:pPr>
          </w:p>
        </w:tc>
        <w:tc>
          <w:tcPr>
            <w:tcW w:w="567" w:type="dxa"/>
            <w:noWrap/>
            <w:vAlign w:val="center"/>
          </w:tcPr>
          <w:p w14:paraId="4DBD455B">
            <w:pPr>
              <w:spacing w:line="276" w:lineRule="auto"/>
              <w:jc w:val="center"/>
              <w:rPr>
                <w:rFonts w:hint="eastAsia" w:eastAsia="宋体"/>
                <w:b/>
                <w:bCs/>
                <w:color w:val="auto"/>
                <w:szCs w:val="21"/>
                <w:highlight w:val="none"/>
                <w:lang w:val="en-US" w:eastAsia="zh-CN"/>
              </w:rPr>
            </w:pPr>
          </w:p>
        </w:tc>
        <w:tc>
          <w:tcPr>
            <w:tcW w:w="567" w:type="dxa"/>
            <w:noWrap/>
            <w:vAlign w:val="center"/>
          </w:tcPr>
          <w:p w14:paraId="7D2A3C5E">
            <w:pPr>
              <w:spacing w:line="276" w:lineRule="auto"/>
              <w:jc w:val="center"/>
              <w:rPr>
                <w:rFonts w:hint="eastAsia" w:ascii="宋体" w:hAnsi="宋体" w:eastAsia="宋体" w:cs="宋体"/>
                <w:b/>
                <w:bCs/>
                <w:color w:val="auto"/>
                <w:sz w:val="21"/>
                <w:szCs w:val="21"/>
                <w:highlight w:val="none"/>
              </w:rPr>
            </w:pPr>
          </w:p>
        </w:tc>
        <w:tc>
          <w:tcPr>
            <w:tcW w:w="851" w:type="dxa"/>
            <w:noWrap/>
            <w:vAlign w:val="center"/>
          </w:tcPr>
          <w:p w14:paraId="5B1202A8">
            <w:pPr>
              <w:spacing w:line="276" w:lineRule="auto"/>
              <w:jc w:val="center"/>
              <w:rPr>
                <w:rFonts w:hint="eastAsia"/>
                <w:color w:val="auto"/>
                <w:szCs w:val="21"/>
                <w:highlight w:val="none"/>
              </w:rPr>
            </w:pPr>
          </w:p>
        </w:tc>
        <w:tc>
          <w:tcPr>
            <w:tcW w:w="1166" w:type="dxa"/>
            <w:noWrap/>
            <w:vAlign w:val="center"/>
          </w:tcPr>
          <w:p w14:paraId="651D38A3">
            <w:pPr>
              <w:spacing w:line="276" w:lineRule="auto"/>
              <w:jc w:val="center"/>
              <w:rPr>
                <w:rFonts w:hint="eastAsia"/>
                <w:color w:val="auto"/>
                <w:szCs w:val="21"/>
                <w:highlight w:val="none"/>
              </w:rPr>
            </w:pPr>
          </w:p>
        </w:tc>
      </w:tr>
      <w:tr w14:paraId="09BF0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541" w:type="dxa"/>
            <w:noWrap/>
            <w:vAlign w:val="center"/>
          </w:tcPr>
          <w:p w14:paraId="7A62221C">
            <w:pPr>
              <w:spacing w:line="276" w:lineRule="auto"/>
              <w:jc w:val="center"/>
              <w:rPr>
                <w:b/>
                <w:bCs/>
                <w:color w:val="auto"/>
                <w:szCs w:val="21"/>
                <w:highlight w:val="none"/>
              </w:rPr>
            </w:pPr>
            <w:r>
              <w:rPr>
                <w:b/>
                <w:bCs/>
                <w:color w:val="auto"/>
                <w:szCs w:val="21"/>
                <w:highlight w:val="none"/>
              </w:rPr>
              <w:t>…</w:t>
            </w:r>
          </w:p>
        </w:tc>
        <w:tc>
          <w:tcPr>
            <w:tcW w:w="1350" w:type="dxa"/>
            <w:noWrap/>
            <w:vAlign w:val="center"/>
          </w:tcPr>
          <w:p w14:paraId="4C235644">
            <w:pPr>
              <w:spacing w:line="240" w:lineRule="auto"/>
              <w:jc w:val="center"/>
              <w:rPr>
                <w:rFonts w:hint="eastAsia"/>
                <w:b/>
                <w:bCs/>
                <w:color w:val="auto"/>
                <w:szCs w:val="21"/>
                <w:highlight w:val="none"/>
              </w:rPr>
            </w:pPr>
          </w:p>
        </w:tc>
        <w:tc>
          <w:tcPr>
            <w:tcW w:w="1178" w:type="dxa"/>
            <w:noWrap/>
            <w:vAlign w:val="center"/>
          </w:tcPr>
          <w:p w14:paraId="690F8C51">
            <w:pPr>
              <w:spacing w:line="276" w:lineRule="auto"/>
              <w:jc w:val="center"/>
              <w:rPr>
                <w:rFonts w:hint="eastAsia"/>
                <w:color w:val="auto"/>
                <w:szCs w:val="21"/>
                <w:highlight w:val="none"/>
              </w:rPr>
            </w:pPr>
          </w:p>
        </w:tc>
        <w:tc>
          <w:tcPr>
            <w:tcW w:w="675" w:type="dxa"/>
            <w:noWrap/>
            <w:vAlign w:val="center"/>
          </w:tcPr>
          <w:p w14:paraId="2EC73336">
            <w:pPr>
              <w:spacing w:line="276" w:lineRule="auto"/>
              <w:jc w:val="center"/>
              <w:rPr>
                <w:rFonts w:hint="eastAsia"/>
                <w:color w:val="auto"/>
                <w:szCs w:val="21"/>
                <w:highlight w:val="none"/>
              </w:rPr>
            </w:pPr>
          </w:p>
        </w:tc>
        <w:tc>
          <w:tcPr>
            <w:tcW w:w="954" w:type="dxa"/>
            <w:noWrap/>
            <w:vAlign w:val="center"/>
          </w:tcPr>
          <w:p w14:paraId="664715B0">
            <w:pPr>
              <w:spacing w:line="276" w:lineRule="auto"/>
              <w:jc w:val="center"/>
              <w:rPr>
                <w:rFonts w:hint="eastAsia"/>
                <w:color w:val="auto"/>
                <w:szCs w:val="21"/>
                <w:highlight w:val="none"/>
              </w:rPr>
            </w:pPr>
          </w:p>
        </w:tc>
        <w:tc>
          <w:tcPr>
            <w:tcW w:w="889" w:type="dxa"/>
            <w:noWrap/>
            <w:vAlign w:val="center"/>
          </w:tcPr>
          <w:p w14:paraId="6FCB6386">
            <w:pPr>
              <w:spacing w:line="276" w:lineRule="auto"/>
              <w:jc w:val="center"/>
              <w:rPr>
                <w:rFonts w:hint="eastAsia"/>
                <w:color w:val="auto"/>
                <w:szCs w:val="21"/>
                <w:highlight w:val="none"/>
              </w:rPr>
            </w:pPr>
          </w:p>
        </w:tc>
        <w:tc>
          <w:tcPr>
            <w:tcW w:w="1382" w:type="dxa"/>
            <w:noWrap/>
            <w:vAlign w:val="center"/>
          </w:tcPr>
          <w:p w14:paraId="7B2F0326">
            <w:pPr>
              <w:spacing w:line="276" w:lineRule="auto"/>
              <w:jc w:val="center"/>
              <w:rPr>
                <w:rFonts w:hint="eastAsia"/>
                <w:color w:val="auto"/>
                <w:szCs w:val="21"/>
                <w:highlight w:val="none"/>
              </w:rPr>
            </w:pPr>
          </w:p>
        </w:tc>
        <w:tc>
          <w:tcPr>
            <w:tcW w:w="1618" w:type="dxa"/>
            <w:noWrap/>
            <w:vAlign w:val="center"/>
          </w:tcPr>
          <w:p w14:paraId="0391122B">
            <w:pPr>
              <w:spacing w:line="276" w:lineRule="auto"/>
              <w:jc w:val="center"/>
              <w:rPr>
                <w:rFonts w:hint="eastAsia"/>
                <w:color w:val="auto"/>
                <w:szCs w:val="21"/>
                <w:highlight w:val="none"/>
              </w:rPr>
            </w:pPr>
          </w:p>
        </w:tc>
        <w:tc>
          <w:tcPr>
            <w:tcW w:w="1693" w:type="dxa"/>
            <w:noWrap/>
            <w:vAlign w:val="center"/>
          </w:tcPr>
          <w:p w14:paraId="21034339">
            <w:pPr>
              <w:spacing w:line="276" w:lineRule="auto"/>
              <w:jc w:val="center"/>
              <w:rPr>
                <w:rFonts w:hint="eastAsia"/>
                <w:color w:val="auto"/>
                <w:szCs w:val="21"/>
                <w:highlight w:val="none"/>
              </w:rPr>
            </w:pPr>
          </w:p>
        </w:tc>
        <w:tc>
          <w:tcPr>
            <w:tcW w:w="743" w:type="dxa"/>
            <w:noWrap/>
            <w:vAlign w:val="center"/>
          </w:tcPr>
          <w:p w14:paraId="16312D67">
            <w:pPr>
              <w:spacing w:line="276" w:lineRule="auto"/>
              <w:jc w:val="center"/>
              <w:rPr>
                <w:rFonts w:hint="eastAsia"/>
                <w:color w:val="auto"/>
                <w:szCs w:val="21"/>
                <w:highlight w:val="none"/>
              </w:rPr>
            </w:pPr>
          </w:p>
        </w:tc>
        <w:tc>
          <w:tcPr>
            <w:tcW w:w="567" w:type="dxa"/>
            <w:noWrap/>
            <w:vAlign w:val="center"/>
          </w:tcPr>
          <w:p w14:paraId="3BFFADCA">
            <w:pPr>
              <w:spacing w:line="276" w:lineRule="auto"/>
              <w:jc w:val="center"/>
              <w:rPr>
                <w:rFonts w:hint="eastAsia"/>
                <w:b/>
                <w:bCs/>
                <w:color w:val="auto"/>
                <w:szCs w:val="21"/>
                <w:highlight w:val="none"/>
              </w:rPr>
            </w:pPr>
          </w:p>
        </w:tc>
        <w:tc>
          <w:tcPr>
            <w:tcW w:w="567" w:type="dxa"/>
            <w:noWrap/>
            <w:vAlign w:val="center"/>
          </w:tcPr>
          <w:p w14:paraId="64619F8F">
            <w:pPr>
              <w:spacing w:line="276" w:lineRule="auto"/>
              <w:jc w:val="center"/>
              <w:rPr>
                <w:rFonts w:hint="eastAsia"/>
                <w:b/>
                <w:bCs/>
                <w:color w:val="auto"/>
                <w:szCs w:val="21"/>
                <w:highlight w:val="none"/>
              </w:rPr>
            </w:pPr>
          </w:p>
        </w:tc>
        <w:tc>
          <w:tcPr>
            <w:tcW w:w="851" w:type="dxa"/>
            <w:noWrap/>
            <w:vAlign w:val="center"/>
          </w:tcPr>
          <w:p w14:paraId="69EB9161">
            <w:pPr>
              <w:spacing w:line="276" w:lineRule="auto"/>
              <w:jc w:val="center"/>
              <w:rPr>
                <w:rFonts w:hint="eastAsia"/>
                <w:color w:val="auto"/>
                <w:szCs w:val="21"/>
                <w:highlight w:val="none"/>
              </w:rPr>
            </w:pPr>
          </w:p>
        </w:tc>
        <w:tc>
          <w:tcPr>
            <w:tcW w:w="1166" w:type="dxa"/>
            <w:noWrap/>
            <w:vAlign w:val="center"/>
          </w:tcPr>
          <w:p w14:paraId="173ECB68">
            <w:pPr>
              <w:spacing w:line="276" w:lineRule="auto"/>
              <w:jc w:val="center"/>
              <w:rPr>
                <w:rFonts w:hint="eastAsia"/>
                <w:color w:val="auto"/>
                <w:szCs w:val="21"/>
                <w:highlight w:val="none"/>
              </w:rPr>
            </w:pPr>
          </w:p>
        </w:tc>
      </w:tr>
      <w:tr w14:paraId="69456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174" w:type="dxa"/>
            <w:gridSpan w:val="14"/>
            <w:noWrap/>
            <w:vAlign w:val="center"/>
          </w:tcPr>
          <w:p w14:paraId="1C3FDAC1">
            <w:pPr>
              <w:spacing w:line="276" w:lineRule="auto"/>
              <w:jc w:val="center"/>
              <w:rPr>
                <w:rFonts w:hint="eastAsia" w:cs="宋体"/>
                <w:b/>
                <w:color w:val="auto"/>
                <w:szCs w:val="21"/>
                <w:highlight w:val="none"/>
              </w:rPr>
            </w:pPr>
            <w:r>
              <w:rPr>
                <w:rFonts w:hint="eastAsia" w:cs="宋体"/>
                <w:b/>
                <w:color w:val="auto"/>
                <w:szCs w:val="21"/>
                <w:highlight w:val="none"/>
              </w:rPr>
              <w:t>投标总报价（元）：</w:t>
            </w:r>
          </w:p>
        </w:tc>
      </w:tr>
    </w:tbl>
    <w:p w14:paraId="5F26C1CF">
      <w:pPr>
        <w:rPr>
          <w:rFonts w:hint="default" w:eastAsia="宋体"/>
          <w:b/>
          <w:bCs/>
          <w:color w:val="auto"/>
          <w:szCs w:val="21"/>
          <w:highlight w:val="none"/>
          <w:lang w:val="en-US" w:eastAsia="zh-CN"/>
        </w:rPr>
      </w:pPr>
      <w:r>
        <w:rPr>
          <w:b/>
          <w:bCs/>
          <w:color w:val="auto"/>
          <w:szCs w:val="21"/>
          <w:highlight w:val="none"/>
        </w:rPr>
        <w:t>填表说明：</w:t>
      </w:r>
    </w:p>
    <w:p w14:paraId="1BECECCB">
      <w:pPr>
        <w:spacing w:line="276" w:lineRule="auto"/>
        <w:ind w:firstLine="420"/>
        <w:rPr>
          <w:rFonts w:hint="eastAsia" w:eastAsia="宋体"/>
          <w:bCs/>
          <w:color w:val="FF0000"/>
          <w:highlight w:val="none"/>
          <w:lang w:val="en-US" w:eastAsia="zh-CN"/>
        </w:rPr>
      </w:pPr>
      <w:r>
        <w:rPr>
          <w:rFonts w:hint="eastAsia" w:cs="宋体"/>
          <w:b/>
          <w:color w:val="FF0000"/>
          <w:szCs w:val="21"/>
          <w:highlight w:val="none"/>
          <w:lang w:val="en-US" w:eastAsia="zh-CN"/>
        </w:rPr>
        <w:t>1、</w:t>
      </w:r>
      <w:r>
        <w:rPr>
          <w:rFonts w:hint="eastAsia" w:cs="宋体"/>
          <w:b/>
          <w:color w:val="FF0000"/>
          <w:szCs w:val="21"/>
          <w:highlight w:val="none"/>
        </w:rPr>
        <w:t>此表仅</w:t>
      </w:r>
      <w:r>
        <w:rPr>
          <w:rFonts w:hint="eastAsia" w:cs="宋体"/>
          <w:b/>
          <w:color w:val="FF0000"/>
          <w:szCs w:val="21"/>
          <w:highlight w:val="none"/>
          <w:lang w:val="en-US" w:eastAsia="zh-CN"/>
        </w:rPr>
        <w:t>C包</w:t>
      </w:r>
      <w:r>
        <w:rPr>
          <w:rFonts w:hint="eastAsia" w:cs="宋体"/>
          <w:b/>
          <w:color w:val="FF0000"/>
          <w:szCs w:val="21"/>
          <w:highlight w:val="none"/>
        </w:rPr>
        <w:t>投标人提供</w:t>
      </w:r>
      <w:r>
        <w:rPr>
          <w:rFonts w:hint="eastAsia" w:cs="宋体"/>
          <w:b/>
          <w:color w:val="FF0000"/>
          <w:szCs w:val="21"/>
          <w:highlight w:val="none"/>
          <w:lang w:eastAsia="zh-CN"/>
        </w:rPr>
        <w:t>。</w:t>
      </w:r>
    </w:p>
    <w:p w14:paraId="698F341C">
      <w:pPr>
        <w:spacing w:line="276" w:lineRule="auto"/>
        <w:ind w:firstLine="420"/>
        <w:rPr>
          <w:rFonts w:hint="eastAsia" w:eastAsia="宋体"/>
          <w:b/>
          <w:bCs/>
          <w:color w:val="auto"/>
          <w:highlight w:val="none"/>
          <w:lang w:eastAsia="zh-CN"/>
        </w:rPr>
      </w:pPr>
      <w:r>
        <w:rPr>
          <w:rFonts w:hint="eastAsia"/>
          <w:b/>
          <w:bCs w:val="0"/>
          <w:color w:val="auto"/>
          <w:highlight w:val="none"/>
          <w:lang w:val="en-US" w:eastAsia="zh-CN"/>
        </w:rPr>
        <w:t>2</w:t>
      </w:r>
      <w:r>
        <w:rPr>
          <w:b/>
          <w:bCs w:val="0"/>
          <w:color w:val="auto"/>
          <w:highlight w:val="none"/>
        </w:rPr>
        <w:t>、投</w:t>
      </w:r>
      <w:r>
        <w:rPr>
          <w:b/>
          <w:color w:val="auto"/>
          <w:highlight w:val="none"/>
        </w:rPr>
        <w:t>标报价</w:t>
      </w:r>
      <w:r>
        <w:rPr>
          <w:rFonts w:hint="eastAsia"/>
          <w:b/>
          <w:color w:val="auto"/>
          <w:highlight w:val="none"/>
        </w:rPr>
        <w:t>包含</w:t>
      </w:r>
      <w:r>
        <w:rPr>
          <w:rFonts w:hint="eastAsia"/>
          <w:b/>
          <w:color w:val="auto"/>
          <w:highlight w:val="none"/>
          <w:lang w:val="en-US" w:eastAsia="zh-CN"/>
        </w:rPr>
        <w:t>但不限于</w:t>
      </w:r>
      <w:r>
        <w:rPr>
          <w:rFonts w:hint="eastAsia"/>
          <w:b/>
          <w:color w:val="auto"/>
          <w:highlight w:val="none"/>
        </w:rPr>
        <w:t>货物、技术资料、货物的税费、运输费（含二次及多次转运费）、保险费、包装费、装卸费、安装费（含各种辅材费）、检测费（含第三方验收）、培训费、售后服务费、与货物有关的供方应纳的税费、产品规格尺寸变化可能产生的费用等所有费用</w:t>
      </w:r>
      <w:r>
        <w:rPr>
          <w:b/>
          <w:bCs/>
          <w:color w:val="auto"/>
          <w:highlight w:val="none"/>
        </w:rPr>
        <w:t>，并能保证投标人完成履行合同所需的全部工作，此价格在合同签订后将不作调整。</w:t>
      </w:r>
    </w:p>
    <w:p w14:paraId="3EBC454B">
      <w:pPr>
        <w:spacing w:line="276" w:lineRule="auto"/>
        <w:ind w:firstLine="420"/>
        <w:rPr>
          <w:rFonts w:hint="eastAsia"/>
          <w:b/>
          <w:bCs w:val="0"/>
          <w:color w:val="auto"/>
          <w:szCs w:val="21"/>
          <w:highlight w:val="none"/>
        </w:rPr>
      </w:pPr>
      <w:r>
        <w:rPr>
          <w:rFonts w:hint="eastAsia"/>
          <w:b/>
          <w:bCs w:val="0"/>
          <w:color w:val="auto"/>
          <w:highlight w:val="none"/>
          <w:lang w:val="en-US" w:eastAsia="zh-CN"/>
        </w:rPr>
        <w:t>3、</w:t>
      </w:r>
      <w:r>
        <w:rPr>
          <w:b/>
          <w:bCs w:val="0"/>
          <w:color w:val="auto"/>
          <w:highlight w:val="none"/>
        </w:rPr>
        <w:t>投标人必须将招标文件第五章“</w:t>
      </w:r>
      <w:r>
        <w:rPr>
          <w:rFonts w:hint="eastAsia"/>
          <w:b/>
          <w:bCs w:val="0"/>
          <w:color w:val="auto"/>
          <w:highlight w:val="none"/>
          <w:lang w:eastAsia="zh-CN"/>
        </w:rPr>
        <w:t>采购需求</w:t>
      </w:r>
      <w:r>
        <w:rPr>
          <w:b/>
          <w:bCs w:val="0"/>
          <w:color w:val="auto"/>
          <w:highlight w:val="none"/>
        </w:rPr>
        <w:t>”</w:t>
      </w:r>
      <w:r>
        <w:rPr>
          <w:rFonts w:hint="eastAsia"/>
          <w:b/>
          <w:bCs w:val="0"/>
          <w:color w:val="auto"/>
          <w:highlight w:val="none"/>
          <w:lang w:val="en-US" w:eastAsia="zh-CN"/>
        </w:rPr>
        <w:t>中</w:t>
      </w:r>
      <w:r>
        <w:rPr>
          <w:b/>
          <w:bCs w:val="0"/>
          <w:color w:val="auto"/>
          <w:highlight w:val="none"/>
          <w:lang w:eastAsia="zh-CN"/>
        </w:rPr>
        <w:t>所</w:t>
      </w:r>
      <w:r>
        <w:rPr>
          <w:rFonts w:hint="eastAsia"/>
          <w:b/>
          <w:bCs w:val="0"/>
          <w:color w:val="auto"/>
          <w:highlight w:val="none"/>
          <w:lang w:val="en-US" w:eastAsia="zh-CN"/>
        </w:rPr>
        <w:t>投标包</w:t>
      </w:r>
      <w:r>
        <w:rPr>
          <w:b/>
          <w:bCs w:val="0"/>
          <w:color w:val="auto"/>
          <w:highlight w:val="none"/>
          <w:lang w:eastAsia="zh-CN"/>
        </w:rPr>
        <w:t>内容进行整体投标，不得缺项漏项</w:t>
      </w:r>
      <w:r>
        <w:rPr>
          <w:rFonts w:hint="eastAsia"/>
          <w:b/>
          <w:bCs w:val="0"/>
          <w:color w:val="auto"/>
          <w:highlight w:val="none"/>
          <w:lang w:eastAsia="zh-CN"/>
        </w:rPr>
        <w:t>。</w:t>
      </w:r>
      <w:r>
        <w:rPr>
          <w:b/>
          <w:bCs w:val="0"/>
          <w:color w:val="auto"/>
          <w:szCs w:val="21"/>
          <w:highlight w:val="none"/>
          <w:lang w:eastAsia="zh-CN"/>
        </w:rPr>
        <w:t>否则作实质性不响应招标文件处理。</w:t>
      </w:r>
    </w:p>
    <w:p w14:paraId="683BA09B">
      <w:pPr>
        <w:spacing w:line="276" w:lineRule="auto"/>
        <w:ind w:firstLine="422"/>
        <w:rPr>
          <w:rFonts w:hint="eastAsia"/>
          <w:bCs/>
          <w:color w:val="auto"/>
          <w:szCs w:val="21"/>
          <w:highlight w:val="none"/>
        </w:rPr>
      </w:pPr>
      <w:r>
        <w:rPr>
          <w:rFonts w:hint="eastAsia"/>
          <w:b/>
          <w:bCs w:val="0"/>
          <w:color w:val="auto"/>
          <w:szCs w:val="21"/>
          <w:highlight w:val="none"/>
          <w:lang w:val="en-US" w:eastAsia="zh-CN"/>
        </w:rPr>
        <w:t>4</w:t>
      </w:r>
      <w:r>
        <w:rPr>
          <w:b/>
          <w:bCs w:val="0"/>
          <w:color w:val="auto"/>
          <w:szCs w:val="21"/>
          <w:highlight w:val="none"/>
        </w:rPr>
        <w:t>、在“</w:t>
      </w:r>
      <w:r>
        <w:rPr>
          <w:rFonts w:hint="eastAsia"/>
          <w:b/>
          <w:bCs w:val="0"/>
          <w:color w:val="auto"/>
          <w:szCs w:val="21"/>
          <w:highlight w:val="none"/>
        </w:rPr>
        <w:t>制造商规模（小型企业、中型企业、大型企业）、生产商特殊属性（监狱企业、其他、残疾人福利单位）</w:t>
      </w:r>
      <w:r>
        <w:rPr>
          <w:b/>
          <w:bCs w:val="0"/>
          <w:color w:val="auto"/>
          <w:szCs w:val="21"/>
          <w:highlight w:val="none"/>
        </w:rPr>
        <w:t>”中如实填写小微企业、残疾人福利性单位或监狱企业，并按招标文件要求提供声明函（小微企业、残疾人福利性单位）/证明文件（监狱企业），否则不予进行价格扣除。</w:t>
      </w:r>
    </w:p>
    <w:p w14:paraId="5321FCB7">
      <w:pPr>
        <w:spacing w:line="276" w:lineRule="auto"/>
        <w:rPr>
          <w:rFonts w:hint="eastAsia"/>
          <w:bCs/>
          <w:color w:val="auto"/>
          <w:szCs w:val="21"/>
          <w:highlight w:val="none"/>
        </w:rPr>
      </w:pPr>
    </w:p>
    <w:tbl>
      <w:tblPr>
        <w:tblStyle w:val="44"/>
        <w:tblW w:w="5534" w:type="dxa"/>
        <w:jc w:val="right"/>
        <w:tblLayout w:type="fixed"/>
        <w:tblCellMar>
          <w:top w:w="0" w:type="dxa"/>
          <w:left w:w="108" w:type="dxa"/>
          <w:bottom w:w="0" w:type="dxa"/>
          <w:right w:w="108" w:type="dxa"/>
        </w:tblCellMar>
      </w:tblPr>
      <w:tblGrid>
        <w:gridCol w:w="5534"/>
      </w:tblGrid>
      <w:tr w14:paraId="74768E7B">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43224031">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01FCB817">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73FAF994">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37C4AC18">
        <w:tblPrEx>
          <w:tblCellMar>
            <w:top w:w="0" w:type="dxa"/>
            <w:left w:w="108" w:type="dxa"/>
            <w:bottom w:w="0" w:type="dxa"/>
            <w:right w:w="108" w:type="dxa"/>
          </w:tblCellMar>
        </w:tblPrEx>
        <w:trPr>
          <w:trHeight w:val="454" w:hRule="atLeast"/>
          <w:jc w:val="right"/>
        </w:trPr>
        <w:tc>
          <w:tcPr>
            <w:tcW w:w="5534" w:type="dxa"/>
            <w:tcBorders>
              <w:top w:val="nil"/>
              <w:left w:val="nil"/>
              <w:bottom w:val="nil"/>
              <w:right w:val="nil"/>
            </w:tcBorders>
            <w:noWrap/>
            <w:vAlign w:val="center"/>
          </w:tcPr>
          <w:p w14:paraId="3F2A6D24">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76F1191C">
      <w:pPr>
        <w:rPr>
          <w:rFonts w:hint="eastAsia"/>
          <w:color w:val="auto"/>
          <w:highlight w:val="none"/>
        </w:rPr>
        <w:sectPr>
          <w:headerReference r:id="rId15" w:type="first"/>
          <w:pgSz w:w="16838" w:h="11906" w:orient="landscape"/>
          <w:pgMar w:top="1083" w:right="1440" w:bottom="1080" w:left="1440" w:header="680" w:footer="680" w:gutter="0"/>
          <w:pgBorders>
            <w:top w:val="none" w:sz="0" w:space="0"/>
            <w:left w:val="none" w:sz="0" w:space="0"/>
            <w:bottom w:val="none" w:sz="0" w:space="0"/>
            <w:right w:val="none" w:sz="0" w:space="0"/>
          </w:pgBorders>
          <w:pgNumType w:fmt="decimal"/>
          <w:cols w:space="720" w:num="1"/>
          <w:docGrid w:type="linesAndChars" w:linePitch="331" w:charSpace="0"/>
        </w:sectPr>
      </w:pPr>
    </w:p>
    <w:p w14:paraId="1D922D92">
      <w:pPr>
        <w:jc w:val="center"/>
        <w:outlineLvl w:val="2"/>
        <w:rPr>
          <w:rFonts w:hint="eastAsia"/>
          <w:b/>
          <w:bCs/>
          <w:color w:val="auto"/>
          <w:sz w:val="28"/>
          <w:szCs w:val="36"/>
          <w:highlight w:val="none"/>
        </w:rPr>
      </w:pPr>
      <w:bookmarkStart w:id="226" w:name="_Toc139357081"/>
      <w:bookmarkStart w:id="227" w:name="_Toc166067784"/>
      <w:bookmarkStart w:id="228" w:name="_Toc18767"/>
      <w:r>
        <w:rPr>
          <w:rFonts w:hint="eastAsia" w:cs="宋体"/>
          <w:b/>
          <w:color w:val="auto"/>
          <w:sz w:val="28"/>
          <w:szCs w:val="28"/>
          <w:highlight w:val="none"/>
        </w:rPr>
        <w:t>（</w:t>
      </w:r>
      <w:r>
        <w:rPr>
          <w:rFonts w:hint="eastAsia" w:cs="宋体"/>
          <w:b/>
          <w:color w:val="auto"/>
          <w:sz w:val="28"/>
          <w:szCs w:val="28"/>
          <w:highlight w:val="none"/>
          <w:lang w:val="en-US" w:eastAsia="zh-CN"/>
        </w:rPr>
        <w:t>三</w:t>
      </w:r>
      <w:r>
        <w:rPr>
          <w:rFonts w:hint="eastAsia" w:cs="宋体"/>
          <w:b/>
          <w:color w:val="auto"/>
          <w:sz w:val="28"/>
          <w:szCs w:val="28"/>
          <w:highlight w:val="none"/>
        </w:rPr>
        <w:t>）</w:t>
      </w:r>
      <w:r>
        <w:rPr>
          <w:rFonts w:hint="eastAsia"/>
          <w:b/>
          <w:bCs/>
          <w:color w:val="auto"/>
          <w:sz w:val="28"/>
          <w:szCs w:val="36"/>
          <w:highlight w:val="none"/>
        </w:rPr>
        <w:t>商务条款偏离表</w:t>
      </w:r>
      <w:bookmarkEnd w:id="214"/>
      <w:bookmarkEnd w:id="215"/>
      <w:bookmarkEnd w:id="216"/>
      <w:bookmarkEnd w:id="217"/>
      <w:bookmarkEnd w:id="218"/>
      <w:bookmarkEnd w:id="219"/>
      <w:bookmarkEnd w:id="220"/>
      <w:bookmarkEnd w:id="226"/>
      <w:bookmarkEnd w:id="227"/>
      <w:bookmarkEnd w:id="228"/>
    </w:p>
    <w:p w14:paraId="00298812">
      <w:pPr>
        <w:pStyle w:val="23"/>
        <w:spacing w:line="400" w:lineRule="exact"/>
        <w:rPr>
          <w:rFonts w:hint="eastAsia" w:cs="宋体"/>
          <w:color w:val="auto"/>
          <w:highlight w:val="none"/>
        </w:rPr>
      </w:pPr>
      <w:r>
        <w:rPr>
          <w:rFonts w:hint="eastAsia" w:cs="宋体"/>
          <w:color w:val="auto"/>
          <w:highlight w:val="none"/>
        </w:rPr>
        <w:t>投标人须逐条对应投标文件中要求的商务条款条件，认真填写该表。</w:t>
      </w:r>
    </w:p>
    <w:p w14:paraId="6C8A84F4">
      <w:pPr>
        <w:pStyle w:val="23"/>
        <w:spacing w:line="400" w:lineRule="exact"/>
        <w:rPr>
          <w:rFonts w:hint="eastAsia" w:cs="宋体"/>
          <w:color w:val="auto"/>
          <w:highlight w:val="none"/>
        </w:rPr>
      </w:pPr>
      <w:r>
        <w:rPr>
          <w:rFonts w:hint="eastAsia" w:cs="宋体"/>
          <w:color w:val="auto"/>
          <w:highlight w:val="none"/>
        </w:rPr>
        <w:t>商务条款是指：</w:t>
      </w:r>
      <w:r>
        <w:rPr>
          <w:b/>
          <w:color w:val="auto"/>
          <w:highlight w:val="none"/>
        </w:rPr>
        <w:t>招标文件中要求的交货期、交货地点、交货方式、质量要求、付款方式等要求。</w:t>
      </w:r>
    </w:p>
    <w:p w14:paraId="6BEE30C7">
      <w:pPr>
        <w:ind w:right="-254" w:rightChars="-121"/>
        <w:rPr>
          <w:rFonts w:hint="eastAsia" w:cs="宋体"/>
          <w:b/>
          <w:bCs/>
          <w:color w:val="auto"/>
          <w:highlight w:val="none"/>
        </w:rPr>
      </w:pPr>
      <w:r>
        <w:rPr>
          <w:rFonts w:hint="eastAsia" w:cs="宋体"/>
          <w:b/>
          <w:bCs/>
          <w:color w:val="auto"/>
          <w:highlight w:val="none"/>
        </w:rPr>
        <w:t>项目名称：</w:t>
      </w:r>
      <w:r>
        <w:rPr>
          <w:rFonts w:hint="eastAsia" w:cs="宋体"/>
          <w:b/>
          <w:bCs/>
          <w:color w:val="auto"/>
          <w:highlight w:val="none"/>
          <w:u w:val="single"/>
        </w:rPr>
        <w:t xml:space="preserve">                </w:t>
      </w:r>
      <w:r>
        <w:rPr>
          <w:rFonts w:hint="eastAsia" w:cs="宋体"/>
          <w:b/>
          <w:bCs/>
          <w:color w:val="auto"/>
          <w:highlight w:val="none"/>
        </w:rPr>
        <w:t xml:space="preserve">  </w:t>
      </w:r>
      <w:r>
        <w:rPr>
          <w:rFonts w:hint="eastAsia" w:cs="宋体"/>
          <w:b/>
          <w:bCs/>
          <w:color w:val="auto"/>
          <w:highlight w:val="none"/>
          <w:lang w:val="en-US" w:eastAsia="zh-CN"/>
        </w:rPr>
        <w:t xml:space="preserve">                                  </w:t>
      </w:r>
      <w:r>
        <w:rPr>
          <w:rFonts w:cs="宋体"/>
          <w:b/>
          <w:bCs/>
          <w:color w:val="auto"/>
          <w:highlight w:val="none"/>
        </w:rPr>
        <w:t xml:space="preserve"> </w:t>
      </w:r>
      <w:r>
        <w:rPr>
          <w:rFonts w:hint="eastAsia" w:cs="宋体"/>
          <w:b/>
          <w:bCs/>
          <w:color w:val="auto"/>
          <w:highlight w:val="none"/>
        </w:rPr>
        <w:t>招标编号：</w:t>
      </w:r>
      <w:r>
        <w:rPr>
          <w:rFonts w:hint="eastAsia" w:cs="宋体"/>
          <w:b/>
          <w:bCs/>
          <w:color w:val="auto"/>
          <w:highlight w:val="none"/>
          <w:u w:val="single"/>
        </w:rPr>
        <w:t xml:space="preserve">               </w:t>
      </w:r>
    </w:p>
    <w:tbl>
      <w:tblPr>
        <w:tblStyle w:val="4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5"/>
        <w:gridCol w:w="1450"/>
        <w:gridCol w:w="2174"/>
        <w:gridCol w:w="2379"/>
        <w:gridCol w:w="1118"/>
        <w:gridCol w:w="2056"/>
      </w:tblGrid>
      <w:tr w14:paraId="63CEC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4" w:hRule="atLeast"/>
        </w:trPr>
        <w:tc>
          <w:tcPr>
            <w:tcW w:w="394" w:type="pct"/>
            <w:vAlign w:val="center"/>
          </w:tcPr>
          <w:p w14:paraId="481F8AD8">
            <w:pPr>
              <w:pStyle w:val="23"/>
              <w:spacing w:line="276" w:lineRule="auto"/>
              <w:jc w:val="center"/>
              <w:rPr>
                <w:rFonts w:hint="eastAsia" w:cs="宋体"/>
                <w:b/>
                <w:color w:val="auto"/>
                <w:highlight w:val="none"/>
              </w:rPr>
            </w:pPr>
            <w:r>
              <w:rPr>
                <w:rFonts w:hint="eastAsia" w:cs="宋体"/>
                <w:b/>
                <w:color w:val="auto"/>
                <w:highlight w:val="none"/>
              </w:rPr>
              <w:t>序号</w:t>
            </w:r>
          </w:p>
        </w:tc>
        <w:tc>
          <w:tcPr>
            <w:tcW w:w="728" w:type="pct"/>
            <w:vAlign w:val="center"/>
          </w:tcPr>
          <w:p w14:paraId="3747DCFF">
            <w:pPr>
              <w:pStyle w:val="23"/>
              <w:spacing w:line="276" w:lineRule="auto"/>
              <w:jc w:val="center"/>
              <w:rPr>
                <w:rFonts w:hint="eastAsia" w:cs="宋体"/>
                <w:b/>
                <w:color w:val="auto"/>
                <w:highlight w:val="none"/>
              </w:rPr>
            </w:pPr>
            <w:r>
              <w:rPr>
                <w:rFonts w:hint="eastAsia" w:cs="宋体"/>
                <w:b/>
                <w:color w:val="auto"/>
                <w:highlight w:val="none"/>
              </w:rPr>
              <w:t>招标文件页码及条目号</w:t>
            </w:r>
          </w:p>
        </w:tc>
        <w:tc>
          <w:tcPr>
            <w:tcW w:w="1091" w:type="pct"/>
            <w:vAlign w:val="center"/>
          </w:tcPr>
          <w:p w14:paraId="37EBE42A">
            <w:pPr>
              <w:pStyle w:val="23"/>
              <w:spacing w:line="276" w:lineRule="auto"/>
              <w:jc w:val="center"/>
              <w:rPr>
                <w:rFonts w:hint="eastAsia" w:cs="宋体"/>
                <w:b/>
                <w:color w:val="auto"/>
                <w:highlight w:val="none"/>
              </w:rPr>
            </w:pPr>
            <w:r>
              <w:rPr>
                <w:rFonts w:hint="eastAsia" w:cs="宋体"/>
                <w:b/>
                <w:color w:val="auto"/>
                <w:highlight w:val="none"/>
              </w:rPr>
              <w:t>招标文件的商务条款</w:t>
            </w:r>
          </w:p>
        </w:tc>
        <w:tc>
          <w:tcPr>
            <w:tcW w:w="1194" w:type="pct"/>
            <w:vAlign w:val="center"/>
          </w:tcPr>
          <w:p w14:paraId="263DAE9C">
            <w:pPr>
              <w:pStyle w:val="23"/>
              <w:spacing w:line="276" w:lineRule="auto"/>
              <w:jc w:val="center"/>
              <w:rPr>
                <w:rFonts w:hint="eastAsia" w:cs="宋体"/>
                <w:b/>
                <w:color w:val="auto"/>
                <w:highlight w:val="none"/>
              </w:rPr>
            </w:pPr>
            <w:r>
              <w:rPr>
                <w:rFonts w:hint="eastAsia" w:cs="宋体"/>
                <w:b/>
                <w:color w:val="auto"/>
                <w:highlight w:val="none"/>
              </w:rPr>
              <w:t>投标文件的商务条款</w:t>
            </w:r>
          </w:p>
        </w:tc>
        <w:tc>
          <w:tcPr>
            <w:tcW w:w="561" w:type="pct"/>
            <w:vAlign w:val="center"/>
          </w:tcPr>
          <w:p w14:paraId="0BC87B61">
            <w:pPr>
              <w:pStyle w:val="23"/>
              <w:spacing w:line="276" w:lineRule="auto"/>
              <w:jc w:val="center"/>
              <w:rPr>
                <w:rFonts w:hint="eastAsia" w:cs="宋体"/>
                <w:b/>
                <w:color w:val="auto"/>
                <w:highlight w:val="none"/>
              </w:rPr>
            </w:pPr>
            <w:r>
              <w:rPr>
                <w:rFonts w:hint="eastAsia" w:cs="宋体"/>
                <w:b/>
                <w:color w:val="auto"/>
                <w:highlight w:val="none"/>
              </w:rPr>
              <w:t>响应情况说明</w:t>
            </w:r>
          </w:p>
        </w:tc>
        <w:tc>
          <w:tcPr>
            <w:tcW w:w="1032" w:type="pct"/>
            <w:vAlign w:val="center"/>
          </w:tcPr>
          <w:p w14:paraId="0CDE075D">
            <w:pPr>
              <w:pStyle w:val="23"/>
              <w:spacing w:line="276" w:lineRule="auto"/>
              <w:jc w:val="center"/>
              <w:rPr>
                <w:rFonts w:hint="eastAsia" w:cs="宋体"/>
                <w:b/>
                <w:bCs/>
                <w:color w:val="auto"/>
                <w:highlight w:val="none"/>
              </w:rPr>
            </w:pPr>
            <w:r>
              <w:rPr>
                <w:rFonts w:hint="eastAsia" w:cs="宋体"/>
                <w:b/>
                <w:bCs/>
                <w:color w:val="auto"/>
                <w:highlight w:val="none"/>
              </w:rPr>
              <w:t>商务条件支持资料索引</w:t>
            </w:r>
          </w:p>
          <w:p w14:paraId="0AD1DC0F">
            <w:pPr>
              <w:pStyle w:val="23"/>
              <w:spacing w:line="276" w:lineRule="auto"/>
              <w:jc w:val="center"/>
              <w:rPr>
                <w:rFonts w:hint="eastAsia" w:cs="宋体"/>
                <w:b/>
                <w:color w:val="auto"/>
                <w:highlight w:val="none"/>
              </w:rPr>
            </w:pPr>
            <w:r>
              <w:rPr>
                <w:rFonts w:hint="eastAsia" w:cs="宋体"/>
                <w:b/>
                <w:color w:val="auto"/>
                <w:highlight w:val="none"/>
              </w:rPr>
              <w:t>（页码及条目号等）</w:t>
            </w:r>
          </w:p>
        </w:tc>
      </w:tr>
      <w:tr w14:paraId="694D04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745C2FD0">
            <w:pPr>
              <w:pStyle w:val="23"/>
              <w:rPr>
                <w:rFonts w:hint="eastAsia" w:cs="宋体"/>
                <w:color w:val="auto"/>
                <w:highlight w:val="none"/>
              </w:rPr>
            </w:pPr>
          </w:p>
        </w:tc>
        <w:tc>
          <w:tcPr>
            <w:tcW w:w="728" w:type="pct"/>
          </w:tcPr>
          <w:p w14:paraId="44660635">
            <w:pPr>
              <w:pStyle w:val="23"/>
              <w:rPr>
                <w:rFonts w:hint="eastAsia" w:cs="宋体"/>
                <w:color w:val="auto"/>
                <w:highlight w:val="none"/>
              </w:rPr>
            </w:pPr>
          </w:p>
        </w:tc>
        <w:tc>
          <w:tcPr>
            <w:tcW w:w="1091" w:type="pct"/>
          </w:tcPr>
          <w:p w14:paraId="288058D7">
            <w:pPr>
              <w:pStyle w:val="23"/>
              <w:rPr>
                <w:rFonts w:hint="eastAsia" w:cs="宋体"/>
                <w:color w:val="auto"/>
                <w:highlight w:val="none"/>
              </w:rPr>
            </w:pPr>
          </w:p>
        </w:tc>
        <w:tc>
          <w:tcPr>
            <w:tcW w:w="1194" w:type="pct"/>
          </w:tcPr>
          <w:p w14:paraId="6F9F0A6A">
            <w:pPr>
              <w:pStyle w:val="23"/>
              <w:rPr>
                <w:rFonts w:hint="eastAsia" w:cs="宋体"/>
                <w:color w:val="auto"/>
                <w:highlight w:val="none"/>
              </w:rPr>
            </w:pPr>
          </w:p>
        </w:tc>
        <w:tc>
          <w:tcPr>
            <w:tcW w:w="561" w:type="pct"/>
          </w:tcPr>
          <w:p w14:paraId="3D2F2F85">
            <w:pPr>
              <w:pStyle w:val="23"/>
              <w:rPr>
                <w:rFonts w:hint="eastAsia" w:cs="宋体"/>
                <w:color w:val="auto"/>
                <w:highlight w:val="none"/>
              </w:rPr>
            </w:pPr>
          </w:p>
        </w:tc>
        <w:tc>
          <w:tcPr>
            <w:tcW w:w="1032" w:type="pct"/>
          </w:tcPr>
          <w:p w14:paraId="369E1A38">
            <w:pPr>
              <w:pStyle w:val="23"/>
              <w:rPr>
                <w:rFonts w:hint="eastAsia" w:cs="宋体"/>
                <w:color w:val="auto"/>
                <w:highlight w:val="none"/>
              </w:rPr>
            </w:pPr>
          </w:p>
        </w:tc>
      </w:tr>
      <w:tr w14:paraId="7B1B2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394" w:type="pct"/>
          </w:tcPr>
          <w:p w14:paraId="4735CB04">
            <w:pPr>
              <w:pStyle w:val="23"/>
              <w:rPr>
                <w:rFonts w:hint="eastAsia" w:cs="宋体"/>
                <w:color w:val="auto"/>
                <w:highlight w:val="none"/>
              </w:rPr>
            </w:pPr>
          </w:p>
        </w:tc>
        <w:tc>
          <w:tcPr>
            <w:tcW w:w="728" w:type="pct"/>
          </w:tcPr>
          <w:p w14:paraId="66B8082B">
            <w:pPr>
              <w:pStyle w:val="23"/>
              <w:rPr>
                <w:rFonts w:hint="eastAsia" w:cs="宋体"/>
                <w:color w:val="auto"/>
                <w:highlight w:val="none"/>
              </w:rPr>
            </w:pPr>
          </w:p>
        </w:tc>
        <w:tc>
          <w:tcPr>
            <w:tcW w:w="1091" w:type="pct"/>
          </w:tcPr>
          <w:p w14:paraId="7A71596F">
            <w:pPr>
              <w:pStyle w:val="23"/>
              <w:rPr>
                <w:rFonts w:hint="eastAsia" w:cs="宋体"/>
                <w:color w:val="auto"/>
                <w:highlight w:val="none"/>
              </w:rPr>
            </w:pPr>
          </w:p>
        </w:tc>
        <w:tc>
          <w:tcPr>
            <w:tcW w:w="1194" w:type="pct"/>
          </w:tcPr>
          <w:p w14:paraId="7053C9B9">
            <w:pPr>
              <w:pStyle w:val="23"/>
              <w:rPr>
                <w:rFonts w:hint="eastAsia" w:cs="宋体"/>
                <w:color w:val="auto"/>
                <w:highlight w:val="none"/>
              </w:rPr>
            </w:pPr>
          </w:p>
        </w:tc>
        <w:tc>
          <w:tcPr>
            <w:tcW w:w="561" w:type="pct"/>
          </w:tcPr>
          <w:p w14:paraId="7644C9DC">
            <w:pPr>
              <w:pStyle w:val="23"/>
              <w:rPr>
                <w:rFonts w:hint="eastAsia" w:cs="宋体"/>
                <w:color w:val="auto"/>
                <w:highlight w:val="none"/>
              </w:rPr>
            </w:pPr>
          </w:p>
        </w:tc>
        <w:tc>
          <w:tcPr>
            <w:tcW w:w="1032" w:type="pct"/>
          </w:tcPr>
          <w:p w14:paraId="38BCC9C0">
            <w:pPr>
              <w:pStyle w:val="23"/>
              <w:rPr>
                <w:rFonts w:hint="eastAsia" w:cs="宋体"/>
                <w:color w:val="auto"/>
                <w:highlight w:val="none"/>
              </w:rPr>
            </w:pPr>
          </w:p>
        </w:tc>
      </w:tr>
      <w:tr w14:paraId="7703C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3A49377A">
            <w:pPr>
              <w:pStyle w:val="23"/>
              <w:rPr>
                <w:rFonts w:hint="eastAsia" w:cs="宋体"/>
                <w:color w:val="auto"/>
                <w:highlight w:val="none"/>
              </w:rPr>
            </w:pPr>
          </w:p>
        </w:tc>
        <w:tc>
          <w:tcPr>
            <w:tcW w:w="728" w:type="pct"/>
          </w:tcPr>
          <w:p w14:paraId="1EF3BB4A">
            <w:pPr>
              <w:pStyle w:val="23"/>
              <w:rPr>
                <w:rFonts w:hint="eastAsia" w:cs="宋体"/>
                <w:color w:val="auto"/>
                <w:highlight w:val="none"/>
              </w:rPr>
            </w:pPr>
          </w:p>
        </w:tc>
        <w:tc>
          <w:tcPr>
            <w:tcW w:w="1091" w:type="pct"/>
          </w:tcPr>
          <w:p w14:paraId="4F896A8F">
            <w:pPr>
              <w:pStyle w:val="23"/>
              <w:rPr>
                <w:rFonts w:hint="eastAsia" w:cs="宋体"/>
                <w:color w:val="auto"/>
                <w:highlight w:val="none"/>
              </w:rPr>
            </w:pPr>
          </w:p>
        </w:tc>
        <w:tc>
          <w:tcPr>
            <w:tcW w:w="1194" w:type="pct"/>
          </w:tcPr>
          <w:p w14:paraId="2C6A447B">
            <w:pPr>
              <w:pStyle w:val="23"/>
              <w:rPr>
                <w:rFonts w:hint="eastAsia" w:cs="宋体"/>
                <w:color w:val="auto"/>
                <w:highlight w:val="none"/>
              </w:rPr>
            </w:pPr>
          </w:p>
        </w:tc>
        <w:tc>
          <w:tcPr>
            <w:tcW w:w="561" w:type="pct"/>
          </w:tcPr>
          <w:p w14:paraId="6DAE729D">
            <w:pPr>
              <w:pStyle w:val="23"/>
              <w:rPr>
                <w:rFonts w:hint="eastAsia" w:cs="宋体"/>
                <w:color w:val="auto"/>
                <w:highlight w:val="none"/>
              </w:rPr>
            </w:pPr>
          </w:p>
        </w:tc>
        <w:tc>
          <w:tcPr>
            <w:tcW w:w="1032" w:type="pct"/>
          </w:tcPr>
          <w:p w14:paraId="0A55D590">
            <w:pPr>
              <w:pStyle w:val="23"/>
              <w:rPr>
                <w:rFonts w:hint="eastAsia" w:cs="宋体"/>
                <w:color w:val="auto"/>
                <w:highlight w:val="none"/>
              </w:rPr>
            </w:pPr>
          </w:p>
        </w:tc>
      </w:tr>
      <w:tr w14:paraId="105505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4CEA28C6">
            <w:pPr>
              <w:pStyle w:val="23"/>
              <w:rPr>
                <w:rFonts w:hint="eastAsia" w:cs="宋体"/>
                <w:color w:val="auto"/>
                <w:highlight w:val="none"/>
              </w:rPr>
            </w:pPr>
          </w:p>
        </w:tc>
        <w:tc>
          <w:tcPr>
            <w:tcW w:w="728" w:type="pct"/>
          </w:tcPr>
          <w:p w14:paraId="278E699F">
            <w:pPr>
              <w:pStyle w:val="23"/>
              <w:rPr>
                <w:rFonts w:hint="eastAsia" w:cs="宋体"/>
                <w:color w:val="auto"/>
                <w:highlight w:val="none"/>
              </w:rPr>
            </w:pPr>
          </w:p>
        </w:tc>
        <w:tc>
          <w:tcPr>
            <w:tcW w:w="1091" w:type="pct"/>
          </w:tcPr>
          <w:p w14:paraId="79E861E5">
            <w:pPr>
              <w:pStyle w:val="23"/>
              <w:rPr>
                <w:rFonts w:hint="eastAsia" w:cs="宋体"/>
                <w:color w:val="auto"/>
                <w:highlight w:val="none"/>
              </w:rPr>
            </w:pPr>
          </w:p>
        </w:tc>
        <w:tc>
          <w:tcPr>
            <w:tcW w:w="1194" w:type="pct"/>
          </w:tcPr>
          <w:p w14:paraId="6B56C88C">
            <w:pPr>
              <w:pStyle w:val="23"/>
              <w:rPr>
                <w:rFonts w:hint="eastAsia" w:cs="宋体"/>
                <w:color w:val="auto"/>
                <w:highlight w:val="none"/>
              </w:rPr>
            </w:pPr>
          </w:p>
        </w:tc>
        <w:tc>
          <w:tcPr>
            <w:tcW w:w="561" w:type="pct"/>
          </w:tcPr>
          <w:p w14:paraId="211B8847">
            <w:pPr>
              <w:pStyle w:val="23"/>
              <w:rPr>
                <w:rFonts w:hint="eastAsia" w:cs="宋体"/>
                <w:color w:val="auto"/>
                <w:highlight w:val="none"/>
              </w:rPr>
            </w:pPr>
          </w:p>
        </w:tc>
        <w:tc>
          <w:tcPr>
            <w:tcW w:w="1032" w:type="pct"/>
          </w:tcPr>
          <w:p w14:paraId="6A322059">
            <w:pPr>
              <w:pStyle w:val="23"/>
              <w:rPr>
                <w:rFonts w:hint="eastAsia" w:cs="宋体"/>
                <w:color w:val="auto"/>
                <w:highlight w:val="none"/>
              </w:rPr>
            </w:pPr>
          </w:p>
        </w:tc>
      </w:tr>
      <w:tr w14:paraId="5C8EE7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2B1BE276">
            <w:pPr>
              <w:pStyle w:val="23"/>
              <w:rPr>
                <w:rFonts w:hint="eastAsia" w:cs="宋体"/>
                <w:color w:val="auto"/>
                <w:highlight w:val="none"/>
              </w:rPr>
            </w:pPr>
          </w:p>
        </w:tc>
        <w:tc>
          <w:tcPr>
            <w:tcW w:w="728" w:type="pct"/>
          </w:tcPr>
          <w:p w14:paraId="792A8FF9">
            <w:pPr>
              <w:pStyle w:val="23"/>
              <w:rPr>
                <w:rFonts w:hint="eastAsia" w:cs="宋体"/>
                <w:color w:val="auto"/>
                <w:highlight w:val="none"/>
              </w:rPr>
            </w:pPr>
          </w:p>
        </w:tc>
        <w:tc>
          <w:tcPr>
            <w:tcW w:w="1091" w:type="pct"/>
          </w:tcPr>
          <w:p w14:paraId="034E1B5B">
            <w:pPr>
              <w:pStyle w:val="23"/>
              <w:rPr>
                <w:rFonts w:hint="eastAsia" w:cs="宋体"/>
                <w:color w:val="auto"/>
                <w:highlight w:val="none"/>
              </w:rPr>
            </w:pPr>
          </w:p>
        </w:tc>
        <w:tc>
          <w:tcPr>
            <w:tcW w:w="1194" w:type="pct"/>
          </w:tcPr>
          <w:p w14:paraId="278DC4F7">
            <w:pPr>
              <w:pStyle w:val="23"/>
              <w:rPr>
                <w:rFonts w:hint="eastAsia" w:cs="宋体"/>
                <w:color w:val="auto"/>
                <w:highlight w:val="none"/>
              </w:rPr>
            </w:pPr>
          </w:p>
        </w:tc>
        <w:tc>
          <w:tcPr>
            <w:tcW w:w="561" w:type="pct"/>
          </w:tcPr>
          <w:p w14:paraId="59E1E606">
            <w:pPr>
              <w:pStyle w:val="23"/>
              <w:rPr>
                <w:rFonts w:hint="eastAsia" w:cs="宋体"/>
                <w:color w:val="auto"/>
                <w:highlight w:val="none"/>
              </w:rPr>
            </w:pPr>
          </w:p>
        </w:tc>
        <w:tc>
          <w:tcPr>
            <w:tcW w:w="1032" w:type="pct"/>
          </w:tcPr>
          <w:p w14:paraId="3BB1494D">
            <w:pPr>
              <w:pStyle w:val="23"/>
              <w:rPr>
                <w:rFonts w:hint="eastAsia" w:cs="宋体"/>
                <w:color w:val="auto"/>
                <w:highlight w:val="none"/>
              </w:rPr>
            </w:pPr>
          </w:p>
        </w:tc>
      </w:tr>
      <w:tr w14:paraId="2A6D2F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23E4690">
            <w:pPr>
              <w:pStyle w:val="23"/>
              <w:rPr>
                <w:rFonts w:hint="eastAsia" w:cs="宋体"/>
                <w:color w:val="auto"/>
                <w:highlight w:val="none"/>
              </w:rPr>
            </w:pPr>
          </w:p>
        </w:tc>
        <w:tc>
          <w:tcPr>
            <w:tcW w:w="728" w:type="pct"/>
          </w:tcPr>
          <w:p w14:paraId="78421917">
            <w:pPr>
              <w:pStyle w:val="23"/>
              <w:rPr>
                <w:rFonts w:hint="eastAsia" w:cs="宋体"/>
                <w:color w:val="auto"/>
                <w:highlight w:val="none"/>
              </w:rPr>
            </w:pPr>
          </w:p>
        </w:tc>
        <w:tc>
          <w:tcPr>
            <w:tcW w:w="1091" w:type="pct"/>
          </w:tcPr>
          <w:p w14:paraId="762361BE">
            <w:pPr>
              <w:pStyle w:val="23"/>
              <w:rPr>
                <w:rFonts w:hint="eastAsia" w:cs="宋体"/>
                <w:color w:val="auto"/>
                <w:highlight w:val="none"/>
              </w:rPr>
            </w:pPr>
          </w:p>
        </w:tc>
        <w:tc>
          <w:tcPr>
            <w:tcW w:w="1194" w:type="pct"/>
          </w:tcPr>
          <w:p w14:paraId="25390624">
            <w:pPr>
              <w:pStyle w:val="23"/>
              <w:rPr>
                <w:rFonts w:hint="eastAsia" w:cs="宋体"/>
                <w:color w:val="auto"/>
                <w:highlight w:val="none"/>
              </w:rPr>
            </w:pPr>
          </w:p>
        </w:tc>
        <w:tc>
          <w:tcPr>
            <w:tcW w:w="561" w:type="pct"/>
          </w:tcPr>
          <w:p w14:paraId="33594182">
            <w:pPr>
              <w:pStyle w:val="23"/>
              <w:rPr>
                <w:rFonts w:hint="eastAsia" w:cs="宋体"/>
                <w:color w:val="auto"/>
                <w:highlight w:val="none"/>
              </w:rPr>
            </w:pPr>
          </w:p>
        </w:tc>
        <w:tc>
          <w:tcPr>
            <w:tcW w:w="1032" w:type="pct"/>
          </w:tcPr>
          <w:p w14:paraId="0F7AA1E3">
            <w:pPr>
              <w:pStyle w:val="23"/>
              <w:rPr>
                <w:rFonts w:hint="eastAsia" w:cs="宋体"/>
                <w:color w:val="auto"/>
                <w:highlight w:val="none"/>
              </w:rPr>
            </w:pPr>
          </w:p>
        </w:tc>
      </w:tr>
      <w:tr w14:paraId="74700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7438855">
            <w:pPr>
              <w:pStyle w:val="23"/>
              <w:rPr>
                <w:rFonts w:hint="eastAsia" w:cs="宋体"/>
                <w:color w:val="auto"/>
                <w:highlight w:val="none"/>
              </w:rPr>
            </w:pPr>
          </w:p>
        </w:tc>
        <w:tc>
          <w:tcPr>
            <w:tcW w:w="728" w:type="pct"/>
          </w:tcPr>
          <w:p w14:paraId="18AFB378">
            <w:pPr>
              <w:pStyle w:val="23"/>
              <w:rPr>
                <w:rFonts w:hint="eastAsia" w:cs="宋体"/>
                <w:color w:val="auto"/>
                <w:highlight w:val="none"/>
              </w:rPr>
            </w:pPr>
          </w:p>
        </w:tc>
        <w:tc>
          <w:tcPr>
            <w:tcW w:w="1091" w:type="pct"/>
          </w:tcPr>
          <w:p w14:paraId="51103E8C">
            <w:pPr>
              <w:pStyle w:val="23"/>
              <w:rPr>
                <w:rFonts w:hint="eastAsia" w:cs="宋体"/>
                <w:color w:val="auto"/>
                <w:highlight w:val="none"/>
              </w:rPr>
            </w:pPr>
          </w:p>
        </w:tc>
        <w:tc>
          <w:tcPr>
            <w:tcW w:w="1194" w:type="pct"/>
          </w:tcPr>
          <w:p w14:paraId="726C5247">
            <w:pPr>
              <w:pStyle w:val="23"/>
              <w:rPr>
                <w:rFonts w:hint="eastAsia" w:cs="宋体"/>
                <w:color w:val="auto"/>
                <w:highlight w:val="none"/>
              </w:rPr>
            </w:pPr>
          </w:p>
        </w:tc>
        <w:tc>
          <w:tcPr>
            <w:tcW w:w="561" w:type="pct"/>
          </w:tcPr>
          <w:p w14:paraId="3C005D5A">
            <w:pPr>
              <w:pStyle w:val="23"/>
              <w:rPr>
                <w:rFonts w:hint="eastAsia" w:cs="宋体"/>
                <w:color w:val="auto"/>
                <w:highlight w:val="none"/>
              </w:rPr>
            </w:pPr>
          </w:p>
        </w:tc>
        <w:tc>
          <w:tcPr>
            <w:tcW w:w="1032" w:type="pct"/>
          </w:tcPr>
          <w:p w14:paraId="053F1B72">
            <w:pPr>
              <w:pStyle w:val="23"/>
              <w:rPr>
                <w:rFonts w:hint="eastAsia" w:cs="宋体"/>
                <w:color w:val="auto"/>
                <w:highlight w:val="none"/>
              </w:rPr>
            </w:pPr>
          </w:p>
        </w:tc>
      </w:tr>
      <w:tr w14:paraId="68527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394" w:type="pct"/>
          </w:tcPr>
          <w:p w14:paraId="59113E41">
            <w:pPr>
              <w:pStyle w:val="23"/>
              <w:rPr>
                <w:rFonts w:hint="eastAsia" w:cs="宋体"/>
                <w:color w:val="auto"/>
                <w:highlight w:val="none"/>
              </w:rPr>
            </w:pPr>
          </w:p>
        </w:tc>
        <w:tc>
          <w:tcPr>
            <w:tcW w:w="728" w:type="pct"/>
          </w:tcPr>
          <w:p w14:paraId="39E3191A">
            <w:pPr>
              <w:pStyle w:val="23"/>
              <w:rPr>
                <w:rFonts w:hint="eastAsia" w:cs="宋体"/>
                <w:color w:val="auto"/>
                <w:highlight w:val="none"/>
              </w:rPr>
            </w:pPr>
          </w:p>
        </w:tc>
        <w:tc>
          <w:tcPr>
            <w:tcW w:w="1091" w:type="pct"/>
          </w:tcPr>
          <w:p w14:paraId="38C09515">
            <w:pPr>
              <w:pStyle w:val="23"/>
              <w:rPr>
                <w:rFonts w:hint="eastAsia" w:cs="宋体"/>
                <w:color w:val="auto"/>
                <w:highlight w:val="none"/>
              </w:rPr>
            </w:pPr>
          </w:p>
        </w:tc>
        <w:tc>
          <w:tcPr>
            <w:tcW w:w="1194" w:type="pct"/>
          </w:tcPr>
          <w:p w14:paraId="5D21135A">
            <w:pPr>
              <w:pStyle w:val="23"/>
              <w:rPr>
                <w:rFonts w:hint="eastAsia" w:cs="宋体"/>
                <w:color w:val="auto"/>
                <w:highlight w:val="none"/>
              </w:rPr>
            </w:pPr>
          </w:p>
        </w:tc>
        <w:tc>
          <w:tcPr>
            <w:tcW w:w="561" w:type="pct"/>
          </w:tcPr>
          <w:p w14:paraId="66514619">
            <w:pPr>
              <w:pStyle w:val="23"/>
              <w:rPr>
                <w:rFonts w:hint="eastAsia" w:cs="宋体"/>
                <w:color w:val="auto"/>
                <w:highlight w:val="none"/>
              </w:rPr>
            </w:pPr>
          </w:p>
        </w:tc>
        <w:tc>
          <w:tcPr>
            <w:tcW w:w="1032" w:type="pct"/>
          </w:tcPr>
          <w:p w14:paraId="6EF92DE1">
            <w:pPr>
              <w:pStyle w:val="23"/>
              <w:rPr>
                <w:rFonts w:hint="eastAsia" w:cs="宋体"/>
                <w:color w:val="auto"/>
                <w:highlight w:val="none"/>
              </w:rPr>
            </w:pPr>
          </w:p>
        </w:tc>
      </w:tr>
      <w:tr w14:paraId="4C2CE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6CE064E4">
            <w:pPr>
              <w:pStyle w:val="23"/>
              <w:rPr>
                <w:rFonts w:hint="eastAsia" w:cs="宋体"/>
                <w:color w:val="auto"/>
                <w:highlight w:val="none"/>
              </w:rPr>
            </w:pPr>
          </w:p>
        </w:tc>
        <w:tc>
          <w:tcPr>
            <w:tcW w:w="728" w:type="pct"/>
          </w:tcPr>
          <w:p w14:paraId="6DE71899">
            <w:pPr>
              <w:pStyle w:val="23"/>
              <w:rPr>
                <w:rFonts w:hint="eastAsia" w:cs="宋体"/>
                <w:color w:val="auto"/>
                <w:highlight w:val="none"/>
              </w:rPr>
            </w:pPr>
          </w:p>
        </w:tc>
        <w:tc>
          <w:tcPr>
            <w:tcW w:w="1091" w:type="pct"/>
          </w:tcPr>
          <w:p w14:paraId="00A8A3FD">
            <w:pPr>
              <w:pStyle w:val="23"/>
              <w:rPr>
                <w:rFonts w:hint="eastAsia" w:cs="宋体"/>
                <w:color w:val="auto"/>
                <w:highlight w:val="none"/>
              </w:rPr>
            </w:pPr>
          </w:p>
        </w:tc>
        <w:tc>
          <w:tcPr>
            <w:tcW w:w="1194" w:type="pct"/>
          </w:tcPr>
          <w:p w14:paraId="26A59F23">
            <w:pPr>
              <w:pStyle w:val="23"/>
              <w:rPr>
                <w:rFonts w:hint="eastAsia" w:cs="宋体"/>
                <w:color w:val="auto"/>
                <w:highlight w:val="none"/>
              </w:rPr>
            </w:pPr>
          </w:p>
        </w:tc>
        <w:tc>
          <w:tcPr>
            <w:tcW w:w="561" w:type="pct"/>
          </w:tcPr>
          <w:p w14:paraId="28E65565">
            <w:pPr>
              <w:pStyle w:val="23"/>
              <w:rPr>
                <w:rFonts w:hint="eastAsia" w:cs="宋体"/>
                <w:color w:val="auto"/>
                <w:highlight w:val="none"/>
              </w:rPr>
            </w:pPr>
          </w:p>
        </w:tc>
        <w:tc>
          <w:tcPr>
            <w:tcW w:w="1032" w:type="pct"/>
          </w:tcPr>
          <w:p w14:paraId="75800DC4">
            <w:pPr>
              <w:pStyle w:val="23"/>
              <w:rPr>
                <w:rFonts w:hint="eastAsia" w:cs="宋体"/>
                <w:color w:val="auto"/>
                <w:highlight w:val="none"/>
              </w:rPr>
            </w:pPr>
          </w:p>
        </w:tc>
      </w:tr>
      <w:tr w14:paraId="4542D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37A94645">
            <w:pPr>
              <w:pStyle w:val="23"/>
              <w:rPr>
                <w:rFonts w:hint="eastAsia" w:cs="宋体"/>
                <w:color w:val="auto"/>
                <w:highlight w:val="none"/>
              </w:rPr>
            </w:pPr>
          </w:p>
        </w:tc>
        <w:tc>
          <w:tcPr>
            <w:tcW w:w="728" w:type="pct"/>
          </w:tcPr>
          <w:p w14:paraId="4FE48252">
            <w:pPr>
              <w:pStyle w:val="23"/>
              <w:rPr>
                <w:rFonts w:hint="eastAsia" w:cs="宋体"/>
                <w:color w:val="auto"/>
                <w:highlight w:val="none"/>
              </w:rPr>
            </w:pPr>
          </w:p>
        </w:tc>
        <w:tc>
          <w:tcPr>
            <w:tcW w:w="1091" w:type="pct"/>
          </w:tcPr>
          <w:p w14:paraId="0E51BFB5">
            <w:pPr>
              <w:pStyle w:val="23"/>
              <w:rPr>
                <w:rFonts w:hint="eastAsia" w:cs="宋体"/>
                <w:color w:val="auto"/>
                <w:highlight w:val="none"/>
              </w:rPr>
            </w:pPr>
          </w:p>
        </w:tc>
        <w:tc>
          <w:tcPr>
            <w:tcW w:w="1194" w:type="pct"/>
          </w:tcPr>
          <w:p w14:paraId="06D6FB2E">
            <w:pPr>
              <w:pStyle w:val="23"/>
              <w:rPr>
                <w:rFonts w:hint="eastAsia" w:cs="宋体"/>
                <w:color w:val="auto"/>
                <w:highlight w:val="none"/>
              </w:rPr>
            </w:pPr>
          </w:p>
        </w:tc>
        <w:tc>
          <w:tcPr>
            <w:tcW w:w="561" w:type="pct"/>
          </w:tcPr>
          <w:p w14:paraId="26169C14">
            <w:pPr>
              <w:pStyle w:val="23"/>
              <w:rPr>
                <w:rFonts w:hint="eastAsia" w:cs="宋体"/>
                <w:color w:val="auto"/>
                <w:highlight w:val="none"/>
              </w:rPr>
            </w:pPr>
          </w:p>
        </w:tc>
        <w:tc>
          <w:tcPr>
            <w:tcW w:w="1032" w:type="pct"/>
          </w:tcPr>
          <w:p w14:paraId="2339E5AA">
            <w:pPr>
              <w:pStyle w:val="23"/>
              <w:rPr>
                <w:rFonts w:hint="eastAsia" w:cs="宋体"/>
                <w:color w:val="auto"/>
                <w:highlight w:val="none"/>
              </w:rPr>
            </w:pPr>
          </w:p>
        </w:tc>
      </w:tr>
    </w:tbl>
    <w:p w14:paraId="1D19B130">
      <w:pPr>
        <w:pStyle w:val="23"/>
        <w:rPr>
          <w:rFonts w:hint="eastAsia" w:cs="宋体"/>
          <w:color w:val="auto"/>
          <w:highlight w:val="none"/>
        </w:rPr>
      </w:pPr>
      <w:r>
        <w:rPr>
          <w:rFonts w:hint="eastAsia" w:cs="宋体"/>
          <w:color w:val="auto"/>
          <w:highlight w:val="none"/>
        </w:rPr>
        <w:t xml:space="preserve">注：1、“偏离”系指“正偏离”、“负偏离”或“无偏离”。 </w:t>
      </w:r>
    </w:p>
    <w:p w14:paraId="02ED8AF3">
      <w:pPr>
        <w:ind w:firstLine="420" w:firstLineChars="200"/>
        <w:rPr>
          <w:rFonts w:hint="eastAsia" w:cs="宋体"/>
          <w:bCs/>
          <w:color w:val="auto"/>
          <w:highlight w:val="none"/>
        </w:rPr>
      </w:pPr>
      <w:r>
        <w:rPr>
          <w:rFonts w:hint="eastAsia" w:cs="宋体"/>
          <w:b/>
          <w:color w:val="auto"/>
          <w:szCs w:val="21"/>
          <w:highlight w:val="none"/>
        </w:rPr>
        <w:t>2、如无偏差，投标人不需要填表，但应声明：</w:t>
      </w:r>
      <w:r>
        <w:rPr>
          <w:rFonts w:hint="eastAsia" w:cs="宋体"/>
          <w:bCs/>
          <w:color w:val="auto"/>
          <w:szCs w:val="21"/>
          <w:highlight w:val="none"/>
        </w:rPr>
        <w:t>“</w:t>
      </w:r>
      <w:r>
        <w:rPr>
          <w:rFonts w:hint="eastAsia" w:cs="宋体"/>
          <w:b/>
          <w:color w:val="auto"/>
          <w:szCs w:val="21"/>
          <w:highlight w:val="none"/>
        </w:rPr>
        <w:t>本投标文件完全响应招标文件所有商务条款的要求，无偏离。</w:t>
      </w:r>
      <w:r>
        <w:rPr>
          <w:rFonts w:hint="eastAsia" w:cs="宋体"/>
          <w:bCs/>
          <w:color w:val="auto"/>
          <w:sz w:val="24"/>
          <w:highlight w:val="none"/>
        </w:rPr>
        <w:t>”</w:t>
      </w:r>
    </w:p>
    <w:tbl>
      <w:tblPr>
        <w:tblStyle w:val="44"/>
        <w:tblW w:w="5534" w:type="dxa"/>
        <w:tblInd w:w="4294" w:type="dxa"/>
        <w:tblLayout w:type="fixed"/>
        <w:tblCellMar>
          <w:top w:w="0" w:type="dxa"/>
          <w:left w:w="108" w:type="dxa"/>
          <w:bottom w:w="0" w:type="dxa"/>
          <w:right w:w="108" w:type="dxa"/>
        </w:tblCellMar>
      </w:tblPr>
      <w:tblGrid>
        <w:gridCol w:w="5534"/>
      </w:tblGrid>
      <w:tr w14:paraId="7E7CE2D3">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35E69F51">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3F26F62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0ED6850C">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2E0A633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088C2736">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65F0B263">
      <w:pPr>
        <w:rPr>
          <w:rFonts w:hint="eastAsia" w:cs="宋体"/>
          <w:b/>
          <w:color w:val="auto"/>
          <w:sz w:val="28"/>
          <w:szCs w:val="28"/>
          <w:highlight w:val="none"/>
        </w:rPr>
      </w:pPr>
      <w:r>
        <w:rPr>
          <w:rFonts w:hint="eastAsia" w:cs="宋体"/>
          <w:b/>
          <w:color w:val="auto"/>
          <w:sz w:val="28"/>
          <w:szCs w:val="28"/>
          <w:highlight w:val="none"/>
        </w:rPr>
        <w:br w:type="page"/>
      </w:r>
    </w:p>
    <w:p w14:paraId="08219D7C">
      <w:pPr>
        <w:jc w:val="center"/>
        <w:outlineLvl w:val="2"/>
        <w:rPr>
          <w:rFonts w:hint="eastAsia"/>
          <w:b/>
          <w:bCs/>
          <w:color w:val="auto"/>
          <w:sz w:val="28"/>
          <w:szCs w:val="36"/>
          <w:highlight w:val="none"/>
        </w:rPr>
      </w:pPr>
      <w:bookmarkStart w:id="229" w:name="_Toc17280226"/>
      <w:bookmarkStart w:id="230" w:name="_Toc19596"/>
      <w:bookmarkStart w:id="231" w:name="_Toc166067785"/>
      <w:bookmarkStart w:id="232" w:name="_Toc125904355"/>
      <w:bookmarkStart w:id="233" w:name="_Toc21799"/>
      <w:bookmarkStart w:id="234" w:name="_Toc80973394"/>
      <w:bookmarkStart w:id="235" w:name="_Toc54716798"/>
      <w:bookmarkStart w:id="236" w:name="_Toc23210"/>
      <w:bookmarkStart w:id="237" w:name="_Toc125986490"/>
      <w:bookmarkStart w:id="238" w:name="_Toc139357082"/>
      <w:bookmarkStart w:id="239" w:name="_Toc48831820"/>
      <w:bookmarkStart w:id="240" w:name="_Toc522782869"/>
      <w:r>
        <w:rPr>
          <w:rFonts w:hint="eastAsia" w:cs="宋体"/>
          <w:b/>
          <w:color w:val="auto"/>
          <w:sz w:val="28"/>
          <w:szCs w:val="28"/>
          <w:highlight w:val="none"/>
        </w:rPr>
        <w:t>（</w:t>
      </w:r>
      <w:r>
        <w:rPr>
          <w:rFonts w:hint="eastAsia" w:cs="宋体"/>
          <w:b/>
          <w:color w:val="auto"/>
          <w:sz w:val="28"/>
          <w:szCs w:val="28"/>
          <w:highlight w:val="none"/>
          <w:lang w:val="en-US" w:eastAsia="zh-CN"/>
        </w:rPr>
        <w:t>四</w:t>
      </w:r>
      <w:r>
        <w:rPr>
          <w:rFonts w:hint="eastAsia" w:cs="宋体"/>
          <w:b/>
          <w:color w:val="auto"/>
          <w:sz w:val="28"/>
          <w:szCs w:val="28"/>
          <w:highlight w:val="none"/>
        </w:rPr>
        <w:t>）</w:t>
      </w:r>
      <w:r>
        <w:rPr>
          <w:rFonts w:hint="eastAsia"/>
          <w:b/>
          <w:bCs/>
          <w:color w:val="auto"/>
          <w:sz w:val="28"/>
          <w:szCs w:val="36"/>
          <w:highlight w:val="none"/>
        </w:rPr>
        <w:t>投标人在投标文件中未提供虚假材料的承诺</w:t>
      </w:r>
      <w:bookmarkEnd w:id="229"/>
      <w:bookmarkEnd w:id="230"/>
      <w:bookmarkEnd w:id="231"/>
      <w:bookmarkEnd w:id="232"/>
      <w:bookmarkEnd w:id="233"/>
      <w:bookmarkEnd w:id="234"/>
      <w:bookmarkEnd w:id="235"/>
      <w:bookmarkEnd w:id="236"/>
      <w:bookmarkEnd w:id="237"/>
      <w:bookmarkEnd w:id="238"/>
      <w:bookmarkEnd w:id="239"/>
    </w:p>
    <w:p w14:paraId="24D93B60">
      <w:pPr>
        <w:rPr>
          <w:rFonts w:hint="eastAsia" w:cs="宋体"/>
          <w:color w:val="auto"/>
          <w:szCs w:val="21"/>
          <w:highlight w:val="none"/>
        </w:rPr>
      </w:pPr>
      <w:r>
        <w:rPr>
          <w:rFonts w:hint="eastAsia" w:cs="宋体"/>
          <w:color w:val="auto"/>
          <w:szCs w:val="21"/>
          <w:highlight w:val="none"/>
        </w:rPr>
        <w:t>致：</w:t>
      </w:r>
      <w:r>
        <w:rPr>
          <w:rFonts w:hint="eastAsia" w:cs="宋体"/>
          <w:color w:val="auto"/>
          <w:szCs w:val="21"/>
          <w:highlight w:val="none"/>
          <w:u w:val="single"/>
        </w:rPr>
        <w:t>（采购人名称）</w:t>
      </w:r>
    </w:p>
    <w:p w14:paraId="06B62487">
      <w:pPr>
        <w:ind w:firstLine="420" w:firstLineChars="200"/>
        <w:rPr>
          <w:rFonts w:hint="eastAsia" w:cs="宋体"/>
          <w:color w:val="auto"/>
          <w:szCs w:val="21"/>
          <w:highlight w:val="none"/>
        </w:rPr>
      </w:pPr>
      <w:r>
        <w:rPr>
          <w:rFonts w:hint="eastAsia" w:cs="宋体"/>
          <w:color w:val="auto"/>
          <w:szCs w:val="21"/>
          <w:highlight w:val="none"/>
          <w:u w:val="single"/>
        </w:rPr>
        <w:t xml:space="preserve">   （投标人名称）   </w:t>
      </w:r>
      <w:r>
        <w:rPr>
          <w:rFonts w:hint="eastAsia" w:cs="宋体"/>
          <w:color w:val="auto"/>
          <w:szCs w:val="21"/>
          <w:highlight w:val="none"/>
        </w:rPr>
        <w:t>现对我公司参与的</w:t>
      </w:r>
      <w:r>
        <w:rPr>
          <w:rFonts w:hint="eastAsia" w:cs="宋体"/>
          <w:b/>
          <w:color w:val="auto"/>
          <w:szCs w:val="21"/>
          <w:highlight w:val="none"/>
          <w:u w:val="single"/>
        </w:rPr>
        <w:t xml:space="preserve">            </w:t>
      </w:r>
      <w:r>
        <w:rPr>
          <w:rFonts w:hint="eastAsia" w:cs="宋体"/>
          <w:color w:val="auto"/>
          <w:szCs w:val="21"/>
          <w:highlight w:val="none"/>
          <w:u w:val="single"/>
        </w:rPr>
        <w:t>（项目名称）</w:t>
      </w:r>
      <w:r>
        <w:rPr>
          <w:rFonts w:hint="eastAsia" w:cs="宋体"/>
          <w:b/>
          <w:color w:val="auto"/>
          <w:szCs w:val="21"/>
          <w:highlight w:val="none"/>
          <w:u w:val="single"/>
        </w:rPr>
        <w:t xml:space="preserve">        </w:t>
      </w:r>
      <w:r>
        <w:rPr>
          <w:rFonts w:hint="eastAsia" w:cs="宋体"/>
          <w:color w:val="auto"/>
          <w:szCs w:val="21"/>
          <w:highlight w:val="none"/>
        </w:rPr>
        <w:t>（招标编号：</w:t>
      </w:r>
      <w:r>
        <w:rPr>
          <w:rFonts w:hint="eastAsia" w:cs="宋体"/>
          <w:b/>
          <w:color w:val="auto"/>
          <w:szCs w:val="21"/>
          <w:highlight w:val="none"/>
          <w:u w:val="single"/>
        </w:rPr>
        <w:t xml:space="preserve">          </w:t>
      </w:r>
      <w:r>
        <w:rPr>
          <w:rFonts w:hint="eastAsia" w:cs="宋体"/>
          <w:color w:val="auto"/>
          <w:szCs w:val="21"/>
          <w:highlight w:val="none"/>
        </w:rPr>
        <w:t xml:space="preserve"> ）投标中，所提供的所有投标文件材料的真实性郑重声明如下：</w:t>
      </w:r>
    </w:p>
    <w:p w14:paraId="68622866">
      <w:pPr>
        <w:ind w:firstLine="420" w:firstLineChars="200"/>
        <w:rPr>
          <w:rFonts w:hint="eastAsia" w:cs="宋体"/>
          <w:color w:val="auto"/>
          <w:szCs w:val="21"/>
          <w:highlight w:val="none"/>
        </w:rPr>
      </w:pPr>
      <w:r>
        <w:rPr>
          <w:rFonts w:hint="eastAsia" w:cs="宋体"/>
          <w:color w:val="auto"/>
          <w:szCs w:val="21"/>
          <w:highlight w:val="none"/>
        </w:rPr>
        <w:t>1、我公司参与本项目投标文件所提供的各项材料，包括但不限于企业基本信息材料、资质与资格材料、</w:t>
      </w:r>
      <w:r>
        <w:rPr>
          <w:rFonts w:hint="eastAsia" w:cs="宋体"/>
          <w:color w:val="auto"/>
          <w:highlight w:val="none"/>
        </w:rPr>
        <w:t>《中小企业声明函》（若有）、残疾人</w:t>
      </w:r>
      <w:r>
        <w:rPr>
          <w:rFonts w:hint="eastAsia" w:cs="宋体"/>
          <w:color w:val="auto"/>
          <w:szCs w:val="28"/>
          <w:highlight w:val="none"/>
        </w:rPr>
        <w:t>福利性单位声明函（若有）、</w:t>
      </w:r>
      <w:r>
        <w:rPr>
          <w:rFonts w:hint="eastAsia" w:cs="宋体"/>
          <w:color w:val="auto"/>
          <w:highlight w:val="none"/>
        </w:rPr>
        <w:t>监狱企业的证明文件（若有）、</w:t>
      </w:r>
      <w:r>
        <w:rPr>
          <w:rFonts w:hint="eastAsia" w:cs="宋体"/>
          <w:color w:val="auto"/>
          <w:szCs w:val="21"/>
          <w:highlight w:val="none"/>
        </w:rPr>
        <w:t>技术参数材料等均是真实的。</w:t>
      </w:r>
    </w:p>
    <w:p w14:paraId="3E8610B3">
      <w:pPr>
        <w:ind w:firstLine="420" w:firstLineChars="200"/>
        <w:rPr>
          <w:rFonts w:hint="eastAsia" w:cs="宋体"/>
          <w:color w:val="auto"/>
          <w:szCs w:val="21"/>
          <w:highlight w:val="none"/>
        </w:rPr>
      </w:pPr>
      <w:r>
        <w:rPr>
          <w:rFonts w:hint="eastAsia" w:cs="宋体"/>
          <w:color w:val="auto"/>
          <w:szCs w:val="21"/>
          <w:highlight w:val="none"/>
        </w:rPr>
        <w:t>2、我方投标文件中提供的相关材料满足采购人依照本投标文件有关规定进行核查的要求。若根据我方提供的材料无法进行核查或者核查结果证明我方提供的材料不实，我方愿意承担相应的后果。</w:t>
      </w:r>
    </w:p>
    <w:p w14:paraId="51CEB1C1">
      <w:pPr>
        <w:ind w:firstLine="480"/>
        <w:rPr>
          <w:rFonts w:hint="eastAsia" w:cs="宋体"/>
          <w:b/>
          <w:color w:val="auto"/>
          <w:szCs w:val="21"/>
          <w:highlight w:val="none"/>
        </w:rPr>
      </w:pPr>
      <w:r>
        <w:rPr>
          <w:rFonts w:hint="eastAsia" w:cs="宋体"/>
          <w:b/>
          <w:color w:val="auto"/>
          <w:szCs w:val="21"/>
          <w:highlight w:val="none"/>
        </w:rPr>
        <w:t>我方郑重承诺：如提供虚假、不真实资料，我方将接受相关处罚，并对因此而造成的损失承担法律责任。</w:t>
      </w:r>
    </w:p>
    <w:p w14:paraId="47482224">
      <w:pPr>
        <w:pStyle w:val="167"/>
        <w:ind w:firstLine="420"/>
        <w:rPr>
          <w:rFonts w:hint="eastAsia"/>
          <w:color w:val="auto"/>
          <w:highlight w:val="none"/>
          <w:lang w:eastAsia="zh-CN"/>
        </w:rPr>
      </w:pPr>
    </w:p>
    <w:tbl>
      <w:tblPr>
        <w:tblStyle w:val="44"/>
        <w:tblW w:w="5534" w:type="dxa"/>
        <w:tblInd w:w="4294" w:type="dxa"/>
        <w:tblLayout w:type="fixed"/>
        <w:tblCellMar>
          <w:top w:w="0" w:type="dxa"/>
          <w:left w:w="108" w:type="dxa"/>
          <w:bottom w:w="0" w:type="dxa"/>
          <w:right w:w="108" w:type="dxa"/>
        </w:tblCellMar>
      </w:tblPr>
      <w:tblGrid>
        <w:gridCol w:w="5534"/>
      </w:tblGrid>
      <w:tr w14:paraId="4D2475F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23ED9EFE">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32A231E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608664D">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643A2256">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BCCD7A5">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52D5CE71">
      <w:pPr>
        <w:pStyle w:val="19"/>
        <w:rPr>
          <w:rFonts w:hint="eastAsia"/>
          <w:color w:val="auto"/>
          <w:highlight w:val="none"/>
        </w:rPr>
      </w:pPr>
    </w:p>
    <w:p w14:paraId="7BA188DF">
      <w:pPr>
        <w:widowControl/>
        <w:spacing w:line="240" w:lineRule="auto"/>
        <w:jc w:val="left"/>
        <w:rPr>
          <w:rFonts w:hint="eastAsia"/>
          <w:b/>
          <w:color w:val="auto"/>
          <w:spacing w:val="6"/>
          <w:sz w:val="28"/>
          <w:szCs w:val="21"/>
          <w:highlight w:val="none"/>
        </w:rPr>
      </w:pPr>
      <w:r>
        <w:rPr>
          <w:b/>
          <w:color w:val="auto"/>
          <w:spacing w:val="6"/>
          <w:sz w:val="28"/>
          <w:szCs w:val="21"/>
          <w:highlight w:val="none"/>
        </w:rPr>
        <w:br w:type="page"/>
      </w:r>
    </w:p>
    <w:p w14:paraId="436EEF99">
      <w:pPr>
        <w:jc w:val="center"/>
        <w:outlineLvl w:val="2"/>
        <w:rPr>
          <w:rFonts w:hint="eastAsia" w:cs="宋体"/>
          <w:b/>
          <w:color w:val="auto"/>
          <w:sz w:val="28"/>
          <w:szCs w:val="28"/>
          <w:highlight w:val="none"/>
        </w:rPr>
      </w:pPr>
      <w:bookmarkStart w:id="241" w:name="_Toc24140"/>
      <w:bookmarkStart w:id="242" w:name="_Toc139357083"/>
      <w:bookmarkStart w:id="243" w:name="_Toc348010009"/>
      <w:bookmarkStart w:id="244" w:name="_Toc166067786"/>
      <w:bookmarkStart w:id="245" w:name="_Toc213141110"/>
      <w:r>
        <w:rPr>
          <w:rFonts w:hint="eastAsia" w:cs="宋体"/>
          <w:b/>
          <w:color w:val="auto"/>
          <w:sz w:val="28"/>
          <w:szCs w:val="28"/>
          <w:highlight w:val="none"/>
        </w:rPr>
        <w:t>（</w:t>
      </w:r>
      <w:r>
        <w:rPr>
          <w:rFonts w:hint="eastAsia" w:cs="宋体"/>
          <w:b/>
          <w:color w:val="auto"/>
          <w:sz w:val="28"/>
          <w:szCs w:val="28"/>
          <w:highlight w:val="none"/>
          <w:lang w:val="en-US" w:eastAsia="zh-CN"/>
        </w:rPr>
        <w:t>五</w:t>
      </w:r>
      <w:r>
        <w:rPr>
          <w:rFonts w:hint="eastAsia" w:cs="宋体"/>
          <w:b/>
          <w:color w:val="auto"/>
          <w:sz w:val="28"/>
          <w:szCs w:val="28"/>
          <w:highlight w:val="none"/>
        </w:rPr>
        <w:t>）</w:t>
      </w:r>
      <w:r>
        <w:rPr>
          <w:rFonts w:cs="宋体"/>
          <w:b/>
          <w:color w:val="auto"/>
          <w:sz w:val="28"/>
          <w:szCs w:val="28"/>
          <w:highlight w:val="none"/>
        </w:rPr>
        <w:t>制造商出具的授权函</w:t>
      </w:r>
      <w:bookmarkEnd w:id="241"/>
      <w:bookmarkEnd w:id="242"/>
      <w:bookmarkEnd w:id="243"/>
      <w:bookmarkEnd w:id="244"/>
      <w:bookmarkEnd w:id="245"/>
    </w:p>
    <w:p w14:paraId="5C1954AA">
      <w:pPr>
        <w:ind w:firstLine="420"/>
        <w:rPr>
          <w:rFonts w:hint="eastAsia"/>
          <w:color w:val="auto"/>
          <w:highlight w:val="none"/>
        </w:rPr>
      </w:pPr>
    </w:p>
    <w:p w14:paraId="33A4B944">
      <w:pPr>
        <w:ind w:firstLine="482"/>
        <w:jc w:val="center"/>
        <w:rPr>
          <w:rFonts w:hint="eastAsia"/>
          <w:b/>
          <w:color w:val="auto"/>
          <w:sz w:val="24"/>
          <w:highlight w:val="none"/>
        </w:rPr>
      </w:pPr>
      <w:r>
        <w:rPr>
          <w:b/>
          <w:color w:val="auto"/>
          <w:sz w:val="24"/>
          <w:highlight w:val="none"/>
        </w:rPr>
        <w:t>（授权函格式为参考格式，可由投标人自行拟定）（如有）</w:t>
      </w:r>
    </w:p>
    <w:p w14:paraId="27861E21">
      <w:pPr>
        <w:ind w:firstLine="640"/>
        <w:jc w:val="center"/>
        <w:rPr>
          <w:rFonts w:hint="eastAsia"/>
          <w:color w:val="auto"/>
          <w:sz w:val="32"/>
          <w:szCs w:val="32"/>
          <w:highlight w:val="none"/>
        </w:rPr>
      </w:pPr>
    </w:p>
    <w:p w14:paraId="25B991A1">
      <w:pPr>
        <w:ind w:firstLine="420"/>
        <w:rPr>
          <w:rFonts w:hint="eastAsia"/>
          <w:color w:val="auto"/>
          <w:szCs w:val="21"/>
          <w:highlight w:val="none"/>
        </w:rPr>
      </w:pPr>
      <w:r>
        <w:rPr>
          <w:color w:val="auto"/>
          <w:szCs w:val="21"/>
          <w:highlight w:val="none"/>
        </w:rPr>
        <w:t>我们</w:t>
      </w:r>
      <w:r>
        <w:rPr>
          <w:i/>
          <w:iCs/>
          <w:color w:val="auto"/>
          <w:szCs w:val="21"/>
          <w:highlight w:val="none"/>
          <w:u w:val="single"/>
        </w:rPr>
        <w:t>（制造商名称）</w:t>
      </w:r>
      <w:r>
        <w:rPr>
          <w:color w:val="auto"/>
          <w:szCs w:val="21"/>
          <w:highlight w:val="none"/>
        </w:rPr>
        <w:t>是按</w:t>
      </w:r>
      <w:r>
        <w:rPr>
          <w:i/>
          <w:iCs/>
          <w:color w:val="auto"/>
          <w:szCs w:val="21"/>
          <w:highlight w:val="none"/>
          <w:u w:val="single"/>
        </w:rPr>
        <w:t>（国家名称）</w:t>
      </w:r>
      <w:r>
        <w:rPr>
          <w:color w:val="auto"/>
          <w:szCs w:val="21"/>
          <w:highlight w:val="none"/>
        </w:rPr>
        <w:t>法律成立的一家制造商，主要营业地点设在</w:t>
      </w:r>
      <w:r>
        <w:rPr>
          <w:i/>
          <w:iCs/>
          <w:color w:val="auto"/>
          <w:szCs w:val="21"/>
          <w:highlight w:val="none"/>
          <w:u w:val="single"/>
        </w:rPr>
        <w:t>（制造商地址）</w:t>
      </w:r>
      <w:r>
        <w:rPr>
          <w:color w:val="auto"/>
          <w:szCs w:val="21"/>
          <w:highlight w:val="none"/>
        </w:rPr>
        <w:t>。兹指派按</w:t>
      </w:r>
      <w:r>
        <w:rPr>
          <w:iCs/>
          <w:color w:val="auto"/>
          <w:szCs w:val="21"/>
          <w:highlight w:val="none"/>
        </w:rPr>
        <w:t>中华人民共和国</w:t>
      </w:r>
      <w:r>
        <w:rPr>
          <w:color w:val="auto"/>
          <w:szCs w:val="21"/>
          <w:highlight w:val="none"/>
        </w:rPr>
        <w:t>的法律正式成立的，主要营业地点设在</w:t>
      </w:r>
      <w:r>
        <w:rPr>
          <w:i/>
          <w:iCs/>
          <w:color w:val="auto"/>
          <w:szCs w:val="21"/>
          <w:highlight w:val="none"/>
          <w:u w:val="single"/>
        </w:rPr>
        <w:t>（销售商或代理商地址）</w:t>
      </w:r>
      <w:r>
        <w:rPr>
          <w:color w:val="auto"/>
          <w:szCs w:val="21"/>
          <w:highlight w:val="none"/>
        </w:rPr>
        <w:t>的</w:t>
      </w:r>
      <w:r>
        <w:rPr>
          <w:i/>
          <w:iCs/>
          <w:color w:val="auto"/>
          <w:szCs w:val="21"/>
          <w:highlight w:val="none"/>
          <w:u w:val="single"/>
        </w:rPr>
        <w:t>（销售商或代理商名称）</w:t>
      </w:r>
      <w:r>
        <w:rPr>
          <w:color w:val="auto"/>
          <w:szCs w:val="21"/>
          <w:highlight w:val="none"/>
        </w:rPr>
        <w:t>作为我方真正的和合法的代理人进行下列有效的活动：</w:t>
      </w:r>
    </w:p>
    <w:p w14:paraId="116930EE">
      <w:pPr>
        <w:ind w:firstLine="420"/>
        <w:rPr>
          <w:rFonts w:hint="eastAsia"/>
          <w:color w:val="auto"/>
          <w:szCs w:val="21"/>
          <w:highlight w:val="none"/>
        </w:rPr>
      </w:pPr>
      <w:r>
        <w:rPr>
          <w:color w:val="auto"/>
          <w:szCs w:val="21"/>
          <w:highlight w:val="none"/>
        </w:rPr>
        <w:t>代表我方办理贵方</w:t>
      </w:r>
      <w:r>
        <w:rPr>
          <w:i/>
          <w:color w:val="auto"/>
          <w:szCs w:val="21"/>
          <w:highlight w:val="none"/>
          <w:u w:val="single"/>
        </w:rPr>
        <w:t>（项目名称）</w:t>
      </w:r>
      <w:r>
        <w:rPr>
          <w:color w:val="auto"/>
          <w:szCs w:val="21"/>
          <w:highlight w:val="none"/>
        </w:rPr>
        <w:t>招标项目要求提供的由我方制造的货物的有关事宜，并对我方具有约束力。</w:t>
      </w:r>
    </w:p>
    <w:p w14:paraId="42B43BBF">
      <w:pPr>
        <w:ind w:firstLine="420"/>
        <w:rPr>
          <w:rFonts w:hint="eastAsia"/>
          <w:color w:val="auto"/>
          <w:szCs w:val="21"/>
          <w:highlight w:val="none"/>
        </w:rPr>
      </w:pPr>
      <w:r>
        <w:rPr>
          <w:color w:val="auto"/>
          <w:szCs w:val="21"/>
          <w:highlight w:val="none"/>
        </w:rPr>
        <w:t>（1）作为制造商，我方保证以投标合作者来约束自己，并对该投标共同和分别承担招标文件中所规定的义务。</w:t>
      </w:r>
    </w:p>
    <w:p w14:paraId="2157AFC9">
      <w:pPr>
        <w:ind w:firstLine="420"/>
        <w:rPr>
          <w:rFonts w:hint="eastAsia"/>
          <w:color w:val="auto"/>
          <w:szCs w:val="21"/>
          <w:highlight w:val="none"/>
        </w:rPr>
      </w:pPr>
      <w:r>
        <w:rPr>
          <w:color w:val="auto"/>
          <w:szCs w:val="21"/>
          <w:highlight w:val="none"/>
        </w:rPr>
        <w:t>（2）我方兹授予</w:t>
      </w:r>
      <w:r>
        <w:rPr>
          <w:i/>
          <w:iCs/>
          <w:color w:val="auto"/>
          <w:szCs w:val="21"/>
          <w:highlight w:val="none"/>
          <w:u w:val="single"/>
        </w:rPr>
        <w:t>（销售商或代理商名称）</w:t>
      </w:r>
      <w:r>
        <w:rPr>
          <w:color w:val="auto"/>
          <w:szCs w:val="21"/>
          <w:highlight w:val="none"/>
        </w:rPr>
        <w:t>全权办理和履行上述我方为完成上述各点所必须的事宜，具有替换或</w:t>
      </w:r>
      <w:r>
        <w:rPr>
          <w:rFonts w:hint="eastAsia"/>
          <w:color w:val="auto"/>
          <w:szCs w:val="21"/>
          <w:highlight w:val="none"/>
        </w:rPr>
        <w:t>撤销的</w:t>
      </w:r>
      <w:r>
        <w:rPr>
          <w:color w:val="auto"/>
          <w:szCs w:val="21"/>
          <w:highlight w:val="none"/>
        </w:rPr>
        <w:t>全权。兹确认</w:t>
      </w:r>
      <w:r>
        <w:rPr>
          <w:i/>
          <w:iCs/>
          <w:color w:val="auto"/>
          <w:szCs w:val="21"/>
          <w:highlight w:val="none"/>
          <w:u w:val="single"/>
        </w:rPr>
        <w:t>（销售商或代理商名称）</w:t>
      </w:r>
      <w:r>
        <w:rPr>
          <w:color w:val="auto"/>
          <w:szCs w:val="21"/>
          <w:highlight w:val="none"/>
        </w:rPr>
        <w:t>或其正式授权代表依此合法地办理一切事宜。</w:t>
      </w:r>
    </w:p>
    <w:p w14:paraId="17C6D341">
      <w:pPr>
        <w:ind w:firstLine="420"/>
        <w:rPr>
          <w:rFonts w:hint="eastAsia"/>
          <w:color w:val="auto"/>
          <w:szCs w:val="21"/>
          <w:highlight w:val="none"/>
        </w:rPr>
      </w:pPr>
      <w:r>
        <w:rPr>
          <w:color w:val="auto"/>
          <w:szCs w:val="21"/>
          <w:highlight w:val="none"/>
        </w:rPr>
        <w:t>我方于</w:t>
      </w:r>
      <w:r>
        <w:rPr>
          <w:color w:val="auto"/>
          <w:szCs w:val="21"/>
          <w:highlight w:val="none"/>
          <w:u w:val="single"/>
        </w:rPr>
        <w:t>_______</w:t>
      </w:r>
      <w:r>
        <w:rPr>
          <w:color w:val="auto"/>
          <w:szCs w:val="21"/>
          <w:highlight w:val="none"/>
        </w:rPr>
        <w:t>年</w:t>
      </w:r>
      <w:r>
        <w:rPr>
          <w:color w:val="auto"/>
          <w:szCs w:val="21"/>
          <w:highlight w:val="none"/>
          <w:u w:val="single"/>
        </w:rPr>
        <w:t>_______</w:t>
      </w:r>
      <w:r>
        <w:rPr>
          <w:color w:val="auto"/>
          <w:szCs w:val="21"/>
          <w:highlight w:val="none"/>
        </w:rPr>
        <w:t>月</w:t>
      </w:r>
      <w:r>
        <w:rPr>
          <w:color w:val="auto"/>
          <w:szCs w:val="21"/>
          <w:highlight w:val="none"/>
          <w:u w:val="single"/>
        </w:rPr>
        <w:t>_______</w:t>
      </w:r>
      <w:r>
        <w:rPr>
          <w:color w:val="auto"/>
          <w:szCs w:val="21"/>
          <w:highlight w:val="none"/>
        </w:rPr>
        <w:t>日签署本文件，</w:t>
      </w:r>
      <w:r>
        <w:rPr>
          <w:color w:val="auto"/>
          <w:szCs w:val="21"/>
          <w:highlight w:val="none"/>
          <w:u w:val="single"/>
        </w:rPr>
        <w:t>（</w:t>
      </w:r>
      <w:r>
        <w:rPr>
          <w:i/>
          <w:iCs/>
          <w:color w:val="auto"/>
          <w:szCs w:val="21"/>
          <w:highlight w:val="none"/>
          <w:u w:val="single"/>
        </w:rPr>
        <w:t>销售商或代理商</w:t>
      </w:r>
      <w:r>
        <w:rPr>
          <w:i/>
          <w:color w:val="auto"/>
          <w:szCs w:val="21"/>
          <w:highlight w:val="none"/>
          <w:u w:val="single"/>
        </w:rPr>
        <w:t>名称</w:t>
      </w:r>
      <w:r>
        <w:rPr>
          <w:color w:val="auto"/>
          <w:szCs w:val="21"/>
          <w:highlight w:val="none"/>
          <w:u w:val="single"/>
        </w:rPr>
        <w:t>）</w:t>
      </w:r>
      <w:r>
        <w:rPr>
          <w:color w:val="auto"/>
          <w:szCs w:val="21"/>
          <w:highlight w:val="none"/>
        </w:rPr>
        <w:t>于</w:t>
      </w:r>
      <w:r>
        <w:rPr>
          <w:color w:val="auto"/>
          <w:szCs w:val="21"/>
          <w:highlight w:val="none"/>
          <w:u w:val="single"/>
        </w:rPr>
        <w:t>_______</w:t>
      </w:r>
      <w:r>
        <w:rPr>
          <w:color w:val="auto"/>
          <w:szCs w:val="21"/>
          <w:highlight w:val="none"/>
        </w:rPr>
        <w:t>年</w:t>
      </w:r>
      <w:r>
        <w:rPr>
          <w:color w:val="auto"/>
          <w:szCs w:val="21"/>
          <w:highlight w:val="none"/>
          <w:u w:val="single"/>
        </w:rPr>
        <w:t>_______</w:t>
      </w:r>
      <w:r>
        <w:rPr>
          <w:color w:val="auto"/>
          <w:szCs w:val="21"/>
          <w:highlight w:val="none"/>
        </w:rPr>
        <w:t>月</w:t>
      </w:r>
      <w:r>
        <w:rPr>
          <w:color w:val="auto"/>
          <w:szCs w:val="21"/>
          <w:highlight w:val="none"/>
          <w:u w:val="single"/>
        </w:rPr>
        <w:t>_______</w:t>
      </w:r>
      <w:r>
        <w:rPr>
          <w:color w:val="auto"/>
          <w:szCs w:val="21"/>
          <w:highlight w:val="none"/>
        </w:rPr>
        <w:t>日接受此件，以此为证。</w:t>
      </w:r>
    </w:p>
    <w:p w14:paraId="12E20CC4">
      <w:pPr>
        <w:ind w:firstLine="420"/>
        <w:rPr>
          <w:rFonts w:hint="eastAsia"/>
          <w:color w:val="auto"/>
          <w:szCs w:val="21"/>
          <w:highlight w:val="none"/>
        </w:rPr>
      </w:pPr>
    </w:p>
    <w:p w14:paraId="2FADDD3C">
      <w:pPr>
        <w:ind w:firstLine="420"/>
        <w:rPr>
          <w:rFonts w:hint="eastAsia"/>
          <w:color w:val="auto"/>
          <w:szCs w:val="21"/>
          <w:highlight w:val="none"/>
        </w:rPr>
      </w:pPr>
    </w:p>
    <w:p w14:paraId="5D3A70AE">
      <w:pPr>
        <w:ind w:firstLine="420"/>
        <w:rPr>
          <w:rFonts w:hint="eastAsia"/>
          <w:b/>
          <w:bCs/>
          <w:color w:val="auto"/>
          <w:szCs w:val="21"/>
          <w:highlight w:val="none"/>
          <w:u w:val="single"/>
        </w:rPr>
      </w:pPr>
      <w:r>
        <w:rPr>
          <w:b/>
          <w:bCs/>
          <w:color w:val="auto"/>
          <w:szCs w:val="21"/>
          <w:highlight w:val="none"/>
        </w:rPr>
        <w:t>销售商或代理商名称：</w:t>
      </w:r>
      <w:r>
        <w:rPr>
          <w:b/>
          <w:bCs/>
          <w:color w:val="auto"/>
          <w:szCs w:val="21"/>
          <w:highlight w:val="none"/>
          <w:u w:val="single"/>
        </w:rPr>
        <w:t>__________________</w:t>
      </w:r>
      <w:r>
        <w:rPr>
          <w:b/>
          <w:bCs/>
          <w:color w:val="auto"/>
          <w:szCs w:val="21"/>
          <w:highlight w:val="none"/>
        </w:rPr>
        <w:t>制造商名称：</w:t>
      </w:r>
      <w:r>
        <w:rPr>
          <w:b/>
          <w:bCs/>
          <w:color w:val="auto"/>
          <w:szCs w:val="21"/>
          <w:highlight w:val="none"/>
          <w:u w:val="single"/>
        </w:rPr>
        <w:t>____________________</w:t>
      </w:r>
    </w:p>
    <w:p w14:paraId="0E645F6D">
      <w:pPr>
        <w:ind w:firstLine="482"/>
        <w:rPr>
          <w:rFonts w:hint="eastAsia"/>
          <w:b/>
          <w:bCs/>
          <w:color w:val="auto"/>
          <w:sz w:val="24"/>
          <w:highlight w:val="none"/>
        </w:rPr>
      </w:pPr>
      <w:r>
        <w:rPr>
          <w:b/>
          <w:bCs/>
          <w:color w:val="auto"/>
          <w:szCs w:val="21"/>
          <w:highlight w:val="none"/>
        </w:rPr>
        <w:t>（加盖单位章</w:t>
      </w:r>
      <w:r>
        <w:rPr>
          <w:rFonts w:hint="eastAsia"/>
          <w:b/>
          <w:bCs/>
          <w:color w:val="auto"/>
          <w:szCs w:val="21"/>
          <w:highlight w:val="none"/>
        </w:rPr>
        <w:t>或电子公章</w:t>
      </w:r>
      <w:r>
        <w:rPr>
          <w:b/>
          <w:bCs/>
          <w:color w:val="auto"/>
          <w:szCs w:val="21"/>
          <w:highlight w:val="none"/>
        </w:rPr>
        <w:t>）</w:t>
      </w:r>
      <w:r>
        <w:rPr>
          <w:rFonts w:hint="eastAsia"/>
          <w:b/>
          <w:bCs/>
          <w:color w:val="auto"/>
          <w:szCs w:val="21"/>
          <w:highlight w:val="none"/>
        </w:rPr>
        <w:t xml:space="preserve">             </w:t>
      </w:r>
      <w:r>
        <w:rPr>
          <w:b/>
          <w:bCs/>
          <w:color w:val="auto"/>
          <w:szCs w:val="21"/>
          <w:highlight w:val="none"/>
        </w:rPr>
        <w:t>（加盖单位章</w:t>
      </w:r>
      <w:r>
        <w:rPr>
          <w:rFonts w:hint="eastAsia"/>
          <w:b/>
          <w:bCs/>
          <w:color w:val="auto"/>
          <w:szCs w:val="21"/>
          <w:highlight w:val="none"/>
        </w:rPr>
        <w:t>或电子公章</w:t>
      </w:r>
      <w:r>
        <w:rPr>
          <w:b/>
          <w:bCs/>
          <w:color w:val="auto"/>
          <w:szCs w:val="21"/>
          <w:highlight w:val="none"/>
        </w:rPr>
        <w:t>）</w:t>
      </w:r>
    </w:p>
    <w:p w14:paraId="4CC0D5D4">
      <w:pPr>
        <w:widowControl/>
        <w:spacing w:line="240" w:lineRule="auto"/>
        <w:jc w:val="left"/>
        <w:rPr>
          <w:rFonts w:hint="eastAsia"/>
          <w:b/>
          <w:color w:val="auto"/>
          <w:spacing w:val="6"/>
          <w:sz w:val="28"/>
          <w:szCs w:val="21"/>
          <w:highlight w:val="none"/>
        </w:rPr>
      </w:pPr>
      <w:r>
        <w:rPr>
          <w:b/>
          <w:color w:val="auto"/>
          <w:spacing w:val="6"/>
          <w:sz w:val="28"/>
          <w:szCs w:val="21"/>
          <w:highlight w:val="none"/>
        </w:rPr>
        <w:br w:type="page"/>
      </w:r>
    </w:p>
    <w:p w14:paraId="7F5A19BA">
      <w:pPr>
        <w:jc w:val="center"/>
        <w:outlineLvl w:val="2"/>
        <w:rPr>
          <w:rFonts w:hint="eastAsia" w:cs="宋体"/>
          <w:b/>
          <w:color w:val="auto"/>
          <w:sz w:val="28"/>
          <w:szCs w:val="28"/>
          <w:highlight w:val="none"/>
        </w:rPr>
      </w:pPr>
      <w:bookmarkStart w:id="246" w:name="_Toc213141111"/>
      <w:bookmarkStart w:id="247" w:name="_Toc139357084"/>
      <w:bookmarkStart w:id="248" w:name="_Toc1941"/>
      <w:bookmarkStart w:id="249" w:name="_Toc348010010"/>
      <w:bookmarkStart w:id="250" w:name="_Toc166067787"/>
      <w:r>
        <w:rPr>
          <w:rFonts w:hint="eastAsia" w:cs="宋体"/>
          <w:b/>
          <w:color w:val="auto"/>
          <w:sz w:val="28"/>
          <w:szCs w:val="28"/>
          <w:highlight w:val="none"/>
        </w:rPr>
        <w:t>（</w:t>
      </w:r>
      <w:r>
        <w:rPr>
          <w:rFonts w:hint="eastAsia" w:cs="宋体"/>
          <w:b/>
          <w:color w:val="auto"/>
          <w:sz w:val="28"/>
          <w:szCs w:val="28"/>
          <w:highlight w:val="none"/>
          <w:lang w:val="en-US" w:eastAsia="zh-CN"/>
        </w:rPr>
        <w:t>六</w:t>
      </w:r>
      <w:r>
        <w:rPr>
          <w:rFonts w:hint="eastAsia" w:cs="宋体"/>
          <w:b/>
          <w:color w:val="auto"/>
          <w:sz w:val="28"/>
          <w:szCs w:val="28"/>
          <w:highlight w:val="none"/>
        </w:rPr>
        <w:t>）</w:t>
      </w:r>
      <w:r>
        <w:rPr>
          <w:rFonts w:cs="宋体"/>
          <w:b/>
          <w:color w:val="auto"/>
          <w:sz w:val="28"/>
          <w:szCs w:val="28"/>
          <w:highlight w:val="none"/>
        </w:rPr>
        <w:t>贸易公司与制造商的经销协议或代理协议</w:t>
      </w:r>
      <w:bookmarkEnd w:id="246"/>
      <w:bookmarkEnd w:id="247"/>
      <w:bookmarkEnd w:id="248"/>
      <w:bookmarkEnd w:id="249"/>
      <w:bookmarkEnd w:id="250"/>
    </w:p>
    <w:p w14:paraId="1D0965AF">
      <w:pPr>
        <w:ind w:firstLine="420"/>
        <w:jc w:val="center"/>
        <w:rPr>
          <w:rFonts w:hint="eastAsia"/>
          <w:color w:val="auto"/>
          <w:szCs w:val="20"/>
          <w:highlight w:val="none"/>
        </w:rPr>
      </w:pPr>
      <w:r>
        <w:rPr>
          <w:color w:val="auto"/>
          <w:szCs w:val="20"/>
          <w:highlight w:val="none"/>
        </w:rPr>
        <w:t>（如有，格式可由投标人自行拟定）</w:t>
      </w:r>
    </w:p>
    <w:p w14:paraId="6EFCE004">
      <w:pPr>
        <w:pStyle w:val="17"/>
        <w:rPr>
          <w:rFonts w:hint="eastAsia" w:ascii="宋体" w:hAnsi="宋体" w:eastAsia="宋体"/>
          <w:color w:val="auto"/>
          <w:sz w:val="32"/>
          <w:szCs w:val="15"/>
          <w:highlight w:val="none"/>
        </w:rPr>
      </w:pPr>
    </w:p>
    <w:p w14:paraId="2665393F">
      <w:pPr>
        <w:rPr>
          <w:rFonts w:hint="eastAsia"/>
          <w:color w:val="auto"/>
          <w:highlight w:val="none"/>
        </w:rPr>
      </w:pPr>
    </w:p>
    <w:p w14:paraId="1C6C0E8C">
      <w:pPr>
        <w:jc w:val="center"/>
        <w:outlineLvl w:val="2"/>
        <w:rPr>
          <w:rFonts w:hint="eastAsia"/>
          <w:b/>
          <w:bCs/>
          <w:color w:val="auto"/>
          <w:sz w:val="28"/>
          <w:szCs w:val="36"/>
          <w:highlight w:val="none"/>
        </w:rPr>
      </w:pPr>
      <w:bookmarkStart w:id="251" w:name="_Toc125904348"/>
      <w:bookmarkStart w:id="252" w:name="_Toc125986485"/>
      <w:bookmarkStart w:id="253" w:name="_Toc139357085"/>
      <w:bookmarkStart w:id="254" w:name="_Toc7501"/>
      <w:bookmarkStart w:id="255" w:name="_Toc166067788"/>
      <w:bookmarkStart w:id="256" w:name="_Toc20188"/>
      <w:bookmarkStart w:id="257" w:name="_Toc71814245"/>
      <w:bookmarkStart w:id="258" w:name="_Toc73464055"/>
      <w:bookmarkStart w:id="259" w:name="_Toc15588"/>
      <w:bookmarkStart w:id="260" w:name="_Toc80973386"/>
      <w:bookmarkStart w:id="261" w:name="_Toc348010011"/>
      <w:r>
        <w:rPr>
          <w:rFonts w:hint="eastAsia"/>
          <w:b/>
          <w:bCs/>
          <w:color w:val="auto"/>
          <w:sz w:val="28"/>
          <w:szCs w:val="36"/>
          <w:highlight w:val="none"/>
        </w:rPr>
        <w:t>（</w:t>
      </w:r>
      <w:r>
        <w:rPr>
          <w:rFonts w:hint="eastAsia"/>
          <w:b/>
          <w:bCs/>
          <w:color w:val="auto"/>
          <w:sz w:val="28"/>
          <w:szCs w:val="36"/>
          <w:highlight w:val="none"/>
          <w:lang w:val="en-US" w:eastAsia="zh-CN"/>
        </w:rPr>
        <w:t>七</w:t>
      </w:r>
      <w:r>
        <w:rPr>
          <w:rFonts w:hint="eastAsia"/>
          <w:b/>
          <w:bCs/>
          <w:color w:val="auto"/>
          <w:sz w:val="28"/>
          <w:szCs w:val="36"/>
          <w:highlight w:val="none"/>
        </w:rPr>
        <w:t>）</w:t>
      </w:r>
      <w:bookmarkEnd w:id="251"/>
      <w:bookmarkEnd w:id="252"/>
      <w:r>
        <w:rPr>
          <w:rFonts w:hint="eastAsia"/>
          <w:b/>
          <w:bCs/>
          <w:color w:val="auto"/>
          <w:sz w:val="28"/>
          <w:szCs w:val="36"/>
          <w:highlight w:val="none"/>
          <w:lang w:val="en-US" w:eastAsia="zh-CN"/>
        </w:rPr>
        <w:t>服务</w:t>
      </w:r>
      <w:r>
        <w:rPr>
          <w:rFonts w:hint="eastAsia"/>
          <w:b/>
          <w:bCs/>
          <w:color w:val="auto"/>
          <w:sz w:val="28"/>
          <w:szCs w:val="36"/>
          <w:highlight w:val="none"/>
        </w:rPr>
        <w:t>质量承诺及保障措施</w:t>
      </w:r>
      <w:bookmarkEnd w:id="253"/>
      <w:bookmarkEnd w:id="254"/>
      <w:bookmarkEnd w:id="255"/>
    </w:p>
    <w:p w14:paraId="07F5BAB1">
      <w:pPr>
        <w:pStyle w:val="23"/>
        <w:jc w:val="center"/>
        <w:rPr>
          <w:rFonts w:hint="eastAsia" w:cs="宋体"/>
          <w:color w:val="auto"/>
          <w:highlight w:val="none"/>
        </w:rPr>
      </w:pPr>
      <w:r>
        <w:rPr>
          <w:rFonts w:hint="eastAsia" w:cs="宋体"/>
          <w:color w:val="auto"/>
          <w:highlight w:val="none"/>
        </w:rPr>
        <w:t>（格式内容自拟）</w:t>
      </w:r>
    </w:p>
    <w:p w14:paraId="69480D9F">
      <w:pPr>
        <w:rPr>
          <w:rFonts w:hint="eastAsia"/>
          <w:color w:val="auto"/>
          <w:highlight w:val="none"/>
        </w:rPr>
      </w:pPr>
    </w:p>
    <w:p w14:paraId="0F5F65B8">
      <w:pPr>
        <w:rPr>
          <w:rFonts w:hint="eastAsia"/>
          <w:color w:val="auto"/>
          <w:highlight w:val="none"/>
        </w:rPr>
      </w:pPr>
    </w:p>
    <w:p w14:paraId="3EAEDE2F">
      <w:pPr>
        <w:jc w:val="center"/>
        <w:outlineLvl w:val="2"/>
        <w:rPr>
          <w:rFonts w:hint="eastAsia"/>
          <w:b/>
          <w:bCs/>
          <w:color w:val="auto"/>
          <w:sz w:val="28"/>
          <w:szCs w:val="36"/>
          <w:highlight w:val="none"/>
        </w:rPr>
      </w:pPr>
      <w:bookmarkStart w:id="262" w:name="_Toc166067789"/>
      <w:bookmarkStart w:id="263" w:name="_Toc139357086"/>
      <w:bookmarkStart w:id="264" w:name="_Toc24540"/>
      <w:r>
        <w:rPr>
          <w:rFonts w:hint="eastAsia"/>
          <w:b/>
          <w:bCs/>
          <w:color w:val="auto"/>
          <w:sz w:val="28"/>
          <w:szCs w:val="36"/>
          <w:highlight w:val="none"/>
        </w:rPr>
        <w:t>（</w:t>
      </w:r>
      <w:r>
        <w:rPr>
          <w:rFonts w:hint="eastAsia"/>
          <w:b/>
          <w:bCs/>
          <w:color w:val="auto"/>
          <w:sz w:val="28"/>
          <w:szCs w:val="36"/>
          <w:highlight w:val="none"/>
          <w:lang w:val="en-US" w:eastAsia="zh-CN"/>
        </w:rPr>
        <w:t>八</w:t>
      </w:r>
      <w:r>
        <w:rPr>
          <w:rFonts w:hint="eastAsia"/>
          <w:b/>
          <w:bCs/>
          <w:color w:val="auto"/>
          <w:sz w:val="28"/>
          <w:szCs w:val="36"/>
          <w:highlight w:val="none"/>
        </w:rPr>
        <w:t>）</w:t>
      </w:r>
      <w:bookmarkEnd w:id="262"/>
      <w:bookmarkEnd w:id="263"/>
      <w:r>
        <w:rPr>
          <w:rFonts w:hint="eastAsia"/>
          <w:b/>
          <w:bCs/>
          <w:color w:val="auto"/>
          <w:sz w:val="28"/>
          <w:szCs w:val="36"/>
          <w:highlight w:val="none"/>
          <w:lang w:val="en-US" w:eastAsia="zh-CN"/>
        </w:rPr>
        <w:t>产品配送、调试方案及</w:t>
      </w:r>
      <w:r>
        <w:rPr>
          <w:rFonts w:hint="eastAsia"/>
          <w:b/>
          <w:bCs/>
          <w:color w:val="auto"/>
          <w:sz w:val="28"/>
          <w:szCs w:val="36"/>
          <w:highlight w:val="none"/>
        </w:rPr>
        <w:t>质量保证措施</w:t>
      </w:r>
      <w:bookmarkEnd w:id="264"/>
    </w:p>
    <w:p w14:paraId="538D2C5D">
      <w:pPr>
        <w:pStyle w:val="23"/>
        <w:jc w:val="center"/>
        <w:rPr>
          <w:rFonts w:hint="eastAsia" w:cs="宋体"/>
          <w:color w:val="auto"/>
          <w:highlight w:val="none"/>
        </w:rPr>
      </w:pPr>
      <w:r>
        <w:rPr>
          <w:rFonts w:hint="eastAsia" w:cs="宋体"/>
          <w:color w:val="auto"/>
          <w:highlight w:val="none"/>
        </w:rPr>
        <w:t>（格式内容自拟）</w:t>
      </w:r>
    </w:p>
    <w:p w14:paraId="7E06C1AA">
      <w:pPr>
        <w:pStyle w:val="23"/>
        <w:jc w:val="center"/>
        <w:rPr>
          <w:rFonts w:hint="eastAsia" w:cs="宋体"/>
          <w:color w:val="auto"/>
          <w:highlight w:val="none"/>
        </w:rPr>
      </w:pPr>
    </w:p>
    <w:p w14:paraId="1B2EF6EA">
      <w:pPr>
        <w:rPr>
          <w:rFonts w:hint="eastAsia"/>
          <w:color w:val="auto"/>
          <w:highlight w:val="none"/>
        </w:rPr>
      </w:pPr>
    </w:p>
    <w:p w14:paraId="2BEAF146">
      <w:pPr>
        <w:jc w:val="center"/>
        <w:outlineLvl w:val="2"/>
        <w:rPr>
          <w:rFonts w:hint="eastAsia"/>
          <w:b/>
          <w:bCs/>
          <w:color w:val="auto"/>
          <w:sz w:val="28"/>
          <w:szCs w:val="36"/>
          <w:highlight w:val="none"/>
        </w:rPr>
      </w:pPr>
      <w:bookmarkStart w:id="265" w:name="_Toc166067790"/>
      <w:bookmarkStart w:id="266" w:name="_Toc139357087"/>
      <w:bookmarkStart w:id="267" w:name="_Toc9150"/>
      <w:r>
        <w:rPr>
          <w:rFonts w:hint="eastAsia"/>
          <w:b/>
          <w:bCs/>
          <w:color w:val="auto"/>
          <w:sz w:val="28"/>
          <w:szCs w:val="36"/>
          <w:highlight w:val="none"/>
        </w:rPr>
        <w:t>（</w:t>
      </w:r>
      <w:r>
        <w:rPr>
          <w:rFonts w:hint="eastAsia"/>
          <w:b/>
          <w:bCs/>
          <w:color w:val="auto"/>
          <w:sz w:val="28"/>
          <w:szCs w:val="36"/>
          <w:highlight w:val="none"/>
          <w:lang w:val="en-US" w:eastAsia="zh-CN"/>
        </w:rPr>
        <w:t>九</w:t>
      </w:r>
      <w:r>
        <w:rPr>
          <w:rFonts w:hint="eastAsia"/>
          <w:b/>
          <w:bCs/>
          <w:color w:val="auto"/>
          <w:sz w:val="28"/>
          <w:szCs w:val="36"/>
          <w:highlight w:val="none"/>
        </w:rPr>
        <w:t>）</w:t>
      </w:r>
      <w:bookmarkEnd w:id="265"/>
      <w:bookmarkEnd w:id="266"/>
      <w:r>
        <w:rPr>
          <w:rFonts w:hint="eastAsia"/>
          <w:b/>
          <w:bCs/>
          <w:color w:val="auto"/>
          <w:sz w:val="28"/>
          <w:szCs w:val="36"/>
          <w:highlight w:val="none"/>
        </w:rPr>
        <w:t>售后服务承诺及保障措施</w:t>
      </w:r>
      <w:bookmarkEnd w:id="267"/>
    </w:p>
    <w:p w14:paraId="0B7BAD43">
      <w:pPr>
        <w:pStyle w:val="23"/>
        <w:jc w:val="center"/>
        <w:rPr>
          <w:rFonts w:hint="eastAsia" w:cs="宋体"/>
          <w:color w:val="auto"/>
          <w:highlight w:val="none"/>
        </w:rPr>
      </w:pPr>
      <w:r>
        <w:rPr>
          <w:rFonts w:hint="eastAsia" w:cs="宋体"/>
          <w:color w:val="auto"/>
          <w:highlight w:val="none"/>
        </w:rPr>
        <w:t>（格式内容自拟）</w:t>
      </w:r>
    </w:p>
    <w:p w14:paraId="6441A2AE">
      <w:pPr>
        <w:rPr>
          <w:rFonts w:hint="eastAsia"/>
          <w:color w:val="auto"/>
          <w:highlight w:val="none"/>
        </w:rPr>
      </w:pPr>
    </w:p>
    <w:p w14:paraId="20E46CFD">
      <w:pPr>
        <w:jc w:val="center"/>
        <w:outlineLvl w:val="2"/>
        <w:rPr>
          <w:rFonts w:hint="default" w:eastAsia="宋体"/>
          <w:b/>
          <w:bCs/>
          <w:color w:val="auto"/>
          <w:sz w:val="28"/>
          <w:szCs w:val="36"/>
          <w:highlight w:val="none"/>
          <w:lang w:val="en-US" w:eastAsia="zh-CN"/>
        </w:rPr>
      </w:pPr>
      <w:bookmarkStart w:id="268" w:name="_Toc12637"/>
      <w:bookmarkStart w:id="269" w:name="_Toc125986492"/>
      <w:bookmarkStart w:id="270" w:name="_Toc30870"/>
      <w:bookmarkStart w:id="271" w:name="_Toc125904357"/>
      <w:bookmarkStart w:id="272" w:name="_Toc24222"/>
      <w:r>
        <w:rPr>
          <w:rFonts w:hint="eastAsia"/>
          <w:b/>
          <w:bCs/>
          <w:color w:val="auto"/>
          <w:sz w:val="28"/>
          <w:szCs w:val="36"/>
          <w:highlight w:val="none"/>
        </w:rPr>
        <w:t>（</w:t>
      </w:r>
      <w:r>
        <w:rPr>
          <w:rFonts w:hint="eastAsia"/>
          <w:b/>
          <w:bCs/>
          <w:color w:val="auto"/>
          <w:sz w:val="28"/>
          <w:szCs w:val="36"/>
          <w:highlight w:val="none"/>
          <w:lang w:val="en-US" w:eastAsia="zh-CN"/>
        </w:rPr>
        <w:t>十</w:t>
      </w:r>
      <w:r>
        <w:rPr>
          <w:rFonts w:hint="eastAsia"/>
          <w:b/>
          <w:bCs/>
          <w:color w:val="auto"/>
          <w:sz w:val="28"/>
          <w:szCs w:val="36"/>
          <w:highlight w:val="none"/>
        </w:rPr>
        <w:t>）</w:t>
      </w:r>
      <w:r>
        <w:rPr>
          <w:rFonts w:hint="eastAsia"/>
          <w:b/>
          <w:bCs/>
          <w:color w:val="auto"/>
          <w:sz w:val="28"/>
          <w:szCs w:val="36"/>
          <w:highlight w:val="none"/>
          <w:lang w:val="en-US" w:eastAsia="zh-CN"/>
        </w:rPr>
        <w:t>人员培训方案</w:t>
      </w:r>
      <w:bookmarkEnd w:id="268"/>
    </w:p>
    <w:p w14:paraId="66DB7A61">
      <w:pPr>
        <w:pStyle w:val="23"/>
        <w:jc w:val="center"/>
        <w:rPr>
          <w:rFonts w:hint="eastAsia" w:cs="宋体"/>
          <w:color w:val="auto"/>
          <w:highlight w:val="none"/>
        </w:rPr>
      </w:pPr>
      <w:r>
        <w:rPr>
          <w:rFonts w:hint="eastAsia" w:cs="宋体"/>
          <w:color w:val="auto"/>
          <w:highlight w:val="none"/>
        </w:rPr>
        <w:t>（格式内容自拟）</w:t>
      </w:r>
    </w:p>
    <w:p w14:paraId="121E2E50">
      <w:pPr>
        <w:rPr>
          <w:rFonts w:hint="eastAsia"/>
          <w:b/>
          <w:bCs/>
          <w:color w:val="auto"/>
          <w:sz w:val="28"/>
          <w:szCs w:val="36"/>
          <w:highlight w:val="none"/>
        </w:rPr>
      </w:pPr>
    </w:p>
    <w:p w14:paraId="010EA547">
      <w:pPr>
        <w:rPr>
          <w:rFonts w:hint="eastAsia"/>
          <w:b/>
          <w:bCs/>
          <w:color w:val="auto"/>
          <w:sz w:val="28"/>
          <w:szCs w:val="36"/>
          <w:highlight w:val="none"/>
        </w:rPr>
      </w:pPr>
      <w:bookmarkStart w:id="273" w:name="_Toc139357088"/>
      <w:bookmarkStart w:id="274" w:name="_Toc166067791"/>
      <w:r>
        <w:rPr>
          <w:rFonts w:hint="eastAsia"/>
          <w:b/>
          <w:bCs/>
          <w:color w:val="auto"/>
          <w:sz w:val="28"/>
          <w:szCs w:val="36"/>
          <w:highlight w:val="none"/>
        </w:rPr>
        <w:br w:type="page"/>
      </w:r>
    </w:p>
    <w:bookmarkEnd w:id="269"/>
    <w:bookmarkEnd w:id="270"/>
    <w:bookmarkEnd w:id="271"/>
    <w:bookmarkEnd w:id="272"/>
    <w:bookmarkEnd w:id="273"/>
    <w:bookmarkEnd w:id="274"/>
    <w:p w14:paraId="1D829964">
      <w:pPr>
        <w:jc w:val="center"/>
        <w:outlineLvl w:val="2"/>
        <w:rPr>
          <w:rFonts w:hint="eastAsia"/>
          <w:b/>
          <w:bCs/>
          <w:color w:val="auto"/>
          <w:sz w:val="28"/>
          <w:szCs w:val="36"/>
          <w:highlight w:val="none"/>
        </w:rPr>
      </w:pPr>
      <w:bookmarkStart w:id="275" w:name="_Toc125904358"/>
      <w:bookmarkStart w:id="276" w:name="_Toc125986493"/>
      <w:bookmarkStart w:id="277" w:name="_Toc139357089"/>
      <w:bookmarkStart w:id="278" w:name="_Toc166067792"/>
      <w:bookmarkStart w:id="279" w:name="_Toc7334"/>
      <w:r>
        <w:rPr>
          <w:rFonts w:hint="eastAsia" w:cs="宋体"/>
          <w:b/>
          <w:color w:val="auto"/>
          <w:sz w:val="28"/>
          <w:szCs w:val="28"/>
          <w:highlight w:val="none"/>
        </w:rPr>
        <w:t>（十</w:t>
      </w:r>
      <w:r>
        <w:rPr>
          <w:rFonts w:hint="eastAsia" w:cs="宋体"/>
          <w:b/>
          <w:color w:val="auto"/>
          <w:sz w:val="28"/>
          <w:szCs w:val="28"/>
          <w:highlight w:val="none"/>
          <w:lang w:val="en-US" w:eastAsia="zh-CN"/>
        </w:rPr>
        <w:t>一</w:t>
      </w:r>
      <w:r>
        <w:rPr>
          <w:rFonts w:hint="eastAsia" w:cs="宋体"/>
          <w:b/>
          <w:color w:val="auto"/>
          <w:sz w:val="28"/>
          <w:szCs w:val="28"/>
          <w:highlight w:val="none"/>
        </w:rPr>
        <w:t>）</w:t>
      </w:r>
      <w:r>
        <w:rPr>
          <w:rFonts w:hint="eastAsia"/>
          <w:b/>
          <w:bCs/>
          <w:color w:val="auto"/>
          <w:sz w:val="28"/>
          <w:szCs w:val="36"/>
          <w:highlight w:val="none"/>
        </w:rPr>
        <w:t>中小型企业声明函（货物）</w:t>
      </w:r>
      <w:bookmarkEnd w:id="256"/>
      <w:bookmarkEnd w:id="257"/>
      <w:bookmarkEnd w:id="258"/>
      <w:bookmarkEnd w:id="259"/>
      <w:bookmarkEnd w:id="260"/>
      <w:bookmarkEnd w:id="275"/>
      <w:r>
        <w:rPr>
          <w:rFonts w:hint="eastAsia"/>
          <w:b/>
          <w:bCs/>
          <w:color w:val="auto"/>
          <w:sz w:val="28"/>
          <w:szCs w:val="36"/>
          <w:highlight w:val="none"/>
        </w:rPr>
        <w:t>（如有）</w:t>
      </w:r>
      <w:bookmarkEnd w:id="276"/>
      <w:bookmarkEnd w:id="277"/>
      <w:bookmarkEnd w:id="278"/>
      <w:bookmarkEnd w:id="279"/>
    </w:p>
    <w:p w14:paraId="2FA9D2A4">
      <w:pPr>
        <w:jc w:val="center"/>
        <w:rPr>
          <w:rFonts w:hint="eastAsia" w:cs="宋体"/>
          <w:b/>
          <w:bCs/>
          <w:color w:val="auto"/>
          <w:szCs w:val="21"/>
          <w:highlight w:val="none"/>
        </w:rPr>
      </w:pPr>
    </w:p>
    <w:bookmarkEnd w:id="261"/>
    <w:p w14:paraId="7AD37659">
      <w:pPr>
        <w:ind w:right="422" w:rightChars="201" w:firstLine="444" w:firstLineChars="200"/>
        <w:rPr>
          <w:rFonts w:hint="eastAsia" w:cs="宋体"/>
          <w:color w:val="auto"/>
          <w:spacing w:val="6"/>
          <w:szCs w:val="21"/>
          <w:highlight w:val="none"/>
        </w:rPr>
      </w:pPr>
      <w:r>
        <w:rPr>
          <w:rFonts w:hint="eastAsia" w:cs="宋体"/>
          <w:color w:val="auto"/>
          <w:spacing w:val="6"/>
          <w:szCs w:val="21"/>
          <w:highlight w:val="none"/>
        </w:rPr>
        <w:t>本公司（联合体）郑重声明，根据《政府采购促进中小企业发展管理办法》（财库﹝2020﹞46号）的规定，本公司（联合体）参加</w:t>
      </w:r>
      <w:r>
        <w:rPr>
          <w:rFonts w:hint="eastAsia" w:cs="宋体"/>
          <w:b/>
          <w:bCs/>
          <w:color w:val="auto"/>
          <w:spacing w:val="6"/>
          <w:szCs w:val="21"/>
          <w:highlight w:val="none"/>
          <w:u w:val="single"/>
          <w:lang w:eastAsia="zh-CN"/>
        </w:rPr>
        <w:t>普洱市林业和草原局</w:t>
      </w:r>
      <w:r>
        <w:rPr>
          <w:rFonts w:hint="eastAsia" w:cs="宋体"/>
          <w:b/>
          <w:bCs/>
          <w:color w:val="auto"/>
          <w:spacing w:val="6"/>
          <w:szCs w:val="21"/>
          <w:highlight w:val="none"/>
          <w:u w:val="single"/>
        </w:rPr>
        <w:t>（单位名称）</w:t>
      </w:r>
      <w:r>
        <w:rPr>
          <w:rFonts w:hint="eastAsia" w:cs="宋体"/>
          <w:color w:val="auto"/>
          <w:spacing w:val="6"/>
          <w:szCs w:val="21"/>
          <w:highlight w:val="none"/>
        </w:rPr>
        <w:t>的</w:t>
      </w:r>
      <w:r>
        <w:rPr>
          <w:rFonts w:hint="eastAsia" w:cs="宋体"/>
          <w:b/>
          <w:bCs/>
          <w:color w:val="auto"/>
          <w:spacing w:val="6"/>
          <w:szCs w:val="21"/>
          <w:highlight w:val="none"/>
          <w:u w:val="single"/>
          <w:lang w:eastAsia="zh-CN"/>
        </w:rPr>
        <w:t>2025年普洱市乡镇早期火情处置能力提升建设项目</w:t>
      </w:r>
      <w:r>
        <w:rPr>
          <w:rFonts w:hint="eastAsia" w:cs="宋体"/>
          <w:b/>
          <w:bCs/>
          <w:color w:val="auto"/>
          <w:spacing w:val="6"/>
          <w:szCs w:val="21"/>
          <w:highlight w:val="none"/>
          <w:u w:val="single"/>
        </w:rPr>
        <w:t>（项目名称）</w:t>
      </w:r>
      <w:r>
        <w:rPr>
          <w:rFonts w:hint="eastAsia" w:cs="宋体"/>
          <w:color w:val="auto"/>
          <w:spacing w:val="6"/>
          <w:szCs w:val="21"/>
          <w:highlight w:val="none"/>
        </w:rPr>
        <w:t>采购活动，提供的货物全部由符合政策要求的中小企业制造。相关企业 （含联合体中的中小企业、签订分包意向协议的中小企业）的具体情况如下：</w:t>
      </w:r>
    </w:p>
    <w:p w14:paraId="658A5E77">
      <w:pPr>
        <w:ind w:right="422" w:rightChars="201" w:firstLine="444" w:firstLineChars="200"/>
        <w:rPr>
          <w:rFonts w:hint="eastAsia" w:cs="宋体"/>
          <w:color w:val="auto"/>
          <w:spacing w:val="6"/>
          <w:szCs w:val="21"/>
          <w:highlight w:val="none"/>
        </w:rPr>
      </w:pPr>
      <w:r>
        <w:rPr>
          <w:rFonts w:hint="eastAsia" w:cs="宋体"/>
          <w:color w:val="auto"/>
          <w:spacing w:val="6"/>
          <w:szCs w:val="21"/>
          <w:highlight w:val="none"/>
        </w:rPr>
        <w:t>1.</w:t>
      </w:r>
      <w:r>
        <w:rPr>
          <w:rFonts w:hint="eastAsia" w:cs="宋体"/>
          <w:b/>
          <w:bCs/>
          <w:color w:val="auto"/>
          <w:spacing w:val="6"/>
          <w:szCs w:val="21"/>
          <w:highlight w:val="none"/>
          <w:u w:val="single"/>
        </w:rPr>
        <w:t xml:space="preserve">   （标的名称）</w:t>
      </w:r>
      <w:r>
        <w:rPr>
          <w:rFonts w:hint="eastAsia" w:cs="宋体"/>
          <w:color w:val="auto"/>
          <w:spacing w:val="6"/>
          <w:szCs w:val="21"/>
          <w:highlight w:val="none"/>
        </w:rPr>
        <w:t>，属于</w:t>
      </w:r>
      <w:r>
        <w:rPr>
          <w:rFonts w:hint="eastAsia" w:cs="宋体"/>
          <w:b/>
          <w:bCs/>
          <w:color w:val="auto"/>
          <w:spacing w:val="6"/>
          <w:szCs w:val="21"/>
          <w:highlight w:val="none"/>
          <w:u w:val="single"/>
          <w:lang w:val="en-US" w:eastAsia="zh-CN"/>
        </w:rPr>
        <w:t>工</w:t>
      </w:r>
      <w:r>
        <w:rPr>
          <w:rFonts w:hint="eastAsia" w:cs="宋体"/>
          <w:b/>
          <w:bCs/>
          <w:color w:val="auto"/>
          <w:spacing w:val="6"/>
          <w:szCs w:val="21"/>
          <w:highlight w:val="none"/>
          <w:u w:val="single"/>
        </w:rPr>
        <w:t>业（采购文件中明确的所属行业）</w:t>
      </w:r>
      <w:r>
        <w:rPr>
          <w:rFonts w:hint="eastAsia" w:cs="宋体"/>
          <w:color w:val="auto"/>
          <w:spacing w:val="6"/>
          <w:szCs w:val="21"/>
          <w:highlight w:val="none"/>
        </w:rPr>
        <w:t>行业；制造商为</w:t>
      </w:r>
      <w:r>
        <w:rPr>
          <w:rFonts w:hint="eastAsia" w:cs="宋体"/>
          <w:color w:val="auto"/>
          <w:spacing w:val="6"/>
          <w:szCs w:val="21"/>
          <w:highlight w:val="none"/>
          <w:u w:val="single"/>
        </w:rPr>
        <w:t xml:space="preserve">  </w:t>
      </w:r>
      <w:r>
        <w:rPr>
          <w:rFonts w:hint="eastAsia" w:cs="宋体"/>
          <w:b/>
          <w:bCs/>
          <w:color w:val="auto"/>
          <w:spacing w:val="6"/>
          <w:szCs w:val="21"/>
          <w:highlight w:val="none"/>
          <w:u w:val="single"/>
        </w:rPr>
        <w:t xml:space="preserve"> </w:t>
      </w:r>
      <w:r>
        <w:rPr>
          <w:rFonts w:cs="宋体"/>
          <w:b/>
          <w:bCs/>
          <w:color w:val="auto"/>
          <w:spacing w:val="6"/>
          <w:szCs w:val="21"/>
          <w:highlight w:val="none"/>
          <w:u w:val="single"/>
        </w:rPr>
        <w:t xml:space="preserve">   </w:t>
      </w:r>
      <w:r>
        <w:rPr>
          <w:rFonts w:hint="eastAsia" w:cs="宋体"/>
          <w:b/>
          <w:bCs/>
          <w:color w:val="auto"/>
          <w:spacing w:val="6"/>
          <w:szCs w:val="21"/>
          <w:highlight w:val="none"/>
          <w:u w:val="single"/>
        </w:rPr>
        <w:t>（企业名称）</w:t>
      </w:r>
      <w:r>
        <w:rPr>
          <w:rFonts w:hint="eastAsia" w:cs="宋体"/>
          <w:color w:val="auto"/>
          <w:spacing w:val="6"/>
          <w:szCs w:val="21"/>
          <w:highlight w:val="none"/>
        </w:rPr>
        <w:t>，从业人员</w:t>
      </w:r>
      <w:r>
        <w:rPr>
          <w:rFonts w:hint="eastAsia" w:cs="宋体"/>
          <w:color w:val="auto"/>
          <w:spacing w:val="6"/>
          <w:szCs w:val="21"/>
          <w:highlight w:val="none"/>
          <w:u w:val="single"/>
        </w:rPr>
        <w:t xml:space="preserve">    </w:t>
      </w:r>
      <w:r>
        <w:rPr>
          <w:rFonts w:hint="eastAsia" w:cs="宋体"/>
          <w:color w:val="auto"/>
          <w:spacing w:val="6"/>
          <w:szCs w:val="21"/>
          <w:highlight w:val="none"/>
        </w:rPr>
        <w:t>人，营业收入为</w:t>
      </w:r>
      <w:r>
        <w:rPr>
          <w:rFonts w:hint="eastAsia" w:cs="宋体"/>
          <w:color w:val="auto"/>
          <w:spacing w:val="6"/>
          <w:szCs w:val="21"/>
          <w:highlight w:val="none"/>
          <w:u w:val="single"/>
        </w:rPr>
        <w:t xml:space="preserve">    </w:t>
      </w:r>
      <w:r>
        <w:rPr>
          <w:rFonts w:hint="eastAsia" w:cs="宋体"/>
          <w:color w:val="auto"/>
          <w:spacing w:val="6"/>
          <w:szCs w:val="21"/>
          <w:highlight w:val="none"/>
        </w:rPr>
        <w:t>万元，资产总额为</w:t>
      </w:r>
      <w:r>
        <w:rPr>
          <w:rFonts w:hint="eastAsia" w:cs="宋体"/>
          <w:color w:val="auto"/>
          <w:spacing w:val="6"/>
          <w:szCs w:val="21"/>
          <w:highlight w:val="none"/>
          <w:u w:val="single"/>
        </w:rPr>
        <w:t xml:space="preserve">     </w:t>
      </w:r>
      <w:r>
        <w:rPr>
          <w:rFonts w:hint="eastAsia" w:cs="宋体"/>
          <w:color w:val="auto"/>
          <w:spacing w:val="6"/>
          <w:szCs w:val="21"/>
          <w:highlight w:val="none"/>
        </w:rPr>
        <w:t>万元，属于</w:t>
      </w:r>
      <w:r>
        <w:rPr>
          <w:rFonts w:hint="eastAsia" w:cs="宋体"/>
          <w:color w:val="auto"/>
          <w:spacing w:val="6"/>
          <w:szCs w:val="21"/>
          <w:highlight w:val="none"/>
          <w:u w:val="single"/>
        </w:rPr>
        <w:t xml:space="preserve">  （中型企业、小型企业、微型企业）</w:t>
      </w:r>
      <w:r>
        <w:rPr>
          <w:rFonts w:hint="eastAsia" w:cs="宋体"/>
          <w:color w:val="auto"/>
          <w:spacing w:val="6"/>
          <w:szCs w:val="21"/>
          <w:highlight w:val="none"/>
        </w:rPr>
        <w:t>；</w:t>
      </w:r>
    </w:p>
    <w:p w14:paraId="348F9F5E">
      <w:pPr>
        <w:ind w:right="422" w:rightChars="201" w:firstLine="444" w:firstLineChars="200"/>
        <w:rPr>
          <w:rFonts w:hint="eastAsia" w:cs="宋体"/>
          <w:color w:val="auto"/>
          <w:spacing w:val="6"/>
          <w:szCs w:val="21"/>
          <w:highlight w:val="none"/>
        </w:rPr>
      </w:pPr>
      <w:r>
        <w:rPr>
          <w:rFonts w:hint="eastAsia" w:cs="宋体"/>
          <w:color w:val="auto"/>
          <w:spacing w:val="6"/>
          <w:szCs w:val="21"/>
          <w:highlight w:val="none"/>
        </w:rPr>
        <w:t>2.</w:t>
      </w:r>
      <w:r>
        <w:rPr>
          <w:rFonts w:hint="eastAsia" w:cs="宋体"/>
          <w:b/>
          <w:bCs/>
          <w:color w:val="auto"/>
          <w:spacing w:val="6"/>
          <w:szCs w:val="21"/>
          <w:highlight w:val="none"/>
          <w:u w:val="single"/>
        </w:rPr>
        <w:t xml:space="preserve"> （标的名称）</w:t>
      </w:r>
      <w:r>
        <w:rPr>
          <w:rFonts w:hint="eastAsia" w:cs="宋体"/>
          <w:color w:val="auto"/>
          <w:spacing w:val="6"/>
          <w:szCs w:val="21"/>
          <w:highlight w:val="none"/>
          <w:u w:val="single"/>
        </w:rPr>
        <w:t xml:space="preserve"> ，属于 </w:t>
      </w:r>
      <w:r>
        <w:rPr>
          <w:rFonts w:hint="eastAsia" w:cs="宋体"/>
          <w:b/>
          <w:bCs/>
          <w:color w:val="auto"/>
          <w:spacing w:val="6"/>
          <w:szCs w:val="21"/>
          <w:highlight w:val="none"/>
          <w:u w:val="single"/>
        </w:rPr>
        <w:t>（采购文件中明确的所属行业）</w:t>
      </w:r>
      <w:r>
        <w:rPr>
          <w:rFonts w:hint="eastAsia" w:cs="宋体"/>
          <w:color w:val="auto"/>
          <w:spacing w:val="6"/>
          <w:szCs w:val="21"/>
          <w:highlight w:val="none"/>
          <w:u w:val="single"/>
        </w:rPr>
        <w:t>行业；制造商为</w:t>
      </w:r>
      <w:r>
        <w:rPr>
          <w:rFonts w:hint="eastAsia" w:cs="宋体"/>
          <w:b/>
          <w:bCs/>
          <w:color w:val="auto"/>
          <w:spacing w:val="6"/>
          <w:szCs w:val="21"/>
          <w:highlight w:val="none"/>
          <w:u w:val="single"/>
        </w:rPr>
        <w:t>（企业名称）</w:t>
      </w:r>
      <w:r>
        <w:rPr>
          <w:rFonts w:hint="eastAsia" w:cs="宋体"/>
          <w:color w:val="auto"/>
          <w:spacing w:val="6"/>
          <w:szCs w:val="21"/>
          <w:highlight w:val="none"/>
          <w:u w:val="single"/>
        </w:rPr>
        <w:t>，从业人员    人，营业收入为     万元，资产总额为      万元，属于  （中型企业、小型企业、微型企业）</w:t>
      </w:r>
      <w:r>
        <w:rPr>
          <w:rFonts w:hint="eastAsia" w:cs="宋体"/>
          <w:color w:val="auto"/>
          <w:spacing w:val="6"/>
          <w:szCs w:val="21"/>
          <w:highlight w:val="none"/>
        </w:rPr>
        <w:t>；</w:t>
      </w:r>
    </w:p>
    <w:p w14:paraId="4DA890DD">
      <w:pPr>
        <w:pStyle w:val="17"/>
        <w:ind w:firstLine="388" w:firstLineChars="200"/>
        <w:rPr>
          <w:rFonts w:hint="eastAsia"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w:t>
      </w:r>
    </w:p>
    <w:p w14:paraId="733D4F8A">
      <w:pPr>
        <w:rPr>
          <w:rFonts w:hint="eastAsia"/>
          <w:color w:val="auto"/>
          <w:highlight w:val="none"/>
        </w:rPr>
      </w:pPr>
    </w:p>
    <w:tbl>
      <w:tblPr>
        <w:tblStyle w:val="44"/>
        <w:tblW w:w="5534" w:type="dxa"/>
        <w:tblInd w:w="4294" w:type="dxa"/>
        <w:tblLayout w:type="fixed"/>
        <w:tblCellMar>
          <w:top w:w="0" w:type="dxa"/>
          <w:left w:w="108" w:type="dxa"/>
          <w:bottom w:w="0" w:type="dxa"/>
          <w:right w:w="108" w:type="dxa"/>
        </w:tblCellMar>
      </w:tblPr>
      <w:tblGrid>
        <w:gridCol w:w="5534"/>
      </w:tblGrid>
      <w:tr w14:paraId="45CA6ADB">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3430D3B2">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380D9A39">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280579DE">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64ED25B0">
      <w:pPr>
        <w:pStyle w:val="17"/>
        <w:ind w:firstLine="388" w:firstLineChars="200"/>
        <w:rPr>
          <w:rFonts w:hint="eastAsia" w:ascii="宋体" w:hAnsi="宋体" w:eastAsia="宋体" w:cs="宋体"/>
          <w:color w:val="auto"/>
          <w:sz w:val="21"/>
          <w:szCs w:val="21"/>
          <w:highlight w:val="none"/>
          <w:u w:val="single"/>
        </w:rPr>
      </w:pPr>
    </w:p>
    <w:p w14:paraId="22599311">
      <w:pPr>
        <w:pStyle w:val="17"/>
        <w:ind w:firstLine="388" w:firstLineChars="200"/>
        <w:rPr>
          <w:rFonts w:hint="eastAsia"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t>1.从业人员、营业收入、资产总额填报上一年度数据，无上一年度数据的新成立企业可不填报。</w:t>
      </w:r>
    </w:p>
    <w:p w14:paraId="0A123847">
      <w:pPr>
        <w:pStyle w:val="17"/>
        <w:ind w:firstLine="388" w:firstLineChars="200"/>
        <w:rPr>
          <w:rFonts w:hint="eastAsia"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t>2.根据《工业和信息化部、国家统计局、国家发展和改革委员会、财政部关于印发中小企业划型标准规定的通知》，本项目属于</w:t>
      </w:r>
      <w:r>
        <w:rPr>
          <w:rFonts w:hint="eastAsia" w:ascii="宋体" w:hAnsi="宋体" w:eastAsia="宋体" w:cs="宋体"/>
          <w:color w:val="auto"/>
          <w:sz w:val="21"/>
          <w:szCs w:val="21"/>
          <w:highlight w:val="none"/>
          <w:u w:val="single"/>
          <w:lang w:val="en-US" w:eastAsia="zh-CN"/>
        </w:rPr>
        <w:t>工</w:t>
      </w:r>
      <w:r>
        <w:rPr>
          <w:rFonts w:hint="eastAsia" w:ascii="宋体" w:hAnsi="宋体" w:eastAsia="宋体" w:cs="宋体"/>
          <w:color w:val="auto"/>
          <w:sz w:val="21"/>
          <w:szCs w:val="21"/>
          <w:highlight w:val="none"/>
          <w:u w:val="single"/>
        </w:rPr>
        <w:t>业。</w:t>
      </w:r>
    </w:p>
    <w:p w14:paraId="4E45F2BE">
      <w:pPr>
        <w:pStyle w:val="17"/>
        <w:ind w:firstLine="388" w:firstLineChars="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b w:val="0"/>
          <w:bCs/>
          <w:color w:val="auto"/>
          <w:sz w:val="21"/>
          <w:szCs w:val="21"/>
          <w:highlight w:val="none"/>
          <w:u w:val="single"/>
        </w:rPr>
        <w:t>。</w:t>
      </w:r>
    </w:p>
    <w:p w14:paraId="306FD161">
      <w:pPr>
        <w:ind w:firstLine="420" w:firstLineChars="200"/>
        <w:rPr>
          <w:rFonts w:hint="eastAsia" w:cs="宋体"/>
          <w:b/>
          <w:bCs/>
          <w:color w:val="auto"/>
          <w:kern w:val="0"/>
          <w:szCs w:val="21"/>
          <w:highlight w:val="none"/>
          <w:lang w:bidi="ar"/>
        </w:rPr>
      </w:pPr>
      <w:r>
        <w:rPr>
          <w:rFonts w:hint="eastAsia" w:cs="宋体"/>
          <w:b/>
          <w:bCs/>
          <w:color w:val="auto"/>
          <w:kern w:val="0"/>
          <w:szCs w:val="21"/>
          <w:highlight w:val="none"/>
          <w:lang w:bidi="ar"/>
        </w:rPr>
        <w:t>3.投标人填表时应择一明确自己属于中型企业或小型企业或微型企业。</w:t>
      </w:r>
    </w:p>
    <w:p w14:paraId="45DB94D4">
      <w:pPr>
        <w:ind w:firstLine="420" w:firstLineChars="200"/>
        <w:rPr>
          <w:rFonts w:hint="eastAsia" w:cs="宋体"/>
          <w:b/>
          <w:bCs/>
          <w:color w:val="auto"/>
          <w:kern w:val="0"/>
          <w:szCs w:val="21"/>
          <w:highlight w:val="none"/>
          <w:lang w:bidi="ar"/>
        </w:rPr>
      </w:pPr>
      <w:r>
        <w:rPr>
          <w:rFonts w:hint="eastAsia" w:cs="宋体"/>
          <w:b/>
          <w:bCs/>
          <w:color w:val="auto"/>
          <w:kern w:val="0"/>
          <w:szCs w:val="21"/>
          <w:highlight w:val="none"/>
          <w:lang w:bidi="ar"/>
        </w:rPr>
        <w:t>4.投标人对制造商企业类型判断有困难的，可以登录工业和信息化部官方网站，在“公共服务平台”模块中，使用“中小企业规模类型自测小程序”进行测定。</w:t>
      </w:r>
    </w:p>
    <w:p w14:paraId="37D465EB">
      <w:pPr>
        <w:ind w:firstLine="420" w:firstLineChars="200"/>
        <w:rPr>
          <w:rFonts w:hint="eastAsia" w:cs="宋体"/>
          <w:color w:val="auto"/>
          <w:spacing w:val="6"/>
          <w:sz w:val="20"/>
          <w:szCs w:val="20"/>
          <w:highlight w:val="none"/>
        </w:rPr>
      </w:pPr>
      <w:r>
        <w:rPr>
          <w:rFonts w:cs="宋体"/>
          <w:color w:val="auto"/>
          <w:szCs w:val="21"/>
          <w:highlight w:val="none"/>
        </w:rPr>
        <w:br w:type="page"/>
      </w:r>
    </w:p>
    <w:p w14:paraId="4C1C622A">
      <w:pPr>
        <w:pStyle w:val="17"/>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附件：</w:t>
      </w:r>
    </w:p>
    <w:p w14:paraId="1D037857">
      <w:pPr>
        <w:pStyle w:val="17"/>
        <w:ind w:firstLine="630" w:firstLineChars="300"/>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《关于印发中小企业划型标准规定的通知》（工信部联企业〔2011〕300号）中小企业划型标准规定节选：</w:t>
      </w:r>
    </w:p>
    <w:p w14:paraId="571486E5">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四、各行业划型标准为：</w:t>
      </w:r>
    </w:p>
    <w:p w14:paraId="75B5D015">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（一）农、林、牧、渔业。营业收入20000万元以下的为中小微型企业。其中，营业收入500万元及以上的为中型企业，营业收入50万元及以上的为小型企业，营业收入50万元以下的为微型企业。</w:t>
      </w:r>
    </w:p>
    <w:p w14:paraId="639D7883">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A3989FB">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51753BD">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B42A2A">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A1F6E2B">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3164436">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145CECB">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6BFE12D">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A4C80F">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6D1DC9">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67948B">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209876C">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E342B2B">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D24F1EC">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66E7A6A">
      <w:pPr>
        <w:pStyle w:val="23"/>
        <w:spacing w:line="500" w:lineRule="exact"/>
        <w:ind w:firstLine="210" w:firstLineChars="100"/>
        <w:jc w:val="left"/>
        <w:rPr>
          <w:rFonts w:hint="eastAsia" w:cs="宋体"/>
          <w:color w:val="auto"/>
          <w:szCs w:val="21"/>
          <w:highlight w:val="none"/>
        </w:rPr>
      </w:pPr>
      <w:r>
        <w:rPr>
          <w:rFonts w:hint="eastAsia" w:cs="宋体"/>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192D2449">
      <w:pPr>
        <w:rPr>
          <w:rFonts w:hint="eastAsia"/>
          <w:color w:val="auto"/>
          <w:highlight w:val="none"/>
        </w:rPr>
      </w:pPr>
    </w:p>
    <w:p w14:paraId="04569CB2">
      <w:pPr>
        <w:widowControl/>
        <w:jc w:val="left"/>
        <w:rPr>
          <w:rFonts w:hint="eastAsia"/>
          <w:b/>
          <w:color w:val="auto"/>
          <w:spacing w:val="-8"/>
          <w:sz w:val="44"/>
          <w:szCs w:val="20"/>
          <w:highlight w:val="none"/>
        </w:rPr>
      </w:pPr>
      <w:r>
        <w:rPr>
          <w:color w:val="auto"/>
          <w:highlight w:val="none"/>
        </w:rPr>
        <w:br w:type="page"/>
      </w:r>
    </w:p>
    <w:p w14:paraId="0A2A4A4E">
      <w:pPr>
        <w:jc w:val="center"/>
        <w:outlineLvl w:val="2"/>
        <w:rPr>
          <w:rFonts w:hint="eastAsia"/>
          <w:b/>
          <w:bCs/>
          <w:color w:val="auto"/>
          <w:sz w:val="28"/>
          <w:szCs w:val="36"/>
          <w:highlight w:val="none"/>
        </w:rPr>
      </w:pPr>
      <w:bookmarkStart w:id="280" w:name="_Toc139357090"/>
      <w:bookmarkStart w:id="281" w:name="_Toc166067793"/>
      <w:bookmarkStart w:id="282" w:name="_Toc80973387"/>
      <w:bookmarkStart w:id="283" w:name="_Toc20"/>
      <w:bookmarkStart w:id="284" w:name="_Toc125904359"/>
      <w:bookmarkStart w:id="285" w:name="_Toc125986494"/>
      <w:bookmarkStart w:id="286" w:name="_Toc12807"/>
      <w:bookmarkStart w:id="287" w:name="_Toc9252"/>
      <w:bookmarkStart w:id="288" w:name="_Hlk512677434"/>
      <w:bookmarkStart w:id="289" w:name="_Hlk512677445"/>
      <w:r>
        <w:rPr>
          <w:rFonts w:hint="eastAsia"/>
          <w:b/>
          <w:bCs/>
          <w:color w:val="auto"/>
          <w:sz w:val="28"/>
          <w:szCs w:val="36"/>
          <w:highlight w:val="none"/>
        </w:rPr>
        <w:t>（十</w:t>
      </w:r>
      <w:r>
        <w:rPr>
          <w:rFonts w:hint="eastAsia"/>
          <w:b/>
          <w:bCs/>
          <w:color w:val="auto"/>
          <w:sz w:val="28"/>
          <w:szCs w:val="36"/>
          <w:highlight w:val="none"/>
          <w:lang w:val="en-US" w:eastAsia="zh-CN"/>
        </w:rPr>
        <w:t>二</w:t>
      </w:r>
      <w:r>
        <w:rPr>
          <w:rFonts w:hint="eastAsia"/>
          <w:b/>
          <w:bCs/>
          <w:color w:val="auto"/>
          <w:sz w:val="28"/>
          <w:szCs w:val="36"/>
          <w:highlight w:val="none"/>
        </w:rPr>
        <w:t>）残疾人福利性单位声明函（如有，按需提供）</w:t>
      </w:r>
      <w:bookmarkEnd w:id="280"/>
      <w:bookmarkEnd w:id="281"/>
      <w:bookmarkEnd w:id="282"/>
      <w:bookmarkEnd w:id="283"/>
      <w:bookmarkEnd w:id="284"/>
      <w:bookmarkEnd w:id="285"/>
      <w:bookmarkEnd w:id="286"/>
      <w:bookmarkEnd w:id="287"/>
    </w:p>
    <w:p w14:paraId="6FE64C86">
      <w:pPr>
        <w:ind w:firstLine="420" w:firstLineChars="200"/>
        <w:rPr>
          <w:rFonts w:hint="eastAsia" w:cs="宋体"/>
          <w:color w:val="auto"/>
          <w:szCs w:val="21"/>
          <w:highlight w:val="none"/>
        </w:rPr>
      </w:pPr>
    </w:p>
    <w:p w14:paraId="6512C9AE">
      <w:pPr>
        <w:ind w:firstLine="420" w:firstLineChars="200"/>
        <w:rPr>
          <w:rFonts w:hint="eastAsia" w:cs="宋体"/>
          <w:color w:val="auto"/>
          <w:szCs w:val="21"/>
          <w:highlight w:val="none"/>
        </w:rPr>
      </w:pPr>
      <w:r>
        <w:rPr>
          <w:rFonts w:hint="eastAsia"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99E9E29">
      <w:pPr>
        <w:ind w:firstLine="420" w:firstLineChars="200"/>
        <w:rPr>
          <w:rFonts w:hint="eastAsia" w:cs="宋体"/>
          <w:color w:val="auto"/>
          <w:szCs w:val="21"/>
          <w:highlight w:val="none"/>
        </w:rPr>
      </w:pPr>
      <w:r>
        <w:rPr>
          <w:rFonts w:hint="eastAsia" w:cs="宋体"/>
          <w:color w:val="auto"/>
          <w:szCs w:val="21"/>
          <w:highlight w:val="none"/>
        </w:rPr>
        <w:t>本单位对上述声明的真实性负责。如有虚假，将依法承担相应责任。</w:t>
      </w:r>
    </w:p>
    <w:p w14:paraId="4CFE0438">
      <w:pPr>
        <w:ind w:firstLine="420" w:firstLineChars="200"/>
        <w:rPr>
          <w:rFonts w:hint="eastAsia" w:cs="宋体"/>
          <w:color w:val="auto"/>
          <w:szCs w:val="21"/>
          <w:highlight w:val="none"/>
        </w:rPr>
      </w:pPr>
    </w:p>
    <w:bookmarkEnd w:id="288"/>
    <w:bookmarkEnd w:id="289"/>
    <w:tbl>
      <w:tblPr>
        <w:tblStyle w:val="44"/>
        <w:tblW w:w="5534" w:type="dxa"/>
        <w:tblInd w:w="4294" w:type="dxa"/>
        <w:tblLayout w:type="fixed"/>
        <w:tblCellMar>
          <w:top w:w="0" w:type="dxa"/>
          <w:left w:w="108" w:type="dxa"/>
          <w:bottom w:w="0" w:type="dxa"/>
          <w:right w:w="108" w:type="dxa"/>
        </w:tblCellMar>
      </w:tblPr>
      <w:tblGrid>
        <w:gridCol w:w="5534"/>
      </w:tblGrid>
      <w:tr w14:paraId="66D4370F">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49E3A87F">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422C5592">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53068DD9">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0C328BBD">
      <w:pPr>
        <w:jc w:val="left"/>
        <w:rPr>
          <w:rFonts w:hint="eastAsia" w:cs="宋体"/>
          <w:color w:val="auto"/>
          <w:szCs w:val="21"/>
          <w:highlight w:val="none"/>
        </w:rPr>
      </w:pPr>
    </w:p>
    <w:p w14:paraId="5C5B915E">
      <w:pPr>
        <w:ind w:firstLine="420" w:firstLineChars="200"/>
        <w:jc w:val="left"/>
        <w:rPr>
          <w:rFonts w:hint="eastAsia" w:cs="宋体"/>
          <w:color w:val="auto"/>
          <w:szCs w:val="21"/>
          <w:highlight w:val="none"/>
        </w:rPr>
      </w:pPr>
      <w:r>
        <w:rPr>
          <w:rFonts w:hint="eastAsia" w:cs="宋体"/>
          <w:b/>
          <w:color w:val="auto"/>
          <w:szCs w:val="21"/>
          <w:highlight w:val="none"/>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79A9E135">
      <w:pPr>
        <w:widowControl/>
        <w:jc w:val="left"/>
        <w:rPr>
          <w:rFonts w:hint="eastAsia" w:cs="宋体"/>
          <w:b/>
          <w:color w:val="auto"/>
          <w:sz w:val="28"/>
          <w:szCs w:val="28"/>
          <w:highlight w:val="none"/>
          <w:lang w:val="zh-CN"/>
        </w:rPr>
      </w:pPr>
      <w:r>
        <w:rPr>
          <w:rFonts w:hint="eastAsia" w:cs="宋体"/>
          <w:b/>
          <w:color w:val="auto"/>
          <w:sz w:val="28"/>
          <w:szCs w:val="28"/>
          <w:highlight w:val="none"/>
        </w:rPr>
        <w:br w:type="page"/>
      </w:r>
    </w:p>
    <w:p w14:paraId="558E9FF6">
      <w:pPr>
        <w:jc w:val="center"/>
        <w:outlineLvl w:val="2"/>
        <w:rPr>
          <w:rFonts w:hint="eastAsia"/>
          <w:b/>
          <w:bCs/>
          <w:color w:val="auto"/>
          <w:sz w:val="28"/>
          <w:szCs w:val="36"/>
          <w:highlight w:val="none"/>
        </w:rPr>
      </w:pPr>
      <w:bookmarkStart w:id="290" w:name="_Toc523832877"/>
      <w:bookmarkStart w:id="291" w:name="_Toc125986495"/>
      <w:bookmarkStart w:id="292" w:name="_Toc80973388"/>
      <w:bookmarkStart w:id="293" w:name="_Toc166067794"/>
      <w:bookmarkStart w:id="294" w:name="_Toc20994"/>
      <w:bookmarkStart w:id="295" w:name="_Toc28792"/>
      <w:bookmarkStart w:id="296" w:name="_Toc139357091"/>
      <w:bookmarkStart w:id="297" w:name="_Toc13361"/>
      <w:bookmarkStart w:id="298" w:name="_Toc125904360"/>
      <w:bookmarkStart w:id="299" w:name="_Hlk51937745"/>
      <w:r>
        <w:rPr>
          <w:rFonts w:hint="eastAsia"/>
          <w:b/>
          <w:bCs/>
          <w:color w:val="auto"/>
          <w:sz w:val="28"/>
          <w:szCs w:val="36"/>
          <w:highlight w:val="none"/>
        </w:rPr>
        <w:t>（十</w:t>
      </w:r>
      <w:r>
        <w:rPr>
          <w:rFonts w:hint="eastAsia"/>
          <w:b/>
          <w:bCs/>
          <w:color w:val="auto"/>
          <w:sz w:val="28"/>
          <w:szCs w:val="36"/>
          <w:highlight w:val="none"/>
          <w:lang w:val="en-US" w:eastAsia="zh-CN"/>
        </w:rPr>
        <w:t>三</w:t>
      </w:r>
      <w:r>
        <w:rPr>
          <w:rFonts w:hint="eastAsia"/>
          <w:b/>
          <w:bCs/>
          <w:color w:val="auto"/>
          <w:sz w:val="28"/>
          <w:szCs w:val="36"/>
          <w:highlight w:val="none"/>
        </w:rPr>
        <w:t>）监狱企业证明文件</w:t>
      </w:r>
      <w:bookmarkEnd w:id="290"/>
      <w:r>
        <w:rPr>
          <w:rFonts w:hint="eastAsia"/>
          <w:b/>
          <w:bCs/>
          <w:color w:val="auto"/>
          <w:sz w:val="28"/>
          <w:szCs w:val="36"/>
          <w:highlight w:val="none"/>
        </w:rPr>
        <w:t>（如有，按需提供）</w:t>
      </w:r>
      <w:bookmarkEnd w:id="291"/>
      <w:bookmarkEnd w:id="292"/>
      <w:bookmarkEnd w:id="293"/>
      <w:bookmarkEnd w:id="294"/>
      <w:bookmarkEnd w:id="295"/>
      <w:bookmarkEnd w:id="296"/>
      <w:bookmarkEnd w:id="297"/>
      <w:bookmarkEnd w:id="298"/>
    </w:p>
    <w:p w14:paraId="192AF71D">
      <w:pPr>
        <w:rPr>
          <w:rFonts w:hint="eastAsia" w:cs="宋体"/>
          <w:color w:val="auto"/>
          <w:highlight w:val="none"/>
        </w:rPr>
      </w:pPr>
    </w:p>
    <w:p w14:paraId="76B08087">
      <w:pPr>
        <w:ind w:firstLine="420" w:firstLineChars="200"/>
        <w:jc w:val="left"/>
        <w:rPr>
          <w:rFonts w:hint="eastAsia" w:cs="宋体"/>
          <w:color w:val="auto"/>
          <w:szCs w:val="21"/>
          <w:highlight w:val="none"/>
        </w:rPr>
      </w:pPr>
      <w:r>
        <w:rPr>
          <w:rFonts w:hint="eastAsia" w:cs="宋体"/>
          <w:color w:val="auto"/>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DFF1F0">
      <w:pPr>
        <w:ind w:firstLine="315" w:firstLineChars="150"/>
        <w:jc w:val="left"/>
        <w:rPr>
          <w:rFonts w:hint="eastAsia" w:cs="宋体"/>
          <w:color w:val="auto"/>
          <w:szCs w:val="21"/>
          <w:highlight w:val="none"/>
        </w:rPr>
      </w:pPr>
      <w:r>
        <w:rPr>
          <w:rFonts w:hint="eastAsia" w:cs="宋体"/>
          <w:color w:val="auto"/>
          <w:szCs w:val="21"/>
          <w:highlight w:val="none"/>
        </w:rPr>
        <w:t>监狱企业参加政府采购活动时，应当提供由省级以上监狱管理局、戒毒管理局（含新疆生产建设兵团）出具的属于监狱企业的证明文件。</w:t>
      </w:r>
      <w:bookmarkEnd w:id="299"/>
    </w:p>
    <w:p w14:paraId="027AF577">
      <w:pPr>
        <w:rPr>
          <w:rFonts w:hint="eastAsia"/>
          <w:color w:val="auto"/>
          <w:highlight w:val="none"/>
        </w:rPr>
      </w:pPr>
    </w:p>
    <w:tbl>
      <w:tblPr>
        <w:tblStyle w:val="44"/>
        <w:tblW w:w="5534" w:type="dxa"/>
        <w:tblInd w:w="4294" w:type="dxa"/>
        <w:tblLayout w:type="fixed"/>
        <w:tblCellMar>
          <w:top w:w="0" w:type="dxa"/>
          <w:left w:w="108" w:type="dxa"/>
          <w:bottom w:w="0" w:type="dxa"/>
          <w:right w:w="108" w:type="dxa"/>
        </w:tblCellMar>
      </w:tblPr>
      <w:tblGrid>
        <w:gridCol w:w="5534"/>
      </w:tblGrid>
      <w:tr w14:paraId="4699279D">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364D1DB2">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269FEF6E">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539931CD">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0309E887">
      <w:pPr>
        <w:ind w:firstLine="315" w:firstLineChars="150"/>
        <w:jc w:val="left"/>
        <w:rPr>
          <w:rFonts w:hint="eastAsia" w:cs="宋体"/>
          <w:color w:val="auto"/>
          <w:szCs w:val="21"/>
          <w:highlight w:val="none"/>
        </w:rPr>
      </w:pPr>
    </w:p>
    <w:p w14:paraId="70013E20">
      <w:pPr>
        <w:ind w:firstLine="315" w:firstLineChars="150"/>
        <w:jc w:val="left"/>
        <w:rPr>
          <w:rFonts w:hint="eastAsia" w:cs="宋体"/>
          <w:color w:val="auto"/>
          <w:szCs w:val="21"/>
          <w:highlight w:val="none"/>
        </w:rPr>
      </w:pPr>
    </w:p>
    <w:p w14:paraId="4A8BF477">
      <w:pPr>
        <w:widowControl/>
        <w:jc w:val="left"/>
        <w:rPr>
          <w:rFonts w:hint="eastAsia" w:cs="宋体"/>
          <w:color w:val="auto"/>
          <w:kern w:val="0"/>
          <w:sz w:val="24"/>
          <w:szCs w:val="20"/>
          <w:highlight w:val="none"/>
        </w:rPr>
      </w:pPr>
      <w:r>
        <w:rPr>
          <w:rFonts w:hint="eastAsia" w:cs="宋体"/>
          <w:color w:val="auto"/>
          <w:szCs w:val="21"/>
          <w:highlight w:val="none"/>
        </w:rPr>
        <w:br w:type="page"/>
      </w:r>
    </w:p>
    <w:bookmarkEnd w:id="240"/>
    <w:p w14:paraId="7D16E45B">
      <w:pPr>
        <w:jc w:val="center"/>
        <w:outlineLvl w:val="2"/>
        <w:rPr>
          <w:rFonts w:hint="eastAsia" w:ascii="宋体" w:hAnsi="宋体" w:eastAsia="宋体" w:cs="Times New Roman"/>
          <w:b/>
          <w:bCs/>
          <w:color w:val="auto"/>
          <w:sz w:val="28"/>
          <w:szCs w:val="36"/>
          <w:highlight w:val="none"/>
        </w:rPr>
      </w:pPr>
      <w:bookmarkStart w:id="300" w:name="_Toc27254"/>
      <w:bookmarkStart w:id="301" w:name="_Toc166067795"/>
      <w:bookmarkStart w:id="302" w:name="_Toc125986496"/>
      <w:bookmarkStart w:id="303" w:name="_Toc125904361"/>
      <w:bookmarkStart w:id="304" w:name="_Toc2173"/>
      <w:bookmarkStart w:id="305" w:name="_Toc139357092"/>
      <w:bookmarkStart w:id="306" w:name="_Toc22122"/>
      <w:bookmarkStart w:id="307" w:name="_Toc38894482"/>
      <w:bookmarkStart w:id="308" w:name="_Toc38383425"/>
      <w:r>
        <w:rPr>
          <w:rFonts w:hint="eastAsia" w:ascii="宋体" w:hAnsi="宋体" w:eastAsia="宋体" w:cs="Times New Roman"/>
          <w:b/>
          <w:bCs/>
          <w:color w:val="auto"/>
          <w:sz w:val="28"/>
          <w:szCs w:val="36"/>
          <w:highlight w:val="none"/>
        </w:rPr>
        <w:t>（十</w:t>
      </w:r>
      <w:r>
        <w:rPr>
          <w:rFonts w:hint="eastAsia" w:ascii="宋体" w:hAnsi="宋体" w:eastAsia="宋体" w:cs="Times New Roman"/>
          <w:b/>
          <w:bCs/>
          <w:color w:val="auto"/>
          <w:sz w:val="28"/>
          <w:szCs w:val="36"/>
          <w:highlight w:val="none"/>
          <w:lang w:val="en-US" w:eastAsia="zh-CN"/>
        </w:rPr>
        <w:t>四</w:t>
      </w:r>
      <w:r>
        <w:rPr>
          <w:rFonts w:hint="eastAsia" w:ascii="宋体" w:hAnsi="宋体" w:eastAsia="宋体" w:cs="Times New Roman"/>
          <w:b/>
          <w:bCs/>
          <w:color w:val="auto"/>
          <w:sz w:val="28"/>
          <w:szCs w:val="36"/>
          <w:highlight w:val="none"/>
        </w:rPr>
        <w:t>）节能产品/环境标志产品承诺书</w:t>
      </w:r>
      <w:bookmarkEnd w:id="300"/>
    </w:p>
    <w:p w14:paraId="13E5E1AE">
      <w:pPr>
        <w:spacing w:line="588" w:lineRule="exact"/>
        <w:ind w:firstLine="444"/>
        <w:jc w:val="center"/>
        <w:rPr>
          <w:rFonts w:ascii="Times New Roman" w:hAnsi="Times New Roman"/>
          <w:b/>
          <w:bCs/>
          <w:color w:val="auto"/>
          <w:spacing w:val="6"/>
          <w:szCs w:val="30"/>
          <w:highlight w:val="none"/>
        </w:rPr>
      </w:pPr>
      <w:r>
        <w:rPr>
          <w:rFonts w:ascii="Times New Roman" w:hAnsi="Times New Roman"/>
          <w:b/>
          <w:bCs/>
          <w:color w:val="auto"/>
          <w:spacing w:val="6"/>
          <w:szCs w:val="30"/>
          <w:highlight w:val="none"/>
        </w:rPr>
        <w:t>（如有，根据投标人自身情况如实提供）</w:t>
      </w:r>
    </w:p>
    <w:p w14:paraId="0E4F43C9">
      <w:pPr>
        <w:rPr>
          <w:rFonts w:ascii="Times New Roman" w:hAnsi="Times New Roman"/>
          <w:b/>
          <w:color w:val="auto"/>
          <w:sz w:val="28"/>
          <w:szCs w:val="28"/>
          <w:highlight w:val="none"/>
        </w:rPr>
      </w:pPr>
    </w:p>
    <w:p w14:paraId="05F06900">
      <w:pPr>
        <w:rPr>
          <w:rFonts w:hint="eastAsia" w:cs="宋体"/>
          <w:b/>
          <w:bCs/>
          <w:color w:val="auto"/>
          <w:szCs w:val="21"/>
          <w:highlight w:val="none"/>
        </w:rPr>
      </w:pPr>
      <w:r>
        <w:rPr>
          <w:rFonts w:hint="eastAsia" w:cs="宋体"/>
          <w:b/>
          <w:bCs/>
          <w:color w:val="auto"/>
          <w:szCs w:val="21"/>
          <w:highlight w:val="none"/>
        </w:rPr>
        <w:t>致</w:t>
      </w:r>
      <w:r>
        <w:rPr>
          <w:rFonts w:hint="eastAsia" w:cs="宋体"/>
          <w:b/>
          <w:bCs/>
          <w:color w:val="auto"/>
          <w:szCs w:val="21"/>
          <w:highlight w:val="none"/>
          <w:u w:val="single"/>
        </w:rPr>
        <w:t>（采购人名称）</w:t>
      </w:r>
      <w:r>
        <w:rPr>
          <w:rFonts w:hint="eastAsia" w:cs="宋体"/>
          <w:b/>
          <w:bCs/>
          <w:color w:val="auto"/>
          <w:szCs w:val="21"/>
          <w:highlight w:val="none"/>
        </w:rPr>
        <w:t>：</w:t>
      </w:r>
    </w:p>
    <w:p w14:paraId="4A6A3278">
      <w:pPr>
        <w:ind w:firstLine="420"/>
        <w:rPr>
          <w:rFonts w:hint="eastAsia" w:cs="宋体"/>
          <w:color w:val="auto"/>
          <w:szCs w:val="21"/>
          <w:highlight w:val="none"/>
        </w:rPr>
      </w:pPr>
      <w:r>
        <w:rPr>
          <w:rFonts w:hint="eastAsia" w:cs="宋体"/>
          <w:color w:val="auto"/>
          <w:szCs w:val="21"/>
          <w:highlight w:val="none"/>
        </w:rPr>
        <w:t>本单位承诺，根据《财政部发展改革委生态环境部市场监管总局关于调整优化节能产品、环境标志产品政府采购执行机制的通知》（财库〔2019〕9号）的规定，本单位提供的</w:t>
      </w:r>
      <w:r>
        <w:rPr>
          <w:rFonts w:hint="eastAsia" w:cs="宋体"/>
          <w:b/>
          <w:bCs/>
          <w:color w:val="auto"/>
          <w:szCs w:val="21"/>
          <w:highlight w:val="none"/>
          <w:u w:val="single"/>
        </w:rPr>
        <w:t>（产品名称）</w:t>
      </w:r>
      <w:r>
        <w:rPr>
          <w:rFonts w:hint="eastAsia" w:cs="宋体"/>
          <w:color w:val="auto"/>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cs="宋体"/>
          <w:b/>
          <w:bCs/>
          <w:color w:val="auto"/>
          <w:szCs w:val="21"/>
          <w:highlight w:val="none"/>
          <w:u w:val="single"/>
        </w:rPr>
        <w:t>（产品证书编号）</w:t>
      </w:r>
      <w:r>
        <w:rPr>
          <w:rFonts w:hint="eastAsia" w:cs="宋体"/>
          <w:b/>
          <w:bCs/>
          <w:color w:val="auto"/>
          <w:szCs w:val="21"/>
          <w:highlight w:val="none"/>
        </w:rPr>
        <w:t>。</w:t>
      </w:r>
    </w:p>
    <w:p w14:paraId="258B5D5A">
      <w:pPr>
        <w:widowControl/>
        <w:ind w:firstLine="420" w:firstLineChars="200"/>
        <w:jc w:val="left"/>
        <w:rPr>
          <w:rFonts w:hint="eastAsia" w:cs="宋体"/>
          <w:color w:val="auto"/>
          <w:szCs w:val="21"/>
          <w:highlight w:val="none"/>
        </w:rPr>
      </w:pPr>
      <w:r>
        <w:rPr>
          <w:rFonts w:hint="eastAsia" w:cs="宋体"/>
          <w:color w:val="auto"/>
          <w:szCs w:val="21"/>
          <w:highlight w:val="none"/>
        </w:rPr>
        <w:t>本单位对上述承诺的真实性负责。如有虚假，将依法承担相应责任。</w:t>
      </w:r>
    </w:p>
    <w:p w14:paraId="39A33BA7">
      <w:pPr>
        <w:widowControl/>
        <w:spacing w:line="240" w:lineRule="auto"/>
        <w:jc w:val="left"/>
        <w:rPr>
          <w:rFonts w:hint="eastAsia" w:cs="宋体"/>
          <w:color w:val="auto"/>
          <w:szCs w:val="21"/>
          <w:highlight w:val="none"/>
        </w:rPr>
      </w:pPr>
    </w:p>
    <w:p w14:paraId="17423864">
      <w:pPr>
        <w:widowControl/>
        <w:spacing w:line="240" w:lineRule="auto"/>
        <w:jc w:val="left"/>
        <w:rPr>
          <w:rFonts w:hint="eastAsia" w:cs="宋体"/>
          <w:color w:val="auto"/>
          <w:szCs w:val="21"/>
          <w:highlight w:val="none"/>
        </w:rPr>
      </w:pPr>
    </w:p>
    <w:tbl>
      <w:tblPr>
        <w:tblStyle w:val="44"/>
        <w:tblW w:w="5534" w:type="dxa"/>
        <w:tblInd w:w="4294" w:type="dxa"/>
        <w:tblLayout w:type="fixed"/>
        <w:tblCellMar>
          <w:top w:w="0" w:type="dxa"/>
          <w:left w:w="108" w:type="dxa"/>
          <w:bottom w:w="0" w:type="dxa"/>
          <w:right w:w="108" w:type="dxa"/>
        </w:tblCellMar>
      </w:tblPr>
      <w:tblGrid>
        <w:gridCol w:w="5534"/>
      </w:tblGrid>
      <w:tr w14:paraId="476B30A7">
        <w:tblPrEx>
          <w:tblCellMar>
            <w:top w:w="0" w:type="dxa"/>
            <w:left w:w="108" w:type="dxa"/>
            <w:bottom w:w="0" w:type="dxa"/>
            <w:right w:w="108" w:type="dxa"/>
          </w:tblCellMar>
        </w:tblPrEx>
        <w:trPr>
          <w:trHeight w:val="397" w:hRule="atLeast"/>
        </w:trPr>
        <w:tc>
          <w:tcPr>
            <w:tcW w:w="5534" w:type="dxa"/>
            <w:noWrap/>
            <w:vAlign w:val="center"/>
          </w:tcPr>
          <w:p w14:paraId="22B68E12">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2178B5B6">
        <w:tblPrEx>
          <w:tblCellMar>
            <w:top w:w="0" w:type="dxa"/>
            <w:left w:w="108" w:type="dxa"/>
            <w:bottom w:w="0" w:type="dxa"/>
            <w:right w:w="108" w:type="dxa"/>
          </w:tblCellMar>
        </w:tblPrEx>
        <w:trPr>
          <w:trHeight w:val="397" w:hRule="atLeast"/>
        </w:trPr>
        <w:tc>
          <w:tcPr>
            <w:tcW w:w="5534" w:type="dxa"/>
            <w:noWrap/>
            <w:vAlign w:val="center"/>
          </w:tcPr>
          <w:p w14:paraId="000B5ED0">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4EB6A136">
        <w:tblPrEx>
          <w:tblCellMar>
            <w:top w:w="0" w:type="dxa"/>
            <w:left w:w="108" w:type="dxa"/>
            <w:bottom w:w="0" w:type="dxa"/>
            <w:right w:w="108" w:type="dxa"/>
          </w:tblCellMar>
        </w:tblPrEx>
        <w:trPr>
          <w:trHeight w:val="397" w:hRule="atLeast"/>
        </w:trPr>
        <w:tc>
          <w:tcPr>
            <w:tcW w:w="5534" w:type="dxa"/>
            <w:noWrap/>
            <w:vAlign w:val="center"/>
          </w:tcPr>
          <w:p w14:paraId="120C720F">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3A18014D">
      <w:pPr>
        <w:widowControl/>
        <w:spacing w:line="240" w:lineRule="auto"/>
        <w:jc w:val="left"/>
        <w:rPr>
          <w:rFonts w:hint="eastAsia" w:cs="宋体"/>
          <w:color w:val="auto"/>
          <w:szCs w:val="21"/>
          <w:highlight w:val="none"/>
        </w:rPr>
      </w:pPr>
    </w:p>
    <w:p w14:paraId="515B8A9C">
      <w:pPr>
        <w:widowControl/>
        <w:spacing w:line="240" w:lineRule="auto"/>
        <w:jc w:val="left"/>
        <w:rPr>
          <w:rFonts w:hint="eastAsia"/>
          <w:b/>
          <w:bCs/>
          <w:color w:val="auto"/>
          <w:sz w:val="28"/>
          <w:szCs w:val="36"/>
          <w:highlight w:val="none"/>
        </w:rPr>
      </w:pPr>
      <w:r>
        <w:rPr>
          <w:b/>
          <w:bCs/>
          <w:color w:val="auto"/>
          <w:sz w:val="28"/>
          <w:szCs w:val="36"/>
          <w:highlight w:val="none"/>
        </w:rPr>
        <w:br w:type="page"/>
      </w:r>
    </w:p>
    <w:p w14:paraId="22A0BFC1">
      <w:pPr>
        <w:jc w:val="center"/>
        <w:outlineLvl w:val="2"/>
        <w:rPr>
          <w:rFonts w:hint="default" w:eastAsia="宋体"/>
          <w:b/>
          <w:bCs/>
          <w:color w:val="auto"/>
          <w:sz w:val="28"/>
          <w:szCs w:val="36"/>
          <w:highlight w:val="none"/>
          <w:lang w:val="en-US" w:eastAsia="zh-CN"/>
        </w:rPr>
      </w:pPr>
      <w:bookmarkStart w:id="309" w:name="_Toc2417"/>
      <w:r>
        <w:rPr>
          <w:rFonts w:hint="eastAsia"/>
          <w:b/>
          <w:bCs/>
          <w:color w:val="auto"/>
          <w:sz w:val="28"/>
          <w:szCs w:val="36"/>
          <w:highlight w:val="none"/>
        </w:rPr>
        <w:t>（十</w:t>
      </w:r>
      <w:r>
        <w:rPr>
          <w:rFonts w:hint="eastAsia"/>
          <w:b/>
          <w:bCs/>
          <w:color w:val="auto"/>
          <w:sz w:val="28"/>
          <w:szCs w:val="36"/>
          <w:highlight w:val="none"/>
          <w:lang w:val="en-US" w:eastAsia="zh-CN"/>
        </w:rPr>
        <w:t>五</w:t>
      </w:r>
      <w:r>
        <w:rPr>
          <w:rFonts w:hint="eastAsia"/>
          <w:b/>
          <w:bCs/>
          <w:color w:val="auto"/>
          <w:sz w:val="28"/>
          <w:szCs w:val="36"/>
          <w:highlight w:val="none"/>
        </w:rPr>
        <w:t>）</w:t>
      </w:r>
      <w:bookmarkEnd w:id="301"/>
      <w:bookmarkEnd w:id="302"/>
      <w:bookmarkEnd w:id="303"/>
      <w:bookmarkEnd w:id="304"/>
      <w:bookmarkEnd w:id="305"/>
      <w:bookmarkEnd w:id="309"/>
      <w:bookmarkStart w:id="310" w:name="_Toc31311"/>
      <w:r>
        <w:rPr>
          <w:rFonts w:hint="eastAsia"/>
          <w:b/>
          <w:bCs/>
          <w:color w:val="auto"/>
          <w:sz w:val="28"/>
          <w:szCs w:val="36"/>
          <w:highlight w:val="none"/>
        </w:rPr>
        <w:t>构成投标文件商务部分的其他资料</w:t>
      </w:r>
      <w:bookmarkEnd w:id="310"/>
    </w:p>
    <w:bookmarkEnd w:id="306"/>
    <w:bookmarkEnd w:id="307"/>
    <w:bookmarkEnd w:id="308"/>
    <w:p w14:paraId="196E07B7">
      <w:pPr>
        <w:jc w:val="center"/>
        <w:rPr>
          <w:rFonts w:hint="eastAsia" w:cs="宋体"/>
          <w:bCs/>
          <w:color w:val="auto"/>
          <w:highlight w:val="none"/>
        </w:rPr>
      </w:pPr>
      <w:r>
        <w:rPr>
          <w:rFonts w:hint="eastAsia" w:cs="宋体"/>
          <w:bCs/>
          <w:color w:val="auto"/>
          <w:highlight w:val="none"/>
        </w:rPr>
        <w:t>（若有，内容格式自拟）</w:t>
      </w:r>
    </w:p>
    <w:p w14:paraId="4EC9E8FC">
      <w:pPr>
        <w:rPr>
          <w:rFonts w:hint="eastAsia" w:cs="宋体"/>
          <w:b/>
          <w:color w:val="auto"/>
          <w:sz w:val="28"/>
          <w:szCs w:val="28"/>
          <w:highlight w:val="none"/>
        </w:rPr>
      </w:pPr>
    </w:p>
    <w:p w14:paraId="41BD128D">
      <w:pPr>
        <w:rPr>
          <w:rFonts w:hint="eastAsia" w:cs="宋体"/>
          <w:b/>
          <w:color w:val="auto"/>
          <w:sz w:val="28"/>
          <w:szCs w:val="28"/>
          <w:highlight w:val="none"/>
        </w:rPr>
      </w:pPr>
    </w:p>
    <w:p w14:paraId="6A9BD72B">
      <w:pPr>
        <w:rPr>
          <w:rFonts w:hint="eastAsia" w:cs="宋体"/>
          <w:b/>
          <w:color w:val="auto"/>
          <w:sz w:val="28"/>
          <w:szCs w:val="28"/>
          <w:highlight w:val="none"/>
        </w:rPr>
      </w:pPr>
      <w:r>
        <w:rPr>
          <w:rFonts w:hint="eastAsia" w:cs="宋体"/>
          <w:b/>
          <w:color w:val="auto"/>
          <w:sz w:val="28"/>
          <w:szCs w:val="28"/>
          <w:highlight w:val="none"/>
        </w:rPr>
        <w:br w:type="page"/>
      </w:r>
    </w:p>
    <w:p w14:paraId="0D87F0F5">
      <w:pPr>
        <w:pStyle w:val="3"/>
        <w:bidi w:val="0"/>
        <w:rPr>
          <w:rFonts w:hint="eastAsia"/>
        </w:rPr>
      </w:pPr>
      <w:bookmarkStart w:id="311" w:name="_Toc8246"/>
      <w:r>
        <w:rPr>
          <w:rFonts w:hint="eastAsia"/>
        </w:rPr>
        <w:t>四、技术部分</w:t>
      </w:r>
      <w:bookmarkEnd w:id="198"/>
      <w:bookmarkEnd w:id="199"/>
      <w:bookmarkEnd w:id="200"/>
      <w:bookmarkEnd w:id="311"/>
    </w:p>
    <w:p w14:paraId="75AA39A0">
      <w:pPr>
        <w:jc w:val="center"/>
        <w:outlineLvl w:val="2"/>
        <w:rPr>
          <w:rFonts w:hint="eastAsia"/>
          <w:b/>
          <w:bCs/>
          <w:color w:val="auto"/>
          <w:sz w:val="28"/>
          <w:szCs w:val="36"/>
          <w:highlight w:val="none"/>
        </w:rPr>
      </w:pPr>
      <w:bookmarkStart w:id="312" w:name="_Toc24365"/>
      <w:bookmarkStart w:id="313" w:name="_Toc166067797"/>
      <w:bookmarkStart w:id="314" w:name="_Toc139357074"/>
      <w:bookmarkStart w:id="315" w:name="_Toc125986483"/>
      <w:bookmarkStart w:id="316" w:name="_Toc125904346"/>
      <w:bookmarkStart w:id="317" w:name="_Toc9543"/>
      <w:r>
        <w:rPr>
          <w:rFonts w:hint="eastAsia"/>
          <w:b/>
          <w:bCs/>
          <w:color w:val="auto"/>
          <w:sz w:val="28"/>
          <w:szCs w:val="36"/>
          <w:highlight w:val="none"/>
        </w:rPr>
        <w:t>（一）</w:t>
      </w:r>
      <w:r>
        <w:rPr>
          <w:b/>
          <w:bCs/>
          <w:color w:val="auto"/>
          <w:sz w:val="28"/>
          <w:szCs w:val="36"/>
          <w:highlight w:val="none"/>
        </w:rPr>
        <w:t>技术规格偏离表</w:t>
      </w:r>
      <w:bookmarkEnd w:id="312"/>
      <w:bookmarkEnd w:id="313"/>
      <w:bookmarkEnd w:id="314"/>
    </w:p>
    <w:p w14:paraId="603E060F">
      <w:pPr>
        <w:ind w:firstLine="420"/>
        <w:rPr>
          <w:rFonts w:hint="eastAsia"/>
          <w:color w:val="auto"/>
          <w:highlight w:val="none"/>
        </w:rPr>
      </w:pPr>
      <w:r>
        <w:rPr>
          <w:color w:val="auto"/>
          <w:highlight w:val="none"/>
        </w:rPr>
        <w:t>投标人应按所投产品的实际技术参数，对应招标文件的</w:t>
      </w:r>
      <w:r>
        <w:rPr>
          <w:b/>
          <w:bCs/>
          <w:color w:val="auto"/>
          <w:highlight w:val="none"/>
        </w:rPr>
        <w:t>第五章“</w:t>
      </w:r>
      <w:r>
        <w:rPr>
          <w:rFonts w:hint="eastAsia"/>
          <w:b/>
          <w:bCs/>
          <w:color w:val="auto"/>
          <w:szCs w:val="21"/>
          <w:highlight w:val="none"/>
          <w:lang w:eastAsia="zh-CN"/>
        </w:rPr>
        <w:t>采购需求</w:t>
      </w:r>
      <w:r>
        <w:rPr>
          <w:b/>
          <w:bCs/>
          <w:color w:val="auto"/>
          <w:highlight w:val="none"/>
        </w:rPr>
        <w:t>”</w:t>
      </w:r>
      <w:r>
        <w:rPr>
          <w:color w:val="auto"/>
          <w:highlight w:val="none"/>
        </w:rPr>
        <w:t>中要求的技术规范如实、完整、准确的填写该表，</w:t>
      </w:r>
      <w:r>
        <w:rPr>
          <w:b/>
          <w:color w:val="auto"/>
          <w:highlight w:val="none"/>
        </w:rPr>
        <w:t>该表不能作为所投产品的技术支持资料。</w:t>
      </w:r>
    </w:p>
    <w:p w14:paraId="4849554B">
      <w:pPr>
        <w:ind w:firstLine="420"/>
        <w:rPr>
          <w:rFonts w:hint="eastAsia"/>
          <w:b/>
          <w:color w:val="auto"/>
          <w:highlight w:val="none"/>
          <w:u w:val="single"/>
        </w:rPr>
      </w:pPr>
      <w:r>
        <w:rPr>
          <w:b/>
          <w:color w:val="auto"/>
          <w:highlight w:val="none"/>
        </w:rPr>
        <w:t>项目名称：                  招标编号：</w:t>
      </w:r>
    </w:p>
    <w:tbl>
      <w:tblPr>
        <w:tblStyle w:val="44"/>
        <w:tblW w:w="498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03"/>
        <w:gridCol w:w="1374"/>
        <w:gridCol w:w="1905"/>
        <w:gridCol w:w="2169"/>
        <w:gridCol w:w="1392"/>
        <w:gridCol w:w="2491"/>
      </w:tblGrid>
      <w:tr w14:paraId="03C97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9" w:hRule="atLeast"/>
        </w:trPr>
        <w:tc>
          <w:tcPr>
            <w:tcW w:w="304" w:type="pct"/>
            <w:vAlign w:val="center"/>
          </w:tcPr>
          <w:p w14:paraId="68749B0A">
            <w:pPr>
              <w:spacing w:line="240" w:lineRule="auto"/>
              <w:jc w:val="center"/>
              <w:rPr>
                <w:rFonts w:hint="eastAsia"/>
                <w:b/>
                <w:color w:val="auto"/>
                <w:szCs w:val="21"/>
                <w:highlight w:val="none"/>
              </w:rPr>
            </w:pPr>
            <w:r>
              <w:rPr>
                <w:b/>
                <w:color w:val="auto"/>
                <w:szCs w:val="21"/>
                <w:highlight w:val="none"/>
              </w:rPr>
              <w:t>序号</w:t>
            </w:r>
          </w:p>
        </w:tc>
        <w:tc>
          <w:tcPr>
            <w:tcW w:w="691" w:type="pct"/>
            <w:vAlign w:val="center"/>
          </w:tcPr>
          <w:p w14:paraId="5F4FEEDF">
            <w:pPr>
              <w:spacing w:line="240" w:lineRule="auto"/>
              <w:jc w:val="center"/>
              <w:rPr>
                <w:rFonts w:hint="eastAsia"/>
                <w:b/>
                <w:color w:val="auto"/>
                <w:szCs w:val="21"/>
                <w:highlight w:val="none"/>
              </w:rPr>
            </w:pPr>
            <w:r>
              <w:rPr>
                <w:b/>
                <w:color w:val="auto"/>
                <w:szCs w:val="21"/>
                <w:highlight w:val="none"/>
              </w:rPr>
              <w:t>货物名称</w:t>
            </w:r>
          </w:p>
        </w:tc>
        <w:tc>
          <w:tcPr>
            <w:tcW w:w="958" w:type="pct"/>
            <w:vAlign w:val="center"/>
          </w:tcPr>
          <w:p w14:paraId="194CC8D2">
            <w:pPr>
              <w:spacing w:line="240" w:lineRule="auto"/>
              <w:jc w:val="center"/>
              <w:rPr>
                <w:rFonts w:hint="eastAsia"/>
                <w:b/>
                <w:color w:val="auto"/>
                <w:szCs w:val="21"/>
                <w:highlight w:val="none"/>
              </w:rPr>
            </w:pPr>
            <w:r>
              <w:rPr>
                <w:b/>
                <w:color w:val="auto"/>
                <w:szCs w:val="21"/>
                <w:highlight w:val="none"/>
              </w:rPr>
              <w:t>招标文件技术规范、要求</w:t>
            </w:r>
          </w:p>
        </w:tc>
        <w:tc>
          <w:tcPr>
            <w:tcW w:w="1091" w:type="pct"/>
            <w:vAlign w:val="center"/>
          </w:tcPr>
          <w:p w14:paraId="2C4E1153">
            <w:pPr>
              <w:spacing w:line="240" w:lineRule="auto"/>
              <w:jc w:val="center"/>
              <w:rPr>
                <w:rFonts w:hint="eastAsia"/>
                <w:b/>
                <w:color w:val="auto"/>
                <w:szCs w:val="21"/>
                <w:highlight w:val="none"/>
              </w:rPr>
            </w:pPr>
            <w:r>
              <w:rPr>
                <w:b/>
                <w:color w:val="auto"/>
                <w:szCs w:val="21"/>
                <w:highlight w:val="none"/>
              </w:rPr>
              <w:t>投标品牌、型号、技术参数及配置</w:t>
            </w:r>
          </w:p>
        </w:tc>
        <w:tc>
          <w:tcPr>
            <w:tcW w:w="700" w:type="pct"/>
            <w:vAlign w:val="center"/>
          </w:tcPr>
          <w:p w14:paraId="4FA5B05F">
            <w:pPr>
              <w:spacing w:line="240" w:lineRule="auto"/>
              <w:jc w:val="center"/>
              <w:rPr>
                <w:rFonts w:hint="eastAsia"/>
                <w:b/>
                <w:color w:val="auto"/>
                <w:szCs w:val="21"/>
                <w:highlight w:val="none"/>
              </w:rPr>
            </w:pPr>
            <w:r>
              <w:rPr>
                <w:b/>
                <w:color w:val="auto"/>
                <w:szCs w:val="21"/>
                <w:highlight w:val="none"/>
              </w:rPr>
              <w:t>偏离</w:t>
            </w:r>
          </w:p>
        </w:tc>
        <w:tc>
          <w:tcPr>
            <w:tcW w:w="1253" w:type="pct"/>
            <w:vAlign w:val="center"/>
          </w:tcPr>
          <w:p w14:paraId="521BA667">
            <w:pPr>
              <w:spacing w:line="240" w:lineRule="auto"/>
              <w:jc w:val="center"/>
              <w:rPr>
                <w:rFonts w:hint="eastAsia"/>
                <w:b/>
                <w:color w:val="auto"/>
                <w:szCs w:val="21"/>
                <w:highlight w:val="none"/>
              </w:rPr>
            </w:pPr>
            <w:r>
              <w:rPr>
                <w:b/>
                <w:color w:val="auto"/>
                <w:szCs w:val="21"/>
                <w:highlight w:val="none"/>
              </w:rPr>
              <w:t>技术支持资料索引（页码及条目号等）</w:t>
            </w:r>
          </w:p>
        </w:tc>
      </w:tr>
      <w:tr w14:paraId="22485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2" w:hRule="atLeast"/>
        </w:trPr>
        <w:tc>
          <w:tcPr>
            <w:tcW w:w="304" w:type="pct"/>
            <w:vAlign w:val="center"/>
          </w:tcPr>
          <w:p w14:paraId="1933721B">
            <w:pPr>
              <w:spacing w:line="240" w:lineRule="auto"/>
              <w:jc w:val="center"/>
              <w:rPr>
                <w:rFonts w:hint="eastAsia"/>
                <w:color w:val="auto"/>
                <w:szCs w:val="21"/>
                <w:highlight w:val="none"/>
              </w:rPr>
            </w:pPr>
          </w:p>
        </w:tc>
        <w:tc>
          <w:tcPr>
            <w:tcW w:w="691" w:type="pct"/>
            <w:vAlign w:val="center"/>
          </w:tcPr>
          <w:p w14:paraId="2F1399C5">
            <w:pPr>
              <w:spacing w:line="240" w:lineRule="auto"/>
              <w:jc w:val="center"/>
              <w:rPr>
                <w:rFonts w:hint="eastAsia"/>
                <w:color w:val="auto"/>
                <w:szCs w:val="21"/>
                <w:highlight w:val="none"/>
              </w:rPr>
            </w:pPr>
          </w:p>
        </w:tc>
        <w:tc>
          <w:tcPr>
            <w:tcW w:w="958" w:type="pct"/>
            <w:vAlign w:val="center"/>
          </w:tcPr>
          <w:p w14:paraId="744F0BE6">
            <w:pPr>
              <w:spacing w:line="240" w:lineRule="auto"/>
              <w:jc w:val="center"/>
              <w:rPr>
                <w:rFonts w:hint="eastAsia"/>
                <w:color w:val="auto"/>
                <w:szCs w:val="21"/>
                <w:highlight w:val="none"/>
              </w:rPr>
            </w:pPr>
          </w:p>
        </w:tc>
        <w:tc>
          <w:tcPr>
            <w:tcW w:w="1091" w:type="pct"/>
            <w:vAlign w:val="center"/>
          </w:tcPr>
          <w:p w14:paraId="657D2B74">
            <w:pPr>
              <w:spacing w:line="240" w:lineRule="auto"/>
              <w:jc w:val="center"/>
              <w:rPr>
                <w:rFonts w:hint="eastAsia"/>
                <w:color w:val="auto"/>
                <w:szCs w:val="21"/>
                <w:highlight w:val="none"/>
              </w:rPr>
            </w:pPr>
          </w:p>
        </w:tc>
        <w:tc>
          <w:tcPr>
            <w:tcW w:w="700" w:type="pct"/>
          </w:tcPr>
          <w:p w14:paraId="725B47A8">
            <w:pPr>
              <w:spacing w:line="240" w:lineRule="auto"/>
              <w:jc w:val="center"/>
              <w:rPr>
                <w:rFonts w:hint="eastAsia"/>
                <w:color w:val="auto"/>
                <w:szCs w:val="21"/>
                <w:highlight w:val="none"/>
              </w:rPr>
            </w:pPr>
          </w:p>
        </w:tc>
        <w:tc>
          <w:tcPr>
            <w:tcW w:w="1253" w:type="pct"/>
            <w:vAlign w:val="center"/>
          </w:tcPr>
          <w:p w14:paraId="1AFAB6A0">
            <w:pPr>
              <w:spacing w:line="240" w:lineRule="auto"/>
              <w:jc w:val="center"/>
              <w:rPr>
                <w:rFonts w:hint="eastAsia"/>
                <w:color w:val="auto"/>
                <w:szCs w:val="21"/>
                <w:highlight w:val="none"/>
              </w:rPr>
            </w:pPr>
          </w:p>
        </w:tc>
      </w:tr>
      <w:tr w14:paraId="664FC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2" w:hRule="atLeast"/>
        </w:trPr>
        <w:tc>
          <w:tcPr>
            <w:tcW w:w="304" w:type="pct"/>
            <w:vAlign w:val="center"/>
          </w:tcPr>
          <w:p w14:paraId="0493A7CF">
            <w:pPr>
              <w:spacing w:line="240" w:lineRule="auto"/>
              <w:jc w:val="center"/>
              <w:rPr>
                <w:rFonts w:hint="eastAsia"/>
                <w:color w:val="auto"/>
                <w:szCs w:val="21"/>
                <w:highlight w:val="none"/>
              </w:rPr>
            </w:pPr>
          </w:p>
        </w:tc>
        <w:tc>
          <w:tcPr>
            <w:tcW w:w="691" w:type="pct"/>
            <w:vAlign w:val="center"/>
          </w:tcPr>
          <w:p w14:paraId="518CC376">
            <w:pPr>
              <w:spacing w:line="240" w:lineRule="auto"/>
              <w:jc w:val="center"/>
              <w:rPr>
                <w:rFonts w:hint="eastAsia"/>
                <w:color w:val="auto"/>
                <w:szCs w:val="21"/>
                <w:highlight w:val="none"/>
              </w:rPr>
            </w:pPr>
          </w:p>
        </w:tc>
        <w:tc>
          <w:tcPr>
            <w:tcW w:w="958" w:type="pct"/>
            <w:vAlign w:val="center"/>
          </w:tcPr>
          <w:p w14:paraId="65F99311">
            <w:pPr>
              <w:spacing w:line="240" w:lineRule="auto"/>
              <w:jc w:val="center"/>
              <w:rPr>
                <w:rFonts w:hint="eastAsia"/>
                <w:color w:val="auto"/>
                <w:szCs w:val="21"/>
                <w:highlight w:val="none"/>
              </w:rPr>
            </w:pPr>
          </w:p>
        </w:tc>
        <w:tc>
          <w:tcPr>
            <w:tcW w:w="1091" w:type="pct"/>
            <w:vAlign w:val="center"/>
          </w:tcPr>
          <w:p w14:paraId="3F2176CA">
            <w:pPr>
              <w:spacing w:line="240" w:lineRule="auto"/>
              <w:jc w:val="center"/>
              <w:rPr>
                <w:rFonts w:hint="eastAsia"/>
                <w:color w:val="auto"/>
                <w:szCs w:val="21"/>
                <w:highlight w:val="none"/>
              </w:rPr>
            </w:pPr>
          </w:p>
        </w:tc>
        <w:tc>
          <w:tcPr>
            <w:tcW w:w="700" w:type="pct"/>
            <w:vAlign w:val="center"/>
          </w:tcPr>
          <w:p w14:paraId="005821D4">
            <w:pPr>
              <w:spacing w:line="240" w:lineRule="auto"/>
              <w:jc w:val="center"/>
              <w:rPr>
                <w:rFonts w:hint="eastAsia"/>
                <w:color w:val="auto"/>
                <w:szCs w:val="21"/>
                <w:highlight w:val="none"/>
              </w:rPr>
            </w:pPr>
          </w:p>
        </w:tc>
        <w:tc>
          <w:tcPr>
            <w:tcW w:w="1253" w:type="pct"/>
            <w:vAlign w:val="center"/>
          </w:tcPr>
          <w:p w14:paraId="0498172D">
            <w:pPr>
              <w:spacing w:line="240" w:lineRule="auto"/>
              <w:jc w:val="center"/>
              <w:rPr>
                <w:rFonts w:hint="eastAsia"/>
                <w:color w:val="auto"/>
                <w:szCs w:val="21"/>
                <w:highlight w:val="none"/>
              </w:rPr>
            </w:pPr>
          </w:p>
        </w:tc>
      </w:tr>
      <w:tr w14:paraId="7B156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7" w:hRule="atLeast"/>
        </w:trPr>
        <w:tc>
          <w:tcPr>
            <w:tcW w:w="304" w:type="pct"/>
            <w:vAlign w:val="center"/>
          </w:tcPr>
          <w:p w14:paraId="78488C16">
            <w:pPr>
              <w:spacing w:line="240" w:lineRule="auto"/>
              <w:jc w:val="center"/>
              <w:rPr>
                <w:rFonts w:hint="default" w:eastAsia="宋体"/>
                <w:color w:val="auto"/>
                <w:szCs w:val="21"/>
                <w:highlight w:val="none"/>
                <w:lang w:val="en-US" w:eastAsia="zh-CN"/>
              </w:rPr>
            </w:pPr>
            <w:r>
              <w:rPr>
                <w:rFonts w:hint="eastAsia"/>
                <w:color w:val="auto"/>
                <w:szCs w:val="21"/>
                <w:highlight w:val="none"/>
                <w:lang w:val="en-US" w:eastAsia="zh-CN"/>
              </w:rPr>
              <w:t>...</w:t>
            </w:r>
          </w:p>
        </w:tc>
        <w:tc>
          <w:tcPr>
            <w:tcW w:w="691" w:type="pct"/>
            <w:vAlign w:val="center"/>
          </w:tcPr>
          <w:p w14:paraId="180B9613">
            <w:pPr>
              <w:spacing w:line="240" w:lineRule="auto"/>
              <w:jc w:val="center"/>
              <w:rPr>
                <w:rFonts w:hint="eastAsia"/>
                <w:color w:val="auto"/>
                <w:szCs w:val="21"/>
                <w:highlight w:val="none"/>
              </w:rPr>
            </w:pPr>
          </w:p>
        </w:tc>
        <w:tc>
          <w:tcPr>
            <w:tcW w:w="958" w:type="pct"/>
            <w:vAlign w:val="center"/>
          </w:tcPr>
          <w:p w14:paraId="6EC9A836">
            <w:pPr>
              <w:spacing w:line="240" w:lineRule="auto"/>
              <w:jc w:val="center"/>
              <w:rPr>
                <w:rFonts w:hint="eastAsia"/>
                <w:color w:val="auto"/>
                <w:szCs w:val="21"/>
                <w:highlight w:val="none"/>
              </w:rPr>
            </w:pPr>
          </w:p>
        </w:tc>
        <w:tc>
          <w:tcPr>
            <w:tcW w:w="1091" w:type="pct"/>
            <w:vAlign w:val="center"/>
          </w:tcPr>
          <w:p w14:paraId="2A323516">
            <w:pPr>
              <w:spacing w:line="240" w:lineRule="auto"/>
              <w:jc w:val="center"/>
              <w:rPr>
                <w:rFonts w:hint="eastAsia"/>
                <w:color w:val="auto"/>
                <w:szCs w:val="21"/>
                <w:highlight w:val="none"/>
              </w:rPr>
            </w:pPr>
          </w:p>
        </w:tc>
        <w:tc>
          <w:tcPr>
            <w:tcW w:w="700" w:type="pct"/>
            <w:vAlign w:val="center"/>
          </w:tcPr>
          <w:p w14:paraId="54F4FE3D">
            <w:pPr>
              <w:spacing w:line="240" w:lineRule="auto"/>
              <w:jc w:val="center"/>
              <w:rPr>
                <w:rFonts w:hint="eastAsia"/>
                <w:color w:val="auto"/>
                <w:szCs w:val="21"/>
                <w:highlight w:val="none"/>
              </w:rPr>
            </w:pPr>
          </w:p>
        </w:tc>
        <w:tc>
          <w:tcPr>
            <w:tcW w:w="1253" w:type="pct"/>
            <w:vAlign w:val="center"/>
          </w:tcPr>
          <w:p w14:paraId="58515FAB">
            <w:pPr>
              <w:spacing w:line="240" w:lineRule="auto"/>
              <w:jc w:val="center"/>
              <w:rPr>
                <w:rFonts w:hint="eastAsia"/>
                <w:color w:val="auto"/>
                <w:szCs w:val="21"/>
                <w:highlight w:val="none"/>
              </w:rPr>
            </w:pPr>
          </w:p>
        </w:tc>
      </w:tr>
    </w:tbl>
    <w:p w14:paraId="7B7CF320">
      <w:pPr>
        <w:ind w:firstLine="420" w:firstLineChars="200"/>
        <w:rPr>
          <w:rFonts w:hint="eastAsia"/>
          <w:b/>
          <w:color w:val="auto"/>
          <w:szCs w:val="21"/>
          <w:highlight w:val="none"/>
        </w:rPr>
      </w:pPr>
      <w:r>
        <w:rPr>
          <w:b/>
          <w:color w:val="auto"/>
          <w:szCs w:val="21"/>
          <w:highlight w:val="none"/>
        </w:rPr>
        <w:t>表格填写说明：</w:t>
      </w:r>
    </w:p>
    <w:p w14:paraId="4B2BC60E">
      <w:pPr>
        <w:ind w:firstLine="420" w:firstLineChars="200"/>
        <w:rPr>
          <w:rFonts w:hint="eastAsia"/>
          <w:color w:val="auto"/>
          <w:szCs w:val="21"/>
          <w:highlight w:val="none"/>
        </w:rPr>
      </w:pPr>
      <w:r>
        <w:rPr>
          <w:color w:val="auto"/>
          <w:szCs w:val="21"/>
          <w:highlight w:val="none"/>
        </w:rPr>
        <w:t>1、表格中“货物名称”及“招标文件技术规范、要求”可按“货物需求一览表”内容复制。</w:t>
      </w:r>
    </w:p>
    <w:p w14:paraId="696153F1">
      <w:pPr>
        <w:ind w:firstLine="420" w:firstLineChars="200"/>
        <w:rPr>
          <w:rFonts w:hint="eastAsia"/>
          <w:b/>
          <w:bCs/>
          <w:color w:val="auto"/>
          <w:szCs w:val="21"/>
          <w:highlight w:val="none"/>
        </w:rPr>
      </w:pPr>
      <w:r>
        <w:rPr>
          <w:b/>
          <w:bCs/>
          <w:color w:val="auto"/>
          <w:szCs w:val="21"/>
          <w:highlight w:val="none"/>
        </w:rPr>
        <w:t>2、表格中“投标品牌、型号、技术参数及配置”请投标人根据实际投标情况如实、完整、准确地填写，请勿复制、粘贴招标要求。投标人如果复制粘贴招标文件技术规范、要求而未提供技术支持资料或说明的，视为不响应该条技术参数要求。</w:t>
      </w:r>
    </w:p>
    <w:p w14:paraId="42FA0DA0">
      <w:pPr>
        <w:ind w:firstLine="420" w:firstLineChars="200"/>
        <w:rPr>
          <w:rFonts w:hint="eastAsia"/>
          <w:color w:val="auto"/>
          <w:szCs w:val="21"/>
          <w:highlight w:val="none"/>
        </w:rPr>
      </w:pPr>
      <w:r>
        <w:rPr>
          <w:color w:val="auto"/>
          <w:szCs w:val="21"/>
          <w:highlight w:val="none"/>
        </w:rPr>
        <w:t>3、表格中“偏离”部分，投标人只能如实填写“正偏离”、“负偏离”或“无偏离”。凡投标内容与招标文件要求有区别的在说明栏中写明技术指标。</w:t>
      </w:r>
    </w:p>
    <w:p w14:paraId="5C1E497D">
      <w:pPr>
        <w:ind w:firstLine="420" w:firstLineChars="200"/>
        <w:rPr>
          <w:rFonts w:hint="eastAsia"/>
          <w:color w:val="auto"/>
          <w:szCs w:val="21"/>
          <w:highlight w:val="none"/>
        </w:rPr>
      </w:pPr>
      <w:r>
        <w:rPr>
          <w:color w:val="auto"/>
          <w:szCs w:val="21"/>
          <w:highlight w:val="none"/>
        </w:rPr>
        <w:t>4、</w:t>
      </w:r>
      <w:r>
        <w:rPr>
          <w:bCs/>
          <w:color w:val="auto"/>
          <w:szCs w:val="21"/>
          <w:highlight w:val="none"/>
        </w:rPr>
        <w:t>各投标人必须对招标文件第五章</w:t>
      </w:r>
      <w:r>
        <w:rPr>
          <w:rFonts w:hint="eastAsia"/>
          <w:bCs/>
          <w:color w:val="auto"/>
          <w:szCs w:val="21"/>
          <w:highlight w:val="none"/>
          <w:lang w:eastAsia="zh-CN"/>
        </w:rPr>
        <w:t>采购需求</w:t>
      </w:r>
      <w:r>
        <w:rPr>
          <w:bCs/>
          <w:color w:val="auto"/>
          <w:szCs w:val="21"/>
          <w:highlight w:val="none"/>
        </w:rPr>
        <w:t>中的技术参数要求作出全面、真实的反映，投标人除如实填写技术规格偏离表外，</w:t>
      </w:r>
      <w:r>
        <w:rPr>
          <w:b/>
          <w:bCs/>
          <w:color w:val="auto"/>
          <w:szCs w:val="21"/>
          <w:highlight w:val="none"/>
        </w:rPr>
        <w:t>投标文件中必须提供最新技术支持资料支持参数技术规格偏离表应答</w:t>
      </w:r>
      <w:r>
        <w:rPr>
          <w:bCs/>
          <w:color w:val="auto"/>
          <w:szCs w:val="21"/>
          <w:highlight w:val="none"/>
        </w:rPr>
        <w:t>（技术支持资料以制造商公开发布的印刷资料或检测机构出具的检测报告为准。若制造商公开发布的印刷资料与检测机构出具的检测报告不一致，以检测机构出具的检测报告为准），</w:t>
      </w:r>
      <w:r>
        <w:rPr>
          <w:b/>
          <w:bCs/>
          <w:color w:val="auto"/>
          <w:szCs w:val="21"/>
          <w:highlight w:val="none"/>
        </w:rPr>
        <w:t>若投标文件中最新技术支持资料参数与技术规格偏离表应答不符或无技术支持资料支持应答的，视为不响应该条技术参数要求。（第五章“</w:t>
      </w:r>
      <w:r>
        <w:rPr>
          <w:rFonts w:hint="eastAsia"/>
          <w:b/>
          <w:bCs/>
          <w:color w:val="auto"/>
          <w:szCs w:val="21"/>
          <w:highlight w:val="none"/>
          <w:lang w:eastAsia="zh-CN"/>
        </w:rPr>
        <w:t>采购需求</w:t>
      </w:r>
      <w:r>
        <w:rPr>
          <w:b/>
          <w:bCs/>
          <w:color w:val="auto"/>
          <w:szCs w:val="21"/>
          <w:highlight w:val="none"/>
        </w:rPr>
        <w:t>”另有规定提供除外）。</w:t>
      </w:r>
    </w:p>
    <w:p w14:paraId="1CCC49D9">
      <w:pPr>
        <w:ind w:firstLine="420" w:firstLineChars="200"/>
        <w:rPr>
          <w:rFonts w:hint="eastAsia"/>
          <w:b/>
          <w:color w:val="auto"/>
          <w:szCs w:val="21"/>
          <w:highlight w:val="none"/>
        </w:rPr>
      </w:pPr>
      <w:r>
        <w:rPr>
          <w:b/>
          <w:color w:val="auto"/>
          <w:szCs w:val="21"/>
          <w:highlight w:val="none"/>
        </w:rPr>
        <w:t>4、投标人应将支持该项技术要求响应的技术支持资料在投标文件中的索引（指技术支持资料所在投标文件中的页码及条目号等）标注在“技术支持资料索引”一栏中，未进行标注或标注不准确造成的不利后果，由投标人承担。</w:t>
      </w:r>
    </w:p>
    <w:tbl>
      <w:tblPr>
        <w:tblStyle w:val="44"/>
        <w:tblW w:w="5534" w:type="dxa"/>
        <w:tblInd w:w="4294" w:type="dxa"/>
        <w:tblLayout w:type="fixed"/>
        <w:tblCellMar>
          <w:top w:w="0" w:type="dxa"/>
          <w:left w:w="108" w:type="dxa"/>
          <w:bottom w:w="0" w:type="dxa"/>
          <w:right w:w="108" w:type="dxa"/>
        </w:tblCellMar>
      </w:tblPr>
      <w:tblGrid>
        <w:gridCol w:w="5534"/>
      </w:tblGrid>
      <w:tr w14:paraId="0DA10CBF">
        <w:tblPrEx>
          <w:tblCellMar>
            <w:top w:w="0" w:type="dxa"/>
            <w:left w:w="108" w:type="dxa"/>
            <w:bottom w:w="0" w:type="dxa"/>
            <w:right w:w="108" w:type="dxa"/>
          </w:tblCellMar>
        </w:tblPrEx>
        <w:trPr>
          <w:trHeight w:val="340" w:hRule="atLeast"/>
        </w:trPr>
        <w:tc>
          <w:tcPr>
            <w:tcW w:w="5534" w:type="dxa"/>
            <w:noWrap/>
            <w:vAlign w:val="center"/>
          </w:tcPr>
          <w:p w14:paraId="7279948B">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投标人：（加盖电子公章）</w:t>
            </w:r>
          </w:p>
        </w:tc>
      </w:tr>
      <w:tr w14:paraId="0CAE7173">
        <w:tblPrEx>
          <w:tblCellMar>
            <w:top w:w="0" w:type="dxa"/>
            <w:left w:w="108" w:type="dxa"/>
            <w:bottom w:w="0" w:type="dxa"/>
            <w:right w:w="108" w:type="dxa"/>
          </w:tblCellMar>
        </w:tblPrEx>
        <w:trPr>
          <w:trHeight w:val="340" w:hRule="atLeast"/>
        </w:trPr>
        <w:tc>
          <w:tcPr>
            <w:tcW w:w="5534" w:type="dxa"/>
            <w:noWrap/>
            <w:vAlign w:val="center"/>
          </w:tcPr>
          <w:p w14:paraId="3DE7DAD9">
            <w:pPr>
              <w:pStyle w:val="54"/>
              <w:spacing w:line="240" w:lineRule="auto"/>
              <w:jc w:val="both"/>
              <w:rPr>
                <w:rFonts w:hint="eastAsia" w:cs="宋体"/>
                <w:color w:val="auto"/>
                <w:sz w:val="21"/>
                <w:szCs w:val="21"/>
                <w:highlight w:val="none"/>
              </w:rPr>
            </w:pPr>
            <w:r>
              <w:rPr>
                <w:rFonts w:hint="eastAsia" w:cs="宋体"/>
                <w:b/>
                <w:color w:val="auto"/>
                <w:sz w:val="21"/>
                <w:szCs w:val="21"/>
                <w:highlight w:val="none"/>
              </w:rPr>
              <w:t>法定代表人/单位负责人（电子签名）：</w:t>
            </w:r>
          </w:p>
        </w:tc>
      </w:tr>
      <w:tr w14:paraId="1E796B97">
        <w:tblPrEx>
          <w:tblCellMar>
            <w:top w:w="0" w:type="dxa"/>
            <w:left w:w="108" w:type="dxa"/>
            <w:bottom w:w="0" w:type="dxa"/>
            <w:right w:w="108" w:type="dxa"/>
          </w:tblCellMar>
        </w:tblPrEx>
        <w:trPr>
          <w:trHeight w:val="340" w:hRule="atLeast"/>
        </w:trPr>
        <w:tc>
          <w:tcPr>
            <w:tcW w:w="5534" w:type="dxa"/>
            <w:noWrap/>
            <w:vAlign w:val="center"/>
          </w:tcPr>
          <w:p w14:paraId="485E6D34">
            <w:pPr>
              <w:pStyle w:val="54"/>
              <w:spacing w:line="240" w:lineRule="auto"/>
              <w:jc w:val="both"/>
              <w:rPr>
                <w:rFonts w:hint="eastAsia" w:cs="宋体"/>
                <w:b/>
                <w:bCs/>
                <w:color w:val="auto"/>
                <w:sz w:val="21"/>
                <w:szCs w:val="21"/>
                <w:highlight w:val="none"/>
              </w:rPr>
            </w:pPr>
            <w:r>
              <w:rPr>
                <w:rFonts w:hint="eastAsia" w:cs="宋体"/>
                <w:b/>
                <w:bCs/>
                <w:color w:val="auto"/>
                <w:sz w:val="21"/>
                <w:szCs w:val="21"/>
                <w:highlight w:val="none"/>
                <w:lang w:val="en-US" w:eastAsia="zh-CN"/>
              </w:rPr>
              <w:t xml:space="preserve">日期：    </w:t>
            </w:r>
            <w:r>
              <w:rPr>
                <w:rFonts w:hint="eastAsia" w:cs="宋体"/>
                <w:b/>
                <w:bCs/>
                <w:color w:val="auto"/>
                <w:sz w:val="21"/>
                <w:szCs w:val="21"/>
                <w:highlight w:val="none"/>
              </w:rPr>
              <w:t xml:space="preserve">年 </w:t>
            </w:r>
            <w:r>
              <w:rPr>
                <w:rFonts w:hint="eastAsia" w:cs="宋体"/>
                <w:b/>
                <w:bCs/>
                <w:color w:val="auto"/>
                <w:sz w:val="21"/>
                <w:szCs w:val="21"/>
                <w:highlight w:val="none"/>
                <w:lang w:val="en-US" w:eastAsia="zh-CN"/>
              </w:rPr>
              <w:t xml:space="preserve"> </w:t>
            </w:r>
            <w:r>
              <w:rPr>
                <w:rFonts w:cs="宋体"/>
                <w:b/>
                <w:bCs/>
                <w:color w:val="auto"/>
                <w:sz w:val="21"/>
                <w:szCs w:val="21"/>
                <w:highlight w:val="none"/>
              </w:rPr>
              <w:t xml:space="preserve"> </w:t>
            </w:r>
            <w:r>
              <w:rPr>
                <w:rFonts w:hint="eastAsia" w:cs="宋体"/>
                <w:b/>
                <w:bCs/>
                <w:color w:val="auto"/>
                <w:sz w:val="21"/>
                <w:szCs w:val="21"/>
                <w:highlight w:val="none"/>
              </w:rPr>
              <w:t xml:space="preserve">月 </w:t>
            </w:r>
            <w:r>
              <w:rPr>
                <w:rFonts w:cs="宋体"/>
                <w:b/>
                <w:bCs/>
                <w:color w:val="auto"/>
                <w:sz w:val="21"/>
                <w:szCs w:val="21"/>
                <w:highlight w:val="none"/>
              </w:rPr>
              <w:t xml:space="preserve">  </w:t>
            </w:r>
            <w:r>
              <w:rPr>
                <w:rFonts w:hint="eastAsia" w:cs="宋体"/>
                <w:b/>
                <w:bCs/>
                <w:color w:val="auto"/>
                <w:sz w:val="21"/>
                <w:szCs w:val="21"/>
                <w:highlight w:val="none"/>
              </w:rPr>
              <w:t>日</w:t>
            </w:r>
          </w:p>
        </w:tc>
      </w:tr>
    </w:tbl>
    <w:p w14:paraId="3D350617">
      <w:pPr>
        <w:rPr>
          <w:rFonts w:hint="eastAsia"/>
          <w:color w:val="auto"/>
          <w:highlight w:val="none"/>
        </w:rPr>
      </w:pPr>
      <w:r>
        <w:rPr>
          <w:color w:val="auto"/>
          <w:highlight w:val="none"/>
        </w:rPr>
        <w:br w:type="page"/>
      </w:r>
    </w:p>
    <w:p w14:paraId="7BD46D0E">
      <w:pPr>
        <w:jc w:val="center"/>
        <w:outlineLvl w:val="2"/>
        <w:rPr>
          <w:rFonts w:hint="eastAsia"/>
          <w:b/>
          <w:bCs/>
          <w:color w:val="auto"/>
          <w:sz w:val="28"/>
          <w:szCs w:val="36"/>
          <w:highlight w:val="none"/>
        </w:rPr>
      </w:pPr>
      <w:bookmarkStart w:id="318" w:name="_Toc523832886"/>
      <w:bookmarkStart w:id="319" w:name="_Toc493600043"/>
      <w:bookmarkStart w:id="320" w:name="_Toc433"/>
      <w:bookmarkStart w:id="321" w:name="_Toc139357075"/>
      <w:bookmarkStart w:id="322" w:name="_Toc166067798"/>
      <w:bookmarkStart w:id="323" w:name="_Toc493600042"/>
      <w:bookmarkStart w:id="324" w:name="_Toc523832885"/>
      <w:r>
        <w:rPr>
          <w:rFonts w:hint="eastAsia"/>
          <w:b/>
          <w:bCs/>
          <w:color w:val="auto"/>
          <w:sz w:val="28"/>
          <w:szCs w:val="36"/>
          <w:highlight w:val="none"/>
        </w:rPr>
        <w:t>（二）</w:t>
      </w:r>
      <w:r>
        <w:rPr>
          <w:b/>
          <w:bCs/>
          <w:color w:val="auto"/>
          <w:sz w:val="28"/>
          <w:szCs w:val="36"/>
          <w:highlight w:val="none"/>
        </w:rPr>
        <w:t>技术支持资料</w:t>
      </w:r>
      <w:bookmarkEnd w:id="318"/>
      <w:bookmarkEnd w:id="319"/>
      <w:bookmarkEnd w:id="320"/>
      <w:bookmarkEnd w:id="321"/>
      <w:bookmarkEnd w:id="322"/>
    </w:p>
    <w:p w14:paraId="3E232A6C">
      <w:pPr>
        <w:ind w:firstLine="420"/>
        <w:rPr>
          <w:rFonts w:hint="eastAsia"/>
          <w:color w:val="auto"/>
          <w:highlight w:val="none"/>
        </w:rPr>
      </w:pPr>
      <w:r>
        <w:rPr>
          <w:color w:val="auto"/>
          <w:highlight w:val="none"/>
        </w:rPr>
        <w:t>包括但不限于所投货物的技术白皮书、产品相关鉴定资料、试验报告、检验报告、技术彩页、或宣传资料、图纸资料等。投标人根据自身实际情况和产品特点自行提供，以证明其产品具体配置情况及技术指标响应的真实性。</w:t>
      </w:r>
    </w:p>
    <w:p w14:paraId="0FF25F0A">
      <w:pPr>
        <w:ind w:firstLine="420"/>
        <w:rPr>
          <w:rFonts w:hint="eastAsia"/>
          <w:b/>
          <w:color w:val="auto"/>
          <w:highlight w:val="none"/>
        </w:rPr>
      </w:pPr>
      <w:r>
        <w:rPr>
          <w:rFonts w:hint="eastAsia"/>
          <w:b/>
          <w:bCs/>
          <w:color w:val="auto"/>
          <w:highlight w:val="none"/>
        </w:rPr>
        <w:t>注：</w:t>
      </w:r>
      <w:r>
        <w:rPr>
          <w:b/>
          <w:color w:val="auto"/>
          <w:highlight w:val="none"/>
        </w:rPr>
        <w:t>未提供上述资料导致评委无法进行技术评审的，不利后果由投标人自行承担。</w:t>
      </w:r>
    </w:p>
    <w:p w14:paraId="3695EAB1">
      <w:pPr>
        <w:pStyle w:val="17"/>
        <w:rPr>
          <w:rFonts w:hint="eastAsia" w:ascii="宋体" w:hAnsi="宋体" w:eastAsia="宋体"/>
          <w:color w:val="auto"/>
          <w:highlight w:val="none"/>
        </w:rPr>
      </w:pPr>
      <w:r>
        <w:rPr>
          <w:rFonts w:ascii="宋体" w:hAnsi="宋体" w:eastAsia="宋体"/>
          <w:color w:val="auto"/>
          <w:highlight w:val="none"/>
        </w:rPr>
        <w:br w:type="page"/>
      </w:r>
    </w:p>
    <w:p w14:paraId="1D987B96">
      <w:pPr>
        <w:jc w:val="center"/>
        <w:outlineLvl w:val="2"/>
        <w:rPr>
          <w:rFonts w:hint="eastAsia"/>
          <w:b/>
          <w:bCs/>
          <w:color w:val="auto"/>
          <w:sz w:val="28"/>
          <w:szCs w:val="36"/>
          <w:highlight w:val="none"/>
        </w:rPr>
      </w:pPr>
      <w:bookmarkStart w:id="325" w:name="_Toc166067799"/>
      <w:bookmarkStart w:id="326" w:name="_Toc26528"/>
      <w:bookmarkStart w:id="327" w:name="_Toc139357076"/>
      <w:r>
        <w:rPr>
          <w:rFonts w:hint="eastAsia"/>
          <w:b/>
          <w:bCs/>
          <w:color w:val="auto"/>
          <w:sz w:val="28"/>
          <w:szCs w:val="36"/>
          <w:highlight w:val="none"/>
        </w:rPr>
        <w:t>（三）</w:t>
      </w:r>
      <w:r>
        <w:rPr>
          <w:b/>
          <w:bCs/>
          <w:color w:val="auto"/>
          <w:sz w:val="28"/>
          <w:szCs w:val="36"/>
          <w:highlight w:val="none"/>
        </w:rPr>
        <w:t>技术文件</w:t>
      </w:r>
      <w:bookmarkEnd w:id="323"/>
      <w:bookmarkEnd w:id="324"/>
      <w:bookmarkEnd w:id="325"/>
      <w:bookmarkEnd w:id="326"/>
      <w:bookmarkEnd w:id="327"/>
    </w:p>
    <w:p w14:paraId="7C68B0E8">
      <w:pPr>
        <w:ind w:firstLine="420"/>
        <w:rPr>
          <w:rFonts w:hint="eastAsia"/>
          <w:color w:val="auto"/>
          <w:highlight w:val="none"/>
        </w:rPr>
      </w:pPr>
      <w:r>
        <w:rPr>
          <w:color w:val="auto"/>
          <w:highlight w:val="none"/>
        </w:rPr>
        <w:t>应包括（但不限于）以下内容：</w:t>
      </w:r>
    </w:p>
    <w:p w14:paraId="7C687EB3">
      <w:pPr>
        <w:ind w:firstLine="420"/>
        <w:rPr>
          <w:rFonts w:hint="eastAsia"/>
          <w:color w:val="auto"/>
          <w:highlight w:val="none"/>
        </w:rPr>
      </w:pPr>
      <w:r>
        <w:rPr>
          <w:color w:val="auto"/>
          <w:highlight w:val="none"/>
        </w:rPr>
        <w:t>1.投标人基本情况（投标人的组织机构、制造商的生产能力、主要加工机具装备等）概述；</w:t>
      </w:r>
    </w:p>
    <w:p w14:paraId="40E8BA57">
      <w:pPr>
        <w:ind w:firstLine="420"/>
        <w:rPr>
          <w:rFonts w:hint="eastAsia"/>
          <w:color w:val="auto"/>
          <w:highlight w:val="none"/>
        </w:rPr>
      </w:pPr>
      <w:r>
        <w:rPr>
          <w:color w:val="auto"/>
          <w:highlight w:val="none"/>
        </w:rPr>
        <w:t>2.货物技术指标、参数及性能的详细说明；原材料选择、设计（使用）寿命；外购/外协件制造厂、产地；</w:t>
      </w:r>
    </w:p>
    <w:p w14:paraId="4109A3D4">
      <w:pPr>
        <w:ind w:firstLine="420"/>
        <w:rPr>
          <w:rFonts w:hint="eastAsia"/>
          <w:color w:val="auto"/>
          <w:highlight w:val="none"/>
        </w:rPr>
      </w:pPr>
      <w:r>
        <w:rPr>
          <w:color w:val="auto"/>
          <w:highlight w:val="none"/>
        </w:rPr>
        <w:t>3.货物设计、制造、检验（测）、试验、验收、包装、运输、储存及试车等拟采用的标准、规范和方式；</w:t>
      </w:r>
    </w:p>
    <w:p w14:paraId="208ADC7B">
      <w:pPr>
        <w:ind w:firstLine="420"/>
        <w:rPr>
          <w:rFonts w:hint="eastAsia"/>
          <w:color w:val="auto"/>
          <w:highlight w:val="none"/>
        </w:rPr>
      </w:pPr>
      <w:r>
        <w:rPr>
          <w:color w:val="auto"/>
          <w:highlight w:val="none"/>
        </w:rPr>
        <w:t>4.人员培训、技术服务计划及说明；货物调试、试运行实施方案及进度计划；</w:t>
      </w:r>
    </w:p>
    <w:p w14:paraId="0ADDFDE2">
      <w:pPr>
        <w:ind w:firstLine="420"/>
        <w:rPr>
          <w:rFonts w:hint="eastAsia"/>
          <w:color w:val="auto"/>
          <w:highlight w:val="none"/>
        </w:rPr>
      </w:pPr>
      <w:r>
        <w:rPr>
          <w:color w:val="auto"/>
          <w:highlight w:val="none"/>
        </w:rPr>
        <w:t>5.投标人提出的合理化建议（如技术方案的调整、设备配置及功能等）；</w:t>
      </w:r>
    </w:p>
    <w:p w14:paraId="4F46651F">
      <w:pPr>
        <w:widowControl/>
        <w:spacing w:line="240" w:lineRule="auto"/>
        <w:jc w:val="left"/>
        <w:rPr>
          <w:rFonts w:hint="eastAsia"/>
          <w:color w:val="auto"/>
          <w:highlight w:val="none"/>
        </w:rPr>
      </w:pPr>
      <w:r>
        <w:rPr>
          <w:color w:val="auto"/>
          <w:highlight w:val="none"/>
        </w:rPr>
        <w:br w:type="page"/>
      </w:r>
    </w:p>
    <w:bookmarkEnd w:id="315"/>
    <w:bookmarkEnd w:id="316"/>
    <w:bookmarkEnd w:id="317"/>
    <w:p w14:paraId="6A3C03E5">
      <w:pPr>
        <w:jc w:val="center"/>
        <w:outlineLvl w:val="2"/>
        <w:rPr>
          <w:rFonts w:hint="eastAsia"/>
          <w:b/>
          <w:bCs/>
          <w:color w:val="auto"/>
          <w:sz w:val="28"/>
          <w:szCs w:val="36"/>
          <w:highlight w:val="none"/>
        </w:rPr>
      </w:pPr>
      <w:bookmarkStart w:id="328" w:name="_Toc166067800"/>
      <w:bookmarkStart w:id="329" w:name="_Toc19027"/>
      <w:bookmarkStart w:id="330" w:name="_Toc139357077"/>
      <w:bookmarkStart w:id="331" w:name="_Toc28642"/>
      <w:bookmarkStart w:id="332" w:name="_Toc125904350"/>
      <w:bookmarkStart w:id="333" w:name="_Toc125986486"/>
      <w:r>
        <w:rPr>
          <w:rFonts w:hint="eastAsia"/>
          <w:b/>
          <w:bCs/>
          <w:color w:val="auto"/>
          <w:sz w:val="28"/>
          <w:szCs w:val="36"/>
          <w:highlight w:val="none"/>
        </w:rPr>
        <w:t>（</w:t>
      </w:r>
      <w:r>
        <w:rPr>
          <w:rFonts w:hint="eastAsia"/>
          <w:b/>
          <w:bCs/>
          <w:color w:val="auto"/>
          <w:sz w:val="28"/>
          <w:szCs w:val="36"/>
          <w:highlight w:val="none"/>
          <w:lang w:val="en-US" w:eastAsia="zh-CN"/>
        </w:rPr>
        <w:t>四</w:t>
      </w:r>
      <w:r>
        <w:rPr>
          <w:rFonts w:hint="eastAsia"/>
          <w:b/>
          <w:bCs/>
          <w:color w:val="auto"/>
          <w:sz w:val="28"/>
          <w:szCs w:val="36"/>
          <w:highlight w:val="none"/>
        </w:rPr>
        <w:t>）构成投标文件技术部分的其他资料</w:t>
      </w:r>
      <w:bookmarkEnd w:id="328"/>
      <w:bookmarkEnd w:id="329"/>
      <w:bookmarkEnd w:id="330"/>
      <w:bookmarkEnd w:id="331"/>
      <w:bookmarkEnd w:id="332"/>
      <w:bookmarkEnd w:id="333"/>
    </w:p>
    <w:p w14:paraId="416259EC">
      <w:pPr>
        <w:jc w:val="center"/>
        <w:rPr>
          <w:rFonts w:hint="eastAsia" w:cs="宋体"/>
          <w:bCs/>
          <w:color w:val="auto"/>
          <w:highlight w:val="none"/>
          <w:lang w:val="en-US" w:eastAsia="zh-CN"/>
        </w:rPr>
      </w:pPr>
      <w:r>
        <w:rPr>
          <w:rFonts w:hint="eastAsia" w:cs="宋体"/>
          <w:bCs/>
          <w:color w:val="auto"/>
          <w:highlight w:val="none"/>
          <w:lang w:val="en-US" w:eastAsia="zh-CN"/>
        </w:rPr>
        <w:t>包含但不限于培训案例证明材料，其他内容自拟</w:t>
      </w:r>
    </w:p>
    <w:p w14:paraId="6D7EC875">
      <w:pPr>
        <w:pStyle w:val="17"/>
        <w:rPr>
          <w:rFonts w:hint="eastAsia" w:cs="宋体"/>
          <w:bCs/>
          <w:color w:val="auto"/>
          <w:highlight w:val="none"/>
          <w:lang w:val="en-US" w:eastAsia="zh-CN"/>
        </w:rPr>
      </w:pPr>
    </w:p>
    <w:p w14:paraId="5C19CDC4">
      <w:pPr>
        <w:rPr>
          <w:rFonts w:hint="eastAsia"/>
          <w:lang w:val="en-US" w:eastAsia="zh-CN"/>
        </w:rPr>
        <w:sectPr>
          <w:pgSz w:w="11906" w:h="16838"/>
          <w:pgMar w:top="1440" w:right="1080" w:bottom="1440" w:left="1080" w:header="850" w:footer="850" w:gutter="0"/>
          <w:pgBorders>
            <w:top w:val="none" w:sz="0" w:space="0"/>
            <w:left w:val="none" w:sz="0" w:space="0"/>
            <w:bottom w:val="none" w:sz="0" w:space="0"/>
            <w:right w:val="none" w:sz="0" w:space="0"/>
          </w:pgBorders>
          <w:pgNumType w:fmt="decimal"/>
          <w:cols w:space="720" w:num="1"/>
          <w:docGrid w:type="linesAndChars" w:linePitch="331" w:charSpace="0"/>
        </w:sectPr>
      </w:pPr>
    </w:p>
    <w:bookmarkEnd w:id="112"/>
    <w:bookmarkEnd w:id="201"/>
    <w:bookmarkEnd w:id="202"/>
    <w:bookmarkEnd w:id="203"/>
    <w:bookmarkEnd w:id="204"/>
    <w:p w14:paraId="64BE1D64">
      <w:pPr>
        <w:pStyle w:val="2"/>
        <w:bidi w:val="0"/>
        <w:rPr>
          <w:rFonts w:hint="default"/>
          <w:lang w:val="en-US" w:eastAsia="zh-CN"/>
        </w:rPr>
      </w:pPr>
      <w:bookmarkStart w:id="334" w:name="_Toc14569"/>
      <w:bookmarkStart w:id="335" w:name="_Toc24818"/>
      <w:bookmarkStart w:id="336" w:name="_Toc11752"/>
      <w:r>
        <w:rPr>
          <w:rFonts w:hint="eastAsia"/>
        </w:rPr>
        <w:t xml:space="preserve">第五章  </w:t>
      </w:r>
      <w:bookmarkEnd w:id="334"/>
      <w:bookmarkEnd w:id="335"/>
      <w:bookmarkStart w:id="337" w:name="_Toc509829330"/>
      <w:bookmarkStart w:id="338" w:name="_Toc509500411"/>
      <w:bookmarkStart w:id="339" w:name="_Toc514663418"/>
      <w:bookmarkStart w:id="340" w:name="_Toc213141118"/>
      <w:r>
        <w:rPr>
          <w:rFonts w:hint="eastAsia"/>
          <w:lang w:val="en-US" w:eastAsia="zh-CN"/>
        </w:rPr>
        <w:t>采购需求</w:t>
      </w:r>
      <w:bookmarkEnd w:id="336"/>
    </w:p>
    <w:p w14:paraId="0791024D">
      <w:pPr>
        <w:pStyle w:val="3"/>
        <w:bidi w:val="0"/>
        <w:rPr>
          <w:rFonts w:hint="eastAsia"/>
          <w:lang w:eastAsia="zh-CN"/>
        </w:rPr>
      </w:pPr>
      <w:bookmarkStart w:id="341" w:name="_Toc17549"/>
      <w:bookmarkStart w:id="342" w:name="_Toc76716145"/>
      <w:bookmarkStart w:id="343" w:name="_Toc89015717"/>
      <w:bookmarkStart w:id="344" w:name="_Toc23621"/>
      <w:bookmarkStart w:id="345" w:name="_Toc32162"/>
      <w:bookmarkStart w:id="346" w:name="_Toc27412"/>
      <w:r>
        <w:rPr>
          <w:rFonts w:hint="eastAsia"/>
          <w:lang w:val="en-US" w:eastAsia="zh-CN"/>
        </w:rPr>
        <w:t>一</w:t>
      </w:r>
      <w:r>
        <w:t>、</w:t>
      </w:r>
      <w:r>
        <w:rPr>
          <w:rFonts w:hint="eastAsia"/>
        </w:rPr>
        <w:t>技术参数要求</w:t>
      </w:r>
      <w:bookmarkEnd w:id="341"/>
    </w:p>
    <w:tbl>
      <w:tblPr>
        <w:tblStyle w:val="45"/>
        <w:tblW w:w="14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477"/>
        <w:gridCol w:w="725"/>
        <w:gridCol w:w="636"/>
        <w:gridCol w:w="477"/>
        <w:gridCol w:w="1237"/>
        <w:gridCol w:w="9234"/>
        <w:gridCol w:w="1133"/>
      </w:tblGrid>
      <w:tr w14:paraId="2AB6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1321E0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cs="宋体"/>
                <w:b/>
                <w:bCs/>
                <w:sz w:val="21"/>
                <w:szCs w:val="21"/>
                <w:vertAlign w:val="baseline"/>
                <w:lang w:val="en-US" w:eastAsia="zh-CN"/>
              </w:rPr>
              <w:t>标包号</w:t>
            </w:r>
          </w:p>
        </w:tc>
        <w:tc>
          <w:tcPr>
            <w:tcW w:w="0" w:type="auto"/>
            <w:vAlign w:val="center"/>
          </w:tcPr>
          <w:p w14:paraId="4D80654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0" w:type="auto"/>
            <w:vAlign w:val="center"/>
          </w:tcPr>
          <w:p w14:paraId="58DA81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标的名称</w:t>
            </w:r>
          </w:p>
        </w:tc>
        <w:tc>
          <w:tcPr>
            <w:tcW w:w="0" w:type="auto"/>
            <w:vAlign w:val="center"/>
          </w:tcPr>
          <w:p w14:paraId="43D7A62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数量</w:t>
            </w:r>
          </w:p>
        </w:tc>
        <w:tc>
          <w:tcPr>
            <w:tcW w:w="0" w:type="auto"/>
            <w:vAlign w:val="center"/>
          </w:tcPr>
          <w:p w14:paraId="3269EB2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单位</w:t>
            </w:r>
          </w:p>
        </w:tc>
        <w:tc>
          <w:tcPr>
            <w:tcW w:w="1237" w:type="dxa"/>
            <w:vAlign w:val="center"/>
          </w:tcPr>
          <w:p w14:paraId="3D3DF6F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最高</w:t>
            </w:r>
            <w:r>
              <w:rPr>
                <w:rFonts w:hint="eastAsia" w:ascii="宋体" w:hAnsi="宋体" w:eastAsia="宋体" w:cs="宋体"/>
                <w:b/>
                <w:bCs/>
                <w:color w:val="auto"/>
                <w:sz w:val="21"/>
                <w:szCs w:val="21"/>
                <w:highlight w:val="none"/>
                <w:lang w:val="en-US" w:eastAsia="zh-CN"/>
              </w:rPr>
              <w:t>单价</w:t>
            </w:r>
            <w:r>
              <w:rPr>
                <w:rFonts w:hint="eastAsia" w:ascii="宋体" w:hAnsi="宋体" w:eastAsia="宋体" w:cs="宋体"/>
                <w:b/>
                <w:bCs/>
                <w:color w:val="auto"/>
                <w:sz w:val="21"/>
                <w:szCs w:val="21"/>
                <w:highlight w:val="none"/>
              </w:rPr>
              <w:t>限价</w:t>
            </w:r>
          </w:p>
          <w:p w14:paraId="70C4BC6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元</w:t>
            </w:r>
            <w:r>
              <w:rPr>
                <w:rFonts w:hint="eastAsia" w:ascii="宋体" w:hAnsi="宋体" w:eastAsia="宋体" w:cs="宋体"/>
                <w:b/>
                <w:bCs/>
                <w:color w:val="auto"/>
                <w:sz w:val="21"/>
                <w:szCs w:val="21"/>
                <w:highlight w:val="none"/>
                <w:lang w:eastAsia="zh-CN"/>
              </w:rPr>
              <w:t>）</w:t>
            </w:r>
          </w:p>
        </w:tc>
        <w:tc>
          <w:tcPr>
            <w:tcW w:w="9233" w:type="dxa"/>
            <w:vAlign w:val="center"/>
          </w:tcPr>
          <w:p w14:paraId="3C44DEF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color w:val="auto"/>
                <w:kern w:val="0"/>
                <w:sz w:val="21"/>
                <w:szCs w:val="21"/>
                <w:highlight w:val="none"/>
                <w:lang w:val="en-US" w:eastAsia="zh-CN"/>
              </w:rPr>
              <w:t>技术</w:t>
            </w:r>
            <w:r>
              <w:rPr>
                <w:rFonts w:hint="eastAsia" w:cs="宋体"/>
                <w:b/>
                <w:bCs/>
                <w:color w:val="auto"/>
                <w:kern w:val="0"/>
                <w:sz w:val="21"/>
                <w:szCs w:val="21"/>
                <w:highlight w:val="none"/>
                <w:lang w:val="en-US" w:eastAsia="zh-CN"/>
              </w:rPr>
              <w:t>参数</w:t>
            </w:r>
          </w:p>
        </w:tc>
        <w:tc>
          <w:tcPr>
            <w:tcW w:w="1133" w:type="dxa"/>
            <w:vAlign w:val="center"/>
          </w:tcPr>
          <w:p w14:paraId="7ED6542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b/>
                <w:bCs/>
                <w:color w:val="auto"/>
                <w:kern w:val="0"/>
                <w:sz w:val="21"/>
                <w:szCs w:val="21"/>
                <w:highlight w:val="yellow"/>
                <w:lang w:val="en-US" w:eastAsia="zh-CN"/>
              </w:rPr>
            </w:pPr>
            <w:r>
              <w:rPr>
                <w:rFonts w:hint="eastAsia" w:cs="宋体"/>
                <w:b/>
                <w:bCs/>
                <w:color w:val="auto"/>
                <w:kern w:val="0"/>
                <w:sz w:val="21"/>
                <w:szCs w:val="21"/>
                <w:highlight w:val="none"/>
                <w:lang w:val="en-US" w:eastAsia="zh-CN"/>
              </w:rPr>
              <w:t>是否为核心产品</w:t>
            </w:r>
          </w:p>
        </w:tc>
      </w:tr>
      <w:tr w14:paraId="26B70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E5D026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A</w:t>
            </w:r>
            <w:r>
              <w:rPr>
                <w:rFonts w:hint="eastAsia" w:cs="宋体"/>
                <w:b/>
                <w:bCs/>
                <w:sz w:val="21"/>
                <w:szCs w:val="21"/>
                <w:vertAlign w:val="baseline"/>
                <w:lang w:val="en-US" w:eastAsia="zh-CN"/>
              </w:rPr>
              <w:t>包</w:t>
            </w:r>
          </w:p>
        </w:tc>
        <w:tc>
          <w:tcPr>
            <w:tcW w:w="0" w:type="auto"/>
            <w:vAlign w:val="center"/>
          </w:tcPr>
          <w:p w14:paraId="4E305F9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0" w:type="auto"/>
            <w:vAlign w:val="center"/>
          </w:tcPr>
          <w:p w14:paraId="5582FE26">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森林消防水车</w:t>
            </w:r>
          </w:p>
        </w:tc>
        <w:tc>
          <w:tcPr>
            <w:tcW w:w="0" w:type="auto"/>
            <w:vAlign w:val="center"/>
          </w:tcPr>
          <w:p w14:paraId="60E0C4AD">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w:t>
            </w:r>
          </w:p>
        </w:tc>
        <w:tc>
          <w:tcPr>
            <w:tcW w:w="0" w:type="auto"/>
            <w:vAlign w:val="center"/>
          </w:tcPr>
          <w:p w14:paraId="75722CA9">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辆</w:t>
            </w:r>
          </w:p>
        </w:tc>
        <w:tc>
          <w:tcPr>
            <w:tcW w:w="1237" w:type="dxa"/>
            <w:vAlign w:val="center"/>
          </w:tcPr>
          <w:p w14:paraId="00B86F26">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266934.00</w:t>
            </w:r>
          </w:p>
        </w:tc>
        <w:tc>
          <w:tcPr>
            <w:tcW w:w="9233" w:type="dxa"/>
            <w:vAlign w:val="center"/>
          </w:tcPr>
          <w:p w14:paraId="5864F811">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一、主要技术参数</w:t>
            </w:r>
            <w:r>
              <w:rPr>
                <w:rFonts w:hint="eastAsia" w:cs="宋体"/>
                <w:b/>
                <w:bCs/>
                <w:sz w:val="21"/>
                <w:szCs w:val="21"/>
                <w:vertAlign w:val="baseline"/>
                <w:lang w:val="en-US" w:eastAsia="zh-CN"/>
              </w:rPr>
              <w:t>：</w:t>
            </w:r>
          </w:p>
          <w:p w14:paraId="05AA9702">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▲1.发动机类型：柴油；</w:t>
            </w:r>
          </w:p>
          <w:p w14:paraId="0760BAB9">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▲2.燃油种类：柴油；</w:t>
            </w:r>
          </w:p>
          <w:p w14:paraId="189434FE">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3.最高时速（km/h）≥120；</w:t>
            </w:r>
          </w:p>
          <w:p w14:paraId="2CC7153C">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▲4.排放依据标准GB17691-2018国Ⅵ；</w:t>
            </w:r>
          </w:p>
          <w:p w14:paraId="3FDC86FF">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5.排量（ml）≥2360； </w:t>
            </w:r>
          </w:p>
          <w:p w14:paraId="061AE634">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▲6.功率（kw）≥100；</w:t>
            </w:r>
          </w:p>
          <w:p w14:paraId="7CC1E829">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7.驾驶室准乘人数≥2；</w:t>
            </w:r>
          </w:p>
          <w:p w14:paraId="788CD41C">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8.总质量（kg）≥3980；</w:t>
            </w:r>
          </w:p>
          <w:p w14:paraId="65EFC4C4">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9.整备质量（kg）≥2780；</w:t>
            </w:r>
          </w:p>
          <w:p w14:paraId="4C7085AD">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二、灭火系统技术参数：</w:t>
            </w:r>
          </w:p>
          <w:p w14:paraId="59727A5E">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▲1.水罐容积(t)≥1.05；</w:t>
            </w:r>
          </w:p>
          <w:p w14:paraId="5407FC62">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2.水枪或洒水炮射程(m)≥42；</w:t>
            </w:r>
          </w:p>
          <w:p w14:paraId="1EBD17E3">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3.抽水时间（分钟/罐）≤10；</w:t>
            </w:r>
          </w:p>
          <w:p w14:paraId="04ABA8F5">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4.水泵供水有效输水距离(m)1500-2000；</w:t>
            </w:r>
          </w:p>
          <w:p w14:paraId="70A616C9">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5.流量（L/s）≥20；</w:t>
            </w:r>
          </w:p>
          <w:p w14:paraId="4FF5BF32">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6.扬程(m)≥110 ；</w:t>
            </w:r>
          </w:p>
          <w:p w14:paraId="6DA2DC14">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7.最大吸深(m)≥7；</w:t>
            </w:r>
          </w:p>
          <w:p w14:paraId="781A81BB">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8.操作系统：操作系统设计在尾门位置，为按键式电控(应具备注水阀按键、出水阀按键、泵进水按键、电源按键、远程电控油门、吸水口、出水口、电子水位显示表)(提供实物操作系统图片)；</w:t>
            </w:r>
          </w:p>
          <w:p w14:paraId="74EF233F">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三、其他设备要求：</w:t>
            </w:r>
          </w:p>
          <w:p w14:paraId="1835CFF2">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▲1.整车颜色：森林消防颜色橘红；</w:t>
            </w:r>
          </w:p>
          <w:p w14:paraId="27FD7DA3">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2.电器系统：驾驶室顶部装有警灯、警报、驾驶室内有喊话器；</w:t>
            </w:r>
          </w:p>
          <w:p w14:paraId="298EC851">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3.随车器材：配备喷水水枪(1支)、消防水带(1盘)、抽水管及抽水过滤器(1套)</w:t>
            </w:r>
          </w:p>
          <w:p w14:paraId="3B2B02CB">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4.加装设备：车顶加装高压水炮；</w:t>
            </w:r>
          </w:p>
          <w:p w14:paraId="3947191D">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▲5.涉及车辆改装的，须承诺确保车辆改装后能取得国家工信部公告，使改装后车辆正常上牌；提供承诺函；</w:t>
            </w:r>
          </w:p>
          <w:p w14:paraId="41E3858B">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▲6.负责车辆的落户、保险、上牌等相关手续；提供承诺函。</w:t>
            </w:r>
          </w:p>
          <w:p w14:paraId="3761AC3C">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sz w:val="21"/>
                <w:szCs w:val="21"/>
                <w:highlight w:val="none"/>
                <w:vertAlign w:val="baseline"/>
                <w:lang w:val="en-US" w:eastAsia="zh-CN"/>
              </w:rPr>
              <w:t>注：上述参数需提供投标车辆国家相关部门出具的车辆检验报告或工业和信息化部装备工业发展中心“道路机动车辆生产企业及产品信息查询系统”公告参数页查询截图或其他证明材料，未提供或提供不齐，不予认可。</w:t>
            </w:r>
          </w:p>
        </w:tc>
        <w:tc>
          <w:tcPr>
            <w:tcW w:w="1133" w:type="dxa"/>
            <w:vAlign w:val="center"/>
          </w:tcPr>
          <w:p w14:paraId="1B415E98">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是</w:t>
            </w:r>
          </w:p>
        </w:tc>
      </w:tr>
      <w:tr w14:paraId="7B5C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27FF049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B</w:t>
            </w:r>
            <w:r>
              <w:rPr>
                <w:rFonts w:hint="eastAsia" w:cs="宋体"/>
                <w:b/>
                <w:bCs/>
                <w:sz w:val="21"/>
                <w:szCs w:val="21"/>
                <w:vertAlign w:val="baseline"/>
                <w:lang w:val="en-US" w:eastAsia="zh-CN"/>
              </w:rPr>
              <w:t>包</w:t>
            </w:r>
          </w:p>
        </w:tc>
        <w:tc>
          <w:tcPr>
            <w:tcW w:w="0" w:type="auto"/>
            <w:vAlign w:val="center"/>
          </w:tcPr>
          <w:p w14:paraId="5782F32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0" w:type="auto"/>
            <w:vAlign w:val="center"/>
          </w:tcPr>
          <w:p w14:paraId="1370860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便携式消防水泵</w:t>
            </w:r>
          </w:p>
        </w:tc>
        <w:tc>
          <w:tcPr>
            <w:tcW w:w="0" w:type="auto"/>
            <w:vAlign w:val="center"/>
          </w:tcPr>
          <w:p w14:paraId="7CC6D7B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60</w:t>
            </w:r>
          </w:p>
        </w:tc>
        <w:tc>
          <w:tcPr>
            <w:tcW w:w="0" w:type="auto"/>
            <w:vAlign w:val="center"/>
          </w:tcPr>
          <w:p w14:paraId="2DA200D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台</w:t>
            </w:r>
          </w:p>
        </w:tc>
        <w:tc>
          <w:tcPr>
            <w:tcW w:w="1237" w:type="dxa"/>
            <w:vAlign w:val="center"/>
          </w:tcPr>
          <w:p w14:paraId="293FE82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w:t>
            </w:r>
            <w:r>
              <w:rPr>
                <w:rFonts w:hint="eastAsia" w:cs="宋体"/>
                <w:b w:val="0"/>
                <w:bCs w:val="0"/>
                <w:sz w:val="21"/>
                <w:szCs w:val="21"/>
                <w:vertAlign w:val="baseline"/>
                <w:lang w:val="en-US" w:eastAsia="zh-CN"/>
              </w:rPr>
              <w:t>1</w:t>
            </w:r>
            <w:r>
              <w:rPr>
                <w:rFonts w:hint="eastAsia" w:ascii="宋体" w:hAnsi="宋体" w:eastAsia="宋体" w:cs="宋体"/>
                <w:b w:val="0"/>
                <w:bCs w:val="0"/>
                <w:sz w:val="21"/>
                <w:szCs w:val="21"/>
                <w:vertAlign w:val="baseline"/>
                <w:lang w:val="en-US" w:eastAsia="zh-CN"/>
              </w:rPr>
              <w:t>000.00</w:t>
            </w:r>
          </w:p>
        </w:tc>
        <w:tc>
          <w:tcPr>
            <w:tcW w:w="9233" w:type="dxa"/>
            <w:vAlign w:val="center"/>
          </w:tcPr>
          <w:p w14:paraId="24FE6725">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auto"/>
                <w:sz w:val="21"/>
                <w:szCs w:val="21"/>
                <w:highlight w:val="none"/>
                <w:vertAlign w:val="baseline"/>
                <w:lang w:val="en-US" w:eastAsia="zh-CN"/>
              </w:rPr>
            </w:pPr>
            <w:r>
              <w:rPr>
                <w:rFonts w:hint="eastAsia" w:cs="宋体"/>
                <w:b w:val="0"/>
                <w:bCs w:val="0"/>
                <w:color w:val="auto"/>
                <w:sz w:val="21"/>
                <w:szCs w:val="21"/>
                <w:highlight w:val="none"/>
                <w:vertAlign w:val="baseline"/>
                <w:lang w:val="en-US" w:eastAsia="zh-CN"/>
              </w:rPr>
              <w:t>1、消防水泵</w:t>
            </w:r>
          </w:p>
          <w:p w14:paraId="600DC62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动力：采用二冲程水冷与空气复合冷却的汽油发动机，标示参数：功率≥12Hp；</w:t>
            </w:r>
          </w:p>
          <w:p w14:paraId="7659496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▲1.2</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水泵结构：三级不锈钢叶轮离心泵；</w:t>
            </w:r>
          </w:p>
          <w:p w14:paraId="1026851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▲1.3</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启动方式：采用手拉启动和一键式电启动；</w:t>
            </w:r>
          </w:p>
          <w:p w14:paraId="56CA708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1.4</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发动机冷却方式：采用闭路循环、强制水冷循环系统；</w:t>
            </w:r>
          </w:p>
          <w:p w14:paraId="3FB2781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▲1.5</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最大流量：≥5.2L/s</w:t>
            </w:r>
          </w:p>
          <w:p w14:paraId="5BE8BAC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▲1.6</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最大射程：≥37.00m</w:t>
            </w:r>
            <w:r>
              <w:rPr>
                <w:rFonts w:hint="eastAsia" w:cs="宋体"/>
                <w:b w:val="0"/>
                <w:bCs w:val="0"/>
                <w:sz w:val="21"/>
                <w:szCs w:val="21"/>
                <w:highlight w:val="none"/>
                <w:vertAlign w:val="baseline"/>
                <w:lang w:val="en-US" w:eastAsia="zh-CN"/>
              </w:rPr>
              <w:t>；</w:t>
            </w:r>
          </w:p>
          <w:p w14:paraId="29DF70F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▲1.7</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最大压力：≥2.60MPa</w:t>
            </w:r>
            <w:r>
              <w:rPr>
                <w:rFonts w:hint="eastAsia" w:cs="宋体"/>
                <w:b w:val="0"/>
                <w:bCs w:val="0"/>
                <w:sz w:val="21"/>
                <w:szCs w:val="21"/>
                <w:highlight w:val="none"/>
                <w:vertAlign w:val="baseline"/>
                <w:lang w:val="en-US" w:eastAsia="zh-CN"/>
              </w:rPr>
              <w:t>；</w:t>
            </w:r>
          </w:p>
          <w:p w14:paraId="607A804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▲1.8</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最大扬程：≥260.00m</w:t>
            </w:r>
            <w:r>
              <w:rPr>
                <w:rFonts w:hint="eastAsia" w:cs="宋体"/>
                <w:b w:val="0"/>
                <w:bCs w:val="0"/>
                <w:sz w:val="21"/>
                <w:szCs w:val="21"/>
                <w:highlight w:val="none"/>
                <w:vertAlign w:val="baseline"/>
                <w:lang w:val="en-US" w:eastAsia="zh-CN"/>
              </w:rPr>
              <w:t>；</w:t>
            </w:r>
          </w:p>
          <w:p w14:paraId="790DE3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1.9</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最大吸深：≥7.00m</w:t>
            </w:r>
            <w:r>
              <w:rPr>
                <w:rFonts w:hint="eastAsia" w:cs="宋体"/>
                <w:b w:val="0"/>
                <w:bCs w:val="0"/>
                <w:sz w:val="21"/>
                <w:szCs w:val="21"/>
                <w:highlight w:val="none"/>
                <w:vertAlign w:val="baseline"/>
                <w:lang w:val="en-US" w:eastAsia="zh-CN"/>
              </w:rPr>
              <w:t>；</w:t>
            </w:r>
          </w:p>
          <w:p w14:paraId="49FC167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1.10</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进水口直径：50mm(2.0寸)标准接口；</w:t>
            </w:r>
          </w:p>
          <w:p w14:paraId="346D694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1.11</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出水口直径：40mm(1.5寸）标准接口；</w:t>
            </w:r>
          </w:p>
          <w:p w14:paraId="3016DEF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1.12</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引水时间：吸深3.00m,引水时间≤7.00s；</w:t>
            </w:r>
          </w:p>
          <w:p w14:paraId="2EE2A9D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1.13</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启动电源：应具备可反复充电的可拆卸式锂电池，额定电压：≥12.6V，充电电压：DC5V2A，额定容量：≥2000mAh/25.2Wh，电池质量：≤300g，应带有LED灯（照明爆闪、SOS）、USB接口、5V输出及Type-C充电接口，同时具备12V汽车应急启动；另可对手机、平板、笔记本电脑、MP3、MP4、数码相机、PDA等产品充电；自带指北针；</w:t>
            </w:r>
          </w:p>
          <w:p w14:paraId="7C5EAB7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1.14</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材质：泵壳、泵体采用高强度抗腐蚀铝合金铸造；过水部件采用不锈钢、铜等防腐蚀材料；</w:t>
            </w:r>
          </w:p>
          <w:p w14:paraId="1C82361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1.15</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燃油箱容积：≥12L；外挂油箱，设置独立加油口，可实现不停机加油；</w:t>
            </w:r>
          </w:p>
          <w:p w14:paraId="78FCDB1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▲1.16</w:t>
            </w:r>
            <w:r>
              <w:rPr>
                <w:rFonts w:hint="eastAsia" w:cs="宋体"/>
                <w:b w:val="0"/>
                <w:bCs w:val="0"/>
                <w:sz w:val="21"/>
                <w:szCs w:val="21"/>
                <w:highlight w:val="none"/>
                <w:vertAlign w:val="baseline"/>
                <w:lang w:val="en-US" w:eastAsia="zh-CN"/>
              </w:rPr>
              <w:t xml:space="preserve"> </w:t>
            </w:r>
            <w:r>
              <w:rPr>
                <w:rFonts w:hint="eastAsia" w:ascii="宋体" w:hAnsi="宋体" w:eastAsia="宋体" w:cs="宋体"/>
                <w:b w:val="0"/>
                <w:bCs w:val="0"/>
                <w:sz w:val="21"/>
                <w:szCs w:val="21"/>
                <w:highlight w:val="none"/>
                <w:vertAlign w:val="baseline"/>
                <w:lang w:val="en-US" w:eastAsia="zh-CN"/>
              </w:rPr>
              <w:t>整机净质量（不含电池）</w:t>
            </w:r>
            <w:r>
              <w:rPr>
                <w:rFonts w:hint="eastAsia" w:ascii="宋体" w:hAnsi="宋体" w:eastAsia="宋体" w:cs="宋体"/>
                <w:b w:val="0"/>
                <w:bCs w:val="0"/>
                <w:color w:val="auto"/>
                <w:sz w:val="21"/>
                <w:szCs w:val="21"/>
                <w:highlight w:val="none"/>
                <w:vertAlign w:val="baseline"/>
                <w:lang w:val="en-US" w:eastAsia="zh-CN"/>
              </w:rPr>
              <w:t>：≤</w:t>
            </w:r>
            <w:r>
              <w:rPr>
                <w:rFonts w:hint="eastAsia" w:cs="宋体"/>
                <w:b w:val="0"/>
                <w:bCs w:val="0"/>
                <w:color w:val="auto"/>
                <w:sz w:val="21"/>
                <w:szCs w:val="21"/>
                <w:highlight w:val="none"/>
                <w:vertAlign w:val="baseline"/>
                <w:lang w:val="en-US" w:eastAsia="zh-CN"/>
              </w:rPr>
              <w:t>12</w:t>
            </w:r>
            <w:r>
              <w:rPr>
                <w:rFonts w:hint="eastAsia" w:ascii="宋体" w:hAnsi="宋体" w:eastAsia="宋体" w:cs="宋体"/>
                <w:b w:val="0"/>
                <w:bCs w:val="0"/>
                <w:color w:val="auto"/>
                <w:sz w:val="21"/>
                <w:szCs w:val="21"/>
                <w:highlight w:val="none"/>
                <w:vertAlign w:val="baseline"/>
                <w:lang w:val="en-US" w:eastAsia="zh-CN"/>
              </w:rPr>
              <w:t>kg；</w:t>
            </w:r>
          </w:p>
          <w:p w14:paraId="050579F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1.17 外形尺寸：≤390×300×190mm（长×宽×高）；</w:t>
            </w:r>
          </w:p>
          <w:p w14:paraId="6ABC145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r>
              <w:rPr>
                <w:rFonts w:hint="eastAsia" w:cs="宋体"/>
                <w:b w:val="0"/>
                <w:bCs w:val="0"/>
                <w:sz w:val="21"/>
                <w:szCs w:val="21"/>
                <w:highlight w:val="none"/>
                <w:vertAlign w:val="baseline"/>
                <w:lang w:val="en-US" w:eastAsia="zh-CN"/>
              </w:rPr>
              <w:t xml:space="preserve">8 </w:t>
            </w:r>
            <w:r>
              <w:rPr>
                <w:rFonts w:hint="eastAsia" w:ascii="宋体" w:hAnsi="宋体" w:eastAsia="宋体" w:cs="宋体"/>
                <w:b w:val="0"/>
                <w:bCs w:val="0"/>
                <w:sz w:val="21"/>
                <w:szCs w:val="21"/>
                <w:highlight w:val="none"/>
                <w:vertAlign w:val="baseline"/>
                <w:lang w:val="en-US" w:eastAsia="zh-CN"/>
              </w:rPr>
              <w:t>串并联性能：泵与泵之间可以串联架设、并联架设、并串联架设，并能正常工作；</w:t>
            </w:r>
          </w:p>
          <w:p w14:paraId="17961F2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1.1</w:t>
            </w:r>
            <w:r>
              <w:rPr>
                <w:rFonts w:hint="eastAsia" w:cs="宋体"/>
                <w:b w:val="0"/>
                <w:bCs w:val="0"/>
                <w:sz w:val="21"/>
                <w:szCs w:val="21"/>
                <w:highlight w:val="none"/>
                <w:vertAlign w:val="baseline"/>
                <w:lang w:val="en-US" w:eastAsia="zh-CN"/>
              </w:rPr>
              <w:t xml:space="preserve">9 </w:t>
            </w:r>
            <w:r>
              <w:rPr>
                <w:rFonts w:hint="eastAsia" w:ascii="宋体" w:hAnsi="宋体" w:eastAsia="宋体" w:cs="宋体"/>
                <w:b w:val="0"/>
                <w:bCs w:val="0"/>
                <w:sz w:val="21"/>
                <w:szCs w:val="21"/>
                <w:highlight w:val="none"/>
                <w:vertAlign w:val="baseline"/>
                <w:lang w:val="en-US" w:eastAsia="zh-CN"/>
              </w:rPr>
              <w:t>连续运转：泵在横向、纵向倾斜90°的条件下，在额定工况下，各连续运转1h,泵应能正常工作；</w:t>
            </w:r>
          </w:p>
          <w:p w14:paraId="7D86629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r>
              <w:rPr>
                <w:rFonts w:hint="eastAsia" w:cs="宋体"/>
                <w:b w:val="0"/>
                <w:bCs w:val="0"/>
                <w:sz w:val="21"/>
                <w:szCs w:val="21"/>
                <w:highlight w:val="none"/>
                <w:vertAlign w:val="baseline"/>
                <w:lang w:val="en-US" w:eastAsia="zh-CN"/>
              </w:rPr>
              <w:t xml:space="preserve">20 </w:t>
            </w:r>
            <w:r>
              <w:rPr>
                <w:rFonts w:hint="eastAsia" w:ascii="宋体" w:hAnsi="宋体" w:eastAsia="宋体" w:cs="宋体"/>
                <w:b w:val="0"/>
                <w:bCs w:val="0"/>
                <w:sz w:val="21"/>
                <w:szCs w:val="21"/>
                <w:highlight w:val="none"/>
                <w:vertAlign w:val="baseline"/>
                <w:lang w:val="en-US" w:eastAsia="zh-CN"/>
              </w:rPr>
              <w:t>保护系统：发动机带有高温自动保护装置、启动过流自动保护功能、无水保护功能、超速保护功能；</w:t>
            </w:r>
          </w:p>
          <w:p w14:paraId="3BCBC64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w:t>
            </w:r>
            <w:r>
              <w:rPr>
                <w:rFonts w:hint="eastAsia" w:cs="宋体"/>
                <w:b w:val="0"/>
                <w:bCs w:val="0"/>
                <w:sz w:val="21"/>
                <w:szCs w:val="21"/>
                <w:highlight w:val="none"/>
                <w:vertAlign w:val="baseline"/>
                <w:lang w:val="en-US" w:eastAsia="zh-CN"/>
              </w:rPr>
              <w:t xml:space="preserve">21 </w:t>
            </w:r>
            <w:r>
              <w:rPr>
                <w:rFonts w:hint="eastAsia" w:ascii="宋体" w:hAnsi="宋体" w:eastAsia="宋体" w:cs="宋体"/>
                <w:b w:val="0"/>
                <w:bCs w:val="0"/>
                <w:sz w:val="21"/>
                <w:szCs w:val="21"/>
                <w:vertAlign w:val="baseline"/>
                <w:lang w:val="en-US" w:eastAsia="zh-CN"/>
              </w:rPr>
              <w:t>便携性：</w:t>
            </w:r>
            <w:r>
              <w:rPr>
                <w:rFonts w:hint="eastAsia" w:ascii="宋体" w:hAnsi="宋体" w:eastAsia="宋体" w:cs="宋体"/>
                <w:b w:val="0"/>
                <w:bCs w:val="0"/>
                <w:sz w:val="21"/>
                <w:szCs w:val="21"/>
                <w:highlight w:val="none"/>
                <w:vertAlign w:val="baseline"/>
                <w:lang w:val="en-US" w:eastAsia="zh-CN"/>
              </w:rPr>
              <w:t>可背负携带</w:t>
            </w:r>
            <w:r>
              <w:rPr>
                <w:rFonts w:hint="eastAsia" w:cs="宋体"/>
                <w:b w:val="0"/>
                <w:bCs w:val="0"/>
                <w:sz w:val="21"/>
                <w:szCs w:val="21"/>
                <w:highlight w:val="none"/>
                <w:vertAlign w:val="baseline"/>
                <w:lang w:val="en-US" w:eastAsia="zh-CN"/>
              </w:rPr>
              <w:t>。</w:t>
            </w:r>
          </w:p>
          <w:p w14:paraId="2EEFDF6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2</w:t>
            </w:r>
            <w:r>
              <w:rPr>
                <w:rFonts w:hint="eastAsia" w:cs="宋体"/>
                <w:b/>
                <w:bCs/>
                <w:sz w:val="21"/>
                <w:szCs w:val="21"/>
                <w:highlight w:val="none"/>
                <w:vertAlign w:val="baseline"/>
                <w:lang w:val="en-US" w:eastAsia="zh-CN"/>
              </w:rPr>
              <w:t>.</w:t>
            </w:r>
            <w:r>
              <w:rPr>
                <w:rFonts w:hint="eastAsia" w:ascii="宋体" w:hAnsi="宋体" w:eastAsia="宋体" w:cs="宋体"/>
                <w:b/>
                <w:bCs/>
                <w:sz w:val="21"/>
                <w:szCs w:val="21"/>
                <w:highlight w:val="none"/>
                <w:vertAlign w:val="baseline"/>
                <w:lang w:val="en-US" w:eastAsia="zh-CN"/>
              </w:rPr>
              <w:t>水泵附件：</w:t>
            </w:r>
          </w:p>
          <w:p w14:paraId="784249C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水泵专用油箱1套（含油管）、专用吸水管1套、底阀1个、直流喷枪1支、水雾喷枪1支、止水钳1把、接头扳手1把、三通1个、单向阀1个、转换接头1个、内牙1个、引水泵1套、附件背包1个；</w:t>
            </w:r>
          </w:p>
          <w:p w14:paraId="0A72C28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3.单套水泵标配：</w:t>
            </w:r>
          </w:p>
          <w:p w14:paraId="3FECB49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270米水带（9卷）规格30-40-30，1吨水囊1个，水带背包4个。</w:t>
            </w:r>
          </w:p>
          <w:p w14:paraId="01DBA58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bCs/>
                <w:sz w:val="21"/>
                <w:szCs w:val="21"/>
                <w:highlight w:val="none"/>
                <w:vertAlign w:val="baseline"/>
                <w:lang w:val="en-US" w:eastAsia="zh-CN"/>
              </w:rPr>
              <w:t>4.</w:t>
            </w:r>
            <w:r>
              <w:rPr>
                <w:rFonts w:hint="eastAsia" w:ascii="宋体" w:hAnsi="宋体" w:eastAsia="宋体" w:cs="宋体"/>
                <w:b/>
                <w:bCs/>
                <w:sz w:val="21"/>
                <w:szCs w:val="21"/>
                <w:highlight w:val="none"/>
                <w:vertAlign w:val="baseline"/>
                <w:lang w:val="en-US" w:eastAsia="zh-CN"/>
              </w:rPr>
              <w:t>符合市场准入要求，提供国家认可第三方检测机构出具的检测报告。</w:t>
            </w:r>
          </w:p>
        </w:tc>
        <w:tc>
          <w:tcPr>
            <w:tcW w:w="1133" w:type="dxa"/>
            <w:vAlign w:val="center"/>
          </w:tcPr>
          <w:p w14:paraId="1926622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是</w:t>
            </w:r>
          </w:p>
        </w:tc>
      </w:tr>
      <w:tr w14:paraId="03940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74DF78A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vertAlign w:val="baseline"/>
                <w:lang w:val="en-US" w:eastAsia="zh-CN"/>
              </w:rPr>
            </w:pPr>
            <w:bookmarkStart w:id="435" w:name="_GoBack" w:colFirst="6" w:colLast="6"/>
          </w:p>
        </w:tc>
        <w:tc>
          <w:tcPr>
            <w:tcW w:w="0" w:type="auto"/>
            <w:vAlign w:val="center"/>
          </w:tcPr>
          <w:p w14:paraId="68FF228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w:t>
            </w:r>
          </w:p>
        </w:tc>
        <w:tc>
          <w:tcPr>
            <w:tcW w:w="0" w:type="auto"/>
            <w:vAlign w:val="center"/>
          </w:tcPr>
          <w:p w14:paraId="44E8F6E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水带</w:t>
            </w:r>
          </w:p>
        </w:tc>
        <w:tc>
          <w:tcPr>
            <w:tcW w:w="0" w:type="auto"/>
            <w:vAlign w:val="center"/>
          </w:tcPr>
          <w:p w14:paraId="1C16339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1364</w:t>
            </w:r>
          </w:p>
        </w:tc>
        <w:tc>
          <w:tcPr>
            <w:tcW w:w="0" w:type="auto"/>
            <w:vAlign w:val="center"/>
          </w:tcPr>
          <w:p w14:paraId="6154A2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卷</w:t>
            </w:r>
          </w:p>
        </w:tc>
        <w:tc>
          <w:tcPr>
            <w:tcW w:w="1237" w:type="dxa"/>
            <w:vAlign w:val="center"/>
          </w:tcPr>
          <w:p w14:paraId="099CD9E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540.00</w:t>
            </w:r>
          </w:p>
        </w:tc>
        <w:tc>
          <w:tcPr>
            <w:tcW w:w="9233" w:type="dxa"/>
            <w:vAlign w:val="center"/>
          </w:tcPr>
          <w:p w14:paraId="2F57C3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▲1.水带口径在38mm-40mm之间。标准工作压力≥3.0MPa，爆破压力≥11.5Mpa，每卷长度≥30米，单位长度质量（g/m）≤197。</w:t>
            </w:r>
          </w:p>
          <w:p w14:paraId="05A7E48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▲2.内衬材质采用聚氨酯，厚度均匀，表面光滑清洁，无褶皱，不渗水，不霉变，柔软轻便易卷缠，耐老化，水流阻力小，使用寿命长。</w:t>
            </w:r>
          </w:p>
          <w:p w14:paraId="2C98EF6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外层材质采用高强度涤纶长丝线，工艺采用经圆织机环形斜纹编织而成，且耐压、耐磨、耐高低温、轻便柔软、易于清洗，使用寿命长。</w:t>
            </w:r>
          </w:p>
          <w:p w14:paraId="1E9D43B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▲3.水带编织层与衬里之间的附着强度≥58N/25mm，轴向延伸率≤3.3%，直径膨胀率≤2.9%。在设计工作压力下无渗漏。不出现裂纹或断裂。</w:t>
            </w:r>
          </w:p>
          <w:p w14:paraId="4AC12B0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4.水带两头均配有40口径的森林专用接口铜套内涨。</w:t>
            </w:r>
          </w:p>
          <w:p w14:paraId="369C57A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▲5.水带与消防接口性能：水带与消防接口连接</w:t>
            </w:r>
            <w:r>
              <w:rPr>
                <w:rFonts w:hint="eastAsia" w:cs="宋体"/>
                <w:b w:val="0"/>
                <w:bCs w:val="0"/>
                <w:sz w:val="21"/>
                <w:szCs w:val="21"/>
                <w:highlight w:val="none"/>
                <w:vertAlign w:val="baseline"/>
                <w:lang w:val="en-US" w:eastAsia="zh-CN"/>
              </w:rPr>
              <w:t>处</w:t>
            </w:r>
            <w:r>
              <w:rPr>
                <w:rFonts w:hint="eastAsia" w:ascii="宋体" w:hAnsi="宋体" w:eastAsia="宋体" w:cs="宋体"/>
                <w:b w:val="0"/>
                <w:bCs w:val="0"/>
                <w:sz w:val="21"/>
                <w:szCs w:val="21"/>
                <w:highlight w:val="none"/>
                <w:vertAlign w:val="baseline"/>
                <w:lang w:val="en-US" w:eastAsia="zh-CN"/>
              </w:rPr>
              <w:t>不应发生渗漏、破裂或滑脱。</w:t>
            </w:r>
          </w:p>
          <w:p w14:paraId="44C2104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6.包装：使用编织袋或纸箱包装，包装结实牢固，便于搬运。</w:t>
            </w:r>
          </w:p>
          <w:p w14:paraId="7023984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w:t>
            </w:r>
            <w:r>
              <w:rPr>
                <w:rFonts w:hint="eastAsia" w:cs="宋体"/>
                <w:b w:val="0"/>
                <w:bCs w:val="0"/>
                <w:sz w:val="21"/>
                <w:szCs w:val="21"/>
                <w:highlight w:val="none"/>
                <w:vertAlign w:val="baseline"/>
                <w:lang w:val="en-US" w:eastAsia="zh-CN"/>
              </w:rPr>
              <w:t>.提供国家认可第三方检测机构出具的检测报告。</w:t>
            </w:r>
          </w:p>
        </w:tc>
        <w:tc>
          <w:tcPr>
            <w:tcW w:w="1133" w:type="dxa"/>
            <w:vAlign w:val="center"/>
          </w:tcPr>
          <w:p w14:paraId="4A59700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否</w:t>
            </w:r>
          </w:p>
        </w:tc>
      </w:tr>
      <w:tr w14:paraId="2EFA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vAlign w:val="center"/>
          </w:tcPr>
          <w:p w14:paraId="1CFD684E">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C</w:t>
            </w:r>
            <w:r>
              <w:rPr>
                <w:rFonts w:hint="eastAsia" w:cs="宋体"/>
                <w:b/>
                <w:bCs/>
                <w:sz w:val="21"/>
                <w:szCs w:val="21"/>
                <w:vertAlign w:val="baseline"/>
                <w:lang w:val="en-US" w:eastAsia="zh-CN"/>
              </w:rPr>
              <w:t>包</w:t>
            </w:r>
          </w:p>
        </w:tc>
        <w:tc>
          <w:tcPr>
            <w:tcW w:w="0" w:type="auto"/>
            <w:vAlign w:val="center"/>
          </w:tcPr>
          <w:p w14:paraId="5F914AB5">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w:t>
            </w:r>
          </w:p>
        </w:tc>
        <w:tc>
          <w:tcPr>
            <w:tcW w:w="0" w:type="auto"/>
            <w:vAlign w:val="center"/>
          </w:tcPr>
          <w:p w14:paraId="60E28C50">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lang w:val="en-US" w:eastAsia="zh-CN"/>
              </w:rPr>
              <w:t>个人防护套装A</w:t>
            </w:r>
          </w:p>
        </w:tc>
        <w:tc>
          <w:tcPr>
            <w:tcW w:w="0" w:type="auto"/>
            <w:vAlign w:val="center"/>
          </w:tcPr>
          <w:p w14:paraId="0455E59A">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1030</w:t>
            </w:r>
          </w:p>
        </w:tc>
        <w:tc>
          <w:tcPr>
            <w:tcW w:w="0" w:type="auto"/>
            <w:vAlign w:val="center"/>
          </w:tcPr>
          <w:p w14:paraId="16B46EEC">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套</w:t>
            </w:r>
          </w:p>
        </w:tc>
        <w:tc>
          <w:tcPr>
            <w:tcW w:w="1237" w:type="dxa"/>
            <w:vAlign w:val="center"/>
          </w:tcPr>
          <w:p w14:paraId="43965B89">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380.00</w:t>
            </w:r>
          </w:p>
        </w:tc>
        <w:tc>
          <w:tcPr>
            <w:tcW w:w="9233" w:type="dxa"/>
            <w:vAlign w:val="center"/>
          </w:tcPr>
          <w:p w14:paraId="0E76FD1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防火扑火服A类：</w:t>
            </w:r>
          </w:p>
          <w:p w14:paraId="55392A2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1.整套扑火服装包括上衣、裤子；扑火服采用橘红色直贡缎，经阻燃耐高温处理；上衣拉链整体采用优质拉链；胸前、肘部、膝盖下部配有夜光条。</w:t>
            </w:r>
          </w:p>
          <w:p w14:paraId="792C48B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2.</w:t>
            </w:r>
            <w:r>
              <w:rPr>
                <w:rFonts w:hint="eastAsia" w:ascii="宋体" w:hAnsi="宋体" w:eastAsia="宋体" w:cs="宋体"/>
                <w:b w:val="0"/>
                <w:bCs w:val="0"/>
                <w:sz w:val="21"/>
                <w:szCs w:val="21"/>
                <w:vertAlign w:val="baseline"/>
                <w:lang w:val="en-US" w:eastAsia="zh-CN"/>
              </w:rPr>
              <w:t>左胸贴袋盖上绣有“森林消防”专用标识；左上臂处装有“森林消防”专用臂章；后背处喷有“森林防火”字样。</w:t>
            </w:r>
          </w:p>
          <w:p w14:paraId="7B6F8A73">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3.▲损毁长度T</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≤105</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W：≤94</w:t>
            </w:r>
            <w:r>
              <w:rPr>
                <w:rFonts w:hint="eastAsia" w:cs="宋体"/>
                <w:b w:val="0"/>
                <w:bCs w:val="0"/>
                <w:sz w:val="21"/>
                <w:szCs w:val="21"/>
                <w:vertAlign w:val="baseline"/>
                <w:lang w:val="en-US" w:eastAsia="zh-CN"/>
              </w:rPr>
              <w:t>；</w:t>
            </w:r>
          </w:p>
          <w:p w14:paraId="5236C73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4.▲续燃时间：T</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≤0.1S</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W</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≤0.1S；</w:t>
            </w:r>
          </w:p>
          <w:p w14:paraId="06EF3033">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5.▲阴燃时间：T</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≤0.1S</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W</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≤0.1S；</w:t>
            </w:r>
          </w:p>
          <w:p w14:paraId="4556E733">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6.断裂强力：T</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≥1250；W</w:t>
            </w:r>
            <w:r>
              <w:rPr>
                <w:rFonts w:hint="eastAsia" w:cs="宋体"/>
                <w:b w:val="0"/>
                <w:bCs w:val="0"/>
                <w:sz w:val="21"/>
                <w:szCs w:val="21"/>
                <w:vertAlign w:val="baseline"/>
                <w:lang w:val="en-US" w:eastAsia="zh-CN"/>
              </w:rPr>
              <w:t>：</w:t>
            </w:r>
            <w:r>
              <w:rPr>
                <w:rFonts w:hint="eastAsia" w:ascii="宋体" w:hAnsi="宋体" w:eastAsia="宋体" w:cs="宋体"/>
                <w:b w:val="0"/>
                <w:bCs w:val="0"/>
                <w:sz w:val="21"/>
                <w:szCs w:val="21"/>
                <w:vertAlign w:val="baseline"/>
                <w:lang w:val="en-US" w:eastAsia="zh-CN"/>
              </w:rPr>
              <w:t>≥1000；</w:t>
            </w:r>
          </w:p>
          <w:p w14:paraId="59556AE8">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7.提供检测报告。</w:t>
            </w:r>
          </w:p>
          <w:p w14:paraId="11AD3018">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中帮胶靴A类：</w:t>
            </w:r>
          </w:p>
          <w:p w14:paraId="708AC91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1.颜色：丛林迷彩。</w:t>
            </w:r>
          </w:p>
          <w:p w14:paraId="55F20D0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2.鞋帮高度：中腰，能提供更好的脚踝支撑和保护。</w:t>
            </w:r>
          </w:p>
          <w:p w14:paraId="36B7156E">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3.尺码：38码至47码之间。</w:t>
            </w:r>
          </w:p>
          <w:p w14:paraId="36CA03B9">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4.鞋底材料：使用耐磨橡胶，增强支撑性和稳定性。</w:t>
            </w:r>
          </w:p>
          <w:p w14:paraId="1D94002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5.鞋垫材料：多为海绵、乳胶、记忆棉等，具有一定的弹性和缓冲性能，能够提供舒适的脚感。</w:t>
            </w:r>
          </w:p>
          <w:p w14:paraId="744E48B7">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6.防滑性能：通过鞋底的纹路设计和材质在各种不同的地形上提供良好的抓地力。</w:t>
            </w:r>
          </w:p>
          <w:p w14:paraId="18F0A67D">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7.耐磨性能：优质的迷彩鞋鞋面和鞋底都应具有较好的耐磨性，以保证在长时间使用和复杂环境下不易损坏。</w:t>
            </w:r>
          </w:p>
          <w:p w14:paraId="4E52FC2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8.透气性能：具备良好的透气性，可使脚部保持干爽，避免闷热和异味，如采用网眼布、透气孔等设计。</w:t>
            </w:r>
          </w:p>
        </w:tc>
        <w:tc>
          <w:tcPr>
            <w:tcW w:w="1133" w:type="dxa"/>
            <w:vAlign w:val="center"/>
          </w:tcPr>
          <w:p w14:paraId="06D97B19">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否</w:t>
            </w:r>
          </w:p>
        </w:tc>
      </w:tr>
      <w:tr w14:paraId="1098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vAlign w:val="center"/>
          </w:tcPr>
          <w:p w14:paraId="0C7FD0F9">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p>
        </w:tc>
        <w:tc>
          <w:tcPr>
            <w:tcW w:w="0" w:type="auto"/>
            <w:vAlign w:val="center"/>
          </w:tcPr>
          <w:p w14:paraId="749B3A34">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w:t>
            </w:r>
          </w:p>
        </w:tc>
        <w:tc>
          <w:tcPr>
            <w:tcW w:w="0" w:type="auto"/>
            <w:vAlign w:val="center"/>
          </w:tcPr>
          <w:p w14:paraId="6E39005D">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lang w:val="en-US" w:eastAsia="zh-CN"/>
              </w:rPr>
              <w:t>个人防护套装B</w:t>
            </w:r>
          </w:p>
        </w:tc>
        <w:tc>
          <w:tcPr>
            <w:tcW w:w="0" w:type="auto"/>
            <w:vAlign w:val="center"/>
          </w:tcPr>
          <w:p w14:paraId="39C90A6A">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911</w:t>
            </w:r>
          </w:p>
        </w:tc>
        <w:tc>
          <w:tcPr>
            <w:tcW w:w="0" w:type="auto"/>
            <w:vAlign w:val="center"/>
          </w:tcPr>
          <w:p w14:paraId="233486EA">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套</w:t>
            </w:r>
          </w:p>
        </w:tc>
        <w:tc>
          <w:tcPr>
            <w:tcW w:w="1237" w:type="dxa"/>
            <w:vAlign w:val="center"/>
          </w:tcPr>
          <w:p w14:paraId="7330B069">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2200.00</w:t>
            </w:r>
          </w:p>
        </w:tc>
        <w:tc>
          <w:tcPr>
            <w:tcW w:w="9233" w:type="dxa"/>
            <w:vAlign w:val="center"/>
          </w:tcPr>
          <w:p w14:paraId="209E047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防火头盔B类：（含头盔、护目镜、防爆手电筒）</w:t>
            </w:r>
          </w:p>
          <w:p w14:paraId="6440125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1.符合XF 633-2006《消防员抢险救援防护服》标准。</w:t>
            </w:r>
          </w:p>
          <w:p w14:paraId="28BA076E">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2.冲击吸收性能：高温（50℃ 4h）头模所受冲击力≤3409N；低温（-28℃ 4h）头模所受冲击力≤3563N；浸水（20℃ 4h）头模所受冲击力的≤3094N。</w:t>
            </w:r>
          </w:p>
          <w:p w14:paraId="476A8A1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3.耐穿透性能：低温（-28℃ 4h）钢锥未与头模建立电接触。</w:t>
            </w:r>
          </w:p>
          <w:p w14:paraId="45D2821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4.阻燃性能：火焰离开帽壳后，其离火自熄时间：前方0s，后方0s，左侧0.8s，右侧1s。</w:t>
            </w:r>
          </w:p>
          <w:p w14:paraId="0F21EC02">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5.热稳定性能：救援头盔在180℃的烘箱中，保持5min后，其边沿无变形；硬质附件保持功能完好；反光材料表面无炭化、脱落现象。</w:t>
            </w:r>
          </w:p>
          <w:p w14:paraId="3E00E6C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6.侧向刚性：帽壳的最大变形值11mm，卸载后的变形值2mm。</w:t>
            </w:r>
          </w:p>
          <w:p w14:paraId="27F4C72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7.下颏带抗拉强度：下颏带未发生断裂、滑脱，其延伸长度为12mm。</w:t>
            </w:r>
          </w:p>
          <w:p w14:paraId="43F9A997">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8.头盔、护目镜提供检测报告。</w:t>
            </w:r>
          </w:p>
          <w:p w14:paraId="25E6C4F2">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防火头套B类：</w:t>
            </w:r>
          </w:p>
          <w:p w14:paraId="3785288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1.阻燃性能：续燃时间；经向：0s，纬向：0s。损毁长度；经向≤87mm，纬向≤81mm。</w:t>
            </w:r>
          </w:p>
          <w:p w14:paraId="73D4D5A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2.抗起球性能：起球等级≥4级。</w:t>
            </w:r>
          </w:p>
          <w:p w14:paraId="487EF8A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3.水洗尺寸变化率：直向≤2.8%，横向≤5%。</w:t>
            </w:r>
          </w:p>
          <w:p w14:paraId="3F73C58C">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4.甲醛含量：未检出。</w:t>
            </w:r>
          </w:p>
          <w:p w14:paraId="79E8344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5.pH值：6.1-7.0。</w:t>
            </w:r>
          </w:p>
          <w:p w14:paraId="428015F7">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6.缝纫线耐高温性能：缝纫线经260度5分钟后，无熔融、炭化现象。</w:t>
            </w:r>
          </w:p>
          <w:p w14:paraId="1775B61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7.接缝强力：顶破强力≥1061N。</w:t>
            </w:r>
          </w:p>
          <w:p w14:paraId="4FC4E192">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8.面部开口尺寸：各个测量位置的尺寸变化率≤3%。</w:t>
            </w:r>
          </w:p>
          <w:p w14:paraId="17858F46">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9.提供检测报告。</w:t>
            </w:r>
          </w:p>
          <w:p w14:paraId="0FBB501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防火扑火服B类：</w:t>
            </w:r>
          </w:p>
          <w:p w14:paraId="44846D3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▲1.森林防火服符合GB/T33536-2017《防护服装森林防火服》产品认证以及省级或国家级产品委托检验报告，款式符合GB/T33536-2017标准要求。</w:t>
            </w:r>
          </w:p>
          <w:p w14:paraId="21BC624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▲2.整体防护性能：热防护能力TPP值≥330（kW.s/㎡）。</w:t>
            </w:r>
          </w:p>
          <w:p w14:paraId="2E0F4410">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w:t>
            </w: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面料性能指标：</w:t>
            </w:r>
          </w:p>
          <w:p w14:paraId="77930CE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.1阻燃性能：经/纬向续燃时间≤0s，经/纬向阴燃时间≤1s，经向损毁长度≤35mm、纬向损毁长度≤34mm，无熔融，滴落现象。</w:t>
            </w:r>
          </w:p>
          <w:p w14:paraId="6CB057E7">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.2断裂强力：经向断裂强力≥1180N、纬向断裂强力≥1060N。</w:t>
            </w:r>
          </w:p>
          <w:p w14:paraId="5FEC494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.3撕破强力：经向撕破强力≥185、纬向撕破强力≥150N。</w:t>
            </w:r>
          </w:p>
          <w:p w14:paraId="3409FA8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.4单位面积质量≤205g/m²</w:t>
            </w:r>
          </w:p>
          <w:p w14:paraId="71697E7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.5水洗尺寸变化率：径向-0.4%，纬向-0.6%</w:t>
            </w:r>
          </w:p>
          <w:p w14:paraId="7E2A13A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.6热稳定性能：经（260±5）℃热稳定性能试验后，沿经、纬方向尺寸变化率≤1％，试样表面无明显变化。</w:t>
            </w:r>
          </w:p>
          <w:p w14:paraId="1D184CCC">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.7甲醛含量：无</w:t>
            </w:r>
          </w:p>
          <w:p w14:paraId="7E5129A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.8pH值：6.1-7.0</w:t>
            </w:r>
            <w:r>
              <w:rPr>
                <w:rFonts w:hint="eastAsia" w:cs="宋体"/>
                <w:b w:val="0"/>
                <w:bCs w:val="0"/>
                <w:sz w:val="21"/>
                <w:szCs w:val="21"/>
                <w:highlight w:val="none"/>
                <w:vertAlign w:val="baseline"/>
                <w:lang w:val="en-US" w:eastAsia="zh-CN"/>
              </w:rPr>
              <w:t>。</w:t>
            </w:r>
          </w:p>
          <w:p w14:paraId="2892D9E0">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.9耐光色牢度：≥4级，耐洗色牢度≥4-5级，耐水色牢度≥4-5级，耐干摩擦色牢度≥4-5级，耐湿摩擦色牢度≥4-5级，耐汗渍色牢度≥4-5级</w:t>
            </w:r>
          </w:p>
          <w:p w14:paraId="5EE0300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.10缝纫线强力≥12N</w:t>
            </w:r>
          </w:p>
          <w:p w14:paraId="5F60906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.11缝纫线热稳定性：缝纫线经 260℃高温 5min后，无熔融和烧焦现象。</w:t>
            </w:r>
          </w:p>
          <w:p w14:paraId="17AEECC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.12反光带逆反射系数值≥530cd/(lx×m²)</w:t>
            </w:r>
          </w:p>
          <w:p w14:paraId="222D1B72">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.13反光带阻燃性能：续燃时间≤0.3，阴燃时间≤0，损毁长度≤44，无熔融，滴落现象</w:t>
            </w:r>
          </w:p>
          <w:p w14:paraId="6063B21B">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.14反光带热稳定性：反光带经260°高温5min后，表面无碳化、脱落现象</w:t>
            </w:r>
          </w:p>
          <w:p w14:paraId="2E8BF96C">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3</w:t>
            </w:r>
            <w:r>
              <w:rPr>
                <w:rFonts w:hint="eastAsia" w:ascii="宋体" w:hAnsi="宋体" w:eastAsia="宋体" w:cs="宋体"/>
                <w:b w:val="0"/>
                <w:bCs w:val="0"/>
                <w:sz w:val="21"/>
                <w:szCs w:val="21"/>
                <w:highlight w:val="none"/>
                <w:vertAlign w:val="baseline"/>
                <w:lang w:val="en-US" w:eastAsia="zh-CN"/>
              </w:rPr>
              <w:t>.15接缝强度：裤后裆≥660，肩接缝≥650，单衣片≥495</w:t>
            </w:r>
          </w:p>
          <w:p w14:paraId="42EDA5B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4</w:t>
            </w:r>
            <w:r>
              <w:rPr>
                <w:rFonts w:hint="eastAsia" w:ascii="宋体" w:hAnsi="宋体" w:eastAsia="宋体" w:cs="宋体"/>
                <w:b w:val="0"/>
                <w:bCs w:val="0"/>
                <w:sz w:val="21"/>
                <w:szCs w:val="21"/>
                <w:highlight w:val="none"/>
                <w:vertAlign w:val="baseline"/>
                <w:lang w:val="en-US" w:eastAsia="zh-CN"/>
              </w:rPr>
              <w:t>.提供检测报告。</w:t>
            </w:r>
          </w:p>
          <w:p w14:paraId="20793F5A">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腰带B类：</w:t>
            </w:r>
          </w:p>
          <w:p w14:paraId="4A14B800">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1、消防安全腰带符合JB/T8521.1-2007《编织吊索 安全性 第1部分：一般用途合成纤维扁平吊装备》XF494-2004《消防用防坠装备》标准要求</w:t>
            </w:r>
            <w:r>
              <w:rPr>
                <w:rFonts w:hint="eastAsia" w:cs="宋体"/>
                <w:b w:val="0"/>
                <w:bCs w:val="0"/>
                <w:sz w:val="21"/>
                <w:szCs w:val="21"/>
                <w:highlight w:val="none"/>
                <w:vertAlign w:val="baseline"/>
                <w:lang w:val="en-US" w:eastAsia="zh-CN"/>
              </w:rPr>
              <w:t>。</w:t>
            </w:r>
          </w:p>
          <w:p w14:paraId="2CEB4ABF">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cs="宋体"/>
                <w:b w:val="0"/>
                <w:bCs w:val="0"/>
                <w:sz w:val="21"/>
                <w:szCs w:val="21"/>
                <w:highlight w:val="none"/>
                <w:vertAlign w:val="baseline"/>
                <w:lang w:val="en-US" w:eastAsia="zh-CN"/>
              </w:rPr>
              <w:t>2、</w:t>
            </w:r>
            <w:r>
              <w:rPr>
                <w:rFonts w:hint="eastAsia" w:ascii="宋体" w:hAnsi="宋体" w:eastAsia="宋体" w:cs="宋体"/>
                <w:b w:val="0"/>
                <w:bCs w:val="0"/>
                <w:sz w:val="21"/>
                <w:szCs w:val="21"/>
                <w:highlight w:val="none"/>
                <w:vertAlign w:val="baseline"/>
                <w:lang w:val="en-US" w:eastAsia="zh-CN"/>
              </w:rPr>
              <w:t>耐高温性能：经204℃耐高温性能试验后，安全腰带的织带和缝线未出现熔融、焦化的现象。</w:t>
            </w:r>
          </w:p>
          <w:p w14:paraId="474033F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3、金属部件的耐腐蚀性：试样的金属零件经48h中性盐雾试验后，外观符合GB/T6461-2002外观等级评定轻微级的要求。</w:t>
            </w:r>
          </w:p>
          <w:p w14:paraId="2587BBE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4、断裂力≥47KN</w:t>
            </w:r>
          </w:p>
          <w:p w14:paraId="56B6678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防火手套B类：</w:t>
            </w:r>
            <w:r>
              <w:rPr>
                <w:rFonts w:hint="eastAsia" w:ascii="宋体" w:hAnsi="宋体" w:eastAsia="宋体" w:cs="宋体"/>
                <w:b w:val="0"/>
                <w:bCs w:val="0"/>
                <w:sz w:val="21"/>
                <w:szCs w:val="21"/>
                <w:highlight w:val="none"/>
                <w:vertAlign w:val="baseline"/>
                <w:lang w:val="en-US" w:eastAsia="zh-CN"/>
              </w:rPr>
              <w:t>标准要求：森林防火手套应符合XF633-2006《消防员抢险救援手套》标准，提供检验报告。手套由优质牛皮和永久性阻燃芳纶面料缝合而成。</w:t>
            </w:r>
          </w:p>
          <w:p w14:paraId="16ABA84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1.阻燃性能：续燃时间（s）：经向：0纬向：0；损毁长度（mm）：经向≤64纬向≤61；熔融、滴落：无。</w:t>
            </w:r>
          </w:p>
          <w:p w14:paraId="5A917FB6">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热稳定性能：手套尺寸变化率（%）：长方向≤0.9、宽方向≤1.5；手套在180℃；温度下保持5min，试样表面无明显变化，且无熔融、熔滴和剥离现象。舒适层尺寸变化率（%）：1；舒适层在180℃温度下保持5min，试样表面无明显变化，且无熔融、熔滴和剥离现象。</w:t>
            </w:r>
          </w:p>
          <w:p w14:paraId="78E599E7">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3.耐磨性能：试样在9kPa的压力下，经8000次循环摩擦后，试样未被磨穿。</w:t>
            </w:r>
          </w:p>
          <w:p w14:paraId="7B69177D">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4.抗切割性能≥13.2N。</w:t>
            </w:r>
          </w:p>
          <w:p w14:paraId="0C1CF5DE">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5.耐撕破性能：背面外层：经向≥160N、纬向≥120N；掌心面：经向≥100N、纬向≥110N。</w:t>
            </w:r>
          </w:p>
          <w:p w14:paraId="3940D6C3">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6.抗机械刺穿性能≥122N。</w:t>
            </w:r>
          </w:p>
          <w:p w14:paraId="1EDC24AE">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7.灵巧性能：徒手控制百分比≤103%。</w:t>
            </w:r>
          </w:p>
          <w:p w14:paraId="406FDF25">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8.抓握性能≥103%。</w:t>
            </w:r>
          </w:p>
          <w:p w14:paraId="2D023342">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9.穿戴性能救援手套的穿戴时间≤7.4s。</w:t>
            </w:r>
          </w:p>
          <w:p w14:paraId="267CBA3E">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10.整体热防护性能手套本体组合材料TPP值≥31.5。</w:t>
            </w:r>
          </w:p>
          <w:p w14:paraId="2781A7A2">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中帮胶靴B类：</w:t>
            </w:r>
          </w:p>
          <w:p w14:paraId="59B23D79">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1.颜色：丛林迷彩。</w:t>
            </w:r>
          </w:p>
          <w:p w14:paraId="198488C0">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2.鞋帮高度：中腰，能提供更好的脚踝支撑和保护。</w:t>
            </w:r>
          </w:p>
          <w:p w14:paraId="18E4FFC1">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3.尺码：38码至47码之间。</w:t>
            </w:r>
          </w:p>
          <w:p w14:paraId="56B1F0E7">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4.鞋底材料：使用耐磨橡胶，增强支撑性和稳定性。</w:t>
            </w:r>
          </w:p>
          <w:p w14:paraId="65096B90">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5.鞋垫材料：多为海绵、乳胶、记忆棉等，具有一定的弹性和缓冲性能，能够提供舒适的脚感。</w:t>
            </w:r>
          </w:p>
          <w:p w14:paraId="4DD561DE">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6.防滑性能：通过鞋底的纹路设计和材质在各种不同的地形上提供良好的抓地力。</w:t>
            </w:r>
          </w:p>
          <w:p w14:paraId="61DEC1CD">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7.耐磨性能：优质的迷彩鞋鞋面和鞋底都应具有较好的耐磨性，以保证在长时间使用和复杂环境下不易损坏。</w:t>
            </w:r>
          </w:p>
          <w:p w14:paraId="064F2204">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8.透气性能：具备良好的透气性，可使脚部保持干爽，避免闷热和异味，如采用网眼布、透气孔等设计。</w:t>
            </w:r>
          </w:p>
        </w:tc>
        <w:tc>
          <w:tcPr>
            <w:tcW w:w="1133" w:type="dxa"/>
            <w:vAlign w:val="center"/>
          </w:tcPr>
          <w:p w14:paraId="7A938385">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1"/>
                <w:szCs w:val="21"/>
                <w:vertAlign w:val="baseline"/>
                <w:lang w:val="en-US" w:eastAsia="zh-CN"/>
              </w:rPr>
            </w:pPr>
            <w:r>
              <w:rPr>
                <w:rFonts w:hint="eastAsia" w:cs="宋体"/>
                <w:b w:val="0"/>
                <w:bCs w:val="0"/>
                <w:sz w:val="21"/>
                <w:szCs w:val="21"/>
                <w:vertAlign w:val="baseline"/>
                <w:lang w:val="en-US" w:eastAsia="zh-CN"/>
              </w:rPr>
              <w:t>是</w:t>
            </w:r>
          </w:p>
        </w:tc>
      </w:tr>
      <w:bookmarkEnd w:id="435"/>
    </w:tbl>
    <w:p w14:paraId="5047FB66">
      <w:pPr>
        <w:rPr>
          <w:rFonts w:hint="eastAsia" w:cs="宋体"/>
          <w:b/>
          <w:bCs/>
          <w:color w:val="auto"/>
          <w:kern w:val="0"/>
          <w:szCs w:val="21"/>
          <w:highlight w:val="none"/>
        </w:rPr>
      </w:pPr>
    </w:p>
    <w:p w14:paraId="2A85885D">
      <w:pPr>
        <w:rPr>
          <w:rFonts w:hint="eastAsia"/>
          <w:highlight w:val="none"/>
        </w:rPr>
      </w:pPr>
      <w:r>
        <w:rPr>
          <w:rFonts w:hint="eastAsia" w:cs="宋体"/>
          <w:b/>
          <w:bCs/>
          <w:color w:val="auto"/>
          <w:kern w:val="0"/>
          <w:szCs w:val="21"/>
          <w:highlight w:val="none"/>
        </w:rPr>
        <w:t>注：</w:t>
      </w:r>
      <w:r>
        <w:rPr>
          <w:rFonts w:hint="eastAsia" w:cs="宋体"/>
          <w:color w:val="auto"/>
          <w:kern w:val="0"/>
          <w:szCs w:val="21"/>
          <w:highlight w:val="none"/>
        </w:rPr>
        <w:t>1、本项目明确的所属行业为</w:t>
      </w:r>
      <w:r>
        <w:rPr>
          <w:rFonts w:hint="eastAsia" w:cs="宋体"/>
          <w:b/>
          <w:bCs/>
          <w:color w:val="auto"/>
          <w:kern w:val="0"/>
          <w:szCs w:val="21"/>
          <w:highlight w:val="none"/>
        </w:rPr>
        <w:t>“</w:t>
      </w:r>
      <w:r>
        <w:rPr>
          <w:rFonts w:hint="eastAsia" w:cs="宋体"/>
          <w:b/>
          <w:bCs/>
          <w:color w:val="auto"/>
          <w:kern w:val="0"/>
          <w:szCs w:val="21"/>
          <w:highlight w:val="none"/>
          <w:lang w:val="en-US" w:eastAsia="zh-CN"/>
        </w:rPr>
        <w:t>工业</w:t>
      </w:r>
      <w:r>
        <w:rPr>
          <w:rFonts w:hint="eastAsia" w:cs="宋体"/>
          <w:b/>
          <w:bCs/>
          <w:color w:val="auto"/>
          <w:kern w:val="0"/>
          <w:szCs w:val="21"/>
          <w:highlight w:val="none"/>
        </w:rPr>
        <w:t>”</w:t>
      </w:r>
      <w:r>
        <w:rPr>
          <w:rFonts w:hint="eastAsia" w:cs="宋体"/>
          <w:color w:val="auto"/>
          <w:kern w:val="0"/>
          <w:szCs w:val="21"/>
          <w:highlight w:val="none"/>
        </w:rPr>
        <w:t>。</w:t>
      </w:r>
    </w:p>
    <w:p w14:paraId="7B43353D">
      <w:pPr>
        <w:ind w:firstLine="420" w:firstLineChars="200"/>
        <w:rPr>
          <w:rFonts w:hint="eastAsia" w:cs="宋体"/>
          <w:color w:val="auto"/>
          <w:szCs w:val="21"/>
          <w:highlight w:val="none"/>
        </w:rPr>
      </w:pPr>
      <w:r>
        <w:rPr>
          <w:rFonts w:hint="eastAsia" w:cs="宋体"/>
          <w:color w:val="auto"/>
          <w:szCs w:val="21"/>
          <w:highlight w:val="none"/>
        </w:rPr>
        <w:t>2、投标人须对所投项目内的所有项目内容进行整体投标报价，不得缺项漏项，否则按不实质性响应招标文件要求处理。</w:t>
      </w:r>
    </w:p>
    <w:p w14:paraId="3A201DBB">
      <w:pPr>
        <w:ind w:firstLine="420" w:firstLineChars="200"/>
        <w:rPr>
          <w:rFonts w:hint="eastAsia" w:cs="宋体"/>
          <w:color w:val="auto"/>
          <w:kern w:val="0"/>
          <w:szCs w:val="21"/>
          <w:highlight w:val="none"/>
        </w:rPr>
      </w:pPr>
      <w:r>
        <w:rPr>
          <w:rFonts w:hint="eastAsia" w:cs="宋体"/>
          <w:color w:val="auto"/>
          <w:kern w:val="0"/>
          <w:szCs w:val="21"/>
          <w:highlight w:val="none"/>
        </w:rPr>
        <w:t>3、提供的核心产品为相同品牌产品且通过资格审查、符合性审查的不同投标人参加同一项目下投标的，按一家投标人计算（有效投标人不足3家的，该项目作废标处理），评审后得分最高的同品牌投标人获得中标人推荐资格；评审得分相同的，评标委员会将依次按技术部分得分高优先、价格部分得分高优先、商务部分得分高优先的顺序确定；所有得分均相等的，重要技术指标高优先、质保期长优先、</w:t>
      </w:r>
      <w:r>
        <w:rPr>
          <w:color w:val="auto"/>
          <w:kern w:val="0"/>
          <w:highlight w:val="none"/>
        </w:rPr>
        <w:t>交货时间短优先、</w:t>
      </w:r>
      <w:r>
        <w:rPr>
          <w:rFonts w:hint="eastAsia" w:cs="宋体"/>
          <w:color w:val="auto"/>
          <w:kern w:val="0"/>
          <w:szCs w:val="21"/>
          <w:highlight w:val="none"/>
        </w:rPr>
        <w:t>故障到达时间短优先的顺序确定一个投标人获得中标人推荐资格，其他同品牌投标人不作为中标候选人。</w:t>
      </w:r>
    </w:p>
    <w:p w14:paraId="1F5DDE4C">
      <w:pPr>
        <w:ind w:firstLine="420" w:firstLineChars="200"/>
        <w:rPr>
          <w:rFonts w:hint="eastAsia" w:cs="宋体"/>
          <w:color w:val="auto"/>
          <w:kern w:val="0"/>
          <w:szCs w:val="21"/>
          <w:highlight w:val="none"/>
        </w:rPr>
      </w:pPr>
    </w:p>
    <w:p w14:paraId="12117CE4">
      <w:pPr>
        <w:ind w:firstLine="420" w:firstLineChars="200"/>
        <w:rPr>
          <w:rFonts w:hint="eastAsia" w:cs="宋体"/>
          <w:color w:val="auto"/>
          <w:kern w:val="0"/>
          <w:szCs w:val="21"/>
          <w:highlight w:val="none"/>
        </w:rPr>
        <w:sectPr>
          <w:pgSz w:w="16838" w:h="11906" w:orient="landscape"/>
          <w:pgMar w:top="1080" w:right="1440" w:bottom="1080" w:left="1440" w:header="680" w:footer="680" w:gutter="0"/>
          <w:pgBorders>
            <w:top w:val="none" w:sz="0" w:space="0"/>
            <w:left w:val="none" w:sz="0" w:space="0"/>
            <w:bottom w:val="none" w:sz="0" w:space="0"/>
            <w:right w:val="none" w:sz="0" w:space="0"/>
          </w:pgBorders>
          <w:pgNumType w:fmt="decimal"/>
          <w:cols w:space="720" w:num="1"/>
          <w:docGrid w:type="linesAndChars" w:linePitch="331" w:charSpace="0"/>
        </w:sectPr>
      </w:pPr>
    </w:p>
    <w:bookmarkEnd w:id="342"/>
    <w:bookmarkEnd w:id="343"/>
    <w:bookmarkEnd w:id="344"/>
    <w:p w14:paraId="2525A6C6">
      <w:pPr>
        <w:pStyle w:val="3"/>
        <w:bidi w:val="0"/>
        <w:rPr>
          <w:rFonts w:hint="eastAsia"/>
        </w:rPr>
      </w:pPr>
      <w:bookmarkStart w:id="347" w:name="_Toc166067805"/>
      <w:bookmarkStart w:id="348" w:name="_Toc139357097"/>
      <w:bookmarkStart w:id="349" w:name="_Toc20256"/>
      <w:r>
        <w:rPr>
          <w:rFonts w:hint="eastAsia"/>
          <w:lang w:val="en-US" w:eastAsia="zh-CN"/>
        </w:rPr>
        <w:t>二</w:t>
      </w:r>
      <w:r>
        <w:t>、</w:t>
      </w:r>
      <w:r>
        <w:rPr>
          <w:rFonts w:hint="eastAsia"/>
        </w:rPr>
        <w:t>商务要求</w:t>
      </w:r>
      <w:bookmarkEnd w:id="347"/>
      <w:bookmarkEnd w:id="348"/>
      <w:bookmarkEnd w:id="349"/>
    </w:p>
    <w:p w14:paraId="3488DA0F">
      <w:pPr>
        <w:spacing w:line="440" w:lineRule="exact"/>
        <w:ind w:firstLine="420" w:firstLineChars="200"/>
        <w:rPr>
          <w:rFonts w:hint="default" w:cs="宋体"/>
          <w:b/>
          <w:bCs/>
          <w:color w:val="auto"/>
          <w:szCs w:val="21"/>
          <w:highlight w:val="none"/>
          <w:lang w:val="en-US" w:eastAsia="zh-CN"/>
        </w:rPr>
      </w:pPr>
      <w:r>
        <w:rPr>
          <w:rFonts w:hint="eastAsia" w:cs="宋体"/>
          <w:szCs w:val="21"/>
          <w:highlight w:val="none"/>
        </w:rPr>
        <w:t>★</w:t>
      </w:r>
      <w:r>
        <w:rPr>
          <w:rFonts w:hint="eastAsia" w:cs="宋体"/>
          <w:b/>
          <w:bCs/>
          <w:color w:val="auto"/>
          <w:szCs w:val="21"/>
          <w:highlight w:val="none"/>
          <w:lang w:val="en-US" w:eastAsia="zh-CN"/>
        </w:rPr>
        <w:t>1、交货期：</w:t>
      </w:r>
    </w:p>
    <w:p w14:paraId="6BC2C783">
      <w:pPr>
        <w:ind w:firstLine="420" w:firstLineChars="200"/>
        <w:rPr>
          <w:rFonts w:hint="eastAsia"/>
          <w:color w:val="auto"/>
          <w:highlight w:val="none"/>
          <w:lang w:val="en-US" w:eastAsia="zh-CN"/>
        </w:rPr>
      </w:pPr>
      <w:r>
        <w:rPr>
          <w:rFonts w:hint="eastAsia"/>
          <w:color w:val="auto"/>
          <w:highlight w:val="none"/>
          <w:lang w:val="en-US" w:eastAsia="zh-CN"/>
        </w:rPr>
        <w:t>A包：自合同签订之日起30个日历天内完成交货、调试并验收合格投入使用。（包括车辆上牌、购买保险、落户、送货至采购人指定地点、现场培训使用方法）</w:t>
      </w:r>
    </w:p>
    <w:p w14:paraId="588E0908">
      <w:pPr>
        <w:ind w:firstLine="420" w:firstLineChars="200"/>
        <w:rPr>
          <w:rFonts w:hint="eastAsia"/>
          <w:color w:val="auto"/>
          <w:highlight w:val="none"/>
          <w:lang w:val="en-US" w:eastAsia="zh-CN"/>
        </w:rPr>
      </w:pPr>
      <w:r>
        <w:rPr>
          <w:rFonts w:hint="eastAsia"/>
          <w:color w:val="auto"/>
          <w:highlight w:val="none"/>
          <w:lang w:val="en-US" w:eastAsia="zh-CN"/>
        </w:rPr>
        <w:t>B包：自合同签订之日起30个日历天内完成交货，并根据招标人要求进行安装、调试并验收合格投入使用。（包括送货至采购人指定地点、现场培训使用方法）</w:t>
      </w:r>
    </w:p>
    <w:p w14:paraId="2667C633">
      <w:pPr>
        <w:ind w:firstLine="420" w:firstLineChars="200"/>
        <w:rPr>
          <w:rFonts w:hint="eastAsia"/>
          <w:color w:val="auto"/>
          <w:highlight w:val="none"/>
          <w:lang w:val="en-US" w:eastAsia="zh-CN"/>
        </w:rPr>
      </w:pPr>
      <w:r>
        <w:rPr>
          <w:rFonts w:hint="eastAsia"/>
          <w:color w:val="auto"/>
          <w:highlight w:val="none"/>
          <w:lang w:val="en-US" w:eastAsia="zh-CN"/>
        </w:rPr>
        <w:t>C包：自合同签订之日起30个日历日内完成交货并通过验收。</w:t>
      </w:r>
    </w:p>
    <w:p w14:paraId="5CFD1F0F">
      <w:pPr>
        <w:ind w:firstLine="420" w:firstLineChars="200"/>
        <w:rPr>
          <w:rFonts w:hint="eastAsia"/>
          <w:color w:val="auto"/>
          <w:highlight w:val="none"/>
          <w:lang w:val="en-US" w:eastAsia="zh-CN"/>
        </w:rPr>
      </w:pPr>
      <w:r>
        <w:rPr>
          <w:rFonts w:hint="eastAsia" w:cs="宋体"/>
          <w:szCs w:val="21"/>
          <w:highlight w:val="none"/>
        </w:rPr>
        <w:t>★</w:t>
      </w:r>
      <w:r>
        <w:rPr>
          <w:rFonts w:hint="eastAsia"/>
          <w:b/>
          <w:bCs/>
          <w:color w:val="auto"/>
          <w:highlight w:val="none"/>
          <w:lang w:val="en-US" w:eastAsia="zh-CN"/>
        </w:rPr>
        <w:t>2、交货地点：</w:t>
      </w:r>
      <w:r>
        <w:rPr>
          <w:rFonts w:hint="eastAsia"/>
          <w:color w:val="auto"/>
          <w:highlight w:val="none"/>
          <w:lang w:val="en-US" w:eastAsia="zh-CN"/>
        </w:rPr>
        <w:t>采购人指定地点。</w:t>
      </w:r>
    </w:p>
    <w:p w14:paraId="55D6359B">
      <w:pPr>
        <w:ind w:firstLine="420" w:firstLineChars="200"/>
        <w:rPr>
          <w:rFonts w:hint="eastAsia"/>
          <w:color w:val="auto"/>
          <w:highlight w:val="none"/>
          <w:lang w:val="en-US" w:eastAsia="zh-CN"/>
        </w:rPr>
      </w:pPr>
      <w:r>
        <w:rPr>
          <w:rFonts w:hint="eastAsia" w:cs="宋体"/>
          <w:szCs w:val="21"/>
          <w:highlight w:val="none"/>
        </w:rPr>
        <w:t>★</w:t>
      </w:r>
      <w:r>
        <w:rPr>
          <w:rFonts w:hint="eastAsia"/>
          <w:b/>
          <w:bCs/>
          <w:color w:val="auto"/>
          <w:highlight w:val="none"/>
          <w:lang w:val="en-US" w:eastAsia="zh-CN"/>
        </w:rPr>
        <w:t>3、交货方式：</w:t>
      </w:r>
      <w:r>
        <w:rPr>
          <w:rFonts w:hint="eastAsia"/>
          <w:color w:val="auto"/>
          <w:highlight w:val="none"/>
          <w:lang w:val="en-US" w:eastAsia="zh-CN"/>
        </w:rPr>
        <w:t>现场安装调试验收完成。</w:t>
      </w:r>
    </w:p>
    <w:p w14:paraId="30D07FA4">
      <w:pPr>
        <w:ind w:firstLine="420" w:firstLineChars="200"/>
        <w:rPr>
          <w:rFonts w:hint="eastAsia"/>
          <w:color w:val="auto"/>
          <w:highlight w:val="yellow"/>
          <w:lang w:val="en-US" w:eastAsia="zh-CN"/>
        </w:rPr>
      </w:pPr>
      <w:r>
        <w:rPr>
          <w:rFonts w:hint="eastAsia" w:cs="宋体"/>
          <w:szCs w:val="21"/>
          <w:highlight w:val="none"/>
        </w:rPr>
        <w:t>★</w:t>
      </w:r>
      <w:r>
        <w:rPr>
          <w:rFonts w:hint="eastAsia"/>
          <w:b/>
          <w:bCs/>
          <w:color w:val="auto"/>
          <w:highlight w:val="none"/>
          <w:lang w:val="en-US" w:eastAsia="zh-CN"/>
        </w:rPr>
        <w:t>4、质量要求：</w:t>
      </w:r>
      <w:r>
        <w:rPr>
          <w:rFonts w:hint="eastAsia"/>
          <w:color w:val="auto"/>
          <w:highlight w:val="none"/>
          <w:lang w:val="en-US" w:eastAsia="zh-CN"/>
        </w:rPr>
        <w:t>满足国家及行业相关法律法规、标准规范规定及采购人要求，一次性验收合格。</w:t>
      </w:r>
    </w:p>
    <w:p w14:paraId="5DF51D41">
      <w:pPr>
        <w:ind w:firstLine="420" w:firstLineChars="200"/>
        <w:rPr>
          <w:rFonts w:hint="eastAsia"/>
          <w:b/>
          <w:bCs/>
          <w:color w:val="auto"/>
          <w:highlight w:val="none"/>
          <w:lang w:val="en-US" w:eastAsia="zh-CN"/>
        </w:rPr>
      </w:pPr>
      <w:r>
        <w:rPr>
          <w:rFonts w:hint="eastAsia" w:cs="宋体"/>
          <w:szCs w:val="21"/>
          <w:highlight w:val="none"/>
        </w:rPr>
        <w:t>★</w:t>
      </w:r>
      <w:r>
        <w:rPr>
          <w:rFonts w:hint="eastAsia"/>
          <w:b/>
          <w:bCs/>
          <w:color w:val="auto"/>
          <w:highlight w:val="none"/>
          <w:lang w:val="en-US" w:eastAsia="zh-CN"/>
        </w:rPr>
        <w:t>5、质保期：</w:t>
      </w:r>
    </w:p>
    <w:p w14:paraId="05FF0066">
      <w:pPr>
        <w:ind w:firstLine="420" w:firstLineChars="200"/>
        <w:rPr>
          <w:rFonts w:hint="eastAsia"/>
          <w:b/>
          <w:bCs/>
          <w:highlight w:val="none"/>
          <w:lang w:val="en-US" w:eastAsia="zh-CN"/>
        </w:rPr>
      </w:pPr>
      <w:r>
        <w:rPr>
          <w:rFonts w:hint="eastAsia"/>
          <w:b/>
          <w:bCs/>
          <w:highlight w:val="none"/>
          <w:lang w:val="en-US" w:eastAsia="zh-CN"/>
        </w:rPr>
        <w:t>A包：质保期≥2年，质保期自采购人验收合格之日起计算。</w:t>
      </w:r>
    </w:p>
    <w:p w14:paraId="339789A7">
      <w:pPr>
        <w:ind w:firstLine="420" w:firstLineChars="200"/>
        <w:rPr>
          <w:rFonts w:hint="default" w:ascii="宋体" w:hAnsi="宋体" w:eastAsia="宋体" w:cs="Times New Roman"/>
          <w:b/>
          <w:bCs/>
          <w:highlight w:val="none"/>
          <w:lang w:val="en-US" w:eastAsia="zh-CN"/>
        </w:rPr>
      </w:pPr>
      <w:r>
        <w:rPr>
          <w:rFonts w:hint="eastAsia"/>
          <w:b/>
          <w:bCs/>
          <w:highlight w:val="none"/>
          <w:lang w:val="en-US" w:eastAsia="zh-CN"/>
        </w:rPr>
        <w:t>B包：质保期≥1年，质保期自采购人验收合格之日起计算。</w:t>
      </w:r>
    </w:p>
    <w:p w14:paraId="507E0048">
      <w:pPr>
        <w:ind w:firstLine="420" w:firstLineChars="200"/>
        <w:rPr>
          <w:rFonts w:hint="default" w:ascii="宋体" w:hAnsi="宋体" w:eastAsia="宋体" w:cs="Times New Roman"/>
          <w:b/>
          <w:bCs/>
          <w:highlight w:val="none"/>
          <w:lang w:val="en-US" w:eastAsia="zh-CN"/>
        </w:rPr>
      </w:pPr>
      <w:r>
        <w:rPr>
          <w:rFonts w:hint="eastAsia"/>
          <w:b/>
          <w:bCs/>
          <w:highlight w:val="none"/>
          <w:lang w:val="en-US" w:eastAsia="zh-CN"/>
        </w:rPr>
        <w:t>C包：质保期≥1年，质保期自采购人验收合格之日起计算。</w:t>
      </w:r>
    </w:p>
    <w:p w14:paraId="434AE606">
      <w:pPr>
        <w:ind w:firstLine="420" w:firstLineChars="200"/>
        <w:rPr>
          <w:rFonts w:hint="eastAsia"/>
          <w:b/>
          <w:bCs/>
          <w:color w:val="auto"/>
          <w:highlight w:val="none"/>
          <w:lang w:val="en-US" w:eastAsia="zh-CN"/>
        </w:rPr>
      </w:pPr>
      <w:r>
        <w:rPr>
          <w:rFonts w:hint="eastAsia" w:cs="宋体"/>
          <w:szCs w:val="21"/>
          <w:highlight w:val="none"/>
        </w:rPr>
        <w:t>★</w:t>
      </w:r>
      <w:r>
        <w:rPr>
          <w:rFonts w:hint="eastAsia" w:ascii="宋体" w:hAnsi="宋体" w:eastAsia="宋体" w:cs="Times New Roman"/>
          <w:b/>
          <w:bCs/>
          <w:lang w:val="en-US" w:eastAsia="zh-CN"/>
        </w:rPr>
        <w:t>6、</w:t>
      </w:r>
      <w:r>
        <w:rPr>
          <w:rFonts w:hint="eastAsia"/>
          <w:b/>
          <w:bCs/>
          <w:color w:val="auto"/>
          <w:highlight w:val="none"/>
          <w:lang w:val="en-US" w:eastAsia="zh-CN"/>
        </w:rPr>
        <w:t>保险（A包适用）：</w:t>
      </w:r>
    </w:p>
    <w:p w14:paraId="312D6173">
      <w:pPr>
        <w:ind w:firstLine="420" w:firstLineChars="200"/>
        <w:rPr>
          <w:rFonts w:hint="eastAsia"/>
          <w:b/>
          <w:bCs/>
          <w:color w:val="auto"/>
          <w:highlight w:val="none"/>
          <w:lang w:val="en-US" w:eastAsia="zh-CN"/>
        </w:rPr>
      </w:pPr>
      <w:r>
        <w:rPr>
          <w:rFonts w:hint="eastAsia"/>
          <w:b/>
          <w:bCs/>
          <w:color w:val="auto"/>
          <w:highlight w:val="none"/>
          <w:lang w:val="en-US" w:eastAsia="zh-CN"/>
        </w:rPr>
        <w:t>A包：包含交强险（费用已包含在本标包投标报价中）。</w:t>
      </w:r>
    </w:p>
    <w:p w14:paraId="1460B222">
      <w:pPr>
        <w:ind w:firstLine="420" w:firstLineChars="200"/>
        <w:rPr>
          <w:rFonts w:hint="default"/>
          <w:b/>
          <w:bCs/>
          <w:color w:val="auto"/>
          <w:highlight w:val="none"/>
          <w:lang w:val="en-US" w:eastAsia="zh-CN"/>
        </w:rPr>
      </w:pPr>
      <w:r>
        <w:rPr>
          <w:rFonts w:hint="eastAsia"/>
          <w:b/>
          <w:bCs/>
          <w:color w:val="auto"/>
          <w:highlight w:val="none"/>
          <w:lang w:val="en-US" w:eastAsia="zh-CN"/>
        </w:rPr>
        <w:t>7、售后服务：</w:t>
      </w:r>
    </w:p>
    <w:p w14:paraId="51249046">
      <w:pPr>
        <w:ind w:firstLine="420" w:firstLineChars="200"/>
        <w:rPr>
          <w:rFonts w:hint="eastAsia"/>
          <w:color w:val="auto"/>
          <w:highlight w:val="none"/>
          <w:lang w:val="en-US" w:eastAsia="zh-CN"/>
        </w:rPr>
      </w:pPr>
      <w:r>
        <w:rPr>
          <w:rFonts w:hint="eastAsia"/>
          <w:color w:val="auto"/>
          <w:highlight w:val="none"/>
          <w:lang w:val="en-US" w:eastAsia="zh-CN"/>
        </w:rPr>
        <w:t>（1）质保期内，供应商承担故障维修、维护保养的义务，确因质量原因无法正常工作时，供应商负责更换全新合格的产品，同一货物、同一质量问题连续三次维修仍无法正常使用，供应商必须予以更换同品牌、同型号或不低于投标配置的全新货物。</w:t>
      </w:r>
    </w:p>
    <w:p w14:paraId="0EBE8761">
      <w:pPr>
        <w:ind w:firstLine="420" w:firstLineChars="200"/>
        <w:rPr>
          <w:rFonts w:hint="eastAsia" w:ascii="宋体" w:hAnsi="宋体" w:eastAsia="宋体" w:cs="Times New Roman"/>
          <w:color w:val="auto"/>
          <w:highlight w:val="none"/>
          <w:lang w:val="en-US" w:eastAsia="zh-CN"/>
        </w:rPr>
      </w:pPr>
      <w:r>
        <w:rPr>
          <w:rFonts w:hint="eastAsia"/>
          <w:color w:val="auto"/>
          <w:highlight w:val="none"/>
          <w:lang w:val="en-US" w:eastAsia="zh-CN"/>
        </w:rPr>
        <w:t>（2）</w:t>
      </w:r>
      <w:r>
        <w:rPr>
          <w:rFonts w:hint="eastAsia" w:ascii="宋体" w:hAnsi="宋体" w:eastAsia="宋体" w:cs="Times New Roman"/>
          <w:color w:val="auto"/>
          <w:highlight w:val="none"/>
          <w:lang w:val="en-US" w:eastAsia="zh-CN"/>
        </w:rPr>
        <w:t>供应商提供7*24小时维修服务热线，接到采购人电话后在立即做出响应，24小时以内到达指定地点。一般问题应在12小时内解决，重大问题应在24小时内解决或提出明确解决方案；如需更换配件的，应在72小时内完成更换。</w:t>
      </w:r>
    </w:p>
    <w:p w14:paraId="38E972A2">
      <w:pPr>
        <w:ind w:firstLine="420" w:firstLineChars="200"/>
        <w:rPr>
          <w:rFonts w:hint="eastAsia"/>
          <w:color w:val="auto"/>
          <w:highlight w:val="none"/>
          <w:lang w:val="en-US" w:eastAsia="zh-CN"/>
        </w:rPr>
      </w:pPr>
      <w:r>
        <w:rPr>
          <w:rFonts w:hint="eastAsia"/>
          <w:color w:val="auto"/>
          <w:highlight w:val="none"/>
          <w:lang w:val="en-US" w:eastAsia="zh-CN"/>
        </w:rPr>
        <w:t>（3）技术培训要求：供应商应配置专业技术人员提供现场技术培训，保证采购人相关使用人员正常操作设备的各种功能。</w:t>
      </w:r>
    </w:p>
    <w:p w14:paraId="0EAD9CF2">
      <w:pPr>
        <w:ind w:firstLine="420" w:firstLineChars="200"/>
        <w:rPr>
          <w:rFonts w:hint="eastAsia"/>
          <w:b/>
          <w:bCs/>
          <w:color w:val="auto"/>
          <w:highlight w:val="none"/>
          <w:lang w:val="en-US" w:eastAsia="zh-CN"/>
        </w:rPr>
      </w:pPr>
      <w:r>
        <w:rPr>
          <w:rFonts w:hint="eastAsia"/>
          <w:b/>
          <w:bCs/>
          <w:color w:val="auto"/>
          <w:highlight w:val="none"/>
          <w:lang w:val="en-US" w:eastAsia="zh-CN"/>
        </w:rPr>
        <w:t>8、验收标准：</w:t>
      </w:r>
    </w:p>
    <w:p w14:paraId="56A43733">
      <w:pPr>
        <w:ind w:firstLine="420" w:firstLineChars="200"/>
        <w:rPr>
          <w:rFonts w:hint="eastAsia"/>
          <w:color w:val="auto"/>
          <w:highlight w:val="none"/>
          <w:lang w:val="en-US" w:eastAsia="zh-CN"/>
        </w:rPr>
      </w:pPr>
      <w:r>
        <w:rPr>
          <w:rFonts w:hint="eastAsia"/>
          <w:color w:val="auto"/>
          <w:highlight w:val="none"/>
          <w:lang w:val="en-US" w:eastAsia="zh-CN"/>
        </w:rPr>
        <w:t>中标供应商将物资送达采购人指定地点后，采购人按中标供应商递交的投标文件中承诺的技术参数要求进行验收，并有权组织专业验收团队对物资进行实物性能测试。</w:t>
      </w:r>
    </w:p>
    <w:p w14:paraId="06ADEDD4">
      <w:pPr>
        <w:ind w:firstLine="420" w:firstLineChars="200"/>
        <w:rPr>
          <w:rFonts w:hint="eastAsia"/>
          <w:color w:val="auto"/>
          <w:highlight w:val="none"/>
          <w:lang w:val="en-US" w:eastAsia="zh-CN"/>
        </w:rPr>
      </w:pPr>
      <w:r>
        <w:rPr>
          <w:rFonts w:hint="eastAsia"/>
          <w:color w:val="auto"/>
          <w:highlight w:val="none"/>
          <w:lang w:val="en-US" w:eastAsia="zh-CN"/>
        </w:rPr>
        <w:t>（1）实物性能测试结果符合技术参数要求，则由采购人向供应商开具验收合格材料。</w:t>
      </w:r>
    </w:p>
    <w:p w14:paraId="6F4CE4C9">
      <w:pPr>
        <w:ind w:firstLine="420" w:firstLineChars="200"/>
        <w:rPr>
          <w:rFonts w:hint="default"/>
          <w:color w:val="auto"/>
          <w:highlight w:val="none"/>
          <w:lang w:val="en-US" w:eastAsia="zh-CN"/>
        </w:rPr>
      </w:pPr>
      <w:r>
        <w:rPr>
          <w:rFonts w:hint="eastAsia"/>
          <w:color w:val="auto"/>
          <w:highlight w:val="none"/>
          <w:lang w:val="en-US" w:eastAsia="zh-CN"/>
        </w:rPr>
        <w:t>（2）实物性能测试结果达不到技术参数要求，若同一类货物中仅有个别货物达不到技术参数要求，采购人可要求供应商更换该不合格货物；若同一类货物中多个货物均达不到技术参数要求，采购人有权拒收该货物，按合同中违约承诺对供应商进行违约处罚，并按虚假应标程序报送行政主管部门。</w:t>
      </w:r>
    </w:p>
    <w:p w14:paraId="7DFC5FE5">
      <w:pPr>
        <w:ind w:firstLine="420" w:firstLineChars="200"/>
        <w:rPr>
          <w:rFonts w:hint="default" w:ascii="宋体" w:hAnsi="宋体" w:eastAsia="宋体" w:cs="Times New Roman"/>
          <w:b/>
          <w:bCs/>
          <w:color w:val="auto"/>
          <w:highlight w:val="none"/>
          <w:u w:val="none"/>
          <w:lang w:val="en-US" w:eastAsia="zh-CN"/>
        </w:rPr>
      </w:pPr>
      <w:r>
        <w:rPr>
          <w:rFonts w:hint="eastAsia" w:ascii="宋体" w:hAnsi="宋体" w:eastAsia="宋体" w:cs="Times New Roman"/>
          <w:b/>
          <w:bCs/>
          <w:color w:val="auto"/>
          <w:highlight w:val="none"/>
          <w:u w:val="none"/>
          <w:lang w:val="en-US" w:eastAsia="zh-CN"/>
        </w:rPr>
        <w:t>9、付款方式：</w:t>
      </w:r>
    </w:p>
    <w:p w14:paraId="41817A94">
      <w:pPr>
        <w:spacing w:line="360" w:lineRule="auto"/>
        <w:ind w:firstLine="420" w:firstLineChars="200"/>
        <w:rPr>
          <w:rFonts w:hint="eastAsia" w:ascii="宋体" w:hAnsi="宋体" w:eastAsia="宋体" w:cs="Times New Roman"/>
          <w:b/>
          <w:bCs/>
          <w:color w:val="auto"/>
          <w:highlight w:val="none"/>
          <w:u w:val="none"/>
          <w:lang w:val="en-US" w:eastAsia="zh-CN"/>
        </w:rPr>
      </w:pPr>
      <w:r>
        <w:rPr>
          <w:rFonts w:hint="eastAsia" w:ascii="宋体" w:hAnsi="宋体" w:eastAsia="宋体" w:cs="宋体"/>
          <w:szCs w:val="21"/>
          <w:highlight w:val="none"/>
          <w:u w:val="none"/>
          <w:lang w:val="en-US" w:eastAsia="zh-CN"/>
        </w:rPr>
        <w:t>签订合同，到货、现场安装、调试、培训、验收合格后，乙方开具合法有效发票，甲方收到发票</w:t>
      </w:r>
      <w:r>
        <w:rPr>
          <w:rFonts w:hint="eastAsia" w:cs="宋体"/>
          <w:szCs w:val="21"/>
          <w:highlight w:val="none"/>
          <w:u w:val="none"/>
          <w:lang w:val="en-US" w:eastAsia="zh-CN"/>
        </w:rPr>
        <w:t>15个工作日</w:t>
      </w:r>
      <w:r>
        <w:rPr>
          <w:rFonts w:hint="eastAsia" w:ascii="宋体" w:hAnsi="宋体" w:eastAsia="宋体" w:cs="宋体"/>
          <w:szCs w:val="21"/>
          <w:highlight w:val="none"/>
          <w:u w:val="none"/>
          <w:lang w:val="en-US" w:eastAsia="zh-CN"/>
        </w:rPr>
        <w:t>内以银行转账方式支付合同总价款的100%。</w:t>
      </w:r>
    </w:p>
    <w:p w14:paraId="0D89F202">
      <w:pPr>
        <w:spacing w:line="360" w:lineRule="auto"/>
        <w:ind w:firstLine="420" w:firstLineChars="200"/>
        <w:rPr>
          <w:rFonts w:hint="default" w:ascii="宋体" w:hAnsi="宋体" w:eastAsia="宋体" w:cs="Times New Roman"/>
          <w:color w:val="auto"/>
          <w:highlight w:val="none"/>
          <w:lang w:val="en-US" w:eastAsia="zh-CN"/>
        </w:rPr>
      </w:pPr>
      <w:r>
        <w:rPr>
          <w:rFonts w:hint="eastAsia" w:ascii="宋体" w:hAnsi="宋体" w:eastAsia="宋体" w:cs="Times New Roman"/>
          <w:b/>
          <w:bCs/>
          <w:color w:val="auto"/>
          <w:highlight w:val="none"/>
          <w:lang w:val="en-US" w:eastAsia="zh-CN"/>
        </w:rPr>
        <w:t>10、样品提交要求（B包、C包适用）</w:t>
      </w:r>
    </w:p>
    <w:p w14:paraId="751AA41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（1）B包：便携式消防水泵1台</w:t>
      </w:r>
      <w:r>
        <w:rPr>
          <w:rFonts w:hint="eastAsia" w:cs="宋体"/>
          <w:color w:val="auto"/>
          <w:sz w:val="21"/>
          <w:szCs w:val="21"/>
          <w:highlight w:val="none"/>
          <w:lang w:val="en-US" w:eastAsia="zh-CN"/>
        </w:rPr>
        <w:t>及水泵附件（水泵专用油箱1套（含油管）、专用吸水管1套、底阀1个、直流喷枪1支、水雾喷枪1支、止水钳1把、接头扳手1把、三通1个、单向阀1个、转换接头1个、内牙1个、引水泵1套、附件背包1个）</w:t>
      </w:r>
      <w:r>
        <w:rPr>
          <w:rFonts w:hint="eastAsia" w:ascii="宋体" w:hAnsi="宋体" w:eastAsia="宋体" w:cs="宋体"/>
          <w:color w:val="auto"/>
          <w:sz w:val="21"/>
          <w:szCs w:val="21"/>
          <w:highlight w:val="none"/>
        </w:rPr>
        <w:t>，</w:t>
      </w:r>
      <w:r>
        <w:rPr>
          <w:rFonts w:hint="eastAsia" w:cs="宋体"/>
          <w:color w:val="auto"/>
          <w:sz w:val="21"/>
          <w:szCs w:val="21"/>
          <w:highlight w:val="none"/>
          <w:lang w:eastAsia="zh-CN"/>
        </w:rPr>
        <w:t>水带1卷</w:t>
      </w:r>
      <w:r>
        <w:rPr>
          <w:rFonts w:hint="eastAsia" w:ascii="宋体" w:hAnsi="宋体" w:eastAsia="宋体" w:cs="宋体"/>
          <w:color w:val="auto"/>
          <w:sz w:val="21"/>
          <w:szCs w:val="21"/>
          <w:highlight w:val="none"/>
        </w:rPr>
        <w:t>；</w:t>
      </w:r>
    </w:p>
    <w:p w14:paraId="7D9C3569">
      <w:pPr>
        <w:spacing w:line="360" w:lineRule="auto"/>
        <w:ind w:firstLine="420" w:firstLineChars="200"/>
        <w:rPr>
          <w:rFonts w:hint="eastAsia" w:ascii="宋体" w:hAnsi="宋体" w:eastAsia="宋体" w:cs="Times New Roman"/>
          <w:color w:val="auto"/>
          <w:highlight w:val="none"/>
          <w:lang w:val="en-US" w:eastAsia="zh-CN"/>
        </w:rPr>
      </w:pPr>
      <w:r>
        <w:rPr>
          <w:rFonts w:hint="eastAsia" w:ascii="宋体" w:hAnsi="宋体" w:eastAsia="宋体" w:cs="宋体"/>
          <w:color w:val="auto"/>
          <w:sz w:val="21"/>
          <w:szCs w:val="21"/>
          <w:highlight w:val="none"/>
        </w:rPr>
        <w:t>（2）C包：防火扑火服A类1套，防火扑火服B类1套，中帮胶靴A类1双，中帮胶靴B类1双，防火头盔B类1顶（含头盔、护目镜、防爆手电筒），防火头套B类1套，腰带B类1条，防火手套B类1双。</w:t>
      </w:r>
    </w:p>
    <w:p w14:paraId="21C9B229">
      <w:pPr>
        <w:ind w:firstLine="420" w:firstLineChars="20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中标人的样品将作为交货时产品验收的标准，不予退还。未中标的投标人样品须在中标公示结束后5日内前来领取，未在规定时间内领取的，将视为放弃领取样品的权利，此类样品由采购人处理。</w:t>
      </w:r>
    </w:p>
    <w:p w14:paraId="00CC48A6">
      <w:p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br w:type="page"/>
      </w:r>
    </w:p>
    <w:p w14:paraId="0D943422">
      <w:pPr>
        <w:pStyle w:val="2"/>
        <w:bidi w:val="0"/>
        <w:rPr>
          <w:rFonts w:hint="eastAsia"/>
        </w:rPr>
      </w:pPr>
      <w:bookmarkStart w:id="350" w:name="_Toc10403"/>
      <w:r>
        <w:rPr>
          <w:rFonts w:hint="eastAsia"/>
        </w:rPr>
        <w:t>第六章  资格评审标准</w:t>
      </w:r>
      <w:bookmarkEnd w:id="337"/>
      <w:bookmarkEnd w:id="338"/>
      <w:bookmarkEnd w:id="345"/>
      <w:bookmarkEnd w:id="346"/>
      <w:bookmarkEnd w:id="350"/>
    </w:p>
    <w:p w14:paraId="07ECA19E">
      <w:pPr>
        <w:pStyle w:val="23"/>
        <w:tabs>
          <w:tab w:val="left" w:pos="2472"/>
        </w:tabs>
        <w:ind w:firstLine="420" w:firstLineChars="200"/>
        <w:rPr>
          <w:rFonts w:hint="eastAsia" w:cs="宋体"/>
          <w:b/>
          <w:color w:val="auto"/>
          <w:szCs w:val="21"/>
          <w:highlight w:val="none"/>
        </w:rPr>
      </w:pPr>
      <w:bookmarkStart w:id="351" w:name="_Hlk17286885"/>
      <w:r>
        <w:rPr>
          <w:rFonts w:hint="eastAsia" w:cs="宋体"/>
          <w:b/>
          <w:color w:val="auto"/>
          <w:szCs w:val="21"/>
          <w:highlight w:val="none"/>
        </w:rPr>
        <w:t>开标结束后，采购人或者采购代理机构应当依法对投标人的资格进行审查，见评审内容及标准。下列条款若有一条不符合要求的，即资格评审不予通过，当资格评审合格投标人不足3家的，不得评标。</w:t>
      </w:r>
    </w:p>
    <w:bookmarkEnd w:id="351"/>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17"/>
        <w:gridCol w:w="567"/>
        <w:gridCol w:w="8578"/>
      </w:tblGrid>
      <w:tr w14:paraId="4077E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noWrap/>
            <w:vAlign w:val="center"/>
          </w:tcPr>
          <w:p w14:paraId="3A70DCDC">
            <w:pPr>
              <w:spacing w:line="276" w:lineRule="auto"/>
              <w:jc w:val="center"/>
              <w:rPr>
                <w:rFonts w:hint="eastAsia" w:cs="宋体"/>
                <w:color w:val="auto"/>
                <w:szCs w:val="21"/>
                <w:highlight w:val="none"/>
              </w:rPr>
            </w:pPr>
            <w:r>
              <w:rPr>
                <w:rFonts w:hint="eastAsia" w:cs="宋体"/>
                <w:b/>
                <w:color w:val="auto"/>
                <w:szCs w:val="21"/>
                <w:highlight w:val="none"/>
              </w:rPr>
              <w:t>评审程序</w:t>
            </w:r>
          </w:p>
        </w:tc>
        <w:tc>
          <w:tcPr>
            <w:tcW w:w="9145" w:type="dxa"/>
            <w:gridSpan w:val="2"/>
            <w:noWrap/>
            <w:vAlign w:val="center"/>
          </w:tcPr>
          <w:p w14:paraId="4009FA47">
            <w:pPr>
              <w:spacing w:line="276" w:lineRule="auto"/>
              <w:jc w:val="center"/>
              <w:rPr>
                <w:rFonts w:hint="eastAsia" w:cs="宋体"/>
                <w:b/>
                <w:color w:val="auto"/>
                <w:szCs w:val="21"/>
                <w:highlight w:val="none"/>
              </w:rPr>
            </w:pPr>
            <w:r>
              <w:rPr>
                <w:rFonts w:hint="eastAsia" w:cs="宋体"/>
                <w:b/>
                <w:color w:val="auto"/>
                <w:szCs w:val="21"/>
                <w:highlight w:val="none"/>
              </w:rPr>
              <w:t>评 审 内 容 及 标 准</w:t>
            </w:r>
          </w:p>
        </w:tc>
      </w:tr>
      <w:tr w14:paraId="04D3B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restart"/>
            <w:noWrap/>
            <w:vAlign w:val="center"/>
          </w:tcPr>
          <w:p w14:paraId="7F6F520B">
            <w:pPr>
              <w:spacing w:line="276" w:lineRule="auto"/>
              <w:jc w:val="center"/>
              <w:rPr>
                <w:rFonts w:hint="eastAsia" w:cs="宋体"/>
                <w:b/>
                <w:bCs/>
                <w:color w:val="auto"/>
                <w:szCs w:val="21"/>
                <w:highlight w:val="none"/>
              </w:rPr>
            </w:pPr>
            <w:r>
              <w:rPr>
                <w:rFonts w:hint="eastAsia" w:cs="宋体"/>
                <w:b/>
                <w:bCs/>
                <w:color w:val="auto"/>
                <w:szCs w:val="21"/>
                <w:highlight w:val="none"/>
              </w:rPr>
              <w:t>资格评审标准</w:t>
            </w:r>
          </w:p>
        </w:tc>
        <w:tc>
          <w:tcPr>
            <w:tcW w:w="567" w:type="dxa"/>
            <w:noWrap/>
            <w:vAlign w:val="center"/>
          </w:tcPr>
          <w:p w14:paraId="523FB3A8">
            <w:pPr>
              <w:spacing w:line="276" w:lineRule="auto"/>
              <w:jc w:val="center"/>
              <w:rPr>
                <w:rFonts w:hint="eastAsia" w:cs="宋体"/>
                <w:b/>
                <w:color w:val="auto"/>
                <w:szCs w:val="21"/>
                <w:highlight w:val="none"/>
              </w:rPr>
            </w:pPr>
            <w:r>
              <w:rPr>
                <w:rFonts w:hint="eastAsia" w:cs="宋体"/>
                <w:b/>
                <w:color w:val="auto"/>
                <w:szCs w:val="21"/>
                <w:highlight w:val="none"/>
              </w:rPr>
              <w:t>1</w:t>
            </w:r>
          </w:p>
        </w:tc>
        <w:tc>
          <w:tcPr>
            <w:tcW w:w="8578" w:type="dxa"/>
            <w:vAlign w:val="center"/>
          </w:tcPr>
          <w:p w14:paraId="70D16F22">
            <w:pPr>
              <w:spacing w:line="276" w:lineRule="auto"/>
              <w:rPr>
                <w:rFonts w:hint="eastAsia" w:cs="宋体"/>
                <w:b/>
                <w:color w:val="auto"/>
                <w:szCs w:val="21"/>
                <w:highlight w:val="none"/>
              </w:rPr>
            </w:pPr>
            <w:r>
              <w:rPr>
                <w:rFonts w:hint="eastAsia" w:cs="宋体"/>
                <w:b/>
                <w:color w:val="auto"/>
                <w:szCs w:val="21"/>
                <w:highlight w:val="none"/>
              </w:rPr>
              <w:t>投标人应当符合《中华人民共和国政府采购法》第二十二条规定的条件，并提供下列材料：</w:t>
            </w:r>
          </w:p>
        </w:tc>
      </w:tr>
      <w:tr w14:paraId="58574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125CB16E">
            <w:pPr>
              <w:spacing w:line="276" w:lineRule="auto"/>
              <w:jc w:val="center"/>
              <w:rPr>
                <w:rFonts w:hint="eastAsia" w:cs="宋体"/>
                <w:color w:val="auto"/>
                <w:szCs w:val="21"/>
                <w:highlight w:val="none"/>
              </w:rPr>
            </w:pPr>
          </w:p>
        </w:tc>
        <w:tc>
          <w:tcPr>
            <w:tcW w:w="567" w:type="dxa"/>
            <w:noWrap/>
            <w:vAlign w:val="center"/>
          </w:tcPr>
          <w:p w14:paraId="3C6BAFA8">
            <w:pPr>
              <w:spacing w:line="276" w:lineRule="auto"/>
              <w:jc w:val="center"/>
              <w:rPr>
                <w:rFonts w:hint="eastAsia" w:cs="宋体"/>
                <w:color w:val="auto"/>
                <w:szCs w:val="21"/>
                <w:highlight w:val="none"/>
              </w:rPr>
            </w:pPr>
            <w:r>
              <w:rPr>
                <w:rFonts w:hint="eastAsia" w:cs="宋体"/>
                <w:color w:val="auto"/>
                <w:szCs w:val="21"/>
                <w:highlight w:val="none"/>
              </w:rPr>
              <w:t>1.1</w:t>
            </w:r>
          </w:p>
        </w:tc>
        <w:tc>
          <w:tcPr>
            <w:tcW w:w="8578" w:type="dxa"/>
            <w:noWrap/>
            <w:vAlign w:val="center"/>
          </w:tcPr>
          <w:p w14:paraId="085FE5E2">
            <w:pPr>
              <w:spacing w:line="276" w:lineRule="auto"/>
              <w:jc w:val="left"/>
              <w:rPr>
                <w:rFonts w:hint="eastAsia" w:cs="宋体"/>
                <w:color w:val="auto"/>
                <w:szCs w:val="21"/>
                <w:highlight w:val="none"/>
              </w:rPr>
            </w:pPr>
            <w:r>
              <w:rPr>
                <w:rFonts w:hint="eastAsia" w:cs="宋体"/>
                <w:color w:val="auto"/>
                <w:szCs w:val="21"/>
                <w:highlight w:val="none"/>
              </w:rPr>
              <w:t>投标人必须是具有独立承担民事责任能力的法人、其他组织或者自然人；提供有效的三证合一营业执照（扫描件）或同等法定证明</w:t>
            </w:r>
            <w:r>
              <w:rPr>
                <w:rFonts w:hint="eastAsia" w:cs="宋体"/>
                <w:bCs/>
                <w:color w:val="auto"/>
                <w:szCs w:val="21"/>
                <w:highlight w:val="none"/>
              </w:rPr>
              <w:t>。</w:t>
            </w:r>
          </w:p>
        </w:tc>
      </w:tr>
      <w:tr w14:paraId="0C666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22698686">
            <w:pPr>
              <w:spacing w:line="276" w:lineRule="auto"/>
              <w:jc w:val="center"/>
              <w:rPr>
                <w:rFonts w:hint="eastAsia" w:cs="宋体"/>
                <w:color w:val="auto"/>
                <w:szCs w:val="21"/>
                <w:highlight w:val="none"/>
              </w:rPr>
            </w:pPr>
          </w:p>
        </w:tc>
        <w:tc>
          <w:tcPr>
            <w:tcW w:w="567" w:type="dxa"/>
            <w:noWrap/>
            <w:vAlign w:val="center"/>
          </w:tcPr>
          <w:p w14:paraId="1041BCDD">
            <w:pPr>
              <w:spacing w:line="276" w:lineRule="auto"/>
              <w:jc w:val="center"/>
              <w:rPr>
                <w:rFonts w:hint="eastAsia" w:cs="宋体"/>
                <w:color w:val="auto"/>
                <w:szCs w:val="21"/>
                <w:highlight w:val="none"/>
              </w:rPr>
            </w:pPr>
            <w:r>
              <w:rPr>
                <w:rFonts w:hint="eastAsia" w:cs="宋体"/>
                <w:color w:val="auto"/>
                <w:szCs w:val="21"/>
                <w:highlight w:val="none"/>
              </w:rPr>
              <w:t>1.2</w:t>
            </w:r>
          </w:p>
        </w:tc>
        <w:tc>
          <w:tcPr>
            <w:tcW w:w="8578" w:type="dxa"/>
            <w:noWrap/>
            <w:vAlign w:val="center"/>
          </w:tcPr>
          <w:p w14:paraId="5105816C">
            <w:pPr>
              <w:pStyle w:val="23"/>
              <w:spacing w:line="276" w:lineRule="auto"/>
              <w:rPr>
                <w:rFonts w:hint="eastAsia" w:cs="宋体"/>
                <w:b/>
                <w:bCs/>
                <w:color w:val="auto"/>
                <w:szCs w:val="21"/>
                <w:highlight w:val="none"/>
              </w:rPr>
            </w:pPr>
            <w:r>
              <w:rPr>
                <w:rFonts w:hint="eastAsia" w:cs="宋体"/>
                <w:b/>
                <w:bCs/>
                <w:color w:val="auto"/>
                <w:szCs w:val="21"/>
                <w:highlight w:val="none"/>
              </w:rPr>
              <w:t>投标人具有良好的商业信誉和健全的财务会计制度：</w:t>
            </w:r>
          </w:p>
          <w:p w14:paraId="6F5629F7">
            <w:pPr>
              <w:pStyle w:val="23"/>
              <w:spacing w:line="276" w:lineRule="auto"/>
              <w:rPr>
                <w:rFonts w:hint="eastAsia" w:cs="宋体"/>
                <w:color w:val="auto"/>
                <w:szCs w:val="21"/>
                <w:highlight w:val="none"/>
              </w:rPr>
            </w:pPr>
            <w:r>
              <w:rPr>
                <w:rFonts w:hint="eastAsia" w:cs="宋体"/>
                <w:color w:val="auto"/>
                <w:szCs w:val="21"/>
                <w:highlight w:val="none"/>
              </w:rPr>
              <w:t>投标人须提供财务状况报告，可提供以下</w:t>
            </w:r>
            <w:r>
              <w:rPr>
                <w:rFonts w:hint="eastAsia" w:cs="宋体"/>
                <w:b/>
                <w:bCs/>
                <w:color w:val="auto"/>
                <w:szCs w:val="21"/>
                <w:highlight w:val="none"/>
              </w:rPr>
              <w:t>（1）、（2）、（3）</w:t>
            </w:r>
            <w:r>
              <w:rPr>
                <w:rFonts w:hint="eastAsia" w:cs="宋体"/>
                <w:color w:val="auto"/>
                <w:szCs w:val="21"/>
                <w:highlight w:val="none"/>
              </w:rPr>
              <w:t>三者之一；若投标人成立时间短，不足以出具经审计的财务审计报告的投标人，则提供以下</w:t>
            </w:r>
            <w:r>
              <w:rPr>
                <w:rFonts w:hint="eastAsia" w:cs="宋体"/>
                <w:b/>
                <w:bCs/>
                <w:color w:val="auto"/>
                <w:szCs w:val="21"/>
                <w:highlight w:val="none"/>
              </w:rPr>
              <w:t>（2）、（3）</w:t>
            </w:r>
            <w:r>
              <w:rPr>
                <w:rFonts w:hint="eastAsia" w:cs="宋体"/>
                <w:color w:val="auto"/>
                <w:szCs w:val="21"/>
                <w:highlight w:val="none"/>
              </w:rPr>
              <w:t>二者之一。</w:t>
            </w:r>
          </w:p>
          <w:p w14:paraId="5C9ED707">
            <w:pPr>
              <w:pStyle w:val="23"/>
              <w:spacing w:line="276" w:lineRule="auto"/>
              <w:rPr>
                <w:rFonts w:hint="eastAsia" w:cs="宋体"/>
                <w:color w:val="auto"/>
                <w:szCs w:val="21"/>
                <w:highlight w:val="none"/>
              </w:rPr>
            </w:pPr>
            <w:r>
              <w:rPr>
                <w:rFonts w:hint="eastAsia" w:cs="宋体"/>
                <w:b/>
                <w:bCs/>
                <w:color w:val="auto"/>
                <w:szCs w:val="21"/>
                <w:highlight w:val="none"/>
              </w:rPr>
              <w:t>（1）</w:t>
            </w:r>
            <w:r>
              <w:rPr>
                <w:rFonts w:hint="eastAsia" w:cs="宋体"/>
                <w:b/>
                <w:bCs/>
                <w:color w:val="auto"/>
                <w:szCs w:val="21"/>
                <w:highlight w:val="none"/>
                <w:lang w:eastAsia="zh-CN"/>
              </w:rPr>
              <w:t>2022年-2024年</w:t>
            </w:r>
            <w:r>
              <w:rPr>
                <w:rFonts w:hint="eastAsia" w:cs="宋体"/>
                <w:color w:val="auto"/>
                <w:szCs w:val="21"/>
                <w:highlight w:val="none"/>
              </w:rPr>
              <w:t>任意一年度经审计的财务审计报告，包括财务</w:t>
            </w:r>
            <w:r>
              <w:rPr>
                <w:rFonts w:hint="eastAsia" w:cs="宋体"/>
                <w:b/>
                <w:bCs/>
                <w:color w:val="auto"/>
                <w:szCs w:val="21"/>
                <w:highlight w:val="none"/>
              </w:rPr>
              <w:t>审计报告及“四表一注”，“四表一注”即资产负债表、利润表、现金流量表、所有者权益变动表及其附注；</w:t>
            </w:r>
          </w:p>
          <w:p w14:paraId="56B58A22">
            <w:pPr>
              <w:pStyle w:val="23"/>
              <w:spacing w:line="276" w:lineRule="auto"/>
              <w:rPr>
                <w:rFonts w:hint="eastAsia" w:cs="宋体"/>
                <w:color w:val="auto"/>
                <w:szCs w:val="21"/>
                <w:highlight w:val="none"/>
              </w:rPr>
            </w:pPr>
            <w:r>
              <w:rPr>
                <w:rFonts w:hint="eastAsia" w:cs="宋体"/>
                <w:b/>
                <w:bCs/>
                <w:color w:val="auto"/>
                <w:szCs w:val="21"/>
                <w:highlight w:val="none"/>
              </w:rPr>
              <w:t>（2）</w:t>
            </w:r>
            <w:r>
              <w:rPr>
                <w:rFonts w:hint="eastAsia" w:cs="宋体"/>
                <w:color w:val="auto"/>
                <w:szCs w:val="21"/>
                <w:highlight w:val="none"/>
              </w:rPr>
              <w:t>近三个月内基本开户银行出具的资信证明；</w:t>
            </w:r>
          </w:p>
          <w:p w14:paraId="5AB6CBE1">
            <w:pPr>
              <w:pStyle w:val="23"/>
              <w:spacing w:line="276" w:lineRule="auto"/>
              <w:rPr>
                <w:rFonts w:hint="eastAsia" w:cs="宋体"/>
                <w:color w:val="auto"/>
                <w:szCs w:val="21"/>
                <w:highlight w:val="none"/>
              </w:rPr>
            </w:pPr>
            <w:r>
              <w:rPr>
                <w:rFonts w:hint="eastAsia" w:cs="宋体"/>
                <w:b/>
                <w:bCs/>
                <w:color w:val="auto"/>
                <w:szCs w:val="21"/>
                <w:highlight w:val="none"/>
              </w:rPr>
              <w:t>（3）</w:t>
            </w:r>
            <w:r>
              <w:rPr>
                <w:rFonts w:hint="eastAsia" w:cs="宋体"/>
                <w:color w:val="auto"/>
                <w:szCs w:val="21"/>
                <w:highlight w:val="none"/>
              </w:rPr>
              <w:t>财政部门认可的政府采购专业担保机构出具的投标担保函，须同时提供专业担保机构经财政部门认可的证明文件。</w:t>
            </w:r>
          </w:p>
          <w:p w14:paraId="4C791277">
            <w:pPr>
              <w:pStyle w:val="23"/>
              <w:spacing w:line="276" w:lineRule="auto"/>
              <w:rPr>
                <w:rFonts w:hint="eastAsia" w:cs="宋体"/>
                <w:color w:val="auto"/>
                <w:highlight w:val="none"/>
              </w:rPr>
            </w:pPr>
            <w:r>
              <w:rPr>
                <w:rFonts w:hint="eastAsia" w:cs="宋体"/>
                <w:b/>
                <w:bCs/>
                <w:color w:val="auto"/>
                <w:szCs w:val="21"/>
                <w:highlight w:val="none"/>
              </w:rPr>
              <w:t>备注：投标人可根据自身情况提供上述任意一种证明材料。</w:t>
            </w:r>
          </w:p>
        </w:tc>
      </w:tr>
      <w:tr w14:paraId="749B0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0EA42D0">
            <w:pPr>
              <w:spacing w:line="276" w:lineRule="auto"/>
              <w:jc w:val="center"/>
              <w:rPr>
                <w:rFonts w:hint="eastAsia" w:cs="宋体"/>
                <w:color w:val="auto"/>
                <w:szCs w:val="21"/>
                <w:highlight w:val="none"/>
              </w:rPr>
            </w:pPr>
          </w:p>
        </w:tc>
        <w:tc>
          <w:tcPr>
            <w:tcW w:w="567" w:type="dxa"/>
            <w:noWrap/>
            <w:vAlign w:val="center"/>
          </w:tcPr>
          <w:p w14:paraId="6B896615">
            <w:pPr>
              <w:spacing w:line="276" w:lineRule="auto"/>
              <w:jc w:val="center"/>
              <w:rPr>
                <w:rFonts w:hint="eastAsia" w:cs="宋体"/>
                <w:color w:val="auto"/>
                <w:szCs w:val="21"/>
                <w:highlight w:val="none"/>
              </w:rPr>
            </w:pPr>
            <w:r>
              <w:rPr>
                <w:rFonts w:hint="eastAsia" w:cs="宋体"/>
                <w:color w:val="auto"/>
                <w:szCs w:val="21"/>
                <w:highlight w:val="none"/>
              </w:rPr>
              <w:t>1.3</w:t>
            </w:r>
          </w:p>
        </w:tc>
        <w:tc>
          <w:tcPr>
            <w:tcW w:w="8578" w:type="dxa"/>
            <w:noWrap/>
            <w:vAlign w:val="center"/>
          </w:tcPr>
          <w:p w14:paraId="2D44B969">
            <w:pPr>
              <w:autoSpaceDE w:val="0"/>
              <w:autoSpaceDN w:val="0"/>
              <w:snapToGrid w:val="0"/>
              <w:textAlignment w:val="bottom"/>
              <w:rPr>
                <w:rFonts w:hint="eastAsia" w:cs="宋体"/>
                <w:color w:val="auto"/>
                <w:highlight w:val="none"/>
              </w:rPr>
            </w:pPr>
            <w:r>
              <w:rPr>
                <w:rFonts w:hint="eastAsia" w:cs="宋体"/>
                <w:color w:val="auto"/>
                <w:szCs w:val="21"/>
                <w:highlight w:val="none"/>
              </w:rPr>
              <w:t>缴税所属时间在</w:t>
            </w:r>
            <w:r>
              <w:rPr>
                <w:rFonts w:hint="eastAsia" w:cs="宋体"/>
                <w:b/>
                <w:bCs/>
                <w:color w:val="auto"/>
                <w:szCs w:val="21"/>
                <w:highlight w:val="none"/>
              </w:rPr>
              <w:t>202</w:t>
            </w:r>
            <w:r>
              <w:rPr>
                <w:rFonts w:hint="eastAsia" w:cs="宋体"/>
                <w:b/>
                <w:bCs/>
                <w:color w:val="auto"/>
                <w:szCs w:val="21"/>
                <w:highlight w:val="none"/>
                <w:lang w:val="en-US" w:eastAsia="zh-CN"/>
              </w:rPr>
              <w:t>4</w:t>
            </w:r>
            <w:r>
              <w:rPr>
                <w:rFonts w:hint="eastAsia" w:cs="宋体"/>
                <w:b/>
                <w:bCs/>
                <w:color w:val="auto"/>
                <w:szCs w:val="21"/>
                <w:highlight w:val="none"/>
              </w:rPr>
              <w:t>年01月至</w:t>
            </w:r>
            <w:r>
              <w:rPr>
                <w:rFonts w:hint="eastAsia" w:cs="宋体"/>
                <w:color w:val="auto"/>
                <w:szCs w:val="21"/>
                <w:highlight w:val="none"/>
              </w:rPr>
              <w:t>投标截止日期前</w:t>
            </w:r>
            <w:r>
              <w:rPr>
                <w:rFonts w:hint="eastAsia" w:cs="宋体"/>
                <w:b/>
                <w:bCs/>
                <w:color w:val="auto"/>
                <w:szCs w:val="21"/>
                <w:highlight w:val="none"/>
              </w:rPr>
              <w:t>任意1个月</w:t>
            </w:r>
            <w:r>
              <w:rPr>
                <w:rFonts w:hint="eastAsia" w:cs="宋体"/>
                <w:color w:val="auto"/>
                <w:szCs w:val="21"/>
                <w:highlight w:val="none"/>
              </w:rPr>
              <w:t>的税务局税收通用缴款书复印件/扫描件或银行电子缴税（费）凭证复印件/扫描件或税务局出具纳税情况的相关证明复印件/扫描件。</w:t>
            </w:r>
            <w:r>
              <w:rPr>
                <w:rFonts w:hint="eastAsia"/>
                <w:b/>
                <w:bCs/>
                <w:color w:val="auto"/>
                <w:kern w:val="0"/>
                <w:szCs w:val="21"/>
                <w:highlight w:val="none"/>
              </w:rPr>
              <w:t>（</w:t>
            </w:r>
            <w:r>
              <w:rPr>
                <w:rFonts w:hint="eastAsia" w:cs="宋体"/>
                <w:b/>
                <w:color w:val="auto"/>
                <w:szCs w:val="21"/>
                <w:highlight w:val="none"/>
              </w:rPr>
              <w:t>新成立的</w:t>
            </w:r>
            <w:r>
              <w:rPr>
                <w:rFonts w:hint="eastAsia"/>
                <w:b/>
                <w:color w:val="auto"/>
                <w:szCs w:val="21"/>
                <w:highlight w:val="none"/>
              </w:rPr>
              <w:t>投标人</w:t>
            </w:r>
            <w:r>
              <w:rPr>
                <w:rFonts w:hint="eastAsia" w:cs="宋体"/>
                <w:b/>
                <w:color w:val="auto"/>
                <w:szCs w:val="21"/>
                <w:highlight w:val="none"/>
              </w:rPr>
              <w:t>根据实际情况提供</w:t>
            </w:r>
            <w:r>
              <w:rPr>
                <w:rFonts w:hint="eastAsia"/>
                <w:b/>
                <w:bCs/>
                <w:color w:val="auto"/>
                <w:kern w:val="0"/>
                <w:szCs w:val="21"/>
                <w:highlight w:val="none"/>
              </w:rPr>
              <w:t>；依法免税的投标人，应提供相应文件证明其依法免税）。</w:t>
            </w:r>
          </w:p>
        </w:tc>
      </w:tr>
      <w:tr w14:paraId="07702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68DE0487">
            <w:pPr>
              <w:spacing w:line="276" w:lineRule="auto"/>
              <w:rPr>
                <w:rFonts w:hint="eastAsia" w:cs="宋体"/>
                <w:color w:val="auto"/>
                <w:szCs w:val="21"/>
                <w:highlight w:val="none"/>
              </w:rPr>
            </w:pPr>
          </w:p>
        </w:tc>
        <w:tc>
          <w:tcPr>
            <w:tcW w:w="567" w:type="dxa"/>
            <w:noWrap/>
            <w:vAlign w:val="center"/>
          </w:tcPr>
          <w:p w14:paraId="3923C603">
            <w:pPr>
              <w:spacing w:line="276" w:lineRule="auto"/>
              <w:jc w:val="center"/>
              <w:rPr>
                <w:rFonts w:hint="eastAsia" w:cs="宋体"/>
                <w:color w:val="auto"/>
                <w:szCs w:val="21"/>
                <w:highlight w:val="none"/>
              </w:rPr>
            </w:pPr>
            <w:r>
              <w:rPr>
                <w:rFonts w:hint="eastAsia" w:cs="宋体"/>
                <w:color w:val="auto"/>
                <w:szCs w:val="21"/>
                <w:highlight w:val="none"/>
              </w:rPr>
              <w:t>1.4</w:t>
            </w:r>
          </w:p>
        </w:tc>
        <w:tc>
          <w:tcPr>
            <w:tcW w:w="8578" w:type="dxa"/>
            <w:noWrap/>
            <w:vAlign w:val="center"/>
          </w:tcPr>
          <w:p w14:paraId="7F986149">
            <w:pPr>
              <w:autoSpaceDE w:val="0"/>
              <w:autoSpaceDN w:val="0"/>
              <w:snapToGrid w:val="0"/>
              <w:textAlignment w:val="bottom"/>
              <w:rPr>
                <w:rFonts w:hint="eastAsia" w:cs="宋体"/>
                <w:color w:val="auto"/>
                <w:highlight w:val="none"/>
              </w:rPr>
            </w:pPr>
            <w:r>
              <w:rPr>
                <w:rFonts w:hint="eastAsia" w:cs="宋体"/>
                <w:color w:val="auto"/>
                <w:szCs w:val="21"/>
                <w:highlight w:val="none"/>
              </w:rPr>
              <w:t>缴费所属时间在</w:t>
            </w:r>
            <w:r>
              <w:rPr>
                <w:rFonts w:hint="eastAsia" w:cs="宋体"/>
                <w:b/>
                <w:bCs/>
                <w:color w:val="auto"/>
                <w:szCs w:val="21"/>
                <w:highlight w:val="none"/>
              </w:rPr>
              <w:t>202</w:t>
            </w:r>
            <w:r>
              <w:rPr>
                <w:rFonts w:hint="eastAsia" w:cs="宋体"/>
                <w:b/>
                <w:bCs/>
                <w:color w:val="auto"/>
                <w:szCs w:val="21"/>
                <w:highlight w:val="none"/>
                <w:lang w:val="en-US" w:eastAsia="zh-CN"/>
              </w:rPr>
              <w:t>4</w:t>
            </w:r>
            <w:r>
              <w:rPr>
                <w:rFonts w:hint="eastAsia" w:cs="宋体"/>
                <w:b/>
                <w:bCs/>
                <w:color w:val="auto"/>
                <w:szCs w:val="21"/>
                <w:highlight w:val="none"/>
              </w:rPr>
              <w:t>年01月至</w:t>
            </w:r>
            <w:r>
              <w:rPr>
                <w:rFonts w:hint="eastAsia" w:cs="宋体"/>
                <w:color w:val="auto"/>
                <w:szCs w:val="21"/>
                <w:highlight w:val="none"/>
              </w:rPr>
              <w:t>投标截止日期前</w:t>
            </w:r>
            <w:r>
              <w:rPr>
                <w:rFonts w:hint="eastAsia" w:cs="宋体"/>
                <w:b/>
                <w:bCs/>
                <w:color w:val="auto"/>
                <w:szCs w:val="21"/>
                <w:highlight w:val="none"/>
              </w:rPr>
              <w:t>任意1个月</w:t>
            </w:r>
            <w:r>
              <w:rPr>
                <w:rFonts w:hint="eastAsia" w:cs="宋体"/>
                <w:color w:val="auto"/>
                <w:szCs w:val="21"/>
                <w:highlight w:val="none"/>
              </w:rPr>
              <w:t>的社会保险费缴款书复印件/扫描件或银行电子缴税（费）凭证复印件/扫描件或社保管理部门出具的有效的缴款证明复印件/扫描件。</w:t>
            </w:r>
            <w:r>
              <w:rPr>
                <w:rFonts w:hint="eastAsia"/>
                <w:b/>
                <w:bCs/>
                <w:color w:val="auto"/>
                <w:szCs w:val="21"/>
                <w:highlight w:val="none"/>
              </w:rPr>
              <w:t>（</w:t>
            </w:r>
            <w:r>
              <w:rPr>
                <w:rFonts w:hint="eastAsia" w:cs="宋体"/>
                <w:b/>
                <w:color w:val="auto"/>
                <w:szCs w:val="21"/>
                <w:highlight w:val="none"/>
              </w:rPr>
              <w:t>新成立的</w:t>
            </w:r>
            <w:r>
              <w:rPr>
                <w:rFonts w:hint="eastAsia"/>
                <w:b/>
                <w:color w:val="auto"/>
                <w:szCs w:val="21"/>
                <w:highlight w:val="none"/>
              </w:rPr>
              <w:t>投标人</w:t>
            </w:r>
            <w:r>
              <w:rPr>
                <w:rFonts w:hint="eastAsia" w:cs="宋体"/>
                <w:b/>
                <w:color w:val="auto"/>
                <w:szCs w:val="21"/>
                <w:highlight w:val="none"/>
              </w:rPr>
              <w:t>根据实际情况提供；</w:t>
            </w:r>
            <w:r>
              <w:rPr>
                <w:rFonts w:hint="eastAsia"/>
                <w:b/>
                <w:bCs/>
                <w:color w:val="auto"/>
                <w:kern w:val="0"/>
                <w:szCs w:val="21"/>
                <w:highlight w:val="none"/>
              </w:rPr>
              <w:t>依法不需要缴纳社会保障资金的投标人，应提供相应文件证明其不需要缴纳社会保障资金。</w:t>
            </w:r>
            <w:r>
              <w:rPr>
                <w:rFonts w:hint="eastAsia"/>
                <w:b/>
                <w:bCs/>
                <w:color w:val="auto"/>
                <w:szCs w:val="21"/>
                <w:highlight w:val="none"/>
              </w:rPr>
              <w:t>）</w:t>
            </w:r>
          </w:p>
        </w:tc>
      </w:tr>
      <w:tr w14:paraId="2FC1C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50ED1750">
            <w:pPr>
              <w:spacing w:line="276" w:lineRule="auto"/>
              <w:rPr>
                <w:rFonts w:hint="eastAsia" w:cs="宋体"/>
                <w:color w:val="auto"/>
                <w:szCs w:val="21"/>
                <w:highlight w:val="none"/>
              </w:rPr>
            </w:pPr>
          </w:p>
        </w:tc>
        <w:tc>
          <w:tcPr>
            <w:tcW w:w="567" w:type="dxa"/>
            <w:noWrap/>
            <w:vAlign w:val="center"/>
          </w:tcPr>
          <w:p w14:paraId="740C7435">
            <w:pPr>
              <w:spacing w:line="276" w:lineRule="auto"/>
              <w:jc w:val="center"/>
              <w:rPr>
                <w:rFonts w:hint="eastAsia" w:cs="宋体"/>
                <w:color w:val="auto"/>
                <w:szCs w:val="21"/>
                <w:highlight w:val="none"/>
              </w:rPr>
            </w:pPr>
            <w:r>
              <w:rPr>
                <w:rFonts w:hint="eastAsia" w:cs="宋体"/>
                <w:color w:val="auto"/>
                <w:szCs w:val="21"/>
                <w:highlight w:val="none"/>
              </w:rPr>
              <w:t>1.5</w:t>
            </w:r>
          </w:p>
        </w:tc>
        <w:tc>
          <w:tcPr>
            <w:tcW w:w="8578" w:type="dxa"/>
            <w:noWrap/>
            <w:vAlign w:val="center"/>
          </w:tcPr>
          <w:p w14:paraId="659A9A58">
            <w:pPr>
              <w:spacing w:line="276" w:lineRule="auto"/>
              <w:jc w:val="left"/>
              <w:rPr>
                <w:rFonts w:hint="eastAsia" w:cs="宋体"/>
                <w:color w:val="auto"/>
                <w:szCs w:val="21"/>
                <w:highlight w:val="none"/>
              </w:rPr>
            </w:pPr>
            <w:r>
              <w:rPr>
                <w:rFonts w:hint="eastAsia" w:cs="宋体"/>
                <w:color w:val="auto"/>
                <w:szCs w:val="21"/>
                <w:highlight w:val="none"/>
              </w:rPr>
              <w:t>投标人须提供具备履行合同所必需的设备和专业技术能力的证明材料。（提供承诺书）</w:t>
            </w:r>
          </w:p>
        </w:tc>
      </w:tr>
      <w:tr w14:paraId="50282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01EF9F96">
            <w:pPr>
              <w:spacing w:line="276" w:lineRule="auto"/>
              <w:rPr>
                <w:rFonts w:hint="eastAsia" w:cs="宋体"/>
                <w:color w:val="auto"/>
                <w:szCs w:val="21"/>
                <w:highlight w:val="none"/>
              </w:rPr>
            </w:pPr>
          </w:p>
        </w:tc>
        <w:tc>
          <w:tcPr>
            <w:tcW w:w="567" w:type="dxa"/>
            <w:noWrap/>
            <w:vAlign w:val="center"/>
          </w:tcPr>
          <w:p w14:paraId="6CDFB662">
            <w:pPr>
              <w:spacing w:line="276" w:lineRule="auto"/>
              <w:jc w:val="center"/>
              <w:rPr>
                <w:rFonts w:hint="eastAsia" w:cs="宋体"/>
                <w:color w:val="auto"/>
                <w:szCs w:val="21"/>
                <w:highlight w:val="none"/>
              </w:rPr>
            </w:pPr>
            <w:r>
              <w:rPr>
                <w:rFonts w:hint="eastAsia" w:cs="宋体"/>
                <w:color w:val="auto"/>
                <w:szCs w:val="21"/>
                <w:highlight w:val="none"/>
              </w:rPr>
              <w:t>1.6</w:t>
            </w:r>
          </w:p>
        </w:tc>
        <w:tc>
          <w:tcPr>
            <w:tcW w:w="8578" w:type="dxa"/>
            <w:noWrap/>
            <w:vAlign w:val="center"/>
          </w:tcPr>
          <w:p w14:paraId="09EE8C6F">
            <w:pPr>
              <w:spacing w:line="276" w:lineRule="auto"/>
              <w:jc w:val="left"/>
              <w:rPr>
                <w:rFonts w:hint="eastAsia" w:cs="宋体"/>
                <w:color w:val="auto"/>
                <w:szCs w:val="21"/>
                <w:highlight w:val="none"/>
              </w:rPr>
            </w:pPr>
            <w:r>
              <w:rPr>
                <w:rFonts w:hint="eastAsia" w:cs="宋体"/>
                <w:color w:val="auto"/>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4C24A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5CE84424">
            <w:pPr>
              <w:spacing w:line="276" w:lineRule="auto"/>
              <w:rPr>
                <w:rFonts w:hint="eastAsia" w:cs="宋体"/>
                <w:color w:val="auto"/>
                <w:szCs w:val="21"/>
                <w:highlight w:val="none"/>
              </w:rPr>
            </w:pPr>
          </w:p>
        </w:tc>
        <w:tc>
          <w:tcPr>
            <w:tcW w:w="567" w:type="dxa"/>
            <w:noWrap/>
            <w:vAlign w:val="center"/>
          </w:tcPr>
          <w:p w14:paraId="54DA2721">
            <w:pPr>
              <w:spacing w:line="276" w:lineRule="auto"/>
              <w:jc w:val="center"/>
              <w:rPr>
                <w:rFonts w:hint="eastAsia" w:cs="宋体"/>
                <w:b/>
                <w:bCs/>
                <w:color w:val="auto"/>
                <w:szCs w:val="21"/>
                <w:highlight w:val="none"/>
              </w:rPr>
            </w:pPr>
            <w:r>
              <w:rPr>
                <w:rFonts w:hint="eastAsia" w:cs="宋体"/>
                <w:b/>
                <w:bCs/>
                <w:color w:val="auto"/>
                <w:szCs w:val="21"/>
                <w:highlight w:val="none"/>
              </w:rPr>
              <w:t>2</w:t>
            </w:r>
          </w:p>
        </w:tc>
        <w:tc>
          <w:tcPr>
            <w:tcW w:w="8578" w:type="dxa"/>
            <w:noWrap/>
            <w:vAlign w:val="center"/>
          </w:tcPr>
          <w:p w14:paraId="0D790F0D">
            <w:pPr>
              <w:spacing w:line="276" w:lineRule="auto"/>
              <w:jc w:val="left"/>
              <w:rPr>
                <w:rFonts w:hint="eastAsia" w:cs="宋体"/>
                <w:b/>
                <w:bCs/>
                <w:color w:val="auto"/>
                <w:szCs w:val="21"/>
                <w:highlight w:val="none"/>
              </w:rPr>
            </w:pPr>
            <w:r>
              <w:rPr>
                <w:rFonts w:hint="eastAsia" w:cs="宋体"/>
                <w:b/>
                <w:bCs/>
                <w:color w:val="auto"/>
                <w:szCs w:val="21"/>
                <w:highlight w:val="none"/>
              </w:rPr>
              <w:t>落实政府采购政策需满足的资格要求：本项目非专门面向中小企业采购项目</w:t>
            </w:r>
            <w:r>
              <w:rPr>
                <w:rFonts w:hint="eastAsia" w:cs="宋体"/>
                <w:b/>
                <w:bCs/>
                <w:color w:val="auto"/>
                <w:kern w:val="0"/>
                <w:szCs w:val="21"/>
                <w:highlight w:val="none"/>
              </w:rPr>
              <w:t>，</w:t>
            </w:r>
            <w:r>
              <w:rPr>
                <w:rFonts w:cs="宋体"/>
                <w:b/>
                <w:bCs/>
                <w:color w:val="auto"/>
                <w:kern w:val="0"/>
                <w:szCs w:val="21"/>
                <w:highlight w:val="none"/>
              </w:rPr>
              <w:t>小微企业价格扣除优惠比例:10%</w:t>
            </w:r>
            <w:r>
              <w:rPr>
                <w:rFonts w:hint="eastAsia" w:cs="宋体"/>
                <w:b/>
                <w:bCs/>
                <w:color w:val="auto"/>
                <w:kern w:val="0"/>
                <w:szCs w:val="21"/>
                <w:highlight w:val="none"/>
              </w:rPr>
              <w:t>。</w:t>
            </w:r>
          </w:p>
        </w:tc>
      </w:tr>
      <w:tr w14:paraId="27C72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2AFF50D0">
            <w:pPr>
              <w:spacing w:line="276" w:lineRule="auto"/>
              <w:rPr>
                <w:rFonts w:hint="eastAsia" w:cs="宋体"/>
                <w:color w:val="auto"/>
                <w:szCs w:val="21"/>
                <w:highlight w:val="none"/>
              </w:rPr>
            </w:pPr>
          </w:p>
        </w:tc>
        <w:tc>
          <w:tcPr>
            <w:tcW w:w="567" w:type="dxa"/>
            <w:noWrap/>
            <w:vAlign w:val="center"/>
          </w:tcPr>
          <w:p w14:paraId="386D32ED">
            <w:pPr>
              <w:spacing w:line="276" w:lineRule="auto"/>
              <w:jc w:val="center"/>
              <w:rPr>
                <w:rFonts w:hint="eastAsia" w:cs="宋体"/>
                <w:b/>
                <w:bCs/>
                <w:color w:val="auto"/>
                <w:szCs w:val="21"/>
                <w:highlight w:val="none"/>
              </w:rPr>
            </w:pPr>
            <w:r>
              <w:rPr>
                <w:rFonts w:hint="eastAsia" w:cs="宋体"/>
                <w:b/>
                <w:bCs/>
                <w:color w:val="auto"/>
                <w:szCs w:val="21"/>
                <w:highlight w:val="none"/>
              </w:rPr>
              <w:t>3</w:t>
            </w:r>
          </w:p>
        </w:tc>
        <w:tc>
          <w:tcPr>
            <w:tcW w:w="8578" w:type="dxa"/>
            <w:noWrap/>
            <w:vAlign w:val="center"/>
          </w:tcPr>
          <w:p w14:paraId="5C55437E">
            <w:pPr>
              <w:spacing w:line="276" w:lineRule="auto"/>
              <w:jc w:val="left"/>
              <w:rPr>
                <w:rFonts w:hint="eastAsia" w:cs="宋体"/>
                <w:bCs/>
                <w:color w:val="auto"/>
                <w:szCs w:val="21"/>
                <w:highlight w:val="none"/>
              </w:rPr>
            </w:pPr>
            <w:r>
              <w:rPr>
                <w:rFonts w:hint="eastAsia" w:cs="宋体"/>
                <w:b/>
                <w:color w:val="auto"/>
                <w:szCs w:val="21"/>
                <w:highlight w:val="none"/>
              </w:rPr>
              <w:t>投标人应符合采购人根据采购项目的特殊要求规定的特定条件：</w:t>
            </w:r>
          </w:p>
        </w:tc>
      </w:tr>
      <w:tr w14:paraId="53FFD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DED3868">
            <w:pPr>
              <w:spacing w:line="276" w:lineRule="auto"/>
              <w:rPr>
                <w:rFonts w:hint="eastAsia" w:cs="宋体"/>
                <w:color w:val="auto"/>
                <w:szCs w:val="21"/>
                <w:highlight w:val="none"/>
              </w:rPr>
            </w:pPr>
          </w:p>
        </w:tc>
        <w:tc>
          <w:tcPr>
            <w:tcW w:w="567" w:type="dxa"/>
            <w:noWrap/>
            <w:vAlign w:val="center"/>
          </w:tcPr>
          <w:p w14:paraId="3DDCD4BD">
            <w:pPr>
              <w:spacing w:line="276" w:lineRule="auto"/>
              <w:jc w:val="center"/>
              <w:rPr>
                <w:rFonts w:hint="default" w:eastAsia="宋体" w:cs="宋体"/>
                <w:color w:val="auto"/>
                <w:szCs w:val="21"/>
                <w:highlight w:val="none"/>
                <w:lang w:val="en-US" w:eastAsia="zh-CN"/>
              </w:rPr>
            </w:pPr>
            <w:r>
              <w:rPr>
                <w:rFonts w:hint="eastAsia" w:cs="宋体"/>
                <w:color w:val="auto"/>
                <w:szCs w:val="21"/>
                <w:highlight w:val="none"/>
                <w:lang w:val="en-US" w:eastAsia="zh-CN"/>
              </w:rPr>
              <w:t>3.1</w:t>
            </w:r>
          </w:p>
        </w:tc>
        <w:tc>
          <w:tcPr>
            <w:tcW w:w="8578" w:type="dxa"/>
            <w:noWrap/>
            <w:vAlign w:val="center"/>
          </w:tcPr>
          <w:p w14:paraId="0707BECF">
            <w:pPr>
              <w:spacing w:line="276" w:lineRule="auto"/>
              <w:jc w:val="left"/>
              <w:rPr>
                <w:rFonts w:hint="eastAsia" w:cs="宋体"/>
                <w:color w:val="auto"/>
                <w:szCs w:val="21"/>
                <w:highlight w:val="none"/>
              </w:rPr>
            </w:pPr>
            <w:r>
              <w:rPr>
                <w:rFonts w:hint="eastAsia" w:cs="宋体"/>
                <w:color w:val="auto"/>
                <w:szCs w:val="21"/>
                <w:highlight w:val="none"/>
              </w:rPr>
              <w:t>单位负责人为同一人或者存在直接控股、管理关系的不同投标人，不得参加同一合同项下的政府采购活动。</w:t>
            </w:r>
          </w:p>
        </w:tc>
      </w:tr>
      <w:tr w14:paraId="438BE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580835F0">
            <w:pPr>
              <w:spacing w:line="276" w:lineRule="auto"/>
              <w:rPr>
                <w:rFonts w:hint="eastAsia" w:cs="宋体"/>
                <w:color w:val="auto"/>
                <w:szCs w:val="21"/>
                <w:highlight w:val="none"/>
              </w:rPr>
            </w:pPr>
          </w:p>
        </w:tc>
        <w:tc>
          <w:tcPr>
            <w:tcW w:w="567" w:type="dxa"/>
            <w:noWrap/>
            <w:vAlign w:val="center"/>
          </w:tcPr>
          <w:p w14:paraId="7DEC6217">
            <w:pPr>
              <w:spacing w:line="276" w:lineRule="auto"/>
              <w:jc w:val="center"/>
              <w:rPr>
                <w:rFonts w:hint="default" w:eastAsia="宋体" w:cs="宋体"/>
                <w:color w:val="auto"/>
                <w:szCs w:val="21"/>
                <w:highlight w:val="none"/>
                <w:lang w:val="en-US" w:eastAsia="zh-CN"/>
              </w:rPr>
            </w:pPr>
            <w:r>
              <w:rPr>
                <w:rFonts w:hint="eastAsia" w:cs="宋体"/>
                <w:color w:val="auto"/>
                <w:szCs w:val="21"/>
                <w:highlight w:val="none"/>
                <w:lang w:val="en-US" w:eastAsia="zh-CN"/>
              </w:rPr>
              <w:t>3.2</w:t>
            </w:r>
          </w:p>
        </w:tc>
        <w:tc>
          <w:tcPr>
            <w:tcW w:w="8578" w:type="dxa"/>
            <w:noWrap/>
            <w:vAlign w:val="center"/>
          </w:tcPr>
          <w:p w14:paraId="5564C918">
            <w:pPr>
              <w:spacing w:line="276" w:lineRule="auto"/>
              <w:rPr>
                <w:rFonts w:hint="eastAsia" w:cs="宋体"/>
                <w:color w:val="auto"/>
                <w:szCs w:val="21"/>
                <w:highlight w:val="none"/>
              </w:rPr>
            </w:pPr>
            <w:r>
              <w:rPr>
                <w:rFonts w:hint="eastAsia" w:cs="宋体"/>
                <w:color w:val="auto"/>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p>
        </w:tc>
      </w:tr>
      <w:tr w14:paraId="35DE7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7BA88595">
            <w:pPr>
              <w:spacing w:line="276" w:lineRule="auto"/>
              <w:rPr>
                <w:rFonts w:hint="eastAsia" w:cs="宋体"/>
                <w:color w:val="auto"/>
                <w:szCs w:val="21"/>
                <w:highlight w:val="none"/>
              </w:rPr>
            </w:pPr>
          </w:p>
        </w:tc>
        <w:tc>
          <w:tcPr>
            <w:tcW w:w="567" w:type="dxa"/>
            <w:noWrap/>
            <w:vAlign w:val="center"/>
          </w:tcPr>
          <w:p w14:paraId="755E85D6">
            <w:pPr>
              <w:spacing w:line="276" w:lineRule="auto"/>
              <w:jc w:val="center"/>
              <w:rPr>
                <w:rFonts w:hint="eastAsia" w:eastAsia="宋体" w:cs="宋体"/>
                <w:color w:val="auto"/>
                <w:szCs w:val="21"/>
                <w:highlight w:val="none"/>
                <w:lang w:val="en-US" w:eastAsia="zh-CN"/>
              </w:rPr>
            </w:pPr>
            <w:r>
              <w:rPr>
                <w:rFonts w:hint="eastAsia" w:cs="宋体"/>
                <w:color w:val="auto"/>
                <w:szCs w:val="21"/>
                <w:highlight w:val="none"/>
              </w:rPr>
              <w:t>3.</w:t>
            </w:r>
            <w:r>
              <w:rPr>
                <w:rFonts w:hint="eastAsia" w:cs="宋体"/>
                <w:color w:val="auto"/>
                <w:szCs w:val="21"/>
                <w:highlight w:val="none"/>
                <w:lang w:val="en-US" w:eastAsia="zh-CN"/>
              </w:rPr>
              <w:t>3</w:t>
            </w:r>
          </w:p>
        </w:tc>
        <w:tc>
          <w:tcPr>
            <w:tcW w:w="8578" w:type="dxa"/>
            <w:noWrap/>
            <w:vAlign w:val="center"/>
          </w:tcPr>
          <w:p w14:paraId="0B08F3DC">
            <w:pPr>
              <w:spacing w:line="276" w:lineRule="auto"/>
              <w:jc w:val="left"/>
              <w:rPr>
                <w:rFonts w:hint="eastAsia" w:cs="宋体"/>
                <w:b/>
                <w:color w:val="auto"/>
                <w:szCs w:val="21"/>
                <w:highlight w:val="none"/>
              </w:rPr>
            </w:pPr>
            <w:r>
              <w:rPr>
                <w:rFonts w:hint="eastAsia" w:cs="宋体"/>
                <w:color w:val="auto"/>
                <w:szCs w:val="21"/>
                <w:highlight w:val="none"/>
              </w:rPr>
              <w:t>本项目不接受联合体投标。</w:t>
            </w:r>
          </w:p>
        </w:tc>
      </w:tr>
    </w:tbl>
    <w:p w14:paraId="69860396">
      <w:pPr>
        <w:widowControl/>
        <w:jc w:val="left"/>
        <w:rPr>
          <w:rFonts w:hint="eastAsia" w:cs="宋体"/>
          <w:color w:val="auto"/>
          <w:kern w:val="44"/>
          <w:sz w:val="36"/>
          <w:szCs w:val="20"/>
          <w:highlight w:val="none"/>
        </w:rPr>
      </w:pPr>
      <w:r>
        <w:rPr>
          <w:rFonts w:hint="eastAsia" w:cs="宋体"/>
          <w:b/>
          <w:color w:val="auto"/>
          <w:sz w:val="36"/>
          <w:highlight w:val="none"/>
        </w:rPr>
        <w:br w:type="page"/>
      </w:r>
    </w:p>
    <w:p w14:paraId="74393A08">
      <w:pPr>
        <w:pStyle w:val="2"/>
        <w:bidi w:val="0"/>
        <w:rPr>
          <w:rFonts w:hint="eastAsia"/>
        </w:rPr>
      </w:pPr>
      <w:bookmarkStart w:id="352" w:name="_Toc24805"/>
      <w:bookmarkStart w:id="353" w:name="_Toc7070"/>
      <w:bookmarkStart w:id="354" w:name="_Toc2667"/>
      <w:r>
        <w:rPr>
          <w:rFonts w:hint="eastAsia"/>
        </w:rPr>
        <w:t>第七章  评标办法</w:t>
      </w:r>
      <w:bookmarkEnd w:id="339"/>
      <w:bookmarkEnd w:id="340"/>
      <w:bookmarkEnd w:id="352"/>
      <w:bookmarkEnd w:id="353"/>
      <w:bookmarkEnd w:id="354"/>
    </w:p>
    <w:p w14:paraId="5ADE0525">
      <w:pPr>
        <w:pStyle w:val="3"/>
        <w:bidi w:val="0"/>
        <w:rPr>
          <w:rFonts w:hint="eastAsia"/>
        </w:rPr>
      </w:pPr>
      <w:bookmarkStart w:id="355" w:name="_Toc125986524"/>
      <w:bookmarkStart w:id="356" w:name="_Toc514663419"/>
      <w:bookmarkStart w:id="357" w:name="_Toc326218110"/>
      <w:bookmarkStart w:id="358" w:name="_Toc6843"/>
      <w:bookmarkStart w:id="359" w:name="_Toc13761"/>
      <w:bookmarkStart w:id="360" w:name="_Toc18400"/>
      <w:bookmarkStart w:id="361" w:name="_Toc139357100"/>
      <w:bookmarkStart w:id="362" w:name="_Hlk17287793"/>
      <w:r>
        <w:rPr>
          <w:rFonts w:hint="eastAsia"/>
          <w:lang w:val="en-US" w:eastAsia="zh-CN"/>
        </w:rPr>
        <w:t xml:space="preserve">第一节  </w:t>
      </w:r>
      <w:r>
        <w:rPr>
          <w:rFonts w:hint="eastAsia"/>
        </w:rPr>
        <w:t>评标办法前附表</w:t>
      </w:r>
      <w:bookmarkEnd w:id="355"/>
      <w:bookmarkEnd w:id="356"/>
      <w:bookmarkEnd w:id="357"/>
      <w:bookmarkEnd w:id="358"/>
      <w:bookmarkEnd w:id="359"/>
      <w:bookmarkEnd w:id="360"/>
      <w:bookmarkEnd w:id="361"/>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534"/>
        <w:gridCol w:w="1134"/>
        <w:gridCol w:w="1559"/>
        <w:gridCol w:w="6735"/>
      </w:tblGrid>
      <w:tr w14:paraId="59B1FA1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1668" w:type="dxa"/>
            <w:gridSpan w:val="2"/>
            <w:noWrap/>
            <w:vAlign w:val="center"/>
          </w:tcPr>
          <w:p w14:paraId="5888FC58">
            <w:pPr>
              <w:jc w:val="center"/>
              <w:rPr>
                <w:rFonts w:hint="eastAsia" w:cs="宋体"/>
                <w:b/>
                <w:szCs w:val="21"/>
                <w:highlight w:val="none"/>
              </w:rPr>
            </w:pPr>
            <w:r>
              <w:rPr>
                <w:rFonts w:hint="eastAsia" w:cs="宋体"/>
                <w:b/>
                <w:szCs w:val="21"/>
                <w:highlight w:val="none"/>
              </w:rPr>
              <w:t>条款号</w:t>
            </w:r>
          </w:p>
        </w:tc>
        <w:tc>
          <w:tcPr>
            <w:tcW w:w="8294" w:type="dxa"/>
            <w:gridSpan w:val="2"/>
            <w:noWrap/>
            <w:vAlign w:val="center"/>
          </w:tcPr>
          <w:p w14:paraId="69636ACA">
            <w:pPr>
              <w:jc w:val="center"/>
              <w:rPr>
                <w:rFonts w:hint="eastAsia" w:cs="宋体"/>
                <w:b/>
                <w:szCs w:val="21"/>
                <w:highlight w:val="none"/>
              </w:rPr>
            </w:pPr>
            <w:r>
              <w:rPr>
                <w:rFonts w:hint="eastAsia" w:cs="宋体"/>
                <w:b/>
                <w:szCs w:val="21"/>
                <w:highlight w:val="none"/>
              </w:rPr>
              <w:t>评 审 内 容 及 标 准</w:t>
            </w:r>
          </w:p>
        </w:tc>
      </w:tr>
      <w:tr w14:paraId="1B34216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restart"/>
            <w:tcBorders>
              <w:right w:val="single" w:color="auto" w:sz="4" w:space="0"/>
            </w:tcBorders>
            <w:noWrap/>
            <w:vAlign w:val="center"/>
          </w:tcPr>
          <w:p w14:paraId="20AC8214">
            <w:pPr>
              <w:jc w:val="center"/>
              <w:rPr>
                <w:rFonts w:hint="eastAsia" w:cs="宋体"/>
                <w:b/>
                <w:bCs/>
                <w:szCs w:val="21"/>
                <w:highlight w:val="none"/>
              </w:rPr>
            </w:pPr>
            <w:r>
              <w:rPr>
                <w:rFonts w:hint="eastAsia" w:cs="宋体"/>
                <w:b/>
                <w:bCs/>
                <w:szCs w:val="21"/>
                <w:highlight w:val="none"/>
              </w:rPr>
              <w:t>3.1</w:t>
            </w:r>
          </w:p>
        </w:tc>
        <w:tc>
          <w:tcPr>
            <w:tcW w:w="1134" w:type="dxa"/>
            <w:vMerge w:val="restart"/>
            <w:tcBorders>
              <w:left w:val="single" w:color="auto" w:sz="4" w:space="0"/>
            </w:tcBorders>
            <w:noWrap/>
            <w:vAlign w:val="center"/>
          </w:tcPr>
          <w:p w14:paraId="4117ED9B">
            <w:pPr>
              <w:jc w:val="center"/>
              <w:rPr>
                <w:rFonts w:hint="eastAsia" w:cs="宋体"/>
                <w:b/>
                <w:bCs/>
                <w:szCs w:val="21"/>
                <w:highlight w:val="none"/>
              </w:rPr>
            </w:pPr>
            <w:r>
              <w:rPr>
                <w:rFonts w:hint="eastAsia" w:cs="宋体"/>
                <w:b/>
                <w:bCs/>
                <w:szCs w:val="21"/>
                <w:highlight w:val="none"/>
              </w:rPr>
              <w:t>符合性评审标准</w:t>
            </w:r>
          </w:p>
        </w:tc>
        <w:tc>
          <w:tcPr>
            <w:tcW w:w="1559" w:type="dxa"/>
            <w:noWrap/>
            <w:vAlign w:val="center"/>
          </w:tcPr>
          <w:p w14:paraId="0651AF88">
            <w:pPr>
              <w:jc w:val="center"/>
              <w:rPr>
                <w:rFonts w:hint="eastAsia" w:cs="宋体"/>
                <w:szCs w:val="21"/>
                <w:highlight w:val="none"/>
              </w:rPr>
            </w:pPr>
            <w:r>
              <w:rPr>
                <w:rFonts w:hint="eastAsia" w:cs="宋体"/>
                <w:szCs w:val="21"/>
                <w:highlight w:val="none"/>
              </w:rPr>
              <w:t>投标保证金</w:t>
            </w:r>
          </w:p>
        </w:tc>
        <w:tc>
          <w:tcPr>
            <w:tcW w:w="6735" w:type="dxa"/>
            <w:noWrap/>
            <w:vAlign w:val="center"/>
          </w:tcPr>
          <w:p w14:paraId="1507B161">
            <w:pPr>
              <w:spacing w:before="100" w:beforeAutospacing="1" w:after="100" w:afterAutospacing="1"/>
              <w:jc w:val="left"/>
              <w:rPr>
                <w:rFonts w:hint="eastAsia" w:cs="宋体"/>
                <w:szCs w:val="21"/>
                <w:highlight w:val="none"/>
              </w:rPr>
            </w:pPr>
            <w:r>
              <w:rPr>
                <w:rFonts w:hint="eastAsia" w:cs="宋体"/>
                <w:szCs w:val="21"/>
                <w:highlight w:val="none"/>
              </w:rPr>
              <w:t>按照招标文件的规定提交投标保证金的；</w:t>
            </w:r>
          </w:p>
        </w:tc>
      </w:tr>
      <w:tr w14:paraId="71EB10E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0656DBAE">
            <w:pPr>
              <w:rPr>
                <w:rFonts w:hint="eastAsia" w:cs="宋体"/>
                <w:szCs w:val="21"/>
                <w:highlight w:val="none"/>
              </w:rPr>
            </w:pPr>
          </w:p>
        </w:tc>
        <w:tc>
          <w:tcPr>
            <w:tcW w:w="1134" w:type="dxa"/>
            <w:vMerge w:val="continue"/>
            <w:tcBorders>
              <w:left w:val="single" w:color="auto" w:sz="4" w:space="0"/>
            </w:tcBorders>
            <w:noWrap/>
            <w:vAlign w:val="center"/>
          </w:tcPr>
          <w:p w14:paraId="57F40DBA">
            <w:pPr>
              <w:rPr>
                <w:rFonts w:hint="eastAsia" w:cs="宋体"/>
                <w:szCs w:val="21"/>
                <w:highlight w:val="none"/>
              </w:rPr>
            </w:pPr>
          </w:p>
        </w:tc>
        <w:tc>
          <w:tcPr>
            <w:tcW w:w="1559" w:type="dxa"/>
            <w:noWrap/>
            <w:vAlign w:val="center"/>
          </w:tcPr>
          <w:p w14:paraId="3767D12A">
            <w:pPr>
              <w:spacing w:before="100" w:beforeAutospacing="1" w:after="100" w:afterAutospacing="1"/>
              <w:jc w:val="center"/>
              <w:rPr>
                <w:rFonts w:hint="eastAsia" w:cs="宋体"/>
                <w:szCs w:val="21"/>
                <w:highlight w:val="none"/>
              </w:rPr>
            </w:pPr>
            <w:r>
              <w:rPr>
                <w:rFonts w:hint="eastAsia" w:cs="宋体"/>
                <w:szCs w:val="21"/>
                <w:highlight w:val="none"/>
              </w:rPr>
              <w:t>签署、盖章</w:t>
            </w:r>
          </w:p>
        </w:tc>
        <w:tc>
          <w:tcPr>
            <w:tcW w:w="6735" w:type="dxa"/>
            <w:noWrap/>
            <w:vAlign w:val="center"/>
          </w:tcPr>
          <w:p w14:paraId="6AD34AA0">
            <w:pPr>
              <w:spacing w:before="100" w:beforeAutospacing="1" w:after="100" w:afterAutospacing="1"/>
              <w:jc w:val="left"/>
              <w:rPr>
                <w:rFonts w:hint="eastAsia" w:cs="宋体"/>
                <w:szCs w:val="21"/>
                <w:highlight w:val="none"/>
              </w:rPr>
            </w:pPr>
            <w:r>
              <w:rPr>
                <w:rFonts w:hint="eastAsia" w:cs="宋体"/>
                <w:szCs w:val="21"/>
                <w:highlight w:val="none"/>
              </w:rPr>
              <w:t>投标文件按招标文件要求签署、盖章的；</w:t>
            </w:r>
          </w:p>
        </w:tc>
      </w:tr>
      <w:tr w14:paraId="0D993B4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1B3B6DAB">
            <w:pPr>
              <w:rPr>
                <w:rFonts w:hint="eastAsia" w:cs="宋体"/>
                <w:szCs w:val="21"/>
                <w:highlight w:val="none"/>
              </w:rPr>
            </w:pPr>
          </w:p>
        </w:tc>
        <w:tc>
          <w:tcPr>
            <w:tcW w:w="1134" w:type="dxa"/>
            <w:vMerge w:val="continue"/>
            <w:tcBorders>
              <w:left w:val="single" w:color="auto" w:sz="4" w:space="0"/>
            </w:tcBorders>
            <w:noWrap/>
            <w:vAlign w:val="center"/>
          </w:tcPr>
          <w:p w14:paraId="1282EEA6">
            <w:pPr>
              <w:rPr>
                <w:rFonts w:hint="eastAsia" w:cs="宋体"/>
                <w:szCs w:val="21"/>
                <w:highlight w:val="none"/>
              </w:rPr>
            </w:pPr>
          </w:p>
        </w:tc>
        <w:tc>
          <w:tcPr>
            <w:tcW w:w="1559" w:type="dxa"/>
            <w:noWrap/>
            <w:vAlign w:val="center"/>
          </w:tcPr>
          <w:p w14:paraId="636A94DD">
            <w:pPr>
              <w:jc w:val="center"/>
              <w:rPr>
                <w:rFonts w:hint="eastAsia" w:cs="宋体"/>
                <w:szCs w:val="21"/>
                <w:highlight w:val="none"/>
              </w:rPr>
            </w:pPr>
            <w:r>
              <w:rPr>
                <w:rFonts w:hint="eastAsia" w:cs="宋体"/>
                <w:szCs w:val="21"/>
                <w:highlight w:val="none"/>
              </w:rPr>
              <w:t>投标报价</w:t>
            </w:r>
          </w:p>
        </w:tc>
        <w:tc>
          <w:tcPr>
            <w:tcW w:w="6735" w:type="dxa"/>
            <w:noWrap/>
            <w:vAlign w:val="center"/>
          </w:tcPr>
          <w:p w14:paraId="169F4FB7">
            <w:pPr>
              <w:spacing w:before="100" w:beforeAutospacing="1" w:after="100" w:afterAutospacing="1"/>
              <w:jc w:val="left"/>
              <w:rPr>
                <w:rFonts w:hint="eastAsia" w:cs="宋体"/>
                <w:szCs w:val="21"/>
                <w:highlight w:val="none"/>
              </w:rPr>
            </w:pPr>
            <w:r>
              <w:rPr>
                <w:rFonts w:hint="eastAsia" w:cs="宋体"/>
                <w:szCs w:val="21"/>
                <w:highlight w:val="none"/>
              </w:rPr>
              <w:t>投标报价未超过招标文件中规定的招标最高限价</w:t>
            </w:r>
            <w:r>
              <w:rPr>
                <w:rFonts w:hint="eastAsia" w:cs="宋体"/>
                <w:szCs w:val="21"/>
                <w:highlight w:val="none"/>
                <w:lang w:val="en-US" w:eastAsia="zh-CN"/>
              </w:rPr>
              <w:t>及最高单价限价</w:t>
            </w:r>
            <w:r>
              <w:rPr>
                <w:rFonts w:hint="eastAsia" w:cs="宋体"/>
                <w:szCs w:val="21"/>
                <w:highlight w:val="none"/>
              </w:rPr>
              <w:t>的；</w:t>
            </w:r>
          </w:p>
        </w:tc>
      </w:tr>
      <w:tr w14:paraId="6728654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2BEE8BED">
            <w:pPr>
              <w:rPr>
                <w:rFonts w:hint="eastAsia" w:cs="宋体"/>
                <w:szCs w:val="21"/>
                <w:highlight w:val="none"/>
              </w:rPr>
            </w:pPr>
          </w:p>
        </w:tc>
        <w:tc>
          <w:tcPr>
            <w:tcW w:w="1134" w:type="dxa"/>
            <w:vMerge w:val="continue"/>
            <w:tcBorders>
              <w:left w:val="single" w:color="auto" w:sz="4" w:space="0"/>
            </w:tcBorders>
            <w:noWrap/>
            <w:vAlign w:val="center"/>
          </w:tcPr>
          <w:p w14:paraId="27A67ACB">
            <w:pPr>
              <w:rPr>
                <w:rFonts w:hint="eastAsia" w:cs="宋体"/>
                <w:szCs w:val="21"/>
                <w:highlight w:val="none"/>
              </w:rPr>
            </w:pPr>
          </w:p>
        </w:tc>
        <w:tc>
          <w:tcPr>
            <w:tcW w:w="1559" w:type="dxa"/>
            <w:noWrap/>
            <w:vAlign w:val="center"/>
          </w:tcPr>
          <w:p w14:paraId="466ECF86">
            <w:pPr>
              <w:spacing w:before="100" w:beforeAutospacing="1" w:after="100" w:afterAutospacing="1"/>
              <w:jc w:val="center"/>
              <w:rPr>
                <w:rFonts w:hint="eastAsia" w:cs="宋体"/>
                <w:szCs w:val="21"/>
                <w:highlight w:val="none"/>
              </w:rPr>
            </w:pPr>
            <w:r>
              <w:rPr>
                <w:rFonts w:hint="eastAsia" w:cs="宋体"/>
                <w:szCs w:val="21"/>
                <w:highlight w:val="none"/>
              </w:rPr>
              <w:t>实质性条件</w:t>
            </w:r>
          </w:p>
        </w:tc>
        <w:tc>
          <w:tcPr>
            <w:tcW w:w="6735" w:type="dxa"/>
            <w:noWrap/>
            <w:vAlign w:val="center"/>
          </w:tcPr>
          <w:p w14:paraId="6D30DC13">
            <w:pPr>
              <w:spacing w:before="100" w:beforeAutospacing="1" w:after="100" w:afterAutospacing="1"/>
              <w:jc w:val="left"/>
              <w:rPr>
                <w:rFonts w:hint="eastAsia" w:cs="宋体"/>
                <w:szCs w:val="21"/>
                <w:highlight w:val="none"/>
              </w:rPr>
            </w:pPr>
            <w:r>
              <w:rPr>
                <w:rFonts w:hint="eastAsia" w:cs="宋体"/>
                <w:szCs w:val="21"/>
                <w:highlight w:val="none"/>
              </w:rPr>
              <w:t>实质性响应招标文件中标注★条款内容的；</w:t>
            </w:r>
          </w:p>
        </w:tc>
      </w:tr>
      <w:tr w14:paraId="7347A94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4281A80C">
            <w:pPr>
              <w:rPr>
                <w:rFonts w:hint="eastAsia" w:cs="宋体"/>
                <w:szCs w:val="21"/>
                <w:highlight w:val="none"/>
              </w:rPr>
            </w:pPr>
          </w:p>
        </w:tc>
        <w:tc>
          <w:tcPr>
            <w:tcW w:w="1134" w:type="dxa"/>
            <w:vMerge w:val="continue"/>
            <w:tcBorders>
              <w:left w:val="single" w:color="auto" w:sz="4" w:space="0"/>
            </w:tcBorders>
            <w:noWrap/>
            <w:vAlign w:val="center"/>
          </w:tcPr>
          <w:p w14:paraId="6916A40B">
            <w:pPr>
              <w:rPr>
                <w:rFonts w:hint="eastAsia" w:cs="宋体"/>
                <w:szCs w:val="21"/>
                <w:highlight w:val="none"/>
              </w:rPr>
            </w:pPr>
          </w:p>
        </w:tc>
        <w:tc>
          <w:tcPr>
            <w:tcW w:w="1559" w:type="dxa"/>
            <w:noWrap/>
            <w:vAlign w:val="center"/>
          </w:tcPr>
          <w:p w14:paraId="275ED9AF">
            <w:pPr>
              <w:jc w:val="center"/>
              <w:rPr>
                <w:rFonts w:hint="eastAsia" w:cs="宋体"/>
                <w:szCs w:val="21"/>
                <w:highlight w:val="none"/>
              </w:rPr>
            </w:pPr>
            <w:r>
              <w:rPr>
                <w:rFonts w:hint="eastAsia" w:cs="宋体"/>
                <w:szCs w:val="21"/>
                <w:highlight w:val="none"/>
              </w:rPr>
              <w:t>其他要求</w:t>
            </w:r>
          </w:p>
        </w:tc>
        <w:tc>
          <w:tcPr>
            <w:tcW w:w="6735" w:type="dxa"/>
            <w:noWrap/>
            <w:vAlign w:val="center"/>
          </w:tcPr>
          <w:p w14:paraId="432B141B">
            <w:pPr>
              <w:spacing w:before="100" w:beforeAutospacing="1" w:after="100" w:afterAutospacing="1"/>
              <w:jc w:val="left"/>
              <w:rPr>
                <w:rFonts w:hint="eastAsia" w:cs="宋体"/>
                <w:szCs w:val="21"/>
                <w:highlight w:val="none"/>
              </w:rPr>
            </w:pPr>
            <w:r>
              <w:rPr>
                <w:rFonts w:hint="eastAsia" w:cs="宋体"/>
                <w:szCs w:val="21"/>
                <w:highlight w:val="none"/>
              </w:rPr>
              <w:t>投标文件未含有采购人不能接受的附加条件的，法律、法规和招标文件规定的其他无效情形。</w:t>
            </w:r>
          </w:p>
        </w:tc>
      </w:tr>
    </w:tbl>
    <w:p w14:paraId="7F79E184">
      <w:pPr>
        <w:widowControl/>
        <w:jc w:val="left"/>
        <w:rPr>
          <w:rFonts w:hint="eastAsia" w:cs="宋体"/>
          <w:b/>
          <w:color w:val="auto"/>
          <w:szCs w:val="21"/>
          <w:highlight w:val="none"/>
        </w:rPr>
      </w:pPr>
      <w:r>
        <w:rPr>
          <w:rFonts w:hint="eastAsia" w:cs="宋体"/>
          <w:b/>
          <w:color w:val="auto"/>
          <w:szCs w:val="21"/>
          <w:highlight w:val="none"/>
        </w:rPr>
        <w:br w:type="page"/>
      </w:r>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17"/>
        <w:gridCol w:w="709"/>
        <w:gridCol w:w="1559"/>
        <w:gridCol w:w="6877"/>
      </w:tblGrid>
      <w:tr w14:paraId="3908A94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9962" w:type="dxa"/>
            <w:gridSpan w:val="4"/>
            <w:tcBorders>
              <w:tl2br w:val="nil"/>
              <w:tr2bl w:val="nil"/>
            </w:tcBorders>
            <w:noWrap/>
            <w:vAlign w:val="center"/>
          </w:tcPr>
          <w:p w14:paraId="4D303356">
            <w:pPr>
              <w:jc w:val="center"/>
              <w:rPr>
                <w:rFonts w:hint="default" w:eastAsia="宋体" w:cs="宋体"/>
                <w:b/>
                <w:color w:val="auto"/>
                <w:szCs w:val="21"/>
                <w:highlight w:val="none"/>
                <w:lang w:val="en-US" w:eastAsia="zh-CN"/>
              </w:rPr>
            </w:pPr>
            <w:r>
              <w:rPr>
                <w:rFonts w:hint="eastAsia" w:cs="宋体"/>
                <w:b/>
                <w:color w:val="FF0000"/>
                <w:szCs w:val="21"/>
                <w:highlight w:val="none"/>
                <w:lang w:val="en-US" w:eastAsia="zh-CN"/>
              </w:rPr>
              <w:t>A包评审标准</w:t>
            </w:r>
          </w:p>
        </w:tc>
      </w:tr>
      <w:tr w14:paraId="708DF4D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tcBorders>
              <w:tl2br w:val="nil"/>
              <w:tr2bl w:val="nil"/>
            </w:tcBorders>
            <w:noWrap/>
            <w:vAlign w:val="center"/>
          </w:tcPr>
          <w:p w14:paraId="504DA8DC">
            <w:pPr>
              <w:jc w:val="center"/>
              <w:rPr>
                <w:rFonts w:hint="eastAsia" w:cs="宋体"/>
                <w:b/>
                <w:color w:val="auto"/>
                <w:szCs w:val="21"/>
                <w:highlight w:val="none"/>
              </w:rPr>
            </w:pPr>
            <w:r>
              <w:rPr>
                <w:rFonts w:hint="eastAsia" w:cs="宋体"/>
                <w:b/>
                <w:color w:val="auto"/>
                <w:szCs w:val="21"/>
                <w:highlight w:val="none"/>
              </w:rPr>
              <w:t>条款号</w:t>
            </w:r>
          </w:p>
        </w:tc>
        <w:tc>
          <w:tcPr>
            <w:tcW w:w="1559" w:type="dxa"/>
            <w:tcBorders>
              <w:tl2br w:val="nil"/>
              <w:tr2bl w:val="nil"/>
            </w:tcBorders>
            <w:noWrap/>
            <w:vAlign w:val="center"/>
          </w:tcPr>
          <w:p w14:paraId="6B204779">
            <w:pPr>
              <w:jc w:val="center"/>
              <w:rPr>
                <w:rFonts w:hint="default" w:eastAsia="宋体" w:cs="宋体"/>
                <w:b/>
                <w:color w:val="auto"/>
                <w:szCs w:val="21"/>
                <w:highlight w:val="none"/>
                <w:lang w:val="en-US" w:eastAsia="zh-CN"/>
              </w:rPr>
            </w:pPr>
            <w:r>
              <w:rPr>
                <w:rFonts w:hint="eastAsia" w:cs="宋体"/>
                <w:b/>
                <w:color w:val="auto"/>
                <w:szCs w:val="21"/>
                <w:highlight w:val="none"/>
                <w:lang w:val="en-US" w:eastAsia="zh-CN"/>
              </w:rPr>
              <w:t>条款内容</w:t>
            </w:r>
          </w:p>
        </w:tc>
        <w:tc>
          <w:tcPr>
            <w:tcW w:w="6877" w:type="dxa"/>
            <w:tcBorders>
              <w:tl2br w:val="nil"/>
              <w:tr2bl w:val="nil"/>
            </w:tcBorders>
            <w:noWrap/>
            <w:vAlign w:val="center"/>
          </w:tcPr>
          <w:p w14:paraId="3CF4015E">
            <w:pPr>
              <w:jc w:val="center"/>
              <w:rPr>
                <w:rFonts w:hint="eastAsia" w:cs="宋体"/>
                <w:b/>
                <w:color w:val="auto"/>
                <w:szCs w:val="21"/>
                <w:highlight w:val="none"/>
              </w:rPr>
            </w:pPr>
            <w:r>
              <w:rPr>
                <w:rFonts w:hint="eastAsia" w:cs="宋体"/>
                <w:b/>
                <w:szCs w:val="21"/>
                <w:highlight w:val="none"/>
              </w:rPr>
              <w:t>编列内容</w:t>
            </w:r>
          </w:p>
        </w:tc>
      </w:tr>
      <w:tr w14:paraId="51B419F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vMerge w:val="restart"/>
            <w:tcBorders>
              <w:tl2br w:val="nil"/>
              <w:tr2bl w:val="nil"/>
            </w:tcBorders>
            <w:noWrap/>
            <w:vAlign w:val="center"/>
          </w:tcPr>
          <w:p w14:paraId="60BA0824">
            <w:pPr>
              <w:jc w:val="center"/>
              <w:rPr>
                <w:rFonts w:hint="eastAsia" w:cs="宋体"/>
                <w:b/>
                <w:color w:val="auto"/>
                <w:szCs w:val="21"/>
                <w:highlight w:val="none"/>
              </w:rPr>
            </w:pPr>
            <w:r>
              <w:rPr>
                <w:rFonts w:hint="eastAsia" w:cs="宋体"/>
                <w:b/>
                <w:bCs/>
                <w:szCs w:val="21"/>
                <w:highlight w:val="none"/>
              </w:rPr>
              <w:t>3.2.1</w:t>
            </w:r>
          </w:p>
        </w:tc>
        <w:tc>
          <w:tcPr>
            <w:tcW w:w="1559" w:type="dxa"/>
            <w:vMerge w:val="restart"/>
            <w:tcBorders>
              <w:tl2br w:val="nil"/>
              <w:tr2bl w:val="nil"/>
            </w:tcBorders>
            <w:noWrap/>
            <w:vAlign w:val="center"/>
          </w:tcPr>
          <w:p w14:paraId="36DEB320">
            <w:pPr>
              <w:jc w:val="center"/>
              <w:rPr>
                <w:rFonts w:hint="eastAsia" w:cs="宋体"/>
                <w:b/>
                <w:bCs/>
                <w:szCs w:val="21"/>
                <w:highlight w:val="none"/>
              </w:rPr>
            </w:pPr>
            <w:r>
              <w:rPr>
                <w:rFonts w:hint="eastAsia" w:cs="宋体"/>
                <w:b/>
                <w:bCs/>
                <w:szCs w:val="21"/>
                <w:highlight w:val="none"/>
              </w:rPr>
              <w:t>分值构成</w:t>
            </w:r>
          </w:p>
          <w:p w14:paraId="75EA3665">
            <w:pPr>
              <w:jc w:val="center"/>
              <w:rPr>
                <w:rFonts w:hint="eastAsia" w:cs="宋体"/>
                <w:b/>
                <w:color w:val="auto"/>
                <w:szCs w:val="21"/>
                <w:highlight w:val="none"/>
                <w:lang w:val="en-US" w:eastAsia="zh-CN"/>
              </w:rPr>
            </w:pPr>
            <w:r>
              <w:rPr>
                <w:rFonts w:hint="eastAsia" w:cs="宋体"/>
                <w:b/>
                <w:bCs/>
                <w:szCs w:val="21"/>
                <w:highlight w:val="none"/>
              </w:rPr>
              <w:t>（满分100分）</w:t>
            </w:r>
          </w:p>
        </w:tc>
        <w:tc>
          <w:tcPr>
            <w:tcW w:w="6877" w:type="dxa"/>
            <w:tcBorders>
              <w:tl2br w:val="nil"/>
              <w:tr2bl w:val="nil"/>
            </w:tcBorders>
            <w:noWrap/>
            <w:vAlign w:val="center"/>
          </w:tcPr>
          <w:p w14:paraId="23040E3A">
            <w:pPr>
              <w:rPr>
                <w:rFonts w:hint="eastAsia" w:cs="宋体"/>
                <w:szCs w:val="21"/>
                <w:highlight w:val="none"/>
              </w:rPr>
            </w:pPr>
            <w:r>
              <w:rPr>
                <w:rFonts w:hint="eastAsia" w:cs="宋体"/>
                <w:szCs w:val="21"/>
                <w:highlight w:val="none"/>
              </w:rPr>
              <w:t>投标人的评标总得分＝F1＋F2＋F3</w:t>
            </w:r>
          </w:p>
          <w:p w14:paraId="5BF3C04D">
            <w:pPr>
              <w:rPr>
                <w:rFonts w:hint="eastAsia" w:cs="宋体"/>
                <w:b/>
                <w:szCs w:val="21"/>
                <w:highlight w:val="none"/>
              </w:rPr>
            </w:pPr>
            <w:r>
              <w:rPr>
                <w:rFonts w:hint="eastAsia" w:cs="宋体"/>
                <w:szCs w:val="21"/>
                <w:highlight w:val="none"/>
              </w:rPr>
              <w:t>其中：F1、F2、F3分别为投标报价、技术部分、商务部分3项评分因素的汇总得分。</w:t>
            </w:r>
          </w:p>
        </w:tc>
      </w:tr>
      <w:tr w14:paraId="7436105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vMerge w:val="continue"/>
            <w:tcBorders>
              <w:tl2br w:val="nil"/>
              <w:tr2bl w:val="nil"/>
            </w:tcBorders>
            <w:noWrap/>
            <w:vAlign w:val="center"/>
          </w:tcPr>
          <w:p w14:paraId="7C05BD37">
            <w:pPr>
              <w:rPr>
                <w:rFonts w:hint="eastAsia" w:cs="宋体"/>
                <w:b/>
                <w:color w:val="auto"/>
                <w:szCs w:val="21"/>
                <w:highlight w:val="none"/>
              </w:rPr>
            </w:pPr>
          </w:p>
        </w:tc>
        <w:tc>
          <w:tcPr>
            <w:tcW w:w="1559" w:type="dxa"/>
            <w:vMerge w:val="continue"/>
            <w:tcBorders>
              <w:tl2br w:val="nil"/>
              <w:tr2bl w:val="nil"/>
            </w:tcBorders>
            <w:noWrap/>
            <w:vAlign w:val="center"/>
          </w:tcPr>
          <w:p w14:paraId="5DCB4D9D">
            <w:pPr>
              <w:rPr>
                <w:rFonts w:hint="eastAsia" w:cs="宋体"/>
                <w:b/>
                <w:color w:val="auto"/>
                <w:szCs w:val="21"/>
                <w:highlight w:val="none"/>
              </w:rPr>
            </w:pPr>
          </w:p>
        </w:tc>
        <w:tc>
          <w:tcPr>
            <w:tcW w:w="6877" w:type="dxa"/>
            <w:tcBorders>
              <w:tl2br w:val="nil"/>
              <w:tr2bl w:val="nil"/>
            </w:tcBorders>
            <w:noWrap/>
            <w:vAlign w:val="center"/>
          </w:tcPr>
          <w:p w14:paraId="44390A9B">
            <w:pPr>
              <w:rPr>
                <w:rFonts w:hint="eastAsia" w:cs="宋体"/>
                <w:szCs w:val="21"/>
                <w:highlight w:val="none"/>
              </w:rPr>
            </w:pPr>
            <w:r>
              <w:rPr>
                <w:rFonts w:hint="eastAsia" w:cs="宋体"/>
                <w:szCs w:val="21"/>
                <w:highlight w:val="none"/>
              </w:rPr>
              <w:t>投标报价F1：</w:t>
            </w:r>
            <w:r>
              <w:rPr>
                <w:rFonts w:cs="宋体"/>
                <w:szCs w:val="21"/>
                <w:highlight w:val="none"/>
              </w:rPr>
              <w:t>30</w:t>
            </w:r>
            <w:r>
              <w:rPr>
                <w:rFonts w:hint="eastAsia" w:cs="宋体"/>
                <w:szCs w:val="21"/>
                <w:highlight w:val="none"/>
              </w:rPr>
              <w:t>分。</w:t>
            </w:r>
          </w:p>
          <w:p w14:paraId="0E955E32">
            <w:pPr>
              <w:rPr>
                <w:rFonts w:hint="eastAsia" w:cs="宋体"/>
                <w:szCs w:val="21"/>
                <w:highlight w:val="none"/>
              </w:rPr>
            </w:pPr>
            <w:r>
              <w:rPr>
                <w:rFonts w:hint="eastAsia" w:cs="宋体"/>
                <w:szCs w:val="21"/>
                <w:highlight w:val="none"/>
              </w:rPr>
              <w:t>技术部分F2：</w:t>
            </w:r>
            <w:r>
              <w:rPr>
                <w:rFonts w:hint="eastAsia" w:cs="宋体"/>
                <w:szCs w:val="21"/>
                <w:highlight w:val="none"/>
                <w:lang w:val="en-US" w:eastAsia="zh-CN"/>
              </w:rPr>
              <w:t>39</w:t>
            </w:r>
            <w:r>
              <w:rPr>
                <w:rFonts w:hint="eastAsia" w:cs="宋体"/>
                <w:szCs w:val="21"/>
                <w:highlight w:val="none"/>
              </w:rPr>
              <w:t>分。</w:t>
            </w:r>
          </w:p>
          <w:p w14:paraId="612CD288">
            <w:pPr>
              <w:rPr>
                <w:rFonts w:hint="eastAsia" w:cs="宋体"/>
                <w:b/>
                <w:color w:val="auto"/>
                <w:szCs w:val="21"/>
                <w:highlight w:val="none"/>
              </w:rPr>
            </w:pPr>
            <w:r>
              <w:rPr>
                <w:rFonts w:hint="eastAsia" w:cs="宋体"/>
                <w:szCs w:val="21"/>
                <w:highlight w:val="none"/>
              </w:rPr>
              <w:t>商务部分F3：</w:t>
            </w:r>
            <w:r>
              <w:rPr>
                <w:rFonts w:hint="eastAsia" w:cs="宋体"/>
                <w:szCs w:val="21"/>
                <w:highlight w:val="none"/>
                <w:lang w:val="en-US" w:eastAsia="zh-CN"/>
              </w:rPr>
              <w:t>31</w:t>
            </w:r>
            <w:r>
              <w:rPr>
                <w:rFonts w:hint="eastAsia" w:cs="宋体"/>
                <w:szCs w:val="21"/>
                <w:highlight w:val="none"/>
              </w:rPr>
              <w:t>分。</w:t>
            </w:r>
          </w:p>
        </w:tc>
      </w:tr>
      <w:tr w14:paraId="5A945F8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tblHeader/>
          <w:jc w:val="center"/>
        </w:trPr>
        <w:tc>
          <w:tcPr>
            <w:tcW w:w="1526" w:type="dxa"/>
            <w:gridSpan w:val="2"/>
            <w:tcBorders>
              <w:tl2br w:val="nil"/>
              <w:tr2bl w:val="nil"/>
            </w:tcBorders>
            <w:noWrap/>
            <w:vAlign w:val="center"/>
          </w:tcPr>
          <w:p w14:paraId="19206A5E">
            <w:pPr>
              <w:jc w:val="center"/>
              <w:rPr>
                <w:rFonts w:hint="eastAsia" w:cs="宋体"/>
                <w:color w:val="auto"/>
                <w:szCs w:val="21"/>
                <w:highlight w:val="none"/>
              </w:rPr>
            </w:pPr>
            <w:r>
              <w:rPr>
                <w:rFonts w:hint="eastAsia" w:cs="宋体"/>
                <w:b/>
                <w:color w:val="auto"/>
                <w:szCs w:val="21"/>
                <w:highlight w:val="none"/>
              </w:rPr>
              <w:t>条款号</w:t>
            </w:r>
          </w:p>
        </w:tc>
        <w:tc>
          <w:tcPr>
            <w:tcW w:w="1559" w:type="dxa"/>
            <w:tcBorders>
              <w:tl2br w:val="nil"/>
              <w:tr2bl w:val="nil"/>
            </w:tcBorders>
            <w:noWrap/>
            <w:vAlign w:val="center"/>
          </w:tcPr>
          <w:p w14:paraId="1B24B0CE">
            <w:pPr>
              <w:jc w:val="center"/>
              <w:rPr>
                <w:rFonts w:hint="eastAsia" w:cs="宋体"/>
                <w:b/>
                <w:color w:val="auto"/>
                <w:szCs w:val="21"/>
                <w:highlight w:val="none"/>
              </w:rPr>
            </w:pPr>
            <w:r>
              <w:rPr>
                <w:rFonts w:hint="eastAsia" w:cs="宋体"/>
                <w:b/>
                <w:color w:val="auto"/>
                <w:szCs w:val="21"/>
                <w:highlight w:val="none"/>
              </w:rPr>
              <w:t>评分因素</w:t>
            </w:r>
          </w:p>
        </w:tc>
        <w:tc>
          <w:tcPr>
            <w:tcW w:w="6877" w:type="dxa"/>
            <w:tcBorders>
              <w:tl2br w:val="nil"/>
              <w:tr2bl w:val="nil"/>
            </w:tcBorders>
            <w:noWrap/>
            <w:vAlign w:val="center"/>
          </w:tcPr>
          <w:p w14:paraId="7D9792A0">
            <w:pPr>
              <w:jc w:val="center"/>
              <w:rPr>
                <w:rFonts w:hint="eastAsia" w:cs="宋体"/>
                <w:b/>
                <w:color w:val="auto"/>
                <w:szCs w:val="21"/>
                <w:highlight w:val="none"/>
              </w:rPr>
            </w:pPr>
            <w:r>
              <w:rPr>
                <w:rFonts w:hint="eastAsia" w:cs="宋体"/>
                <w:b/>
                <w:color w:val="auto"/>
                <w:szCs w:val="21"/>
                <w:highlight w:val="none"/>
              </w:rPr>
              <w:t>评分标准</w:t>
            </w:r>
          </w:p>
        </w:tc>
      </w:tr>
      <w:tr w14:paraId="3BDC835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622" w:hRule="atLeast"/>
          <w:jc w:val="center"/>
        </w:trPr>
        <w:tc>
          <w:tcPr>
            <w:tcW w:w="817" w:type="dxa"/>
            <w:tcBorders>
              <w:tl2br w:val="nil"/>
              <w:tr2bl w:val="nil"/>
            </w:tcBorders>
            <w:noWrap/>
            <w:vAlign w:val="center"/>
          </w:tcPr>
          <w:p w14:paraId="2230951D">
            <w:pPr>
              <w:jc w:val="center"/>
              <w:rPr>
                <w:rFonts w:hint="eastAsia" w:cs="宋体"/>
                <w:b/>
                <w:bCs/>
                <w:color w:val="auto"/>
                <w:szCs w:val="21"/>
                <w:highlight w:val="none"/>
              </w:rPr>
            </w:pPr>
            <w:r>
              <w:rPr>
                <w:rFonts w:hint="eastAsia" w:cs="宋体"/>
                <w:b/>
                <w:bCs/>
                <w:color w:val="auto"/>
                <w:szCs w:val="21"/>
                <w:highlight w:val="none"/>
              </w:rPr>
              <w:t>3.2.2（1）</w:t>
            </w:r>
          </w:p>
        </w:tc>
        <w:tc>
          <w:tcPr>
            <w:tcW w:w="709" w:type="dxa"/>
            <w:tcBorders>
              <w:tl2br w:val="nil"/>
              <w:tr2bl w:val="nil"/>
            </w:tcBorders>
            <w:noWrap/>
            <w:vAlign w:val="center"/>
          </w:tcPr>
          <w:p w14:paraId="48EEF8B7">
            <w:pPr>
              <w:jc w:val="center"/>
              <w:rPr>
                <w:rFonts w:hint="eastAsia" w:cs="宋体"/>
                <w:b/>
                <w:bCs/>
                <w:color w:val="auto"/>
                <w:szCs w:val="21"/>
                <w:highlight w:val="none"/>
              </w:rPr>
            </w:pPr>
            <w:r>
              <w:rPr>
                <w:rFonts w:hint="eastAsia" w:cs="宋体"/>
                <w:b/>
                <w:bCs/>
                <w:color w:val="auto"/>
                <w:szCs w:val="21"/>
                <w:highlight w:val="none"/>
              </w:rPr>
              <w:t>投标报价</w:t>
            </w:r>
          </w:p>
          <w:p w14:paraId="78BF2297">
            <w:pPr>
              <w:jc w:val="center"/>
              <w:rPr>
                <w:rFonts w:hint="eastAsia" w:cs="宋体"/>
                <w:b/>
                <w:bCs/>
                <w:color w:val="auto"/>
                <w:szCs w:val="21"/>
                <w:highlight w:val="none"/>
              </w:rPr>
            </w:pPr>
            <w:r>
              <w:rPr>
                <w:rFonts w:hint="eastAsia" w:cs="宋体"/>
                <w:b/>
                <w:bCs/>
                <w:color w:val="auto"/>
                <w:szCs w:val="21"/>
                <w:highlight w:val="none"/>
              </w:rPr>
              <w:t>F1</w:t>
            </w:r>
          </w:p>
          <w:p w14:paraId="4F9D826F">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4A43EAD9">
            <w:pPr>
              <w:jc w:val="center"/>
              <w:rPr>
                <w:rFonts w:hint="eastAsia" w:cs="宋体"/>
                <w:b/>
                <w:bCs/>
                <w:color w:val="auto"/>
                <w:szCs w:val="21"/>
                <w:highlight w:val="none"/>
              </w:rPr>
            </w:pPr>
            <w:r>
              <w:rPr>
                <w:rFonts w:hint="eastAsia" w:cs="宋体"/>
                <w:b/>
                <w:bCs/>
                <w:color w:val="auto"/>
                <w:szCs w:val="21"/>
                <w:highlight w:val="none"/>
              </w:rPr>
              <w:t>投标报价评分计算公式</w:t>
            </w:r>
          </w:p>
          <w:p w14:paraId="5ED78EB5">
            <w:pPr>
              <w:jc w:val="center"/>
              <w:rPr>
                <w:rFonts w:hint="eastAsia" w:cs="宋体"/>
                <w:b/>
                <w:bCs/>
                <w:color w:val="auto"/>
                <w:szCs w:val="21"/>
                <w:highlight w:val="none"/>
              </w:rPr>
            </w:pPr>
            <w:r>
              <w:rPr>
                <w:rFonts w:hint="eastAsia" w:cs="宋体"/>
                <w:b/>
                <w:bCs/>
                <w:color w:val="auto"/>
                <w:szCs w:val="21"/>
                <w:highlight w:val="none"/>
              </w:rPr>
              <w:t>（满分</w:t>
            </w:r>
            <w:r>
              <w:rPr>
                <w:rFonts w:cs="宋体"/>
                <w:b/>
                <w:bCs/>
                <w:color w:val="auto"/>
                <w:szCs w:val="21"/>
                <w:highlight w:val="none"/>
              </w:rPr>
              <w:t>30分）</w:t>
            </w:r>
          </w:p>
        </w:tc>
        <w:tc>
          <w:tcPr>
            <w:tcW w:w="6877" w:type="dxa"/>
            <w:tcBorders>
              <w:tl2br w:val="nil"/>
              <w:tr2bl w:val="nil"/>
            </w:tcBorders>
            <w:noWrap/>
            <w:vAlign w:val="center"/>
          </w:tcPr>
          <w:p w14:paraId="73D3EB78">
            <w:pPr>
              <w:adjustRightInd w:val="0"/>
              <w:rPr>
                <w:rFonts w:hint="eastAsia"/>
                <w:b/>
                <w:bCs/>
                <w:color w:val="auto"/>
                <w:szCs w:val="21"/>
                <w:highlight w:val="none"/>
              </w:rPr>
            </w:pPr>
            <w:r>
              <w:rPr>
                <w:rFonts w:hint="eastAsia"/>
                <w:b/>
                <w:bCs/>
                <w:color w:val="auto"/>
                <w:szCs w:val="21"/>
                <w:highlight w:val="none"/>
              </w:rPr>
              <w:t>投标报价得分=(评标基准价</w:t>
            </w:r>
            <w:r>
              <w:rPr>
                <w:b/>
                <w:bCs/>
                <w:color w:val="auto"/>
                <w:szCs w:val="21"/>
                <w:highlight w:val="none"/>
              </w:rPr>
              <w:t>/</w:t>
            </w:r>
            <w:r>
              <w:rPr>
                <w:rFonts w:hint="eastAsia"/>
                <w:b/>
                <w:bCs/>
                <w:color w:val="auto"/>
                <w:szCs w:val="21"/>
                <w:highlight w:val="none"/>
              </w:rPr>
              <w:t>投标报价)×</w:t>
            </w:r>
            <w:r>
              <w:rPr>
                <w:b/>
                <w:bCs/>
                <w:color w:val="auto"/>
                <w:szCs w:val="21"/>
                <w:highlight w:val="none"/>
              </w:rPr>
              <w:t>30</w:t>
            </w:r>
          </w:p>
          <w:p w14:paraId="2D835966">
            <w:pPr>
              <w:adjustRightInd w:val="0"/>
              <w:rPr>
                <w:rFonts w:hint="eastAsia"/>
                <w:color w:val="auto"/>
                <w:szCs w:val="21"/>
                <w:highlight w:val="none"/>
              </w:rPr>
            </w:pPr>
            <w:r>
              <w:rPr>
                <w:rFonts w:hint="eastAsia"/>
                <w:color w:val="auto"/>
                <w:szCs w:val="21"/>
                <w:highlight w:val="none"/>
              </w:rPr>
              <w:t>即：</w:t>
            </w:r>
            <w:r>
              <w:rPr>
                <w:color w:val="auto"/>
                <w:szCs w:val="21"/>
                <w:highlight w:val="none"/>
              </w:rPr>
              <w:t>F</w:t>
            </w:r>
            <w:r>
              <w:rPr>
                <w:rFonts w:hint="eastAsia"/>
                <w:color w:val="auto"/>
                <w:szCs w:val="21"/>
                <w:highlight w:val="none"/>
              </w:rPr>
              <w:t>1</w:t>
            </w:r>
            <w:r>
              <w:rPr>
                <w:color w:val="auto"/>
                <w:szCs w:val="21"/>
                <w:highlight w:val="none"/>
              </w:rPr>
              <w:t>=[C/（B1，B2，…</w:t>
            </w:r>
            <w:r>
              <w:rPr>
                <w:rFonts w:hint="eastAsia"/>
                <w:color w:val="auto"/>
                <w:szCs w:val="21"/>
                <w:highlight w:val="none"/>
              </w:rPr>
              <w:t>，</w:t>
            </w:r>
            <w:r>
              <w:rPr>
                <w:color w:val="auto"/>
                <w:szCs w:val="21"/>
                <w:highlight w:val="none"/>
              </w:rPr>
              <w:t>Bn）]</w:t>
            </w:r>
            <w:r>
              <w:rPr>
                <w:rFonts w:hint="eastAsia"/>
                <w:color w:val="auto"/>
                <w:szCs w:val="21"/>
                <w:highlight w:val="none"/>
              </w:rPr>
              <w:t>×</w:t>
            </w:r>
            <w:r>
              <w:rPr>
                <w:color w:val="auto"/>
                <w:szCs w:val="21"/>
                <w:highlight w:val="none"/>
              </w:rPr>
              <w:t>30</w:t>
            </w:r>
          </w:p>
          <w:p w14:paraId="3D8DF670">
            <w:pPr>
              <w:adjustRightInd w:val="0"/>
              <w:rPr>
                <w:rFonts w:hint="eastAsia"/>
                <w:color w:val="auto"/>
                <w:szCs w:val="21"/>
                <w:highlight w:val="none"/>
              </w:rPr>
            </w:pPr>
            <w:r>
              <w:rPr>
                <w:rFonts w:hint="eastAsia"/>
                <w:color w:val="auto"/>
                <w:szCs w:val="21"/>
                <w:highlight w:val="none"/>
              </w:rPr>
              <w:t>注：</w:t>
            </w:r>
            <w:r>
              <w:rPr>
                <w:color w:val="auto"/>
                <w:szCs w:val="21"/>
                <w:highlight w:val="none"/>
              </w:rPr>
              <w:t>C为评标基准价，即经</w:t>
            </w:r>
            <w:r>
              <w:rPr>
                <w:rFonts w:hint="eastAsia"/>
                <w:color w:val="auto"/>
                <w:szCs w:val="21"/>
                <w:highlight w:val="none"/>
              </w:rPr>
              <w:t>初步</w:t>
            </w:r>
            <w:r>
              <w:rPr>
                <w:color w:val="auto"/>
                <w:szCs w:val="21"/>
                <w:highlight w:val="none"/>
              </w:rPr>
              <w:t>审查合格</w:t>
            </w:r>
            <w:r>
              <w:rPr>
                <w:rFonts w:hint="eastAsia"/>
                <w:color w:val="auto"/>
                <w:szCs w:val="21"/>
                <w:highlight w:val="none"/>
              </w:rPr>
              <w:t>且投标价格最低</w:t>
            </w:r>
            <w:r>
              <w:rPr>
                <w:color w:val="auto"/>
                <w:szCs w:val="21"/>
                <w:highlight w:val="none"/>
              </w:rPr>
              <w:t>的</w:t>
            </w:r>
            <w:r>
              <w:rPr>
                <w:rFonts w:hint="eastAsia"/>
                <w:color w:val="auto"/>
                <w:szCs w:val="21"/>
                <w:highlight w:val="none"/>
              </w:rPr>
              <w:t>有效</w:t>
            </w:r>
            <w:r>
              <w:rPr>
                <w:color w:val="auto"/>
                <w:szCs w:val="21"/>
                <w:highlight w:val="none"/>
              </w:rPr>
              <w:t>投标报价；B1，B2，…</w:t>
            </w:r>
            <w:r>
              <w:rPr>
                <w:rFonts w:hint="eastAsia"/>
                <w:color w:val="auto"/>
                <w:szCs w:val="21"/>
                <w:highlight w:val="none"/>
              </w:rPr>
              <w:t>，</w:t>
            </w:r>
            <w:r>
              <w:rPr>
                <w:color w:val="auto"/>
                <w:szCs w:val="21"/>
                <w:highlight w:val="none"/>
              </w:rPr>
              <w:t>Bn为第n个经</w:t>
            </w:r>
            <w:r>
              <w:rPr>
                <w:rFonts w:hint="eastAsia"/>
                <w:color w:val="auto"/>
                <w:szCs w:val="21"/>
                <w:highlight w:val="none"/>
              </w:rPr>
              <w:t>初步</w:t>
            </w:r>
            <w:r>
              <w:rPr>
                <w:color w:val="auto"/>
                <w:szCs w:val="21"/>
                <w:highlight w:val="none"/>
              </w:rPr>
              <w:t>审查合格的有效投标报价。</w:t>
            </w:r>
          </w:p>
          <w:p w14:paraId="4AAB7875">
            <w:pPr>
              <w:rPr>
                <w:rFonts w:hint="eastAsia"/>
                <w:color w:val="auto"/>
                <w:szCs w:val="21"/>
                <w:highlight w:val="none"/>
              </w:rPr>
            </w:pPr>
            <w:r>
              <w:rPr>
                <w:rFonts w:hint="eastAsia"/>
                <w:color w:val="auto"/>
                <w:szCs w:val="21"/>
                <w:highlight w:val="none"/>
              </w:rPr>
              <w:t>注：1、在计算投标报价得分时，对小型或微型企业的价格给予10%的扣除。</w:t>
            </w:r>
          </w:p>
          <w:p w14:paraId="6A1AAF6B">
            <w:pPr>
              <w:ind w:firstLine="420" w:firstLineChars="200"/>
              <w:rPr>
                <w:rFonts w:hint="eastAsia"/>
                <w:color w:val="auto"/>
                <w:szCs w:val="21"/>
                <w:highlight w:val="none"/>
              </w:rPr>
            </w:pPr>
            <w:r>
              <w:rPr>
                <w:color w:val="auto"/>
                <w:szCs w:val="21"/>
                <w:highlight w:val="none"/>
              </w:rPr>
              <w:t>2</w:t>
            </w:r>
            <w:r>
              <w:rPr>
                <w:rFonts w:hint="eastAsia"/>
                <w:color w:val="auto"/>
                <w:szCs w:val="21"/>
                <w:highlight w:val="none"/>
              </w:rPr>
              <w:t>、残疾人福利性单位、监狱企业视同小型、微型企业。</w:t>
            </w:r>
          </w:p>
          <w:p w14:paraId="568F41DB">
            <w:pPr>
              <w:ind w:firstLine="420" w:firstLineChars="200"/>
              <w:rPr>
                <w:rFonts w:hint="default" w:eastAsia="宋体" w:cs="宋体"/>
                <w:color w:val="auto"/>
                <w:szCs w:val="21"/>
                <w:highlight w:val="none"/>
                <w:lang w:val="en-US" w:eastAsia="zh-CN"/>
              </w:rPr>
            </w:pPr>
            <w:r>
              <w:rPr>
                <w:rFonts w:hint="eastAsia"/>
                <w:color w:val="auto"/>
                <w:szCs w:val="21"/>
                <w:highlight w:val="none"/>
              </w:rPr>
              <w:t>3、监狱企业或残疾人福利性单位属于小型、微型企业的，不重复享受政策，只进行一次价格扣除。</w:t>
            </w:r>
          </w:p>
        </w:tc>
      </w:tr>
      <w:tr w14:paraId="2422135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17" w:hRule="atLeast"/>
          <w:jc w:val="center"/>
        </w:trPr>
        <w:tc>
          <w:tcPr>
            <w:tcW w:w="817" w:type="dxa"/>
            <w:vMerge w:val="restart"/>
            <w:tcBorders>
              <w:tl2br w:val="nil"/>
              <w:tr2bl w:val="nil"/>
            </w:tcBorders>
            <w:noWrap/>
            <w:vAlign w:val="center"/>
          </w:tcPr>
          <w:p w14:paraId="529391CA">
            <w:pPr>
              <w:jc w:val="center"/>
              <w:rPr>
                <w:rFonts w:hint="eastAsia" w:cs="宋体"/>
                <w:b/>
                <w:bCs/>
                <w:color w:val="auto"/>
                <w:szCs w:val="21"/>
                <w:highlight w:val="none"/>
              </w:rPr>
            </w:pPr>
            <w:r>
              <w:rPr>
                <w:rFonts w:hint="eastAsia" w:cs="宋体"/>
                <w:b/>
                <w:bCs/>
                <w:color w:val="auto"/>
                <w:szCs w:val="21"/>
                <w:highlight w:val="none"/>
              </w:rPr>
              <w:t>3.2.2（2）</w:t>
            </w:r>
          </w:p>
        </w:tc>
        <w:tc>
          <w:tcPr>
            <w:tcW w:w="709" w:type="dxa"/>
            <w:vMerge w:val="restart"/>
            <w:tcBorders>
              <w:tl2br w:val="nil"/>
              <w:tr2bl w:val="nil"/>
            </w:tcBorders>
            <w:noWrap/>
            <w:vAlign w:val="center"/>
          </w:tcPr>
          <w:p w14:paraId="6DA24DD6">
            <w:pPr>
              <w:jc w:val="center"/>
              <w:rPr>
                <w:rFonts w:hint="eastAsia" w:cs="宋体"/>
                <w:b/>
                <w:bCs/>
                <w:color w:val="auto"/>
                <w:szCs w:val="21"/>
                <w:highlight w:val="none"/>
              </w:rPr>
            </w:pPr>
            <w:r>
              <w:rPr>
                <w:rFonts w:hint="eastAsia" w:cs="宋体"/>
                <w:b/>
                <w:bCs/>
                <w:color w:val="auto"/>
                <w:szCs w:val="21"/>
                <w:highlight w:val="none"/>
              </w:rPr>
              <w:t>技术部分F2</w:t>
            </w:r>
          </w:p>
          <w:p w14:paraId="65542213">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2172A17D">
            <w:pPr>
              <w:spacing w:line="276" w:lineRule="auto"/>
              <w:jc w:val="center"/>
              <w:rPr>
                <w:rFonts w:hint="eastAsia" w:cs="宋体"/>
                <w:b/>
                <w:bCs/>
                <w:color w:val="auto"/>
                <w:szCs w:val="21"/>
                <w:highlight w:val="none"/>
              </w:rPr>
            </w:pPr>
            <w:r>
              <w:rPr>
                <w:rFonts w:hint="eastAsia" w:cs="宋体"/>
                <w:b/>
                <w:bCs/>
                <w:color w:val="auto"/>
                <w:szCs w:val="21"/>
                <w:highlight w:val="none"/>
              </w:rPr>
              <w:t>技术指标的响应程度</w:t>
            </w:r>
          </w:p>
          <w:p w14:paraId="57DC8C93">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39</w:t>
            </w:r>
            <w:r>
              <w:rPr>
                <w:rFonts w:hint="eastAsia" w:cs="宋体"/>
                <w:b/>
                <w:bCs/>
                <w:color w:val="auto"/>
                <w:szCs w:val="21"/>
                <w:highlight w:val="none"/>
              </w:rPr>
              <w:t>分）</w:t>
            </w:r>
          </w:p>
        </w:tc>
        <w:tc>
          <w:tcPr>
            <w:tcW w:w="6877" w:type="dxa"/>
            <w:tcBorders>
              <w:tl2br w:val="nil"/>
              <w:tr2bl w:val="nil"/>
            </w:tcBorders>
            <w:noWrap/>
            <w:vAlign w:val="center"/>
          </w:tcPr>
          <w:p w14:paraId="4B555CDF">
            <w:pPr>
              <w:adjustRightInd w:val="0"/>
              <w:snapToGrid w:val="0"/>
              <w:rPr>
                <w:rFonts w:hint="eastAsia" w:cs="宋体"/>
                <w:b/>
                <w:bCs/>
                <w:color w:val="auto"/>
                <w:szCs w:val="21"/>
                <w:highlight w:val="none"/>
              </w:rPr>
            </w:pPr>
            <w:r>
              <w:rPr>
                <w:rFonts w:hint="eastAsia" w:cs="宋体"/>
                <w:b/>
                <w:bCs/>
                <w:color w:val="auto"/>
                <w:szCs w:val="21"/>
                <w:highlight w:val="none"/>
              </w:rPr>
              <w:t>根据投标人对招标文件第五章《</w:t>
            </w:r>
            <w:r>
              <w:rPr>
                <w:rFonts w:hint="eastAsia" w:cs="宋体"/>
                <w:b/>
                <w:bCs/>
                <w:color w:val="auto"/>
                <w:szCs w:val="21"/>
                <w:highlight w:val="none"/>
                <w:lang w:eastAsia="zh-CN"/>
              </w:rPr>
              <w:t>采购需求</w:t>
            </w:r>
            <w:r>
              <w:rPr>
                <w:rFonts w:hint="eastAsia" w:cs="宋体"/>
                <w:b/>
                <w:bCs/>
                <w:color w:val="auto"/>
                <w:szCs w:val="21"/>
                <w:highlight w:val="none"/>
              </w:rPr>
              <w:t>》的技术指标的响应情况进行评审，评审规则如下：</w:t>
            </w:r>
          </w:p>
          <w:p w14:paraId="0CEB79AB">
            <w:pPr>
              <w:snapToGrid w:val="0"/>
              <w:rPr>
                <w:rFonts w:hint="eastAsia" w:eastAsia="宋体" w:cs="宋体"/>
                <w:b/>
                <w:bCs/>
                <w:color w:val="auto"/>
                <w:szCs w:val="21"/>
                <w:highlight w:val="none"/>
                <w:lang w:eastAsia="zh-CN"/>
              </w:rPr>
            </w:pPr>
            <w:r>
              <w:rPr>
                <w:rFonts w:hint="eastAsia" w:cs="宋体"/>
                <w:b/>
                <w:bCs/>
                <w:color w:val="auto"/>
                <w:szCs w:val="21"/>
                <w:highlight w:val="none"/>
              </w:rPr>
              <w:t>1、</w:t>
            </w:r>
            <w:r>
              <w:rPr>
                <w:rFonts w:hint="eastAsia"/>
                <w:color w:val="auto"/>
                <w:szCs w:val="8"/>
                <w:highlight w:val="none"/>
              </w:rPr>
              <w:t>招标文件</w:t>
            </w:r>
            <w:r>
              <w:rPr>
                <w:rFonts w:hint="eastAsia" w:cs="宋体"/>
                <w:color w:val="auto"/>
                <w:szCs w:val="21"/>
                <w:highlight w:val="none"/>
              </w:rPr>
              <w:t>第五章</w:t>
            </w:r>
            <w:r>
              <w:rPr>
                <w:rFonts w:hint="eastAsia" w:cs="宋体"/>
                <w:b/>
                <w:bCs/>
                <w:color w:val="auto"/>
                <w:szCs w:val="21"/>
                <w:highlight w:val="none"/>
              </w:rPr>
              <w:t>“</w:t>
            </w:r>
            <w:r>
              <w:rPr>
                <w:rFonts w:hint="eastAsia"/>
                <w:b/>
                <w:color w:val="auto"/>
                <w:szCs w:val="21"/>
                <w:highlight w:val="none"/>
                <w:lang w:val="en-US" w:eastAsia="zh-CN"/>
              </w:rPr>
              <w:t xml:space="preserve">采购需求 </w:t>
            </w:r>
            <w:r>
              <w:rPr>
                <w:rFonts w:hint="eastAsia"/>
                <w:b/>
                <w:color w:val="auto"/>
                <w:szCs w:val="21"/>
                <w:highlight w:val="none"/>
              </w:rPr>
              <w:t xml:space="preserve"> </w:t>
            </w:r>
            <w:r>
              <w:rPr>
                <w:rFonts w:hint="eastAsia"/>
                <w:b/>
                <w:color w:val="auto"/>
                <w:szCs w:val="21"/>
                <w:highlight w:val="none"/>
                <w:lang w:val="en-US" w:eastAsia="zh-CN"/>
              </w:rPr>
              <w:t>一</w:t>
            </w:r>
            <w:r>
              <w:rPr>
                <w:rFonts w:hint="eastAsia"/>
                <w:b/>
                <w:color w:val="auto"/>
                <w:szCs w:val="21"/>
                <w:highlight w:val="none"/>
              </w:rPr>
              <w:t>、技术参数要求</w:t>
            </w:r>
            <w:r>
              <w:rPr>
                <w:rFonts w:hint="eastAsia"/>
                <w:b/>
                <w:color w:val="auto"/>
                <w:szCs w:val="21"/>
                <w:highlight w:val="none"/>
                <w:lang w:eastAsia="zh-CN"/>
              </w:rPr>
              <w:t>（</w:t>
            </w:r>
            <w:r>
              <w:rPr>
                <w:rFonts w:hint="eastAsia"/>
                <w:b/>
                <w:color w:val="auto"/>
                <w:szCs w:val="21"/>
                <w:highlight w:val="none"/>
                <w:lang w:val="en-US" w:eastAsia="zh-CN"/>
              </w:rPr>
              <w:t>A包</w:t>
            </w:r>
            <w:r>
              <w:rPr>
                <w:rFonts w:hint="eastAsia"/>
                <w:b/>
                <w:color w:val="auto"/>
                <w:szCs w:val="21"/>
                <w:highlight w:val="none"/>
                <w:lang w:eastAsia="zh-CN"/>
              </w:rPr>
              <w:t>）</w:t>
            </w:r>
            <w:r>
              <w:rPr>
                <w:rFonts w:hint="eastAsia" w:cs="宋体"/>
                <w:b/>
                <w:bCs/>
                <w:color w:val="auto"/>
                <w:szCs w:val="21"/>
                <w:highlight w:val="none"/>
              </w:rPr>
              <w:t>”</w:t>
            </w:r>
            <w:r>
              <w:rPr>
                <w:rFonts w:hint="eastAsia" w:cs="宋体"/>
                <w:color w:val="auto"/>
                <w:szCs w:val="21"/>
                <w:highlight w:val="none"/>
              </w:rPr>
              <w:t>中</w:t>
            </w:r>
            <w:r>
              <w:rPr>
                <w:rFonts w:hint="eastAsia" w:cs="宋体"/>
                <w:b/>
                <w:bCs/>
                <w:color w:val="auto"/>
                <w:szCs w:val="21"/>
                <w:highlight w:val="none"/>
              </w:rPr>
              <w:t>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”号的为</w:t>
            </w:r>
            <w:r>
              <w:rPr>
                <w:color w:val="auto"/>
                <w:highlight w:val="none"/>
              </w:rPr>
              <w:t>重要技术</w:t>
            </w:r>
            <w:r>
              <w:rPr>
                <w:rFonts w:hint="eastAsia" w:cs="宋体"/>
                <w:color w:val="auto"/>
                <w:szCs w:val="21"/>
                <w:highlight w:val="none"/>
              </w:rPr>
              <w:t>指标，</w:t>
            </w:r>
            <w:r>
              <w:rPr>
                <w:rFonts w:hint="eastAsia" w:cs="宋体"/>
                <w:b/>
                <w:bCs/>
                <w:color w:val="auto"/>
                <w:szCs w:val="21"/>
                <w:highlight w:val="none"/>
              </w:rPr>
              <w:t>共</w:t>
            </w:r>
            <w:r>
              <w:rPr>
                <w:rFonts w:hint="eastAsia" w:cs="宋体"/>
                <w:b/>
                <w:bCs/>
                <w:color w:val="auto"/>
                <w:szCs w:val="21"/>
                <w:highlight w:val="none"/>
                <w:lang w:val="en-US" w:eastAsia="zh-CN"/>
              </w:rPr>
              <w:t>8</w:t>
            </w:r>
            <w:r>
              <w:rPr>
                <w:rFonts w:hint="eastAsia" w:cs="宋体"/>
                <w:b/>
                <w:bCs/>
                <w:color w:val="auto"/>
                <w:szCs w:val="21"/>
                <w:highlight w:val="none"/>
              </w:rPr>
              <w:t>条</w:t>
            </w:r>
            <w:r>
              <w:rPr>
                <w:rFonts w:hint="eastAsia" w:cs="宋体"/>
                <w:color w:val="auto"/>
                <w:szCs w:val="21"/>
                <w:highlight w:val="none"/>
              </w:rPr>
              <w:t>，</w:t>
            </w:r>
            <w:r>
              <w:rPr>
                <w:rFonts w:hint="eastAsia" w:cs="宋体"/>
                <w:color w:val="auto"/>
                <w:szCs w:val="21"/>
                <w:highlight w:val="none"/>
                <w:lang w:val="en-US" w:eastAsia="zh-CN"/>
              </w:rPr>
              <w:t>每条</w:t>
            </w:r>
            <w:r>
              <w:rPr>
                <w:rFonts w:hint="eastAsia" w:cs="宋体"/>
                <w:b/>
                <w:bCs/>
                <w:color w:val="auto"/>
                <w:szCs w:val="21"/>
                <w:highlight w:val="none"/>
              </w:rPr>
              <w:t>标注“▲”</w:t>
            </w:r>
            <w:r>
              <w:rPr>
                <w:rFonts w:hint="eastAsia" w:cs="宋体"/>
                <w:color w:val="auto"/>
                <w:szCs w:val="21"/>
                <w:highlight w:val="none"/>
              </w:rPr>
              <w:t>号的</w:t>
            </w:r>
            <w:r>
              <w:rPr>
                <w:rFonts w:hint="eastAsia" w:cs="宋体"/>
                <w:color w:val="auto"/>
                <w:szCs w:val="21"/>
                <w:highlight w:val="none"/>
                <w:lang w:val="en-US" w:eastAsia="zh-CN"/>
              </w:rPr>
              <w:t>重要技术指标</w:t>
            </w:r>
            <w:r>
              <w:rPr>
                <w:rFonts w:hint="eastAsia" w:cs="宋体"/>
                <w:color w:val="auto"/>
                <w:szCs w:val="21"/>
                <w:highlight w:val="none"/>
              </w:rPr>
              <w:t>参数满足招标文件要求的，</w:t>
            </w:r>
            <w:r>
              <w:rPr>
                <w:rFonts w:hint="eastAsia" w:cs="宋体"/>
                <w:b/>
                <w:bCs/>
                <w:color w:val="auto"/>
                <w:szCs w:val="21"/>
                <w:highlight w:val="none"/>
              </w:rPr>
              <w:t>得</w:t>
            </w:r>
            <w:r>
              <w:rPr>
                <w:rFonts w:hint="eastAsia" w:cs="宋体"/>
                <w:b/>
                <w:bCs/>
                <w:color w:val="auto"/>
                <w:szCs w:val="21"/>
                <w:highlight w:val="none"/>
                <w:lang w:val="en-US" w:eastAsia="zh-CN"/>
              </w:rPr>
              <w:t>3</w:t>
            </w:r>
            <w:r>
              <w:rPr>
                <w:rFonts w:hint="eastAsia" w:cs="宋体"/>
                <w:b/>
                <w:bCs/>
                <w:color w:val="auto"/>
                <w:szCs w:val="21"/>
                <w:highlight w:val="none"/>
              </w:rPr>
              <w:t>分，</w:t>
            </w:r>
            <w:r>
              <w:rPr>
                <w:rFonts w:hint="eastAsia" w:cs="宋体"/>
                <w:color w:val="auto"/>
                <w:szCs w:val="21"/>
                <w:highlight w:val="none"/>
              </w:rPr>
              <w:t>否则不得分，</w:t>
            </w:r>
            <w:r>
              <w:rPr>
                <w:rFonts w:hint="eastAsia" w:cs="宋体"/>
                <w:b/>
                <w:bCs/>
                <w:color w:val="auto"/>
                <w:szCs w:val="21"/>
                <w:highlight w:val="none"/>
                <w:lang w:val="en-US" w:eastAsia="zh-CN"/>
              </w:rPr>
              <w:t>满分24分</w:t>
            </w:r>
            <w:r>
              <w:rPr>
                <w:rFonts w:hint="eastAsia" w:cs="宋体"/>
                <w:b/>
                <w:bCs/>
                <w:color w:val="auto"/>
                <w:szCs w:val="21"/>
                <w:highlight w:val="none"/>
                <w:lang w:eastAsia="zh-CN"/>
              </w:rPr>
              <w:t>。</w:t>
            </w:r>
          </w:p>
          <w:p w14:paraId="4F414ABC">
            <w:pPr>
              <w:snapToGrid w:val="0"/>
              <w:rPr>
                <w:rFonts w:cs="宋体"/>
                <w:b/>
                <w:bCs/>
                <w:color w:val="auto"/>
                <w:szCs w:val="21"/>
                <w:highlight w:val="none"/>
              </w:rPr>
            </w:pPr>
            <w:r>
              <w:rPr>
                <w:rFonts w:hint="eastAsia" w:cs="宋体"/>
                <w:b/>
                <w:bCs/>
                <w:color w:val="auto"/>
                <w:szCs w:val="21"/>
                <w:highlight w:val="none"/>
              </w:rPr>
              <w:t>2、</w:t>
            </w:r>
            <w:r>
              <w:rPr>
                <w:rFonts w:hint="eastAsia"/>
                <w:color w:val="auto"/>
                <w:szCs w:val="8"/>
                <w:highlight w:val="none"/>
              </w:rPr>
              <w:t>招标文件</w:t>
            </w:r>
            <w:r>
              <w:rPr>
                <w:rFonts w:hint="eastAsia" w:cs="宋体"/>
                <w:color w:val="auto"/>
                <w:szCs w:val="21"/>
                <w:highlight w:val="none"/>
              </w:rPr>
              <w:t>第五章</w:t>
            </w:r>
            <w:r>
              <w:rPr>
                <w:rFonts w:hint="eastAsia" w:cs="宋体"/>
                <w:b/>
                <w:bCs/>
                <w:color w:val="auto"/>
                <w:szCs w:val="21"/>
                <w:highlight w:val="none"/>
              </w:rPr>
              <w:t>“</w:t>
            </w:r>
            <w:r>
              <w:rPr>
                <w:rFonts w:hint="eastAsia"/>
                <w:b/>
                <w:color w:val="auto"/>
                <w:szCs w:val="21"/>
                <w:highlight w:val="none"/>
                <w:lang w:val="en-US" w:eastAsia="zh-CN"/>
              </w:rPr>
              <w:t>采购需求</w:t>
            </w:r>
            <w:r>
              <w:rPr>
                <w:rFonts w:hint="eastAsia"/>
                <w:b/>
                <w:color w:val="auto"/>
                <w:szCs w:val="21"/>
                <w:highlight w:val="none"/>
              </w:rPr>
              <w:t xml:space="preserve"> </w:t>
            </w:r>
            <w:r>
              <w:rPr>
                <w:rFonts w:hint="eastAsia"/>
                <w:b/>
                <w:color w:val="auto"/>
                <w:szCs w:val="21"/>
                <w:highlight w:val="none"/>
                <w:lang w:val="en-US" w:eastAsia="zh-CN"/>
              </w:rPr>
              <w:t xml:space="preserve"> 一</w:t>
            </w:r>
            <w:r>
              <w:rPr>
                <w:rFonts w:hint="eastAsia"/>
                <w:b/>
                <w:color w:val="auto"/>
                <w:szCs w:val="21"/>
                <w:highlight w:val="none"/>
              </w:rPr>
              <w:t>、技术参数要求</w:t>
            </w:r>
            <w:r>
              <w:rPr>
                <w:rFonts w:hint="eastAsia"/>
                <w:b/>
                <w:color w:val="auto"/>
                <w:szCs w:val="21"/>
                <w:highlight w:val="none"/>
                <w:lang w:eastAsia="zh-CN"/>
              </w:rPr>
              <w:t>（</w:t>
            </w:r>
            <w:r>
              <w:rPr>
                <w:rFonts w:hint="eastAsia"/>
                <w:b/>
                <w:color w:val="auto"/>
                <w:szCs w:val="21"/>
                <w:highlight w:val="none"/>
                <w:lang w:val="en-US" w:eastAsia="zh-CN"/>
              </w:rPr>
              <w:t>A包</w:t>
            </w:r>
            <w:r>
              <w:rPr>
                <w:rFonts w:hint="eastAsia"/>
                <w:b/>
                <w:color w:val="auto"/>
                <w:szCs w:val="21"/>
                <w:highlight w:val="none"/>
                <w:lang w:eastAsia="zh-CN"/>
              </w:rPr>
              <w:t>）</w:t>
            </w:r>
            <w:r>
              <w:rPr>
                <w:rFonts w:hint="eastAsia" w:cs="宋体"/>
                <w:b/>
                <w:bCs/>
                <w:color w:val="auto"/>
                <w:szCs w:val="21"/>
                <w:highlight w:val="none"/>
              </w:rPr>
              <w:t>”</w:t>
            </w:r>
            <w:r>
              <w:rPr>
                <w:rFonts w:hint="eastAsia" w:cs="宋体"/>
                <w:color w:val="auto"/>
                <w:szCs w:val="21"/>
                <w:highlight w:val="none"/>
              </w:rPr>
              <w:t>中</w:t>
            </w:r>
            <w:r>
              <w:rPr>
                <w:rFonts w:hint="eastAsia" w:cs="宋体"/>
                <w:b/>
                <w:bCs/>
                <w:color w:val="auto"/>
                <w:szCs w:val="21"/>
                <w:highlight w:val="none"/>
              </w:rPr>
              <w:t>未标注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”号的为</w:t>
            </w:r>
            <w:r>
              <w:rPr>
                <w:rFonts w:hint="eastAsia"/>
                <w:color w:val="auto"/>
                <w:highlight w:val="none"/>
              </w:rPr>
              <w:t>一般</w:t>
            </w:r>
            <w:r>
              <w:rPr>
                <w:color w:val="auto"/>
                <w:highlight w:val="none"/>
              </w:rPr>
              <w:t>技术</w:t>
            </w:r>
            <w:r>
              <w:rPr>
                <w:rFonts w:hint="eastAsia" w:cs="宋体"/>
                <w:color w:val="auto"/>
                <w:szCs w:val="21"/>
                <w:highlight w:val="none"/>
              </w:rPr>
              <w:t>指标，</w:t>
            </w:r>
            <w:r>
              <w:rPr>
                <w:rFonts w:hint="eastAsia" w:cs="宋体"/>
                <w:b/>
                <w:bCs/>
                <w:color w:val="auto"/>
                <w:szCs w:val="21"/>
                <w:highlight w:val="none"/>
              </w:rPr>
              <w:t>共</w:t>
            </w:r>
            <w:r>
              <w:rPr>
                <w:rFonts w:hint="eastAsia" w:cs="宋体"/>
                <w:b/>
                <w:bCs/>
                <w:color w:val="auto"/>
                <w:szCs w:val="21"/>
                <w:highlight w:val="none"/>
                <w:lang w:val="en-US" w:eastAsia="zh-CN"/>
              </w:rPr>
              <w:t>15条</w:t>
            </w:r>
            <w:r>
              <w:rPr>
                <w:rFonts w:hint="eastAsia" w:cs="宋体"/>
                <w:color w:val="auto"/>
                <w:szCs w:val="21"/>
                <w:highlight w:val="none"/>
              </w:rPr>
              <w:t>，每</w:t>
            </w:r>
            <w:r>
              <w:rPr>
                <w:rFonts w:hint="eastAsia" w:cs="宋体"/>
                <w:color w:val="auto"/>
                <w:szCs w:val="21"/>
                <w:highlight w:val="none"/>
                <w:lang w:val="en-US" w:eastAsia="zh-CN"/>
              </w:rPr>
              <w:t>条</w:t>
            </w:r>
            <w:r>
              <w:rPr>
                <w:rFonts w:hint="eastAsia" w:cs="宋体"/>
                <w:b/>
                <w:bCs/>
                <w:color w:val="auto"/>
                <w:szCs w:val="21"/>
                <w:highlight w:val="none"/>
              </w:rPr>
              <w:t>未标注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w:t>
            </w:r>
            <w:r>
              <w:rPr>
                <w:rFonts w:hint="eastAsia"/>
                <w:color w:val="auto"/>
                <w:highlight w:val="none"/>
              </w:rPr>
              <w:t>一般</w:t>
            </w:r>
            <w:r>
              <w:rPr>
                <w:color w:val="auto"/>
                <w:highlight w:val="none"/>
              </w:rPr>
              <w:t>技术</w:t>
            </w:r>
            <w:r>
              <w:rPr>
                <w:rFonts w:hint="eastAsia" w:cs="宋体"/>
                <w:color w:val="auto"/>
                <w:szCs w:val="21"/>
                <w:highlight w:val="none"/>
              </w:rPr>
              <w:t>指标参数满足招标文件要求的，</w:t>
            </w:r>
            <w:r>
              <w:rPr>
                <w:rFonts w:hint="eastAsia" w:cs="宋体"/>
                <w:b/>
                <w:bCs/>
                <w:color w:val="auto"/>
                <w:szCs w:val="21"/>
                <w:highlight w:val="none"/>
              </w:rPr>
              <w:t>得</w:t>
            </w:r>
            <w:r>
              <w:rPr>
                <w:rFonts w:hint="eastAsia" w:cs="宋体"/>
                <w:b/>
                <w:bCs/>
                <w:color w:val="auto"/>
                <w:szCs w:val="21"/>
                <w:highlight w:val="none"/>
                <w:lang w:val="en-US" w:eastAsia="zh-CN"/>
              </w:rPr>
              <w:t>1</w:t>
            </w:r>
            <w:r>
              <w:rPr>
                <w:rFonts w:hint="eastAsia" w:cs="宋体"/>
                <w:b/>
                <w:bCs/>
                <w:color w:val="auto"/>
                <w:szCs w:val="21"/>
                <w:highlight w:val="none"/>
              </w:rPr>
              <w:t>分，</w:t>
            </w:r>
            <w:r>
              <w:rPr>
                <w:rFonts w:hint="eastAsia" w:cs="宋体"/>
                <w:color w:val="auto"/>
                <w:szCs w:val="21"/>
                <w:highlight w:val="none"/>
              </w:rPr>
              <w:t>否则不得分，</w:t>
            </w:r>
            <w:r>
              <w:rPr>
                <w:rFonts w:hint="eastAsia" w:cs="宋体"/>
                <w:b/>
                <w:bCs/>
                <w:color w:val="auto"/>
                <w:szCs w:val="21"/>
                <w:highlight w:val="none"/>
                <w:lang w:val="en-US" w:eastAsia="zh-CN"/>
              </w:rPr>
              <w:t>满分15</w:t>
            </w:r>
            <w:r>
              <w:rPr>
                <w:rFonts w:hint="eastAsia" w:cs="宋体"/>
                <w:b/>
                <w:bCs/>
                <w:color w:val="auto"/>
                <w:szCs w:val="21"/>
                <w:highlight w:val="none"/>
              </w:rPr>
              <w:t>分。</w:t>
            </w:r>
          </w:p>
          <w:p w14:paraId="1CD19222">
            <w:pPr>
              <w:snapToGrid w:val="0"/>
              <w:rPr>
                <w:rFonts w:cs="宋体"/>
                <w:b/>
                <w:bCs/>
                <w:color w:val="auto"/>
                <w:szCs w:val="21"/>
                <w:highlight w:val="none"/>
              </w:rPr>
            </w:pPr>
            <w:r>
              <w:rPr>
                <w:rFonts w:hint="eastAsia" w:cs="宋体"/>
                <w:b/>
                <w:bCs/>
                <w:color w:val="auto"/>
                <w:szCs w:val="21"/>
                <w:highlight w:val="none"/>
              </w:rPr>
              <w:t>注：1、技术参数指标均需按要求提供相关证明资料，评委根据证明资料内容判断功能的符合性。</w:t>
            </w:r>
          </w:p>
          <w:p w14:paraId="6A00E84E">
            <w:pPr>
              <w:snapToGrid w:val="0"/>
              <w:rPr>
                <w:rFonts w:hint="eastAsia" w:cs="宋体"/>
                <w:b/>
                <w:bCs/>
                <w:color w:val="auto"/>
                <w:szCs w:val="21"/>
                <w:highlight w:val="none"/>
              </w:rPr>
            </w:pPr>
            <w:r>
              <w:rPr>
                <w:rFonts w:hint="eastAsia" w:cs="宋体"/>
                <w:b/>
                <w:bCs/>
                <w:color w:val="auto"/>
                <w:szCs w:val="21"/>
                <w:highlight w:val="none"/>
              </w:rPr>
              <w:t>2、投标人拟投产品出现任意内容不满足对应技术指标项下的内容，即视为不满足该项技术指标。</w:t>
            </w:r>
          </w:p>
          <w:p w14:paraId="3F4DB218">
            <w:pPr>
              <w:adjustRightInd w:val="0"/>
              <w:snapToGrid w:val="0"/>
              <w:rPr>
                <w:rFonts w:hint="eastAsia" w:cs="宋体"/>
                <w:b/>
                <w:bCs/>
                <w:color w:val="auto"/>
                <w:szCs w:val="21"/>
                <w:highlight w:val="none"/>
              </w:rPr>
            </w:pPr>
            <w:r>
              <w:rPr>
                <w:rFonts w:cs="宋体"/>
                <w:b/>
                <w:bCs/>
                <w:color w:val="auto"/>
                <w:szCs w:val="21"/>
                <w:highlight w:val="none"/>
              </w:rPr>
              <w:t>3</w:t>
            </w:r>
            <w:r>
              <w:rPr>
                <w:rFonts w:hint="eastAsia" w:cs="宋体"/>
                <w:b/>
                <w:bCs/>
                <w:color w:val="auto"/>
                <w:szCs w:val="21"/>
                <w:highlight w:val="none"/>
              </w:rPr>
              <w:t>.技术指标的响应程度的评审参考投标人提供的技术偏离表，具体以投标人提供的技术指标的证明材料响应程度为准。</w:t>
            </w:r>
          </w:p>
        </w:tc>
      </w:tr>
      <w:tr w14:paraId="498A0E5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27" w:hRule="atLeast"/>
          <w:jc w:val="center"/>
        </w:trPr>
        <w:tc>
          <w:tcPr>
            <w:tcW w:w="817" w:type="dxa"/>
            <w:vMerge w:val="continue"/>
            <w:tcBorders>
              <w:tl2br w:val="nil"/>
              <w:tr2bl w:val="nil"/>
            </w:tcBorders>
            <w:noWrap/>
            <w:vAlign w:val="center"/>
          </w:tcPr>
          <w:p w14:paraId="2BB36204">
            <w:pPr>
              <w:jc w:val="left"/>
              <w:rPr>
                <w:rFonts w:hint="eastAsia" w:cs="宋体"/>
                <w:b/>
                <w:bCs/>
                <w:color w:val="auto"/>
                <w:szCs w:val="21"/>
                <w:highlight w:val="none"/>
              </w:rPr>
            </w:pPr>
          </w:p>
        </w:tc>
        <w:tc>
          <w:tcPr>
            <w:tcW w:w="709" w:type="dxa"/>
            <w:vMerge w:val="continue"/>
            <w:tcBorders>
              <w:tl2br w:val="nil"/>
              <w:tr2bl w:val="nil"/>
            </w:tcBorders>
            <w:noWrap/>
            <w:vAlign w:val="center"/>
          </w:tcPr>
          <w:p w14:paraId="3589CB3A">
            <w:pPr>
              <w:jc w:val="left"/>
              <w:rPr>
                <w:rFonts w:hint="eastAsia" w:cs="宋体"/>
                <w:b/>
                <w:bCs/>
                <w:color w:val="auto"/>
                <w:szCs w:val="21"/>
                <w:highlight w:val="none"/>
              </w:rPr>
            </w:pPr>
          </w:p>
        </w:tc>
        <w:tc>
          <w:tcPr>
            <w:tcW w:w="8436" w:type="dxa"/>
            <w:gridSpan w:val="2"/>
            <w:tcBorders>
              <w:tl2br w:val="nil"/>
              <w:tr2bl w:val="nil"/>
            </w:tcBorders>
            <w:noWrap/>
            <w:vAlign w:val="center"/>
          </w:tcPr>
          <w:p w14:paraId="66D79864">
            <w:pPr>
              <w:jc w:val="left"/>
              <w:rPr>
                <w:rFonts w:hint="eastAsia" w:cs="宋体"/>
                <w:b/>
                <w:bCs/>
                <w:color w:val="auto"/>
                <w:szCs w:val="21"/>
                <w:highlight w:val="none"/>
              </w:rPr>
            </w:pPr>
            <w:r>
              <w:rPr>
                <w:rFonts w:hint="eastAsia" w:cs="宋体"/>
                <w:b/>
                <w:color w:val="auto"/>
                <w:szCs w:val="21"/>
                <w:highlight w:val="none"/>
              </w:rPr>
              <w:t>备注：根据进入详细评审的投标人的投标文件，对评分因素的响应情况进行打分。</w:t>
            </w:r>
          </w:p>
        </w:tc>
      </w:tr>
      <w:tr w14:paraId="77D3E46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439" w:hRule="atLeast"/>
          <w:jc w:val="center"/>
        </w:trPr>
        <w:tc>
          <w:tcPr>
            <w:tcW w:w="817" w:type="dxa"/>
            <w:vMerge w:val="restart"/>
            <w:tcBorders>
              <w:tl2br w:val="nil"/>
              <w:tr2bl w:val="nil"/>
            </w:tcBorders>
            <w:noWrap/>
            <w:vAlign w:val="center"/>
          </w:tcPr>
          <w:p w14:paraId="3DC88524">
            <w:pPr>
              <w:jc w:val="center"/>
              <w:rPr>
                <w:rFonts w:hint="eastAsia" w:cs="宋体"/>
                <w:b/>
                <w:bCs/>
                <w:color w:val="auto"/>
                <w:kern w:val="0"/>
                <w:szCs w:val="21"/>
                <w:highlight w:val="none"/>
              </w:rPr>
            </w:pPr>
            <w:r>
              <w:rPr>
                <w:rFonts w:hint="eastAsia" w:cs="宋体"/>
                <w:b/>
                <w:bCs/>
                <w:color w:val="auto"/>
                <w:szCs w:val="21"/>
                <w:highlight w:val="none"/>
              </w:rPr>
              <w:t>3.2.2（3）</w:t>
            </w:r>
          </w:p>
        </w:tc>
        <w:tc>
          <w:tcPr>
            <w:tcW w:w="709" w:type="dxa"/>
            <w:vMerge w:val="restart"/>
            <w:tcBorders>
              <w:tl2br w:val="nil"/>
              <w:tr2bl w:val="nil"/>
            </w:tcBorders>
            <w:noWrap/>
            <w:vAlign w:val="center"/>
          </w:tcPr>
          <w:p w14:paraId="0BC1E7BD">
            <w:pPr>
              <w:jc w:val="center"/>
              <w:rPr>
                <w:rFonts w:hint="eastAsia" w:cs="宋体"/>
                <w:b/>
                <w:bCs/>
                <w:color w:val="auto"/>
                <w:szCs w:val="21"/>
                <w:highlight w:val="none"/>
              </w:rPr>
            </w:pPr>
            <w:r>
              <w:rPr>
                <w:rFonts w:hint="eastAsia" w:cs="宋体"/>
                <w:b/>
                <w:bCs/>
                <w:color w:val="auto"/>
                <w:szCs w:val="21"/>
                <w:highlight w:val="none"/>
              </w:rPr>
              <w:t>商务部分F3</w:t>
            </w:r>
          </w:p>
          <w:p w14:paraId="2E9EF1C3">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2D340ADB">
            <w:pPr>
              <w:spacing w:line="312" w:lineRule="auto"/>
              <w:jc w:val="center"/>
              <w:rPr>
                <w:rFonts w:cs="宋体"/>
                <w:b/>
                <w:bCs/>
                <w:color w:val="auto"/>
                <w:szCs w:val="21"/>
                <w:highlight w:val="none"/>
              </w:rPr>
            </w:pPr>
            <w:r>
              <w:rPr>
                <w:rFonts w:hint="eastAsia" w:cs="宋体"/>
                <w:b/>
                <w:bCs/>
                <w:color w:val="auto"/>
                <w:szCs w:val="21"/>
                <w:highlight w:val="none"/>
              </w:rPr>
              <w:t>服务质量承诺及保障措施</w:t>
            </w:r>
          </w:p>
          <w:p w14:paraId="3BCFDFBF">
            <w:pPr>
              <w:jc w:val="center"/>
              <w:rPr>
                <w:rFonts w:hint="eastAsia" w:cs="宋体"/>
                <w:color w:val="auto"/>
                <w:szCs w:val="21"/>
                <w:highlight w:val="none"/>
              </w:rPr>
            </w:pPr>
            <w:r>
              <w:rPr>
                <w:rFonts w:hint="eastAsia"/>
                <w:b/>
                <w:bCs/>
                <w:color w:val="auto"/>
                <w:highlight w:val="none"/>
              </w:rPr>
              <w:t>（满分</w:t>
            </w:r>
            <w:r>
              <w:rPr>
                <w:rFonts w:hint="eastAsia"/>
                <w:b/>
                <w:bCs/>
                <w:color w:val="auto"/>
                <w:highlight w:val="none"/>
                <w:lang w:val="en-US" w:eastAsia="zh-CN"/>
              </w:rPr>
              <w:t>5</w:t>
            </w:r>
            <w:r>
              <w:rPr>
                <w:rFonts w:hint="eastAsia"/>
                <w:b/>
                <w:bCs/>
                <w:color w:val="auto"/>
                <w:highlight w:val="none"/>
              </w:rPr>
              <w:t>分）</w:t>
            </w:r>
          </w:p>
        </w:tc>
        <w:tc>
          <w:tcPr>
            <w:tcW w:w="6877" w:type="dxa"/>
            <w:tcBorders>
              <w:tl2br w:val="nil"/>
              <w:tr2bl w:val="nil"/>
            </w:tcBorders>
            <w:noWrap/>
            <w:vAlign w:val="center"/>
          </w:tcPr>
          <w:p w14:paraId="150933C4">
            <w:pPr>
              <w:rPr>
                <w:rFonts w:cs="宋体"/>
                <w:b/>
                <w:bCs/>
                <w:color w:val="auto"/>
                <w:szCs w:val="21"/>
                <w:highlight w:val="none"/>
              </w:rPr>
            </w:pPr>
            <w:r>
              <w:rPr>
                <w:rFonts w:hint="eastAsia" w:cs="宋体"/>
                <w:b/>
                <w:bCs/>
                <w:color w:val="auto"/>
                <w:szCs w:val="21"/>
                <w:highlight w:val="none"/>
              </w:rPr>
              <w:t>1、</w:t>
            </w:r>
            <w:r>
              <w:rPr>
                <w:rFonts w:hint="eastAsia" w:cs="宋体"/>
                <w:color w:val="auto"/>
                <w:szCs w:val="21"/>
                <w:highlight w:val="none"/>
              </w:rPr>
              <w:t>投标人</w:t>
            </w:r>
            <w:r>
              <w:rPr>
                <w:rFonts w:hint="eastAsia"/>
                <w:color w:val="auto"/>
                <w:szCs w:val="21"/>
                <w:highlight w:val="none"/>
              </w:rPr>
              <w:t>针对本项目的</w:t>
            </w:r>
            <w:r>
              <w:rPr>
                <w:rFonts w:hint="eastAsia"/>
                <w:color w:val="auto"/>
                <w:szCs w:val="22"/>
                <w:highlight w:val="none"/>
              </w:rPr>
              <w:t>实际需求</w:t>
            </w:r>
            <w:r>
              <w:rPr>
                <w:rFonts w:hint="eastAsia" w:cs="宋体"/>
                <w:color w:val="auto"/>
                <w:szCs w:val="21"/>
                <w:highlight w:val="none"/>
              </w:rPr>
              <w:t>提供服务质量承诺及保障措施的，</w:t>
            </w:r>
            <w:r>
              <w:rPr>
                <w:rFonts w:hint="eastAsia" w:cs="宋体"/>
                <w:b/>
                <w:bCs/>
                <w:color w:val="auto"/>
                <w:szCs w:val="21"/>
                <w:highlight w:val="none"/>
              </w:rPr>
              <w:t>得</w:t>
            </w:r>
            <w:r>
              <w:rPr>
                <w:rFonts w:hint="eastAsia" w:cs="宋体"/>
                <w:b/>
                <w:bCs/>
                <w:color w:val="auto"/>
                <w:szCs w:val="21"/>
                <w:highlight w:val="none"/>
                <w:lang w:val="en-US" w:eastAsia="zh-CN"/>
              </w:rPr>
              <w:t>3</w:t>
            </w:r>
            <w:r>
              <w:rPr>
                <w:rFonts w:hint="eastAsia" w:cs="宋体"/>
                <w:b/>
                <w:bCs/>
                <w:color w:val="auto"/>
                <w:szCs w:val="21"/>
                <w:highlight w:val="none"/>
              </w:rPr>
              <w:t>分；</w:t>
            </w:r>
          </w:p>
          <w:p w14:paraId="50007B03">
            <w:pPr>
              <w:rPr>
                <w:b/>
                <w:bCs/>
                <w:color w:val="auto"/>
                <w:szCs w:val="22"/>
                <w:highlight w:val="none"/>
              </w:rPr>
            </w:pPr>
            <w:r>
              <w:rPr>
                <w:rFonts w:hint="eastAsia" w:cs="宋体"/>
                <w:b/>
                <w:bCs/>
                <w:color w:val="auto"/>
                <w:szCs w:val="21"/>
                <w:highlight w:val="none"/>
              </w:rPr>
              <w:t>2、</w:t>
            </w:r>
            <w:r>
              <w:rPr>
                <w:rFonts w:hint="eastAsia" w:cs="宋体"/>
                <w:color w:val="auto"/>
                <w:szCs w:val="21"/>
                <w:highlight w:val="none"/>
              </w:rPr>
              <w:t>投标人提供的服务质量承诺及保障措施中有细化量化的违约承诺且具备可实施性的，</w:t>
            </w:r>
            <w:r>
              <w:rPr>
                <w:rFonts w:hint="eastAsia" w:cs="宋体"/>
                <w:b/>
                <w:bCs/>
                <w:color w:val="auto"/>
                <w:szCs w:val="21"/>
                <w:highlight w:val="none"/>
              </w:rPr>
              <w:t>得</w:t>
            </w:r>
            <w:r>
              <w:rPr>
                <w:rFonts w:hint="eastAsia" w:cs="宋体"/>
                <w:b/>
                <w:bCs/>
                <w:color w:val="auto"/>
                <w:szCs w:val="21"/>
                <w:highlight w:val="none"/>
                <w:lang w:val="en-US" w:eastAsia="zh-CN"/>
              </w:rPr>
              <w:t>2</w:t>
            </w:r>
            <w:r>
              <w:rPr>
                <w:rFonts w:hint="eastAsia" w:cs="宋体"/>
                <w:b/>
                <w:bCs/>
                <w:color w:val="auto"/>
                <w:szCs w:val="21"/>
                <w:highlight w:val="none"/>
              </w:rPr>
              <w:t>分。</w:t>
            </w:r>
          </w:p>
          <w:p w14:paraId="69587FF5">
            <w:pPr>
              <w:rPr>
                <w:rFonts w:hint="eastAsia" w:ascii="宋体" w:hAnsi="宋体" w:eastAsia="宋体" w:cs="宋体"/>
                <w:b w:val="0"/>
                <w:bCs/>
                <w:color w:val="auto"/>
                <w:sz w:val="21"/>
                <w:szCs w:val="21"/>
                <w:highlight w:val="none"/>
              </w:rPr>
            </w:pPr>
            <w:r>
              <w:rPr>
                <w:rFonts w:hint="eastAsia"/>
                <w:b/>
                <w:color w:val="auto"/>
                <w:szCs w:val="21"/>
                <w:highlight w:val="none"/>
              </w:rPr>
              <w:t>注：未提供</w:t>
            </w:r>
            <w:r>
              <w:rPr>
                <w:rFonts w:hint="eastAsia" w:cs="宋体"/>
                <w:b/>
                <w:bCs/>
                <w:color w:val="auto"/>
                <w:szCs w:val="21"/>
                <w:highlight w:val="none"/>
              </w:rPr>
              <w:t>服务质量承诺及保障措施</w:t>
            </w:r>
            <w:r>
              <w:rPr>
                <w:rFonts w:hint="eastAsia"/>
                <w:b/>
                <w:color w:val="auto"/>
                <w:szCs w:val="21"/>
                <w:highlight w:val="none"/>
              </w:rPr>
              <w:t>不得分。</w:t>
            </w:r>
          </w:p>
        </w:tc>
      </w:tr>
      <w:tr w14:paraId="762554D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81" w:hRule="atLeast"/>
          <w:jc w:val="center"/>
        </w:trPr>
        <w:tc>
          <w:tcPr>
            <w:tcW w:w="817" w:type="dxa"/>
            <w:vMerge w:val="continue"/>
            <w:tcBorders>
              <w:tl2br w:val="nil"/>
              <w:tr2bl w:val="nil"/>
            </w:tcBorders>
            <w:noWrap/>
            <w:vAlign w:val="center"/>
          </w:tcPr>
          <w:p w14:paraId="0A593CBE">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10F4A93B">
            <w:pPr>
              <w:jc w:val="center"/>
              <w:rPr>
                <w:rFonts w:hint="eastAsia" w:cs="宋体"/>
                <w:b/>
                <w:bCs/>
                <w:color w:val="auto"/>
                <w:szCs w:val="21"/>
                <w:highlight w:val="none"/>
              </w:rPr>
            </w:pPr>
          </w:p>
        </w:tc>
        <w:tc>
          <w:tcPr>
            <w:tcW w:w="1559" w:type="dxa"/>
            <w:tcBorders>
              <w:tl2br w:val="nil"/>
              <w:tr2bl w:val="nil"/>
            </w:tcBorders>
            <w:noWrap/>
            <w:vAlign w:val="center"/>
          </w:tcPr>
          <w:p w14:paraId="2100C41C">
            <w:pPr>
              <w:jc w:val="center"/>
              <w:rPr>
                <w:rFonts w:hint="eastAsia" w:cs="宋体"/>
                <w:b/>
                <w:bCs/>
                <w:color w:val="auto"/>
                <w:szCs w:val="21"/>
                <w:highlight w:val="none"/>
              </w:rPr>
            </w:pPr>
            <w:r>
              <w:rPr>
                <w:rFonts w:hint="eastAsia" w:cs="宋体"/>
                <w:b/>
                <w:bCs/>
                <w:color w:val="auto"/>
                <w:szCs w:val="21"/>
                <w:highlight w:val="none"/>
                <w:lang w:val="en-US" w:eastAsia="zh-CN"/>
              </w:rPr>
              <w:t>产品配送、调试方案及</w:t>
            </w:r>
            <w:r>
              <w:rPr>
                <w:rFonts w:hint="eastAsia" w:cs="宋体"/>
                <w:b/>
                <w:bCs/>
                <w:color w:val="auto"/>
                <w:szCs w:val="21"/>
                <w:highlight w:val="none"/>
              </w:rPr>
              <w:t>质量保证措施</w:t>
            </w:r>
          </w:p>
          <w:p w14:paraId="2C669392">
            <w:pPr>
              <w:jc w:val="center"/>
              <w:rPr>
                <w:rFonts w:hint="eastAsia" w:cs="宋体"/>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12</w:t>
            </w:r>
            <w:r>
              <w:rPr>
                <w:rFonts w:hint="eastAsia" w:cs="宋体"/>
                <w:b/>
                <w:bCs/>
                <w:color w:val="auto"/>
                <w:szCs w:val="21"/>
                <w:highlight w:val="none"/>
              </w:rPr>
              <w:t>分）</w:t>
            </w:r>
          </w:p>
        </w:tc>
        <w:tc>
          <w:tcPr>
            <w:tcW w:w="6877" w:type="dxa"/>
            <w:tcBorders>
              <w:tl2br w:val="nil"/>
              <w:tr2bl w:val="nil"/>
            </w:tcBorders>
            <w:noWrap/>
            <w:vAlign w:val="center"/>
          </w:tcPr>
          <w:p w14:paraId="346CEE60">
            <w:pPr>
              <w:jc w:val="left"/>
              <w:rPr>
                <w:rFonts w:hint="eastAsia" w:cs="宋体"/>
                <w:b/>
                <w:bCs/>
                <w:color w:val="auto"/>
                <w:szCs w:val="21"/>
                <w:highlight w:val="none"/>
              </w:rPr>
            </w:pPr>
            <w:r>
              <w:rPr>
                <w:rFonts w:hint="eastAsia" w:cs="宋体"/>
                <w:b/>
                <w:bCs/>
                <w:color w:val="auto"/>
                <w:szCs w:val="21"/>
                <w:highlight w:val="none"/>
              </w:rPr>
              <w:t>根据投标人拟投产品的</w:t>
            </w:r>
            <w:r>
              <w:rPr>
                <w:rFonts w:hint="eastAsia" w:cs="宋体"/>
                <w:b/>
                <w:bCs/>
                <w:color w:val="auto"/>
                <w:szCs w:val="21"/>
                <w:highlight w:val="none"/>
                <w:lang w:val="en-US" w:eastAsia="zh-CN"/>
              </w:rPr>
              <w:t>配送</w:t>
            </w:r>
            <w:r>
              <w:rPr>
                <w:rFonts w:hint="eastAsia" w:cs="宋体"/>
                <w:b/>
                <w:bCs/>
                <w:color w:val="auto"/>
                <w:szCs w:val="21"/>
                <w:highlight w:val="none"/>
                <w:lang w:val="en-US"/>
              </w:rPr>
              <w:t>及</w:t>
            </w:r>
            <w:r>
              <w:rPr>
                <w:rFonts w:hint="eastAsia" w:cs="宋体"/>
                <w:b/>
                <w:bCs/>
                <w:color w:val="auto"/>
                <w:szCs w:val="21"/>
                <w:highlight w:val="none"/>
              </w:rPr>
              <w:t>调试</w:t>
            </w:r>
            <w:r>
              <w:rPr>
                <w:rFonts w:hint="eastAsia" w:cs="宋体"/>
                <w:b/>
                <w:bCs/>
                <w:color w:val="auto"/>
                <w:szCs w:val="21"/>
                <w:highlight w:val="none"/>
                <w:lang w:val="en-US" w:eastAsia="zh-CN"/>
              </w:rPr>
              <w:t>方案</w:t>
            </w:r>
            <w:r>
              <w:rPr>
                <w:rFonts w:hint="eastAsia" w:cs="宋体"/>
                <w:b/>
                <w:bCs/>
                <w:color w:val="auto"/>
                <w:szCs w:val="21"/>
                <w:highlight w:val="none"/>
              </w:rPr>
              <w:t>、质量保证承诺及质量保障措施进行评审，评审规则如下：</w:t>
            </w:r>
          </w:p>
          <w:p w14:paraId="56968408">
            <w:pPr>
              <w:jc w:val="left"/>
              <w:rPr>
                <w:rFonts w:hint="eastAsia" w:cs="宋体"/>
                <w:b/>
                <w:bCs/>
                <w:color w:val="auto"/>
                <w:szCs w:val="21"/>
                <w:highlight w:val="none"/>
              </w:rPr>
            </w:pPr>
            <w:r>
              <w:rPr>
                <w:rFonts w:hint="eastAsia" w:cs="宋体"/>
                <w:b/>
                <w:bCs/>
                <w:color w:val="auto"/>
                <w:szCs w:val="21"/>
                <w:highlight w:val="none"/>
              </w:rPr>
              <w:t>1、产品</w:t>
            </w:r>
            <w:r>
              <w:rPr>
                <w:rFonts w:hint="eastAsia" w:cs="宋体"/>
                <w:b/>
                <w:bCs/>
                <w:color w:val="auto"/>
                <w:szCs w:val="21"/>
                <w:highlight w:val="none"/>
                <w:lang w:val="en-US" w:eastAsia="zh-CN"/>
              </w:rPr>
              <w:t>配送</w:t>
            </w:r>
            <w:r>
              <w:rPr>
                <w:rFonts w:hint="eastAsia" w:cs="宋体"/>
                <w:b/>
                <w:bCs/>
                <w:color w:val="auto"/>
                <w:szCs w:val="21"/>
                <w:highlight w:val="none"/>
                <w:lang w:val="en-US"/>
              </w:rPr>
              <w:t>及</w:t>
            </w:r>
            <w:r>
              <w:rPr>
                <w:rFonts w:hint="eastAsia" w:cs="宋体"/>
                <w:b/>
                <w:bCs/>
                <w:color w:val="auto"/>
                <w:szCs w:val="21"/>
                <w:highlight w:val="none"/>
              </w:rPr>
              <w:t>调试</w:t>
            </w:r>
            <w:r>
              <w:rPr>
                <w:rFonts w:hint="eastAsia" w:cs="宋体"/>
                <w:b/>
                <w:bCs/>
                <w:color w:val="auto"/>
                <w:szCs w:val="21"/>
                <w:highlight w:val="none"/>
                <w:lang w:val="en-US" w:eastAsia="zh-CN"/>
              </w:rPr>
              <w:t>方案</w:t>
            </w:r>
            <w:r>
              <w:rPr>
                <w:rFonts w:hint="eastAsia" w:cs="宋体"/>
                <w:b/>
                <w:bCs/>
                <w:color w:val="auto"/>
                <w:szCs w:val="21"/>
                <w:highlight w:val="none"/>
              </w:rPr>
              <w:t>（</w:t>
            </w:r>
            <w:r>
              <w:rPr>
                <w:rFonts w:hint="eastAsia" w:cs="宋体"/>
                <w:b/>
                <w:bCs/>
                <w:color w:val="auto"/>
                <w:szCs w:val="21"/>
                <w:highlight w:val="none"/>
                <w:lang w:val="en-US" w:eastAsia="zh-CN"/>
              </w:rPr>
              <w:t>满分6</w:t>
            </w:r>
            <w:r>
              <w:rPr>
                <w:rFonts w:hint="eastAsia" w:cs="宋体"/>
                <w:b/>
                <w:bCs/>
                <w:color w:val="auto"/>
                <w:szCs w:val="21"/>
                <w:highlight w:val="none"/>
              </w:rPr>
              <w:t>分）</w:t>
            </w:r>
          </w:p>
          <w:p w14:paraId="018D8481">
            <w:pPr>
              <w:jc w:val="left"/>
              <w:rPr>
                <w:rFonts w:hint="eastAsia" w:cs="宋体"/>
                <w:b/>
                <w:bCs/>
                <w:color w:val="auto"/>
                <w:szCs w:val="21"/>
                <w:highlight w:val="none"/>
              </w:rPr>
            </w:pPr>
            <w:r>
              <w:rPr>
                <w:rFonts w:hint="eastAsia"/>
                <w:b w:val="0"/>
                <w:bCs w:val="0"/>
                <w:color w:val="auto"/>
                <w:szCs w:val="21"/>
                <w:highlight w:val="none"/>
              </w:rPr>
              <w:t>投标人</w:t>
            </w:r>
            <w:r>
              <w:rPr>
                <w:rFonts w:hint="eastAsia"/>
                <w:b w:val="0"/>
                <w:bCs w:val="0"/>
                <w:color w:val="auto"/>
                <w:szCs w:val="21"/>
                <w:highlight w:val="none"/>
                <w:lang w:val="en-US" w:eastAsia="zh-CN"/>
              </w:rPr>
              <w:t>提供的产品供货及调试方案</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①对产品的配送、调试等各环节有相应措施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②</w:t>
            </w:r>
            <w:r>
              <w:rPr>
                <w:rFonts w:hint="eastAsia"/>
                <w:b/>
                <w:bCs/>
                <w:color w:val="auto"/>
                <w:szCs w:val="21"/>
                <w:highlight w:val="none"/>
                <w:lang w:val="en-US" w:eastAsia="zh-CN"/>
              </w:rPr>
              <w:t>违约处罚承诺</w:t>
            </w:r>
            <w:r>
              <w:rPr>
                <w:rFonts w:hint="eastAsia"/>
                <w:b w:val="0"/>
                <w:bCs w:val="0"/>
                <w:color w:val="auto"/>
                <w:szCs w:val="21"/>
                <w:highlight w:val="none"/>
                <w:lang w:val="en-US" w:eastAsia="zh-CN"/>
              </w:rPr>
              <w:t>”2项内容。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6分，每缺一项扣3分，每有一项内容不完善或不合理的扣1.5分</w:t>
            </w:r>
            <w:r>
              <w:rPr>
                <w:rFonts w:hint="eastAsia" w:cs="宋体"/>
                <w:b w:val="0"/>
                <w:bCs w:val="0"/>
                <w:color w:val="auto"/>
                <w:szCs w:val="21"/>
                <w:highlight w:val="none"/>
              </w:rPr>
              <w:t>。</w:t>
            </w:r>
          </w:p>
          <w:p w14:paraId="151C8887">
            <w:pPr>
              <w:spacing w:line="360" w:lineRule="auto"/>
              <w:rPr>
                <w:rFonts w:hint="eastAsia" w:ascii="宋体" w:hAnsi="宋体" w:cs="宋体"/>
                <w:b/>
                <w:color w:val="auto"/>
                <w:szCs w:val="21"/>
                <w:highlight w:val="none"/>
              </w:rPr>
            </w:pPr>
            <w:r>
              <w:rPr>
                <w:b/>
                <w:bCs/>
                <w:color w:val="auto"/>
                <w:szCs w:val="21"/>
                <w:highlight w:val="none"/>
              </w:rPr>
              <w:t>2、</w:t>
            </w:r>
            <w:r>
              <w:rPr>
                <w:rFonts w:hint="eastAsia" w:ascii="宋体" w:hAnsi="宋体"/>
                <w:b/>
                <w:bCs/>
                <w:color w:val="auto"/>
                <w:szCs w:val="21"/>
                <w:highlight w:val="none"/>
                <w:lang w:val="en-US" w:eastAsia="zh-CN"/>
              </w:rPr>
              <w:t>产品</w:t>
            </w:r>
            <w:r>
              <w:rPr>
                <w:rFonts w:hint="eastAsia" w:ascii="宋体" w:hAnsi="宋体" w:cs="宋体"/>
                <w:b/>
                <w:color w:val="auto"/>
                <w:szCs w:val="21"/>
                <w:highlight w:val="none"/>
              </w:rPr>
              <w:t>质量保证承诺及质量保障措施（满分</w:t>
            </w:r>
            <w:r>
              <w:rPr>
                <w:rFonts w:hint="eastAsia" w:cs="宋体"/>
                <w:b/>
                <w:color w:val="auto"/>
                <w:szCs w:val="21"/>
                <w:highlight w:val="none"/>
                <w:lang w:val="en-US" w:eastAsia="zh-CN"/>
              </w:rPr>
              <w:t>6</w:t>
            </w:r>
            <w:r>
              <w:rPr>
                <w:rFonts w:hint="eastAsia" w:ascii="宋体" w:hAnsi="宋体" w:cs="宋体"/>
                <w:b/>
                <w:color w:val="auto"/>
                <w:szCs w:val="21"/>
                <w:highlight w:val="none"/>
              </w:rPr>
              <w:t>分）</w:t>
            </w:r>
          </w:p>
          <w:p w14:paraId="57D41F17">
            <w:pPr>
              <w:spacing w:line="360" w:lineRule="auto"/>
              <w:rPr>
                <w:rFonts w:hint="eastAsia"/>
                <w:color w:val="auto"/>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提供的产品质量保证承诺及质量保障措施</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w:t>
            </w:r>
            <w:r>
              <w:rPr>
                <w:rFonts w:hint="eastAsia" w:ascii="宋体" w:hAnsi="宋体"/>
                <w:b/>
                <w:bCs/>
                <w:color w:val="auto"/>
                <w:szCs w:val="21"/>
                <w:highlight w:val="none"/>
                <w:lang w:val="en-US" w:eastAsia="zh-CN"/>
              </w:rPr>
              <w:t>产品</w:t>
            </w:r>
            <w:r>
              <w:rPr>
                <w:rFonts w:hint="eastAsia"/>
                <w:b/>
                <w:bCs/>
                <w:color w:val="auto"/>
                <w:szCs w:val="21"/>
                <w:highlight w:val="none"/>
                <w:lang w:val="en-US" w:eastAsia="zh-CN"/>
              </w:rPr>
              <w:t>质量保证承诺及保障措施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②</w:t>
            </w:r>
            <w:r>
              <w:rPr>
                <w:rFonts w:hint="eastAsia"/>
                <w:b/>
                <w:bCs/>
                <w:color w:val="auto"/>
                <w:szCs w:val="21"/>
                <w:highlight w:val="none"/>
                <w:lang w:val="en-US" w:eastAsia="zh-CN"/>
              </w:rPr>
              <w:t>违约处罚承诺</w:t>
            </w:r>
            <w:r>
              <w:rPr>
                <w:rFonts w:hint="eastAsia"/>
                <w:b w:val="0"/>
                <w:bCs w:val="0"/>
                <w:color w:val="auto"/>
                <w:szCs w:val="21"/>
                <w:highlight w:val="none"/>
                <w:lang w:val="en-US" w:eastAsia="zh-CN"/>
              </w:rPr>
              <w:t>”2项内容。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6分，每缺一项扣3分，每有一项内容不完善或不合理的扣1.5分。</w:t>
            </w:r>
          </w:p>
          <w:p w14:paraId="299F6FB0">
            <w:pPr>
              <w:jc w:val="left"/>
              <w:rPr>
                <w:rFonts w:hint="eastAsia"/>
                <w:color w:val="auto"/>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3001153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7" w:hRule="atLeast"/>
          <w:jc w:val="center"/>
        </w:trPr>
        <w:tc>
          <w:tcPr>
            <w:tcW w:w="817" w:type="dxa"/>
            <w:vMerge w:val="continue"/>
            <w:tcBorders>
              <w:tl2br w:val="nil"/>
              <w:tr2bl w:val="nil"/>
            </w:tcBorders>
            <w:noWrap/>
            <w:vAlign w:val="center"/>
          </w:tcPr>
          <w:p w14:paraId="0C5CAC16">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7CF2098D">
            <w:pPr>
              <w:jc w:val="center"/>
              <w:rPr>
                <w:rFonts w:hint="eastAsia" w:cs="宋体"/>
                <w:b/>
                <w:bCs/>
                <w:color w:val="auto"/>
                <w:szCs w:val="21"/>
                <w:highlight w:val="none"/>
              </w:rPr>
            </w:pPr>
          </w:p>
        </w:tc>
        <w:tc>
          <w:tcPr>
            <w:tcW w:w="1559" w:type="dxa"/>
            <w:tcBorders>
              <w:tl2br w:val="nil"/>
              <w:tr2bl w:val="nil"/>
            </w:tcBorders>
            <w:noWrap/>
            <w:vAlign w:val="center"/>
          </w:tcPr>
          <w:p w14:paraId="79183FE7">
            <w:pPr>
              <w:jc w:val="center"/>
              <w:rPr>
                <w:rFonts w:hint="eastAsia" w:eastAsia="宋体" w:cs="宋体"/>
                <w:b/>
                <w:bCs/>
                <w:color w:val="auto"/>
                <w:szCs w:val="21"/>
                <w:highlight w:val="none"/>
                <w:lang w:eastAsia="zh-CN"/>
              </w:rPr>
            </w:pPr>
            <w:r>
              <w:rPr>
                <w:rFonts w:hint="eastAsia" w:cs="宋体"/>
                <w:b/>
                <w:bCs/>
                <w:color w:val="auto"/>
                <w:szCs w:val="21"/>
                <w:highlight w:val="none"/>
              </w:rPr>
              <w:t>售后服务承诺及保障措施</w:t>
            </w:r>
          </w:p>
          <w:p w14:paraId="68B6FCA1">
            <w:pPr>
              <w:jc w:val="center"/>
              <w:rPr>
                <w:rFonts w:hint="eastAsia" w:cs="宋体"/>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9</w:t>
            </w:r>
            <w:r>
              <w:rPr>
                <w:rFonts w:hint="eastAsia" w:cs="宋体"/>
                <w:b/>
                <w:bCs/>
                <w:color w:val="auto"/>
                <w:szCs w:val="21"/>
                <w:highlight w:val="none"/>
              </w:rPr>
              <w:t>分）</w:t>
            </w:r>
          </w:p>
        </w:tc>
        <w:tc>
          <w:tcPr>
            <w:tcW w:w="6877" w:type="dxa"/>
            <w:tcBorders>
              <w:tl2br w:val="nil"/>
              <w:tr2bl w:val="nil"/>
            </w:tcBorders>
            <w:noWrap/>
            <w:vAlign w:val="center"/>
          </w:tcPr>
          <w:p w14:paraId="1B87CFF1">
            <w:pPr>
              <w:rPr>
                <w:rFonts w:hint="eastAsia" w:cs="宋体"/>
                <w:b/>
                <w:bCs/>
                <w:color w:val="auto"/>
                <w:szCs w:val="21"/>
                <w:highlight w:val="none"/>
              </w:rPr>
            </w:pPr>
            <w:r>
              <w:rPr>
                <w:rFonts w:hint="eastAsia" w:cs="宋体"/>
                <w:b/>
                <w:bCs/>
                <w:color w:val="auto"/>
                <w:szCs w:val="21"/>
                <w:highlight w:val="none"/>
              </w:rPr>
              <w:t>根据投标人提供的售后服务</w:t>
            </w:r>
            <w:r>
              <w:rPr>
                <w:rFonts w:hint="eastAsia" w:cs="宋体"/>
                <w:b/>
                <w:bCs/>
                <w:color w:val="auto"/>
                <w:szCs w:val="21"/>
                <w:highlight w:val="none"/>
                <w:lang w:val="en-US" w:eastAsia="zh-CN"/>
              </w:rPr>
              <w:t>承诺及保障措施</w:t>
            </w:r>
            <w:r>
              <w:rPr>
                <w:rFonts w:hint="eastAsia" w:cs="宋体"/>
                <w:b/>
                <w:bCs/>
                <w:color w:val="auto"/>
                <w:szCs w:val="21"/>
                <w:highlight w:val="none"/>
              </w:rPr>
              <w:t>内容进行评审及评分。</w:t>
            </w:r>
          </w:p>
          <w:p w14:paraId="33DF9180">
            <w:pPr>
              <w:rPr>
                <w:rFonts w:hint="eastAsia" w:cs="宋体"/>
                <w:b w:val="0"/>
                <w:bCs w:val="0"/>
                <w:color w:val="auto"/>
                <w:szCs w:val="21"/>
                <w:highlight w:val="none"/>
              </w:rPr>
            </w:pPr>
            <w:r>
              <w:rPr>
                <w:rFonts w:hint="eastAsia" w:cs="宋体"/>
                <w:b w:val="0"/>
                <w:bCs w:val="0"/>
                <w:color w:val="auto"/>
                <w:szCs w:val="21"/>
                <w:highlight w:val="none"/>
              </w:rPr>
              <w:t>投标人提供的售后服务</w:t>
            </w:r>
            <w:r>
              <w:rPr>
                <w:rFonts w:hint="eastAsia" w:cs="宋体"/>
                <w:b w:val="0"/>
                <w:bCs w:val="0"/>
                <w:color w:val="auto"/>
                <w:szCs w:val="21"/>
                <w:highlight w:val="none"/>
                <w:lang w:val="en-US" w:eastAsia="zh-CN"/>
              </w:rPr>
              <w:t>承诺及保障措施</w:t>
            </w:r>
            <w:r>
              <w:rPr>
                <w:rFonts w:hint="eastAsia" w:cs="宋体"/>
                <w:b w:val="0"/>
                <w:bCs w:val="0"/>
                <w:color w:val="auto"/>
                <w:szCs w:val="21"/>
                <w:highlight w:val="none"/>
              </w:rPr>
              <w:t>，至少应包含</w:t>
            </w:r>
            <w:r>
              <w:rPr>
                <w:rFonts w:hint="eastAsia" w:cs="宋体"/>
                <w:b/>
                <w:bCs/>
                <w:color w:val="auto"/>
                <w:szCs w:val="21"/>
                <w:highlight w:val="none"/>
              </w:rPr>
              <w:t>“</w:t>
            </w:r>
            <w:r>
              <w:rPr>
                <w:rFonts w:hint="eastAsia"/>
                <w:b/>
                <w:bCs/>
                <w:color w:val="auto"/>
                <w:szCs w:val="21"/>
                <w:highlight w:val="none"/>
                <w:lang w:val="en-US" w:eastAsia="zh-CN"/>
              </w:rPr>
              <w:t>①售后服务内容、②</w:t>
            </w:r>
            <w:r>
              <w:rPr>
                <w:rFonts w:hint="eastAsia" w:cs="宋体"/>
                <w:b/>
                <w:bCs/>
                <w:color w:val="auto"/>
                <w:szCs w:val="21"/>
                <w:highlight w:val="none"/>
              </w:rPr>
              <w:t>售后服务承诺与保障措施（含响应时间承诺）、</w:t>
            </w:r>
            <w:r>
              <w:rPr>
                <w:rFonts w:hint="eastAsia" w:cs="宋体"/>
                <w:b/>
                <w:bCs/>
                <w:color w:val="auto"/>
                <w:szCs w:val="21"/>
                <w:highlight w:val="none"/>
                <w:lang w:val="en-US" w:eastAsia="zh-CN"/>
              </w:rPr>
              <w:t>③</w:t>
            </w:r>
            <w:r>
              <w:rPr>
                <w:rFonts w:hint="eastAsia" w:cs="宋体"/>
                <w:b/>
                <w:bCs/>
                <w:color w:val="auto"/>
                <w:szCs w:val="21"/>
                <w:highlight w:val="none"/>
              </w:rPr>
              <w:t>售后服务管理”</w:t>
            </w:r>
            <w:r>
              <w:rPr>
                <w:rFonts w:hint="eastAsia" w:cs="宋体"/>
                <w:b/>
                <w:bCs/>
                <w:color w:val="auto"/>
                <w:szCs w:val="21"/>
                <w:highlight w:val="none"/>
                <w:lang w:val="en-US" w:eastAsia="zh-CN"/>
              </w:rPr>
              <w:t>3</w:t>
            </w:r>
            <w:r>
              <w:rPr>
                <w:rFonts w:hint="eastAsia" w:cs="宋体"/>
                <w:b/>
                <w:bCs/>
                <w:color w:val="auto"/>
                <w:szCs w:val="21"/>
                <w:highlight w:val="none"/>
              </w:rPr>
              <w:t>项内容</w:t>
            </w:r>
            <w:r>
              <w:rPr>
                <w:rFonts w:hint="eastAsia" w:cs="宋体"/>
                <w:b w:val="0"/>
                <w:bCs w:val="0"/>
                <w:color w:val="auto"/>
                <w:szCs w:val="21"/>
                <w:highlight w:val="none"/>
              </w:rPr>
              <w:t>。以上内容均有完整描述且合理可行的</w:t>
            </w:r>
            <w:r>
              <w:rPr>
                <w:rFonts w:hint="eastAsia" w:cs="宋体"/>
                <w:b/>
                <w:bCs/>
                <w:color w:val="auto"/>
                <w:szCs w:val="21"/>
                <w:highlight w:val="none"/>
              </w:rPr>
              <w:t>得</w:t>
            </w:r>
            <w:r>
              <w:rPr>
                <w:rFonts w:hint="eastAsia" w:cs="宋体"/>
                <w:b/>
                <w:bCs/>
                <w:color w:val="auto"/>
                <w:szCs w:val="21"/>
                <w:highlight w:val="none"/>
                <w:lang w:val="en-US" w:eastAsia="zh-CN"/>
              </w:rPr>
              <w:t>9</w:t>
            </w:r>
            <w:r>
              <w:rPr>
                <w:rFonts w:hint="eastAsia" w:cs="宋体"/>
                <w:b/>
                <w:bCs/>
                <w:color w:val="auto"/>
                <w:szCs w:val="21"/>
                <w:highlight w:val="none"/>
              </w:rPr>
              <w:t>分</w:t>
            </w:r>
            <w:r>
              <w:rPr>
                <w:rFonts w:hint="eastAsia" w:cs="宋体"/>
                <w:b w:val="0"/>
                <w:bCs w:val="0"/>
                <w:color w:val="auto"/>
                <w:szCs w:val="21"/>
                <w:highlight w:val="none"/>
              </w:rPr>
              <w:t>，每缺一项</w:t>
            </w:r>
            <w:r>
              <w:rPr>
                <w:rFonts w:hint="eastAsia" w:cs="宋体"/>
                <w:b/>
                <w:bCs/>
                <w:color w:val="auto"/>
                <w:szCs w:val="21"/>
                <w:highlight w:val="none"/>
              </w:rPr>
              <w:t>扣</w:t>
            </w:r>
            <w:r>
              <w:rPr>
                <w:rFonts w:hint="eastAsia" w:cs="宋体"/>
                <w:b/>
                <w:bCs/>
                <w:color w:val="auto"/>
                <w:szCs w:val="21"/>
                <w:highlight w:val="none"/>
                <w:lang w:val="en-US" w:eastAsia="zh-CN"/>
              </w:rPr>
              <w:t>3</w:t>
            </w:r>
            <w:r>
              <w:rPr>
                <w:rFonts w:hint="eastAsia" w:cs="宋体"/>
                <w:b/>
                <w:bCs/>
                <w:color w:val="auto"/>
                <w:szCs w:val="21"/>
                <w:highlight w:val="none"/>
              </w:rPr>
              <w:t>分</w:t>
            </w:r>
            <w:r>
              <w:rPr>
                <w:rFonts w:hint="eastAsia" w:cs="宋体"/>
                <w:b w:val="0"/>
                <w:bCs w:val="0"/>
                <w:color w:val="auto"/>
                <w:szCs w:val="21"/>
                <w:highlight w:val="none"/>
              </w:rPr>
              <w:t>，每有一项内容不完善或不合理的</w:t>
            </w:r>
            <w:r>
              <w:rPr>
                <w:rFonts w:hint="eastAsia" w:cs="宋体"/>
                <w:b/>
                <w:bCs/>
                <w:color w:val="auto"/>
                <w:szCs w:val="21"/>
                <w:highlight w:val="none"/>
              </w:rPr>
              <w:t>扣1</w:t>
            </w:r>
            <w:r>
              <w:rPr>
                <w:rFonts w:hint="eastAsia" w:cs="宋体"/>
                <w:b/>
                <w:bCs/>
                <w:color w:val="auto"/>
                <w:szCs w:val="21"/>
                <w:highlight w:val="none"/>
                <w:lang w:val="en-US" w:eastAsia="zh-CN"/>
              </w:rPr>
              <w:t>.5</w:t>
            </w:r>
            <w:r>
              <w:rPr>
                <w:rFonts w:hint="eastAsia" w:cs="宋体"/>
                <w:b/>
                <w:bCs/>
                <w:color w:val="auto"/>
                <w:szCs w:val="21"/>
                <w:highlight w:val="none"/>
              </w:rPr>
              <w:t>分</w:t>
            </w:r>
            <w:r>
              <w:rPr>
                <w:rFonts w:hint="eastAsia" w:cs="宋体"/>
                <w:b w:val="0"/>
                <w:bCs w:val="0"/>
                <w:color w:val="auto"/>
                <w:szCs w:val="21"/>
                <w:highlight w:val="none"/>
              </w:rPr>
              <w:t>。</w:t>
            </w:r>
          </w:p>
          <w:p w14:paraId="313FF74A">
            <w:pPr>
              <w:rPr>
                <w:rFonts w:hint="eastAsia" w:ascii="宋体" w:hAnsi="宋体" w:eastAsia="宋体" w:cs="宋体"/>
                <w:b w:val="0"/>
                <w:bCs/>
                <w:color w:val="auto"/>
                <w:sz w:val="21"/>
                <w:szCs w:val="21"/>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728640A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7" w:hRule="atLeast"/>
          <w:jc w:val="center"/>
        </w:trPr>
        <w:tc>
          <w:tcPr>
            <w:tcW w:w="817" w:type="dxa"/>
            <w:vMerge w:val="continue"/>
            <w:tcBorders>
              <w:tl2br w:val="nil"/>
              <w:tr2bl w:val="nil"/>
            </w:tcBorders>
            <w:noWrap/>
            <w:vAlign w:val="center"/>
          </w:tcPr>
          <w:p w14:paraId="65CA8717">
            <w:pPr>
              <w:widowControl/>
              <w:jc w:val="left"/>
              <w:rPr>
                <w:rFonts w:hint="eastAsia" w:cs="宋体"/>
                <w:b/>
                <w:color w:val="auto"/>
                <w:kern w:val="0"/>
                <w:szCs w:val="21"/>
                <w:highlight w:val="none"/>
              </w:rPr>
            </w:pPr>
          </w:p>
        </w:tc>
        <w:tc>
          <w:tcPr>
            <w:tcW w:w="709" w:type="dxa"/>
            <w:vMerge w:val="continue"/>
            <w:tcBorders>
              <w:tl2br w:val="nil"/>
              <w:tr2bl w:val="nil"/>
            </w:tcBorders>
            <w:noWrap/>
            <w:vAlign w:val="center"/>
          </w:tcPr>
          <w:p w14:paraId="7BC0120C">
            <w:pPr>
              <w:jc w:val="center"/>
              <w:rPr>
                <w:rFonts w:hint="eastAsia" w:cs="宋体"/>
                <w:color w:val="auto"/>
                <w:szCs w:val="21"/>
                <w:highlight w:val="none"/>
              </w:rPr>
            </w:pPr>
          </w:p>
        </w:tc>
        <w:tc>
          <w:tcPr>
            <w:tcW w:w="1559" w:type="dxa"/>
            <w:tcBorders>
              <w:tl2br w:val="nil"/>
              <w:tr2bl w:val="nil"/>
            </w:tcBorders>
            <w:noWrap/>
            <w:vAlign w:val="center"/>
          </w:tcPr>
          <w:p w14:paraId="4C27907F">
            <w:pPr>
              <w:spacing w:line="276" w:lineRule="auto"/>
              <w:jc w:val="center"/>
              <w:rPr>
                <w:rFonts w:cs="宋体"/>
                <w:b/>
                <w:bCs/>
                <w:color w:val="auto"/>
                <w:szCs w:val="21"/>
                <w:highlight w:val="none"/>
              </w:rPr>
            </w:pPr>
            <w:r>
              <w:rPr>
                <w:rFonts w:hint="eastAsia" w:cs="宋体"/>
                <w:b/>
                <w:bCs/>
                <w:color w:val="auto"/>
                <w:szCs w:val="21"/>
                <w:highlight w:val="none"/>
              </w:rPr>
              <w:t>人员培训方案</w:t>
            </w:r>
          </w:p>
          <w:p w14:paraId="1BB2F1E4">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5</w:t>
            </w:r>
            <w:r>
              <w:rPr>
                <w:rFonts w:hint="eastAsia" w:cs="宋体"/>
                <w:b/>
                <w:bCs/>
                <w:color w:val="auto"/>
                <w:szCs w:val="21"/>
                <w:highlight w:val="none"/>
              </w:rPr>
              <w:t>分）</w:t>
            </w:r>
          </w:p>
        </w:tc>
        <w:tc>
          <w:tcPr>
            <w:tcW w:w="6877" w:type="dxa"/>
            <w:tcBorders>
              <w:tl2br w:val="nil"/>
              <w:tr2bl w:val="nil"/>
            </w:tcBorders>
            <w:noWrap/>
            <w:vAlign w:val="center"/>
          </w:tcPr>
          <w:p w14:paraId="121F211C">
            <w:pPr>
              <w:rPr>
                <w:rFonts w:hint="eastAsia" w:cs="宋体"/>
                <w:color w:val="auto"/>
                <w:szCs w:val="21"/>
                <w:highlight w:val="none"/>
              </w:rPr>
            </w:pPr>
            <w:r>
              <w:rPr>
                <w:rFonts w:hint="eastAsia" w:ascii="宋体" w:hAnsi="宋体" w:cs="宋体"/>
                <w:b w:val="0"/>
                <w:bCs/>
                <w:color w:val="auto"/>
                <w:szCs w:val="21"/>
                <w:highlight w:val="none"/>
              </w:rPr>
              <w:t>对</w:t>
            </w:r>
            <w:r>
              <w:rPr>
                <w:rFonts w:hint="eastAsia" w:ascii="宋体" w:hAnsi="宋体" w:cs="宋体"/>
                <w:b w:val="0"/>
                <w:bCs/>
                <w:color w:val="auto"/>
                <w:szCs w:val="21"/>
                <w:highlight w:val="none"/>
                <w:lang w:val="en-US" w:eastAsia="zh-CN"/>
              </w:rPr>
              <w:t>采购</w:t>
            </w:r>
            <w:r>
              <w:rPr>
                <w:rFonts w:hint="eastAsia" w:ascii="宋体" w:hAnsi="宋体" w:cs="宋体"/>
                <w:b w:val="0"/>
                <w:bCs/>
                <w:color w:val="auto"/>
                <w:szCs w:val="21"/>
                <w:highlight w:val="none"/>
              </w:rPr>
              <w:t>人工作人员进行主要功能、操作使用方法</w:t>
            </w:r>
            <w:r>
              <w:rPr>
                <w:rFonts w:hint="eastAsia" w:cs="宋体"/>
                <w:b w:val="0"/>
                <w:bCs/>
                <w:color w:val="auto"/>
                <w:szCs w:val="21"/>
                <w:highlight w:val="none"/>
                <w:lang w:val="en-US" w:eastAsia="zh-CN"/>
              </w:rPr>
              <w:t>等内容</w:t>
            </w:r>
            <w:r>
              <w:rPr>
                <w:rFonts w:hint="eastAsia" w:ascii="宋体" w:hAnsi="宋体" w:cs="宋体"/>
                <w:b w:val="0"/>
                <w:bCs/>
                <w:color w:val="auto"/>
                <w:szCs w:val="21"/>
                <w:highlight w:val="none"/>
              </w:rPr>
              <w:t>培训</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投标人提供了的</w:t>
            </w:r>
            <w:r>
              <w:rPr>
                <w:rFonts w:ascii="宋体" w:hAnsi="宋体" w:cs="宋体"/>
                <w:b w:val="0"/>
                <w:bCs/>
                <w:color w:val="auto"/>
                <w:szCs w:val="21"/>
                <w:highlight w:val="none"/>
              </w:rPr>
              <w:t>培训方案中针对</w:t>
            </w:r>
            <w:r>
              <w:rPr>
                <w:rFonts w:hint="eastAsia" w:ascii="宋体" w:hAnsi="宋体" w:cs="宋体"/>
                <w:b/>
                <w:bCs/>
                <w:color w:val="auto"/>
                <w:szCs w:val="21"/>
                <w:highlight w:val="none"/>
              </w:rPr>
              <w:t>培训计划、培训基本内容</w:t>
            </w:r>
            <w:r>
              <w:rPr>
                <w:rFonts w:ascii="宋体" w:hAnsi="宋体" w:cs="宋体"/>
                <w:b w:val="0"/>
                <w:bCs/>
                <w:color w:val="auto"/>
                <w:szCs w:val="21"/>
                <w:highlight w:val="none"/>
              </w:rPr>
              <w:t>等</w:t>
            </w:r>
            <w:r>
              <w:rPr>
                <w:rFonts w:hint="eastAsia" w:cs="宋体"/>
                <w:b w:val="0"/>
                <w:bCs/>
                <w:color w:val="auto"/>
                <w:szCs w:val="21"/>
                <w:highlight w:val="none"/>
                <w:lang w:val="en-US" w:eastAsia="zh-CN"/>
              </w:rPr>
              <w:t>两</w:t>
            </w:r>
            <w:r>
              <w:rPr>
                <w:rFonts w:ascii="宋体" w:hAnsi="宋体" w:cs="宋体"/>
                <w:b w:val="0"/>
                <w:bCs/>
                <w:color w:val="auto"/>
                <w:szCs w:val="21"/>
                <w:highlight w:val="none"/>
              </w:rPr>
              <w:t>个方面均进行</w:t>
            </w:r>
            <w:r>
              <w:rPr>
                <w:rFonts w:hint="eastAsia" w:ascii="宋体" w:hAnsi="宋体" w:cs="宋体"/>
                <w:b w:val="0"/>
                <w:bCs/>
                <w:color w:val="auto"/>
                <w:szCs w:val="21"/>
                <w:highlight w:val="none"/>
              </w:rPr>
              <w:t>详细具体</w:t>
            </w:r>
            <w:r>
              <w:rPr>
                <w:rFonts w:ascii="宋体" w:hAnsi="宋体" w:cs="宋体"/>
                <w:b w:val="0"/>
                <w:bCs/>
                <w:color w:val="auto"/>
                <w:szCs w:val="21"/>
                <w:highlight w:val="none"/>
              </w:rPr>
              <w:t>阐述的，</w:t>
            </w:r>
            <w:r>
              <w:rPr>
                <w:rFonts w:ascii="宋体" w:hAnsi="宋体" w:cs="宋体"/>
                <w:b/>
                <w:bCs/>
                <w:color w:val="auto"/>
                <w:szCs w:val="21"/>
                <w:highlight w:val="none"/>
              </w:rPr>
              <w:t>得</w:t>
            </w:r>
            <w:r>
              <w:rPr>
                <w:rFonts w:hint="eastAsia" w:cs="宋体"/>
                <w:b/>
                <w:bCs/>
                <w:color w:val="auto"/>
                <w:szCs w:val="21"/>
                <w:highlight w:val="none"/>
                <w:lang w:val="en-US" w:eastAsia="zh-CN"/>
              </w:rPr>
              <w:t>5</w:t>
            </w:r>
            <w:r>
              <w:rPr>
                <w:rFonts w:ascii="宋体" w:hAnsi="宋体" w:cs="宋体"/>
                <w:b/>
                <w:bCs/>
                <w:color w:val="auto"/>
                <w:szCs w:val="21"/>
                <w:highlight w:val="none"/>
              </w:rPr>
              <w:t>分，</w:t>
            </w:r>
            <w:r>
              <w:rPr>
                <w:rFonts w:hint="eastAsia" w:cs="宋体"/>
                <w:b w:val="0"/>
                <w:bCs w:val="0"/>
                <w:color w:val="auto"/>
                <w:szCs w:val="21"/>
                <w:highlight w:val="none"/>
              </w:rPr>
              <w:t>每</w:t>
            </w:r>
            <w:r>
              <w:rPr>
                <w:rFonts w:ascii="宋体" w:hAnsi="宋体" w:cs="宋体"/>
                <w:b w:val="0"/>
                <w:bCs/>
                <w:color w:val="auto"/>
                <w:szCs w:val="21"/>
                <w:highlight w:val="none"/>
              </w:rPr>
              <w:t>缺少一个方面的阐述</w:t>
            </w:r>
            <w:r>
              <w:rPr>
                <w:rFonts w:hint="eastAsia" w:cs="宋体"/>
                <w:b/>
                <w:bCs/>
                <w:color w:val="auto"/>
                <w:szCs w:val="21"/>
                <w:highlight w:val="none"/>
              </w:rPr>
              <w:t>扣</w:t>
            </w:r>
            <w:r>
              <w:rPr>
                <w:rFonts w:hint="eastAsia" w:cs="宋体"/>
                <w:b/>
                <w:bCs/>
                <w:color w:val="auto"/>
                <w:szCs w:val="21"/>
                <w:highlight w:val="none"/>
                <w:lang w:val="en-US" w:eastAsia="zh-CN"/>
              </w:rPr>
              <w:t>2.5</w:t>
            </w:r>
            <w:r>
              <w:rPr>
                <w:rFonts w:hint="eastAsia" w:cs="宋体"/>
                <w:b/>
                <w:bCs/>
                <w:color w:val="auto"/>
                <w:szCs w:val="21"/>
                <w:highlight w:val="none"/>
              </w:rPr>
              <w:t>分</w:t>
            </w:r>
            <w:r>
              <w:rPr>
                <w:rFonts w:hint="eastAsia" w:cs="宋体"/>
                <w:b w:val="0"/>
                <w:bCs w:val="0"/>
                <w:color w:val="auto"/>
                <w:szCs w:val="21"/>
                <w:highlight w:val="none"/>
              </w:rPr>
              <w:t>，每有一项内容不完善</w:t>
            </w:r>
            <w:r>
              <w:rPr>
                <w:rFonts w:hint="eastAsia" w:cs="宋体"/>
                <w:b w:val="0"/>
                <w:bCs w:val="0"/>
                <w:color w:val="auto"/>
                <w:szCs w:val="21"/>
                <w:highlight w:val="none"/>
                <w:lang w:eastAsia="zh-CN"/>
              </w:rPr>
              <w:t>、</w:t>
            </w:r>
            <w:r>
              <w:rPr>
                <w:rFonts w:hint="eastAsia" w:cs="宋体"/>
                <w:b w:val="0"/>
                <w:bCs w:val="0"/>
                <w:color w:val="auto"/>
                <w:szCs w:val="21"/>
                <w:highlight w:val="none"/>
              </w:rPr>
              <w:t>不合理</w:t>
            </w:r>
            <w:r>
              <w:rPr>
                <w:rFonts w:ascii="宋体" w:hAnsi="宋体" w:cs="宋体"/>
                <w:b w:val="0"/>
                <w:bCs/>
                <w:color w:val="auto"/>
                <w:szCs w:val="21"/>
                <w:highlight w:val="none"/>
              </w:rPr>
              <w:t>或阐述内容粗制的，</w:t>
            </w:r>
            <w:r>
              <w:rPr>
                <w:rFonts w:ascii="宋体" w:hAnsi="宋体" w:cs="宋体"/>
                <w:b/>
                <w:bCs/>
                <w:color w:val="auto"/>
                <w:szCs w:val="21"/>
                <w:highlight w:val="none"/>
              </w:rPr>
              <w:t>扣</w:t>
            </w:r>
            <w:r>
              <w:rPr>
                <w:rFonts w:hint="eastAsia" w:cs="宋体"/>
                <w:b/>
                <w:bCs/>
                <w:color w:val="auto"/>
                <w:szCs w:val="21"/>
                <w:highlight w:val="none"/>
                <w:lang w:val="en-US" w:eastAsia="zh-CN"/>
              </w:rPr>
              <w:t>1.5</w:t>
            </w:r>
            <w:r>
              <w:rPr>
                <w:rFonts w:ascii="宋体" w:hAnsi="宋体" w:cs="宋体"/>
                <w:b/>
                <w:bCs/>
                <w:color w:val="auto"/>
                <w:szCs w:val="21"/>
                <w:highlight w:val="none"/>
              </w:rPr>
              <w:t>分。</w:t>
            </w:r>
          </w:p>
        </w:tc>
      </w:tr>
      <w:tr w14:paraId="159E18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24" w:hRule="atLeast"/>
          <w:jc w:val="center"/>
        </w:trPr>
        <w:tc>
          <w:tcPr>
            <w:tcW w:w="817" w:type="dxa"/>
            <w:vMerge w:val="continue"/>
            <w:tcBorders>
              <w:tl2br w:val="nil"/>
              <w:tr2bl w:val="nil"/>
            </w:tcBorders>
            <w:noWrap/>
            <w:vAlign w:val="center"/>
          </w:tcPr>
          <w:p w14:paraId="7A6825BD">
            <w:pPr>
              <w:widowControl/>
              <w:jc w:val="left"/>
              <w:rPr>
                <w:rFonts w:hint="eastAsia" w:cs="宋体"/>
                <w:b/>
                <w:color w:val="auto"/>
                <w:kern w:val="0"/>
                <w:szCs w:val="21"/>
                <w:highlight w:val="none"/>
              </w:rPr>
            </w:pPr>
          </w:p>
        </w:tc>
        <w:tc>
          <w:tcPr>
            <w:tcW w:w="709" w:type="dxa"/>
            <w:vMerge w:val="continue"/>
            <w:tcBorders>
              <w:tl2br w:val="nil"/>
              <w:tr2bl w:val="nil"/>
            </w:tcBorders>
            <w:noWrap/>
            <w:vAlign w:val="center"/>
          </w:tcPr>
          <w:p w14:paraId="5C5E69A0">
            <w:pPr>
              <w:jc w:val="center"/>
              <w:rPr>
                <w:rFonts w:hint="eastAsia" w:cs="宋体"/>
                <w:color w:val="auto"/>
                <w:szCs w:val="21"/>
                <w:highlight w:val="none"/>
              </w:rPr>
            </w:pPr>
          </w:p>
        </w:tc>
        <w:tc>
          <w:tcPr>
            <w:tcW w:w="8436" w:type="dxa"/>
            <w:gridSpan w:val="2"/>
            <w:tcBorders>
              <w:tl2br w:val="nil"/>
              <w:tr2bl w:val="nil"/>
            </w:tcBorders>
            <w:noWrap/>
            <w:vAlign w:val="center"/>
          </w:tcPr>
          <w:p w14:paraId="1AC338EA">
            <w:pPr>
              <w:jc w:val="left"/>
              <w:rPr>
                <w:rFonts w:hint="eastAsia" w:cs="宋体"/>
                <w:color w:val="auto"/>
                <w:kern w:val="0"/>
                <w:szCs w:val="21"/>
                <w:highlight w:val="none"/>
                <w:lang w:bidi="ar"/>
              </w:rPr>
            </w:pPr>
            <w:r>
              <w:rPr>
                <w:rFonts w:hint="eastAsia" w:cs="宋体"/>
                <w:b/>
                <w:color w:val="auto"/>
                <w:szCs w:val="21"/>
                <w:highlight w:val="none"/>
              </w:rPr>
              <w:t>备注：根据进入详细评审的投标人的投标文件，对评分因素的响应情况进行打分。</w:t>
            </w:r>
          </w:p>
        </w:tc>
      </w:tr>
    </w:tbl>
    <w:p w14:paraId="5492CD55">
      <w:pPr>
        <w:rPr>
          <w:rFonts w:hint="eastAsia" w:cs="宋体"/>
          <w:b/>
          <w:color w:val="auto"/>
          <w:szCs w:val="21"/>
          <w:highlight w:val="none"/>
        </w:rPr>
      </w:pPr>
      <w:r>
        <w:rPr>
          <w:rFonts w:hint="eastAsia" w:cs="宋体"/>
          <w:b/>
          <w:color w:val="auto"/>
          <w:szCs w:val="21"/>
          <w:highlight w:val="none"/>
        </w:rPr>
        <w:br w:type="page"/>
      </w:r>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17"/>
        <w:gridCol w:w="709"/>
        <w:gridCol w:w="1559"/>
        <w:gridCol w:w="6877"/>
      </w:tblGrid>
      <w:tr w14:paraId="6F38CCF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9962" w:type="dxa"/>
            <w:gridSpan w:val="4"/>
            <w:tcBorders>
              <w:tl2br w:val="nil"/>
              <w:tr2bl w:val="nil"/>
            </w:tcBorders>
            <w:noWrap/>
            <w:vAlign w:val="center"/>
          </w:tcPr>
          <w:p w14:paraId="4854C8B7">
            <w:pPr>
              <w:jc w:val="center"/>
              <w:rPr>
                <w:rFonts w:hint="default" w:eastAsia="宋体" w:cs="宋体"/>
                <w:b/>
                <w:color w:val="auto"/>
                <w:szCs w:val="21"/>
                <w:highlight w:val="none"/>
                <w:lang w:val="en-US" w:eastAsia="zh-CN"/>
              </w:rPr>
            </w:pPr>
            <w:r>
              <w:rPr>
                <w:rFonts w:hint="eastAsia" w:cs="宋体"/>
                <w:b/>
                <w:color w:val="FF0000"/>
                <w:szCs w:val="21"/>
                <w:highlight w:val="none"/>
                <w:lang w:val="en-US" w:eastAsia="zh-CN"/>
              </w:rPr>
              <w:t>B包评审标准</w:t>
            </w:r>
          </w:p>
        </w:tc>
      </w:tr>
      <w:tr w14:paraId="32105D7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tcBorders>
              <w:tl2br w:val="nil"/>
              <w:tr2bl w:val="nil"/>
            </w:tcBorders>
            <w:noWrap/>
            <w:vAlign w:val="center"/>
          </w:tcPr>
          <w:p w14:paraId="64718227">
            <w:pPr>
              <w:jc w:val="center"/>
              <w:rPr>
                <w:rFonts w:hint="eastAsia" w:cs="宋体"/>
                <w:b/>
                <w:color w:val="auto"/>
                <w:szCs w:val="21"/>
                <w:highlight w:val="none"/>
              </w:rPr>
            </w:pPr>
            <w:r>
              <w:rPr>
                <w:rFonts w:hint="eastAsia" w:cs="宋体"/>
                <w:b/>
                <w:color w:val="auto"/>
                <w:szCs w:val="21"/>
                <w:highlight w:val="none"/>
              </w:rPr>
              <w:t>条款号</w:t>
            </w:r>
          </w:p>
        </w:tc>
        <w:tc>
          <w:tcPr>
            <w:tcW w:w="1559" w:type="dxa"/>
            <w:tcBorders>
              <w:tl2br w:val="nil"/>
              <w:tr2bl w:val="nil"/>
            </w:tcBorders>
            <w:noWrap/>
            <w:vAlign w:val="center"/>
          </w:tcPr>
          <w:p w14:paraId="564844BE">
            <w:pPr>
              <w:jc w:val="center"/>
              <w:rPr>
                <w:rFonts w:hint="default" w:eastAsia="宋体" w:cs="宋体"/>
                <w:b/>
                <w:color w:val="auto"/>
                <w:szCs w:val="21"/>
                <w:highlight w:val="none"/>
                <w:lang w:val="en-US" w:eastAsia="zh-CN"/>
              </w:rPr>
            </w:pPr>
            <w:r>
              <w:rPr>
                <w:rFonts w:hint="eastAsia" w:cs="宋体"/>
                <w:b/>
                <w:color w:val="auto"/>
                <w:szCs w:val="21"/>
                <w:highlight w:val="none"/>
                <w:lang w:val="en-US" w:eastAsia="zh-CN"/>
              </w:rPr>
              <w:t>条款内容</w:t>
            </w:r>
          </w:p>
        </w:tc>
        <w:tc>
          <w:tcPr>
            <w:tcW w:w="6877" w:type="dxa"/>
            <w:tcBorders>
              <w:tl2br w:val="nil"/>
              <w:tr2bl w:val="nil"/>
            </w:tcBorders>
            <w:noWrap/>
            <w:vAlign w:val="center"/>
          </w:tcPr>
          <w:p w14:paraId="39A08D99">
            <w:pPr>
              <w:jc w:val="center"/>
              <w:rPr>
                <w:rFonts w:hint="eastAsia" w:cs="宋体"/>
                <w:b/>
                <w:color w:val="auto"/>
                <w:szCs w:val="21"/>
                <w:highlight w:val="none"/>
              </w:rPr>
            </w:pPr>
            <w:r>
              <w:rPr>
                <w:rFonts w:hint="eastAsia" w:cs="宋体"/>
                <w:b/>
                <w:szCs w:val="21"/>
                <w:highlight w:val="none"/>
              </w:rPr>
              <w:t>编列内容</w:t>
            </w:r>
          </w:p>
        </w:tc>
      </w:tr>
      <w:tr w14:paraId="41B3304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vMerge w:val="restart"/>
            <w:tcBorders>
              <w:tl2br w:val="nil"/>
              <w:tr2bl w:val="nil"/>
            </w:tcBorders>
            <w:noWrap/>
            <w:vAlign w:val="center"/>
          </w:tcPr>
          <w:p w14:paraId="119BD9D6">
            <w:pPr>
              <w:jc w:val="center"/>
              <w:rPr>
                <w:rFonts w:hint="eastAsia" w:cs="宋体"/>
                <w:b/>
                <w:color w:val="auto"/>
                <w:szCs w:val="21"/>
                <w:highlight w:val="none"/>
              </w:rPr>
            </w:pPr>
            <w:r>
              <w:rPr>
                <w:rFonts w:hint="eastAsia" w:cs="宋体"/>
                <w:b/>
                <w:bCs/>
                <w:szCs w:val="21"/>
                <w:highlight w:val="none"/>
              </w:rPr>
              <w:t>3.2.1</w:t>
            </w:r>
          </w:p>
        </w:tc>
        <w:tc>
          <w:tcPr>
            <w:tcW w:w="1559" w:type="dxa"/>
            <w:vMerge w:val="restart"/>
            <w:tcBorders>
              <w:tl2br w:val="nil"/>
              <w:tr2bl w:val="nil"/>
            </w:tcBorders>
            <w:noWrap/>
            <w:vAlign w:val="center"/>
          </w:tcPr>
          <w:p w14:paraId="20AF6BB7">
            <w:pPr>
              <w:jc w:val="center"/>
              <w:rPr>
                <w:rFonts w:hint="eastAsia" w:cs="宋体"/>
                <w:b/>
                <w:bCs/>
                <w:szCs w:val="21"/>
                <w:highlight w:val="none"/>
              </w:rPr>
            </w:pPr>
            <w:r>
              <w:rPr>
                <w:rFonts w:hint="eastAsia" w:cs="宋体"/>
                <w:b/>
                <w:bCs/>
                <w:szCs w:val="21"/>
                <w:highlight w:val="none"/>
              </w:rPr>
              <w:t>分值构成</w:t>
            </w:r>
          </w:p>
          <w:p w14:paraId="56A0AA77">
            <w:pPr>
              <w:jc w:val="center"/>
              <w:rPr>
                <w:rFonts w:hint="eastAsia" w:cs="宋体"/>
                <w:b/>
                <w:color w:val="auto"/>
                <w:szCs w:val="21"/>
                <w:highlight w:val="none"/>
                <w:lang w:val="en-US" w:eastAsia="zh-CN"/>
              </w:rPr>
            </w:pPr>
            <w:r>
              <w:rPr>
                <w:rFonts w:hint="eastAsia" w:cs="宋体"/>
                <w:b/>
                <w:bCs/>
                <w:szCs w:val="21"/>
                <w:highlight w:val="none"/>
              </w:rPr>
              <w:t>（满分100分）</w:t>
            </w:r>
          </w:p>
        </w:tc>
        <w:tc>
          <w:tcPr>
            <w:tcW w:w="6877" w:type="dxa"/>
            <w:tcBorders>
              <w:tl2br w:val="nil"/>
              <w:tr2bl w:val="nil"/>
            </w:tcBorders>
            <w:noWrap/>
            <w:vAlign w:val="center"/>
          </w:tcPr>
          <w:p w14:paraId="35D7D456">
            <w:pPr>
              <w:rPr>
                <w:rFonts w:hint="eastAsia" w:cs="宋体"/>
                <w:szCs w:val="21"/>
                <w:highlight w:val="none"/>
              </w:rPr>
            </w:pPr>
            <w:r>
              <w:rPr>
                <w:rFonts w:hint="eastAsia" w:cs="宋体"/>
                <w:szCs w:val="21"/>
                <w:highlight w:val="none"/>
              </w:rPr>
              <w:t>投标人的评标总得分＝F1＋F2＋F3</w:t>
            </w:r>
          </w:p>
          <w:p w14:paraId="5B53B557">
            <w:pPr>
              <w:rPr>
                <w:rFonts w:hint="eastAsia" w:cs="宋体"/>
                <w:b/>
                <w:szCs w:val="21"/>
                <w:highlight w:val="none"/>
              </w:rPr>
            </w:pPr>
            <w:r>
              <w:rPr>
                <w:rFonts w:hint="eastAsia" w:cs="宋体"/>
                <w:szCs w:val="21"/>
                <w:highlight w:val="none"/>
              </w:rPr>
              <w:t>其中：F1、F2、F3分别为投标报价、技术部分、商务部分3项评分因素的汇总得分。</w:t>
            </w:r>
          </w:p>
        </w:tc>
      </w:tr>
      <w:tr w14:paraId="7F1B8B7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vMerge w:val="continue"/>
            <w:tcBorders>
              <w:tl2br w:val="nil"/>
              <w:tr2bl w:val="nil"/>
            </w:tcBorders>
            <w:noWrap/>
            <w:vAlign w:val="center"/>
          </w:tcPr>
          <w:p w14:paraId="02B7802C">
            <w:pPr>
              <w:rPr>
                <w:rFonts w:hint="eastAsia" w:cs="宋体"/>
                <w:b/>
                <w:color w:val="auto"/>
                <w:szCs w:val="21"/>
                <w:highlight w:val="none"/>
              </w:rPr>
            </w:pPr>
          </w:p>
        </w:tc>
        <w:tc>
          <w:tcPr>
            <w:tcW w:w="1559" w:type="dxa"/>
            <w:vMerge w:val="continue"/>
            <w:tcBorders>
              <w:tl2br w:val="nil"/>
              <w:tr2bl w:val="nil"/>
            </w:tcBorders>
            <w:noWrap/>
            <w:vAlign w:val="center"/>
          </w:tcPr>
          <w:p w14:paraId="60E7802A">
            <w:pPr>
              <w:rPr>
                <w:rFonts w:hint="eastAsia" w:cs="宋体"/>
                <w:b/>
                <w:color w:val="auto"/>
                <w:szCs w:val="21"/>
                <w:highlight w:val="none"/>
              </w:rPr>
            </w:pPr>
          </w:p>
        </w:tc>
        <w:tc>
          <w:tcPr>
            <w:tcW w:w="6877" w:type="dxa"/>
            <w:tcBorders>
              <w:tl2br w:val="nil"/>
              <w:tr2bl w:val="nil"/>
            </w:tcBorders>
            <w:noWrap/>
            <w:vAlign w:val="center"/>
          </w:tcPr>
          <w:p w14:paraId="7183EADC">
            <w:pPr>
              <w:rPr>
                <w:rFonts w:hint="eastAsia" w:cs="宋体"/>
                <w:szCs w:val="21"/>
                <w:highlight w:val="none"/>
              </w:rPr>
            </w:pPr>
            <w:r>
              <w:rPr>
                <w:rFonts w:hint="eastAsia" w:cs="宋体"/>
                <w:szCs w:val="21"/>
                <w:highlight w:val="none"/>
              </w:rPr>
              <w:t>投标报价F1：</w:t>
            </w:r>
            <w:r>
              <w:rPr>
                <w:rFonts w:cs="宋体"/>
                <w:szCs w:val="21"/>
                <w:highlight w:val="none"/>
              </w:rPr>
              <w:t>30</w:t>
            </w:r>
            <w:r>
              <w:rPr>
                <w:rFonts w:hint="eastAsia" w:cs="宋体"/>
                <w:szCs w:val="21"/>
                <w:highlight w:val="none"/>
              </w:rPr>
              <w:t>分。</w:t>
            </w:r>
          </w:p>
          <w:p w14:paraId="47DC0595">
            <w:pPr>
              <w:rPr>
                <w:rFonts w:hint="eastAsia" w:cs="宋体"/>
                <w:szCs w:val="21"/>
                <w:highlight w:val="none"/>
              </w:rPr>
            </w:pPr>
            <w:r>
              <w:rPr>
                <w:rFonts w:hint="eastAsia" w:cs="宋体"/>
                <w:szCs w:val="21"/>
                <w:highlight w:val="none"/>
              </w:rPr>
              <w:t>技术部分F2：</w:t>
            </w:r>
            <w:r>
              <w:rPr>
                <w:rFonts w:hint="eastAsia" w:cs="宋体"/>
                <w:szCs w:val="21"/>
                <w:highlight w:val="none"/>
                <w:lang w:val="en-US" w:eastAsia="zh-CN"/>
              </w:rPr>
              <w:t>44</w:t>
            </w:r>
            <w:r>
              <w:rPr>
                <w:rFonts w:hint="eastAsia" w:cs="宋体"/>
                <w:szCs w:val="21"/>
                <w:highlight w:val="none"/>
              </w:rPr>
              <w:t>分。</w:t>
            </w:r>
          </w:p>
          <w:p w14:paraId="09FF7055">
            <w:pPr>
              <w:rPr>
                <w:rFonts w:hint="eastAsia" w:cs="宋体"/>
                <w:b/>
                <w:color w:val="auto"/>
                <w:szCs w:val="21"/>
                <w:highlight w:val="none"/>
              </w:rPr>
            </w:pPr>
            <w:r>
              <w:rPr>
                <w:rFonts w:hint="eastAsia" w:cs="宋体"/>
                <w:szCs w:val="21"/>
                <w:highlight w:val="none"/>
              </w:rPr>
              <w:t>商务部分F3：</w:t>
            </w:r>
            <w:r>
              <w:rPr>
                <w:rFonts w:hint="eastAsia" w:cs="宋体"/>
                <w:szCs w:val="21"/>
                <w:highlight w:val="none"/>
                <w:lang w:val="en-US" w:eastAsia="zh-CN"/>
              </w:rPr>
              <w:t>26</w:t>
            </w:r>
            <w:r>
              <w:rPr>
                <w:rFonts w:hint="eastAsia" w:cs="宋体"/>
                <w:szCs w:val="21"/>
                <w:highlight w:val="none"/>
              </w:rPr>
              <w:t>分。</w:t>
            </w:r>
          </w:p>
        </w:tc>
      </w:tr>
      <w:tr w14:paraId="0FBBDC9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tblHeader/>
          <w:jc w:val="center"/>
        </w:trPr>
        <w:tc>
          <w:tcPr>
            <w:tcW w:w="1526" w:type="dxa"/>
            <w:gridSpan w:val="2"/>
            <w:tcBorders>
              <w:tl2br w:val="nil"/>
              <w:tr2bl w:val="nil"/>
            </w:tcBorders>
            <w:noWrap/>
            <w:vAlign w:val="center"/>
          </w:tcPr>
          <w:p w14:paraId="7CFB7A4E">
            <w:pPr>
              <w:jc w:val="center"/>
              <w:rPr>
                <w:rFonts w:hint="eastAsia" w:cs="宋体"/>
                <w:color w:val="auto"/>
                <w:szCs w:val="21"/>
                <w:highlight w:val="none"/>
              </w:rPr>
            </w:pPr>
            <w:r>
              <w:rPr>
                <w:rFonts w:hint="eastAsia" w:cs="宋体"/>
                <w:b/>
                <w:color w:val="auto"/>
                <w:szCs w:val="21"/>
                <w:highlight w:val="none"/>
              </w:rPr>
              <w:t>条款号</w:t>
            </w:r>
          </w:p>
        </w:tc>
        <w:tc>
          <w:tcPr>
            <w:tcW w:w="1559" w:type="dxa"/>
            <w:tcBorders>
              <w:tl2br w:val="nil"/>
              <w:tr2bl w:val="nil"/>
            </w:tcBorders>
            <w:noWrap/>
            <w:vAlign w:val="center"/>
          </w:tcPr>
          <w:p w14:paraId="74C9DD1B">
            <w:pPr>
              <w:jc w:val="center"/>
              <w:rPr>
                <w:rFonts w:hint="eastAsia" w:cs="宋体"/>
                <w:b/>
                <w:color w:val="auto"/>
                <w:szCs w:val="21"/>
                <w:highlight w:val="none"/>
              </w:rPr>
            </w:pPr>
            <w:r>
              <w:rPr>
                <w:rFonts w:hint="eastAsia" w:cs="宋体"/>
                <w:b/>
                <w:color w:val="auto"/>
                <w:szCs w:val="21"/>
                <w:highlight w:val="none"/>
              </w:rPr>
              <w:t>评分因素</w:t>
            </w:r>
          </w:p>
        </w:tc>
        <w:tc>
          <w:tcPr>
            <w:tcW w:w="6877" w:type="dxa"/>
            <w:tcBorders>
              <w:tl2br w:val="nil"/>
              <w:tr2bl w:val="nil"/>
            </w:tcBorders>
            <w:noWrap/>
            <w:vAlign w:val="center"/>
          </w:tcPr>
          <w:p w14:paraId="338345A2">
            <w:pPr>
              <w:jc w:val="center"/>
              <w:rPr>
                <w:rFonts w:hint="eastAsia" w:cs="宋体"/>
                <w:b/>
                <w:color w:val="auto"/>
                <w:szCs w:val="21"/>
                <w:highlight w:val="none"/>
              </w:rPr>
            </w:pPr>
            <w:r>
              <w:rPr>
                <w:rFonts w:hint="eastAsia" w:cs="宋体"/>
                <w:b/>
                <w:color w:val="auto"/>
                <w:szCs w:val="21"/>
                <w:highlight w:val="none"/>
              </w:rPr>
              <w:t>评分标准</w:t>
            </w:r>
          </w:p>
        </w:tc>
      </w:tr>
      <w:tr w14:paraId="5610354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622" w:hRule="atLeast"/>
          <w:jc w:val="center"/>
        </w:trPr>
        <w:tc>
          <w:tcPr>
            <w:tcW w:w="817" w:type="dxa"/>
            <w:tcBorders>
              <w:tl2br w:val="nil"/>
              <w:tr2bl w:val="nil"/>
            </w:tcBorders>
            <w:noWrap/>
            <w:vAlign w:val="center"/>
          </w:tcPr>
          <w:p w14:paraId="683B47EB">
            <w:pPr>
              <w:jc w:val="center"/>
              <w:rPr>
                <w:rFonts w:hint="eastAsia" w:cs="宋体"/>
                <w:b/>
                <w:bCs/>
                <w:color w:val="auto"/>
                <w:szCs w:val="21"/>
                <w:highlight w:val="none"/>
              </w:rPr>
            </w:pPr>
            <w:r>
              <w:rPr>
                <w:rFonts w:hint="eastAsia" w:cs="宋体"/>
                <w:b/>
                <w:bCs/>
                <w:color w:val="auto"/>
                <w:szCs w:val="21"/>
                <w:highlight w:val="none"/>
              </w:rPr>
              <w:t>3.2.2（1）</w:t>
            </w:r>
          </w:p>
        </w:tc>
        <w:tc>
          <w:tcPr>
            <w:tcW w:w="709" w:type="dxa"/>
            <w:tcBorders>
              <w:tl2br w:val="nil"/>
              <w:tr2bl w:val="nil"/>
            </w:tcBorders>
            <w:noWrap/>
            <w:vAlign w:val="center"/>
          </w:tcPr>
          <w:p w14:paraId="7321AB34">
            <w:pPr>
              <w:jc w:val="center"/>
              <w:rPr>
                <w:rFonts w:hint="eastAsia" w:cs="宋体"/>
                <w:b/>
                <w:bCs/>
                <w:color w:val="auto"/>
                <w:szCs w:val="21"/>
                <w:highlight w:val="none"/>
              </w:rPr>
            </w:pPr>
            <w:r>
              <w:rPr>
                <w:rFonts w:hint="eastAsia" w:cs="宋体"/>
                <w:b/>
                <w:bCs/>
                <w:color w:val="auto"/>
                <w:szCs w:val="21"/>
                <w:highlight w:val="none"/>
              </w:rPr>
              <w:t>投标报价</w:t>
            </w:r>
          </w:p>
          <w:p w14:paraId="6DFD160D">
            <w:pPr>
              <w:jc w:val="center"/>
              <w:rPr>
                <w:rFonts w:hint="eastAsia" w:cs="宋体"/>
                <w:b/>
                <w:bCs/>
                <w:color w:val="auto"/>
                <w:szCs w:val="21"/>
                <w:highlight w:val="none"/>
              </w:rPr>
            </w:pPr>
            <w:r>
              <w:rPr>
                <w:rFonts w:hint="eastAsia" w:cs="宋体"/>
                <w:b/>
                <w:bCs/>
                <w:color w:val="auto"/>
                <w:szCs w:val="21"/>
                <w:highlight w:val="none"/>
              </w:rPr>
              <w:t>F1</w:t>
            </w:r>
          </w:p>
          <w:p w14:paraId="3D2EE58A">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2CD1337A">
            <w:pPr>
              <w:jc w:val="center"/>
              <w:rPr>
                <w:rFonts w:hint="eastAsia" w:cs="宋体"/>
                <w:b/>
                <w:bCs/>
                <w:color w:val="auto"/>
                <w:szCs w:val="21"/>
                <w:highlight w:val="none"/>
              </w:rPr>
            </w:pPr>
            <w:r>
              <w:rPr>
                <w:rFonts w:hint="eastAsia" w:cs="宋体"/>
                <w:b/>
                <w:bCs/>
                <w:color w:val="auto"/>
                <w:szCs w:val="21"/>
                <w:highlight w:val="none"/>
              </w:rPr>
              <w:t>投标报价评分计算公式</w:t>
            </w:r>
          </w:p>
          <w:p w14:paraId="746D39CF">
            <w:pPr>
              <w:jc w:val="center"/>
              <w:rPr>
                <w:rFonts w:hint="eastAsia" w:cs="宋体"/>
                <w:b/>
                <w:bCs/>
                <w:color w:val="auto"/>
                <w:szCs w:val="21"/>
                <w:highlight w:val="none"/>
              </w:rPr>
            </w:pPr>
            <w:r>
              <w:rPr>
                <w:rFonts w:hint="eastAsia" w:cs="宋体"/>
                <w:b/>
                <w:bCs/>
                <w:color w:val="auto"/>
                <w:szCs w:val="21"/>
                <w:highlight w:val="none"/>
              </w:rPr>
              <w:t>（满分</w:t>
            </w:r>
            <w:r>
              <w:rPr>
                <w:rFonts w:cs="宋体"/>
                <w:b/>
                <w:bCs/>
                <w:color w:val="auto"/>
                <w:szCs w:val="21"/>
                <w:highlight w:val="none"/>
              </w:rPr>
              <w:t>30分）</w:t>
            </w:r>
          </w:p>
        </w:tc>
        <w:tc>
          <w:tcPr>
            <w:tcW w:w="6877" w:type="dxa"/>
            <w:tcBorders>
              <w:tl2br w:val="nil"/>
              <w:tr2bl w:val="nil"/>
            </w:tcBorders>
            <w:noWrap/>
            <w:vAlign w:val="center"/>
          </w:tcPr>
          <w:p w14:paraId="4EE7EBA5">
            <w:pPr>
              <w:adjustRightInd w:val="0"/>
              <w:rPr>
                <w:rFonts w:hint="eastAsia"/>
                <w:b/>
                <w:bCs/>
                <w:color w:val="auto"/>
                <w:szCs w:val="21"/>
                <w:highlight w:val="none"/>
              </w:rPr>
            </w:pPr>
            <w:r>
              <w:rPr>
                <w:rFonts w:hint="eastAsia"/>
                <w:b/>
                <w:bCs/>
                <w:color w:val="auto"/>
                <w:szCs w:val="21"/>
                <w:highlight w:val="none"/>
              </w:rPr>
              <w:t>投标报价得分=(评标基准价</w:t>
            </w:r>
            <w:r>
              <w:rPr>
                <w:b/>
                <w:bCs/>
                <w:color w:val="auto"/>
                <w:szCs w:val="21"/>
                <w:highlight w:val="none"/>
              </w:rPr>
              <w:t>/</w:t>
            </w:r>
            <w:r>
              <w:rPr>
                <w:rFonts w:hint="eastAsia"/>
                <w:b/>
                <w:bCs/>
                <w:color w:val="auto"/>
                <w:szCs w:val="21"/>
                <w:highlight w:val="none"/>
              </w:rPr>
              <w:t>投标报价)×</w:t>
            </w:r>
            <w:r>
              <w:rPr>
                <w:b/>
                <w:bCs/>
                <w:color w:val="auto"/>
                <w:szCs w:val="21"/>
                <w:highlight w:val="none"/>
              </w:rPr>
              <w:t>30</w:t>
            </w:r>
          </w:p>
          <w:p w14:paraId="5FABB2BD">
            <w:pPr>
              <w:adjustRightInd w:val="0"/>
              <w:rPr>
                <w:rFonts w:hint="eastAsia"/>
                <w:color w:val="auto"/>
                <w:szCs w:val="21"/>
                <w:highlight w:val="none"/>
              </w:rPr>
            </w:pPr>
            <w:r>
              <w:rPr>
                <w:rFonts w:hint="eastAsia"/>
                <w:color w:val="auto"/>
                <w:szCs w:val="21"/>
                <w:highlight w:val="none"/>
              </w:rPr>
              <w:t>即：</w:t>
            </w:r>
            <w:r>
              <w:rPr>
                <w:color w:val="auto"/>
                <w:szCs w:val="21"/>
                <w:highlight w:val="none"/>
              </w:rPr>
              <w:t>F</w:t>
            </w:r>
            <w:r>
              <w:rPr>
                <w:rFonts w:hint="eastAsia"/>
                <w:color w:val="auto"/>
                <w:szCs w:val="21"/>
                <w:highlight w:val="none"/>
              </w:rPr>
              <w:t>1</w:t>
            </w:r>
            <w:r>
              <w:rPr>
                <w:color w:val="auto"/>
                <w:szCs w:val="21"/>
                <w:highlight w:val="none"/>
              </w:rPr>
              <w:t>=[C/（B1，B2，…</w:t>
            </w:r>
            <w:r>
              <w:rPr>
                <w:rFonts w:hint="eastAsia"/>
                <w:color w:val="auto"/>
                <w:szCs w:val="21"/>
                <w:highlight w:val="none"/>
              </w:rPr>
              <w:t>，</w:t>
            </w:r>
            <w:r>
              <w:rPr>
                <w:color w:val="auto"/>
                <w:szCs w:val="21"/>
                <w:highlight w:val="none"/>
              </w:rPr>
              <w:t>Bn）]</w:t>
            </w:r>
            <w:r>
              <w:rPr>
                <w:rFonts w:hint="eastAsia"/>
                <w:color w:val="auto"/>
                <w:szCs w:val="21"/>
                <w:highlight w:val="none"/>
              </w:rPr>
              <w:t>×</w:t>
            </w:r>
            <w:r>
              <w:rPr>
                <w:color w:val="auto"/>
                <w:szCs w:val="21"/>
                <w:highlight w:val="none"/>
              </w:rPr>
              <w:t>30</w:t>
            </w:r>
          </w:p>
          <w:p w14:paraId="05A5FE4F">
            <w:pPr>
              <w:adjustRightInd w:val="0"/>
              <w:rPr>
                <w:rFonts w:hint="eastAsia"/>
                <w:color w:val="auto"/>
                <w:szCs w:val="21"/>
                <w:highlight w:val="none"/>
              </w:rPr>
            </w:pPr>
            <w:r>
              <w:rPr>
                <w:rFonts w:hint="eastAsia"/>
                <w:color w:val="auto"/>
                <w:szCs w:val="21"/>
                <w:highlight w:val="none"/>
              </w:rPr>
              <w:t>注：</w:t>
            </w:r>
            <w:r>
              <w:rPr>
                <w:color w:val="auto"/>
                <w:szCs w:val="21"/>
                <w:highlight w:val="none"/>
              </w:rPr>
              <w:t>C为评标基准价，即经</w:t>
            </w:r>
            <w:r>
              <w:rPr>
                <w:rFonts w:hint="eastAsia"/>
                <w:color w:val="auto"/>
                <w:szCs w:val="21"/>
                <w:highlight w:val="none"/>
              </w:rPr>
              <w:t>初步</w:t>
            </w:r>
            <w:r>
              <w:rPr>
                <w:color w:val="auto"/>
                <w:szCs w:val="21"/>
                <w:highlight w:val="none"/>
              </w:rPr>
              <w:t>审查合格</w:t>
            </w:r>
            <w:r>
              <w:rPr>
                <w:rFonts w:hint="eastAsia"/>
                <w:color w:val="auto"/>
                <w:szCs w:val="21"/>
                <w:highlight w:val="none"/>
              </w:rPr>
              <w:t>且投标价格最低</w:t>
            </w:r>
            <w:r>
              <w:rPr>
                <w:color w:val="auto"/>
                <w:szCs w:val="21"/>
                <w:highlight w:val="none"/>
              </w:rPr>
              <w:t>的</w:t>
            </w:r>
            <w:r>
              <w:rPr>
                <w:rFonts w:hint="eastAsia"/>
                <w:color w:val="auto"/>
                <w:szCs w:val="21"/>
                <w:highlight w:val="none"/>
              </w:rPr>
              <w:t>有效</w:t>
            </w:r>
            <w:r>
              <w:rPr>
                <w:color w:val="auto"/>
                <w:szCs w:val="21"/>
                <w:highlight w:val="none"/>
              </w:rPr>
              <w:t>投标报价；B1，B2，…</w:t>
            </w:r>
            <w:r>
              <w:rPr>
                <w:rFonts w:hint="eastAsia"/>
                <w:color w:val="auto"/>
                <w:szCs w:val="21"/>
                <w:highlight w:val="none"/>
              </w:rPr>
              <w:t>，</w:t>
            </w:r>
            <w:r>
              <w:rPr>
                <w:color w:val="auto"/>
                <w:szCs w:val="21"/>
                <w:highlight w:val="none"/>
              </w:rPr>
              <w:t>Bn为第n个经</w:t>
            </w:r>
            <w:r>
              <w:rPr>
                <w:rFonts w:hint="eastAsia"/>
                <w:color w:val="auto"/>
                <w:szCs w:val="21"/>
                <w:highlight w:val="none"/>
              </w:rPr>
              <w:t>初步</w:t>
            </w:r>
            <w:r>
              <w:rPr>
                <w:color w:val="auto"/>
                <w:szCs w:val="21"/>
                <w:highlight w:val="none"/>
              </w:rPr>
              <w:t>审查合格的有效投标报价。</w:t>
            </w:r>
          </w:p>
          <w:p w14:paraId="65172B35">
            <w:pPr>
              <w:rPr>
                <w:rFonts w:hint="eastAsia"/>
                <w:color w:val="auto"/>
                <w:szCs w:val="21"/>
                <w:highlight w:val="none"/>
              </w:rPr>
            </w:pPr>
            <w:r>
              <w:rPr>
                <w:rFonts w:hint="eastAsia"/>
                <w:color w:val="auto"/>
                <w:szCs w:val="21"/>
                <w:highlight w:val="none"/>
              </w:rPr>
              <w:t>注：1、在计算投标报价得分时，对小型或微型企业的价格给予10%的扣除。</w:t>
            </w:r>
          </w:p>
          <w:p w14:paraId="447A002B">
            <w:pPr>
              <w:ind w:firstLine="420" w:firstLineChars="200"/>
              <w:rPr>
                <w:rFonts w:hint="eastAsia"/>
                <w:color w:val="auto"/>
                <w:szCs w:val="21"/>
                <w:highlight w:val="none"/>
              </w:rPr>
            </w:pPr>
            <w:r>
              <w:rPr>
                <w:color w:val="auto"/>
                <w:szCs w:val="21"/>
                <w:highlight w:val="none"/>
              </w:rPr>
              <w:t>2</w:t>
            </w:r>
            <w:r>
              <w:rPr>
                <w:rFonts w:hint="eastAsia"/>
                <w:color w:val="auto"/>
                <w:szCs w:val="21"/>
                <w:highlight w:val="none"/>
              </w:rPr>
              <w:t>、残疾人福利性单位、监狱企业视同小型、微型企业。</w:t>
            </w:r>
          </w:p>
          <w:p w14:paraId="06DD2801">
            <w:pPr>
              <w:ind w:firstLine="420" w:firstLineChars="200"/>
              <w:rPr>
                <w:rFonts w:hint="default" w:eastAsia="宋体" w:cs="宋体"/>
                <w:color w:val="auto"/>
                <w:szCs w:val="21"/>
                <w:highlight w:val="none"/>
                <w:lang w:val="en-US" w:eastAsia="zh-CN"/>
              </w:rPr>
            </w:pPr>
            <w:r>
              <w:rPr>
                <w:rFonts w:hint="eastAsia"/>
                <w:color w:val="auto"/>
                <w:szCs w:val="21"/>
                <w:highlight w:val="none"/>
              </w:rPr>
              <w:t>3、监狱企业或残疾人福利性单位属于小型、微型企业的，不重复享受政策，只进行一次价格扣除。</w:t>
            </w:r>
          </w:p>
        </w:tc>
      </w:tr>
      <w:tr w14:paraId="57F8CF3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17" w:hRule="atLeast"/>
          <w:jc w:val="center"/>
        </w:trPr>
        <w:tc>
          <w:tcPr>
            <w:tcW w:w="817" w:type="dxa"/>
            <w:vMerge w:val="restart"/>
            <w:tcBorders>
              <w:tl2br w:val="nil"/>
              <w:tr2bl w:val="nil"/>
            </w:tcBorders>
            <w:noWrap/>
            <w:vAlign w:val="center"/>
          </w:tcPr>
          <w:p w14:paraId="75DB724A">
            <w:pPr>
              <w:jc w:val="center"/>
              <w:rPr>
                <w:rFonts w:hint="eastAsia" w:cs="宋体"/>
                <w:b/>
                <w:bCs/>
                <w:color w:val="auto"/>
                <w:szCs w:val="21"/>
                <w:highlight w:val="none"/>
              </w:rPr>
            </w:pPr>
            <w:r>
              <w:rPr>
                <w:rFonts w:hint="eastAsia" w:cs="宋体"/>
                <w:b/>
                <w:bCs/>
                <w:color w:val="auto"/>
                <w:szCs w:val="21"/>
                <w:highlight w:val="none"/>
              </w:rPr>
              <w:t>3.2.2（2）</w:t>
            </w:r>
          </w:p>
        </w:tc>
        <w:tc>
          <w:tcPr>
            <w:tcW w:w="709" w:type="dxa"/>
            <w:vMerge w:val="restart"/>
            <w:tcBorders>
              <w:tl2br w:val="nil"/>
              <w:tr2bl w:val="nil"/>
            </w:tcBorders>
            <w:noWrap/>
            <w:vAlign w:val="center"/>
          </w:tcPr>
          <w:p w14:paraId="5589A0AD">
            <w:pPr>
              <w:jc w:val="center"/>
              <w:rPr>
                <w:rFonts w:hint="eastAsia" w:cs="宋体"/>
                <w:b/>
                <w:bCs/>
                <w:color w:val="auto"/>
                <w:szCs w:val="21"/>
                <w:highlight w:val="none"/>
              </w:rPr>
            </w:pPr>
            <w:r>
              <w:rPr>
                <w:rFonts w:hint="eastAsia" w:cs="宋体"/>
                <w:b/>
                <w:bCs/>
                <w:color w:val="auto"/>
                <w:szCs w:val="21"/>
                <w:highlight w:val="none"/>
              </w:rPr>
              <w:t>技术部分F2</w:t>
            </w:r>
          </w:p>
          <w:p w14:paraId="4004459F">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5A7F2280">
            <w:pPr>
              <w:spacing w:line="276" w:lineRule="auto"/>
              <w:jc w:val="center"/>
              <w:rPr>
                <w:rFonts w:hint="eastAsia" w:cs="宋体"/>
                <w:b/>
                <w:bCs/>
                <w:color w:val="auto"/>
                <w:szCs w:val="21"/>
                <w:highlight w:val="none"/>
              </w:rPr>
            </w:pPr>
            <w:r>
              <w:rPr>
                <w:rFonts w:hint="eastAsia" w:cs="宋体"/>
                <w:b/>
                <w:bCs/>
                <w:color w:val="auto"/>
                <w:szCs w:val="21"/>
                <w:highlight w:val="none"/>
              </w:rPr>
              <w:t>技术指标的响应程度</w:t>
            </w:r>
          </w:p>
          <w:p w14:paraId="114140A3">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35</w:t>
            </w:r>
            <w:r>
              <w:rPr>
                <w:rFonts w:hint="eastAsia" w:cs="宋体"/>
                <w:b/>
                <w:bCs/>
                <w:color w:val="auto"/>
                <w:szCs w:val="21"/>
                <w:highlight w:val="none"/>
              </w:rPr>
              <w:t>分）</w:t>
            </w:r>
          </w:p>
        </w:tc>
        <w:tc>
          <w:tcPr>
            <w:tcW w:w="6877" w:type="dxa"/>
            <w:tcBorders>
              <w:tl2br w:val="nil"/>
              <w:tr2bl w:val="nil"/>
            </w:tcBorders>
            <w:noWrap/>
            <w:vAlign w:val="center"/>
          </w:tcPr>
          <w:p w14:paraId="02AFD9EF">
            <w:pPr>
              <w:adjustRightInd w:val="0"/>
              <w:snapToGrid w:val="0"/>
              <w:rPr>
                <w:rFonts w:hint="eastAsia" w:cs="宋体"/>
                <w:b/>
                <w:bCs/>
                <w:color w:val="auto"/>
                <w:szCs w:val="21"/>
                <w:highlight w:val="none"/>
              </w:rPr>
            </w:pPr>
            <w:r>
              <w:rPr>
                <w:rFonts w:hint="eastAsia" w:cs="宋体"/>
                <w:b/>
                <w:bCs/>
                <w:color w:val="auto"/>
                <w:szCs w:val="21"/>
                <w:highlight w:val="none"/>
              </w:rPr>
              <w:t>根据投标人对招标文件第五章《</w:t>
            </w:r>
            <w:r>
              <w:rPr>
                <w:rFonts w:hint="eastAsia" w:cs="宋体"/>
                <w:b/>
                <w:bCs/>
                <w:color w:val="auto"/>
                <w:szCs w:val="21"/>
                <w:highlight w:val="none"/>
                <w:lang w:eastAsia="zh-CN"/>
              </w:rPr>
              <w:t>采购需求</w:t>
            </w:r>
            <w:r>
              <w:rPr>
                <w:rFonts w:hint="eastAsia" w:cs="宋体"/>
                <w:b/>
                <w:bCs/>
                <w:color w:val="auto"/>
                <w:szCs w:val="21"/>
                <w:highlight w:val="none"/>
              </w:rPr>
              <w:t>》的技术指标的响应情况进行评审，评审规则如下：</w:t>
            </w:r>
          </w:p>
          <w:p w14:paraId="2A211679">
            <w:pPr>
              <w:snapToGrid w:val="0"/>
              <w:rPr>
                <w:rFonts w:hint="eastAsia" w:eastAsia="宋体" w:cs="宋体"/>
                <w:b/>
                <w:bCs/>
                <w:color w:val="auto"/>
                <w:szCs w:val="21"/>
                <w:highlight w:val="none"/>
                <w:lang w:eastAsia="zh-CN"/>
              </w:rPr>
            </w:pPr>
            <w:r>
              <w:rPr>
                <w:rFonts w:hint="eastAsia" w:cs="宋体"/>
                <w:b/>
                <w:bCs/>
                <w:color w:val="auto"/>
                <w:szCs w:val="21"/>
                <w:highlight w:val="none"/>
              </w:rPr>
              <w:t>1、</w:t>
            </w:r>
            <w:r>
              <w:rPr>
                <w:rFonts w:hint="eastAsia"/>
                <w:color w:val="auto"/>
                <w:szCs w:val="8"/>
                <w:highlight w:val="none"/>
              </w:rPr>
              <w:t>招标文件</w:t>
            </w:r>
            <w:r>
              <w:rPr>
                <w:rFonts w:hint="eastAsia" w:cs="宋体"/>
                <w:color w:val="auto"/>
                <w:szCs w:val="21"/>
                <w:highlight w:val="none"/>
              </w:rPr>
              <w:t>第五章</w:t>
            </w:r>
            <w:r>
              <w:rPr>
                <w:rFonts w:hint="eastAsia" w:cs="宋体"/>
                <w:b/>
                <w:bCs/>
                <w:color w:val="auto"/>
                <w:szCs w:val="21"/>
                <w:highlight w:val="none"/>
              </w:rPr>
              <w:t>“</w:t>
            </w:r>
            <w:r>
              <w:rPr>
                <w:rFonts w:hint="eastAsia"/>
                <w:b/>
                <w:color w:val="auto"/>
                <w:szCs w:val="21"/>
                <w:highlight w:val="none"/>
                <w:lang w:val="en-US" w:eastAsia="zh-CN"/>
              </w:rPr>
              <w:t xml:space="preserve">采购需求 </w:t>
            </w:r>
            <w:r>
              <w:rPr>
                <w:rFonts w:hint="eastAsia"/>
                <w:b/>
                <w:color w:val="auto"/>
                <w:szCs w:val="21"/>
                <w:highlight w:val="none"/>
              </w:rPr>
              <w:t xml:space="preserve"> </w:t>
            </w:r>
            <w:r>
              <w:rPr>
                <w:rFonts w:hint="eastAsia"/>
                <w:b/>
                <w:color w:val="auto"/>
                <w:szCs w:val="21"/>
                <w:highlight w:val="none"/>
                <w:lang w:val="en-US" w:eastAsia="zh-CN"/>
              </w:rPr>
              <w:t>一</w:t>
            </w:r>
            <w:r>
              <w:rPr>
                <w:rFonts w:hint="eastAsia"/>
                <w:b/>
                <w:color w:val="auto"/>
                <w:szCs w:val="21"/>
                <w:highlight w:val="none"/>
              </w:rPr>
              <w:t>、技术参数要求</w:t>
            </w:r>
            <w:r>
              <w:rPr>
                <w:rFonts w:hint="eastAsia"/>
                <w:b/>
                <w:color w:val="auto"/>
                <w:szCs w:val="21"/>
                <w:highlight w:val="none"/>
                <w:lang w:eastAsia="zh-CN"/>
              </w:rPr>
              <w:t>（</w:t>
            </w:r>
            <w:r>
              <w:rPr>
                <w:rFonts w:hint="eastAsia"/>
                <w:b/>
                <w:color w:val="auto"/>
                <w:szCs w:val="21"/>
                <w:highlight w:val="none"/>
                <w:lang w:val="en-US" w:eastAsia="zh-CN"/>
              </w:rPr>
              <w:t>B包</w:t>
            </w:r>
            <w:r>
              <w:rPr>
                <w:rFonts w:hint="eastAsia"/>
                <w:b/>
                <w:color w:val="auto"/>
                <w:szCs w:val="21"/>
                <w:highlight w:val="none"/>
                <w:lang w:eastAsia="zh-CN"/>
              </w:rPr>
              <w:t>）</w:t>
            </w:r>
            <w:r>
              <w:rPr>
                <w:rFonts w:hint="eastAsia" w:cs="宋体"/>
                <w:b/>
                <w:bCs/>
                <w:color w:val="auto"/>
                <w:szCs w:val="21"/>
                <w:highlight w:val="none"/>
              </w:rPr>
              <w:t>”</w:t>
            </w:r>
            <w:r>
              <w:rPr>
                <w:rFonts w:hint="eastAsia" w:cs="宋体"/>
                <w:color w:val="auto"/>
                <w:szCs w:val="21"/>
                <w:highlight w:val="none"/>
              </w:rPr>
              <w:t>中</w:t>
            </w:r>
            <w:r>
              <w:rPr>
                <w:rFonts w:hint="eastAsia" w:cs="宋体"/>
                <w:b/>
                <w:bCs/>
                <w:color w:val="auto"/>
                <w:szCs w:val="21"/>
                <w:highlight w:val="none"/>
              </w:rPr>
              <w:t>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”号的为</w:t>
            </w:r>
            <w:r>
              <w:rPr>
                <w:color w:val="auto"/>
                <w:highlight w:val="none"/>
              </w:rPr>
              <w:t>重要技术</w:t>
            </w:r>
            <w:r>
              <w:rPr>
                <w:rFonts w:hint="eastAsia" w:cs="宋体"/>
                <w:color w:val="auto"/>
                <w:szCs w:val="21"/>
                <w:highlight w:val="none"/>
              </w:rPr>
              <w:t>指标，</w:t>
            </w:r>
            <w:r>
              <w:rPr>
                <w:rFonts w:hint="eastAsia" w:cs="宋体"/>
                <w:b/>
                <w:bCs/>
                <w:color w:val="auto"/>
                <w:szCs w:val="21"/>
                <w:highlight w:val="none"/>
              </w:rPr>
              <w:t>共</w:t>
            </w:r>
            <w:r>
              <w:rPr>
                <w:rFonts w:hint="eastAsia" w:cs="宋体"/>
                <w:b/>
                <w:bCs/>
                <w:color w:val="auto"/>
                <w:szCs w:val="21"/>
                <w:highlight w:val="none"/>
                <w:lang w:val="en-US" w:eastAsia="zh-CN"/>
              </w:rPr>
              <w:t>13</w:t>
            </w:r>
            <w:r>
              <w:rPr>
                <w:rFonts w:hint="eastAsia" w:cs="宋体"/>
                <w:b/>
                <w:bCs/>
                <w:color w:val="auto"/>
                <w:szCs w:val="21"/>
                <w:highlight w:val="none"/>
              </w:rPr>
              <w:t>条</w:t>
            </w:r>
            <w:r>
              <w:rPr>
                <w:rFonts w:hint="eastAsia" w:cs="宋体"/>
                <w:color w:val="auto"/>
                <w:szCs w:val="21"/>
                <w:highlight w:val="none"/>
              </w:rPr>
              <w:t>，</w:t>
            </w:r>
            <w:r>
              <w:rPr>
                <w:rFonts w:hint="eastAsia" w:cs="宋体"/>
                <w:color w:val="auto"/>
                <w:szCs w:val="21"/>
                <w:highlight w:val="none"/>
                <w:lang w:val="en-US" w:eastAsia="zh-CN"/>
              </w:rPr>
              <w:t>每条</w:t>
            </w:r>
            <w:r>
              <w:rPr>
                <w:rFonts w:hint="eastAsia" w:cs="宋体"/>
                <w:b/>
                <w:bCs/>
                <w:color w:val="auto"/>
                <w:szCs w:val="21"/>
                <w:highlight w:val="none"/>
              </w:rPr>
              <w:t>标注“▲”</w:t>
            </w:r>
            <w:r>
              <w:rPr>
                <w:rFonts w:hint="eastAsia" w:cs="宋体"/>
                <w:color w:val="auto"/>
                <w:szCs w:val="21"/>
                <w:highlight w:val="none"/>
              </w:rPr>
              <w:t>号的</w:t>
            </w:r>
            <w:r>
              <w:rPr>
                <w:rFonts w:hint="eastAsia" w:cs="宋体"/>
                <w:color w:val="auto"/>
                <w:szCs w:val="21"/>
                <w:highlight w:val="none"/>
                <w:lang w:val="en-US" w:eastAsia="zh-CN"/>
              </w:rPr>
              <w:t>重要技术指标</w:t>
            </w:r>
            <w:r>
              <w:rPr>
                <w:rFonts w:hint="eastAsia" w:cs="宋体"/>
                <w:color w:val="auto"/>
                <w:szCs w:val="21"/>
                <w:highlight w:val="none"/>
              </w:rPr>
              <w:t>参数满足招标文件要求的，</w:t>
            </w:r>
            <w:r>
              <w:rPr>
                <w:rFonts w:hint="eastAsia" w:cs="宋体"/>
                <w:b/>
                <w:bCs/>
                <w:color w:val="auto"/>
                <w:szCs w:val="21"/>
                <w:highlight w:val="none"/>
              </w:rPr>
              <w:t>得</w:t>
            </w:r>
            <w:r>
              <w:rPr>
                <w:rFonts w:hint="eastAsia" w:cs="宋体"/>
                <w:b/>
                <w:bCs/>
                <w:color w:val="auto"/>
                <w:szCs w:val="21"/>
                <w:highlight w:val="none"/>
                <w:lang w:val="en-US" w:eastAsia="zh-CN"/>
              </w:rPr>
              <w:t>2</w:t>
            </w:r>
            <w:r>
              <w:rPr>
                <w:rFonts w:hint="eastAsia" w:cs="宋体"/>
                <w:b/>
                <w:bCs/>
                <w:color w:val="auto"/>
                <w:szCs w:val="21"/>
                <w:highlight w:val="none"/>
              </w:rPr>
              <w:t>分，</w:t>
            </w:r>
            <w:r>
              <w:rPr>
                <w:rFonts w:hint="eastAsia" w:cs="宋体"/>
                <w:color w:val="auto"/>
                <w:szCs w:val="21"/>
                <w:highlight w:val="none"/>
              </w:rPr>
              <w:t>否则不得分，</w:t>
            </w:r>
            <w:r>
              <w:rPr>
                <w:rFonts w:hint="eastAsia" w:cs="宋体"/>
                <w:b/>
                <w:bCs/>
                <w:color w:val="auto"/>
                <w:szCs w:val="21"/>
                <w:highlight w:val="none"/>
                <w:lang w:val="en-US" w:eastAsia="zh-CN"/>
              </w:rPr>
              <w:t>满分26分</w:t>
            </w:r>
            <w:r>
              <w:rPr>
                <w:rFonts w:hint="eastAsia" w:cs="宋体"/>
                <w:b/>
                <w:bCs/>
                <w:color w:val="auto"/>
                <w:szCs w:val="21"/>
                <w:highlight w:val="none"/>
                <w:lang w:eastAsia="zh-CN"/>
              </w:rPr>
              <w:t>。</w:t>
            </w:r>
          </w:p>
          <w:p w14:paraId="687454B8">
            <w:pPr>
              <w:snapToGrid w:val="0"/>
              <w:rPr>
                <w:rFonts w:cs="宋体"/>
                <w:b/>
                <w:bCs/>
                <w:color w:val="auto"/>
                <w:szCs w:val="21"/>
                <w:highlight w:val="none"/>
              </w:rPr>
            </w:pPr>
            <w:r>
              <w:rPr>
                <w:rFonts w:hint="eastAsia" w:cs="宋体"/>
                <w:b/>
                <w:bCs/>
                <w:color w:val="auto"/>
                <w:szCs w:val="21"/>
                <w:highlight w:val="none"/>
              </w:rPr>
              <w:t>2、</w:t>
            </w:r>
            <w:r>
              <w:rPr>
                <w:rFonts w:hint="eastAsia"/>
                <w:color w:val="auto"/>
                <w:szCs w:val="8"/>
                <w:highlight w:val="none"/>
              </w:rPr>
              <w:t>招标文件</w:t>
            </w:r>
            <w:r>
              <w:rPr>
                <w:rFonts w:hint="eastAsia" w:cs="宋体"/>
                <w:color w:val="auto"/>
                <w:szCs w:val="21"/>
                <w:highlight w:val="none"/>
              </w:rPr>
              <w:t>第五章</w:t>
            </w:r>
            <w:r>
              <w:rPr>
                <w:rFonts w:hint="eastAsia" w:cs="宋体"/>
                <w:b/>
                <w:bCs/>
                <w:color w:val="auto"/>
                <w:szCs w:val="21"/>
                <w:highlight w:val="none"/>
              </w:rPr>
              <w:t>“</w:t>
            </w:r>
            <w:r>
              <w:rPr>
                <w:rFonts w:hint="eastAsia"/>
                <w:b/>
                <w:color w:val="auto"/>
                <w:szCs w:val="21"/>
                <w:highlight w:val="none"/>
                <w:lang w:val="en-US" w:eastAsia="zh-CN"/>
              </w:rPr>
              <w:t>采购需求</w:t>
            </w:r>
            <w:r>
              <w:rPr>
                <w:rFonts w:hint="eastAsia"/>
                <w:b/>
                <w:color w:val="auto"/>
                <w:szCs w:val="21"/>
                <w:highlight w:val="none"/>
              </w:rPr>
              <w:t xml:space="preserve"> </w:t>
            </w:r>
            <w:r>
              <w:rPr>
                <w:rFonts w:hint="eastAsia"/>
                <w:b/>
                <w:color w:val="auto"/>
                <w:szCs w:val="21"/>
                <w:highlight w:val="none"/>
                <w:lang w:val="en-US" w:eastAsia="zh-CN"/>
              </w:rPr>
              <w:t xml:space="preserve"> 一</w:t>
            </w:r>
            <w:r>
              <w:rPr>
                <w:rFonts w:hint="eastAsia"/>
                <w:b/>
                <w:color w:val="auto"/>
                <w:szCs w:val="21"/>
                <w:highlight w:val="none"/>
              </w:rPr>
              <w:t>、技术参数要求</w:t>
            </w:r>
            <w:r>
              <w:rPr>
                <w:rFonts w:hint="eastAsia"/>
                <w:b/>
                <w:color w:val="auto"/>
                <w:szCs w:val="21"/>
                <w:highlight w:val="none"/>
                <w:lang w:eastAsia="zh-CN"/>
              </w:rPr>
              <w:t>（</w:t>
            </w:r>
            <w:r>
              <w:rPr>
                <w:rFonts w:hint="eastAsia"/>
                <w:b/>
                <w:color w:val="auto"/>
                <w:szCs w:val="21"/>
                <w:highlight w:val="none"/>
                <w:lang w:val="en-US" w:eastAsia="zh-CN"/>
              </w:rPr>
              <w:t>B包</w:t>
            </w:r>
            <w:r>
              <w:rPr>
                <w:rFonts w:hint="eastAsia"/>
                <w:b/>
                <w:color w:val="auto"/>
                <w:szCs w:val="21"/>
                <w:highlight w:val="none"/>
                <w:lang w:eastAsia="zh-CN"/>
              </w:rPr>
              <w:t>）</w:t>
            </w:r>
            <w:r>
              <w:rPr>
                <w:rFonts w:hint="eastAsia" w:cs="宋体"/>
                <w:b/>
                <w:bCs/>
                <w:color w:val="auto"/>
                <w:szCs w:val="21"/>
                <w:highlight w:val="none"/>
              </w:rPr>
              <w:t>”</w:t>
            </w:r>
            <w:r>
              <w:rPr>
                <w:rFonts w:hint="eastAsia" w:cs="宋体"/>
                <w:color w:val="auto"/>
                <w:szCs w:val="21"/>
                <w:highlight w:val="none"/>
              </w:rPr>
              <w:t>中</w:t>
            </w:r>
            <w:r>
              <w:rPr>
                <w:rFonts w:hint="eastAsia" w:cs="宋体"/>
                <w:b/>
                <w:bCs/>
                <w:color w:val="auto"/>
                <w:szCs w:val="21"/>
                <w:highlight w:val="none"/>
              </w:rPr>
              <w:t>未标注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”号的为</w:t>
            </w:r>
            <w:r>
              <w:rPr>
                <w:rFonts w:hint="eastAsia"/>
                <w:color w:val="auto"/>
                <w:highlight w:val="none"/>
              </w:rPr>
              <w:t>一般</w:t>
            </w:r>
            <w:r>
              <w:rPr>
                <w:color w:val="auto"/>
                <w:highlight w:val="none"/>
              </w:rPr>
              <w:t>技术</w:t>
            </w:r>
            <w:r>
              <w:rPr>
                <w:rFonts w:hint="eastAsia" w:cs="宋体"/>
                <w:color w:val="auto"/>
                <w:szCs w:val="21"/>
                <w:highlight w:val="none"/>
              </w:rPr>
              <w:t>指标，</w:t>
            </w:r>
            <w:r>
              <w:rPr>
                <w:rFonts w:hint="eastAsia" w:cs="宋体"/>
                <w:b/>
                <w:bCs/>
                <w:color w:val="auto"/>
                <w:szCs w:val="21"/>
                <w:highlight w:val="none"/>
              </w:rPr>
              <w:t>共</w:t>
            </w:r>
            <w:r>
              <w:rPr>
                <w:rFonts w:hint="eastAsia" w:cs="宋体"/>
                <w:b/>
                <w:bCs/>
                <w:color w:val="auto"/>
                <w:szCs w:val="21"/>
                <w:highlight w:val="none"/>
                <w:lang w:val="en-US" w:eastAsia="zh-CN"/>
              </w:rPr>
              <w:t>18条</w:t>
            </w:r>
            <w:r>
              <w:rPr>
                <w:rFonts w:hint="eastAsia" w:cs="宋体"/>
                <w:color w:val="auto"/>
                <w:szCs w:val="21"/>
                <w:highlight w:val="none"/>
              </w:rPr>
              <w:t>，每</w:t>
            </w:r>
            <w:r>
              <w:rPr>
                <w:rFonts w:hint="eastAsia" w:cs="宋体"/>
                <w:color w:val="auto"/>
                <w:szCs w:val="21"/>
                <w:highlight w:val="none"/>
                <w:lang w:val="en-US" w:eastAsia="zh-CN"/>
              </w:rPr>
              <w:t>条</w:t>
            </w:r>
            <w:r>
              <w:rPr>
                <w:rFonts w:hint="eastAsia" w:cs="宋体"/>
                <w:b/>
                <w:bCs/>
                <w:color w:val="auto"/>
                <w:szCs w:val="21"/>
                <w:highlight w:val="none"/>
              </w:rPr>
              <w:t>未标注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w:t>
            </w:r>
            <w:r>
              <w:rPr>
                <w:rFonts w:hint="eastAsia"/>
                <w:color w:val="auto"/>
                <w:highlight w:val="none"/>
              </w:rPr>
              <w:t>一般</w:t>
            </w:r>
            <w:r>
              <w:rPr>
                <w:color w:val="auto"/>
                <w:highlight w:val="none"/>
              </w:rPr>
              <w:t>技术</w:t>
            </w:r>
            <w:r>
              <w:rPr>
                <w:rFonts w:hint="eastAsia" w:cs="宋体"/>
                <w:color w:val="auto"/>
                <w:szCs w:val="21"/>
                <w:highlight w:val="none"/>
              </w:rPr>
              <w:t>指标参数满足招标文件要求的，</w:t>
            </w:r>
            <w:r>
              <w:rPr>
                <w:rFonts w:hint="eastAsia" w:cs="宋体"/>
                <w:b/>
                <w:bCs/>
                <w:color w:val="auto"/>
                <w:szCs w:val="21"/>
                <w:highlight w:val="none"/>
              </w:rPr>
              <w:t>得</w:t>
            </w:r>
            <w:r>
              <w:rPr>
                <w:rFonts w:hint="eastAsia" w:cs="宋体"/>
                <w:b/>
                <w:bCs/>
                <w:color w:val="auto"/>
                <w:szCs w:val="21"/>
                <w:highlight w:val="none"/>
                <w:lang w:val="en-US" w:eastAsia="zh-CN"/>
              </w:rPr>
              <w:t>0.5</w:t>
            </w:r>
            <w:r>
              <w:rPr>
                <w:rFonts w:hint="eastAsia" w:cs="宋体"/>
                <w:b/>
                <w:bCs/>
                <w:color w:val="auto"/>
                <w:szCs w:val="21"/>
                <w:highlight w:val="none"/>
              </w:rPr>
              <w:t>分，</w:t>
            </w:r>
            <w:r>
              <w:rPr>
                <w:rFonts w:hint="eastAsia" w:cs="宋体"/>
                <w:color w:val="auto"/>
                <w:szCs w:val="21"/>
                <w:highlight w:val="none"/>
              </w:rPr>
              <w:t>否则不得分，</w:t>
            </w:r>
            <w:r>
              <w:rPr>
                <w:rFonts w:hint="eastAsia" w:cs="宋体"/>
                <w:b/>
                <w:bCs/>
                <w:color w:val="auto"/>
                <w:szCs w:val="21"/>
                <w:highlight w:val="none"/>
              </w:rPr>
              <w:t>共</w:t>
            </w:r>
            <w:r>
              <w:rPr>
                <w:rFonts w:hint="eastAsia" w:cs="宋体"/>
                <w:b/>
                <w:bCs/>
                <w:color w:val="auto"/>
                <w:szCs w:val="21"/>
                <w:highlight w:val="none"/>
                <w:lang w:val="en-US" w:eastAsia="zh-CN"/>
              </w:rPr>
              <w:t>9</w:t>
            </w:r>
            <w:r>
              <w:rPr>
                <w:rFonts w:hint="eastAsia" w:cs="宋体"/>
                <w:b/>
                <w:bCs/>
                <w:color w:val="auto"/>
                <w:szCs w:val="21"/>
                <w:highlight w:val="none"/>
              </w:rPr>
              <w:t>分。</w:t>
            </w:r>
          </w:p>
          <w:p w14:paraId="5F56796E">
            <w:pPr>
              <w:snapToGrid w:val="0"/>
              <w:rPr>
                <w:rFonts w:cs="宋体"/>
                <w:b/>
                <w:bCs/>
                <w:color w:val="auto"/>
                <w:szCs w:val="21"/>
                <w:highlight w:val="none"/>
              </w:rPr>
            </w:pPr>
            <w:r>
              <w:rPr>
                <w:rFonts w:hint="eastAsia" w:cs="宋体"/>
                <w:b/>
                <w:bCs/>
                <w:color w:val="auto"/>
                <w:szCs w:val="21"/>
                <w:highlight w:val="none"/>
              </w:rPr>
              <w:t>注：1、技术参数指标均需按要求提供相关证明资料，评委根据证明资料内容判断功能的符合性。</w:t>
            </w:r>
          </w:p>
          <w:p w14:paraId="307B573B">
            <w:pPr>
              <w:snapToGrid w:val="0"/>
              <w:rPr>
                <w:rFonts w:hint="eastAsia" w:cs="宋体"/>
                <w:b/>
                <w:bCs/>
                <w:color w:val="auto"/>
                <w:szCs w:val="21"/>
                <w:highlight w:val="none"/>
              </w:rPr>
            </w:pPr>
            <w:r>
              <w:rPr>
                <w:rFonts w:hint="eastAsia" w:cs="宋体"/>
                <w:b/>
                <w:bCs/>
                <w:color w:val="auto"/>
                <w:szCs w:val="21"/>
                <w:highlight w:val="none"/>
              </w:rPr>
              <w:t>2、投标人拟投产品出现任意内容不满足对应技术指标项下的内容，即视为不满足该项技术指标。</w:t>
            </w:r>
          </w:p>
          <w:p w14:paraId="4F61C0CC">
            <w:pPr>
              <w:adjustRightInd w:val="0"/>
              <w:snapToGrid w:val="0"/>
              <w:rPr>
                <w:rFonts w:hint="eastAsia" w:cs="宋体"/>
                <w:b/>
                <w:bCs/>
                <w:color w:val="auto"/>
                <w:szCs w:val="21"/>
                <w:highlight w:val="none"/>
              </w:rPr>
            </w:pPr>
            <w:r>
              <w:rPr>
                <w:rFonts w:cs="宋体"/>
                <w:b/>
                <w:bCs/>
                <w:color w:val="auto"/>
                <w:szCs w:val="21"/>
                <w:highlight w:val="none"/>
              </w:rPr>
              <w:t>3</w:t>
            </w:r>
            <w:r>
              <w:rPr>
                <w:rFonts w:hint="eastAsia" w:cs="宋体"/>
                <w:b/>
                <w:bCs/>
                <w:color w:val="auto"/>
                <w:szCs w:val="21"/>
                <w:highlight w:val="none"/>
              </w:rPr>
              <w:t>.技术指标的响应程度的评审参考投标人提供的技术偏离表，具体以投标人提供的技术指标的证明材料响应程度为准。</w:t>
            </w:r>
          </w:p>
        </w:tc>
      </w:tr>
      <w:tr w14:paraId="24907FE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17" w:hRule="atLeast"/>
          <w:jc w:val="center"/>
        </w:trPr>
        <w:tc>
          <w:tcPr>
            <w:tcW w:w="817" w:type="dxa"/>
            <w:vMerge w:val="continue"/>
            <w:tcBorders>
              <w:tl2br w:val="nil"/>
              <w:tr2bl w:val="nil"/>
            </w:tcBorders>
            <w:noWrap/>
            <w:vAlign w:val="center"/>
          </w:tcPr>
          <w:p w14:paraId="0BF5D439">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60D84D6D">
            <w:pPr>
              <w:jc w:val="center"/>
              <w:rPr>
                <w:rFonts w:hint="eastAsia" w:cs="宋体"/>
                <w:b/>
                <w:bCs/>
                <w:color w:val="auto"/>
                <w:szCs w:val="21"/>
                <w:highlight w:val="none"/>
              </w:rPr>
            </w:pPr>
          </w:p>
        </w:tc>
        <w:tc>
          <w:tcPr>
            <w:tcW w:w="1559" w:type="dxa"/>
            <w:tcBorders>
              <w:tl2br w:val="nil"/>
              <w:tr2bl w:val="nil"/>
            </w:tcBorders>
            <w:noWrap/>
            <w:vAlign w:val="center"/>
          </w:tcPr>
          <w:p w14:paraId="517DF3E7">
            <w:pPr>
              <w:jc w:val="center"/>
              <w:rPr>
                <w:rFonts w:hint="eastAsia" w:cs="宋体"/>
                <w:b/>
                <w:bCs/>
                <w:color w:val="auto"/>
                <w:szCs w:val="21"/>
                <w:highlight w:val="none"/>
              </w:rPr>
            </w:pPr>
            <w:r>
              <w:rPr>
                <w:rFonts w:hint="eastAsia" w:cs="宋体"/>
                <w:b/>
                <w:bCs/>
                <w:color w:val="auto"/>
                <w:szCs w:val="21"/>
                <w:highlight w:val="none"/>
              </w:rPr>
              <w:t>样品评审</w:t>
            </w:r>
          </w:p>
          <w:p w14:paraId="0680B410">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9</w:t>
            </w:r>
            <w:r>
              <w:rPr>
                <w:rFonts w:hint="eastAsia" w:cs="宋体"/>
                <w:b/>
                <w:bCs/>
                <w:color w:val="auto"/>
                <w:szCs w:val="21"/>
                <w:highlight w:val="none"/>
              </w:rPr>
              <w:t>分）</w:t>
            </w:r>
          </w:p>
        </w:tc>
        <w:tc>
          <w:tcPr>
            <w:tcW w:w="6877" w:type="dxa"/>
            <w:tcBorders>
              <w:tl2br w:val="nil"/>
              <w:tr2bl w:val="nil"/>
            </w:tcBorders>
            <w:noWrap/>
            <w:vAlign w:val="center"/>
          </w:tcPr>
          <w:p w14:paraId="48ECCE09">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对投标人提供的样品便携式消防水泵1台及水泵附件（水泵专用油箱1套（含油管）、专用吸水管1套、底阀1个、直流喷枪1支、水雾喷枪1支、止水钳1把、接头扳手1把、三通1个、单向阀1个、转换接头1个、内牙1个、引水泵1套、附件背包1个），水带1卷进行审。</w:t>
            </w:r>
          </w:p>
          <w:p w14:paraId="1284001C">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1、便携式消防水泵样品（满分6分）</w:t>
            </w:r>
          </w:p>
          <w:p w14:paraId="5A83F4A9">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（1）</w:t>
            </w:r>
            <w:r>
              <w:rPr>
                <w:rFonts w:hint="eastAsia" w:cs="宋体"/>
                <w:b w:val="0"/>
                <w:bCs w:val="0"/>
                <w:color w:val="auto"/>
                <w:szCs w:val="21"/>
                <w:highlight w:val="none"/>
                <w:lang w:val="en-US" w:eastAsia="zh-CN"/>
              </w:rPr>
              <w:t>样品外观触摸均平滑、无粗糙或凸起位置的得1.5分；</w:t>
            </w:r>
          </w:p>
          <w:p w14:paraId="7B1CB60C">
            <w:pPr>
              <w:adjustRightInd w:val="0"/>
              <w:snapToGrid w:val="0"/>
              <w:rPr>
                <w:rFonts w:hint="default" w:cs="宋体"/>
                <w:b w:val="0"/>
                <w:bCs w:val="0"/>
                <w:color w:val="auto"/>
                <w:szCs w:val="21"/>
                <w:highlight w:val="none"/>
                <w:lang w:val="en-US" w:eastAsia="zh-CN"/>
              </w:rPr>
            </w:pPr>
            <w:r>
              <w:rPr>
                <w:rFonts w:hint="eastAsia" w:cs="宋体"/>
                <w:b/>
                <w:bCs/>
                <w:color w:val="auto"/>
                <w:szCs w:val="21"/>
                <w:highlight w:val="none"/>
                <w:lang w:val="en-US" w:eastAsia="zh-CN"/>
              </w:rPr>
              <w:t>（2）</w:t>
            </w:r>
            <w:r>
              <w:rPr>
                <w:rFonts w:hint="eastAsia" w:cs="宋体"/>
                <w:b w:val="0"/>
                <w:bCs w:val="0"/>
                <w:color w:val="auto"/>
                <w:szCs w:val="21"/>
                <w:highlight w:val="none"/>
                <w:lang w:val="en-US" w:eastAsia="zh-CN"/>
              </w:rPr>
              <w:t>样品无掉漆或破损的得1.5分。</w:t>
            </w:r>
          </w:p>
          <w:p w14:paraId="48F16D46">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（3）</w:t>
            </w:r>
            <w:r>
              <w:rPr>
                <w:rFonts w:hint="eastAsia" w:cs="宋体"/>
                <w:b w:val="0"/>
                <w:bCs w:val="0"/>
                <w:color w:val="auto"/>
                <w:szCs w:val="21"/>
                <w:highlight w:val="none"/>
                <w:lang w:val="en-US" w:eastAsia="zh-CN"/>
              </w:rPr>
              <w:t>样品各部件焊接及装配牢固的得1.5分；</w:t>
            </w:r>
          </w:p>
          <w:p w14:paraId="1C7FFE78">
            <w:pPr>
              <w:adjustRightInd w:val="0"/>
              <w:snapToGrid w:val="0"/>
              <w:rPr>
                <w:rFonts w:hint="eastAsia" w:cs="宋体"/>
                <w:b w:val="0"/>
                <w:bCs w:val="0"/>
                <w:color w:val="auto"/>
                <w:szCs w:val="21"/>
                <w:highlight w:val="none"/>
                <w:lang w:val="en-US" w:eastAsia="zh-CN"/>
              </w:rPr>
            </w:pPr>
            <w:r>
              <w:rPr>
                <w:rFonts w:hint="eastAsia" w:cs="宋体"/>
                <w:b/>
                <w:bCs/>
                <w:color w:val="auto"/>
                <w:szCs w:val="21"/>
                <w:highlight w:val="none"/>
                <w:lang w:val="en-US" w:eastAsia="zh-CN"/>
              </w:rPr>
              <w:t>（4）</w:t>
            </w:r>
            <w:r>
              <w:rPr>
                <w:rFonts w:hint="eastAsia" w:cs="宋体"/>
                <w:b w:val="0"/>
                <w:bCs w:val="0"/>
                <w:color w:val="auto"/>
                <w:szCs w:val="21"/>
                <w:highlight w:val="none"/>
                <w:lang w:val="en-US" w:eastAsia="zh-CN"/>
              </w:rPr>
              <w:t>样品无刺鼻异味的得1.5分。</w:t>
            </w:r>
          </w:p>
          <w:p w14:paraId="75619B7F">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注：未提供投标样品或所提供样品附件不齐全的不得分。</w:t>
            </w:r>
          </w:p>
          <w:p w14:paraId="6ECD473C">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2、水带样品（满分3分）</w:t>
            </w:r>
          </w:p>
          <w:p w14:paraId="710EE5CD">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（1）</w:t>
            </w:r>
            <w:r>
              <w:rPr>
                <w:rFonts w:hint="eastAsia" w:cs="宋体"/>
                <w:b w:val="0"/>
                <w:bCs w:val="0"/>
                <w:color w:val="auto"/>
                <w:szCs w:val="21"/>
                <w:highlight w:val="none"/>
                <w:lang w:val="en-US" w:eastAsia="zh-CN"/>
              </w:rPr>
              <w:t>样品外观光滑清洁、无粗糙或凸起位置的得1分；</w:t>
            </w:r>
          </w:p>
          <w:p w14:paraId="79C7BA2B">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（2）</w:t>
            </w:r>
            <w:r>
              <w:rPr>
                <w:rFonts w:hint="eastAsia" w:cs="宋体"/>
                <w:b w:val="0"/>
                <w:bCs w:val="0"/>
                <w:color w:val="auto"/>
                <w:szCs w:val="21"/>
                <w:highlight w:val="none"/>
                <w:lang w:val="en-US" w:eastAsia="zh-CN"/>
              </w:rPr>
              <w:t>样品</w:t>
            </w:r>
            <w:r>
              <w:rPr>
                <w:rFonts w:hint="eastAsia" w:ascii="宋体" w:hAnsi="宋体"/>
                <w:b w:val="0"/>
                <w:bCs w:val="0"/>
                <w:szCs w:val="21"/>
                <w:highlight w:val="none"/>
              </w:rPr>
              <w:t>缝制线路顺直，缝合牢固，无开线、断线</w:t>
            </w:r>
            <w:r>
              <w:rPr>
                <w:rFonts w:hint="eastAsia" w:cs="宋体"/>
                <w:b w:val="0"/>
                <w:bCs w:val="0"/>
                <w:color w:val="auto"/>
                <w:szCs w:val="21"/>
                <w:highlight w:val="none"/>
                <w:lang w:val="en-US" w:eastAsia="zh-CN"/>
              </w:rPr>
              <w:t>的得1分；</w:t>
            </w:r>
          </w:p>
          <w:p w14:paraId="63FF64F4">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（3）</w:t>
            </w:r>
            <w:r>
              <w:rPr>
                <w:rFonts w:hint="eastAsia" w:cs="宋体"/>
                <w:b w:val="0"/>
                <w:bCs w:val="0"/>
                <w:color w:val="auto"/>
                <w:szCs w:val="21"/>
                <w:highlight w:val="none"/>
                <w:lang w:val="en-US" w:eastAsia="zh-CN"/>
              </w:rPr>
              <w:t>样品柔软轻便易卷缠的得1分。</w:t>
            </w:r>
          </w:p>
          <w:p w14:paraId="1E7BE51F">
            <w:pPr>
              <w:adjustRightInd w:val="0"/>
              <w:snapToGrid w:val="0"/>
              <w:rPr>
                <w:rFonts w:hint="eastAsia" w:cs="宋体"/>
                <w:b w:val="0"/>
                <w:bCs w:val="0"/>
                <w:color w:val="auto"/>
                <w:szCs w:val="21"/>
                <w:highlight w:val="none"/>
                <w:lang w:val="en-US" w:eastAsia="zh-CN"/>
              </w:rPr>
            </w:pPr>
            <w:r>
              <w:rPr>
                <w:rFonts w:hint="eastAsia" w:cs="宋体"/>
                <w:b/>
                <w:bCs/>
                <w:color w:val="auto"/>
                <w:szCs w:val="21"/>
                <w:highlight w:val="none"/>
                <w:lang w:val="en-US" w:eastAsia="zh-CN"/>
              </w:rPr>
              <w:t>注：未提供投标样品的不得分。</w:t>
            </w:r>
          </w:p>
        </w:tc>
      </w:tr>
      <w:tr w14:paraId="221EE80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27" w:hRule="atLeast"/>
          <w:jc w:val="center"/>
        </w:trPr>
        <w:tc>
          <w:tcPr>
            <w:tcW w:w="817" w:type="dxa"/>
            <w:vMerge w:val="continue"/>
            <w:tcBorders>
              <w:tl2br w:val="nil"/>
              <w:tr2bl w:val="nil"/>
            </w:tcBorders>
            <w:noWrap/>
            <w:vAlign w:val="center"/>
          </w:tcPr>
          <w:p w14:paraId="21C64A49">
            <w:pPr>
              <w:jc w:val="left"/>
              <w:rPr>
                <w:rFonts w:hint="eastAsia" w:cs="宋体"/>
                <w:b/>
                <w:bCs/>
                <w:color w:val="auto"/>
                <w:szCs w:val="21"/>
                <w:highlight w:val="none"/>
              </w:rPr>
            </w:pPr>
          </w:p>
        </w:tc>
        <w:tc>
          <w:tcPr>
            <w:tcW w:w="709" w:type="dxa"/>
            <w:vMerge w:val="continue"/>
            <w:tcBorders>
              <w:tl2br w:val="nil"/>
              <w:tr2bl w:val="nil"/>
            </w:tcBorders>
            <w:noWrap/>
            <w:vAlign w:val="center"/>
          </w:tcPr>
          <w:p w14:paraId="7520741D">
            <w:pPr>
              <w:jc w:val="left"/>
              <w:rPr>
                <w:rFonts w:hint="eastAsia" w:cs="宋体"/>
                <w:b/>
                <w:bCs/>
                <w:color w:val="auto"/>
                <w:szCs w:val="21"/>
                <w:highlight w:val="none"/>
              </w:rPr>
            </w:pPr>
          </w:p>
        </w:tc>
        <w:tc>
          <w:tcPr>
            <w:tcW w:w="8436" w:type="dxa"/>
            <w:gridSpan w:val="2"/>
            <w:tcBorders>
              <w:tl2br w:val="nil"/>
              <w:tr2bl w:val="nil"/>
            </w:tcBorders>
            <w:noWrap/>
            <w:vAlign w:val="center"/>
          </w:tcPr>
          <w:p w14:paraId="71189AE7">
            <w:pPr>
              <w:jc w:val="left"/>
              <w:rPr>
                <w:rFonts w:hint="eastAsia" w:cs="宋体"/>
                <w:b/>
                <w:bCs/>
                <w:color w:val="auto"/>
                <w:szCs w:val="21"/>
                <w:highlight w:val="none"/>
              </w:rPr>
            </w:pPr>
            <w:r>
              <w:rPr>
                <w:rFonts w:hint="eastAsia" w:cs="宋体"/>
                <w:b/>
                <w:color w:val="auto"/>
                <w:szCs w:val="21"/>
                <w:highlight w:val="none"/>
              </w:rPr>
              <w:t>备注：根据进入详细评审的投标人的投标文件，对评分因素的响应情况进行打分。</w:t>
            </w:r>
          </w:p>
        </w:tc>
      </w:tr>
      <w:tr w14:paraId="312CF12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439" w:hRule="atLeast"/>
          <w:jc w:val="center"/>
        </w:trPr>
        <w:tc>
          <w:tcPr>
            <w:tcW w:w="817" w:type="dxa"/>
            <w:vMerge w:val="restart"/>
            <w:tcBorders>
              <w:tl2br w:val="nil"/>
              <w:tr2bl w:val="nil"/>
            </w:tcBorders>
            <w:noWrap/>
            <w:vAlign w:val="center"/>
          </w:tcPr>
          <w:p w14:paraId="14B1F37C">
            <w:pPr>
              <w:jc w:val="center"/>
              <w:rPr>
                <w:rFonts w:hint="eastAsia" w:cs="宋体"/>
                <w:b/>
                <w:bCs/>
                <w:color w:val="auto"/>
                <w:kern w:val="0"/>
                <w:szCs w:val="21"/>
                <w:highlight w:val="none"/>
              </w:rPr>
            </w:pPr>
            <w:r>
              <w:rPr>
                <w:rFonts w:hint="eastAsia" w:cs="宋体"/>
                <w:b/>
                <w:bCs/>
                <w:color w:val="auto"/>
                <w:szCs w:val="21"/>
                <w:highlight w:val="none"/>
              </w:rPr>
              <w:t>3.2.2（3）</w:t>
            </w:r>
          </w:p>
        </w:tc>
        <w:tc>
          <w:tcPr>
            <w:tcW w:w="709" w:type="dxa"/>
            <w:vMerge w:val="restart"/>
            <w:tcBorders>
              <w:tl2br w:val="nil"/>
              <w:tr2bl w:val="nil"/>
            </w:tcBorders>
            <w:noWrap/>
            <w:vAlign w:val="center"/>
          </w:tcPr>
          <w:p w14:paraId="30C18492">
            <w:pPr>
              <w:jc w:val="center"/>
              <w:rPr>
                <w:rFonts w:hint="eastAsia" w:cs="宋体"/>
                <w:b/>
                <w:bCs/>
                <w:color w:val="auto"/>
                <w:szCs w:val="21"/>
                <w:highlight w:val="none"/>
              </w:rPr>
            </w:pPr>
            <w:r>
              <w:rPr>
                <w:rFonts w:hint="eastAsia" w:cs="宋体"/>
                <w:b/>
                <w:bCs/>
                <w:color w:val="auto"/>
                <w:szCs w:val="21"/>
                <w:highlight w:val="none"/>
              </w:rPr>
              <w:t>商务部分F3</w:t>
            </w:r>
          </w:p>
          <w:p w14:paraId="5BB7E5A1">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1D6CA824">
            <w:pPr>
              <w:spacing w:line="312" w:lineRule="auto"/>
              <w:jc w:val="center"/>
              <w:rPr>
                <w:rFonts w:cs="宋体"/>
                <w:b/>
                <w:bCs/>
                <w:color w:val="auto"/>
                <w:szCs w:val="21"/>
                <w:highlight w:val="none"/>
              </w:rPr>
            </w:pPr>
            <w:r>
              <w:rPr>
                <w:rFonts w:hint="eastAsia" w:cs="宋体"/>
                <w:b/>
                <w:bCs/>
                <w:color w:val="auto"/>
                <w:szCs w:val="21"/>
                <w:highlight w:val="none"/>
              </w:rPr>
              <w:t>服务质量承诺及保障措施</w:t>
            </w:r>
          </w:p>
          <w:p w14:paraId="78320C22">
            <w:pPr>
              <w:jc w:val="center"/>
              <w:rPr>
                <w:rFonts w:hint="eastAsia" w:cs="宋体"/>
                <w:color w:val="auto"/>
                <w:szCs w:val="21"/>
                <w:highlight w:val="none"/>
              </w:rPr>
            </w:pPr>
            <w:r>
              <w:rPr>
                <w:rFonts w:hint="eastAsia"/>
                <w:b/>
                <w:bCs/>
                <w:color w:val="auto"/>
                <w:highlight w:val="none"/>
              </w:rPr>
              <w:t>（满分</w:t>
            </w:r>
            <w:r>
              <w:rPr>
                <w:rFonts w:hint="eastAsia"/>
                <w:b/>
                <w:bCs/>
                <w:color w:val="auto"/>
                <w:highlight w:val="none"/>
                <w:lang w:val="en-US" w:eastAsia="zh-CN"/>
              </w:rPr>
              <w:t>5</w:t>
            </w:r>
            <w:r>
              <w:rPr>
                <w:rFonts w:hint="eastAsia"/>
                <w:b/>
                <w:bCs/>
                <w:color w:val="auto"/>
                <w:highlight w:val="none"/>
              </w:rPr>
              <w:t>分）</w:t>
            </w:r>
          </w:p>
        </w:tc>
        <w:tc>
          <w:tcPr>
            <w:tcW w:w="6877" w:type="dxa"/>
            <w:tcBorders>
              <w:tl2br w:val="nil"/>
              <w:tr2bl w:val="nil"/>
            </w:tcBorders>
            <w:noWrap/>
            <w:vAlign w:val="center"/>
          </w:tcPr>
          <w:p w14:paraId="42142D7A">
            <w:pPr>
              <w:rPr>
                <w:rFonts w:cs="宋体"/>
                <w:b/>
                <w:bCs/>
                <w:color w:val="auto"/>
                <w:szCs w:val="21"/>
                <w:highlight w:val="none"/>
              </w:rPr>
            </w:pPr>
            <w:r>
              <w:rPr>
                <w:rFonts w:hint="eastAsia" w:cs="宋体"/>
                <w:b w:val="0"/>
                <w:bCs w:val="0"/>
                <w:color w:val="auto"/>
                <w:szCs w:val="21"/>
                <w:highlight w:val="none"/>
              </w:rPr>
              <w:t>1、投标人</w:t>
            </w:r>
            <w:r>
              <w:rPr>
                <w:rFonts w:hint="eastAsia"/>
                <w:b w:val="0"/>
                <w:bCs w:val="0"/>
                <w:color w:val="auto"/>
                <w:szCs w:val="21"/>
                <w:highlight w:val="none"/>
              </w:rPr>
              <w:t>针对本项目的</w:t>
            </w:r>
            <w:r>
              <w:rPr>
                <w:rFonts w:hint="eastAsia"/>
                <w:b w:val="0"/>
                <w:bCs w:val="0"/>
                <w:color w:val="auto"/>
                <w:szCs w:val="22"/>
                <w:highlight w:val="none"/>
              </w:rPr>
              <w:t>实际需求</w:t>
            </w:r>
            <w:r>
              <w:rPr>
                <w:rFonts w:hint="eastAsia" w:cs="宋体"/>
                <w:b w:val="0"/>
                <w:bCs w:val="0"/>
                <w:color w:val="auto"/>
                <w:szCs w:val="21"/>
                <w:highlight w:val="none"/>
              </w:rPr>
              <w:t>提供服务质量承诺及保障措施的，</w:t>
            </w:r>
            <w:r>
              <w:rPr>
                <w:rFonts w:hint="eastAsia" w:cs="宋体"/>
                <w:b/>
                <w:bCs/>
                <w:color w:val="auto"/>
                <w:szCs w:val="21"/>
                <w:highlight w:val="none"/>
              </w:rPr>
              <w:t>得</w:t>
            </w:r>
            <w:r>
              <w:rPr>
                <w:rFonts w:hint="eastAsia" w:cs="宋体"/>
                <w:b/>
                <w:bCs/>
                <w:color w:val="auto"/>
                <w:szCs w:val="21"/>
                <w:highlight w:val="none"/>
                <w:lang w:val="en-US" w:eastAsia="zh-CN"/>
              </w:rPr>
              <w:t>3</w:t>
            </w:r>
            <w:r>
              <w:rPr>
                <w:rFonts w:hint="eastAsia" w:cs="宋体"/>
                <w:b/>
                <w:bCs/>
                <w:color w:val="auto"/>
                <w:szCs w:val="21"/>
                <w:highlight w:val="none"/>
              </w:rPr>
              <w:t>分；</w:t>
            </w:r>
          </w:p>
          <w:p w14:paraId="4EDB9171">
            <w:pPr>
              <w:rPr>
                <w:b/>
                <w:bCs/>
                <w:color w:val="auto"/>
                <w:szCs w:val="22"/>
                <w:highlight w:val="none"/>
              </w:rPr>
            </w:pPr>
            <w:r>
              <w:rPr>
                <w:rFonts w:hint="eastAsia" w:cs="宋体"/>
                <w:b w:val="0"/>
                <w:bCs w:val="0"/>
                <w:color w:val="auto"/>
                <w:szCs w:val="21"/>
                <w:highlight w:val="none"/>
              </w:rPr>
              <w:t>2、</w:t>
            </w:r>
            <w:r>
              <w:rPr>
                <w:rFonts w:hint="eastAsia" w:cs="宋体"/>
                <w:color w:val="auto"/>
                <w:szCs w:val="21"/>
                <w:highlight w:val="none"/>
              </w:rPr>
              <w:t>投标人提供的服务质量承诺及保障措施中有细化量化的违约承诺且具备可实施性的，</w:t>
            </w:r>
            <w:r>
              <w:rPr>
                <w:rFonts w:hint="eastAsia" w:cs="宋体"/>
                <w:b/>
                <w:bCs/>
                <w:color w:val="auto"/>
                <w:szCs w:val="21"/>
                <w:highlight w:val="none"/>
              </w:rPr>
              <w:t>得</w:t>
            </w:r>
            <w:r>
              <w:rPr>
                <w:rFonts w:hint="eastAsia" w:cs="宋体"/>
                <w:b/>
                <w:bCs/>
                <w:color w:val="auto"/>
                <w:szCs w:val="21"/>
                <w:highlight w:val="none"/>
                <w:lang w:val="en-US" w:eastAsia="zh-CN"/>
              </w:rPr>
              <w:t>2</w:t>
            </w:r>
            <w:r>
              <w:rPr>
                <w:rFonts w:hint="eastAsia" w:cs="宋体"/>
                <w:b/>
                <w:bCs/>
                <w:color w:val="auto"/>
                <w:szCs w:val="21"/>
                <w:highlight w:val="none"/>
              </w:rPr>
              <w:t>分。</w:t>
            </w:r>
          </w:p>
          <w:p w14:paraId="251012DC">
            <w:pPr>
              <w:rPr>
                <w:rFonts w:hint="eastAsia" w:ascii="宋体" w:hAnsi="宋体" w:eastAsia="宋体" w:cs="宋体"/>
                <w:b w:val="0"/>
                <w:bCs/>
                <w:color w:val="auto"/>
                <w:sz w:val="21"/>
                <w:szCs w:val="21"/>
                <w:highlight w:val="none"/>
              </w:rPr>
            </w:pPr>
            <w:r>
              <w:rPr>
                <w:rFonts w:hint="eastAsia"/>
                <w:b/>
                <w:color w:val="auto"/>
                <w:szCs w:val="21"/>
                <w:highlight w:val="none"/>
              </w:rPr>
              <w:t>注：未提供</w:t>
            </w:r>
            <w:r>
              <w:rPr>
                <w:rFonts w:hint="eastAsia" w:cs="宋体"/>
                <w:b/>
                <w:bCs/>
                <w:color w:val="auto"/>
                <w:szCs w:val="21"/>
                <w:highlight w:val="none"/>
              </w:rPr>
              <w:t>服务质量承诺及保障措施</w:t>
            </w:r>
            <w:r>
              <w:rPr>
                <w:rFonts w:hint="eastAsia"/>
                <w:b/>
                <w:color w:val="auto"/>
                <w:szCs w:val="21"/>
                <w:highlight w:val="none"/>
              </w:rPr>
              <w:t>不得分。</w:t>
            </w:r>
          </w:p>
        </w:tc>
      </w:tr>
      <w:tr w14:paraId="4F56482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081" w:hRule="atLeast"/>
          <w:jc w:val="center"/>
        </w:trPr>
        <w:tc>
          <w:tcPr>
            <w:tcW w:w="817" w:type="dxa"/>
            <w:vMerge w:val="continue"/>
            <w:tcBorders>
              <w:tl2br w:val="nil"/>
              <w:tr2bl w:val="nil"/>
            </w:tcBorders>
            <w:noWrap/>
            <w:vAlign w:val="center"/>
          </w:tcPr>
          <w:p w14:paraId="0D605546">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76648FB6">
            <w:pPr>
              <w:jc w:val="center"/>
              <w:rPr>
                <w:rFonts w:hint="eastAsia" w:cs="宋体"/>
                <w:b/>
                <w:bCs/>
                <w:color w:val="auto"/>
                <w:szCs w:val="21"/>
                <w:highlight w:val="none"/>
              </w:rPr>
            </w:pPr>
          </w:p>
        </w:tc>
        <w:tc>
          <w:tcPr>
            <w:tcW w:w="1559" w:type="dxa"/>
            <w:tcBorders>
              <w:tl2br w:val="nil"/>
              <w:tr2bl w:val="nil"/>
            </w:tcBorders>
            <w:noWrap/>
            <w:vAlign w:val="center"/>
          </w:tcPr>
          <w:p w14:paraId="6C84DDD6">
            <w:pPr>
              <w:jc w:val="center"/>
              <w:rPr>
                <w:rFonts w:hint="eastAsia" w:cs="宋体"/>
                <w:b/>
                <w:bCs/>
                <w:color w:val="auto"/>
                <w:szCs w:val="21"/>
                <w:highlight w:val="none"/>
              </w:rPr>
            </w:pPr>
            <w:r>
              <w:rPr>
                <w:rFonts w:hint="eastAsia" w:cs="宋体"/>
                <w:b/>
                <w:bCs/>
                <w:color w:val="auto"/>
                <w:szCs w:val="21"/>
                <w:highlight w:val="none"/>
                <w:lang w:val="en-US" w:eastAsia="zh-CN"/>
              </w:rPr>
              <w:t>产品配送、调试方案及</w:t>
            </w:r>
            <w:r>
              <w:rPr>
                <w:rFonts w:hint="eastAsia" w:cs="宋体"/>
                <w:b/>
                <w:bCs/>
                <w:color w:val="auto"/>
                <w:szCs w:val="21"/>
                <w:highlight w:val="none"/>
              </w:rPr>
              <w:t>质量保证措施</w:t>
            </w:r>
          </w:p>
          <w:p w14:paraId="0171C73A">
            <w:pPr>
              <w:jc w:val="center"/>
              <w:rPr>
                <w:rFonts w:hint="eastAsia" w:cs="宋体"/>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10</w:t>
            </w:r>
            <w:r>
              <w:rPr>
                <w:rFonts w:hint="eastAsia" w:cs="宋体"/>
                <w:b/>
                <w:bCs/>
                <w:color w:val="auto"/>
                <w:szCs w:val="21"/>
                <w:highlight w:val="none"/>
              </w:rPr>
              <w:t>分）</w:t>
            </w:r>
          </w:p>
        </w:tc>
        <w:tc>
          <w:tcPr>
            <w:tcW w:w="6877" w:type="dxa"/>
            <w:tcBorders>
              <w:tl2br w:val="nil"/>
              <w:tr2bl w:val="nil"/>
            </w:tcBorders>
            <w:noWrap/>
            <w:vAlign w:val="center"/>
          </w:tcPr>
          <w:p w14:paraId="7E57CBD0">
            <w:pPr>
              <w:jc w:val="left"/>
              <w:rPr>
                <w:rFonts w:hint="eastAsia" w:cs="宋体"/>
                <w:b/>
                <w:bCs/>
                <w:color w:val="auto"/>
                <w:szCs w:val="21"/>
                <w:highlight w:val="none"/>
              </w:rPr>
            </w:pPr>
            <w:r>
              <w:rPr>
                <w:rFonts w:hint="eastAsia" w:cs="宋体"/>
                <w:b/>
                <w:bCs/>
                <w:color w:val="auto"/>
                <w:szCs w:val="21"/>
                <w:highlight w:val="none"/>
              </w:rPr>
              <w:t>根据投标人拟投产品的</w:t>
            </w:r>
            <w:r>
              <w:rPr>
                <w:rFonts w:hint="eastAsia" w:cs="宋体"/>
                <w:b/>
                <w:bCs/>
                <w:color w:val="auto"/>
                <w:szCs w:val="21"/>
                <w:highlight w:val="none"/>
                <w:lang w:val="en-US" w:eastAsia="zh-CN"/>
              </w:rPr>
              <w:t>配送</w:t>
            </w:r>
            <w:r>
              <w:rPr>
                <w:rFonts w:hint="eastAsia" w:cs="宋体"/>
                <w:b/>
                <w:bCs/>
                <w:color w:val="auto"/>
                <w:szCs w:val="21"/>
                <w:highlight w:val="none"/>
                <w:lang w:val="en-US"/>
              </w:rPr>
              <w:t>及</w:t>
            </w:r>
            <w:r>
              <w:rPr>
                <w:rFonts w:hint="eastAsia" w:cs="宋体"/>
                <w:b/>
                <w:bCs/>
                <w:color w:val="auto"/>
                <w:szCs w:val="21"/>
                <w:highlight w:val="none"/>
              </w:rPr>
              <w:t>调试</w:t>
            </w:r>
            <w:r>
              <w:rPr>
                <w:rFonts w:hint="eastAsia" w:cs="宋体"/>
                <w:b/>
                <w:bCs/>
                <w:color w:val="auto"/>
                <w:szCs w:val="21"/>
                <w:highlight w:val="none"/>
                <w:lang w:val="en-US" w:eastAsia="zh-CN"/>
              </w:rPr>
              <w:t>方案</w:t>
            </w:r>
            <w:r>
              <w:rPr>
                <w:rFonts w:hint="eastAsia" w:cs="宋体"/>
                <w:b/>
                <w:bCs/>
                <w:color w:val="auto"/>
                <w:szCs w:val="21"/>
                <w:highlight w:val="none"/>
              </w:rPr>
              <w:t>、质量保证承诺及质量保障措施进行评审，评审规则如下：</w:t>
            </w:r>
          </w:p>
          <w:p w14:paraId="70E45548">
            <w:pPr>
              <w:jc w:val="left"/>
              <w:rPr>
                <w:rFonts w:hint="eastAsia" w:cs="宋体"/>
                <w:b/>
                <w:bCs/>
                <w:color w:val="auto"/>
                <w:szCs w:val="21"/>
                <w:highlight w:val="none"/>
              </w:rPr>
            </w:pPr>
            <w:r>
              <w:rPr>
                <w:rFonts w:hint="eastAsia" w:cs="宋体"/>
                <w:b/>
                <w:bCs/>
                <w:color w:val="auto"/>
                <w:szCs w:val="21"/>
                <w:highlight w:val="none"/>
              </w:rPr>
              <w:t>1、产品</w:t>
            </w:r>
            <w:r>
              <w:rPr>
                <w:rFonts w:hint="eastAsia" w:cs="宋体"/>
                <w:b/>
                <w:bCs/>
                <w:color w:val="auto"/>
                <w:szCs w:val="21"/>
                <w:highlight w:val="none"/>
                <w:lang w:val="en-US" w:eastAsia="zh-CN"/>
              </w:rPr>
              <w:t>配送</w:t>
            </w:r>
            <w:r>
              <w:rPr>
                <w:rFonts w:hint="eastAsia" w:cs="宋体"/>
                <w:b/>
                <w:bCs/>
                <w:color w:val="auto"/>
                <w:szCs w:val="21"/>
                <w:highlight w:val="none"/>
                <w:lang w:val="en-US"/>
              </w:rPr>
              <w:t>及</w:t>
            </w:r>
            <w:r>
              <w:rPr>
                <w:rFonts w:hint="eastAsia" w:cs="宋体"/>
                <w:b/>
                <w:bCs/>
                <w:color w:val="auto"/>
                <w:szCs w:val="21"/>
                <w:highlight w:val="none"/>
              </w:rPr>
              <w:t>调试</w:t>
            </w:r>
            <w:r>
              <w:rPr>
                <w:rFonts w:hint="eastAsia" w:cs="宋体"/>
                <w:b/>
                <w:bCs/>
                <w:color w:val="auto"/>
                <w:szCs w:val="21"/>
                <w:highlight w:val="none"/>
                <w:lang w:val="en-US" w:eastAsia="zh-CN"/>
              </w:rPr>
              <w:t>方案</w:t>
            </w:r>
            <w:r>
              <w:rPr>
                <w:rFonts w:hint="eastAsia" w:cs="宋体"/>
                <w:b/>
                <w:bCs/>
                <w:color w:val="auto"/>
                <w:szCs w:val="21"/>
                <w:highlight w:val="none"/>
              </w:rPr>
              <w:t>（</w:t>
            </w:r>
            <w:r>
              <w:rPr>
                <w:rFonts w:hint="eastAsia" w:cs="宋体"/>
                <w:b/>
                <w:bCs/>
                <w:color w:val="auto"/>
                <w:szCs w:val="21"/>
                <w:highlight w:val="none"/>
                <w:lang w:val="en-US" w:eastAsia="zh-CN"/>
              </w:rPr>
              <w:t>满分5</w:t>
            </w:r>
            <w:r>
              <w:rPr>
                <w:rFonts w:hint="eastAsia" w:cs="宋体"/>
                <w:b/>
                <w:bCs/>
                <w:color w:val="auto"/>
                <w:szCs w:val="21"/>
                <w:highlight w:val="none"/>
              </w:rPr>
              <w:t>分）</w:t>
            </w:r>
          </w:p>
          <w:p w14:paraId="365F23A1">
            <w:pPr>
              <w:jc w:val="left"/>
              <w:rPr>
                <w:rFonts w:hint="eastAsia" w:cs="宋体"/>
                <w:b/>
                <w:bCs/>
                <w:color w:val="auto"/>
                <w:szCs w:val="21"/>
                <w:highlight w:val="none"/>
              </w:rPr>
            </w:pPr>
            <w:r>
              <w:rPr>
                <w:rFonts w:hint="eastAsia"/>
                <w:b w:val="0"/>
                <w:bCs w:val="0"/>
                <w:color w:val="auto"/>
                <w:szCs w:val="21"/>
                <w:highlight w:val="none"/>
              </w:rPr>
              <w:t>投标人</w:t>
            </w:r>
            <w:r>
              <w:rPr>
                <w:rFonts w:hint="eastAsia"/>
                <w:b w:val="0"/>
                <w:bCs w:val="0"/>
                <w:color w:val="auto"/>
                <w:szCs w:val="21"/>
                <w:highlight w:val="none"/>
                <w:lang w:val="en-US" w:eastAsia="zh-CN"/>
              </w:rPr>
              <w:t>提供的产品供货及调试方案</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①对产品的配送、调试等各环节有相应措施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②</w:t>
            </w:r>
            <w:r>
              <w:rPr>
                <w:rFonts w:hint="eastAsia"/>
                <w:b/>
                <w:bCs/>
                <w:color w:val="auto"/>
                <w:szCs w:val="21"/>
                <w:highlight w:val="none"/>
                <w:lang w:val="en-US" w:eastAsia="zh-CN"/>
              </w:rPr>
              <w:t>违约处罚承诺</w:t>
            </w:r>
            <w:r>
              <w:rPr>
                <w:rFonts w:hint="eastAsia"/>
                <w:b w:val="0"/>
                <w:bCs w:val="0"/>
                <w:color w:val="auto"/>
                <w:szCs w:val="21"/>
                <w:highlight w:val="none"/>
                <w:lang w:val="en-US" w:eastAsia="zh-CN"/>
              </w:rPr>
              <w:t>”2项内容。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5分，每缺一项扣2.5分，每有一项内容不完善或不合理的扣1.5分</w:t>
            </w:r>
            <w:r>
              <w:rPr>
                <w:rFonts w:hint="eastAsia" w:cs="宋体"/>
                <w:b/>
                <w:bCs/>
                <w:color w:val="auto"/>
                <w:szCs w:val="21"/>
                <w:highlight w:val="none"/>
              </w:rPr>
              <w:t>。</w:t>
            </w:r>
          </w:p>
          <w:p w14:paraId="0B347B42">
            <w:pPr>
              <w:spacing w:line="360" w:lineRule="auto"/>
              <w:rPr>
                <w:rFonts w:hint="eastAsia" w:ascii="宋体" w:hAnsi="宋体" w:cs="宋体"/>
                <w:b/>
                <w:color w:val="auto"/>
                <w:szCs w:val="21"/>
                <w:highlight w:val="none"/>
              </w:rPr>
            </w:pPr>
            <w:r>
              <w:rPr>
                <w:b/>
                <w:bCs/>
                <w:color w:val="auto"/>
                <w:szCs w:val="21"/>
                <w:highlight w:val="none"/>
              </w:rPr>
              <w:t>2、</w:t>
            </w:r>
            <w:r>
              <w:rPr>
                <w:rFonts w:hint="eastAsia" w:ascii="宋体" w:hAnsi="宋体"/>
                <w:b/>
                <w:bCs/>
                <w:color w:val="auto"/>
                <w:szCs w:val="21"/>
                <w:highlight w:val="none"/>
                <w:lang w:val="en-US" w:eastAsia="zh-CN"/>
              </w:rPr>
              <w:t>产品</w:t>
            </w:r>
            <w:r>
              <w:rPr>
                <w:rFonts w:hint="eastAsia" w:ascii="宋体" w:hAnsi="宋体" w:cs="宋体"/>
                <w:b/>
                <w:color w:val="auto"/>
                <w:szCs w:val="21"/>
                <w:highlight w:val="none"/>
              </w:rPr>
              <w:t>质量保证承诺及质量保障措施（满分</w:t>
            </w:r>
            <w:r>
              <w:rPr>
                <w:rFonts w:hint="eastAsia" w:cs="宋体"/>
                <w:b/>
                <w:color w:val="auto"/>
                <w:szCs w:val="21"/>
                <w:highlight w:val="none"/>
                <w:lang w:val="en-US" w:eastAsia="zh-CN"/>
              </w:rPr>
              <w:t>5</w:t>
            </w:r>
            <w:r>
              <w:rPr>
                <w:rFonts w:hint="eastAsia" w:ascii="宋体" w:hAnsi="宋体" w:cs="宋体"/>
                <w:b/>
                <w:color w:val="auto"/>
                <w:szCs w:val="21"/>
                <w:highlight w:val="none"/>
              </w:rPr>
              <w:t>分）</w:t>
            </w:r>
          </w:p>
          <w:p w14:paraId="0E3AF1E1">
            <w:pPr>
              <w:spacing w:line="360" w:lineRule="auto"/>
              <w:rPr>
                <w:rFonts w:hint="eastAsia"/>
                <w:color w:val="auto"/>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提供的产品质量保证承诺及质量保障措施</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w:t>
            </w:r>
            <w:r>
              <w:rPr>
                <w:rFonts w:hint="eastAsia" w:ascii="宋体" w:hAnsi="宋体"/>
                <w:b/>
                <w:bCs/>
                <w:color w:val="auto"/>
                <w:szCs w:val="21"/>
                <w:highlight w:val="none"/>
                <w:lang w:val="en-US" w:eastAsia="zh-CN"/>
              </w:rPr>
              <w:t>产品</w:t>
            </w:r>
            <w:r>
              <w:rPr>
                <w:rFonts w:hint="eastAsia"/>
                <w:b/>
                <w:bCs/>
                <w:color w:val="auto"/>
                <w:szCs w:val="21"/>
                <w:highlight w:val="none"/>
                <w:lang w:val="en-US" w:eastAsia="zh-CN"/>
              </w:rPr>
              <w:t>质量保证承诺及保障措施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②</w:t>
            </w:r>
            <w:r>
              <w:rPr>
                <w:rFonts w:hint="eastAsia"/>
                <w:b/>
                <w:bCs/>
                <w:color w:val="auto"/>
                <w:szCs w:val="21"/>
                <w:highlight w:val="none"/>
                <w:lang w:val="en-US" w:eastAsia="zh-CN"/>
              </w:rPr>
              <w:t>违约处罚承诺</w:t>
            </w:r>
            <w:r>
              <w:rPr>
                <w:rFonts w:hint="eastAsia"/>
                <w:b w:val="0"/>
                <w:bCs w:val="0"/>
                <w:color w:val="auto"/>
                <w:szCs w:val="21"/>
                <w:highlight w:val="none"/>
                <w:lang w:val="en-US" w:eastAsia="zh-CN"/>
              </w:rPr>
              <w:t>”2项内容。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5分，每缺一项扣2.5分，每有一项内容不完善或不合理的扣1.5分。</w:t>
            </w:r>
          </w:p>
          <w:p w14:paraId="1FD01448">
            <w:pPr>
              <w:jc w:val="left"/>
              <w:rPr>
                <w:rFonts w:hint="eastAsia"/>
                <w:color w:val="auto"/>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51EF4B0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7" w:hRule="atLeast"/>
          <w:jc w:val="center"/>
        </w:trPr>
        <w:tc>
          <w:tcPr>
            <w:tcW w:w="817" w:type="dxa"/>
            <w:vMerge w:val="continue"/>
            <w:tcBorders>
              <w:tl2br w:val="nil"/>
              <w:tr2bl w:val="nil"/>
            </w:tcBorders>
            <w:noWrap/>
            <w:vAlign w:val="center"/>
          </w:tcPr>
          <w:p w14:paraId="32B2D53C">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1ECC20B7">
            <w:pPr>
              <w:jc w:val="center"/>
              <w:rPr>
                <w:rFonts w:hint="eastAsia" w:cs="宋体"/>
                <w:b/>
                <w:bCs/>
                <w:color w:val="auto"/>
                <w:szCs w:val="21"/>
                <w:highlight w:val="none"/>
              </w:rPr>
            </w:pPr>
          </w:p>
        </w:tc>
        <w:tc>
          <w:tcPr>
            <w:tcW w:w="1559" w:type="dxa"/>
            <w:tcBorders>
              <w:tl2br w:val="nil"/>
              <w:tr2bl w:val="nil"/>
            </w:tcBorders>
            <w:noWrap/>
            <w:vAlign w:val="center"/>
          </w:tcPr>
          <w:p w14:paraId="507897DD">
            <w:pPr>
              <w:jc w:val="center"/>
              <w:rPr>
                <w:rFonts w:hint="eastAsia" w:eastAsia="宋体" w:cs="宋体"/>
                <w:b/>
                <w:bCs/>
                <w:color w:val="auto"/>
                <w:szCs w:val="21"/>
                <w:highlight w:val="none"/>
                <w:lang w:eastAsia="zh-CN"/>
              </w:rPr>
            </w:pPr>
            <w:r>
              <w:rPr>
                <w:rFonts w:hint="eastAsia" w:cs="宋体"/>
                <w:b/>
                <w:bCs/>
                <w:color w:val="auto"/>
                <w:szCs w:val="21"/>
                <w:highlight w:val="none"/>
              </w:rPr>
              <w:t>售后服务承诺及保障措施</w:t>
            </w:r>
          </w:p>
          <w:p w14:paraId="2C12EF91">
            <w:pPr>
              <w:jc w:val="center"/>
              <w:rPr>
                <w:rFonts w:hint="eastAsia" w:cs="宋体"/>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6</w:t>
            </w:r>
            <w:r>
              <w:rPr>
                <w:rFonts w:hint="eastAsia" w:cs="宋体"/>
                <w:b/>
                <w:bCs/>
                <w:color w:val="auto"/>
                <w:szCs w:val="21"/>
                <w:highlight w:val="none"/>
              </w:rPr>
              <w:t>分）</w:t>
            </w:r>
          </w:p>
        </w:tc>
        <w:tc>
          <w:tcPr>
            <w:tcW w:w="6877" w:type="dxa"/>
            <w:tcBorders>
              <w:tl2br w:val="nil"/>
              <w:tr2bl w:val="nil"/>
            </w:tcBorders>
            <w:noWrap/>
            <w:vAlign w:val="center"/>
          </w:tcPr>
          <w:p w14:paraId="45333CDB">
            <w:pPr>
              <w:rPr>
                <w:rFonts w:hint="eastAsia" w:cs="宋体"/>
                <w:b w:val="0"/>
                <w:bCs w:val="0"/>
                <w:color w:val="auto"/>
                <w:szCs w:val="21"/>
                <w:highlight w:val="none"/>
              </w:rPr>
            </w:pPr>
            <w:r>
              <w:rPr>
                <w:rFonts w:hint="eastAsia" w:cs="宋体"/>
                <w:b/>
                <w:bCs/>
                <w:color w:val="auto"/>
                <w:szCs w:val="21"/>
                <w:highlight w:val="none"/>
              </w:rPr>
              <w:t>根据投标人提供的售后服务</w:t>
            </w:r>
            <w:r>
              <w:rPr>
                <w:rFonts w:hint="eastAsia" w:cs="宋体"/>
                <w:b/>
                <w:bCs/>
                <w:color w:val="auto"/>
                <w:szCs w:val="21"/>
                <w:highlight w:val="none"/>
                <w:lang w:val="en-US" w:eastAsia="zh-CN"/>
              </w:rPr>
              <w:t>承诺及保障措施</w:t>
            </w:r>
            <w:r>
              <w:rPr>
                <w:rFonts w:hint="eastAsia" w:cs="宋体"/>
                <w:b/>
                <w:bCs/>
                <w:color w:val="auto"/>
                <w:szCs w:val="21"/>
                <w:highlight w:val="none"/>
              </w:rPr>
              <w:t>内容进行评审及评分。</w:t>
            </w:r>
          </w:p>
          <w:p w14:paraId="1A1D2D61">
            <w:pPr>
              <w:rPr>
                <w:rFonts w:hint="eastAsia" w:eastAsia="宋体" w:cs="宋体"/>
                <w:b w:val="0"/>
                <w:bCs w:val="0"/>
                <w:color w:val="auto"/>
                <w:szCs w:val="21"/>
                <w:highlight w:val="none"/>
                <w:lang w:eastAsia="zh-CN"/>
              </w:rPr>
            </w:pPr>
            <w:r>
              <w:rPr>
                <w:rFonts w:hint="eastAsia" w:cs="宋体"/>
                <w:b w:val="0"/>
                <w:bCs w:val="0"/>
                <w:color w:val="auto"/>
                <w:szCs w:val="21"/>
                <w:highlight w:val="none"/>
              </w:rPr>
              <w:t>投标人提供的售后服务</w:t>
            </w:r>
            <w:r>
              <w:rPr>
                <w:rFonts w:hint="eastAsia" w:cs="宋体"/>
                <w:b w:val="0"/>
                <w:bCs w:val="0"/>
                <w:color w:val="auto"/>
                <w:szCs w:val="21"/>
                <w:highlight w:val="none"/>
                <w:lang w:val="en-US" w:eastAsia="zh-CN"/>
              </w:rPr>
              <w:t>承诺及保障措施</w:t>
            </w:r>
            <w:r>
              <w:rPr>
                <w:rFonts w:hint="eastAsia" w:cs="宋体"/>
                <w:b w:val="0"/>
                <w:bCs w:val="0"/>
                <w:color w:val="auto"/>
                <w:szCs w:val="21"/>
                <w:highlight w:val="none"/>
              </w:rPr>
              <w:t>，至少应包含</w:t>
            </w:r>
            <w:r>
              <w:rPr>
                <w:rFonts w:hint="eastAsia" w:cs="宋体"/>
                <w:b/>
                <w:bCs/>
                <w:color w:val="auto"/>
                <w:szCs w:val="21"/>
                <w:highlight w:val="none"/>
              </w:rPr>
              <w:t>“</w:t>
            </w:r>
            <w:r>
              <w:rPr>
                <w:rFonts w:hint="eastAsia"/>
                <w:b/>
                <w:bCs/>
                <w:color w:val="auto"/>
                <w:szCs w:val="21"/>
                <w:highlight w:val="none"/>
                <w:lang w:val="en-US" w:eastAsia="zh-CN"/>
              </w:rPr>
              <w:t>①售后服务内容、②</w:t>
            </w:r>
            <w:r>
              <w:rPr>
                <w:rFonts w:hint="eastAsia" w:cs="宋体"/>
                <w:b/>
                <w:bCs/>
                <w:color w:val="auto"/>
                <w:szCs w:val="21"/>
                <w:highlight w:val="none"/>
              </w:rPr>
              <w:t>售后服务承诺与保障措施（含响应时间承诺）、</w:t>
            </w:r>
            <w:r>
              <w:rPr>
                <w:rFonts w:hint="eastAsia" w:cs="宋体"/>
                <w:b/>
                <w:bCs/>
                <w:color w:val="auto"/>
                <w:szCs w:val="21"/>
                <w:highlight w:val="none"/>
                <w:lang w:val="en-US" w:eastAsia="zh-CN"/>
              </w:rPr>
              <w:t>③</w:t>
            </w:r>
            <w:r>
              <w:rPr>
                <w:rFonts w:hint="eastAsia" w:cs="宋体"/>
                <w:b/>
                <w:bCs/>
                <w:color w:val="auto"/>
                <w:szCs w:val="21"/>
                <w:highlight w:val="none"/>
              </w:rPr>
              <w:t>售后服务管理”</w:t>
            </w:r>
            <w:r>
              <w:rPr>
                <w:rFonts w:hint="eastAsia" w:cs="宋体"/>
                <w:b/>
                <w:bCs/>
                <w:color w:val="auto"/>
                <w:szCs w:val="21"/>
                <w:highlight w:val="none"/>
                <w:lang w:val="en-US" w:eastAsia="zh-CN"/>
              </w:rPr>
              <w:t>3</w:t>
            </w:r>
            <w:r>
              <w:rPr>
                <w:rFonts w:hint="eastAsia" w:cs="宋体"/>
                <w:b/>
                <w:bCs/>
                <w:color w:val="auto"/>
                <w:szCs w:val="21"/>
                <w:highlight w:val="none"/>
              </w:rPr>
              <w:t>项内容</w:t>
            </w:r>
            <w:r>
              <w:rPr>
                <w:rFonts w:hint="eastAsia" w:cs="宋体"/>
                <w:b w:val="0"/>
                <w:bCs w:val="0"/>
                <w:color w:val="auto"/>
                <w:szCs w:val="21"/>
                <w:highlight w:val="none"/>
              </w:rPr>
              <w:t>。以上内容均有完整描述且合理可行的</w:t>
            </w:r>
            <w:r>
              <w:rPr>
                <w:rFonts w:hint="eastAsia" w:cs="宋体"/>
                <w:b/>
                <w:bCs/>
                <w:color w:val="auto"/>
                <w:szCs w:val="21"/>
                <w:highlight w:val="none"/>
              </w:rPr>
              <w:t>得</w:t>
            </w:r>
            <w:r>
              <w:rPr>
                <w:rFonts w:hint="eastAsia" w:cs="宋体"/>
                <w:b/>
                <w:bCs/>
                <w:color w:val="auto"/>
                <w:szCs w:val="21"/>
                <w:highlight w:val="none"/>
                <w:lang w:val="en-US" w:eastAsia="zh-CN"/>
              </w:rPr>
              <w:t>6</w:t>
            </w:r>
            <w:r>
              <w:rPr>
                <w:rFonts w:hint="eastAsia" w:cs="宋体"/>
                <w:b/>
                <w:bCs/>
                <w:color w:val="auto"/>
                <w:szCs w:val="21"/>
                <w:highlight w:val="none"/>
              </w:rPr>
              <w:t>分</w:t>
            </w:r>
            <w:r>
              <w:rPr>
                <w:rFonts w:hint="eastAsia" w:cs="宋体"/>
                <w:b w:val="0"/>
                <w:bCs w:val="0"/>
                <w:color w:val="auto"/>
                <w:szCs w:val="21"/>
                <w:highlight w:val="none"/>
              </w:rPr>
              <w:t>，每缺一项</w:t>
            </w:r>
            <w:r>
              <w:rPr>
                <w:rFonts w:hint="eastAsia" w:cs="宋体"/>
                <w:b/>
                <w:bCs/>
                <w:color w:val="auto"/>
                <w:szCs w:val="21"/>
                <w:highlight w:val="none"/>
              </w:rPr>
              <w:t>扣</w:t>
            </w:r>
            <w:r>
              <w:rPr>
                <w:rFonts w:hint="eastAsia" w:cs="宋体"/>
                <w:b/>
                <w:bCs/>
                <w:color w:val="auto"/>
                <w:szCs w:val="21"/>
                <w:highlight w:val="none"/>
                <w:lang w:val="en-US" w:eastAsia="zh-CN"/>
              </w:rPr>
              <w:t>2</w:t>
            </w:r>
            <w:r>
              <w:rPr>
                <w:rFonts w:hint="eastAsia" w:cs="宋体"/>
                <w:b/>
                <w:bCs/>
                <w:color w:val="auto"/>
                <w:szCs w:val="21"/>
                <w:highlight w:val="none"/>
              </w:rPr>
              <w:t>分</w:t>
            </w:r>
            <w:r>
              <w:rPr>
                <w:rFonts w:hint="eastAsia" w:cs="宋体"/>
                <w:b w:val="0"/>
                <w:bCs w:val="0"/>
                <w:color w:val="auto"/>
                <w:szCs w:val="21"/>
                <w:highlight w:val="none"/>
              </w:rPr>
              <w:t>，每有一项内容不完善或不合理的</w:t>
            </w:r>
            <w:r>
              <w:rPr>
                <w:rFonts w:hint="eastAsia" w:cs="宋体"/>
                <w:b/>
                <w:bCs/>
                <w:color w:val="auto"/>
                <w:szCs w:val="21"/>
                <w:highlight w:val="none"/>
              </w:rPr>
              <w:t>扣1分</w:t>
            </w:r>
            <w:r>
              <w:rPr>
                <w:rFonts w:hint="eastAsia" w:cs="宋体"/>
                <w:b/>
                <w:bCs/>
                <w:color w:val="auto"/>
                <w:szCs w:val="21"/>
                <w:highlight w:val="none"/>
                <w:lang w:eastAsia="zh-CN"/>
              </w:rPr>
              <w:t>。</w:t>
            </w:r>
          </w:p>
          <w:p w14:paraId="68762327">
            <w:pPr>
              <w:rPr>
                <w:rFonts w:hint="eastAsia" w:ascii="宋体" w:hAnsi="宋体" w:eastAsia="宋体" w:cs="宋体"/>
                <w:b w:val="0"/>
                <w:bCs/>
                <w:color w:val="auto"/>
                <w:sz w:val="21"/>
                <w:szCs w:val="21"/>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17F0B81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7" w:hRule="atLeast"/>
          <w:jc w:val="center"/>
        </w:trPr>
        <w:tc>
          <w:tcPr>
            <w:tcW w:w="817" w:type="dxa"/>
            <w:vMerge w:val="continue"/>
            <w:tcBorders>
              <w:tl2br w:val="nil"/>
              <w:tr2bl w:val="nil"/>
            </w:tcBorders>
            <w:noWrap/>
            <w:vAlign w:val="center"/>
          </w:tcPr>
          <w:p w14:paraId="15E34FA2">
            <w:pPr>
              <w:widowControl/>
              <w:jc w:val="left"/>
              <w:rPr>
                <w:rFonts w:hint="eastAsia" w:cs="宋体"/>
                <w:b/>
                <w:color w:val="auto"/>
                <w:kern w:val="0"/>
                <w:szCs w:val="21"/>
                <w:highlight w:val="none"/>
              </w:rPr>
            </w:pPr>
          </w:p>
        </w:tc>
        <w:tc>
          <w:tcPr>
            <w:tcW w:w="709" w:type="dxa"/>
            <w:vMerge w:val="continue"/>
            <w:tcBorders>
              <w:tl2br w:val="nil"/>
              <w:tr2bl w:val="nil"/>
            </w:tcBorders>
            <w:noWrap/>
            <w:vAlign w:val="center"/>
          </w:tcPr>
          <w:p w14:paraId="6731E931">
            <w:pPr>
              <w:jc w:val="center"/>
              <w:rPr>
                <w:rFonts w:hint="eastAsia" w:cs="宋体"/>
                <w:color w:val="auto"/>
                <w:szCs w:val="21"/>
                <w:highlight w:val="none"/>
              </w:rPr>
            </w:pPr>
          </w:p>
        </w:tc>
        <w:tc>
          <w:tcPr>
            <w:tcW w:w="1559" w:type="dxa"/>
            <w:tcBorders>
              <w:tl2br w:val="nil"/>
              <w:tr2bl w:val="nil"/>
            </w:tcBorders>
            <w:noWrap/>
            <w:vAlign w:val="center"/>
          </w:tcPr>
          <w:p w14:paraId="2D5926E8">
            <w:pPr>
              <w:spacing w:line="276" w:lineRule="auto"/>
              <w:jc w:val="center"/>
              <w:rPr>
                <w:rFonts w:cs="宋体"/>
                <w:b/>
                <w:bCs/>
                <w:color w:val="auto"/>
                <w:szCs w:val="21"/>
                <w:highlight w:val="none"/>
              </w:rPr>
            </w:pPr>
            <w:r>
              <w:rPr>
                <w:rFonts w:hint="eastAsia" w:cs="宋体"/>
                <w:b/>
                <w:bCs/>
                <w:color w:val="auto"/>
                <w:szCs w:val="21"/>
                <w:highlight w:val="none"/>
              </w:rPr>
              <w:t>人员培训方案</w:t>
            </w:r>
          </w:p>
          <w:p w14:paraId="6A11E973">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5</w:t>
            </w:r>
            <w:r>
              <w:rPr>
                <w:rFonts w:hint="eastAsia" w:cs="宋体"/>
                <w:b/>
                <w:bCs/>
                <w:color w:val="auto"/>
                <w:szCs w:val="21"/>
                <w:highlight w:val="none"/>
              </w:rPr>
              <w:t>分）</w:t>
            </w:r>
          </w:p>
        </w:tc>
        <w:tc>
          <w:tcPr>
            <w:tcW w:w="6877" w:type="dxa"/>
            <w:tcBorders>
              <w:tl2br w:val="nil"/>
              <w:tr2bl w:val="nil"/>
            </w:tcBorders>
            <w:noWrap/>
            <w:vAlign w:val="center"/>
          </w:tcPr>
          <w:p w14:paraId="69AA1551">
            <w:pPr>
              <w:rPr>
                <w:rFonts w:hint="eastAsia" w:cs="宋体"/>
                <w:color w:val="auto"/>
                <w:szCs w:val="21"/>
                <w:highlight w:val="none"/>
              </w:rPr>
            </w:pPr>
            <w:r>
              <w:rPr>
                <w:rFonts w:hint="eastAsia" w:ascii="宋体" w:hAnsi="宋体" w:cs="宋体"/>
                <w:b w:val="0"/>
                <w:bCs/>
                <w:color w:val="auto"/>
                <w:szCs w:val="21"/>
                <w:highlight w:val="none"/>
              </w:rPr>
              <w:t>对</w:t>
            </w:r>
            <w:r>
              <w:rPr>
                <w:rFonts w:hint="eastAsia" w:ascii="宋体" w:hAnsi="宋体" w:cs="宋体"/>
                <w:b w:val="0"/>
                <w:bCs/>
                <w:color w:val="auto"/>
                <w:szCs w:val="21"/>
                <w:highlight w:val="none"/>
                <w:lang w:val="en-US" w:eastAsia="zh-CN"/>
              </w:rPr>
              <w:t>采购</w:t>
            </w:r>
            <w:r>
              <w:rPr>
                <w:rFonts w:hint="eastAsia" w:ascii="宋体" w:hAnsi="宋体" w:cs="宋体"/>
                <w:b w:val="0"/>
                <w:bCs/>
                <w:color w:val="auto"/>
                <w:szCs w:val="21"/>
                <w:highlight w:val="none"/>
              </w:rPr>
              <w:t>人工作人员进行主要功能、操作使用方法</w:t>
            </w:r>
            <w:r>
              <w:rPr>
                <w:rFonts w:hint="eastAsia" w:cs="宋体"/>
                <w:b w:val="0"/>
                <w:bCs/>
                <w:color w:val="auto"/>
                <w:szCs w:val="21"/>
                <w:highlight w:val="none"/>
                <w:lang w:val="en-US" w:eastAsia="zh-CN"/>
              </w:rPr>
              <w:t>等内容</w:t>
            </w:r>
            <w:r>
              <w:rPr>
                <w:rFonts w:hint="eastAsia" w:ascii="宋体" w:hAnsi="宋体" w:cs="宋体"/>
                <w:b w:val="0"/>
                <w:bCs/>
                <w:color w:val="auto"/>
                <w:szCs w:val="21"/>
                <w:highlight w:val="none"/>
              </w:rPr>
              <w:t>培训</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投标人提供了的</w:t>
            </w:r>
            <w:r>
              <w:rPr>
                <w:rFonts w:ascii="宋体" w:hAnsi="宋体" w:cs="宋体"/>
                <w:b w:val="0"/>
                <w:bCs/>
                <w:color w:val="auto"/>
                <w:szCs w:val="21"/>
                <w:highlight w:val="none"/>
              </w:rPr>
              <w:t>培训方案中针对</w:t>
            </w:r>
            <w:r>
              <w:rPr>
                <w:rFonts w:hint="eastAsia" w:ascii="宋体" w:hAnsi="宋体" w:cs="宋体"/>
                <w:b/>
                <w:bCs/>
                <w:color w:val="auto"/>
                <w:szCs w:val="21"/>
                <w:highlight w:val="none"/>
              </w:rPr>
              <w:t>培训计划、培训基本内容</w:t>
            </w:r>
            <w:r>
              <w:rPr>
                <w:rFonts w:ascii="宋体" w:hAnsi="宋体" w:cs="宋体"/>
                <w:b w:val="0"/>
                <w:bCs/>
                <w:color w:val="auto"/>
                <w:szCs w:val="21"/>
                <w:highlight w:val="none"/>
              </w:rPr>
              <w:t>等</w:t>
            </w:r>
            <w:r>
              <w:rPr>
                <w:rFonts w:hint="eastAsia" w:cs="宋体"/>
                <w:b w:val="0"/>
                <w:bCs/>
                <w:color w:val="auto"/>
                <w:szCs w:val="21"/>
                <w:highlight w:val="none"/>
                <w:lang w:val="en-US" w:eastAsia="zh-CN"/>
              </w:rPr>
              <w:t>两</w:t>
            </w:r>
            <w:r>
              <w:rPr>
                <w:rFonts w:ascii="宋体" w:hAnsi="宋体" w:cs="宋体"/>
                <w:b w:val="0"/>
                <w:bCs/>
                <w:color w:val="auto"/>
                <w:szCs w:val="21"/>
                <w:highlight w:val="none"/>
              </w:rPr>
              <w:t>个方面均进行</w:t>
            </w:r>
            <w:r>
              <w:rPr>
                <w:rFonts w:hint="eastAsia" w:ascii="宋体" w:hAnsi="宋体" w:cs="宋体"/>
                <w:b w:val="0"/>
                <w:bCs/>
                <w:color w:val="auto"/>
                <w:szCs w:val="21"/>
                <w:highlight w:val="none"/>
              </w:rPr>
              <w:t>详细具体</w:t>
            </w:r>
            <w:r>
              <w:rPr>
                <w:rFonts w:ascii="宋体" w:hAnsi="宋体" w:cs="宋体"/>
                <w:b w:val="0"/>
                <w:bCs/>
                <w:color w:val="auto"/>
                <w:szCs w:val="21"/>
                <w:highlight w:val="none"/>
              </w:rPr>
              <w:t>阐述的，</w:t>
            </w:r>
            <w:r>
              <w:rPr>
                <w:rFonts w:ascii="宋体" w:hAnsi="宋体" w:cs="宋体"/>
                <w:b/>
                <w:bCs/>
                <w:color w:val="auto"/>
                <w:szCs w:val="21"/>
                <w:highlight w:val="none"/>
              </w:rPr>
              <w:t>得</w:t>
            </w:r>
            <w:r>
              <w:rPr>
                <w:rFonts w:hint="eastAsia" w:cs="宋体"/>
                <w:b/>
                <w:bCs/>
                <w:color w:val="auto"/>
                <w:szCs w:val="21"/>
                <w:highlight w:val="none"/>
                <w:lang w:val="en-US" w:eastAsia="zh-CN"/>
              </w:rPr>
              <w:t>5</w:t>
            </w:r>
            <w:r>
              <w:rPr>
                <w:rFonts w:ascii="宋体" w:hAnsi="宋体" w:cs="宋体"/>
                <w:b/>
                <w:bCs/>
                <w:color w:val="auto"/>
                <w:szCs w:val="21"/>
                <w:highlight w:val="none"/>
              </w:rPr>
              <w:t>分，</w:t>
            </w:r>
            <w:r>
              <w:rPr>
                <w:rFonts w:hint="eastAsia" w:cs="宋体"/>
                <w:b w:val="0"/>
                <w:bCs w:val="0"/>
                <w:color w:val="auto"/>
                <w:szCs w:val="21"/>
                <w:highlight w:val="none"/>
              </w:rPr>
              <w:t>每</w:t>
            </w:r>
            <w:r>
              <w:rPr>
                <w:rFonts w:ascii="宋体" w:hAnsi="宋体" w:cs="宋体"/>
                <w:b w:val="0"/>
                <w:bCs/>
                <w:color w:val="auto"/>
                <w:szCs w:val="21"/>
                <w:highlight w:val="none"/>
              </w:rPr>
              <w:t>缺少一个方面的阐述</w:t>
            </w:r>
            <w:r>
              <w:rPr>
                <w:rFonts w:hint="eastAsia" w:cs="宋体"/>
                <w:b/>
                <w:bCs/>
                <w:color w:val="auto"/>
                <w:szCs w:val="21"/>
                <w:highlight w:val="none"/>
              </w:rPr>
              <w:t>扣</w:t>
            </w:r>
            <w:r>
              <w:rPr>
                <w:rFonts w:hint="eastAsia" w:cs="宋体"/>
                <w:b/>
                <w:bCs/>
                <w:color w:val="auto"/>
                <w:szCs w:val="21"/>
                <w:highlight w:val="none"/>
                <w:lang w:val="en-US" w:eastAsia="zh-CN"/>
              </w:rPr>
              <w:t>2.5</w:t>
            </w:r>
            <w:r>
              <w:rPr>
                <w:rFonts w:hint="eastAsia" w:cs="宋体"/>
                <w:b/>
                <w:bCs/>
                <w:color w:val="auto"/>
                <w:szCs w:val="21"/>
                <w:highlight w:val="none"/>
              </w:rPr>
              <w:t>分</w:t>
            </w:r>
            <w:r>
              <w:rPr>
                <w:rFonts w:hint="eastAsia" w:cs="宋体"/>
                <w:b w:val="0"/>
                <w:bCs w:val="0"/>
                <w:color w:val="auto"/>
                <w:szCs w:val="21"/>
                <w:highlight w:val="none"/>
              </w:rPr>
              <w:t>，每有一项内容不完善</w:t>
            </w:r>
            <w:r>
              <w:rPr>
                <w:rFonts w:hint="eastAsia" w:cs="宋体"/>
                <w:b w:val="0"/>
                <w:bCs w:val="0"/>
                <w:color w:val="auto"/>
                <w:szCs w:val="21"/>
                <w:highlight w:val="none"/>
                <w:lang w:eastAsia="zh-CN"/>
              </w:rPr>
              <w:t>、</w:t>
            </w:r>
            <w:r>
              <w:rPr>
                <w:rFonts w:hint="eastAsia" w:cs="宋体"/>
                <w:b w:val="0"/>
                <w:bCs w:val="0"/>
                <w:color w:val="auto"/>
                <w:szCs w:val="21"/>
                <w:highlight w:val="none"/>
              </w:rPr>
              <w:t>不合理</w:t>
            </w:r>
            <w:r>
              <w:rPr>
                <w:rFonts w:ascii="宋体" w:hAnsi="宋体" w:cs="宋体"/>
                <w:b w:val="0"/>
                <w:bCs/>
                <w:color w:val="auto"/>
                <w:szCs w:val="21"/>
                <w:highlight w:val="none"/>
              </w:rPr>
              <w:t>或阐述内容粗制的，</w:t>
            </w:r>
            <w:r>
              <w:rPr>
                <w:rFonts w:ascii="宋体" w:hAnsi="宋体" w:cs="宋体"/>
                <w:b/>
                <w:bCs/>
                <w:color w:val="auto"/>
                <w:szCs w:val="21"/>
                <w:highlight w:val="none"/>
              </w:rPr>
              <w:t>扣</w:t>
            </w:r>
            <w:r>
              <w:rPr>
                <w:rFonts w:hint="eastAsia" w:cs="宋体"/>
                <w:b/>
                <w:bCs/>
                <w:color w:val="auto"/>
                <w:szCs w:val="21"/>
                <w:highlight w:val="none"/>
                <w:lang w:val="en-US" w:eastAsia="zh-CN"/>
              </w:rPr>
              <w:t>1.5</w:t>
            </w:r>
            <w:r>
              <w:rPr>
                <w:rFonts w:ascii="宋体" w:hAnsi="宋体" w:cs="宋体"/>
                <w:b/>
                <w:bCs/>
                <w:color w:val="auto"/>
                <w:szCs w:val="21"/>
                <w:highlight w:val="none"/>
              </w:rPr>
              <w:t>分。</w:t>
            </w:r>
          </w:p>
        </w:tc>
      </w:tr>
      <w:tr w14:paraId="22BFE4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24" w:hRule="atLeast"/>
          <w:jc w:val="center"/>
        </w:trPr>
        <w:tc>
          <w:tcPr>
            <w:tcW w:w="817" w:type="dxa"/>
            <w:vMerge w:val="continue"/>
            <w:tcBorders>
              <w:tl2br w:val="nil"/>
              <w:tr2bl w:val="nil"/>
            </w:tcBorders>
            <w:noWrap/>
            <w:vAlign w:val="center"/>
          </w:tcPr>
          <w:p w14:paraId="3F813DCB">
            <w:pPr>
              <w:widowControl/>
              <w:jc w:val="left"/>
              <w:rPr>
                <w:rFonts w:hint="eastAsia" w:cs="宋体"/>
                <w:b/>
                <w:color w:val="auto"/>
                <w:kern w:val="0"/>
                <w:szCs w:val="21"/>
                <w:highlight w:val="none"/>
              </w:rPr>
            </w:pPr>
          </w:p>
        </w:tc>
        <w:tc>
          <w:tcPr>
            <w:tcW w:w="709" w:type="dxa"/>
            <w:vMerge w:val="continue"/>
            <w:tcBorders>
              <w:tl2br w:val="nil"/>
              <w:tr2bl w:val="nil"/>
            </w:tcBorders>
            <w:noWrap/>
            <w:vAlign w:val="center"/>
          </w:tcPr>
          <w:p w14:paraId="6B1F41E3">
            <w:pPr>
              <w:jc w:val="center"/>
              <w:rPr>
                <w:rFonts w:hint="eastAsia" w:cs="宋体"/>
                <w:color w:val="auto"/>
                <w:szCs w:val="21"/>
                <w:highlight w:val="none"/>
              </w:rPr>
            </w:pPr>
          </w:p>
        </w:tc>
        <w:tc>
          <w:tcPr>
            <w:tcW w:w="8436" w:type="dxa"/>
            <w:gridSpan w:val="2"/>
            <w:tcBorders>
              <w:tl2br w:val="nil"/>
              <w:tr2bl w:val="nil"/>
            </w:tcBorders>
            <w:noWrap/>
            <w:vAlign w:val="center"/>
          </w:tcPr>
          <w:p w14:paraId="4B0D71CE">
            <w:pPr>
              <w:jc w:val="left"/>
              <w:rPr>
                <w:rFonts w:hint="eastAsia" w:cs="宋体"/>
                <w:color w:val="auto"/>
                <w:kern w:val="0"/>
                <w:szCs w:val="21"/>
                <w:highlight w:val="none"/>
                <w:lang w:bidi="ar"/>
              </w:rPr>
            </w:pPr>
            <w:r>
              <w:rPr>
                <w:rFonts w:hint="eastAsia" w:cs="宋体"/>
                <w:b/>
                <w:color w:val="auto"/>
                <w:szCs w:val="21"/>
                <w:highlight w:val="none"/>
              </w:rPr>
              <w:t>备注：根据进入详细评审的投标人的投标文件，对评分因素的响应情况进行打分。</w:t>
            </w:r>
          </w:p>
        </w:tc>
      </w:tr>
    </w:tbl>
    <w:p w14:paraId="17652C65">
      <w:pPr>
        <w:rPr>
          <w:rFonts w:hint="eastAsia" w:cs="宋体"/>
          <w:bCs/>
          <w:color w:val="auto"/>
          <w:szCs w:val="21"/>
          <w:highlight w:val="none"/>
        </w:rPr>
      </w:pPr>
      <w:r>
        <w:rPr>
          <w:rFonts w:hint="eastAsia" w:cs="宋体"/>
          <w:bCs/>
          <w:color w:val="auto"/>
          <w:szCs w:val="21"/>
          <w:highlight w:val="none"/>
        </w:rPr>
        <w:br w:type="page"/>
      </w:r>
      <w:bookmarkStart w:id="363" w:name="_Toc508191814"/>
    </w:p>
    <w:tbl>
      <w:tblPr>
        <w:tblStyle w:val="44"/>
        <w:tblW w:w="99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817"/>
        <w:gridCol w:w="709"/>
        <w:gridCol w:w="1559"/>
        <w:gridCol w:w="6877"/>
      </w:tblGrid>
      <w:tr w14:paraId="07549AA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9962" w:type="dxa"/>
            <w:gridSpan w:val="4"/>
            <w:tcBorders>
              <w:tl2br w:val="nil"/>
              <w:tr2bl w:val="nil"/>
            </w:tcBorders>
            <w:noWrap/>
            <w:vAlign w:val="center"/>
          </w:tcPr>
          <w:p w14:paraId="0689F7AC">
            <w:pPr>
              <w:jc w:val="center"/>
              <w:rPr>
                <w:rFonts w:hint="default" w:eastAsia="宋体" w:cs="宋体"/>
                <w:b/>
                <w:color w:val="auto"/>
                <w:szCs w:val="21"/>
                <w:highlight w:val="none"/>
                <w:lang w:val="en-US" w:eastAsia="zh-CN"/>
              </w:rPr>
            </w:pPr>
            <w:r>
              <w:rPr>
                <w:rFonts w:hint="eastAsia" w:cs="宋体"/>
                <w:b/>
                <w:color w:val="FF0000"/>
                <w:szCs w:val="21"/>
                <w:highlight w:val="none"/>
                <w:lang w:val="en-US" w:eastAsia="zh-CN"/>
              </w:rPr>
              <w:t>C包评审标准</w:t>
            </w:r>
          </w:p>
        </w:tc>
      </w:tr>
      <w:tr w14:paraId="250A5EE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tcBorders>
              <w:tl2br w:val="nil"/>
              <w:tr2bl w:val="nil"/>
            </w:tcBorders>
            <w:noWrap/>
            <w:vAlign w:val="center"/>
          </w:tcPr>
          <w:p w14:paraId="55883B87">
            <w:pPr>
              <w:jc w:val="center"/>
              <w:rPr>
                <w:rFonts w:hint="eastAsia" w:cs="宋体"/>
                <w:b/>
                <w:color w:val="auto"/>
                <w:szCs w:val="21"/>
                <w:highlight w:val="none"/>
              </w:rPr>
            </w:pPr>
            <w:r>
              <w:rPr>
                <w:rFonts w:hint="eastAsia" w:cs="宋体"/>
                <w:b/>
                <w:color w:val="auto"/>
                <w:szCs w:val="21"/>
                <w:highlight w:val="none"/>
              </w:rPr>
              <w:t>条款号</w:t>
            </w:r>
          </w:p>
        </w:tc>
        <w:tc>
          <w:tcPr>
            <w:tcW w:w="1559" w:type="dxa"/>
            <w:tcBorders>
              <w:tl2br w:val="nil"/>
              <w:tr2bl w:val="nil"/>
            </w:tcBorders>
            <w:noWrap/>
            <w:vAlign w:val="center"/>
          </w:tcPr>
          <w:p w14:paraId="64D42C1E">
            <w:pPr>
              <w:jc w:val="center"/>
              <w:rPr>
                <w:rFonts w:hint="default" w:eastAsia="宋体" w:cs="宋体"/>
                <w:b/>
                <w:color w:val="auto"/>
                <w:szCs w:val="21"/>
                <w:highlight w:val="none"/>
                <w:lang w:val="en-US" w:eastAsia="zh-CN"/>
              </w:rPr>
            </w:pPr>
            <w:r>
              <w:rPr>
                <w:rFonts w:hint="eastAsia" w:cs="宋体"/>
                <w:b/>
                <w:color w:val="auto"/>
                <w:szCs w:val="21"/>
                <w:highlight w:val="none"/>
                <w:lang w:val="en-US" w:eastAsia="zh-CN"/>
              </w:rPr>
              <w:t>条款内容</w:t>
            </w:r>
          </w:p>
        </w:tc>
        <w:tc>
          <w:tcPr>
            <w:tcW w:w="6877" w:type="dxa"/>
            <w:tcBorders>
              <w:tl2br w:val="nil"/>
              <w:tr2bl w:val="nil"/>
            </w:tcBorders>
            <w:noWrap/>
            <w:vAlign w:val="center"/>
          </w:tcPr>
          <w:p w14:paraId="7AF6A5DA">
            <w:pPr>
              <w:jc w:val="center"/>
              <w:rPr>
                <w:rFonts w:hint="eastAsia" w:cs="宋体"/>
                <w:b/>
                <w:color w:val="auto"/>
                <w:szCs w:val="21"/>
                <w:highlight w:val="none"/>
              </w:rPr>
            </w:pPr>
            <w:r>
              <w:rPr>
                <w:rFonts w:hint="eastAsia" w:cs="宋体"/>
                <w:b/>
                <w:szCs w:val="21"/>
                <w:highlight w:val="none"/>
              </w:rPr>
              <w:t>编列内容</w:t>
            </w:r>
          </w:p>
        </w:tc>
      </w:tr>
      <w:tr w14:paraId="052650D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vMerge w:val="restart"/>
            <w:tcBorders>
              <w:tl2br w:val="nil"/>
              <w:tr2bl w:val="nil"/>
            </w:tcBorders>
            <w:noWrap/>
            <w:vAlign w:val="center"/>
          </w:tcPr>
          <w:p w14:paraId="191583FF">
            <w:pPr>
              <w:jc w:val="center"/>
              <w:rPr>
                <w:rFonts w:hint="eastAsia" w:cs="宋体"/>
                <w:b/>
                <w:color w:val="auto"/>
                <w:szCs w:val="21"/>
                <w:highlight w:val="none"/>
              </w:rPr>
            </w:pPr>
            <w:r>
              <w:rPr>
                <w:rFonts w:hint="eastAsia" w:cs="宋体"/>
                <w:b/>
                <w:bCs/>
                <w:szCs w:val="21"/>
                <w:highlight w:val="none"/>
              </w:rPr>
              <w:t>3.2.1</w:t>
            </w:r>
          </w:p>
        </w:tc>
        <w:tc>
          <w:tcPr>
            <w:tcW w:w="1559" w:type="dxa"/>
            <w:vMerge w:val="restart"/>
            <w:tcBorders>
              <w:tl2br w:val="nil"/>
              <w:tr2bl w:val="nil"/>
            </w:tcBorders>
            <w:noWrap/>
            <w:vAlign w:val="center"/>
          </w:tcPr>
          <w:p w14:paraId="2ED9129D">
            <w:pPr>
              <w:jc w:val="center"/>
              <w:rPr>
                <w:rFonts w:hint="eastAsia" w:cs="宋体"/>
                <w:b/>
                <w:bCs/>
                <w:szCs w:val="21"/>
                <w:highlight w:val="none"/>
              </w:rPr>
            </w:pPr>
            <w:r>
              <w:rPr>
                <w:rFonts w:hint="eastAsia" w:cs="宋体"/>
                <w:b/>
                <w:bCs/>
                <w:szCs w:val="21"/>
                <w:highlight w:val="none"/>
              </w:rPr>
              <w:t>分值构成</w:t>
            </w:r>
          </w:p>
          <w:p w14:paraId="42D71A29">
            <w:pPr>
              <w:jc w:val="center"/>
              <w:rPr>
                <w:rFonts w:hint="eastAsia" w:cs="宋体"/>
                <w:b/>
                <w:color w:val="auto"/>
                <w:szCs w:val="21"/>
                <w:highlight w:val="none"/>
                <w:lang w:val="en-US" w:eastAsia="zh-CN"/>
              </w:rPr>
            </w:pPr>
            <w:r>
              <w:rPr>
                <w:rFonts w:hint="eastAsia" w:cs="宋体"/>
                <w:b/>
                <w:bCs/>
                <w:szCs w:val="21"/>
                <w:highlight w:val="none"/>
              </w:rPr>
              <w:t>（满分100分）</w:t>
            </w:r>
          </w:p>
        </w:tc>
        <w:tc>
          <w:tcPr>
            <w:tcW w:w="6877" w:type="dxa"/>
            <w:tcBorders>
              <w:tl2br w:val="nil"/>
              <w:tr2bl w:val="nil"/>
            </w:tcBorders>
            <w:noWrap/>
            <w:vAlign w:val="center"/>
          </w:tcPr>
          <w:p w14:paraId="2E5E2D25">
            <w:pPr>
              <w:rPr>
                <w:rFonts w:hint="eastAsia" w:cs="宋体"/>
                <w:szCs w:val="21"/>
                <w:highlight w:val="none"/>
              </w:rPr>
            </w:pPr>
            <w:r>
              <w:rPr>
                <w:rFonts w:hint="eastAsia" w:cs="宋体"/>
                <w:szCs w:val="21"/>
                <w:highlight w:val="none"/>
              </w:rPr>
              <w:t>投标人的评标总得分＝F1＋F2＋F3</w:t>
            </w:r>
          </w:p>
          <w:p w14:paraId="785F25E1">
            <w:pPr>
              <w:rPr>
                <w:rFonts w:hint="eastAsia" w:cs="宋体"/>
                <w:b/>
                <w:szCs w:val="21"/>
                <w:highlight w:val="none"/>
              </w:rPr>
            </w:pPr>
            <w:r>
              <w:rPr>
                <w:rFonts w:hint="eastAsia" w:cs="宋体"/>
                <w:szCs w:val="21"/>
                <w:highlight w:val="none"/>
              </w:rPr>
              <w:t>其中：F1、F2、F3分别为投标报价、技术部分、商务部分3项评分因素的汇总得分。</w:t>
            </w:r>
          </w:p>
        </w:tc>
      </w:tr>
      <w:tr w14:paraId="13F1BFE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jc w:val="center"/>
        </w:trPr>
        <w:tc>
          <w:tcPr>
            <w:tcW w:w="1526" w:type="dxa"/>
            <w:gridSpan w:val="2"/>
            <w:vMerge w:val="continue"/>
            <w:tcBorders>
              <w:tl2br w:val="nil"/>
              <w:tr2bl w:val="nil"/>
            </w:tcBorders>
            <w:noWrap/>
            <w:vAlign w:val="center"/>
          </w:tcPr>
          <w:p w14:paraId="5DCB7BB5">
            <w:pPr>
              <w:rPr>
                <w:rFonts w:hint="eastAsia" w:cs="宋体"/>
                <w:b/>
                <w:color w:val="auto"/>
                <w:szCs w:val="21"/>
                <w:highlight w:val="none"/>
              </w:rPr>
            </w:pPr>
          </w:p>
        </w:tc>
        <w:tc>
          <w:tcPr>
            <w:tcW w:w="1559" w:type="dxa"/>
            <w:vMerge w:val="continue"/>
            <w:tcBorders>
              <w:tl2br w:val="nil"/>
              <w:tr2bl w:val="nil"/>
            </w:tcBorders>
            <w:noWrap/>
            <w:vAlign w:val="center"/>
          </w:tcPr>
          <w:p w14:paraId="27901AE7">
            <w:pPr>
              <w:rPr>
                <w:rFonts w:hint="eastAsia" w:cs="宋体"/>
                <w:b/>
                <w:color w:val="auto"/>
                <w:szCs w:val="21"/>
                <w:highlight w:val="none"/>
              </w:rPr>
            </w:pPr>
          </w:p>
        </w:tc>
        <w:tc>
          <w:tcPr>
            <w:tcW w:w="6877" w:type="dxa"/>
            <w:tcBorders>
              <w:tl2br w:val="nil"/>
              <w:tr2bl w:val="nil"/>
            </w:tcBorders>
            <w:noWrap/>
            <w:vAlign w:val="center"/>
          </w:tcPr>
          <w:p w14:paraId="328E0742">
            <w:pPr>
              <w:rPr>
                <w:rFonts w:hint="eastAsia" w:cs="宋体"/>
                <w:szCs w:val="21"/>
                <w:highlight w:val="none"/>
              </w:rPr>
            </w:pPr>
            <w:r>
              <w:rPr>
                <w:rFonts w:hint="eastAsia" w:cs="宋体"/>
                <w:szCs w:val="21"/>
                <w:highlight w:val="none"/>
              </w:rPr>
              <w:t>投标报价F1：</w:t>
            </w:r>
            <w:r>
              <w:rPr>
                <w:rFonts w:cs="宋体"/>
                <w:szCs w:val="21"/>
                <w:highlight w:val="none"/>
              </w:rPr>
              <w:t>30</w:t>
            </w:r>
            <w:r>
              <w:rPr>
                <w:rFonts w:hint="eastAsia" w:cs="宋体"/>
                <w:szCs w:val="21"/>
                <w:highlight w:val="none"/>
              </w:rPr>
              <w:t>分。</w:t>
            </w:r>
          </w:p>
          <w:p w14:paraId="2180F74F">
            <w:pPr>
              <w:rPr>
                <w:rFonts w:hint="eastAsia" w:cs="宋体"/>
                <w:szCs w:val="21"/>
                <w:highlight w:val="none"/>
              </w:rPr>
            </w:pPr>
            <w:r>
              <w:rPr>
                <w:rFonts w:hint="eastAsia" w:cs="宋体"/>
                <w:szCs w:val="21"/>
                <w:highlight w:val="none"/>
              </w:rPr>
              <w:t>技术部分F2：</w:t>
            </w:r>
            <w:r>
              <w:rPr>
                <w:rFonts w:hint="eastAsia" w:cs="宋体"/>
                <w:szCs w:val="21"/>
                <w:highlight w:val="none"/>
                <w:lang w:val="en-US" w:eastAsia="zh-CN"/>
              </w:rPr>
              <w:t>44</w:t>
            </w:r>
            <w:r>
              <w:rPr>
                <w:rFonts w:hint="eastAsia" w:cs="宋体"/>
                <w:szCs w:val="21"/>
                <w:highlight w:val="none"/>
              </w:rPr>
              <w:t>分。</w:t>
            </w:r>
          </w:p>
          <w:p w14:paraId="52748DDE">
            <w:pPr>
              <w:rPr>
                <w:rFonts w:hint="eastAsia" w:cs="宋体"/>
                <w:b/>
                <w:color w:val="auto"/>
                <w:szCs w:val="21"/>
                <w:highlight w:val="none"/>
              </w:rPr>
            </w:pPr>
            <w:r>
              <w:rPr>
                <w:rFonts w:hint="eastAsia" w:cs="宋体"/>
                <w:szCs w:val="21"/>
                <w:highlight w:val="none"/>
              </w:rPr>
              <w:t>商务部分F3：</w:t>
            </w:r>
            <w:r>
              <w:rPr>
                <w:rFonts w:hint="eastAsia" w:cs="宋体"/>
                <w:szCs w:val="21"/>
                <w:highlight w:val="none"/>
                <w:lang w:val="en-US" w:eastAsia="zh-CN"/>
              </w:rPr>
              <w:t>26</w:t>
            </w:r>
            <w:r>
              <w:rPr>
                <w:rFonts w:hint="eastAsia" w:cs="宋体"/>
                <w:szCs w:val="21"/>
                <w:highlight w:val="none"/>
              </w:rPr>
              <w:t>分。</w:t>
            </w:r>
          </w:p>
        </w:tc>
      </w:tr>
      <w:tr w14:paraId="72F515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67" w:hRule="atLeast"/>
          <w:tblHeader/>
          <w:jc w:val="center"/>
        </w:trPr>
        <w:tc>
          <w:tcPr>
            <w:tcW w:w="1526" w:type="dxa"/>
            <w:gridSpan w:val="2"/>
            <w:tcBorders>
              <w:tl2br w:val="nil"/>
              <w:tr2bl w:val="nil"/>
            </w:tcBorders>
            <w:noWrap/>
            <w:vAlign w:val="center"/>
          </w:tcPr>
          <w:p w14:paraId="7004637A">
            <w:pPr>
              <w:jc w:val="center"/>
              <w:rPr>
                <w:rFonts w:hint="eastAsia" w:cs="宋体"/>
                <w:color w:val="auto"/>
                <w:szCs w:val="21"/>
                <w:highlight w:val="none"/>
              </w:rPr>
            </w:pPr>
            <w:r>
              <w:rPr>
                <w:rFonts w:hint="eastAsia" w:cs="宋体"/>
                <w:b/>
                <w:color w:val="auto"/>
                <w:szCs w:val="21"/>
                <w:highlight w:val="none"/>
              </w:rPr>
              <w:t>条款号</w:t>
            </w:r>
          </w:p>
        </w:tc>
        <w:tc>
          <w:tcPr>
            <w:tcW w:w="1559" w:type="dxa"/>
            <w:tcBorders>
              <w:tl2br w:val="nil"/>
              <w:tr2bl w:val="nil"/>
            </w:tcBorders>
            <w:noWrap/>
            <w:vAlign w:val="center"/>
          </w:tcPr>
          <w:p w14:paraId="767C70DD">
            <w:pPr>
              <w:jc w:val="center"/>
              <w:rPr>
                <w:rFonts w:hint="eastAsia" w:cs="宋体"/>
                <w:b/>
                <w:color w:val="auto"/>
                <w:szCs w:val="21"/>
                <w:highlight w:val="none"/>
              </w:rPr>
            </w:pPr>
            <w:r>
              <w:rPr>
                <w:rFonts w:hint="eastAsia" w:cs="宋体"/>
                <w:b/>
                <w:color w:val="auto"/>
                <w:szCs w:val="21"/>
                <w:highlight w:val="none"/>
              </w:rPr>
              <w:t>评分因素</w:t>
            </w:r>
          </w:p>
        </w:tc>
        <w:tc>
          <w:tcPr>
            <w:tcW w:w="6877" w:type="dxa"/>
            <w:tcBorders>
              <w:tl2br w:val="nil"/>
              <w:tr2bl w:val="nil"/>
            </w:tcBorders>
            <w:noWrap/>
            <w:vAlign w:val="center"/>
          </w:tcPr>
          <w:p w14:paraId="0A71640C">
            <w:pPr>
              <w:jc w:val="center"/>
              <w:rPr>
                <w:rFonts w:hint="eastAsia" w:cs="宋体"/>
                <w:b/>
                <w:color w:val="auto"/>
                <w:szCs w:val="21"/>
                <w:highlight w:val="none"/>
              </w:rPr>
            </w:pPr>
            <w:r>
              <w:rPr>
                <w:rFonts w:hint="eastAsia" w:cs="宋体"/>
                <w:b/>
                <w:color w:val="auto"/>
                <w:szCs w:val="21"/>
                <w:highlight w:val="none"/>
              </w:rPr>
              <w:t>评分标准</w:t>
            </w:r>
          </w:p>
        </w:tc>
      </w:tr>
      <w:tr w14:paraId="2085972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622" w:hRule="atLeast"/>
          <w:jc w:val="center"/>
        </w:trPr>
        <w:tc>
          <w:tcPr>
            <w:tcW w:w="817" w:type="dxa"/>
            <w:tcBorders>
              <w:tl2br w:val="nil"/>
              <w:tr2bl w:val="nil"/>
            </w:tcBorders>
            <w:noWrap/>
            <w:vAlign w:val="center"/>
          </w:tcPr>
          <w:p w14:paraId="3D99DA63">
            <w:pPr>
              <w:jc w:val="center"/>
              <w:rPr>
                <w:rFonts w:hint="eastAsia" w:cs="宋体"/>
                <w:b/>
                <w:bCs/>
                <w:color w:val="auto"/>
                <w:szCs w:val="21"/>
                <w:highlight w:val="none"/>
              </w:rPr>
            </w:pPr>
            <w:r>
              <w:rPr>
                <w:rFonts w:hint="eastAsia" w:cs="宋体"/>
                <w:b/>
                <w:bCs/>
                <w:color w:val="auto"/>
                <w:szCs w:val="21"/>
                <w:highlight w:val="none"/>
              </w:rPr>
              <w:t>3.2.2（1）</w:t>
            </w:r>
          </w:p>
        </w:tc>
        <w:tc>
          <w:tcPr>
            <w:tcW w:w="709" w:type="dxa"/>
            <w:tcBorders>
              <w:tl2br w:val="nil"/>
              <w:tr2bl w:val="nil"/>
            </w:tcBorders>
            <w:noWrap/>
            <w:vAlign w:val="center"/>
          </w:tcPr>
          <w:p w14:paraId="62DECA42">
            <w:pPr>
              <w:jc w:val="center"/>
              <w:rPr>
                <w:rFonts w:hint="eastAsia" w:cs="宋体"/>
                <w:b/>
                <w:bCs/>
                <w:color w:val="auto"/>
                <w:szCs w:val="21"/>
                <w:highlight w:val="none"/>
              </w:rPr>
            </w:pPr>
            <w:r>
              <w:rPr>
                <w:rFonts w:hint="eastAsia" w:cs="宋体"/>
                <w:b/>
                <w:bCs/>
                <w:color w:val="auto"/>
                <w:szCs w:val="21"/>
                <w:highlight w:val="none"/>
              </w:rPr>
              <w:t>投标报价</w:t>
            </w:r>
          </w:p>
          <w:p w14:paraId="5BBB07A4">
            <w:pPr>
              <w:jc w:val="center"/>
              <w:rPr>
                <w:rFonts w:hint="eastAsia" w:cs="宋体"/>
                <w:b/>
                <w:bCs/>
                <w:color w:val="auto"/>
                <w:szCs w:val="21"/>
                <w:highlight w:val="none"/>
              </w:rPr>
            </w:pPr>
            <w:r>
              <w:rPr>
                <w:rFonts w:hint="eastAsia" w:cs="宋体"/>
                <w:b/>
                <w:bCs/>
                <w:color w:val="auto"/>
                <w:szCs w:val="21"/>
                <w:highlight w:val="none"/>
              </w:rPr>
              <w:t>F1</w:t>
            </w:r>
          </w:p>
          <w:p w14:paraId="76CB8B4E">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4CF17F70">
            <w:pPr>
              <w:jc w:val="center"/>
              <w:rPr>
                <w:rFonts w:hint="eastAsia" w:cs="宋体"/>
                <w:b/>
                <w:bCs/>
                <w:color w:val="auto"/>
                <w:szCs w:val="21"/>
                <w:highlight w:val="none"/>
              </w:rPr>
            </w:pPr>
            <w:r>
              <w:rPr>
                <w:rFonts w:hint="eastAsia" w:cs="宋体"/>
                <w:b/>
                <w:bCs/>
                <w:color w:val="auto"/>
                <w:szCs w:val="21"/>
                <w:highlight w:val="none"/>
              </w:rPr>
              <w:t>投标报价评分计算公式</w:t>
            </w:r>
          </w:p>
          <w:p w14:paraId="029ED12F">
            <w:pPr>
              <w:jc w:val="center"/>
              <w:rPr>
                <w:rFonts w:hint="eastAsia" w:cs="宋体"/>
                <w:b/>
                <w:bCs/>
                <w:color w:val="auto"/>
                <w:szCs w:val="21"/>
                <w:highlight w:val="none"/>
              </w:rPr>
            </w:pPr>
            <w:r>
              <w:rPr>
                <w:rFonts w:hint="eastAsia" w:cs="宋体"/>
                <w:b/>
                <w:bCs/>
                <w:color w:val="auto"/>
                <w:szCs w:val="21"/>
                <w:highlight w:val="none"/>
              </w:rPr>
              <w:t>（满分</w:t>
            </w:r>
            <w:r>
              <w:rPr>
                <w:rFonts w:cs="宋体"/>
                <w:b/>
                <w:bCs/>
                <w:color w:val="auto"/>
                <w:szCs w:val="21"/>
                <w:highlight w:val="none"/>
              </w:rPr>
              <w:t>30分）</w:t>
            </w:r>
          </w:p>
        </w:tc>
        <w:tc>
          <w:tcPr>
            <w:tcW w:w="6877" w:type="dxa"/>
            <w:tcBorders>
              <w:tl2br w:val="nil"/>
              <w:tr2bl w:val="nil"/>
            </w:tcBorders>
            <w:noWrap/>
            <w:vAlign w:val="center"/>
          </w:tcPr>
          <w:p w14:paraId="4CD6CE8B">
            <w:pPr>
              <w:adjustRightInd w:val="0"/>
              <w:rPr>
                <w:rFonts w:hint="eastAsia"/>
                <w:b/>
                <w:bCs/>
                <w:color w:val="auto"/>
                <w:szCs w:val="21"/>
                <w:highlight w:val="none"/>
              </w:rPr>
            </w:pPr>
            <w:r>
              <w:rPr>
                <w:rFonts w:hint="eastAsia"/>
                <w:b/>
                <w:bCs/>
                <w:color w:val="auto"/>
                <w:szCs w:val="21"/>
                <w:highlight w:val="none"/>
              </w:rPr>
              <w:t>投标报价得分=(评标基准价</w:t>
            </w:r>
            <w:r>
              <w:rPr>
                <w:b/>
                <w:bCs/>
                <w:color w:val="auto"/>
                <w:szCs w:val="21"/>
                <w:highlight w:val="none"/>
              </w:rPr>
              <w:t>/</w:t>
            </w:r>
            <w:r>
              <w:rPr>
                <w:rFonts w:hint="eastAsia"/>
                <w:b/>
                <w:bCs/>
                <w:color w:val="auto"/>
                <w:szCs w:val="21"/>
                <w:highlight w:val="none"/>
              </w:rPr>
              <w:t>投标报价)×</w:t>
            </w:r>
            <w:r>
              <w:rPr>
                <w:b/>
                <w:bCs/>
                <w:color w:val="auto"/>
                <w:szCs w:val="21"/>
                <w:highlight w:val="none"/>
              </w:rPr>
              <w:t>30</w:t>
            </w:r>
          </w:p>
          <w:p w14:paraId="3EB2F83F">
            <w:pPr>
              <w:adjustRightInd w:val="0"/>
              <w:rPr>
                <w:rFonts w:hint="eastAsia"/>
                <w:color w:val="auto"/>
                <w:szCs w:val="21"/>
                <w:highlight w:val="none"/>
              </w:rPr>
            </w:pPr>
            <w:r>
              <w:rPr>
                <w:rFonts w:hint="eastAsia"/>
                <w:color w:val="auto"/>
                <w:szCs w:val="21"/>
                <w:highlight w:val="none"/>
              </w:rPr>
              <w:t>即：</w:t>
            </w:r>
            <w:r>
              <w:rPr>
                <w:color w:val="auto"/>
                <w:szCs w:val="21"/>
                <w:highlight w:val="none"/>
              </w:rPr>
              <w:t>F</w:t>
            </w:r>
            <w:r>
              <w:rPr>
                <w:rFonts w:hint="eastAsia"/>
                <w:color w:val="auto"/>
                <w:szCs w:val="21"/>
                <w:highlight w:val="none"/>
              </w:rPr>
              <w:t>1</w:t>
            </w:r>
            <w:r>
              <w:rPr>
                <w:color w:val="auto"/>
                <w:szCs w:val="21"/>
                <w:highlight w:val="none"/>
              </w:rPr>
              <w:t>=[C/（B1，B2，…</w:t>
            </w:r>
            <w:r>
              <w:rPr>
                <w:rFonts w:hint="eastAsia"/>
                <w:color w:val="auto"/>
                <w:szCs w:val="21"/>
                <w:highlight w:val="none"/>
              </w:rPr>
              <w:t>，</w:t>
            </w:r>
            <w:r>
              <w:rPr>
                <w:color w:val="auto"/>
                <w:szCs w:val="21"/>
                <w:highlight w:val="none"/>
              </w:rPr>
              <w:t>Bn）]</w:t>
            </w:r>
            <w:r>
              <w:rPr>
                <w:rFonts w:hint="eastAsia"/>
                <w:color w:val="auto"/>
                <w:szCs w:val="21"/>
                <w:highlight w:val="none"/>
              </w:rPr>
              <w:t>×</w:t>
            </w:r>
            <w:r>
              <w:rPr>
                <w:color w:val="auto"/>
                <w:szCs w:val="21"/>
                <w:highlight w:val="none"/>
              </w:rPr>
              <w:t>30</w:t>
            </w:r>
          </w:p>
          <w:p w14:paraId="5BA2161B">
            <w:pPr>
              <w:adjustRightInd w:val="0"/>
              <w:rPr>
                <w:rFonts w:hint="eastAsia"/>
                <w:color w:val="auto"/>
                <w:szCs w:val="21"/>
                <w:highlight w:val="none"/>
              </w:rPr>
            </w:pPr>
            <w:r>
              <w:rPr>
                <w:rFonts w:hint="eastAsia"/>
                <w:color w:val="auto"/>
                <w:szCs w:val="21"/>
                <w:highlight w:val="none"/>
              </w:rPr>
              <w:t>注：</w:t>
            </w:r>
            <w:r>
              <w:rPr>
                <w:color w:val="auto"/>
                <w:szCs w:val="21"/>
                <w:highlight w:val="none"/>
              </w:rPr>
              <w:t>C为评标基准价，即经</w:t>
            </w:r>
            <w:r>
              <w:rPr>
                <w:rFonts w:hint="eastAsia"/>
                <w:color w:val="auto"/>
                <w:szCs w:val="21"/>
                <w:highlight w:val="none"/>
              </w:rPr>
              <w:t>初步</w:t>
            </w:r>
            <w:r>
              <w:rPr>
                <w:color w:val="auto"/>
                <w:szCs w:val="21"/>
                <w:highlight w:val="none"/>
              </w:rPr>
              <w:t>审查合格</w:t>
            </w:r>
            <w:r>
              <w:rPr>
                <w:rFonts w:hint="eastAsia"/>
                <w:color w:val="auto"/>
                <w:szCs w:val="21"/>
                <w:highlight w:val="none"/>
              </w:rPr>
              <w:t>且投标价格最低</w:t>
            </w:r>
            <w:r>
              <w:rPr>
                <w:color w:val="auto"/>
                <w:szCs w:val="21"/>
                <w:highlight w:val="none"/>
              </w:rPr>
              <w:t>的</w:t>
            </w:r>
            <w:r>
              <w:rPr>
                <w:rFonts w:hint="eastAsia"/>
                <w:color w:val="auto"/>
                <w:szCs w:val="21"/>
                <w:highlight w:val="none"/>
              </w:rPr>
              <w:t>有效</w:t>
            </w:r>
            <w:r>
              <w:rPr>
                <w:color w:val="auto"/>
                <w:szCs w:val="21"/>
                <w:highlight w:val="none"/>
              </w:rPr>
              <w:t>投标报价；B1，B2，…</w:t>
            </w:r>
            <w:r>
              <w:rPr>
                <w:rFonts w:hint="eastAsia"/>
                <w:color w:val="auto"/>
                <w:szCs w:val="21"/>
                <w:highlight w:val="none"/>
              </w:rPr>
              <w:t>，</w:t>
            </w:r>
            <w:r>
              <w:rPr>
                <w:color w:val="auto"/>
                <w:szCs w:val="21"/>
                <w:highlight w:val="none"/>
              </w:rPr>
              <w:t>Bn为第n个经</w:t>
            </w:r>
            <w:r>
              <w:rPr>
                <w:rFonts w:hint="eastAsia"/>
                <w:color w:val="auto"/>
                <w:szCs w:val="21"/>
                <w:highlight w:val="none"/>
              </w:rPr>
              <w:t>初步</w:t>
            </w:r>
            <w:r>
              <w:rPr>
                <w:color w:val="auto"/>
                <w:szCs w:val="21"/>
                <w:highlight w:val="none"/>
              </w:rPr>
              <w:t>审查合格的有效投标报价。</w:t>
            </w:r>
          </w:p>
          <w:p w14:paraId="6041984F">
            <w:pPr>
              <w:rPr>
                <w:rFonts w:hint="eastAsia"/>
                <w:color w:val="auto"/>
                <w:szCs w:val="21"/>
                <w:highlight w:val="none"/>
              </w:rPr>
            </w:pPr>
            <w:r>
              <w:rPr>
                <w:rFonts w:hint="eastAsia"/>
                <w:color w:val="auto"/>
                <w:szCs w:val="21"/>
                <w:highlight w:val="none"/>
              </w:rPr>
              <w:t>注：1、在计算投标报价得分时，对小型或微型企业的价格给予10%的扣除。</w:t>
            </w:r>
          </w:p>
          <w:p w14:paraId="2F938D3F">
            <w:pPr>
              <w:ind w:firstLine="420" w:firstLineChars="200"/>
              <w:rPr>
                <w:rFonts w:hint="eastAsia"/>
                <w:color w:val="auto"/>
                <w:szCs w:val="21"/>
                <w:highlight w:val="none"/>
              </w:rPr>
            </w:pPr>
            <w:r>
              <w:rPr>
                <w:color w:val="auto"/>
                <w:szCs w:val="21"/>
                <w:highlight w:val="none"/>
              </w:rPr>
              <w:t>2</w:t>
            </w:r>
            <w:r>
              <w:rPr>
                <w:rFonts w:hint="eastAsia"/>
                <w:color w:val="auto"/>
                <w:szCs w:val="21"/>
                <w:highlight w:val="none"/>
              </w:rPr>
              <w:t>、残疾人福利性单位、监狱企业视同小型、微型企业。</w:t>
            </w:r>
          </w:p>
          <w:p w14:paraId="37C1C346">
            <w:pPr>
              <w:ind w:firstLine="420" w:firstLineChars="200"/>
              <w:rPr>
                <w:rFonts w:hint="default" w:eastAsia="宋体" w:cs="宋体"/>
                <w:color w:val="auto"/>
                <w:szCs w:val="21"/>
                <w:highlight w:val="none"/>
                <w:lang w:val="en-US" w:eastAsia="zh-CN"/>
              </w:rPr>
            </w:pPr>
            <w:r>
              <w:rPr>
                <w:rFonts w:hint="eastAsia"/>
                <w:color w:val="auto"/>
                <w:szCs w:val="21"/>
                <w:highlight w:val="none"/>
              </w:rPr>
              <w:t>3、监狱企业或残疾人福利性单位属于小型、微型企业的，不重复享受政策，只进行一次价格扣除。</w:t>
            </w:r>
          </w:p>
        </w:tc>
      </w:tr>
      <w:tr w14:paraId="498E6ED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17" w:hRule="atLeast"/>
          <w:jc w:val="center"/>
        </w:trPr>
        <w:tc>
          <w:tcPr>
            <w:tcW w:w="817" w:type="dxa"/>
            <w:vMerge w:val="restart"/>
            <w:tcBorders>
              <w:tl2br w:val="nil"/>
              <w:tr2bl w:val="nil"/>
            </w:tcBorders>
            <w:noWrap/>
            <w:vAlign w:val="center"/>
          </w:tcPr>
          <w:p w14:paraId="2C92D179">
            <w:pPr>
              <w:jc w:val="center"/>
              <w:rPr>
                <w:rFonts w:hint="eastAsia" w:cs="宋体"/>
                <w:b/>
                <w:bCs/>
                <w:color w:val="auto"/>
                <w:szCs w:val="21"/>
                <w:highlight w:val="none"/>
              </w:rPr>
            </w:pPr>
            <w:r>
              <w:rPr>
                <w:rFonts w:hint="eastAsia" w:cs="宋体"/>
                <w:b/>
                <w:bCs/>
                <w:color w:val="auto"/>
                <w:szCs w:val="21"/>
                <w:highlight w:val="none"/>
              </w:rPr>
              <w:t>3.2.2（2）</w:t>
            </w:r>
          </w:p>
        </w:tc>
        <w:tc>
          <w:tcPr>
            <w:tcW w:w="709" w:type="dxa"/>
            <w:vMerge w:val="restart"/>
            <w:tcBorders>
              <w:tl2br w:val="nil"/>
              <w:tr2bl w:val="nil"/>
            </w:tcBorders>
            <w:noWrap/>
            <w:vAlign w:val="center"/>
          </w:tcPr>
          <w:p w14:paraId="0A12DD05">
            <w:pPr>
              <w:jc w:val="center"/>
              <w:rPr>
                <w:rFonts w:hint="eastAsia" w:cs="宋体"/>
                <w:b/>
                <w:bCs/>
                <w:color w:val="auto"/>
                <w:szCs w:val="21"/>
                <w:highlight w:val="none"/>
              </w:rPr>
            </w:pPr>
            <w:r>
              <w:rPr>
                <w:rFonts w:hint="eastAsia" w:cs="宋体"/>
                <w:b/>
                <w:bCs/>
                <w:color w:val="auto"/>
                <w:szCs w:val="21"/>
                <w:highlight w:val="none"/>
              </w:rPr>
              <w:t>技术部分F2</w:t>
            </w:r>
          </w:p>
          <w:p w14:paraId="3F7AEF82">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15FB3611">
            <w:pPr>
              <w:spacing w:line="276" w:lineRule="auto"/>
              <w:jc w:val="center"/>
              <w:rPr>
                <w:rFonts w:hint="eastAsia" w:cs="宋体"/>
                <w:b/>
                <w:bCs/>
                <w:color w:val="auto"/>
                <w:szCs w:val="21"/>
                <w:highlight w:val="none"/>
              </w:rPr>
            </w:pPr>
            <w:r>
              <w:rPr>
                <w:rFonts w:hint="eastAsia" w:cs="宋体"/>
                <w:b/>
                <w:bCs/>
                <w:color w:val="auto"/>
                <w:szCs w:val="21"/>
                <w:highlight w:val="none"/>
              </w:rPr>
              <w:t>技术指标的响应程度</w:t>
            </w:r>
          </w:p>
          <w:p w14:paraId="6B5A4225">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32</w:t>
            </w:r>
            <w:r>
              <w:rPr>
                <w:rFonts w:hint="eastAsia" w:cs="宋体"/>
                <w:b/>
                <w:bCs/>
                <w:color w:val="auto"/>
                <w:szCs w:val="21"/>
                <w:highlight w:val="none"/>
              </w:rPr>
              <w:t>分）</w:t>
            </w:r>
          </w:p>
        </w:tc>
        <w:tc>
          <w:tcPr>
            <w:tcW w:w="6877" w:type="dxa"/>
            <w:tcBorders>
              <w:tl2br w:val="nil"/>
              <w:tr2bl w:val="nil"/>
            </w:tcBorders>
            <w:noWrap/>
            <w:vAlign w:val="center"/>
          </w:tcPr>
          <w:p w14:paraId="5FB5B1F0">
            <w:pPr>
              <w:adjustRightInd w:val="0"/>
              <w:snapToGrid w:val="0"/>
              <w:rPr>
                <w:rFonts w:hint="eastAsia" w:cs="宋体"/>
                <w:b/>
                <w:bCs/>
                <w:color w:val="auto"/>
                <w:szCs w:val="21"/>
                <w:highlight w:val="none"/>
              </w:rPr>
            </w:pPr>
            <w:r>
              <w:rPr>
                <w:rFonts w:hint="eastAsia" w:cs="宋体"/>
                <w:b/>
                <w:bCs/>
                <w:color w:val="auto"/>
                <w:szCs w:val="21"/>
                <w:highlight w:val="none"/>
              </w:rPr>
              <w:t>根据投标人对招标文件第五章《</w:t>
            </w:r>
            <w:r>
              <w:rPr>
                <w:rFonts w:hint="eastAsia" w:cs="宋体"/>
                <w:b/>
                <w:bCs/>
                <w:color w:val="auto"/>
                <w:szCs w:val="21"/>
                <w:highlight w:val="none"/>
                <w:lang w:eastAsia="zh-CN"/>
              </w:rPr>
              <w:t>采购需求</w:t>
            </w:r>
            <w:r>
              <w:rPr>
                <w:rFonts w:hint="eastAsia" w:cs="宋体"/>
                <w:b/>
                <w:bCs/>
                <w:color w:val="auto"/>
                <w:szCs w:val="21"/>
                <w:highlight w:val="none"/>
              </w:rPr>
              <w:t>》的技术指标的响应情况进行评审，评审规则如下：</w:t>
            </w:r>
          </w:p>
          <w:p w14:paraId="734AA646">
            <w:pPr>
              <w:snapToGrid w:val="0"/>
              <w:rPr>
                <w:rFonts w:hint="eastAsia" w:eastAsia="宋体" w:cs="宋体"/>
                <w:b/>
                <w:bCs/>
                <w:color w:val="auto"/>
                <w:szCs w:val="21"/>
                <w:highlight w:val="none"/>
                <w:lang w:eastAsia="zh-CN"/>
              </w:rPr>
            </w:pPr>
            <w:r>
              <w:rPr>
                <w:rFonts w:hint="eastAsia" w:cs="宋体"/>
                <w:b/>
                <w:bCs/>
                <w:color w:val="auto"/>
                <w:szCs w:val="21"/>
                <w:highlight w:val="none"/>
              </w:rPr>
              <w:t>1、</w:t>
            </w:r>
            <w:r>
              <w:rPr>
                <w:rFonts w:hint="eastAsia"/>
                <w:color w:val="auto"/>
                <w:szCs w:val="8"/>
                <w:highlight w:val="none"/>
              </w:rPr>
              <w:t>招标文件</w:t>
            </w:r>
            <w:r>
              <w:rPr>
                <w:rFonts w:hint="eastAsia" w:cs="宋体"/>
                <w:color w:val="auto"/>
                <w:szCs w:val="21"/>
                <w:highlight w:val="none"/>
              </w:rPr>
              <w:t>第五章</w:t>
            </w:r>
            <w:r>
              <w:rPr>
                <w:rFonts w:hint="eastAsia" w:cs="宋体"/>
                <w:b/>
                <w:bCs/>
                <w:color w:val="auto"/>
                <w:szCs w:val="21"/>
                <w:highlight w:val="none"/>
              </w:rPr>
              <w:t>“</w:t>
            </w:r>
            <w:r>
              <w:rPr>
                <w:rFonts w:hint="eastAsia"/>
                <w:b/>
                <w:color w:val="auto"/>
                <w:szCs w:val="21"/>
                <w:highlight w:val="none"/>
                <w:lang w:val="en-US" w:eastAsia="zh-CN"/>
              </w:rPr>
              <w:t xml:space="preserve">采购需求 </w:t>
            </w:r>
            <w:r>
              <w:rPr>
                <w:rFonts w:hint="eastAsia"/>
                <w:b/>
                <w:color w:val="auto"/>
                <w:szCs w:val="21"/>
                <w:highlight w:val="none"/>
              </w:rPr>
              <w:t xml:space="preserve"> </w:t>
            </w:r>
            <w:r>
              <w:rPr>
                <w:rFonts w:hint="eastAsia"/>
                <w:b/>
                <w:color w:val="auto"/>
                <w:szCs w:val="21"/>
                <w:highlight w:val="none"/>
                <w:lang w:val="en-US" w:eastAsia="zh-CN"/>
              </w:rPr>
              <w:t>一</w:t>
            </w:r>
            <w:r>
              <w:rPr>
                <w:rFonts w:hint="eastAsia"/>
                <w:b/>
                <w:color w:val="auto"/>
                <w:szCs w:val="21"/>
                <w:highlight w:val="none"/>
              </w:rPr>
              <w:t>、技术参数要求</w:t>
            </w:r>
            <w:r>
              <w:rPr>
                <w:rFonts w:hint="eastAsia"/>
                <w:b/>
                <w:color w:val="auto"/>
                <w:szCs w:val="21"/>
                <w:highlight w:val="none"/>
                <w:lang w:eastAsia="zh-CN"/>
              </w:rPr>
              <w:t>（</w:t>
            </w:r>
            <w:r>
              <w:rPr>
                <w:rFonts w:hint="eastAsia"/>
                <w:b/>
                <w:color w:val="auto"/>
                <w:szCs w:val="21"/>
                <w:highlight w:val="none"/>
                <w:lang w:val="en-US" w:eastAsia="zh-CN"/>
              </w:rPr>
              <w:t>C包</w:t>
            </w:r>
            <w:r>
              <w:rPr>
                <w:rFonts w:hint="eastAsia"/>
                <w:b/>
                <w:color w:val="auto"/>
                <w:szCs w:val="21"/>
                <w:highlight w:val="none"/>
                <w:lang w:eastAsia="zh-CN"/>
              </w:rPr>
              <w:t>）</w:t>
            </w:r>
            <w:r>
              <w:rPr>
                <w:rFonts w:hint="eastAsia" w:cs="宋体"/>
                <w:b/>
                <w:bCs/>
                <w:color w:val="auto"/>
                <w:szCs w:val="21"/>
                <w:highlight w:val="none"/>
              </w:rPr>
              <w:t>”</w:t>
            </w:r>
            <w:r>
              <w:rPr>
                <w:rFonts w:hint="eastAsia" w:cs="宋体"/>
                <w:color w:val="auto"/>
                <w:szCs w:val="21"/>
                <w:highlight w:val="none"/>
              </w:rPr>
              <w:t>中</w:t>
            </w:r>
            <w:r>
              <w:rPr>
                <w:rFonts w:hint="eastAsia" w:cs="宋体"/>
                <w:b/>
                <w:bCs/>
                <w:color w:val="auto"/>
                <w:szCs w:val="21"/>
                <w:highlight w:val="none"/>
              </w:rPr>
              <w:t>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”号的为</w:t>
            </w:r>
            <w:r>
              <w:rPr>
                <w:color w:val="auto"/>
                <w:highlight w:val="none"/>
              </w:rPr>
              <w:t>重要技术</w:t>
            </w:r>
            <w:r>
              <w:rPr>
                <w:rFonts w:hint="eastAsia" w:cs="宋体"/>
                <w:color w:val="auto"/>
                <w:szCs w:val="21"/>
                <w:highlight w:val="none"/>
              </w:rPr>
              <w:t>指标，</w:t>
            </w:r>
            <w:r>
              <w:rPr>
                <w:rFonts w:hint="eastAsia" w:cs="宋体"/>
                <w:b/>
                <w:bCs/>
                <w:color w:val="auto"/>
                <w:szCs w:val="21"/>
                <w:highlight w:val="none"/>
              </w:rPr>
              <w:t>共</w:t>
            </w:r>
            <w:r>
              <w:rPr>
                <w:rFonts w:hint="eastAsia" w:cs="宋体"/>
                <w:b/>
                <w:bCs/>
                <w:color w:val="auto"/>
                <w:szCs w:val="21"/>
                <w:highlight w:val="none"/>
                <w:lang w:val="en-US" w:eastAsia="zh-CN"/>
              </w:rPr>
              <w:t>6</w:t>
            </w:r>
            <w:r>
              <w:rPr>
                <w:rFonts w:hint="eastAsia" w:cs="宋体"/>
                <w:b/>
                <w:bCs/>
                <w:color w:val="auto"/>
                <w:szCs w:val="21"/>
                <w:highlight w:val="none"/>
              </w:rPr>
              <w:t>条</w:t>
            </w:r>
            <w:r>
              <w:rPr>
                <w:rFonts w:hint="eastAsia" w:cs="宋体"/>
                <w:color w:val="auto"/>
                <w:szCs w:val="21"/>
                <w:highlight w:val="none"/>
              </w:rPr>
              <w:t>，</w:t>
            </w:r>
            <w:r>
              <w:rPr>
                <w:rFonts w:hint="eastAsia" w:cs="宋体"/>
                <w:color w:val="auto"/>
                <w:szCs w:val="21"/>
                <w:highlight w:val="none"/>
                <w:lang w:val="en-US" w:eastAsia="zh-CN"/>
              </w:rPr>
              <w:t>每条</w:t>
            </w:r>
            <w:r>
              <w:rPr>
                <w:rFonts w:hint="eastAsia" w:cs="宋体"/>
                <w:b/>
                <w:bCs/>
                <w:color w:val="auto"/>
                <w:szCs w:val="21"/>
                <w:highlight w:val="none"/>
              </w:rPr>
              <w:t>标注</w:t>
            </w:r>
            <w:r>
              <w:rPr>
                <w:rFonts w:hint="eastAsia" w:cs="宋体"/>
                <w:color w:val="auto"/>
                <w:szCs w:val="21"/>
                <w:highlight w:val="none"/>
              </w:rPr>
              <w:t>“▲”号的</w:t>
            </w:r>
            <w:r>
              <w:rPr>
                <w:color w:val="auto"/>
                <w:highlight w:val="none"/>
              </w:rPr>
              <w:t>重要技术</w:t>
            </w:r>
            <w:r>
              <w:rPr>
                <w:rFonts w:hint="eastAsia" w:cs="宋体"/>
                <w:color w:val="auto"/>
                <w:szCs w:val="21"/>
                <w:highlight w:val="none"/>
              </w:rPr>
              <w:t>指标参数满足招标文件要求的，</w:t>
            </w:r>
            <w:r>
              <w:rPr>
                <w:rFonts w:hint="eastAsia" w:cs="宋体"/>
                <w:b/>
                <w:bCs/>
                <w:color w:val="auto"/>
                <w:szCs w:val="21"/>
                <w:highlight w:val="none"/>
              </w:rPr>
              <w:t>得</w:t>
            </w:r>
            <w:r>
              <w:rPr>
                <w:rFonts w:hint="eastAsia" w:cs="宋体"/>
                <w:b/>
                <w:bCs/>
                <w:color w:val="auto"/>
                <w:szCs w:val="21"/>
                <w:highlight w:val="none"/>
                <w:lang w:val="en-US" w:eastAsia="zh-CN"/>
              </w:rPr>
              <w:t>1</w:t>
            </w:r>
            <w:r>
              <w:rPr>
                <w:rFonts w:hint="eastAsia" w:cs="宋体"/>
                <w:b/>
                <w:bCs/>
                <w:color w:val="auto"/>
                <w:szCs w:val="21"/>
                <w:highlight w:val="none"/>
              </w:rPr>
              <w:t>分，</w:t>
            </w:r>
            <w:r>
              <w:rPr>
                <w:rFonts w:hint="eastAsia" w:cs="宋体"/>
                <w:color w:val="auto"/>
                <w:szCs w:val="21"/>
                <w:highlight w:val="none"/>
              </w:rPr>
              <w:t>否则不得分</w:t>
            </w:r>
            <w:r>
              <w:rPr>
                <w:rFonts w:hint="eastAsia" w:cs="宋体"/>
                <w:b w:val="0"/>
                <w:bCs w:val="0"/>
                <w:color w:val="auto"/>
                <w:szCs w:val="21"/>
                <w:highlight w:val="none"/>
                <w:lang w:val="en-US" w:eastAsia="zh-CN"/>
              </w:rPr>
              <w:t>，</w:t>
            </w:r>
            <w:r>
              <w:rPr>
                <w:rFonts w:hint="eastAsia" w:cs="宋体"/>
                <w:b/>
                <w:bCs/>
                <w:color w:val="auto"/>
                <w:szCs w:val="21"/>
                <w:highlight w:val="none"/>
                <w:lang w:val="en-US" w:eastAsia="zh-CN"/>
              </w:rPr>
              <w:t>满分6分</w:t>
            </w:r>
            <w:r>
              <w:rPr>
                <w:rFonts w:hint="eastAsia" w:cs="宋体"/>
                <w:b/>
                <w:bCs/>
                <w:color w:val="auto"/>
                <w:szCs w:val="21"/>
                <w:highlight w:val="none"/>
                <w:lang w:eastAsia="zh-CN"/>
              </w:rPr>
              <w:t>。</w:t>
            </w:r>
          </w:p>
          <w:p w14:paraId="41B4418D">
            <w:pPr>
              <w:snapToGrid w:val="0"/>
              <w:rPr>
                <w:rFonts w:cs="宋体"/>
                <w:b/>
                <w:bCs/>
                <w:color w:val="FF0000"/>
                <w:szCs w:val="21"/>
                <w:highlight w:val="none"/>
              </w:rPr>
            </w:pPr>
            <w:r>
              <w:rPr>
                <w:rFonts w:hint="eastAsia" w:cs="宋体"/>
                <w:b/>
                <w:bCs/>
                <w:color w:val="auto"/>
                <w:szCs w:val="21"/>
                <w:highlight w:val="none"/>
              </w:rPr>
              <w:t>2、</w:t>
            </w:r>
            <w:r>
              <w:rPr>
                <w:rFonts w:hint="eastAsia"/>
                <w:color w:val="auto"/>
                <w:szCs w:val="8"/>
                <w:highlight w:val="none"/>
              </w:rPr>
              <w:t>招标文件</w:t>
            </w:r>
            <w:r>
              <w:rPr>
                <w:rFonts w:hint="eastAsia" w:cs="宋体"/>
                <w:color w:val="auto"/>
                <w:szCs w:val="21"/>
                <w:highlight w:val="none"/>
              </w:rPr>
              <w:t>第五章</w:t>
            </w:r>
            <w:r>
              <w:rPr>
                <w:rFonts w:hint="eastAsia" w:cs="宋体"/>
                <w:b/>
                <w:bCs/>
                <w:color w:val="auto"/>
                <w:szCs w:val="21"/>
                <w:highlight w:val="none"/>
              </w:rPr>
              <w:t>“</w:t>
            </w:r>
            <w:r>
              <w:rPr>
                <w:rFonts w:hint="eastAsia"/>
                <w:b/>
                <w:color w:val="auto"/>
                <w:szCs w:val="21"/>
                <w:highlight w:val="none"/>
                <w:lang w:val="en-US" w:eastAsia="zh-CN"/>
              </w:rPr>
              <w:t>采购需求</w:t>
            </w:r>
            <w:r>
              <w:rPr>
                <w:rFonts w:hint="eastAsia"/>
                <w:b/>
                <w:color w:val="auto"/>
                <w:szCs w:val="21"/>
                <w:highlight w:val="none"/>
              </w:rPr>
              <w:t xml:space="preserve"> </w:t>
            </w:r>
            <w:r>
              <w:rPr>
                <w:rFonts w:hint="eastAsia"/>
                <w:b/>
                <w:color w:val="auto"/>
                <w:szCs w:val="21"/>
                <w:highlight w:val="none"/>
                <w:lang w:val="en-US" w:eastAsia="zh-CN"/>
              </w:rPr>
              <w:t xml:space="preserve"> 一</w:t>
            </w:r>
            <w:r>
              <w:rPr>
                <w:rFonts w:hint="eastAsia"/>
                <w:b/>
                <w:color w:val="auto"/>
                <w:szCs w:val="21"/>
                <w:highlight w:val="none"/>
              </w:rPr>
              <w:t>、技术参数要求</w:t>
            </w:r>
            <w:r>
              <w:rPr>
                <w:rFonts w:hint="eastAsia"/>
                <w:b/>
                <w:color w:val="auto"/>
                <w:szCs w:val="21"/>
                <w:highlight w:val="none"/>
                <w:lang w:eastAsia="zh-CN"/>
              </w:rPr>
              <w:t>（</w:t>
            </w:r>
            <w:r>
              <w:rPr>
                <w:rFonts w:hint="eastAsia"/>
                <w:b/>
                <w:color w:val="auto"/>
                <w:szCs w:val="21"/>
                <w:highlight w:val="none"/>
                <w:lang w:val="en-US" w:eastAsia="zh-CN"/>
              </w:rPr>
              <w:t>C包</w:t>
            </w:r>
            <w:r>
              <w:rPr>
                <w:rFonts w:hint="eastAsia"/>
                <w:b/>
                <w:color w:val="auto"/>
                <w:szCs w:val="21"/>
                <w:highlight w:val="none"/>
                <w:lang w:eastAsia="zh-CN"/>
              </w:rPr>
              <w:t>）</w:t>
            </w:r>
            <w:r>
              <w:rPr>
                <w:rFonts w:hint="eastAsia" w:cs="宋体"/>
                <w:b/>
                <w:bCs/>
                <w:color w:val="auto"/>
                <w:szCs w:val="21"/>
                <w:highlight w:val="none"/>
              </w:rPr>
              <w:t>”</w:t>
            </w:r>
            <w:r>
              <w:rPr>
                <w:rFonts w:hint="eastAsia" w:cs="宋体"/>
                <w:color w:val="auto"/>
                <w:szCs w:val="21"/>
                <w:highlight w:val="none"/>
              </w:rPr>
              <w:t>中</w:t>
            </w:r>
            <w:r>
              <w:rPr>
                <w:rFonts w:hint="eastAsia" w:cs="宋体"/>
                <w:b/>
                <w:bCs/>
                <w:color w:val="auto"/>
                <w:szCs w:val="21"/>
                <w:highlight w:val="none"/>
              </w:rPr>
              <w:t>未标注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”号的为</w:t>
            </w:r>
            <w:r>
              <w:rPr>
                <w:rFonts w:hint="eastAsia"/>
                <w:color w:val="auto"/>
                <w:highlight w:val="none"/>
              </w:rPr>
              <w:t>一般</w:t>
            </w:r>
            <w:r>
              <w:rPr>
                <w:color w:val="auto"/>
                <w:highlight w:val="none"/>
              </w:rPr>
              <w:t>技术</w:t>
            </w:r>
            <w:r>
              <w:rPr>
                <w:rFonts w:hint="eastAsia" w:cs="宋体"/>
                <w:color w:val="auto"/>
                <w:szCs w:val="21"/>
                <w:highlight w:val="none"/>
              </w:rPr>
              <w:t>指标，</w:t>
            </w:r>
            <w:r>
              <w:rPr>
                <w:rFonts w:hint="eastAsia" w:cs="宋体"/>
                <w:b/>
                <w:bCs/>
                <w:color w:val="auto"/>
                <w:szCs w:val="21"/>
                <w:highlight w:val="none"/>
              </w:rPr>
              <w:t>共</w:t>
            </w:r>
            <w:r>
              <w:rPr>
                <w:rFonts w:hint="eastAsia" w:cs="宋体"/>
                <w:b/>
                <w:bCs/>
                <w:color w:val="auto"/>
                <w:szCs w:val="21"/>
                <w:highlight w:val="none"/>
                <w:lang w:val="en-US" w:eastAsia="zh-CN"/>
              </w:rPr>
              <w:t>52条</w:t>
            </w:r>
            <w:r>
              <w:rPr>
                <w:rFonts w:hint="eastAsia" w:cs="宋体"/>
                <w:color w:val="auto"/>
                <w:szCs w:val="21"/>
                <w:highlight w:val="none"/>
              </w:rPr>
              <w:t>，每</w:t>
            </w:r>
            <w:r>
              <w:rPr>
                <w:rFonts w:hint="eastAsia" w:cs="宋体"/>
                <w:color w:val="auto"/>
                <w:szCs w:val="21"/>
                <w:highlight w:val="none"/>
                <w:lang w:val="en-US" w:eastAsia="zh-CN"/>
              </w:rPr>
              <w:t>条</w:t>
            </w:r>
            <w:r>
              <w:rPr>
                <w:rFonts w:hint="eastAsia" w:cs="宋体"/>
                <w:b/>
                <w:bCs/>
                <w:color w:val="auto"/>
                <w:szCs w:val="21"/>
                <w:highlight w:val="none"/>
              </w:rPr>
              <w:t>未标注</w:t>
            </w:r>
            <w:r>
              <w:rPr>
                <w:rFonts w:hint="eastAsia" w:cs="宋体"/>
                <w:color w:val="auto"/>
                <w:szCs w:val="21"/>
                <w:highlight w:val="none"/>
              </w:rPr>
              <w:t>“</w:t>
            </w:r>
            <w:r>
              <w:rPr>
                <w:rFonts w:cs="宋体"/>
                <w:color w:val="auto"/>
                <w:kern w:val="0"/>
                <w:szCs w:val="21"/>
                <w:highlight w:val="none"/>
                <w:lang w:bidi="ar"/>
              </w:rPr>
              <w:t>▲</w:t>
            </w:r>
            <w:r>
              <w:rPr>
                <w:rFonts w:hint="eastAsia" w:cs="宋体"/>
                <w:color w:val="auto"/>
                <w:szCs w:val="21"/>
                <w:highlight w:val="none"/>
              </w:rPr>
              <w:t>”号的</w:t>
            </w:r>
            <w:r>
              <w:rPr>
                <w:rFonts w:hint="eastAsia"/>
                <w:color w:val="auto"/>
                <w:highlight w:val="none"/>
              </w:rPr>
              <w:t>一般</w:t>
            </w:r>
            <w:r>
              <w:rPr>
                <w:color w:val="auto"/>
                <w:highlight w:val="none"/>
              </w:rPr>
              <w:t>技术</w:t>
            </w:r>
            <w:r>
              <w:rPr>
                <w:rFonts w:hint="eastAsia" w:cs="宋体"/>
                <w:color w:val="auto"/>
                <w:szCs w:val="21"/>
                <w:highlight w:val="none"/>
              </w:rPr>
              <w:t>指标参数满足招标文件要求的，</w:t>
            </w:r>
            <w:r>
              <w:rPr>
                <w:rFonts w:hint="eastAsia" w:cs="宋体"/>
                <w:b/>
                <w:bCs/>
                <w:color w:val="auto"/>
                <w:szCs w:val="21"/>
                <w:highlight w:val="none"/>
              </w:rPr>
              <w:t>得</w:t>
            </w:r>
            <w:r>
              <w:rPr>
                <w:rFonts w:hint="eastAsia" w:cs="宋体"/>
                <w:b/>
                <w:bCs/>
                <w:color w:val="auto"/>
                <w:szCs w:val="21"/>
                <w:highlight w:val="none"/>
                <w:lang w:val="en-US" w:eastAsia="zh-CN"/>
              </w:rPr>
              <w:t>0.5</w:t>
            </w:r>
            <w:r>
              <w:rPr>
                <w:rFonts w:hint="eastAsia" w:cs="宋体"/>
                <w:b/>
                <w:bCs/>
                <w:color w:val="auto"/>
                <w:szCs w:val="21"/>
                <w:highlight w:val="none"/>
              </w:rPr>
              <w:t>分，</w:t>
            </w:r>
            <w:r>
              <w:rPr>
                <w:rFonts w:hint="eastAsia" w:cs="宋体"/>
                <w:color w:val="auto"/>
                <w:szCs w:val="21"/>
                <w:highlight w:val="none"/>
              </w:rPr>
              <w:t>否则不得分，</w:t>
            </w:r>
            <w:r>
              <w:rPr>
                <w:rFonts w:hint="eastAsia" w:cs="宋体"/>
                <w:b/>
                <w:bCs/>
                <w:color w:val="auto"/>
                <w:szCs w:val="21"/>
                <w:highlight w:val="none"/>
                <w:lang w:val="en-US" w:eastAsia="zh-CN"/>
              </w:rPr>
              <w:t>满分26</w:t>
            </w:r>
            <w:r>
              <w:rPr>
                <w:rFonts w:hint="eastAsia" w:cs="宋体"/>
                <w:b/>
                <w:bCs/>
                <w:color w:val="auto"/>
                <w:szCs w:val="21"/>
                <w:highlight w:val="none"/>
              </w:rPr>
              <w:t>分。</w:t>
            </w:r>
          </w:p>
          <w:p w14:paraId="6297ABDD">
            <w:pPr>
              <w:snapToGrid w:val="0"/>
              <w:rPr>
                <w:rFonts w:cs="宋体"/>
                <w:b/>
                <w:bCs/>
                <w:color w:val="auto"/>
                <w:szCs w:val="21"/>
                <w:highlight w:val="none"/>
              </w:rPr>
            </w:pPr>
            <w:r>
              <w:rPr>
                <w:rFonts w:hint="eastAsia" w:cs="宋体"/>
                <w:b/>
                <w:bCs/>
                <w:color w:val="auto"/>
                <w:szCs w:val="21"/>
                <w:highlight w:val="none"/>
              </w:rPr>
              <w:t>注：1、技术参数指标均需按要求提供相关证明资料，评委根据证明资料内容判断功能的符合性。</w:t>
            </w:r>
          </w:p>
          <w:p w14:paraId="7AAB917E">
            <w:pPr>
              <w:snapToGrid w:val="0"/>
              <w:rPr>
                <w:rFonts w:hint="eastAsia" w:cs="宋体"/>
                <w:b/>
                <w:bCs/>
                <w:color w:val="auto"/>
                <w:szCs w:val="21"/>
                <w:highlight w:val="none"/>
              </w:rPr>
            </w:pPr>
            <w:r>
              <w:rPr>
                <w:rFonts w:hint="eastAsia" w:cs="宋体"/>
                <w:b/>
                <w:bCs/>
                <w:color w:val="auto"/>
                <w:szCs w:val="21"/>
                <w:highlight w:val="none"/>
              </w:rPr>
              <w:t>2、投标人拟投产品出现任意内容不满足对应技术指标项下的内容，即视为不满足该项技术指标。</w:t>
            </w:r>
          </w:p>
          <w:p w14:paraId="7003D6EB">
            <w:pPr>
              <w:adjustRightInd w:val="0"/>
              <w:snapToGrid w:val="0"/>
              <w:rPr>
                <w:rFonts w:hint="eastAsia" w:cs="宋体"/>
                <w:b/>
                <w:bCs/>
                <w:color w:val="auto"/>
                <w:szCs w:val="21"/>
                <w:highlight w:val="none"/>
              </w:rPr>
            </w:pPr>
            <w:r>
              <w:rPr>
                <w:rFonts w:cs="宋体"/>
                <w:b/>
                <w:bCs/>
                <w:color w:val="auto"/>
                <w:szCs w:val="21"/>
                <w:highlight w:val="none"/>
              </w:rPr>
              <w:t>3</w:t>
            </w:r>
            <w:r>
              <w:rPr>
                <w:rFonts w:hint="eastAsia" w:cs="宋体"/>
                <w:b/>
                <w:bCs/>
                <w:color w:val="auto"/>
                <w:szCs w:val="21"/>
                <w:highlight w:val="none"/>
              </w:rPr>
              <w:t>.技术指标的响应程度的评审参考投标人提供的技术偏离表，具体以投标人提供的技术指标的证明材料响应程度为准。</w:t>
            </w:r>
          </w:p>
        </w:tc>
      </w:tr>
      <w:tr w14:paraId="4E66C9C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417" w:hRule="atLeast"/>
          <w:jc w:val="center"/>
        </w:trPr>
        <w:tc>
          <w:tcPr>
            <w:tcW w:w="817" w:type="dxa"/>
            <w:vMerge w:val="continue"/>
            <w:tcBorders>
              <w:tl2br w:val="nil"/>
              <w:tr2bl w:val="nil"/>
            </w:tcBorders>
            <w:noWrap/>
            <w:vAlign w:val="center"/>
          </w:tcPr>
          <w:p w14:paraId="4F9A3B64">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7B80A17C">
            <w:pPr>
              <w:jc w:val="center"/>
              <w:rPr>
                <w:rFonts w:hint="eastAsia" w:cs="宋体"/>
                <w:b/>
                <w:bCs/>
                <w:color w:val="auto"/>
                <w:szCs w:val="21"/>
                <w:highlight w:val="none"/>
              </w:rPr>
            </w:pPr>
          </w:p>
        </w:tc>
        <w:tc>
          <w:tcPr>
            <w:tcW w:w="1559" w:type="dxa"/>
            <w:tcBorders>
              <w:tl2br w:val="nil"/>
              <w:tr2bl w:val="nil"/>
            </w:tcBorders>
            <w:noWrap/>
            <w:vAlign w:val="center"/>
          </w:tcPr>
          <w:p w14:paraId="26EFCE27">
            <w:pPr>
              <w:jc w:val="center"/>
              <w:rPr>
                <w:rFonts w:hint="eastAsia" w:cs="宋体"/>
                <w:b/>
                <w:bCs/>
                <w:color w:val="auto"/>
                <w:szCs w:val="21"/>
                <w:highlight w:val="none"/>
              </w:rPr>
            </w:pPr>
            <w:r>
              <w:rPr>
                <w:rFonts w:hint="eastAsia" w:cs="宋体"/>
                <w:b/>
                <w:bCs/>
                <w:color w:val="auto"/>
                <w:szCs w:val="21"/>
                <w:highlight w:val="none"/>
              </w:rPr>
              <w:t>样品评审</w:t>
            </w:r>
          </w:p>
          <w:p w14:paraId="5D553BE6">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12</w:t>
            </w:r>
            <w:r>
              <w:rPr>
                <w:rFonts w:hint="eastAsia" w:cs="宋体"/>
                <w:b/>
                <w:bCs/>
                <w:color w:val="auto"/>
                <w:szCs w:val="21"/>
                <w:highlight w:val="none"/>
              </w:rPr>
              <w:t>分）</w:t>
            </w:r>
          </w:p>
        </w:tc>
        <w:tc>
          <w:tcPr>
            <w:tcW w:w="6877" w:type="dxa"/>
            <w:tcBorders>
              <w:tl2br w:val="nil"/>
              <w:tr2bl w:val="nil"/>
            </w:tcBorders>
            <w:noWrap/>
            <w:vAlign w:val="center"/>
          </w:tcPr>
          <w:p w14:paraId="6A418296">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对投标人提供的样品，防火扑火服A类1套，防火扑火服B类1套，中帮胶靴A类1双，中帮胶靴B类1双，防火头盔B类1顶（含头盔、护目镜、防爆手电筒），防火头套B类1套，腰带B类1条，防火手套B类1双进行评审。</w:t>
            </w:r>
          </w:p>
          <w:p w14:paraId="3E8F54B9">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1、防火扑火服A类、防火扑火服B类、防火头套B类、防火手套B类样品（满分3分）</w:t>
            </w:r>
          </w:p>
          <w:p w14:paraId="12513046">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（1）</w:t>
            </w:r>
            <w:r>
              <w:rPr>
                <w:rFonts w:hint="eastAsia" w:cs="宋体"/>
                <w:b w:val="0"/>
                <w:bCs w:val="0"/>
                <w:color w:val="auto"/>
                <w:szCs w:val="21"/>
                <w:highlight w:val="none"/>
                <w:lang w:val="en-US" w:eastAsia="zh-CN"/>
              </w:rPr>
              <w:t>样品缝制线路顺直，缝合牢固，无开线、断线且缝线与样品颜色保持一致的得1分；</w:t>
            </w:r>
          </w:p>
          <w:p w14:paraId="5E258837">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（2）</w:t>
            </w:r>
            <w:r>
              <w:rPr>
                <w:rFonts w:hint="eastAsia" w:cs="宋体"/>
                <w:b w:val="0"/>
                <w:bCs w:val="0"/>
                <w:color w:val="auto"/>
                <w:szCs w:val="21"/>
                <w:highlight w:val="none"/>
                <w:lang w:val="en-US" w:eastAsia="zh-CN"/>
              </w:rPr>
              <w:t>样品现场拉拽测试无形变的得1分；</w:t>
            </w:r>
          </w:p>
          <w:p w14:paraId="382DF3C0">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（3）</w:t>
            </w:r>
            <w:r>
              <w:rPr>
                <w:rFonts w:hint="eastAsia" w:cs="宋体"/>
                <w:b w:val="0"/>
                <w:bCs w:val="0"/>
                <w:color w:val="auto"/>
                <w:szCs w:val="21"/>
                <w:highlight w:val="none"/>
                <w:lang w:val="en-US" w:eastAsia="zh-CN"/>
              </w:rPr>
              <w:t>样品无刺鼻异味的得1分。</w:t>
            </w:r>
          </w:p>
          <w:p w14:paraId="6078F3AF">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注：未提供投标样品的不得分。</w:t>
            </w:r>
          </w:p>
          <w:p w14:paraId="63F221B5">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2、中帮胶靴A类、中帮胶靴B类样品（满分3分）</w:t>
            </w:r>
          </w:p>
          <w:p w14:paraId="30868F9B">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（1）</w:t>
            </w:r>
            <w:r>
              <w:rPr>
                <w:rFonts w:hint="eastAsia" w:cs="宋体"/>
                <w:b w:val="0"/>
                <w:bCs w:val="0"/>
                <w:color w:val="auto"/>
                <w:szCs w:val="21"/>
                <w:highlight w:val="none"/>
                <w:lang w:val="en-US" w:eastAsia="zh-CN"/>
              </w:rPr>
              <w:t>样品做工精细无瑕疵，粘胶牢固，无脱胶的得1分；</w:t>
            </w:r>
          </w:p>
          <w:p w14:paraId="6B84DD15">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（2）</w:t>
            </w:r>
            <w:r>
              <w:rPr>
                <w:rFonts w:hint="eastAsia" w:cs="宋体"/>
                <w:b w:val="0"/>
                <w:bCs w:val="0"/>
                <w:color w:val="auto"/>
                <w:szCs w:val="21"/>
                <w:highlight w:val="none"/>
                <w:lang w:val="en-US" w:eastAsia="zh-CN"/>
              </w:rPr>
              <w:t>样品现场弯折测试无形变的得1分；</w:t>
            </w:r>
          </w:p>
          <w:p w14:paraId="3329558F">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（3）</w:t>
            </w:r>
            <w:r>
              <w:rPr>
                <w:rFonts w:hint="eastAsia" w:cs="宋体"/>
                <w:b w:val="0"/>
                <w:bCs w:val="0"/>
                <w:color w:val="auto"/>
                <w:szCs w:val="21"/>
                <w:highlight w:val="none"/>
                <w:lang w:val="en-US" w:eastAsia="zh-CN"/>
              </w:rPr>
              <w:t>样品无刺鼻异味的得1分。</w:t>
            </w:r>
          </w:p>
          <w:p w14:paraId="454225D4">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注：未提供投标样品的不得分。</w:t>
            </w:r>
          </w:p>
          <w:p w14:paraId="5725A570">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3、防火头盔B类样品（满分3分）</w:t>
            </w:r>
          </w:p>
          <w:p w14:paraId="60B2C864">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（1）</w:t>
            </w:r>
            <w:r>
              <w:rPr>
                <w:rFonts w:hint="eastAsia" w:cs="宋体"/>
                <w:b w:val="0"/>
                <w:bCs w:val="0"/>
                <w:color w:val="auto"/>
                <w:szCs w:val="21"/>
                <w:highlight w:val="none"/>
                <w:lang w:val="en-US" w:eastAsia="zh-CN"/>
              </w:rPr>
              <w:t>样品做工精细无瑕疵，无形变的得1分；</w:t>
            </w:r>
          </w:p>
          <w:p w14:paraId="752D0F0F">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（2）</w:t>
            </w:r>
            <w:r>
              <w:rPr>
                <w:rFonts w:hint="eastAsia" w:cs="宋体"/>
                <w:b w:val="0"/>
                <w:bCs w:val="0"/>
                <w:color w:val="auto"/>
                <w:szCs w:val="21"/>
                <w:highlight w:val="none"/>
                <w:lang w:val="en-US" w:eastAsia="zh-CN"/>
              </w:rPr>
              <w:t>样品头箍调节灵活，适合多种头型的得1分；</w:t>
            </w:r>
          </w:p>
          <w:p w14:paraId="3A5AF8D1">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（3）</w:t>
            </w:r>
            <w:r>
              <w:rPr>
                <w:rFonts w:hint="eastAsia" w:cs="宋体"/>
                <w:b w:val="0"/>
                <w:bCs w:val="0"/>
                <w:color w:val="auto"/>
                <w:szCs w:val="21"/>
                <w:highlight w:val="none"/>
                <w:lang w:val="en-US" w:eastAsia="zh-CN"/>
              </w:rPr>
              <w:t>样品卡扣可单手操作的得1分。</w:t>
            </w:r>
          </w:p>
          <w:p w14:paraId="122E9E8E">
            <w:pPr>
              <w:adjustRightInd w:val="0"/>
              <w:snapToGrid w:val="0"/>
              <w:rPr>
                <w:rFonts w:hint="eastAsia" w:cs="宋体"/>
                <w:b w:val="0"/>
                <w:bCs w:val="0"/>
                <w:color w:val="auto"/>
                <w:szCs w:val="21"/>
                <w:highlight w:val="none"/>
                <w:lang w:val="en-US" w:eastAsia="zh-CN"/>
              </w:rPr>
            </w:pPr>
            <w:r>
              <w:rPr>
                <w:rFonts w:hint="eastAsia" w:cs="宋体"/>
                <w:b/>
                <w:bCs/>
                <w:color w:val="auto"/>
                <w:szCs w:val="21"/>
                <w:highlight w:val="none"/>
                <w:lang w:val="en-US" w:eastAsia="zh-CN"/>
              </w:rPr>
              <w:t>注：未提供投标样品或所提供样品不齐全的不得分。</w:t>
            </w:r>
          </w:p>
          <w:p w14:paraId="0954F799">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4、腰带B类样品（满分3分）</w:t>
            </w:r>
          </w:p>
          <w:p w14:paraId="3AD8A078">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（1）</w:t>
            </w:r>
            <w:r>
              <w:rPr>
                <w:rFonts w:hint="eastAsia" w:cs="宋体"/>
                <w:b w:val="0"/>
                <w:bCs w:val="0"/>
                <w:color w:val="auto"/>
                <w:szCs w:val="21"/>
                <w:highlight w:val="none"/>
                <w:lang w:val="en-US" w:eastAsia="zh-CN"/>
              </w:rPr>
              <w:t>样品做工精细无瑕疵，缝合牢固，无断线的得1分；</w:t>
            </w:r>
          </w:p>
          <w:p w14:paraId="642422C4">
            <w:pPr>
              <w:adjustRightInd w:val="0"/>
              <w:snapToGrid w:val="0"/>
              <w:rPr>
                <w:rFonts w:hint="default" w:cs="宋体"/>
                <w:b/>
                <w:bCs/>
                <w:color w:val="auto"/>
                <w:szCs w:val="21"/>
                <w:highlight w:val="none"/>
                <w:lang w:val="en-US" w:eastAsia="zh-CN"/>
              </w:rPr>
            </w:pPr>
            <w:r>
              <w:rPr>
                <w:rFonts w:hint="eastAsia" w:cs="宋体"/>
                <w:b/>
                <w:bCs/>
                <w:color w:val="auto"/>
                <w:szCs w:val="21"/>
                <w:highlight w:val="none"/>
                <w:lang w:val="en-US" w:eastAsia="zh-CN"/>
              </w:rPr>
              <w:t>（2）</w:t>
            </w:r>
            <w:r>
              <w:rPr>
                <w:rFonts w:hint="eastAsia" w:cs="宋体"/>
                <w:b w:val="0"/>
                <w:bCs w:val="0"/>
                <w:color w:val="auto"/>
                <w:szCs w:val="21"/>
                <w:highlight w:val="none"/>
                <w:lang w:val="en-US" w:eastAsia="zh-CN"/>
              </w:rPr>
              <w:t>样品扣舌接触面横向设有防滑纹的得1分；</w:t>
            </w:r>
          </w:p>
          <w:p w14:paraId="6DB1352E">
            <w:pPr>
              <w:adjustRightInd w:val="0"/>
              <w:snapToGrid w:val="0"/>
              <w:rPr>
                <w:rFonts w:hint="eastAsia" w:cs="宋体"/>
                <w:b/>
                <w:bCs/>
                <w:color w:val="auto"/>
                <w:szCs w:val="21"/>
                <w:highlight w:val="none"/>
                <w:lang w:val="en-US" w:eastAsia="zh-CN"/>
              </w:rPr>
            </w:pPr>
            <w:r>
              <w:rPr>
                <w:rFonts w:hint="eastAsia" w:cs="宋体"/>
                <w:b/>
                <w:bCs/>
                <w:color w:val="auto"/>
                <w:szCs w:val="21"/>
                <w:highlight w:val="none"/>
                <w:lang w:val="en-US" w:eastAsia="zh-CN"/>
              </w:rPr>
              <w:t>（3）</w:t>
            </w:r>
            <w:r>
              <w:rPr>
                <w:rFonts w:hint="eastAsia" w:cs="宋体"/>
                <w:b w:val="0"/>
                <w:bCs w:val="0"/>
                <w:color w:val="auto"/>
                <w:szCs w:val="21"/>
                <w:highlight w:val="none"/>
                <w:lang w:val="en-US" w:eastAsia="zh-CN"/>
              </w:rPr>
              <w:t>样品现场拉拽测试无形变的得1分。</w:t>
            </w:r>
          </w:p>
          <w:p w14:paraId="43FA49B5">
            <w:pPr>
              <w:adjustRightInd w:val="0"/>
              <w:snapToGrid w:val="0"/>
              <w:rPr>
                <w:rFonts w:hint="eastAsia" w:cs="宋体"/>
                <w:b w:val="0"/>
                <w:bCs w:val="0"/>
                <w:color w:val="auto"/>
                <w:szCs w:val="21"/>
                <w:highlight w:val="none"/>
                <w:lang w:val="en-US" w:eastAsia="zh-CN"/>
              </w:rPr>
            </w:pPr>
            <w:r>
              <w:rPr>
                <w:rFonts w:hint="eastAsia" w:cs="宋体"/>
                <w:b/>
                <w:bCs/>
                <w:color w:val="auto"/>
                <w:szCs w:val="21"/>
                <w:highlight w:val="none"/>
                <w:lang w:val="en-US" w:eastAsia="zh-CN"/>
              </w:rPr>
              <w:t>注：未提供投标样品的不得分。</w:t>
            </w:r>
          </w:p>
        </w:tc>
      </w:tr>
      <w:tr w14:paraId="50AFAB6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27" w:hRule="atLeast"/>
          <w:jc w:val="center"/>
        </w:trPr>
        <w:tc>
          <w:tcPr>
            <w:tcW w:w="817" w:type="dxa"/>
            <w:vMerge w:val="continue"/>
            <w:tcBorders>
              <w:tl2br w:val="nil"/>
              <w:tr2bl w:val="nil"/>
            </w:tcBorders>
            <w:noWrap/>
            <w:vAlign w:val="center"/>
          </w:tcPr>
          <w:p w14:paraId="75A5842A">
            <w:pPr>
              <w:jc w:val="left"/>
              <w:rPr>
                <w:rFonts w:hint="eastAsia" w:cs="宋体"/>
                <w:b/>
                <w:bCs/>
                <w:color w:val="auto"/>
                <w:szCs w:val="21"/>
                <w:highlight w:val="none"/>
              </w:rPr>
            </w:pPr>
          </w:p>
        </w:tc>
        <w:tc>
          <w:tcPr>
            <w:tcW w:w="709" w:type="dxa"/>
            <w:vMerge w:val="continue"/>
            <w:tcBorders>
              <w:tl2br w:val="nil"/>
              <w:tr2bl w:val="nil"/>
            </w:tcBorders>
            <w:noWrap/>
            <w:vAlign w:val="center"/>
          </w:tcPr>
          <w:p w14:paraId="69EA73BF">
            <w:pPr>
              <w:jc w:val="left"/>
              <w:rPr>
                <w:rFonts w:hint="eastAsia" w:cs="宋体"/>
                <w:b/>
                <w:bCs/>
                <w:color w:val="auto"/>
                <w:szCs w:val="21"/>
                <w:highlight w:val="none"/>
              </w:rPr>
            </w:pPr>
          </w:p>
        </w:tc>
        <w:tc>
          <w:tcPr>
            <w:tcW w:w="8436" w:type="dxa"/>
            <w:gridSpan w:val="2"/>
            <w:tcBorders>
              <w:tl2br w:val="nil"/>
              <w:tr2bl w:val="nil"/>
            </w:tcBorders>
            <w:noWrap/>
            <w:vAlign w:val="center"/>
          </w:tcPr>
          <w:p w14:paraId="01912C68">
            <w:pPr>
              <w:jc w:val="left"/>
              <w:rPr>
                <w:rFonts w:hint="eastAsia" w:cs="宋体"/>
                <w:b/>
                <w:bCs/>
                <w:color w:val="auto"/>
                <w:szCs w:val="21"/>
                <w:highlight w:val="none"/>
              </w:rPr>
            </w:pPr>
            <w:r>
              <w:rPr>
                <w:rFonts w:hint="eastAsia" w:cs="宋体"/>
                <w:b/>
                <w:color w:val="auto"/>
                <w:szCs w:val="21"/>
                <w:highlight w:val="none"/>
              </w:rPr>
              <w:t>备注：根据进入详细评审的投标人的投标文件，对评分因素的响应情况进行打分。</w:t>
            </w:r>
          </w:p>
        </w:tc>
      </w:tr>
      <w:tr w14:paraId="2CA5DDB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439" w:hRule="atLeast"/>
          <w:jc w:val="center"/>
        </w:trPr>
        <w:tc>
          <w:tcPr>
            <w:tcW w:w="817" w:type="dxa"/>
            <w:vMerge w:val="restart"/>
            <w:tcBorders>
              <w:tl2br w:val="nil"/>
              <w:tr2bl w:val="nil"/>
            </w:tcBorders>
            <w:noWrap/>
            <w:vAlign w:val="center"/>
          </w:tcPr>
          <w:p w14:paraId="56EEA8CD">
            <w:pPr>
              <w:jc w:val="center"/>
              <w:rPr>
                <w:rFonts w:hint="eastAsia" w:cs="宋体"/>
                <w:b/>
                <w:bCs/>
                <w:color w:val="auto"/>
                <w:kern w:val="0"/>
                <w:szCs w:val="21"/>
                <w:highlight w:val="none"/>
              </w:rPr>
            </w:pPr>
            <w:r>
              <w:rPr>
                <w:rFonts w:hint="eastAsia" w:cs="宋体"/>
                <w:b/>
                <w:bCs/>
                <w:color w:val="auto"/>
                <w:szCs w:val="21"/>
                <w:highlight w:val="none"/>
              </w:rPr>
              <w:t>3.2.2（3）</w:t>
            </w:r>
          </w:p>
        </w:tc>
        <w:tc>
          <w:tcPr>
            <w:tcW w:w="709" w:type="dxa"/>
            <w:vMerge w:val="restart"/>
            <w:tcBorders>
              <w:tl2br w:val="nil"/>
              <w:tr2bl w:val="nil"/>
            </w:tcBorders>
            <w:noWrap/>
            <w:vAlign w:val="center"/>
          </w:tcPr>
          <w:p w14:paraId="0C599A43">
            <w:pPr>
              <w:jc w:val="center"/>
              <w:rPr>
                <w:rFonts w:hint="eastAsia" w:cs="宋体"/>
                <w:b/>
                <w:bCs/>
                <w:color w:val="auto"/>
                <w:szCs w:val="21"/>
                <w:highlight w:val="none"/>
              </w:rPr>
            </w:pPr>
            <w:r>
              <w:rPr>
                <w:rFonts w:hint="eastAsia" w:cs="宋体"/>
                <w:b/>
                <w:bCs/>
                <w:color w:val="auto"/>
                <w:szCs w:val="21"/>
                <w:highlight w:val="none"/>
              </w:rPr>
              <w:t>商务部分F3</w:t>
            </w:r>
          </w:p>
          <w:p w14:paraId="4AF2715F">
            <w:pPr>
              <w:jc w:val="center"/>
              <w:rPr>
                <w:rFonts w:hint="eastAsia" w:cs="宋体"/>
                <w:b/>
                <w:bCs/>
                <w:color w:val="auto"/>
                <w:szCs w:val="21"/>
                <w:highlight w:val="none"/>
              </w:rPr>
            </w:pPr>
            <w:r>
              <w:rPr>
                <w:rFonts w:hint="eastAsia" w:cs="宋体"/>
                <w:b/>
                <w:bCs/>
                <w:color w:val="auto"/>
                <w:szCs w:val="21"/>
                <w:highlight w:val="none"/>
              </w:rPr>
              <w:t>评分标准</w:t>
            </w:r>
          </w:p>
        </w:tc>
        <w:tc>
          <w:tcPr>
            <w:tcW w:w="1559" w:type="dxa"/>
            <w:tcBorders>
              <w:tl2br w:val="nil"/>
              <w:tr2bl w:val="nil"/>
            </w:tcBorders>
            <w:noWrap/>
            <w:vAlign w:val="center"/>
          </w:tcPr>
          <w:p w14:paraId="49C2F61B">
            <w:pPr>
              <w:spacing w:line="312" w:lineRule="auto"/>
              <w:jc w:val="center"/>
              <w:rPr>
                <w:rFonts w:cs="宋体"/>
                <w:b/>
                <w:bCs/>
                <w:color w:val="auto"/>
                <w:szCs w:val="21"/>
                <w:highlight w:val="none"/>
              </w:rPr>
            </w:pPr>
            <w:r>
              <w:rPr>
                <w:rFonts w:hint="eastAsia" w:cs="宋体"/>
                <w:b/>
                <w:bCs/>
                <w:color w:val="auto"/>
                <w:szCs w:val="21"/>
                <w:highlight w:val="none"/>
              </w:rPr>
              <w:t>服务质量承诺及保障措施</w:t>
            </w:r>
          </w:p>
          <w:p w14:paraId="378DB9B2">
            <w:pPr>
              <w:jc w:val="center"/>
              <w:rPr>
                <w:rFonts w:hint="eastAsia" w:cs="宋体"/>
                <w:color w:val="auto"/>
                <w:szCs w:val="21"/>
                <w:highlight w:val="none"/>
              </w:rPr>
            </w:pPr>
            <w:r>
              <w:rPr>
                <w:rFonts w:hint="eastAsia"/>
                <w:b/>
                <w:bCs/>
                <w:color w:val="auto"/>
                <w:highlight w:val="none"/>
              </w:rPr>
              <w:t>（满分</w:t>
            </w:r>
            <w:r>
              <w:rPr>
                <w:rFonts w:hint="eastAsia"/>
                <w:b/>
                <w:bCs/>
                <w:color w:val="auto"/>
                <w:highlight w:val="none"/>
                <w:lang w:val="en-US" w:eastAsia="zh-CN"/>
              </w:rPr>
              <w:t>5</w:t>
            </w:r>
            <w:r>
              <w:rPr>
                <w:rFonts w:hint="eastAsia"/>
                <w:b/>
                <w:bCs/>
                <w:color w:val="auto"/>
                <w:highlight w:val="none"/>
              </w:rPr>
              <w:t>分）</w:t>
            </w:r>
          </w:p>
        </w:tc>
        <w:tc>
          <w:tcPr>
            <w:tcW w:w="6877" w:type="dxa"/>
            <w:tcBorders>
              <w:tl2br w:val="nil"/>
              <w:tr2bl w:val="nil"/>
            </w:tcBorders>
            <w:noWrap/>
            <w:vAlign w:val="center"/>
          </w:tcPr>
          <w:p w14:paraId="319CEC9B">
            <w:pPr>
              <w:rPr>
                <w:rFonts w:cs="宋体"/>
                <w:b/>
                <w:bCs/>
                <w:color w:val="auto"/>
                <w:szCs w:val="21"/>
                <w:highlight w:val="none"/>
              </w:rPr>
            </w:pPr>
            <w:r>
              <w:rPr>
                <w:rFonts w:hint="eastAsia" w:cs="宋体"/>
                <w:b/>
                <w:bCs/>
                <w:color w:val="auto"/>
                <w:szCs w:val="21"/>
                <w:highlight w:val="none"/>
              </w:rPr>
              <w:t>1、</w:t>
            </w:r>
            <w:r>
              <w:rPr>
                <w:rFonts w:hint="eastAsia" w:cs="宋体"/>
                <w:color w:val="auto"/>
                <w:szCs w:val="21"/>
                <w:highlight w:val="none"/>
              </w:rPr>
              <w:t>投标人</w:t>
            </w:r>
            <w:r>
              <w:rPr>
                <w:rFonts w:hint="eastAsia"/>
                <w:color w:val="auto"/>
                <w:szCs w:val="21"/>
                <w:highlight w:val="none"/>
              </w:rPr>
              <w:t>针对本项目的</w:t>
            </w:r>
            <w:r>
              <w:rPr>
                <w:rFonts w:hint="eastAsia"/>
                <w:color w:val="auto"/>
                <w:szCs w:val="22"/>
                <w:highlight w:val="none"/>
              </w:rPr>
              <w:t>实际需求</w:t>
            </w:r>
            <w:r>
              <w:rPr>
                <w:rFonts w:hint="eastAsia" w:cs="宋体"/>
                <w:color w:val="auto"/>
                <w:szCs w:val="21"/>
                <w:highlight w:val="none"/>
              </w:rPr>
              <w:t>提供服务质量承诺及保障措施的，</w:t>
            </w:r>
            <w:r>
              <w:rPr>
                <w:rFonts w:hint="eastAsia" w:cs="宋体"/>
                <w:b/>
                <w:bCs/>
                <w:color w:val="auto"/>
                <w:szCs w:val="21"/>
                <w:highlight w:val="none"/>
              </w:rPr>
              <w:t>得</w:t>
            </w:r>
            <w:r>
              <w:rPr>
                <w:rFonts w:hint="eastAsia" w:cs="宋体"/>
                <w:b/>
                <w:bCs/>
                <w:color w:val="auto"/>
                <w:szCs w:val="21"/>
                <w:highlight w:val="none"/>
                <w:lang w:val="en-US" w:eastAsia="zh-CN"/>
              </w:rPr>
              <w:t>3</w:t>
            </w:r>
            <w:r>
              <w:rPr>
                <w:rFonts w:hint="eastAsia" w:cs="宋体"/>
                <w:b/>
                <w:bCs/>
                <w:color w:val="auto"/>
                <w:szCs w:val="21"/>
                <w:highlight w:val="none"/>
              </w:rPr>
              <w:t>分；</w:t>
            </w:r>
          </w:p>
          <w:p w14:paraId="38824F16">
            <w:pPr>
              <w:rPr>
                <w:b/>
                <w:bCs/>
                <w:color w:val="auto"/>
                <w:szCs w:val="22"/>
                <w:highlight w:val="none"/>
              </w:rPr>
            </w:pPr>
            <w:r>
              <w:rPr>
                <w:rFonts w:hint="eastAsia" w:cs="宋体"/>
                <w:b/>
                <w:bCs/>
                <w:color w:val="auto"/>
                <w:szCs w:val="21"/>
                <w:highlight w:val="none"/>
              </w:rPr>
              <w:t>2、</w:t>
            </w:r>
            <w:r>
              <w:rPr>
                <w:rFonts w:hint="eastAsia" w:cs="宋体"/>
                <w:color w:val="auto"/>
                <w:szCs w:val="21"/>
                <w:highlight w:val="none"/>
              </w:rPr>
              <w:t>投标人提供的服务质量承诺及保障措施中有细化量化的违约承诺且具备可实施性的，</w:t>
            </w:r>
            <w:r>
              <w:rPr>
                <w:rFonts w:hint="eastAsia" w:cs="宋体"/>
                <w:b/>
                <w:bCs/>
                <w:color w:val="auto"/>
                <w:szCs w:val="21"/>
                <w:highlight w:val="none"/>
              </w:rPr>
              <w:t>得</w:t>
            </w:r>
            <w:r>
              <w:rPr>
                <w:rFonts w:hint="eastAsia" w:cs="宋体"/>
                <w:b/>
                <w:bCs/>
                <w:color w:val="auto"/>
                <w:szCs w:val="21"/>
                <w:highlight w:val="none"/>
                <w:lang w:val="en-US" w:eastAsia="zh-CN"/>
              </w:rPr>
              <w:t>2</w:t>
            </w:r>
            <w:r>
              <w:rPr>
                <w:rFonts w:hint="eastAsia" w:cs="宋体"/>
                <w:b/>
                <w:bCs/>
                <w:color w:val="auto"/>
                <w:szCs w:val="21"/>
                <w:highlight w:val="none"/>
              </w:rPr>
              <w:t>分。</w:t>
            </w:r>
          </w:p>
          <w:p w14:paraId="25A5D4FF">
            <w:pPr>
              <w:rPr>
                <w:rFonts w:hint="eastAsia" w:ascii="宋体" w:hAnsi="宋体" w:eastAsia="宋体" w:cs="宋体"/>
                <w:b w:val="0"/>
                <w:bCs/>
                <w:color w:val="auto"/>
                <w:sz w:val="21"/>
                <w:szCs w:val="21"/>
                <w:highlight w:val="none"/>
              </w:rPr>
            </w:pPr>
            <w:r>
              <w:rPr>
                <w:rFonts w:hint="eastAsia"/>
                <w:b/>
                <w:color w:val="auto"/>
                <w:szCs w:val="21"/>
                <w:highlight w:val="none"/>
              </w:rPr>
              <w:t>注：未提供</w:t>
            </w:r>
            <w:r>
              <w:rPr>
                <w:rFonts w:hint="eastAsia" w:cs="宋体"/>
                <w:b/>
                <w:bCs/>
                <w:color w:val="auto"/>
                <w:szCs w:val="21"/>
                <w:highlight w:val="none"/>
              </w:rPr>
              <w:t>服务质量承诺及保障措施</w:t>
            </w:r>
            <w:r>
              <w:rPr>
                <w:rFonts w:hint="eastAsia"/>
                <w:b/>
                <w:color w:val="auto"/>
                <w:szCs w:val="21"/>
                <w:highlight w:val="none"/>
              </w:rPr>
              <w:t>不得分。</w:t>
            </w:r>
          </w:p>
        </w:tc>
      </w:tr>
      <w:tr w14:paraId="0FC347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537" w:hRule="atLeast"/>
          <w:jc w:val="center"/>
        </w:trPr>
        <w:tc>
          <w:tcPr>
            <w:tcW w:w="817" w:type="dxa"/>
            <w:vMerge w:val="continue"/>
            <w:tcBorders>
              <w:tl2br w:val="nil"/>
              <w:tr2bl w:val="nil"/>
            </w:tcBorders>
            <w:noWrap/>
            <w:vAlign w:val="center"/>
          </w:tcPr>
          <w:p w14:paraId="362C6C83">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1CF43043">
            <w:pPr>
              <w:jc w:val="center"/>
              <w:rPr>
                <w:rFonts w:hint="eastAsia" w:cs="宋体"/>
                <w:b/>
                <w:bCs/>
                <w:color w:val="auto"/>
                <w:szCs w:val="21"/>
                <w:highlight w:val="none"/>
              </w:rPr>
            </w:pPr>
          </w:p>
        </w:tc>
        <w:tc>
          <w:tcPr>
            <w:tcW w:w="1559" w:type="dxa"/>
            <w:tcBorders>
              <w:tl2br w:val="nil"/>
              <w:tr2bl w:val="nil"/>
            </w:tcBorders>
            <w:noWrap/>
            <w:vAlign w:val="center"/>
          </w:tcPr>
          <w:p w14:paraId="5E65E4AA">
            <w:pPr>
              <w:jc w:val="center"/>
              <w:rPr>
                <w:rFonts w:hint="eastAsia" w:cs="宋体"/>
                <w:b/>
                <w:bCs/>
                <w:color w:val="auto"/>
                <w:szCs w:val="21"/>
                <w:highlight w:val="none"/>
              </w:rPr>
            </w:pPr>
            <w:r>
              <w:rPr>
                <w:rFonts w:hint="eastAsia" w:cs="宋体"/>
                <w:b/>
                <w:bCs/>
                <w:color w:val="auto"/>
                <w:szCs w:val="21"/>
                <w:highlight w:val="none"/>
                <w:lang w:val="en-US" w:eastAsia="zh-CN"/>
              </w:rPr>
              <w:t>产品配送、调试方案及</w:t>
            </w:r>
            <w:r>
              <w:rPr>
                <w:rFonts w:hint="eastAsia" w:cs="宋体"/>
                <w:b/>
                <w:bCs/>
                <w:color w:val="auto"/>
                <w:szCs w:val="21"/>
                <w:highlight w:val="none"/>
              </w:rPr>
              <w:t>质量保证措施</w:t>
            </w:r>
          </w:p>
          <w:p w14:paraId="4B6C765B">
            <w:pPr>
              <w:jc w:val="center"/>
              <w:rPr>
                <w:rFonts w:hint="eastAsia" w:cs="宋体"/>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10</w:t>
            </w:r>
            <w:r>
              <w:rPr>
                <w:rFonts w:hint="eastAsia" w:cs="宋体"/>
                <w:b/>
                <w:bCs/>
                <w:color w:val="auto"/>
                <w:szCs w:val="21"/>
                <w:highlight w:val="none"/>
              </w:rPr>
              <w:t>分）</w:t>
            </w:r>
          </w:p>
        </w:tc>
        <w:tc>
          <w:tcPr>
            <w:tcW w:w="6877" w:type="dxa"/>
            <w:tcBorders>
              <w:tl2br w:val="nil"/>
              <w:tr2bl w:val="nil"/>
            </w:tcBorders>
            <w:noWrap/>
            <w:vAlign w:val="center"/>
          </w:tcPr>
          <w:p w14:paraId="371125DD">
            <w:pPr>
              <w:jc w:val="left"/>
              <w:rPr>
                <w:rFonts w:hint="eastAsia" w:cs="宋体"/>
                <w:b/>
                <w:bCs/>
                <w:color w:val="auto"/>
                <w:szCs w:val="21"/>
                <w:highlight w:val="none"/>
              </w:rPr>
            </w:pPr>
            <w:r>
              <w:rPr>
                <w:rFonts w:hint="eastAsia" w:cs="宋体"/>
                <w:b/>
                <w:bCs/>
                <w:color w:val="auto"/>
                <w:szCs w:val="21"/>
                <w:highlight w:val="none"/>
              </w:rPr>
              <w:t>根据投标人拟投产品的</w:t>
            </w:r>
            <w:r>
              <w:rPr>
                <w:rFonts w:hint="eastAsia" w:cs="宋体"/>
                <w:b/>
                <w:bCs/>
                <w:color w:val="auto"/>
                <w:szCs w:val="21"/>
                <w:highlight w:val="none"/>
                <w:lang w:val="en-US" w:eastAsia="zh-CN"/>
              </w:rPr>
              <w:t>配送</w:t>
            </w:r>
            <w:r>
              <w:rPr>
                <w:rFonts w:hint="eastAsia" w:cs="宋体"/>
                <w:b/>
                <w:bCs/>
                <w:color w:val="auto"/>
                <w:szCs w:val="21"/>
                <w:highlight w:val="none"/>
                <w:lang w:val="en-US"/>
              </w:rPr>
              <w:t>及</w:t>
            </w:r>
            <w:r>
              <w:rPr>
                <w:rFonts w:hint="eastAsia" w:cs="宋体"/>
                <w:b/>
                <w:bCs/>
                <w:color w:val="auto"/>
                <w:szCs w:val="21"/>
                <w:highlight w:val="none"/>
              </w:rPr>
              <w:t>调试</w:t>
            </w:r>
            <w:r>
              <w:rPr>
                <w:rFonts w:hint="eastAsia" w:cs="宋体"/>
                <w:b/>
                <w:bCs/>
                <w:color w:val="auto"/>
                <w:szCs w:val="21"/>
                <w:highlight w:val="none"/>
                <w:lang w:val="en-US" w:eastAsia="zh-CN"/>
              </w:rPr>
              <w:t>方案</w:t>
            </w:r>
            <w:r>
              <w:rPr>
                <w:rFonts w:hint="eastAsia" w:cs="宋体"/>
                <w:b/>
                <w:bCs/>
                <w:color w:val="auto"/>
                <w:szCs w:val="21"/>
                <w:highlight w:val="none"/>
              </w:rPr>
              <w:t>、质量保证承诺及质量保障措施进行评审，评审规则如下：</w:t>
            </w:r>
          </w:p>
          <w:p w14:paraId="76D12736">
            <w:pPr>
              <w:jc w:val="left"/>
              <w:rPr>
                <w:rFonts w:hint="eastAsia" w:cs="宋体"/>
                <w:b/>
                <w:bCs/>
                <w:color w:val="auto"/>
                <w:szCs w:val="21"/>
                <w:highlight w:val="none"/>
              </w:rPr>
            </w:pPr>
            <w:r>
              <w:rPr>
                <w:rFonts w:hint="eastAsia" w:cs="宋体"/>
                <w:b/>
                <w:bCs/>
                <w:color w:val="auto"/>
                <w:szCs w:val="21"/>
                <w:highlight w:val="none"/>
              </w:rPr>
              <w:t>1、产品</w:t>
            </w:r>
            <w:r>
              <w:rPr>
                <w:rFonts w:hint="eastAsia" w:cs="宋体"/>
                <w:b/>
                <w:bCs/>
                <w:color w:val="auto"/>
                <w:szCs w:val="21"/>
                <w:highlight w:val="none"/>
                <w:lang w:val="en-US" w:eastAsia="zh-CN"/>
              </w:rPr>
              <w:t>配送</w:t>
            </w:r>
            <w:r>
              <w:rPr>
                <w:rFonts w:hint="eastAsia" w:cs="宋体"/>
                <w:b/>
                <w:bCs/>
                <w:color w:val="auto"/>
                <w:szCs w:val="21"/>
                <w:highlight w:val="none"/>
                <w:lang w:val="en-US"/>
              </w:rPr>
              <w:t>及</w:t>
            </w:r>
            <w:r>
              <w:rPr>
                <w:rFonts w:hint="eastAsia" w:cs="宋体"/>
                <w:b/>
                <w:bCs/>
                <w:color w:val="auto"/>
                <w:szCs w:val="21"/>
                <w:highlight w:val="none"/>
              </w:rPr>
              <w:t>调试</w:t>
            </w:r>
            <w:r>
              <w:rPr>
                <w:rFonts w:hint="eastAsia" w:cs="宋体"/>
                <w:b/>
                <w:bCs/>
                <w:color w:val="auto"/>
                <w:szCs w:val="21"/>
                <w:highlight w:val="none"/>
                <w:lang w:val="en-US" w:eastAsia="zh-CN"/>
              </w:rPr>
              <w:t>方案</w:t>
            </w:r>
            <w:r>
              <w:rPr>
                <w:rFonts w:hint="eastAsia" w:cs="宋体"/>
                <w:b/>
                <w:bCs/>
                <w:color w:val="auto"/>
                <w:szCs w:val="21"/>
                <w:highlight w:val="none"/>
              </w:rPr>
              <w:t>（</w:t>
            </w:r>
            <w:r>
              <w:rPr>
                <w:rFonts w:hint="eastAsia" w:cs="宋体"/>
                <w:b/>
                <w:bCs/>
                <w:color w:val="auto"/>
                <w:szCs w:val="21"/>
                <w:highlight w:val="none"/>
                <w:lang w:val="en-US" w:eastAsia="zh-CN"/>
              </w:rPr>
              <w:t>满分5</w:t>
            </w:r>
            <w:r>
              <w:rPr>
                <w:rFonts w:hint="eastAsia" w:cs="宋体"/>
                <w:b/>
                <w:bCs/>
                <w:color w:val="auto"/>
                <w:szCs w:val="21"/>
                <w:highlight w:val="none"/>
              </w:rPr>
              <w:t>分）</w:t>
            </w:r>
          </w:p>
          <w:p w14:paraId="1528597B">
            <w:pPr>
              <w:jc w:val="left"/>
              <w:rPr>
                <w:rFonts w:hint="eastAsia" w:cs="宋体"/>
                <w:b/>
                <w:bCs/>
                <w:color w:val="auto"/>
                <w:szCs w:val="21"/>
                <w:highlight w:val="none"/>
              </w:rPr>
            </w:pPr>
            <w:r>
              <w:rPr>
                <w:rFonts w:hint="eastAsia"/>
                <w:b w:val="0"/>
                <w:bCs w:val="0"/>
                <w:color w:val="auto"/>
                <w:szCs w:val="21"/>
                <w:highlight w:val="none"/>
              </w:rPr>
              <w:t>投标人</w:t>
            </w:r>
            <w:r>
              <w:rPr>
                <w:rFonts w:hint="eastAsia"/>
                <w:b w:val="0"/>
                <w:bCs w:val="0"/>
                <w:color w:val="auto"/>
                <w:szCs w:val="21"/>
                <w:highlight w:val="none"/>
                <w:lang w:val="en-US" w:eastAsia="zh-CN"/>
              </w:rPr>
              <w:t>提供的产品供货及调试方案</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①对产品的配送、调试等各环节有相应措施</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②</w:t>
            </w:r>
            <w:r>
              <w:rPr>
                <w:rFonts w:hint="eastAsia"/>
                <w:b/>
                <w:bCs/>
                <w:color w:val="auto"/>
                <w:szCs w:val="21"/>
                <w:highlight w:val="none"/>
                <w:lang w:val="en-US" w:eastAsia="zh-CN"/>
              </w:rPr>
              <w:t>违约处罚承诺</w:t>
            </w:r>
            <w:r>
              <w:rPr>
                <w:rFonts w:hint="eastAsia"/>
                <w:b w:val="0"/>
                <w:bCs w:val="0"/>
                <w:color w:val="auto"/>
                <w:szCs w:val="21"/>
                <w:highlight w:val="none"/>
                <w:lang w:val="en-US" w:eastAsia="zh-CN"/>
              </w:rPr>
              <w:t>”2项内容。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5分，每缺一项扣2.5分，每有一项内容不完善或不合理的扣1.5分</w:t>
            </w:r>
            <w:r>
              <w:rPr>
                <w:rFonts w:hint="eastAsia" w:cs="宋体"/>
                <w:b w:val="0"/>
                <w:bCs w:val="0"/>
                <w:color w:val="auto"/>
                <w:szCs w:val="21"/>
                <w:highlight w:val="none"/>
              </w:rPr>
              <w:t>。</w:t>
            </w:r>
          </w:p>
          <w:p w14:paraId="14D2A2C4">
            <w:pPr>
              <w:spacing w:line="360" w:lineRule="auto"/>
              <w:rPr>
                <w:rFonts w:hint="eastAsia" w:ascii="宋体" w:hAnsi="宋体" w:cs="宋体"/>
                <w:b/>
                <w:color w:val="auto"/>
                <w:szCs w:val="21"/>
                <w:highlight w:val="none"/>
              </w:rPr>
            </w:pPr>
            <w:r>
              <w:rPr>
                <w:b/>
                <w:bCs/>
                <w:color w:val="auto"/>
                <w:szCs w:val="21"/>
                <w:highlight w:val="none"/>
              </w:rPr>
              <w:t>2、</w:t>
            </w:r>
            <w:r>
              <w:rPr>
                <w:rFonts w:hint="eastAsia" w:ascii="宋体" w:hAnsi="宋体"/>
                <w:b/>
                <w:bCs/>
                <w:color w:val="auto"/>
                <w:szCs w:val="21"/>
                <w:highlight w:val="none"/>
                <w:lang w:val="en-US" w:eastAsia="zh-CN"/>
              </w:rPr>
              <w:t>产品</w:t>
            </w:r>
            <w:r>
              <w:rPr>
                <w:rFonts w:hint="eastAsia" w:ascii="宋体" w:hAnsi="宋体" w:cs="宋体"/>
                <w:b/>
                <w:color w:val="auto"/>
                <w:szCs w:val="21"/>
                <w:highlight w:val="none"/>
              </w:rPr>
              <w:t>质量保证承诺及质量保障措施（满分</w:t>
            </w:r>
            <w:r>
              <w:rPr>
                <w:rFonts w:hint="eastAsia" w:cs="宋体"/>
                <w:b/>
                <w:color w:val="auto"/>
                <w:szCs w:val="21"/>
                <w:highlight w:val="none"/>
                <w:lang w:val="en-US" w:eastAsia="zh-CN"/>
              </w:rPr>
              <w:t>5</w:t>
            </w:r>
            <w:r>
              <w:rPr>
                <w:rFonts w:hint="eastAsia" w:ascii="宋体" w:hAnsi="宋体" w:cs="宋体"/>
                <w:b/>
                <w:color w:val="auto"/>
                <w:szCs w:val="21"/>
                <w:highlight w:val="none"/>
              </w:rPr>
              <w:t>分）</w:t>
            </w:r>
          </w:p>
          <w:p w14:paraId="0DAE0910">
            <w:pPr>
              <w:spacing w:line="360" w:lineRule="auto"/>
              <w:rPr>
                <w:rFonts w:hint="eastAsia"/>
                <w:color w:val="auto"/>
                <w:szCs w:val="21"/>
                <w:highlight w:val="none"/>
                <w:lang w:val="en-US" w:eastAsia="zh-CN"/>
              </w:rPr>
            </w:pPr>
            <w:r>
              <w:rPr>
                <w:rFonts w:hint="eastAsia"/>
                <w:b w:val="0"/>
                <w:bCs w:val="0"/>
                <w:color w:val="auto"/>
                <w:szCs w:val="21"/>
                <w:highlight w:val="none"/>
              </w:rPr>
              <w:t>投标人</w:t>
            </w:r>
            <w:r>
              <w:rPr>
                <w:rFonts w:hint="eastAsia"/>
                <w:b w:val="0"/>
                <w:bCs w:val="0"/>
                <w:color w:val="auto"/>
                <w:szCs w:val="21"/>
                <w:highlight w:val="none"/>
                <w:lang w:val="en-US" w:eastAsia="zh-CN"/>
              </w:rPr>
              <w:t>提供的产品质量保证承诺及质量保障措施</w:t>
            </w:r>
            <w:r>
              <w:rPr>
                <w:rFonts w:hint="eastAsia"/>
                <w:b w:val="0"/>
                <w:bCs w:val="0"/>
                <w:color w:val="auto"/>
                <w:szCs w:val="21"/>
                <w:highlight w:val="none"/>
                <w:lang w:eastAsia="zh-CN"/>
              </w:rPr>
              <w:t>，</w:t>
            </w:r>
            <w:r>
              <w:rPr>
                <w:rFonts w:hint="eastAsia"/>
                <w:b w:val="0"/>
                <w:bCs w:val="0"/>
                <w:color w:val="auto"/>
                <w:szCs w:val="21"/>
                <w:highlight w:val="none"/>
                <w:lang w:val="en-US" w:eastAsia="zh-CN"/>
              </w:rPr>
              <w:t>至少应包含“</w:t>
            </w:r>
            <w:r>
              <w:rPr>
                <w:rFonts w:hint="eastAsia"/>
                <w:b/>
                <w:bCs/>
                <w:color w:val="auto"/>
                <w:szCs w:val="21"/>
                <w:highlight w:val="none"/>
                <w:lang w:val="en-US" w:eastAsia="zh-CN"/>
              </w:rPr>
              <w:t>①</w:t>
            </w:r>
            <w:r>
              <w:rPr>
                <w:rFonts w:hint="eastAsia" w:ascii="宋体" w:hAnsi="宋体"/>
                <w:b/>
                <w:bCs/>
                <w:color w:val="auto"/>
                <w:szCs w:val="21"/>
                <w:highlight w:val="none"/>
                <w:lang w:val="en-US" w:eastAsia="zh-CN"/>
              </w:rPr>
              <w:t>产品</w:t>
            </w:r>
            <w:r>
              <w:rPr>
                <w:rFonts w:hint="eastAsia"/>
                <w:b/>
                <w:bCs/>
                <w:color w:val="auto"/>
                <w:szCs w:val="21"/>
                <w:highlight w:val="none"/>
                <w:lang w:val="en-US" w:eastAsia="zh-CN"/>
              </w:rPr>
              <w:t>质量保证承诺及保障措施（质保期满足招标文件要求）</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②</w:t>
            </w:r>
            <w:r>
              <w:rPr>
                <w:rFonts w:hint="eastAsia"/>
                <w:b/>
                <w:bCs/>
                <w:color w:val="auto"/>
                <w:szCs w:val="21"/>
                <w:highlight w:val="none"/>
                <w:lang w:val="en-US" w:eastAsia="zh-CN"/>
              </w:rPr>
              <w:t>违约处罚承诺</w:t>
            </w:r>
            <w:r>
              <w:rPr>
                <w:rFonts w:hint="eastAsia"/>
                <w:b w:val="0"/>
                <w:bCs w:val="0"/>
                <w:color w:val="auto"/>
                <w:szCs w:val="21"/>
                <w:highlight w:val="none"/>
                <w:lang w:val="en-US" w:eastAsia="zh-CN"/>
              </w:rPr>
              <w:t>”2项内容。</w:t>
            </w:r>
            <w:r>
              <w:rPr>
                <w:color w:val="auto"/>
                <w:szCs w:val="21"/>
                <w:highlight w:val="none"/>
              </w:rPr>
              <w:t>以上内容均有完整描述</w:t>
            </w:r>
            <w:r>
              <w:rPr>
                <w:rFonts w:hint="eastAsia"/>
                <w:b w:val="0"/>
                <w:bCs w:val="0"/>
                <w:color w:val="auto"/>
                <w:szCs w:val="21"/>
                <w:highlight w:val="none"/>
              </w:rPr>
              <w:t>且合理</w:t>
            </w:r>
            <w:r>
              <w:rPr>
                <w:rFonts w:hint="eastAsia"/>
                <w:b w:val="0"/>
                <w:bCs w:val="0"/>
                <w:color w:val="auto"/>
                <w:szCs w:val="21"/>
                <w:highlight w:val="none"/>
                <w:lang w:val="en-US" w:eastAsia="zh-CN"/>
              </w:rPr>
              <w:t>可行的</w:t>
            </w:r>
            <w:r>
              <w:rPr>
                <w:color w:val="auto"/>
                <w:szCs w:val="21"/>
                <w:highlight w:val="none"/>
              </w:rPr>
              <w:t>得</w:t>
            </w:r>
            <w:r>
              <w:rPr>
                <w:rFonts w:hint="eastAsia"/>
                <w:color w:val="auto"/>
                <w:szCs w:val="21"/>
                <w:highlight w:val="none"/>
                <w:lang w:val="en-US" w:eastAsia="zh-CN"/>
              </w:rPr>
              <w:t>5分，每缺一项扣2.5分，每有一项内容不完善或不合理的扣1.5分。</w:t>
            </w:r>
          </w:p>
          <w:p w14:paraId="5AEA9F9D">
            <w:pPr>
              <w:jc w:val="left"/>
              <w:rPr>
                <w:rFonts w:hint="eastAsia"/>
                <w:color w:val="auto"/>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461C673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7" w:hRule="atLeast"/>
          <w:jc w:val="center"/>
        </w:trPr>
        <w:tc>
          <w:tcPr>
            <w:tcW w:w="817" w:type="dxa"/>
            <w:vMerge w:val="continue"/>
            <w:tcBorders>
              <w:tl2br w:val="nil"/>
              <w:tr2bl w:val="nil"/>
            </w:tcBorders>
            <w:noWrap/>
            <w:vAlign w:val="center"/>
          </w:tcPr>
          <w:p w14:paraId="248DCD0C">
            <w:pPr>
              <w:jc w:val="center"/>
              <w:rPr>
                <w:rFonts w:hint="eastAsia" w:cs="宋体"/>
                <w:b/>
                <w:bCs/>
                <w:color w:val="auto"/>
                <w:szCs w:val="21"/>
                <w:highlight w:val="none"/>
              </w:rPr>
            </w:pPr>
          </w:p>
        </w:tc>
        <w:tc>
          <w:tcPr>
            <w:tcW w:w="709" w:type="dxa"/>
            <w:vMerge w:val="continue"/>
            <w:tcBorders>
              <w:tl2br w:val="nil"/>
              <w:tr2bl w:val="nil"/>
            </w:tcBorders>
            <w:noWrap/>
            <w:vAlign w:val="center"/>
          </w:tcPr>
          <w:p w14:paraId="444A1ACB">
            <w:pPr>
              <w:jc w:val="center"/>
              <w:rPr>
                <w:rFonts w:hint="eastAsia" w:cs="宋体"/>
                <w:b/>
                <w:bCs/>
                <w:color w:val="auto"/>
                <w:szCs w:val="21"/>
                <w:highlight w:val="none"/>
              </w:rPr>
            </w:pPr>
          </w:p>
        </w:tc>
        <w:tc>
          <w:tcPr>
            <w:tcW w:w="1559" w:type="dxa"/>
            <w:tcBorders>
              <w:tl2br w:val="nil"/>
              <w:tr2bl w:val="nil"/>
            </w:tcBorders>
            <w:noWrap/>
            <w:vAlign w:val="center"/>
          </w:tcPr>
          <w:p w14:paraId="309F3255">
            <w:pPr>
              <w:jc w:val="center"/>
              <w:rPr>
                <w:rFonts w:hint="eastAsia" w:eastAsia="宋体" w:cs="宋体"/>
                <w:b/>
                <w:bCs/>
                <w:color w:val="auto"/>
                <w:szCs w:val="21"/>
                <w:highlight w:val="none"/>
                <w:lang w:eastAsia="zh-CN"/>
              </w:rPr>
            </w:pPr>
            <w:r>
              <w:rPr>
                <w:rFonts w:hint="eastAsia" w:cs="宋体"/>
                <w:b/>
                <w:bCs/>
                <w:color w:val="auto"/>
                <w:szCs w:val="21"/>
                <w:highlight w:val="none"/>
              </w:rPr>
              <w:t>售后服务承诺及保障措施</w:t>
            </w:r>
          </w:p>
          <w:p w14:paraId="7CACB042">
            <w:pPr>
              <w:jc w:val="center"/>
              <w:rPr>
                <w:rFonts w:hint="eastAsia" w:cs="宋体"/>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6</w:t>
            </w:r>
            <w:r>
              <w:rPr>
                <w:rFonts w:hint="eastAsia" w:cs="宋体"/>
                <w:b/>
                <w:bCs/>
                <w:color w:val="auto"/>
                <w:szCs w:val="21"/>
                <w:highlight w:val="none"/>
              </w:rPr>
              <w:t>分）</w:t>
            </w:r>
          </w:p>
        </w:tc>
        <w:tc>
          <w:tcPr>
            <w:tcW w:w="6877" w:type="dxa"/>
            <w:tcBorders>
              <w:tl2br w:val="nil"/>
              <w:tr2bl w:val="nil"/>
            </w:tcBorders>
            <w:noWrap/>
            <w:vAlign w:val="center"/>
          </w:tcPr>
          <w:p w14:paraId="5A4E3F69">
            <w:pPr>
              <w:rPr>
                <w:rFonts w:hint="eastAsia" w:cs="宋体"/>
                <w:b/>
                <w:bCs/>
                <w:color w:val="auto"/>
                <w:szCs w:val="21"/>
                <w:highlight w:val="none"/>
              </w:rPr>
            </w:pPr>
            <w:r>
              <w:rPr>
                <w:rFonts w:hint="eastAsia" w:cs="宋体"/>
                <w:b/>
                <w:bCs/>
                <w:color w:val="auto"/>
                <w:szCs w:val="21"/>
                <w:highlight w:val="none"/>
              </w:rPr>
              <w:t>根据投标人提供的售后服务</w:t>
            </w:r>
            <w:r>
              <w:rPr>
                <w:rFonts w:hint="eastAsia" w:cs="宋体"/>
                <w:b/>
                <w:bCs/>
                <w:color w:val="auto"/>
                <w:szCs w:val="21"/>
                <w:highlight w:val="none"/>
                <w:lang w:val="en-US" w:eastAsia="zh-CN"/>
              </w:rPr>
              <w:t>承诺及保障措施</w:t>
            </w:r>
            <w:r>
              <w:rPr>
                <w:rFonts w:hint="eastAsia" w:cs="宋体"/>
                <w:b/>
                <w:bCs/>
                <w:color w:val="auto"/>
                <w:szCs w:val="21"/>
                <w:highlight w:val="none"/>
              </w:rPr>
              <w:t>内容进行评审及评分。</w:t>
            </w:r>
          </w:p>
          <w:p w14:paraId="3EF7C4FF">
            <w:pPr>
              <w:rPr>
                <w:rFonts w:hint="eastAsia" w:cs="宋体"/>
                <w:b w:val="0"/>
                <w:bCs w:val="0"/>
                <w:color w:val="auto"/>
                <w:szCs w:val="21"/>
                <w:highlight w:val="none"/>
              </w:rPr>
            </w:pPr>
            <w:r>
              <w:rPr>
                <w:rFonts w:hint="eastAsia" w:cs="宋体"/>
                <w:b w:val="0"/>
                <w:bCs w:val="0"/>
                <w:color w:val="auto"/>
                <w:szCs w:val="21"/>
                <w:highlight w:val="none"/>
              </w:rPr>
              <w:t>投标人提供的售后服务</w:t>
            </w:r>
            <w:r>
              <w:rPr>
                <w:rFonts w:hint="eastAsia" w:cs="宋体"/>
                <w:b w:val="0"/>
                <w:bCs w:val="0"/>
                <w:color w:val="auto"/>
                <w:szCs w:val="21"/>
                <w:highlight w:val="none"/>
                <w:lang w:val="en-US" w:eastAsia="zh-CN"/>
              </w:rPr>
              <w:t>承诺及保障措施</w:t>
            </w:r>
            <w:r>
              <w:rPr>
                <w:rFonts w:hint="eastAsia" w:cs="宋体"/>
                <w:b w:val="0"/>
                <w:bCs w:val="0"/>
                <w:color w:val="auto"/>
                <w:szCs w:val="21"/>
                <w:highlight w:val="none"/>
              </w:rPr>
              <w:t>，至少应包含</w:t>
            </w:r>
            <w:r>
              <w:rPr>
                <w:rFonts w:hint="eastAsia" w:cs="宋体"/>
                <w:b/>
                <w:bCs/>
                <w:color w:val="auto"/>
                <w:szCs w:val="21"/>
                <w:highlight w:val="none"/>
              </w:rPr>
              <w:t>“</w:t>
            </w:r>
            <w:r>
              <w:rPr>
                <w:rFonts w:hint="eastAsia"/>
                <w:b/>
                <w:bCs/>
                <w:color w:val="auto"/>
                <w:szCs w:val="21"/>
                <w:highlight w:val="none"/>
                <w:lang w:val="en-US" w:eastAsia="zh-CN"/>
              </w:rPr>
              <w:t>①售后服务内容、②</w:t>
            </w:r>
            <w:r>
              <w:rPr>
                <w:rFonts w:hint="eastAsia" w:cs="宋体"/>
                <w:b/>
                <w:bCs/>
                <w:color w:val="auto"/>
                <w:szCs w:val="21"/>
                <w:highlight w:val="none"/>
              </w:rPr>
              <w:t>售后服务承诺与保障措施（含响应时间承诺）、</w:t>
            </w:r>
            <w:r>
              <w:rPr>
                <w:rFonts w:hint="eastAsia" w:cs="宋体"/>
                <w:b/>
                <w:bCs/>
                <w:color w:val="auto"/>
                <w:szCs w:val="21"/>
                <w:highlight w:val="none"/>
                <w:lang w:val="en-US" w:eastAsia="zh-CN"/>
              </w:rPr>
              <w:t>③</w:t>
            </w:r>
            <w:r>
              <w:rPr>
                <w:rFonts w:hint="eastAsia" w:cs="宋体"/>
                <w:b/>
                <w:bCs/>
                <w:color w:val="auto"/>
                <w:szCs w:val="21"/>
                <w:highlight w:val="none"/>
              </w:rPr>
              <w:t>售后服务管理”</w:t>
            </w:r>
            <w:r>
              <w:rPr>
                <w:rFonts w:hint="eastAsia" w:cs="宋体"/>
                <w:b/>
                <w:bCs/>
                <w:color w:val="auto"/>
                <w:szCs w:val="21"/>
                <w:highlight w:val="none"/>
                <w:lang w:val="en-US" w:eastAsia="zh-CN"/>
              </w:rPr>
              <w:t>3</w:t>
            </w:r>
            <w:r>
              <w:rPr>
                <w:rFonts w:hint="eastAsia" w:cs="宋体"/>
                <w:b/>
                <w:bCs/>
                <w:color w:val="auto"/>
                <w:szCs w:val="21"/>
                <w:highlight w:val="none"/>
              </w:rPr>
              <w:t>项内容</w:t>
            </w:r>
            <w:r>
              <w:rPr>
                <w:rFonts w:hint="eastAsia" w:cs="宋体"/>
                <w:b w:val="0"/>
                <w:bCs w:val="0"/>
                <w:color w:val="auto"/>
                <w:szCs w:val="21"/>
                <w:highlight w:val="none"/>
              </w:rPr>
              <w:t>。以上内容均有完整描述且合理可行的</w:t>
            </w:r>
            <w:r>
              <w:rPr>
                <w:rFonts w:hint="eastAsia" w:cs="宋体"/>
                <w:b/>
                <w:bCs/>
                <w:color w:val="auto"/>
                <w:szCs w:val="21"/>
                <w:highlight w:val="none"/>
              </w:rPr>
              <w:t>得</w:t>
            </w:r>
            <w:r>
              <w:rPr>
                <w:rFonts w:hint="eastAsia" w:cs="宋体"/>
                <w:b/>
                <w:bCs/>
                <w:color w:val="auto"/>
                <w:szCs w:val="21"/>
                <w:highlight w:val="none"/>
                <w:lang w:val="en-US" w:eastAsia="zh-CN"/>
              </w:rPr>
              <w:t>6</w:t>
            </w:r>
            <w:r>
              <w:rPr>
                <w:rFonts w:hint="eastAsia" w:cs="宋体"/>
                <w:b/>
                <w:bCs/>
                <w:color w:val="auto"/>
                <w:szCs w:val="21"/>
                <w:highlight w:val="none"/>
              </w:rPr>
              <w:t>分</w:t>
            </w:r>
            <w:r>
              <w:rPr>
                <w:rFonts w:hint="eastAsia" w:cs="宋体"/>
                <w:b w:val="0"/>
                <w:bCs w:val="0"/>
                <w:color w:val="auto"/>
                <w:szCs w:val="21"/>
                <w:highlight w:val="none"/>
              </w:rPr>
              <w:t>，每缺一项</w:t>
            </w:r>
            <w:r>
              <w:rPr>
                <w:rFonts w:hint="eastAsia" w:cs="宋体"/>
                <w:b/>
                <w:bCs/>
                <w:color w:val="auto"/>
                <w:szCs w:val="21"/>
                <w:highlight w:val="none"/>
              </w:rPr>
              <w:t>扣</w:t>
            </w:r>
            <w:r>
              <w:rPr>
                <w:rFonts w:hint="eastAsia" w:cs="宋体"/>
                <w:b/>
                <w:bCs/>
                <w:color w:val="auto"/>
                <w:szCs w:val="21"/>
                <w:highlight w:val="none"/>
                <w:lang w:val="en-US" w:eastAsia="zh-CN"/>
              </w:rPr>
              <w:t>2</w:t>
            </w:r>
            <w:r>
              <w:rPr>
                <w:rFonts w:hint="eastAsia" w:cs="宋体"/>
                <w:b/>
                <w:bCs/>
                <w:color w:val="auto"/>
                <w:szCs w:val="21"/>
                <w:highlight w:val="none"/>
              </w:rPr>
              <w:t>分</w:t>
            </w:r>
            <w:r>
              <w:rPr>
                <w:rFonts w:hint="eastAsia" w:cs="宋体"/>
                <w:b w:val="0"/>
                <w:bCs w:val="0"/>
                <w:color w:val="auto"/>
                <w:szCs w:val="21"/>
                <w:highlight w:val="none"/>
              </w:rPr>
              <w:t>，每有一项内容不完善或不合理的</w:t>
            </w:r>
            <w:r>
              <w:rPr>
                <w:rFonts w:hint="eastAsia" w:cs="宋体"/>
                <w:b/>
                <w:bCs/>
                <w:color w:val="auto"/>
                <w:szCs w:val="21"/>
                <w:highlight w:val="none"/>
              </w:rPr>
              <w:t>扣1分</w:t>
            </w:r>
            <w:r>
              <w:rPr>
                <w:rFonts w:hint="eastAsia" w:cs="宋体"/>
                <w:b/>
                <w:bCs/>
                <w:color w:val="auto"/>
                <w:szCs w:val="21"/>
                <w:highlight w:val="none"/>
                <w:lang w:eastAsia="zh-CN"/>
              </w:rPr>
              <w:t>。</w:t>
            </w:r>
          </w:p>
          <w:p w14:paraId="601F2B04">
            <w:pPr>
              <w:rPr>
                <w:rFonts w:hint="eastAsia" w:ascii="宋体" w:hAnsi="宋体" w:eastAsia="宋体" w:cs="宋体"/>
                <w:b w:val="0"/>
                <w:bCs/>
                <w:color w:val="auto"/>
                <w:sz w:val="21"/>
                <w:szCs w:val="21"/>
                <w:highlight w:val="none"/>
              </w:rPr>
            </w:pPr>
            <w:r>
              <w:rPr>
                <w:rFonts w:hint="eastAsia" w:ascii="宋体" w:hAnsi="宋体"/>
                <w:b w:val="0"/>
                <w:bCs w:val="0"/>
                <w:color w:val="auto"/>
                <w:szCs w:val="21"/>
                <w:highlight w:val="none"/>
              </w:rPr>
              <w:t>注：不完善或不合理是指存在不适用项目实际情况的情形、套用其它方案、凭空编造、逻辑漏洞、内容过于简单描述笼统以及不可能实现的夸大情形等情况。</w:t>
            </w:r>
          </w:p>
        </w:tc>
      </w:tr>
      <w:tr w14:paraId="70436F6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7" w:hRule="atLeast"/>
          <w:jc w:val="center"/>
        </w:trPr>
        <w:tc>
          <w:tcPr>
            <w:tcW w:w="817" w:type="dxa"/>
            <w:vMerge w:val="continue"/>
            <w:tcBorders>
              <w:tl2br w:val="nil"/>
              <w:tr2bl w:val="nil"/>
            </w:tcBorders>
            <w:noWrap/>
            <w:vAlign w:val="center"/>
          </w:tcPr>
          <w:p w14:paraId="2823EFED">
            <w:pPr>
              <w:widowControl/>
              <w:jc w:val="left"/>
              <w:rPr>
                <w:rFonts w:hint="eastAsia" w:cs="宋体"/>
                <w:b/>
                <w:color w:val="auto"/>
                <w:kern w:val="0"/>
                <w:szCs w:val="21"/>
                <w:highlight w:val="none"/>
              </w:rPr>
            </w:pPr>
          </w:p>
        </w:tc>
        <w:tc>
          <w:tcPr>
            <w:tcW w:w="709" w:type="dxa"/>
            <w:vMerge w:val="continue"/>
            <w:tcBorders>
              <w:tl2br w:val="nil"/>
              <w:tr2bl w:val="nil"/>
            </w:tcBorders>
            <w:noWrap/>
            <w:vAlign w:val="center"/>
          </w:tcPr>
          <w:p w14:paraId="7F1E1D07">
            <w:pPr>
              <w:jc w:val="center"/>
              <w:rPr>
                <w:rFonts w:hint="eastAsia" w:cs="宋体"/>
                <w:color w:val="auto"/>
                <w:szCs w:val="21"/>
                <w:highlight w:val="none"/>
              </w:rPr>
            </w:pPr>
          </w:p>
        </w:tc>
        <w:tc>
          <w:tcPr>
            <w:tcW w:w="1559" w:type="dxa"/>
            <w:tcBorders>
              <w:tl2br w:val="nil"/>
              <w:tr2bl w:val="nil"/>
            </w:tcBorders>
            <w:noWrap/>
            <w:vAlign w:val="center"/>
          </w:tcPr>
          <w:p w14:paraId="54FBC8D1">
            <w:pPr>
              <w:spacing w:line="276" w:lineRule="auto"/>
              <w:jc w:val="center"/>
              <w:rPr>
                <w:rFonts w:cs="宋体"/>
                <w:b/>
                <w:bCs/>
                <w:color w:val="auto"/>
                <w:szCs w:val="21"/>
                <w:highlight w:val="none"/>
              </w:rPr>
            </w:pPr>
            <w:r>
              <w:rPr>
                <w:rFonts w:hint="eastAsia" w:cs="宋体"/>
                <w:b/>
                <w:bCs/>
                <w:color w:val="auto"/>
                <w:szCs w:val="21"/>
                <w:highlight w:val="none"/>
              </w:rPr>
              <w:t>人员培训方案</w:t>
            </w:r>
          </w:p>
          <w:p w14:paraId="0784C278">
            <w:pPr>
              <w:jc w:val="center"/>
              <w:rPr>
                <w:rFonts w:hint="eastAsia" w:cs="宋体"/>
                <w:b/>
                <w:bCs/>
                <w:color w:val="auto"/>
                <w:szCs w:val="21"/>
                <w:highlight w:val="none"/>
              </w:rPr>
            </w:pPr>
            <w:r>
              <w:rPr>
                <w:rFonts w:hint="eastAsia" w:cs="宋体"/>
                <w:b/>
                <w:bCs/>
                <w:color w:val="auto"/>
                <w:szCs w:val="21"/>
                <w:highlight w:val="none"/>
              </w:rPr>
              <w:t>（满分</w:t>
            </w:r>
            <w:r>
              <w:rPr>
                <w:rFonts w:hint="eastAsia" w:cs="宋体"/>
                <w:b/>
                <w:bCs/>
                <w:color w:val="auto"/>
                <w:szCs w:val="21"/>
                <w:highlight w:val="none"/>
                <w:lang w:val="en-US" w:eastAsia="zh-CN"/>
              </w:rPr>
              <w:t>5</w:t>
            </w:r>
            <w:r>
              <w:rPr>
                <w:rFonts w:hint="eastAsia" w:cs="宋体"/>
                <w:b/>
                <w:bCs/>
                <w:color w:val="auto"/>
                <w:szCs w:val="21"/>
                <w:highlight w:val="none"/>
              </w:rPr>
              <w:t>分）</w:t>
            </w:r>
          </w:p>
        </w:tc>
        <w:tc>
          <w:tcPr>
            <w:tcW w:w="6877" w:type="dxa"/>
            <w:tcBorders>
              <w:tl2br w:val="nil"/>
              <w:tr2bl w:val="nil"/>
            </w:tcBorders>
            <w:noWrap/>
            <w:vAlign w:val="center"/>
          </w:tcPr>
          <w:p w14:paraId="59C7D7EB">
            <w:pPr>
              <w:rPr>
                <w:rFonts w:hint="eastAsia" w:ascii="宋体" w:hAnsi="宋体" w:cs="宋体"/>
                <w:b/>
                <w:bCs/>
                <w:color w:val="auto"/>
                <w:szCs w:val="21"/>
                <w:highlight w:val="none"/>
              </w:rPr>
            </w:pPr>
            <w:r>
              <w:rPr>
                <w:rFonts w:hint="eastAsia" w:ascii="宋体" w:hAnsi="宋体" w:cs="宋体"/>
                <w:b w:val="0"/>
                <w:bCs/>
                <w:color w:val="auto"/>
                <w:szCs w:val="21"/>
                <w:highlight w:val="none"/>
              </w:rPr>
              <w:t>对</w:t>
            </w:r>
            <w:r>
              <w:rPr>
                <w:rFonts w:hint="eastAsia" w:ascii="宋体" w:hAnsi="宋体" w:cs="宋体"/>
                <w:b w:val="0"/>
                <w:bCs/>
                <w:color w:val="auto"/>
                <w:szCs w:val="21"/>
                <w:highlight w:val="none"/>
                <w:lang w:val="en-US" w:eastAsia="zh-CN"/>
              </w:rPr>
              <w:t>采购</w:t>
            </w:r>
            <w:r>
              <w:rPr>
                <w:rFonts w:hint="eastAsia" w:ascii="宋体" w:hAnsi="宋体" w:cs="宋体"/>
                <w:b w:val="0"/>
                <w:bCs/>
                <w:color w:val="auto"/>
                <w:szCs w:val="21"/>
                <w:highlight w:val="none"/>
              </w:rPr>
              <w:t>人工作人员进行主要功能、操作使用方法</w:t>
            </w:r>
            <w:r>
              <w:rPr>
                <w:rFonts w:hint="eastAsia" w:cs="宋体"/>
                <w:b w:val="0"/>
                <w:bCs/>
                <w:color w:val="auto"/>
                <w:szCs w:val="21"/>
                <w:highlight w:val="none"/>
                <w:lang w:val="en-US" w:eastAsia="zh-CN"/>
              </w:rPr>
              <w:t>等内容</w:t>
            </w:r>
            <w:r>
              <w:rPr>
                <w:rFonts w:hint="eastAsia" w:ascii="宋体" w:hAnsi="宋体" w:cs="宋体"/>
                <w:b w:val="0"/>
                <w:bCs/>
                <w:color w:val="auto"/>
                <w:szCs w:val="21"/>
                <w:highlight w:val="none"/>
              </w:rPr>
              <w:t>培训</w:t>
            </w:r>
            <w:r>
              <w:rPr>
                <w:rFonts w:hint="eastAsia" w:ascii="宋体" w:hAnsi="宋体" w:cs="宋体"/>
                <w:b w:val="0"/>
                <w:bCs/>
                <w:color w:val="auto"/>
                <w:szCs w:val="21"/>
                <w:highlight w:val="none"/>
                <w:lang w:eastAsia="zh-CN"/>
              </w:rPr>
              <w:t>，</w:t>
            </w:r>
            <w:r>
              <w:rPr>
                <w:rFonts w:hint="eastAsia" w:ascii="宋体" w:hAnsi="宋体" w:cs="宋体"/>
                <w:b w:val="0"/>
                <w:bCs/>
                <w:color w:val="auto"/>
                <w:szCs w:val="21"/>
                <w:highlight w:val="none"/>
              </w:rPr>
              <w:t>投标人提供了的</w:t>
            </w:r>
            <w:r>
              <w:rPr>
                <w:rFonts w:ascii="宋体" w:hAnsi="宋体" w:cs="宋体"/>
                <w:b w:val="0"/>
                <w:bCs/>
                <w:color w:val="auto"/>
                <w:szCs w:val="21"/>
                <w:highlight w:val="none"/>
              </w:rPr>
              <w:t>培训方案中针对</w:t>
            </w:r>
            <w:r>
              <w:rPr>
                <w:rFonts w:hint="eastAsia" w:ascii="宋体" w:hAnsi="宋体" w:cs="宋体"/>
                <w:b/>
                <w:bCs/>
                <w:color w:val="auto"/>
                <w:szCs w:val="21"/>
                <w:highlight w:val="none"/>
              </w:rPr>
              <w:t>培训计划、培训基本内容</w:t>
            </w:r>
            <w:r>
              <w:rPr>
                <w:rFonts w:ascii="宋体" w:hAnsi="宋体" w:cs="宋体"/>
                <w:b w:val="0"/>
                <w:bCs/>
                <w:color w:val="auto"/>
                <w:szCs w:val="21"/>
                <w:highlight w:val="none"/>
              </w:rPr>
              <w:t>等</w:t>
            </w:r>
            <w:r>
              <w:rPr>
                <w:rFonts w:hint="eastAsia" w:cs="宋体"/>
                <w:b w:val="0"/>
                <w:bCs/>
                <w:color w:val="auto"/>
                <w:szCs w:val="21"/>
                <w:highlight w:val="none"/>
                <w:lang w:val="en-US" w:eastAsia="zh-CN"/>
              </w:rPr>
              <w:t>两</w:t>
            </w:r>
            <w:r>
              <w:rPr>
                <w:rFonts w:ascii="宋体" w:hAnsi="宋体" w:cs="宋体"/>
                <w:b w:val="0"/>
                <w:bCs/>
                <w:color w:val="auto"/>
                <w:szCs w:val="21"/>
                <w:highlight w:val="none"/>
              </w:rPr>
              <w:t>个方面均进行</w:t>
            </w:r>
            <w:r>
              <w:rPr>
                <w:rFonts w:hint="eastAsia" w:ascii="宋体" w:hAnsi="宋体" w:cs="宋体"/>
                <w:b w:val="0"/>
                <w:bCs/>
                <w:color w:val="auto"/>
                <w:szCs w:val="21"/>
                <w:highlight w:val="none"/>
              </w:rPr>
              <w:t>详细具体</w:t>
            </w:r>
            <w:r>
              <w:rPr>
                <w:rFonts w:ascii="宋体" w:hAnsi="宋体" w:cs="宋体"/>
                <w:b w:val="0"/>
                <w:bCs/>
                <w:color w:val="auto"/>
                <w:szCs w:val="21"/>
                <w:highlight w:val="none"/>
              </w:rPr>
              <w:t>阐述的，</w:t>
            </w:r>
            <w:r>
              <w:rPr>
                <w:rFonts w:ascii="宋体" w:hAnsi="宋体" w:cs="宋体"/>
                <w:b/>
                <w:bCs/>
                <w:color w:val="auto"/>
                <w:szCs w:val="21"/>
                <w:highlight w:val="none"/>
              </w:rPr>
              <w:t>得</w:t>
            </w:r>
            <w:r>
              <w:rPr>
                <w:rFonts w:hint="eastAsia" w:cs="宋体"/>
                <w:b/>
                <w:bCs/>
                <w:color w:val="auto"/>
                <w:szCs w:val="21"/>
                <w:highlight w:val="none"/>
                <w:lang w:val="en-US" w:eastAsia="zh-CN"/>
              </w:rPr>
              <w:t>5</w:t>
            </w:r>
            <w:r>
              <w:rPr>
                <w:rFonts w:ascii="宋体" w:hAnsi="宋体" w:cs="宋体"/>
                <w:b/>
                <w:bCs/>
                <w:color w:val="auto"/>
                <w:szCs w:val="21"/>
                <w:highlight w:val="none"/>
              </w:rPr>
              <w:t>分，</w:t>
            </w:r>
            <w:r>
              <w:rPr>
                <w:rFonts w:hint="eastAsia" w:cs="宋体"/>
                <w:b w:val="0"/>
                <w:bCs w:val="0"/>
                <w:color w:val="auto"/>
                <w:szCs w:val="21"/>
                <w:highlight w:val="none"/>
              </w:rPr>
              <w:t>每</w:t>
            </w:r>
            <w:r>
              <w:rPr>
                <w:rFonts w:ascii="宋体" w:hAnsi="宋体" w:cs="宋体"/>
                <w:b w:val="0"/>
                <w:bCs/>
                <w:color w:val="auto"/>
                <w:szCs w:val="21"/>
                <w:highlight w:val="none"/>
              </w:rPr>
              <w:t>缺少一个方面的阐述</w:t>
            </w:r>
            <w:r>
              <w:rPr>
                <w:rFonts w:hint="eastAsia" w:cs="宋体"/>
                <w:b/>
                <w:bCs/>
                <w:color w:val="auto"/>
                <w:szCs w:val="21"/>
                <w:highlight w:val="none"/>
              </w:rPr>
              <w:t>扣</w:t>
            </w:r>
            <w:r>
              <w:rPr>
                <w:rFonts w:hint="eastAsia" w:cs="宋体"/>
                <w:b/>
                <w:bCs/>
                <w:color w:val="auto"/>
                <w:szCs w:val="21"/>
                <w:highlight w:val="none"/>
                <w:lang w:val="en-US" w:eastAsia="zh-CN"/>
              </w:rPr>
              <w:t>2.5</w:t>
            </w:r>
            <w:r>
              <w:rPr>
                <w:rFonts w:hint="eastAsia" w:cs="宋体"/>
                <w:b/>
                <w:bCs/>
                <w:color w:val="auto"/>
                <w:szCs w:val="21"/>
                <w:highlight w:val="none"/>
              </w:rPr>
              <w:t>分</w:t>
            </w:r>
            <w:r>
              <w:rPr>
                <w:rFonts w:hint="eastAsia" w:cs="宋体"/>
                <w:b w:val="0"/>
                <w:bCs w:val="0"/>
                <w:color w:val="auto"/>
                <w:szCs w:val="21"/>
                <w:highlight w:val="none"/>
              </w:rPr>
              <w:t>，每有一项内容不完善</w:t>
            </w:r>
            <w:r>
              <w:rPr>
                <w:rFonts w:hint="eastAsia" w:cs="宋体"/>
                <w:b w:val="0"/>
                <w:bCs w:val="0"/>
                <w:color w:val="auto"/>
                <w:szCs w:val="21"/>
                <w:highlight w:val="none"/>
                <w:lang w:eastAsia="zh-CN"/>
              </w:rPr>
              <w:t>、</w:t>
            </w:r>
            <w:r>
              <w:rPr>
                <w:rFonts w:hint="eastAsia" w:cs="宋体"/>
                <w:b w:val="0"/>
                <w:bCs w:val="0"/>
                <w:color w:val="auto"/>
                <w:szCs w:val="21"/>
                <w:highlight w:val="none"/>
              </w:rPr>
              <w:t>不合理</w:t>
            </w:r>
            <w:r>
              <w:rPr>
                <w:rFonts w:ascii="宋体" w:hAnsi="宋体" w:cs="宋体"/>
                <w:b w:val="0"/>
                <w:bCs/>
                <w:color w:val="auto"/>
                <w:szCs w:val="21"/>
                <w:highlight w:val="none"/>
              </w:rPr>
              <w:t>或阐述内容粗制的，</w:t>
            </w:r>
            <w:r>
              <w:rPr>
                <w:rFonts w:ascii="宋体" w:hAnsi="宋体" w:cs="宋体"/>
                <w:b/>
                <w:bCs/>
                <w:color w:val="auto"/>
                <w:szCs w:val="21"/>
                <w:highlight w:val="none"/>
              </w:rPr>
              <w:t>扣</w:t>
            </w:r>
            <w:r>
              <w:rPr>
                <w:rFonts w:hint="eastAsia" w:cs="宋体"/>
                <w:b/>
                <w:bCs/>
                <w:color w:val="auto"/>
                <w:szCs w:val="21"/>
                <w:highlight w:val="none"/>
                <w:lang w:val="en-US" w:eastAsia="zh-CN"/>
              </w:rPr>
              <w:t>1.5</w:t>
            </w:r>
            <w:r>
              <w:rPr>
                <w:rFonts w:ascii="宋体" w:hAnsi="宋体" w:cs="宋体"/>
                <w:b/>
                <w:bCs/>
                <w:color w:val="auto"/>
                <w:szCs w:val="21"/>
                <w:highlight w:val="none"/>
              </w:rPr>
              <w:t>分。</w:t>
            </w:r>
          </w:p>
        </w:tc>
      </w:tr>
      <w:tr w14:paraId="327680B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624" w:hRule="atLeast"/>
          <w:jc w:val="center"/>
        </w:trPr>
        <w:tc>
          <w:tcPr>
            <w:tcW w:w="817" w:type="dxa"/>
            <w:vMerge w:val="continue"/>
            <w:tcBorders>
              <w:tl2br w:val="nil"/>
              <w:tr2bl w:val="nil"/>
            </w:tcBorders>
            <w:noWrap/>
            <w:vAlign w:val="center"/>
          </w:tcPr>
          <w:p w14:paraId="6FF9E0A9">
            <w:pPr>
              <w:widowControl/>
              <w:jc w:val="left"/>
              <w:rPr>
                <w:rFonts w:hint="eastAsia" w:cs="宋体"/>
                <w:b/>
                <w:color w:val="auto"/>
                <w:kern w:val="0"/>
                <w:szCs w:val="21"/>
                <w:highlight w:val="none"/>
              </w:rPr>
            </w:pPr>
          </w:p>
        </w:tc>
        <w:tc>
          <w:tcPr>
            <w:tcW w:w="709" w:type="dxa"/>
            <w:vMerge w:val="continue"/>
            <w:tcBorders>
              <w:tl2br w:val="nil"/>
              <w:tr2bl w:val="nil"/>
            </w:tcBorders>
            <w:noWrap/>
            <w:vAlign w:val="center"/>
          </w:tcPr>
          <w:p w14:paraId="6181DF39">
            <w:pPr>
              <w:jc w:val="center"/>
              <w:rPr>
                <w:rFonts w:hint="eastAsia" w:cs="宋体"/>
                <w:color w:val="auto"/>
                <w:szCs w:val="21"/>
                <w:highlight w:val="none"/>
              </w:rPr>
            </w:pPr>
          </w:p>
        </w:tc>
        <w:tc>
          <w:tcPr>
            <w:tcW w:w="8436" w:type="dxa"/>
            <w:gridSpan w:val="2"/>
            <w:tcBorders>
              <w:tl2br w:val="nil"/>
              <w:tr2bl w:val="nil"/>
            </w:tcBorders>
            <w:noWrap/>
            <w:vAlign w:val="center"/>
          </w:tcPr>
          <w:p w14:paraId="4CEE5CAF">
            <w:pPr>
              <w:jc w:val="left"/>
              <w:rPr>
                <w:rFonts w:hint="eastAsia" w:cs="宋体"/>
                <w:color w:val="auto"/>
                <w:kern w:val="0"/>
                <w:szCs w:val="21"/>
                <w:highlight w:val="none"/>
                <w:lang w:bidi="ar"/>
              </w:rPr>
            </w:pPr>
            <w:r>
              <w:rPr>
                <w:rFonts w:hint="eastAsia" w:cs="宋体"/>
                <w:b/>
                <w:color w:val="auto"/>
                <w:szCs w:val="21"/>
                <w:highlight w:val="none"/>
              </w:rPr>
              <w:t>备注：根据进入详细评审的投标人的投标文件，对评分因素的响应情况进行打分。</w:t>
            </w:r>
          </w:p>
        </w:tc>
      </w:tr>
    </w:tbl>
    <w:p w14:paraId="1B70AE6A">
      <w:pPr>
        <w:rPr>
          <w:rFonts w:hint="eastAsia" w:cs="宋体"/>
          <w:bCs/>
          <w:color w:val="auto"/>
          <w:szCs w:val="21"/>
          <w:highlight w:val="none"/>
        </w:rPr>
      </w:pPr>
    </w:p>
    <w:p w14:paraId="568119C2">
      <w:pPr>
        <w:rPr>
          <w:rFonts w:hint="eastAsia" w:cs="宋体"/>
          <w:bCs/>
          <w:color w:val="auto"/>
          <w:szCs w:val="21"/>
          <w:highlight w:val="none"/>
        </w:rPr>
      </w:pPr>
      <w:r>
        <w:rPr>
          <w:rFonts w:hint="eastAsia" w:cs="宋体"/>
          <w:bCs/>
          <w:color w:val="auto"/>
          <w:szCs w:val="21"/>
          <w:highlight w:val="none"/>
        </w:rPr>
        <w:br w:type="page"/>
      </w:r>
    </w:p>
    <w:p w14:paraId="711220B7">
      <w:pPr>
        <w:pStyle w:val="3"/>
        <w:bidi w:val="0"/>
        <w:rPr>
          <w:rFonts w:hint="default"/>
          <w:lang w:val="en-US" w:eastAsia="zh-CN"/>
        </w:rPr>
      </w:pPr>
      <w:bookmarkStart w:id="364" w:name="_Toc16690"/>
      <w:r>
        <w:rPr>
          <w:rFonts w:hint="eastAsia"/>
          <w:lang w:val="en-US" w:eastAsia="zh-CN"/>
        </w:rPr>
        <w:t>第二节  评标办法正文</w:t>
      </w:r>
      <w:bookmarkEnd w:id="364"/>
    </w:p>
    <w:p w14:paraId="079ECBD7">
      <w:pPr>
        <w:pStyle w:val="4"/>
        <w:bidi w:val="0"/>
        <w:jc w:val="left"/>
        <w:rPr>
          <w:rFonts w:hint="eastAsia"/>
        </w:rPr>
      </w:pPr>
      <w:bookmarkStart w:id="365" w:name="_Toc17922"/>
      <w:bookmarkStart w:id="366" w:name="_Toc16616"/>
      <w:bookmarkStart w:id="367" w:name="_Toc125986525"/>
      <w:bookmarkStart w:id="368" w:name="_Toc166067809"/>
      <w:bookmarkStart w:id="369" w:name="_Toc139357101"/>
      <w:bookmarkStart w:id="370" w:name="_Toc14339"/>
      <w:r>
        <w:rPr>
          <w:rFonts w:hint="eastAsia"/>
        </w:rPr>
        <w:t>1.评标方法</w:t>
      </w:r>
      <w:bookmarkEnd w:id="363"/>
      <w:bookmarkEnd w:id="365"/>
      <w:bookmarkEnd w:id="366"/>
      <w:bookmarkEnd w:id="367"/>
      <w:bookmarkEnd w:id="368"/>
      <w:bookmarkEnd w:id="369"/>
      <w:bookmarkEnd w:id="370"/>
    </w:p>
    <w:p w14:paraId="78CBEC51">
      <w:pPr>
        <w:adjustRightInd w:val="0"/>
        <w:ind w:firstLine="420" w:firstLineChars="200"/>
        <w:rPr>
          <w:rFonts w:hint="eastAsia" w:cs="宋体"/>
          <w:color w:val="auto"/>
          <w:szCs w:val="21"/>
          <w:highlight w:val="none"/>
        </w:rPr>
      </w:pPr>
      <w:bookmarkStart w:id="371" w:name="_Toc508191815"/>
      <w:r>
        <w:rPr>
          <w:rFonts w:hint="eastAsia" w:cs="宋体"/>
          <w:b/>
          <w:bCs/>
          <w:color w:val="auto"/>
          <w:szCs w:val="21"/>
          <w:highlight w:val="none"/>
        </w:rPr>
        <w:t>本次评标采用综合评分法。</w:t>
      </w:r>
      <w:r>
        <w:rPr>
          <w:color w:val="auto"/>
          <w:szCs w:val="21"/>
          <w:highlight w:val="none"/>
        </w:rPr>
        <w:t>评标委员会对</w:t>
      </w:r>
      <w:r>
        <w:rPr>
          <w:color w:val="auto"/>
          <w:kern w:val="0"/>
          <w:szCs w:val="21"/>
          <w:highlight w:val="none"/>
        </w:rPr>
        <w:t>满足招标文件全部实质性要求（即通过资格性评审及符合性评审）的投标文件</w:t>
      </w:r>
      <w:r>
        <w:rPr>
          <w:color w:val="auto"/>
          <w:szCs w:val="21"/>
          <w:highlight w:val="none"/>
        </w:rPr>
        <w:t>，按照本章前附表规定的评分标准进行打分，并按评标总得分计算公式计算评标总得分，按总得分由高到低的顺序</w:t>
      </w:r>
      <w:r>
        <w:rPr>
          <w:rFonts w:hint="eastAsia"/>
          <w:color w:val="auto"/>
          <w:szCs w:val="21"/>
          <w:highlight w:val="none"/>
          <w:lang w:val="en-US" w:eastAsia="zh-CN"/>
        </w:rPr>
        <w:t>每个标包</w:t>
      </w:r>
      <w:r>
        <w:rPr>
          <w:color w:val="auto"/>
          <w:szCs w:val="21"/>
          <w:highlight w:val="none"/>
        </w:rPr>
        <w:t>推荐3名中标候选人；评标总得分相等时，按投标报价由低到高顺序排列；评标总得分相等且投标报价相同时，按技术部分得分</w:t>
      </w:r>
      <w:r>
        <w:rPr>
          <w:rFonts w:hint="eastAsia"/>
          <w:color w:val="auto"/>
          <w:szCs w:val="21"/>
          <w:lang w:val="en-US" w:eastAsia="zh-CN"/>
        </w:rPr>
        <w:t>由</w:t>
      </w:r>
      <w:r>
        <w:rPr>
          <w:color w:val="auto"/>
          <w:szCs w:val="21"/>
        </w:rPr>
        <w:t>高</w:t>
      </w:r>
      <w:r>
        <w:rPr>
          <w:rFonts w:hint="eastAsia"/>
          <w:color w:val="auto"/>
          <w:szCs w:val="21"/>
          <w:lang w:val="en-US" w:eastAsia="zh-CN"/>
        </w:rPr>
        <w:t>到</w:t>
      </w:r>
      <w:r>
        <w:rPr>
          <w:color w:val="auto"/>
          <w:szCs w:val="21"/>
        </w:rPr>
        <w:t>低</w:t>
      </w:r>
      <w:r>
        <w:rPr>
          <w:color w:val="auto"/>
          <w:szCs w:val="21"/>
          <w:highlight w:val="none"/>
        </w:rPr>
        <w:t>顺序排列；所有得分均相等的，按优先采购环境标志产品、非强制采购节能产品，优先采购监狱企业、残疾人福利性单位推荐中标候选人；所有得分均相等且政府采购政策条件也相等的，按重要技术指标高优先、质保期长优先、故障到达时间短优先的顺序推荐中标候选人。</w:t>
      </w:r>
    </w:p>
    <w:p w14:paraId="55FFB210">
      <w:pPr>
        <w:pStyle w:val="4"/>
        <w:bidi w:val="0"/>
        <w:jc w:val="left"/>
        <w:rPr>
          <w:rFonts w:hint="eastAsia"/>
        </w:rPr>
      </w:pPr>
      <w:bookmarkStart w:id="372" w:name="_Toc125986526"/>
      <w:bookmarkStart w:id="373" w:name="_Toc8852"/>
      <w:bookmarkStart w:id="374" w:name="_Toc16971"/>
      <w:bookmarkStart w:id="375" w:name="_Toc8904"/>
      <w:bookmarkStart w:id="376" w:name="_Toc166067810"/>
      <w:bookmarkStart w:id="377" w:name="_Toc139357102"/>
      <w:r>
        <w:rPr>
          <w:rFonts w:hint="eastAsia"/>
        </w:rPr>
        <w:t>2.政府采购政策</w:t>
      </w:r>
      <w:bookmarkEnd w:id="371"/>
      <w:bookmarkEnd w:id="372"/>
      <w:bookmarkEnd w:id="373"/>
      <w:bookmarkEnd w:id="374"/>
      <w:bookmarkEnd w:id="375"/>
      <w:bookmarkEnd w:id="376"/>
      <w:bookmarkEnd w:id="377"/>
    </w:p>
    <w:p w14:paraId="28ADF8D7">
      <w:pPr>
        <w:ind w:firstLine="420" w:firstLineChars="200"/>
        <w:rPr>
          <w:rFonts w:hint="eastAsia" w:cs="宋体"/>
          <w:b/>
          <w:color w:val="auto"/>
          <w:szCs w:val="21"/>
          <w:highlight w:val="none"/>
        </w:rPr>
      </w:pPr>
      <w:bookmarkStart w:id="378" w:name="_Toc508191816"/>
      <w:bookmarkStart w:id="379" w:name="_Toc326218112"/>
      <w:bookmarkStart w:id="380" w:name="_Toc314817934"/>
      <w:r>
        <w:rPr>
          <w:rFonts w:hint="eastAsia" w:cs="宋体"/>
          <w:b/>
          <w:color w:val="auto"/>
          <w:szCs w:val="21"/>
          <w:highlight w:val="none"/>
        </w:rPr>
        <w:t>2.1中小企业</w:t>
      </w:r>
    </w:p>
    <w:p w14:paraId="0B87F923">
      <w:pPr>
        <w:adjustRightInd w:val="0"/>
        <w:ind w:firstLine="420" w:firstLineChars="200"/>
        <w:rPr>
          <w:rFonts w:hint="eastAsia" w:cs="宋体"/>
          <w:color w:val="auto"/>
          <w:szCs w:val="21"/>
          <w:highlight w:val="none"/>
        </w:rPr>
      </w:pPr>
      <w:r>
        <w:rPr>
          <w:rFonts w:hint="eastAsia" w:cs="宋体"/>
          <w:color w:val="auto"/>
          <w:szCs w:val="21"/>
          <w:highlight w:val="none"/>
        </w:rPr>
        <w:t>2.1.1根据《关于进一步加大政府采购支持中小企业力度的通知》（财库【2022】19号）、《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10FA38BA">
      <w:pPr>
        <w:adjustRightInd w:val="0"/>
        <w:ind w:firstLine="420" w:firstLineChars="200"/>
        <w:rPr>
          <w:rFonts w:hint="eastAsia" w:cs="宋体"/>
          <w:color w:val="auto"/>
          <w:szCs w:val="21"/>
          <w:highlight w:val="none"/>
        </w:rPr>
      </w:pPr>
      <w:r>
        <w:rPr>
          <w:rFonts w:hint="eastAsia" w:cs="宋体"/>
          <w:color w:val="auto"/>
          <w:szCs w:val="21"/>
          <w:highlight w:val="none"/>
        </w:rPr>
        <w:t>2.1.2</w:t>
      </w:r>
      <w:r>
        <w:rPr>
          <w:b/>
          <w:bCs/>
          <w:color w:val="auto"/>
          <w:highlight w:val="none"/>
        </w:rPr>
        <w:t>在货物采购项目中，投标人提供的货物既有中小企业制造货物，也有大型企业制造货物的，不享受中小企业扶持政策。投标人提供的货物既有中型企业制造货物，又有小微企业制造货物的，不享受中小企业扶持政策。只有全部货物均是小型或微型企业制造货物才享受中小企业扶持政策。</w:t>
      </w:r>
    </w:p>
    <w:p w14:paraId="0D80A957">
      <w:pPr>
        <w:adjustRightInd w:val="0"/>
        <w:ind w:firstLine="420" w:firstLineChars="200"/>
        <w:rPr>
          <w:rFonts w:hint="eastAsia" w:cs="宋体"/>
          <w:color w:val="auto"/>
          <w:szCs w:val="21"/>
          <w:highlight w:val="none"/>
        </w:rPr>
      </w:pPr>
      <w:r>
        <w:rPr>
          <w:rFonts w:hint="eastAsia" w:cs="宋体"/>
          <w:color w:val="auto"/>
          <w:szCs w:val="21"/>
          <w:highlight w:val="none"/>
        </w:rPr>
        <w:t>2.1.3以联合体形式参加政府采购活动，联合体各方均为中小企业的，联合体视同中小企业。其中，联合体各方均为小微企业的，联合体视同小微企业。</w:t>
      </w:r>
    </w:p>
    <w:p w14:paraId="6838E362">
      <w:pPr>
        <w:adjustRightInd w:val="0"/>
        <w:ind w:firstLine="420" w:firstLineChars="200"/>
        <w:rPr>
          <w:rFonts w:hint="eastAsia" w:cs="宋体"/>
          <w:color w:val="auto"/>
          <w:szCs w:val="21"/>
          <w:highlight w:val="none"/>
        </w:rPr>
      </w:pPr>
      <w:r>
        <w:rPr>
          <w:rFonts w:hint="eastAsia" w:cs="宋体"/>
          <w:color w:val="auto"/>
          <w:szCs w:val="21"/>
          <w:highlight w:val="none"/>
        </w:rPr>
        <w:t>2.1.4本规定所称中小企业划分标准，是指国务院有关部门根据企业从业人员、营业收入、资产总额等指标制定的中小企业划型标准，详见《关于印发中小企业划型标准规定的通知》（工信部联企业〔2011〕300号）。</w:t>
      </w:r>
    </w:p>
    <w:p w14:paraId="2B032F48">
      <w:pPr>
        <w:adjustRightInd w:val="0"/>
        <w:ind w:firstLine="420" w:firstLineChars="200"/>
        <w:rPr>
          <w:rFonts w:hint="eastAsia" w:cs="宋体"/>
          <w:color w:val="auto"/>
          <w:szCs w:val="21"/>
          <w:highlight w:val="none"/>
        </w:rPr>
      </w:pPr>
      <w:r>
        <w:rPr>
          <w:rFonts w:hint="eastAsia" w:cs="宋体"/>
          <w:color w:val="auto"/>
          <w:szCs w:val="21"/>
          <w:highlight w:val="none"/>
        </w:rPr>
        <w:t>2.1.5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14EDB33E">
      <w:pPr>
        <w:pStyle w:val="23"/>
        <w:tabs>
          <w:tab w:val="left" w:pos="2472"/>
        </w:tabs>
        <w:ind w:firstLine="420" w:firstLineChars="200"/>
        <w:rPr>
          <w:rFonts w:hint="eastAsia" w:cs="宋体"/>
          <w:b/>
          <w:color w:val="auto"/>
          <w:szCs w:val="21"/>
          <w:highlight w:val="none"/>
        </w:rPr>
      </w:pPr>
      <w:r>
        <w:rPr>
          <w:rFonts w:hint="eastAsia" w:cs="宋体"/>
          <w:b/>
          <w:color w:val="auto"/>
          <w:szCs w:val="21"/>
          <w:highlight w:val="none"/>
        </w:rPr>
        <w:t>2.2监狱企业</w:t>
      </w:r>
    </w:p>
    <w:p w14:paraId="4283CB61">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C724D29">
      <w:pPr>
        <w:pStyle w:val="23"/>
        <w:tabs>
          <w:tab w:val="left" w:pos="2472"/>
        </w:tabs>
        <w:ind w:firstLine="420" w:firstLineChars="200"/>
        <w:rPr>
          <w:rFonts w:hint="eastAsia" w:cs="宋体"/>
          <w:b/>
          <w:color w:val="auto"/>
          <w:szCs w:val="21"/>
          <w:highlight w:val="none"/>
        </w:rPr>
      </w:pPr>
      <w:r>
        <w:rPr>
          <w:rFonts w:hint="eastAsia" w:cs="宋体"/>
          <w:b/>
          <w:color w:val="auto"/>
          <w:szCs w:val="21"/>
          <w:highlight w:val="none"/>
        </w:rPr>
        <w:t>2.3残疾人福利性单位</w:t>
      </w:r>
    </w:p>
    <w:p w14:paraId="3B491543">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2.3.1根据《财政部 民政部 中国残疾人联合会关于促进残疾人就业政府采购政策的通知》，享受政府采购支持政策的残疾人福利性单位应当同时满足以下条件：</w:t>
      </w:r>
    </w:p>
    <w:p w14:paraId="5F10DF2D">
      <w:pPr>
        <w:ind w:firstLine="420" w:firstLineChars="200"/>
        <w:rPr>
          <w:rFonts w:hint="eastAsia" w:cs="宋体"/>
          <w:color w:val="auto"/>
          <w:szCs w:val="21"/>
          <w:highlight w:val="none"/>
        </w:rPr>
      </w:pPr>
      <w:r>
        <w:rPr>
          <w:rFonts w:hint="eastAsia" w:cs="宋体"/>
          <w:color w:val="auto"/>
          <w:szCs w:val="21"/>
          <w:highlight w:val="none"/>
        </w:rPr>
        <w:t>（1）安置的残疾人占本单位在职职工人数的比例不低于25%（含25%），并且安置的残疾人人数不少于10人（含10人）；</w:t>
      </w:r>
    </w:p>
    <w:p w14:paraId="42A74318">
      <w:pPr>
        <w:ind w:firstLine="420" w:firstLineChars="200"/>
        <w:rPr>
          <w:rFonts w:hint="eastAsia" w:cs="宋体"/>
          <w:color w:val="auto"/>
          <w:szCs w:val="21"/>
          <w:highlight w:val="none"/>
        </w:rPr>
      </w:pPr>
      <w:r>
        <w:rPr>
          <w:rFonts w:hint="eastAsia" w:cs="宋体"/>
          <w:color w:val="auto"/>
          <w:szCs w:val="21"/>
          <w:highlight w:val="none"/>
        </w:rPr>
        <w:t>（2）依法与安置的每位残疾人签订了一年以上（含一年）的劳动合同或服务协议；</w:t>
      </w:r>
    </w:p>
    <w:p w14:paraId="615937D7">
      <w:pPr>
        <w:ind w:firstLine="420" w:firstLineChars="200"/>
        <w:rPr>
          <w:rFonts w:hint="eastAsia" w:cs="宋体"/>
          <w:color w:val="auto"/>
          <w:szCs w:val="21"/>
          <w:highlight w:val="none"/>
        </w:rPr>
      </w:pPr>
      <w:r>
        <w:rPr>
          <w:rFonts w:hint="eastAsia" w:cs="宋体"/>
          <w:color w:val="auto"/>
          <w:szCs w:val="21"/>
          <w:highlight w:val="none"/>
        </w:rPr>
        <w:t>（3）为安置的每位残疾人按月足额缴纳了基本养老保险、基本医疗保险、失业保险、工伤保险和生育保险等社会保险费；</w:t>
      </w:r>
    </w:p>
    <w:p w14:paraId="127F5707">
      <w:pPr>
        <w:ind w:firstLine="420" w:firstLineChars="200"/>
        <w:rPr>
          <w:rFonts w:hint="eastAsia" w:cs="宋体"/>
          <w:color w:val="auto"/>
          <w:szCs w:val="21"/>
          <w:highlight w:val="none"/>
        </w:rPr>
      </w:pPr>
      <w:r>
        <w:rPr>
          <w:rFonts w:hint="eastAsia" w:cs="宋体"/>
          <w:color w:val="auto"/>
          <w:szCs w:val="21"/>
          <w:highlight w:val="none"/>
        </w:rPr>
        <w:t>（4）通过银行等金融机构向安置的每位残疾人，按月支付了不低于单位所在区县适用的经省级人民政府批准的月最低工资标准的工资；</w:t>
      </w:r>
    </w:p>
    <w:p w14:paraId="3C723521">
      <w:pPr>
        <w:ind w:firstLine="420" w:firstLineChars="200"/>
        <w:rPr>
          <w:rFonts w:hint="eastAsia" w:cs="宋体"/>
          <w:color w:val="auto"/>
          <w:szCs w:val="21"/>
          <w:highlight w:val="none"/>
        </w:rPr>
      </w:pPr>
      <w:r>
        <w:rPr>
          <w:rFonts w:hint="eastAsia" w:cs="宋体"/>
          <w:color w:val="auto"/>
          <w:szCs w:val="21"/>
          <w:highlight w:val="none"/>
        </w:rPr>
        <w:t>（5）提供本单位制造的货物、承担的工程或者服务（以下简称产品），或者提供其他残疾人福利性单位制造的货物（不包括使用非残疾人福利性单位注册商标的货物）。</w:t>
      </w:r>
    </w:p>
    <w:p w14:paraId="2501AFE5">
      <w:pPr>
        <w:ind w:firstLine="420" w:firstLineChars="200"/>
        <w:rPr>
          <w:rFonts w:hint="eastAsia" w:cs="宋体"/>
          <w:color w:val="auto"/>
          <w:szCs w:val="21"/>
          <w:highlight w:val="none"/>
        </w:rPr>
      </w:pPr>
      <w:r>
        <w:rPr>
          <w:rFonts w:hint="eastAsia" w:cs="宋体"/>
          <w:color w:val="auto"/>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CCB0769">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2.3.2符合条件的残疾人福利性单位在参加政府采购活动时，应当提供《残疾人福利性单位声明函》，并对声明的真实性负责。</w:t>
      </w:r>
    </w:p>
    <w:p w14:paraId="1EF659F3">
      <w:pPr>
        <w:pStyle w:val="23"/>
        <w:tabs>
          <w:tab w:val="left" w:pos="2472"/>
        </w:tabs>
        <w:ind w:firstLine="420" w:firstLineChars="200"/>
        <w:rPr>
          <w:rFonts w:hint="eastAsia" w:cs="宋体"/>
          <w:b/>
          <w:color w:val="auto"/>
          <w:szCs w:val="21"/>
          <w:highlight w:val="none"/>
        </w:rPr>
      </w:pPr>
      <w:r>
        <w:rPr>
          <w:rFonts w:hint="eastAsia" w:cs="宋体"/>
          <w:b/>
          <w:color w:val="auto"/>
          <w:szCs w:val="21"/>
          <w:highlight w:val="none"/>
        </w:rPr>
        <w:t>2.4节能、环境标志产品</w:t>
      </w:r>
    </w:p>
    <w:p w14:paraId="62657128">
      <w:pPr>
        <w:pStyle w:val="23"/>
        <w:tabs>
          <w:tab w:val="left" w:pos="2472"/>
        </w:tabs>
        <w:snapToGrid w:val="0"/>
        <w:ind w:firstLine="420" w:firstLineChars="200"/>
        <w:rPr>
          <w:rFonts w:hint="eastAsia"/>
          <w:color w:val="auto"/>
          <w:szCs w:val="21"/>
          <w:highlight w:val="none"/>
        </w:rPr>
      </w:pPr>
      <w:r>
        <w:rPr>
          <w:rFonts w:hint="eastAsia"/>
          <w:color w:val="auto"/>
          <w:szCs w:val="21"/>
          <w:highlight w:val="none"/>
        </w:rPr>
        <w:t>2.4.1节能产品是指列入财政部和国家发改委公布的《节能产品政府采购品目清单》中的货物。政府强制采购节能产品是指《节能产品政府采购品目清单》中以“★”标注类别的产品。</w:t>
      </w:r>
    </w:p>
    <w:p w14:paraId="7E842CB8">
      <w:pPr>
        <w:pStyle w:val="23"/>
        <w:tabs>
          <w:tab w:val="left" w:pos="2472"/>
        </w:tabs>
        <w:snapToGrid w:val="0"/>
        <w:ind w:firstLine="420" w:firstLineChars="200"/>
        <w:rPr>
          <w:rFonts w:hint="eastAsia"/>
          <w:color w:val="auto"/>
          <w:szCs w:val="21"/>
          <w:highlight w:val="none"/>
        </w:rPr>
      </w:pPr>
      <w:r>
        <w:rPr>
          <w:rFonts w:hint="eastAsia"/>
          <w:color w:val="auto"/>
          <w:szCs w:val="21"/>
          <w:highlight w:val="none"/>
        </w:rPr>
        <w:t>2.4.2环境标志产品是指列入财政部、生态环境部公布的《环境标志产品政府采购品目清单》中的货物。</w:t>
      </w:r>
    </w:p>
    <w:p w14:paraId="1507E756">
      <w:pPr>
        <w:pStyle w:val="23"/>
        <w:tabs>
          <w:tab w:val="left" w:pos="2472"/>
        </w:tabs>
        <w:snapToGrid w:val="0"/>
        <w:ind w:firstLine="420" w:firstLineChars="200"/>
        <w:rPr>
          <w:rFonts w:hint="eastAsia"/>
          <w:color w:val="auto"/>
          <w:szCs w:val="21"/>
          <w:highlight w:val="none"/>
        </w:rPr>
      </w:pPr>
      <w:r>
        <w:rPr>
          <w:rFonts w:hint="eastAsia"/>
          <w:color w:val="auto"/>
          <w:szCs w:val="21"/>
          <w:highlight w:val="none"/>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7B0542C0">
      <w:pPr>
        <w:pStyle w:val="23"/>
        <w:tabs>
          <w:tab w:val="left" w:pos="2472"/>
        </w:tabs>
        <w:snapToGrid w:val="0"/>
        <w:ind w:firstLine="420" w:firstLineChars="200"/>
        <w:rPr>
          <w:rFonts w:hint="eastAsia"/>
          <w:color w:val="auto"/>
          <w:szCs w:val="21"/>
          <w:highlight w:val="none"/>
        </w:rPr>
      </w:pPr>
      <w:r>
        <w:rPr>
          <w:rFonts w:hint="eastAsia"/>
          <w:color w:val="auto"/>
          <w:szCs w:val="21"/>
          <w:highlight w:val="none"/>
        </w:rPr>
        <w:t>2.4.4投标人应在投标文件中提供所投标产品国家确定的认证机构出具的、处于有效期之内的节能产品、环境标志产品认证证书，否则不予认可。</w:t>
      </w:r>
    </w:p>
    <w:p w14:paraId="2EB3E135">
      <w:pPr>
        <w:pStyle w:val="23"/>
        <w:tabs>
          <w:tab w:val="left" w:pos="2472"/>
        </w:tabs>
        <w:snapToGrid w:val="0"/>
        <w:ind w:firstLine="420" w:firstLineChars="200"/>
        <w:rPr>
          <w:rFonts w:hint="eastAsia"/>
          <w:color w:val="auto"/>
          <w:szCs w:val="21"/>
          <w:highlight w:val="none"/>
        </w:rPr>
      </w:pPr>
      <w:r>
        <w:rPr>
          <w:rFonts w:hint="eastAsia"/>
          <w:color w:val="auto"/>
          <w:szCs w:val="21"/>
          <w:highlight w:val="none"/>
        </w:rPr>
        <w:t>2.4.5《节能产品政府采购品目清单》及《环境标志产品政府采购品目清单》可通过中国政府采购网（http://www.ccgp.gov.cn/ ）查阅、下载。</w:t>
      </w:r>
    </w:p>
    <w:p w14:paraId="703A69AB">
      <w:pPr>
        <w:pStyle w:val="23"/>
        <w:tabs>
          <w:tab w:val="left" w:pos="2472"/>
        </w:tabs>
        <w:snapToGrid w:val="0"/>
        <w:ind w:firstLine="420" w:firstLineChars="200"/>
        <w:rPr>
          <w:rFonts w:hint="eastAsia"/>
          <w:color w:val="auto"/>
          <w:szCs w:val="21"/>
          <w:highlight w:val="none"/>
        </w:rPr>
      </w:pPr>
      <w:r>
        <w:rPr>
          <w:rFonts w:hint="eastAsia"/>
          <w:color w:val="auto"/>
          <w:szCs w:val="21"/>
          <w:highlight w:val="none"/>
        </w:rPr>
        <w:t>2</w:t>
      </w:r>
      <w:r>
        <w:rPr>
          <w:color w:val="auto"/>
          <w:szCs w:val="21"/>
          <w:highlight w:val="none"/>
        </w:rPr>
        <w:t>.4.6</w:t>
      </w:r>
      <w:r>
        <w:rPr>
          <w:rFonts w:hint="eastAsia"/>
          <w:color w:val="auto"/>
          <w:szCs w:val="21"/>
          <w:highlight w:val="none"/>
        </w:rPr>
        <w:t>参与实施政府采购节能产品认证机构名录：</w:t>
      </w:r>
    </w:p>
    <w:tbl>
      <w:tblPr>
        <w:tblStyle w:val="44"/>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autofit"/>
        <w:tblCellMar>
          <w:top w:w="30" w:type="dxa"/>
          <w:left w:w="30" w:type="dxa"/>
          <w:bottom w:w="30" w:type="dxa"/>
          <w:right w:w="30" w:type="dxa"/>
        </w:tblCellMar>
      </w:tblPr>
      <w:tblGrid>
        <w:gridCol w:w="533"/>
        <w:gridCol w:w="1134"/>
        <w:gridCol w:w="1632"/>
        <w:gridCol w:w="1371"/>
        <w:gridCol w:w="1941"/>
        <w:gridCol w:w="3351"/>
      </w:tblGrid>
      <w:tr w14:paraId="7C9791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272A7F3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序号</w:t>
            </w:r>
          </w:p>
        </w:tc>
        <w:tc>
          <w:tcPr>
            <w:tcW w:w="1388" w:type="pct"/>
            <w:gridSpan w:val="2"/>
            <w:shd w:val="clear" w:color="auto" w:fill="FFFFFF"/>
            <w:tcMar>
              <w:top w:w="0" w:type="dxa"/>
              <w:left w:w="108" w:type="dxa"/>
              <w:bottom w:w="0" w:type="dxa"/>
              <w:right w:w="108" w:type="dxa"/>
            </w:tcMar>
            <w:vAlign w:val="center"/>
          </w:tcPr>
          <w:p w14:paraId="7270801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一级目录</w:t>
            </w:r>
          </w:p>
        </w:tc>
        <w:tc>
          <w:tcPr>
            <w:tcW w:w="1662" w:type="pct"/>
            <w:gridSpan w:val="2"/>
            <w:shd w:val="clear" w:color="auto" w:fill="FFFFFF"/>
            <w:tcMar>
              <w:top w:w="0" w:type="dxa"/>
              <w:left w:w="108" w:type="dxa"/>
              <w:bottom w:w="0" w:type="dxa"/>
              <w:right w:w="108" w:type="dxa"/>
            </w:tcMar>
            <w:vAlign w:val="center"/>
          </w:tcPr>
          <w:p w14:paraId="50168F8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二级目录</w:t>
            </w:r>
          </w:p>
        </w:tc>
        <w:tc>
          <w:tcPr>
            <w:tcW w:w="1682" w:type="pct"/>
            <w:vMerge w:val="restart"/>
            <w:shd w:val="clear" w:color="auto" w:fill="FFFFFF"/>
            <w:tcMar>
              <w:top w:w="0" w:type="dxa"/>
              <w:left w:w="108" w:type="dxa"/>
              <w:bottom w:w="0" w:type="dxa"/>
              <w:right w:w="108" w:type="dxa"/>
            </w:tcMar>
            <w:vAlign w:val="center"/>
          </w:tcPr>
          <w:p w14:paraId="296AD44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认证机构名录</w:t>
            </w:r>
          </w:p>
        </w:tc>
      </w:tr>
      <w:tr w14:paraId="386F83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7E2AC89B">
            <w:pPr>
              <w:widowControl/>
              <w:spacing w:line="276" w:lineRule="auto"/>
              <w:jc w:val="center"/>
              <w:rPr>
                <w:rFonts w:hint="eastAsia" w:cs="宋体"/>
                <w:color w:val="auto"/>
                <w:kern w:val="0"/>
                <w:szCs w:val="21"/>
                <w:highlight w:val="none"/>
              </w:rPr>
            </w:pPr>
          </w:p>
        </w:tc>
        <w:tc>
          <w:tcPr>
            <w:tcW w:w="569" w:type="pct"/>
            <w:shd w:val="clear" w:color="auto" w:fill="FFFFFF"/>
            <w:tcMar>
              <w:top w:w="0" w:type="dxa"/>
              <w:left w:w="108" w:type="dxa"/>
              <w:bottom w:w="0" w:type="dxa"/>
              <w:right w:w="108" w:type="dxa"/>
            </w:tcMar>
            <w:vAlign w:val="center"/>
          </w:tcPr>
          <w:p w14:paraId="2070D02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产品代码</w:t>
            </w:r>
          </w:p>
        </w:tc>
        <w:tc>
          <w:tcPr>
            <w:tcW w:w="819" w:type="pct"/>
            <w:shd w:val="clear" w:color="auto" w:fill="FFFFFF"/>
            <w:tcMar>
              <w:top w:w="0" w:type="dxa"/>
              <w:left w:w="108" w:type="dxa"/>
              <w:bottom w:w="0" w:type="dxa"/>
              <w:right w:w="108" w:type="dxa"/>
            </w:tcMar>
            <w:vAlign w:val="center"/>
          </w:tcPr>
          <w:p w14:paraId="76A1D66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产品名称</w:t>
            </w:r>
          </w:p>
        </w:tc>
        <w:tc>
          <w:tcPr>
            <w:tcW w:w="688" w:type="pct"/>
            <w:shd w:val="clear" w:color="auto" w:fill="FFFFFF"/>
            <w:tcMar>
              <w:top w:w="0" w:type="dxa"/>
              <w:left w:w="108" w:type="dxa"/>
              <w:bottom w:w="0" w:type="dxa"/>
              <w:right w:w="108" w:type="dxa"/>
            </w:tcMar>
            <w:vAlign w:val="center"/>
          </w:tcPr>
          <w:p w14:paraId="44D0F40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产品代码</w:t>
            </w:r>
          </w:p>
        </w:tc>
        <w:tc>
          <w:tcPr>
            <w:tcW w:w="974" w:type="pct"/>
            <w:shd w:val="clear" w:color="auto" w:fill="FFFFFF"/>
            <w:tcMar>
              <w:top w:w="0" w:type="dxa"/>
              <w:left w:w="108" w:type="dxa"/>
              <w:bottom w:w="0" w:type="dxa"/>
              <w:right w:w="108" w:type="dxa"/>
            </w:tcMar>
            <w:vAlign w:val="center"/>
          </w:tcPr>
          <w:p w14:paraId="18D4E62D">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产品名称</w:t>
            </w:r>
          </w:p>
        </w:tc>
        <w:tc>
          <w:tcPr>
            <w:tcW w:w="1682" w:type="pct"/>
            <w:vMerge w:val="continue"/>
            <w:shd w:val="clear" w:color="auto" w:fill="FFFFFF"/>
            <w:tcMar>
              <w:top w:w="0" w:type="dxa"/>
              <w:left w:w="0" w:type="dxa"/>
              <w:bottom w:w="0" w:type="dxa"/>
              <w:right w:w="0" w:type="dxa"/>
            </w:tcMar>
            <w:vAlign w:val="center"/>
          </w:tcPr>
          <w:p w14:paraId="279A7229">
            <w:pPr>
              <w:widowControl/>
              <w:spacing w:line="276" w:lineRule="auto"/>
              <w:jc w:val="center"/>
              <w:rPr>
                <w:rFonts w:hint="eastAsia" w:cs="宋体"/>
                <w:color w:val="auto"/>
                <w:kern w:val="0"/>
                <w:szCs w:val="21"/>
                <w:highlight w:val="none"/>
              </w:rPr>
            </w:pPr>
          </w:p>
        </w:tc>
      </w:tr>
      <w:tr w14:paraId="3063E7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7DAE94E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w:t>
            </w:r>
          </w:p>
        </w:tc>
        <w:tc>
          <w:tcPr>
            <w:tcW w:w="569" w:type="pct"/>
            <w:vMerge w:val="restart"/>
            <w:shd w:val="clear" w:color="auto" w:fill="FFFFFF"/>
            <w:tcMar>
              <w:top w:w="0" w:type="dxa"/>
              <w:left w:w="108" w:type="dxa"/>
              <w:bottom w:w="0" w:type="dxa"/>
              <w:right w:w="108" w:type="dxa"/>
            </w:tcMar>
            <w:vAlign w:val="center"/>
          </w:tcPr>
          <w:p w14:paraId="36D9E6D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A020101</w:t>
            </w:r>
          </w:p>
        </w:tc>
        <w:tc>
          <w:tcPr>
            <w:tcW w:w="819" w:type="pct"/>
            <w:vMerge w:val="restart"/>
            <w:shd w:val="clear" w:color="auto" w:fill="FFFFFF"/>
            <w:tcMar>
              <w:top w:w="0" w:type="dxa"/>
              <w:left w:w="108" w:type="dxa"/>
              <w:bottom w:w="0" w:type="dxa"/>
              <w:right w:w="108" w:type="dxa"/>
            </w:tcMar>
            <w:vAlign w:val="center"/>
          </w:tcPr>
          <w:p w14:paraId="244A7CE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计算机设备</w:t>
            </w:r>
          </w:p>
        </w:tc>
        <w:tc>
          <w:tcPr>
            <w:tcW w:w="688" w:type="pct"/>
            <w:shd w:val="clear" w:color="auto" w:fill="FFFFFF"/>
            <w:tcMar>
              <w:top w:w="0" w:type="dxa"/>
              <w:left w:w="108" w:type="dxa"/>
              <w:bottom w:w="0" w:type="dxa"/>
              <w:right w:w="108" w:type="dxa"/>
            </w:tcMar>
            <w:vAlign w:val="center"/>
          </w:tcPr>
          <w:p w14:paraId="1BB4B10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A02010104</w:t>
            </w:r>
          </w:p>
        </w:tc>
        <w:tc>
          <w:tcPr>
            <w:tcW w:w="974" w:type="pct"/>
            <w:shd w:val="clear" w:color="auto" w:fill="FFFFFF"/>
            <w:tcMar>
              <w:top w:w="0" w:type="dxa"/>
              <w:left w:w="108" w:type="dxa"/>
              <w:bottom w:w="0" w:type="dxa"/>
              <w:right w:w="108" w:type="dxa"/>
            </w:tcMar>
            <w:vAlign w:val="center"/>
          </w:tcPr>
          <w:p w14:paraId="171EBE9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台式计算机</w:t>
            </w:r>
          </w:p>
        </w:tc>
        <w:tc>
          <w:tcPr>
            <w:tcW w:w="1682" w:type="pct"/>
            <w:vMerge w:val="restart"/>
            <w:shd w:val="clear" w:color="auto" w:fill="FFFFFF"/>
            <w:tcMar>
              <w:top w:w="0" w:type="dxa"/>
              <w:left w:w="108" w:type="dxa"/>
              <w:bottom w:w="0" w:type="dxa"/>
              <w:right w:w="108" w:type="dxa"/>
            </w:tcMar>
            <w:vAlign w:val="center"/>
          </w:tcPr>
          <w:p w14:paraId="672D5DC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1688779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北京赛西认证有限责任公司</w:t>
            </w:r>
          </w:p>
          <w:p w14:paraId="216E677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中国网络安全审查技术与认证中心</w:t>
            </w:r>
          </w:p>
          <w:p w14:paraId="504058F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广州赛宝认证中心服务有限公司</w:t>
            </w:r>
          </w:p>
        </w:tc>
      </w:tr>
      <w:tr w14:paraId="1511C4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50061C8">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D11AA9F">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2063E2D7">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5C90092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A02010105</w:t>
            </w:r>
          </w:p>
        </w:tc>
        <w:tc>
          <w:tcPr>
            <w:tcW w:w="974" w:type="pct"/>
            <w:shd w:val="clear" w:color="auto" w:fill="FFFFFF"/>
            <w:tcMar>
              <w:top w:w="0" w:type="dxa"/>
              <w:left w:w="108" w:type="dxa"/>
              <w:bottom w:w="0" w:type="dxa"/>
              <w:right w:w="108" w:type="dxa"/>
            </w:tcMar>
            <w:vAlign w:val="center"/>
          </w:tcPr>
          <w:p w14:paraId="7C6CE65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便携式计算机</w:t>
            </w:r>
          </w:p>
        </w:tc>
        <w:tc>
          <w:tcPr>
            <w:tcW w:w="1682" w:type="pct"/>
            <w:vMerge w:val="continue"/>
            <w:shd w:val="clear" w:color="auto" w:fill="FFFFFF"/>
            <w:tcMar>
              <w:top w:w="0" w:type="dxa"/>
              <w:left w:w="0" w:type="dxa"/>
              <w:bottom w:w="0" w:type="dxa"/>
              <w:right w:w="0" w:type="dxa"/>
            </w:tcMar>
            <w:vAlign w:val="center"/>
          </w:tcPr>
          <w:p w14:paraId="0B2F32CC">
            <w:pPr>
              <w:widowControl/>
              <w:spacing w:line="276" w:lineRule="auto"/>
              <w:jc w:val="center"/>
              <w:rPr>
                <w:rFonts w:hint="eastAsia" w:cs="宋体"/>
                <w:color w:val="auto"/>
                <w:kern w:val="0"/>
                <w:szCs w:val="21"/>
                <w:highlight w:val="none"/>
              </w:rPr>
            </w:pPr>
          </w:p>
        </w:tc>
      </w:tr>
      <w:tr w14:paraId="5F8EA2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0299868D">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698EBF63">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7124DD4F">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3CD685C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A02010107</w:t>
            </w:r>
          </w:p>
        </w:tc>
        <w:tc>
          <w:tcPr>
            <w:tcW w:w="974" w:type="pct"/>
            <w:shd w:val="clear" w:color="auto" w:fill="FFFFFF"/>
            <w:tcMar>
              <w:top w:w="0" w:type="dxa"/>
              <w:left w:w="108" w:type="dxa"/>
              <w:bottom w:w="0" w:type="dxa"/>
              <w:right w:w="108" w:type="dxa"/>
            </w:tcMar>
            <w:vAlign w:val="center"/>
          </w:tcPr>
          <w:p w14:paraId="4E6A561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平板式微型计算机</w:t>
            </w:r>
          </w:p>
        </w:tc>
        <w:tc>
          <w:tcPr>
            <w:tcW w:w="1682" w:type="pct"/>
            <w:vMerge w:val="continue"/>
            <w:shd w:val="clear" w:color="auto" w:fill="FFFFFF"/>
            <w:tcMar>
              <w:top w:w="0" w:type="dxa"/>
              <w:left w:w="0" w:type="dxa"/>
              <w:bottom w:w="0" w:type="dxa"/>
              <w:right w:w="0" w:type="dxa"/>
            </w:tcMar>
            <w:vAlign w:val="center"/>
          </w:tcPr>
          <w:p w14:paraId="6AD45A8C">
            <w:pPr>
              <w:widowControl/>
              <w:spacing w:line="276" w:lineRule="auto"/>
              <w:jc w:val="center"/>
              <w:rPr>
                <w:rFonts w:hint="eastAsia" w:cs="宋体"/>
                <w:color w:val="auto"/>
                <w:kern w:val="0"/>
                <w:szCs w:val="21"/>
                <w:highlight w:val="none"/>
              </w:rPr>
            </w:pPr>
          </w:p>
        </w:tc>
      </w:tr>
      <w:tr w14:paraId="5744B8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67AE4CD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2</w:t>
            </w:r>
          </w:p>
        </w:tc>
        <w:tc>
          <w:tcPr>
            <w:tcW w:w="569" w:type="pct"/>
            <w:vMerge w:val="restart"/>
            <w:shd w:val="clear" w:color="auto" w:fill="FFFFFF"/>
            <w:tcMar>
              <w:top w:w="0" w:type="dxa"/>
              <w:left w:w="108" w:type="dxa"/>
              <w:bottom w:w="0" w:type="dxa"/>
              <w:right w:w="108" w:type="dxa"/>
            </w:tcMar>
            <w:vAlign w:val="center"/>
          </w:tcPr>
          <w:p w14:paraId="235B031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A020106</w:t>
            </w:r>
          </w:p>
        </w:tc>
        <w:tc>
          <w:tcPr>
            <w:tcW w:w="819" w:type="pct"/>
            <w:vMerge w:val="restart"/>
            <w:shd w:val="clear" w:color="auto" w:fill="FFFFFF"/>
            <w:tcMar>
              <w:top w:w="0" w:type="dxa"/>
              <w:left w:w="108" w:type="dxa"/>
              <w:bottom w:w="0" w:type="dxa"/>
              <w:right w:w="108" w:type="dxa"/>
            </w:tcMar>
            <w:vAlign w:val="center"/>
          </w:tcPr>
          <w:p w14:paraId="4870490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输入输出设备</w:t>
            </w:r>
          </w:p>
        </w:tc>
        <w:tc>
          <w:tcPr>
            <w:tcW w:w="688" w:type="pct"/>
            <w:shd w:val="clear" w:color="auto" w:fill="FFFFFF"/>
            <w:tcMar>
              <w:top w:w="0" w:type="dxa"/>
              <w:left w:w="108" w:type="dxa"/>
              <w:bottom w:w="0" w:type="dxa"/>
              <w:right w:w="108" w:type="dxa"/>
            </w:tcMar>
            <w:vAlign w:val="center"/>
          </w:tcPr>
          <w:p w14:paraId="4B373C5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A02010601</w:t>
            </w:r>
          </w:p>
        </w:tc>
        <w:tc>
          <w:tcPr>
            <w:tcW w:w="974" w:type="pct"/>
            <w:shd w:val="clear" w:color="auto" w:fill="FFFFFF"/>
            <w:tcMar>
              <w:top w:w="0" w:type="dxa"/>
              <w:left w:w="108" w:type="dxa"/>
              <w:bottom w:w="0" w:type="dxa"/>
              <w:right w:w="108" w:type="dxa"/>
            </w:tcMar>
            <w:vAlign w:val="center"/>
          </w:tcPr>
          <w:p w14:paraId="7488A5C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打印设备</w:t>
            </w:r>
          </w:p>
        </w:tc>
        <w:tc>
          <w:tcPr>
            <w:tcW w:w="1682" w:type="pct"/>
            <w:vMerge w:val="continue"/>
            <w:shd w:val="clear" w:color="auto" w:fill="FFFFFF"/>
            <w:tcMar>
              <w:top w:w="0" w:type="dxa"/>
              <w:left w:w="0" w:type="dxa"/>
              <w:bottom w:w="0" w:type="dxa"/>
              <w:right w:w="0" w:type="dxa"/>
            </w:tcMar>
            <w:vAlign w:val="center"/>
          </w:tcPr>
          <w:p w14:paraId="28A906C4">
            <w:pPr>
              <w:widowControl/>
              <w:spacing w:line="276" w:lineRule="auto"/>
              <w:jc w:val="center"/>
              <w:rPr>
                <w:rFonts w:hint="eastAsia" w:cs="宋体"/>
                <w:color w:val="auto"/>
                <w:kern w:val="0"/>
                <w:szCs w:val="21"/>
                <w:highlight w:val="none"/>
              </w:rPr>
            </w:pPr>
          </w:p>
        </w:tc>
      </w:tr>
      <w:tr w14:paraId="346845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712F48BB">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03543638">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7B8D498F">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6EEE91F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A02010604</w:t>
            </w:r>
          </w:p>
        </w:tc>
        <w:tc>
          <w:tcPr>
            <w:tcW w:w="974" w:type="pct"/>
            <w:shd w:val="clear" w:color="auto" w:fill="FFFFFF"/>
            <w:tcMar>
              <w:top w:w="0" w:type="dxa"/>
              <w:left w:w="108" w:type="dxa"/>
              <w:bottom w:w="0" w:type="dxa"/>
              <w:right w:w="108" w:type="dxa"/>
            </w:tcMar>
            <w:vAlign w:val="center"/>
          </w:tcPr>
          <w:p w14:paraId="1B276426">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显示设备</w:t>
            </w:r>
          </w:p>
        </w:tc>
        <w:tc>
          <w:tcPr>
            <w:tcW w:w="1682" w:type="pct"/>
            <w:vMerge w:val="continue"/>
            <w:shd w:val="clear" w:color="auto" w:fill="FFFFFF"/>
            <w:tcMar>
              <w:top w:w="0" w:type="dxa"/>
              <w:left w:w="0" w:type="dxa"/>
              <w:bottom w:w="0" w:type="dxa"/>
              <w:right w:w="0" w:type="dxa"/>
            </w:tcMar>
            <w:vAlign w:val="center"/>
          </w:tcPr>
          <w:p w14:paraId="7F8B493B">
            <w:pPr>
              <w:widowControl/>
              <w:spacing w:line="276" w:lineRule="auto"/>
              <w:jc w:val="center"/>
              <w:rPr>
                <w:rFonts w:hint="eastAsia" w:cs="宋体"/>
                <w:color w:val="auto"/>
                <w:kern w:val="0"/>
                <w:szCs w:val="21"/>
                <w:highlight w:val="none"/>
              </w:rPr>
            </w:pPr>
          </w:p>
        </w:tc>
      </w:tr>
      <w:tr w14:paraId="774322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437E72A1">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35DD77C5">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1F7824B8">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06F0D49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A02010609</w:t>
            </w:r>
          </w:p>
        </w:tc>
        <w:tc>
          <w:tcPr>
            <w:tcW w:w="974" w:type="pct"/>
            <w:shd w:val="clear" w:color="auto" w:fill="FFFFFF"/>
            <w:tcMar>
              <w:top w:w="0" w:type="dxa"/>
              <w:left w:w="108" w:type="dxa"/>
              <w:bottom w:w="0" w:type="dxa"/>
              <w:right w:w="108" w:type="dxa"/>
            </w:tcMar>
            <w:vAlign w:val="center"/>
          </w:tcPr>
          <w:p w14:paraId="5381D126">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图形图像输入设备</w:t>
            </w:r>
          </w:p>
        </w:tc>
        <w:tc>
          <w:tcPr>
            <w:tcW w:w="1682" w:type="pct"/>
            <w:vMerge w:val="continue"/>
            <w:shd w:val="clear" w:color="auto" w:fill="FFFFFF"/>
            <w:tcMar>
              <w:top w:w="0" w:type="dxa"/>
              <w:left w:w="0" w:type="dxa"/>
              <w:bottom w:w="0" w:type="dxa"/>
              <w:right w:w="0" w:type="dxa"/>
            </w:tcMar>
            <w:vAlign w:val="center"/>
          </w:tcPr>
          <w:p w14:paraId="1EAA84DA">
            <w:pPr>
              <w:widowControl/>
              <w:spacing w:line="276" w:lineRule="auto"/>
              <w:jc w:val="center"/>
              <w:rPr>
                <w:rFonts w:hint="eastAsia" w:cs="宋体"/>
                <w:color w:val="auto"/>
                <w:kern w:val="0"/>
                <w:szCs w:val="21"/>
                <w:highlight w:val="none"/>
              </w:rPr>
            </w:pPr>
          </w:p>
        </w:tc>
      </w:tr>
      <w:tr w14:paraId="7567C9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7929729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3</w:t>
            </w:r>
          </w:p>
        </w:tc>
        <w:tc>
          <w:tcPr>
            <w:tcW w:w="569" w:type="pct"/>
            <w:shd w:val="clear" w:color="auto" w:fill="FFFFFF"/>
            <w:tcMar>
              <w:top w:w="0" w:type="dxa"/>
              <w:left w:w="108" w:type="dxa"/>
              <w:bottom w:w="0" w:type="dxa"/>
              <w:right w:w="108" w:type="dxa"/>
            </w:tcMar>
            <w:vAlign w:val="center"/>
          </w:tcPr>
          <w:p w14:paraId="1C3F335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A020202</w:t>
            </w:r>
          </w:p>
        </w:tc>
        <w:tc>
          <w:tcPr>
            <w:tcW w:w="819" w:type="pct"/>
            <w:shd w:val="clear" w:color="auto" w:fill="FFFFFF"/>
            <w:tcMar>
              <w:top w:w="0" w:type="dxa"/>
              <w:left w:w="108" w:type="dxa"/>
              <w:bottom w:w="0" w:type="dxa"/>
              <w:right w:w="108" w:type="dxa"/>
            </w:tcMar>
            <w:vAlign w:val="center"/>
          </w:tcPr>
          <w:p w14:paraId="75AC8E9D">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投影仪</w:t>
            </w:r>
          </w:p>
        </w:tc>
        <w:tc>
          <w:tcPr>
            <w:tcW w:w="688" w:type="pct"/>
            <w:shd w:val="clear" w:color="auto" w:fill="FFFFFF"/>
            <w:tcMar>
              <w:top w:w="0" w:type="dxa"/>
              <w:left w:w="108" w:type="dxa"/>
              <w:bottom w:w="0" w:type="dxa"/>
              <w:right w:w="108" w:type="dxa"/>
            </w:tcMar>
            <w:vAlign w:val="center"/>
          </w:tcPr>
          <w:p w14:paraId="258D8CC6">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19023836">
            <w:pPr>
              <w:widowControl/>
              <w:spacing w:line="276" w:lineRule="auto"/>
              <w:jc w:val="center"/>
              <w:textAlignment w:val="baseline"/>
              <w:rPr>
                <w:rFonts w:hint="eastAsia" w:cs="宋体"/>
                <w:color w:val="auto"/>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440E4B77">
            <w:pPr>
              <w:widowControl/>
              <w:spacing w:line="276" w:lineRule="auto"/>
              <w:jc w:val="center"/>
              <w:rPr>
                <w:rFonts w:hint="eastAsia" w:cs="宋体"/>
                <w:color w:val="auto"/>
                <w:kern w:val="0"/>
                <w:szCs w:val="21"/>
                <w:highlight w:val="none"/>
              </w:rPr>
            </w:pPr>
          </w:p>
        </w:tc>
      </w:tr>
      <w:tr w14:paraId="6478E8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2505F70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4</w:t>
            </w:r>
          </w:p>
        </w:tc>
        <w:tc>
          <w:tcPr>
            <w:tcW w:w="569" w:type="pct"/>
            <w:shd w:val="clear" w:color="auto" w:fill="FFFFFF"/>
            <w:tcMar>
              <w:top w:w="0" w:type="dxa"/>
              <w:left w:w="108" w:type="dxa"/>
              <w:bottom w:w="0" w:type="dxa"/>
              <w:right w:w="108" w:type="dxa"/>
            </w:tcMar>
            <w:vAlign w:val="center"/>
          </w:tcPr>
          <w:p w14:paraId="4341F58D">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A020204</w:t>
            </w:r>
          </w:p>
        </w:tc>
        <w:tc>
          <w:tcPr>
            <w:tcW w:w="819" w:type="pct"/>
            <w:shd w:val="clear" w:color="auto" w:fill="FFFFFF"/>
            <w:tcMar>
              <w:top w:w="0" w:type="dxa"/>
              <w:left w:w="108" w:type="dxa"/>
              <w:bottom w:w="0" w:type="dxa"/>
              <w:right w:w="108" w:type="dxa"/>
            </w:tcMar>
            <w:vAlign w:val="center"/>
          </w:tcPr>
          <w:p w14:paraId="2254D79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多功能一体机</w:t>
            </w:r>
          </w:p>
        </w:tc>
        <w:tc>
          <w:tcPr>
            <w:tcW w:w="688" w:type="pct"/>
            <w:shd w:val="clear" w:color="auto" w:fill="FFFFFF"/>
            <w:tcMar>
              <w:top w:w="0" w:type="dxa"/>
              <w:left w:w="108" w:type="dxa"/>
              <w:bottom w:w="0" w:type="dxa"/>
              <w:right w:w="108" w:type="dxa"/>
            </w:tcMar>
            <w:vAlign w:val="center"/>
          </w:tcPr>
          <w:p w14:paraId="2CC4DF1B">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3C3288DA">
            <w:pPr>
              <w:widowControl/>
              <w:spacing w:line="276" w:lineRule="auto"/>
              <w:jc w:val="center"/>
              <w:textAlignment w:val="baseline"/>
              <w:rPr>
                <w:rFonts w:hint="eastAsia" w:cs="宋体"/>
                <w:color w:val="auto"/>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036CBC38">
            <w:pPr>
              <w:widowControl/>
              <w:spacing w:line="276" w:lineRule="auto"/>
              <w:jc w:val="center"/>
              <w:rPr>
                <w:rFonts w:hint="eastAsia" w:cs="宋体"/>
                <w:color w:val="auto"/>
                <w:kern w:val="0"/>
                <w:szCs w:val="21"/>
                <w:highlight w:val="none"/>
              </w:rPr>
            </w:pPr>
          </w:p>
        </w:tc>
      </w:tr>
      <w:tr w14:paraId="241D44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140371DD">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5</w:t>
            </w:r>
          </w:p>
        </w:tc>
        <w:tc>
          <w:tcPr>
            <w:tcW w:w="569" w:type="pct"/>
            <w:shd w:val="clear" w:color="auto" w:fill="FFFFFF"/>
            <w:tcMar>
              <w:top w:w="0" w:type="dxa"/>
              <w:left w:w="108" w:type="dxa"/>
              <w:bottom w:w="0" w:type="dxa"/>
              <w:right w:w="108" w:type="dxa"/>
            </w:tcMar>
            <w:vAlign w:val="center"/>
          </w:tcPr>
          <w:p w14:paraId="51220C2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A020519</w:t>
            </w:r>
          </w:p>
        </w:tc>
        <w:tc>
          <w:tcPr>
            <w:tcW w:w="819" w:type="pct"/>
            <w:shd w:val="clear" w:color="auto" w:fill="FFFFFF"/>
            <w:tcMar>
              <w:top w:w="0" w:type="dxa"/>
              <w:left w:w="108" w:type="dxa"/>
              <w:bottom w:w="0" w:type="dxa"/>
              <w:right w:w="108" w:type="dxa"/>
            </w:tcMar>
            <w:vAlign w:val="center"/>
          </w:tcPr>
          <w:p w14:paraId="70AF8E4D">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泵</w:t>
            </w:r>
          </w:p>
        </w:tc>
        <w:tc>
          <w:tcPr>
            <w:tcW w:w="688" w:type="pct"/>
            <w:shd w:val="clear" w:color="auto" w:fill="FFFFFF"/>
            <w:tcMar>
              <w:top w:w="0" w:type="dxa"/>
              <w:left w:w="108" w:type="dxa"/>
              <w:bottom w:w="0" w:type="dxa"/>
              <w:right w:w="108" w:type="dxa"/>
            </w:tcMar>
            <w:vAlign w:val="center"/>
          </w:tcPr>
          <w:p w14:paraId="1EA72CB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A02051901</w:t>
            </w:r>
          </w:p>
        </w:tc>
        <w:tc>
          <w:tcPr>
            <w:tcW w:w="974" w:type="pct"/>
            <w:shd w:val="clear" w:color="auto" w:fill="FFFFFF"/>
            <w:tcMar>
              <w:top w:w="0" w:type="dxa"/>
              <w:left w:w="108" w:type="dxa"/>
              <w:bottom w:w="0" w:type="dxa"/>
              <w:right w:w="108" w:type="dxa"/>
            </w:tcMar>
            <w:vAlign w:val="center"/>
          </w:tcPr>
          <w:p w14:paraId="57C9C1D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离心泵</w:t>
            </w:r>
          </w:p>
        </w:tc>
        <w:tc>
          <w:tcPr>
            <w:tcW w:w="1682" w:type="pct"/>
            <w:shd w:val="clear" w:color="auto" w:fill="FFFFFF"/>
            <w:tcMar>
              <w:top w:w="0" w:type="dxa"/>
              <w:left w:w="108" w:type="dxa"/>
              <w:bottom w:w="0" w:type="dxa"/>
              <w:right w:w="108" w:type="dxa"/>
            </w:tcMar>
            <w:vAlign w:val="center"/>
          </w:tcPr>
          <w:p w14:paraId="4D47137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4937211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电能（北京）认证中心有限公司</w:t>
            </w:r>
          </w:p>
          <w:p w14:paraId="4BA4856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方圆标志认证集团有限公司</w:t>
            </w:r>
          </w:p>
        </w:tc>
      </w:tr>
      <w:tr w14:paraId="237E99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0DA11A6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6</w:t>
            </w:r>
          </w:p>
        </w:tc>
        <w:tc>
          <w:tcPr>
            <w:tcW w:w="569" w:type="pct"/>
            <w:vMerge w:val="restart"/>
            <w:shd w:val="clear" w:color="auto" w:fill="FFFFFF"/>
            <w:tcMar>
              <w:top w:w="0" w:type="dxa"/>
              <w:left w:w="108" w:type="dxa"/>
              <w:bottom w:w="0" w:type="dxa"/>
              <w:right w:w="108" w:type="dxa"/>
            </w:tcMar>
            <w:vAlign w:val="center"/>
          </w:tcPr>
          <w:p w14:paraId="2D52FE5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A020523</w:t>
            </w:r>
          </w:p>
        </w:tc>
        <w:tc>
          <w:tcPr>
            <w:tcW w:w="819" w:type="pct"/>
            <w:vMerge w:val="restart"/>
            <w:shd w:val="clear" w:color="auto" w:fill="FFFFFF"/>
            <w:tcMar>
              <w:top w:w="0" w:type="dxa"/>
              <w:left w:w="108" w:type="dxa"/>
              <w:bottom w:w="0" w:type="dxa"/>
              <w:right w:w="108" w:type="dxa"/>
            </w:tcMar>
            <w:vAlign w:val="center"/>
          </w:tcPr>
          <w:p w14:paraId="6912E40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制冷空调设备</w:t>
            </w:r>
          </w:p>
        </w:tc>
        <w:tc>
          <w:tcPr>
            <w:tcW w:w="688" w:type="pct"/>
            <w:shd w:val="clear" w:color="auto" w:fill="FFFFFF"/>
            <w:tcMar>
              <w:top w:w="0" w:type="dxa"/>
              <w:left w:w="108" w:type="dxa"/>
              <w:bottom w:w="0" w:type="dxa"/>
              <w:right w:w="108" w:type="dxa"/>
            </w:tcMar>
            <w:vAlign w:val="center"/>
          </w:tcPr>
          <w:p w14:paraId="6FC4D44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A02052301</w:t>
            </w:r>
          </w:p>
        </w:tc>
        <w:tc>
          <w:tcPr>
            <w:tcW w:w="974" w:type="pct"/>
            <w:shd w:val="clear" w:color="auto" w:fill="FFFFFF"/>
            <w:tcMar>
              <w:top w:w="0" w:type="dxa"/>
              <w:left w:w="108" w:type="dxa"/>
              <w:bottom w:w="0" w:type="dxa"/>
              <w:right w:w="108" w:type="dxa"/>
            </w:tcMar>
            <w:vAlign w:val="center"/>
          </w:tcPr>
          <w:p w14:paraId="711BE2E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制冷压缩机</w:t>
            </w:r>
          </w:p>
        </w:tc>
        <w:tc>
          <w:tcPr>
            <w:tcW w:w="1682" w:type="pct"/>
            <w:vMerge w:val="restart"/>
            <w:shd w:val="clear" w:color="auto" w:fill="FFFFFF"/>
            <w:tcMar>
              <w:top w:w="0" w:type="dxa"/>
              <w:left w:w="108" w:type="dxa"/>
              <w:bottom w:w="0" w:type="dxa"/>
              <w:right w:w="108" w:type="dxa"/>
            </w:tcMar>
            <w:vAlign w:val="center"/>
          </w:tcPr>
          <w:p w14:paraId="0FA2B9F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56DEBDD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威凯认证检测有限公司</w:t>
            </w:r>
          </w:p>
          <w:p w14:paraId="7034F60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合肥通用机械产品认证有限公司</w:t>
            </w:r>
          </w:p>
          <w:p w14:paraId="4B41B74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北京中冷通质量认证中心有限公司</w:t>
            </w:r>
          </w:p>
        </w:tc>
      </w:tr>
      <w:tr w14:paraId="636AEF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191884FC">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16BAEA4D">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159E14CD">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715FF2E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A02052305</w:t>
            </w:r>
          </w:p>
        </w:tc>
        <w:tc>
          <w:tcPr>
            <w:tcW w:w="974" w:type="pct"/>
            <w:shd w:val="clear" w:color="auto" w:fill="FFFFFF"/>
            <w:tcMar>
              <w:top w:w="0" w:type="dxa"/>
              <w:left w:w="108" w:type="dxa"/>
              <w:bottom w:w="0" w:type="dxa"/>
              <w:right w:w="108" w:type="dxa"/>
            </w:tcMar>
            <w:vAlign w:val="center"/>
          </w:tcPr>
          <w:p w14:paraId="4839A91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空调机组</w:t>
            </w:r>
          </w:p>
        </w:tc>
        <w:tc>
          <w:tcPr>
            <w:tcW w:w="1682" w:type="pct"/>
            <w:vMerge w:val="continue"/>
            <w:shd w:val="clear" w:color="auto" w:fill="FFFFFF"/>
            <w:tcMar>
              <w:top w:w="0" w:type="dxa"/>
              <w:left w:w="0" w:type="dxa"/>
              <w:bottom w:w="0" w:type="dxa"/>
              <w:right w:w="0" w:type="dxa"/>
            </w:tcMar>
            <w:vAlign w:val="center"/>
          </w:tcPr>
          <w:p w14:paraId="060D8DE9">
            <w:pPr>
              <w:widowControl/>
              <w:spacing w:line="276" w:lineRule="auto"/>
              <w:jc w:val="center"/>
              <w:rPr>
                <w:rFonts w:hint="eastAsia" w:cs="宋体"/>
                <w:color w:val="auto"/>
                <w:kern w:val="0"/>
                <w:szCs w:val="21"/>
                <w:highlight w:val="none"/>
              </w:rPr>
            </w:pPr>
          </w:p>
        </w:tc>
      </w:tr>
      <w:tr w14:paraId="42DE31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1E91D2A5">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3F016A9D">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4410864F">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601DBD5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A02052309</w:t>
            </w:r>
          </w:p>
        </w:tc>
        <w:tc>
          <w:tcPr>
            <w:tcW w:w="974" w:type="pct"/>
            <w:shd w:val="clear" w:color="auto" w:fill="FFFFFF"/>
            <w:tcMar>
              <w:top w:w="0" w:type="dxa"/>
              <w:left w:w="108" w:type="dxa"/>
              <w:bottom w:w="0" w:type="dxa"/>
              <w:right w:w="108" w:type="dxa"/>
            </w:tcMar>
            <w:vAlign w:val="center"/>
          </w:tcPr>
          <w:p w14:paraId="6E25166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专用制冷、空调设备</w:t>
            </w:r>
          </w:p>
        </w:tc>
        <w:tc>
          <w:tcPr>
            <w:tcW w:w="1682" w:type="pct"/>
            <w:vMerge w:val="continue"/>
            <w:shd w:val="clear" w:color="auto" w:fill="FFFFFF"/>
            <w:tcMar>
              <w:top w:w="0" w:type="dxa"/>
              <w:left w:w="0" w:type="dxa"/>
              <w:bottom w:w="0" w:type="dxa"/>
              <w:right w:w="0" w:type="dxa"/>
            </w:tcMar>
            <w:vAlign w:val="center"/>
          </w:tcPr>
          <w:p w14:paraId="15DD8131">
            <w:pPr>
              <w:widowControl/>
              <w:spacing w:line="276" w:lineRule="auto"/>
              <w:jc w:val="center"/>
              <w:rPr>
                <w:rFonts w:hint="eastAsia" w:cs="宋体"/>
                <w:color w:val="auto"/>
                <w:kern w:val="0"/>
                <w:szCs w:val="21"/>
                <w:highlight w:val="none"/>
              </w:rPr>
            </w:pPr>
          </w:p>
        </w:tc>
      </w:tr>
      <w:tr w14:paraId="719B14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081EC71C">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4DC4BB8C">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2173F7C3">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70BF126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A02052399</w:t>
            </w:r>
          </w:p>
        </w:tc>
        <w:tc>
          <w:tcPr>
            <w:tcW w:w="974" w:type="pct"/>
            <w:shd w:val="clear" w:color="auto" w:fill="FFFFFF"/>
            <w:tcMar>
              <w:top w:w="0" w:type="dxa"/>
              <w:left w:w="108" w:type="dxa"/>
              <w:bottom w:w="0" w:type="dxa"/>
              <w:right w:w="108" w:type="dxa"/>
            </w:tcMar>
            <w:vAlign w:val="center"/>
          </w:tcPr>
          <w:p w14:paraId="70E18D5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其他制冷空调设备</w:t>
            </w:r>
          </w:p>
        </w:tc>
        <w:tc>
          <w:tcPr>
            <w:tcW w:w="1682" w:type="pct"/>
            <w:vMerge w:val="continue"/>
            <w:shd w:val="clear" w:color="auto" w:fill="FFFFFF"/>
            <w:tcMar>
              <w:top w:w="0" w:type="dxa"/>
              <w:left w:w="0" w:type="dxa"/>
              <w:bottom w:w="0" w:type="dxa"/>
              <w:right w:w="0" w:type="dxa"/>
            </w:tcMar>
            <w:vAlign w:val="center"/>
          </w:tcPr>
          <w:p w14:paraId="3C1F9B5E">
            <w:pPr>
              <w:widowControl/>
              <w:spacing w:line="276" w:lineRule="auto"/>
              <w:jc w:val="center"/>
              <w:rPr>
                <w:rFonts w:hint="eastAsia" w:cs="宋体"/>
                <w:color w:val="auto"/>
                <w:kern w:val="0"/>
                <w:szCs w:val="21"/>
                <w:highlight w:val="none"/>
              </w:rPr>
            </w:pPr>
          </w:p>
        </w:tc>
      </w:tr>
      <w:tr w14:paraId="56D234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4AF5AF9D">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7</w:t>
            </w:r>
          </w:p>
        </w:tc>
        <w:tc>
          <w:tcPr>
            <w:tcW w:w="569" w:type="pct"/>
            <w:shd w:val="clear" w:color="auto" w:fill="FFFFFF"/>
            <w:tcMar>
              <w:top w:w="0" w:type="dxa"/>
              <w:left w:w="108" w:type="dxa"/>
              <w:bottom w:w="0" w:type="dxa"/>
              <w:right w:w="108" w:type="dxa"/>
            </w:tcMar>
            <w:vAlign w:val="center"/>
          </w:tcPr>
          <w:p w14:paraId="5F90C4A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A020601</w:t>
            </w:r>
          </w:p>
        </w:tc>
        <w:tc>
          <w:tcPr>
            <w:tcW w:w="819" w:type="pct"/>
            <w:shd w:val="clear" w:color="auto" w:fill="FFFFFF"/>
            <w:tcMar>
              <w:top w:w="0" w:type="dxa"/>
              <w:left w:w="108" w:type="dxa"/>
              <w:bottom w:w="0" w:type="dxa"/>
              <w:right w:w="108" w:type="dxa"/>
            </w:tcMar>
            <w:vAlign w:val="center"/>
          </w:tcPr>
          <w:p w14:paraId="5A0151B6">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电机</w:t>
            </w:r>
          </w:p>
        </w:tc>
        <w:tc>
          <w:tcPr>
            <w:tcW w:w="688" w:type="pct"/>
            <w:shd w:val="clear" w:color="auto" w:fill="FFFFFF"/>
            <w:tcMar>
              <w:top w:w="0" w:type="dxa"/>
              <w:left w:w="108" w:type="dxa"/>
              <w:bottom w:w="0" w:type="dxa"/>
              <w:right w:w="108" w:type="dxa"/>
            </w:tcMar>
            <w:vAlign w:val="center"/>
          </w:tcPr>
          <w:p w14:paraId="58F81CC7">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0D43FA3C">
            <w:pPr>
              <w:widowControl/>
              <w:spacing w:line="276" w:lineRule="auto"/>
              <w:jc w:val="center"/>
              <w:textAlignment w:val="baseline"/>
              <w:rPr>
                <w:rFonts w:hint="eastAsia" w:cs="宋体"/>
                <w:color w:val="auto"/>
                <w:kern w:val="0"/>
                <w:szCs w:val="21"/>
                <w:highlight w:val="none"/>
              </w:rPr>
            </w:pPr>
          </w:p>
        </w:tc>
        <w:tc>
          <w:tcPr>
            <w:tcW w:w="1682" w:type="pct"/>
            <w:shd w:val="clear" w:color="auto" w:fill="FFFFFF"/>
            <w:tcMar>
              <w:top w:w="0" w:type="dxa"/>
              <w:left w:w="108" w:type="dxa"/>
              <w:bottom w:w="0" w:type="dxa"/>
              <w:right w:w="108" w:type="dxa"/>
            </w:tcMar>
            <w:vAlign w:val="center"/>
          </w:tcPr>
          <w:p w14:paraId="40D2DFB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1AD70AE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威凯认证检测有限公司</w:t>
            </w:r>
          </w:p>
          <w:p w14:paraId="5F9F7DE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电能（北京）认证中心有限公司</w:t>
            </w:r>
          </w:p>
          <w:p w14:paraId="4D14F6B6">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中国船级社质量认证公司</w:t>
            </w:r>
          </w:p>
        </w:tc>
      </w:tr>
      <w:tr w14:paraId="7F666B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63225D4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8</w:t>
            </w:r>
          </w:p>
        </w:tc>
        <w:tc>
          <w:tcPr>
            <w:tcW w:w="569" w:type="pct"/>
            <w:shd w:val="clear" w:color="auto" w:fill="FFFFFF"/>
            <w:tcMar>
              <w:top w:w="0" w:type="dxa"/>
              <w:left w:w="108" w:type="dxa"/>
              <w:bottom w:w="0" w:type="dxa"/>
              <w:right w:w="108" w:type="dxa"/>
            </w:tcMar>
            <w:vAlign w:val="center"/>
          </w:tcPr>
          <w:p w14:paraId="3E509A5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A020602</w:t>
            </w:r>
          </w:p>
        </w:tc>
        <w:tc>
          <w:tcPr>
            <w:tcW w:w="819" w:type="pct"/>
            <w:shd w:val="clear" w:color="auto" w:fill="FFFFFF"/>
            <w:tcMar>
              <w:top w:w="0" w:type="dxa"/>
              <w:left w:w="108" w:type="dxa"/>
              <w:bottom w:w="0" w:type="dxa"/>
              <w:right w:w="108" w:type="dxa"/>
            </w:tcMar>
            <w:vAlign w:val="center"/>
          </w:tcPr>
          <w:p w14:paraId="7128E2A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变压器</w:t>
            </w:r>
          </w:p>
        </w:tc>
        <w:tc>
          <w:tcPr>
            <w:tcW w:w="688" w:type="pct"/>
            <w:shd w:val="clear" w:color="auto" w:fill="FFFFFF"/>
            <w:tcMar>
              <w:top w:w="0" w:type="dxa"/>
              <w:left w:w="108" w:type="dxa"/>
              <w:bottom w:w="0" w:type="dxa"/>
              <w:right w:w="108" w:type="dxa"/>
            </w:tcMar>
            <w:vAlign w:val="center"/>
          </w:tcPr>
          <w:p w14:paraId="70B37E7C">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63922E20">
            <w:pPr>
              <w:widowControl/>
              <w:spacing w:line="276" w:lineRule="auto"/>
              <w:jc w:val="center"/>
              <w:textAlignment w:val="baseline"/>
              <w:rPr>
                <w:rFonts w:hint="eastAsia" w:cs="宋体"/>
                <w:color w:val="auto"/>
                <w:kern w:val="0"/>
                <w:szCs w:val="21"/>
                <w:highlight w:val="none"/>
              </w:rPr>
            </w:pPr>
          </w:p>
        </w:tc>
        <w:tc>
          <w:tcPr>
            <w:tcW w:w="1682" w:type="pct"/>
            <w:shd w:val="clear" w:color="auto" w:fill="FFFFFF"/>
            <w:tcMar>
              <w:top w:w="0" w:type="dxa"/>
              <w:left w:w="108" w:type="dxa"/>
              <w:bottom w:w="0" w:type="dxa"/>
              <w:right w:w="108" w:type="dxa"/>
            </w:tcMar>
            <w:vAlign w:val="center"/>
          </w:tcPr>
          <w:p w14:paraId="106A943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48A4322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电能（北京）认证中心有限公司</w:t>
            </w:r>
          </w:p>
          <w:p w14:paraId="6E25593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方圆标志认证集团有限公司</w:t>
            </w:r>
          </w:p>
        </w:tc>
      </w:tr>
      <w:tr w14:paraId="067A3C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7369A08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9</w:t>
            </w:r>
          </w:p>
        </w:tc>
        <w:tc>
          <w:tcPr>
            <w:tcW w:w="569" w:type="pct"/>
            <w:shd w:val="clear" w:color="auto" w:fill="FFFFFF"/>
            <w:tcMar>
              <w:top w:w="0" w:type="dxa"/>
              <w:left w:w="108" w:type="dxa"/>
              <w:bottom w:w="0" w:type="dxa"/>
              <w:right w:w="108" w:type="dxa"/>
            </w:tcMar>
            <w:vAlign w:val="center"/>
          </w:tcPr>
          <w:p w14:paraId="6F439EB7">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A020609</w:t>
            </w:r>
          </w:p>
        </w:tc>
        <w:tc>
          <w:tcPr>
            <w:tcW w:w="819" w:type="pct"/>
            <w:shd w:val="clear" w:color="auto" w:fill="FFFFFF"/>
            <w:tcMar>
              <w:top w:w="0" w:type="dxa"/>
              <w:left w:w="108" w:type="dxa"/>
              <w:bottom w:w="0" w:type="dxa"/>
              <w:right w:w="108" w:type="dxa"/>
            </w:tcMar>
            <w:vAlign w:val="center"/>
          </w:tcPr>
          <w:p w14:paraId="785330E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镇流器</w:t>
            </w:r>
          </w:p>
        </w:tc>
        <w:tc>
          <w:tcPr>
            <w:tcW w:w="688" w:type="pct"/>
            <w:shd w:val="clear" w:color="auto" w:fill="FFFFFF"/>
            <w:tcMar>
              <w:top w:w="0" w:type="dxa"/>
              <w:left w:w="108" w:type="dxa"/>
              <w:bottom w:w="0" w:type="dxa"/>
              <w:right w:w="108" w:type="dxa"/>
            </w:tcMar>
            <w:vAlign w:val="center"/>
          </w:tcPr>
          <w:p w14:paraId="40C206F4">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574DF44B">
            <w:pPr>
              <w:widowControl/>
              <w:spacing w:line="276" w:lineRule="auto"/>
              <w:jc w:val="center"/>
              <w:textAlignment w:val="baseline"/>
              <w:rPr>
                <w:rFonts w:hint="eastAsia" w:cs="宋体"/>
                <w:color w:val="auto"/>
                <w:kern w:val="0"/>
                <w:szCs w:val="21"/>
                <w:highlight w:val="none"/>
              </w:rPr>
            </w:pPr>
          </w:p>
        </w:tc>
        <w:tc>
          <w:tcPr>
            <w:tcW w:w="1682" w:type="pct"/>
            <w:shd w:val="clear" w:color="auto" w:fill="FFFFFF"/>
            <w:tcMar>
              <w:top w:w="0" w:type="dxa"/>
              <w:left w:w="108" w:type="dxa"/>
              <w:bottom w:w="0" w:type="dxa"/>
              <w:right w:w="108" w:type="dxa"/>
            </w:tcMar>
            <w:vAlign w:val="center"/>
          </w:tcPr>
          <w:p w14:paraId="1BB16A2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6CB77B6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深圳市计量质量检测研究院</w:t>
            </w:r>
          </w:p>
          <w:p w14:paraId="1103240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中标合信（北京）认证有限公司</w:t>
            </w:r>
          </w:p>
        </w:tc>
      </w:tr>
      <w:tr w14:paraId="3486DA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3C4DEAA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10</w:t>
            </w:r>
          </w:p>
        </w:tc>
        <w:tc>
          <w:tcPr>
            <w:tcW w:w="569" w:type="pct"/>
            <w:vMerge w:val="restart"/>
            <w:shd w:val="clear" w:color="auto" w:fill="FFFFFF"/>
            <w:tcMar>
              <w:top w:w="0" w:type="dxa"/>
              <w:left w:w="108" w:type="dxa"/>
              <w:bottom w:w="0" w:type="dxa"/>
              <w:right w:w="108" w:type="dxa"/>
            </w:tcMar>
            <w:vAlign w:val="center"/>
          </w:tcPr>
          <w:p w14:paraId="0E739FF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A020618</w:t>
            </w:r>
          </w:p>
        </w:tc>
        <w:tc>
          <w:tcPr>
            <w:tcW w:w="819" w:type="pct"/>
            <w:vMerge w:val="restart"/>
            <w:shd w:val="clear" w:color="auto" w:fill="FFFFFF"/>
            <w:tcMar>
              <w:top w:w="0" w:type="dxa"/>
              <w:left w:w="108" w:type="dxa"/>
              <w:bottom w:w="0" w:type="dxa"/>
              <w:right w:w="108" w:type="dxa"/>
            </w:tcMar>
            <w:vAlign w:val="center"/>
          </w:tcPr>
          <w:p w14:paraId="43B095B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生活用电器</w:t>
            </w:r>
          </w:p>
        </w:tc>
        <w:tc>
          <w:tcPr>
            <w:tcW w:w="688" w:type="pct"/>
            <w:shd w:val="clear" w:color="auto" w:fill="FFFFFF"/>
            <w:tcMar>
              <w:top w:w="0" w:type="dxa"/>
              <w:left w:w="108" w:type="dxa"/>
              <w:bottom w:w="0" w:type="dxa"/>
              <w:right w:w="108" w:type="dxa"/>
            </w:tcMar>
            <w:vAlign w:val="center"/>
          </w:tcPr>
          <w:p w14:paraId="1E4344C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A0206180101</w:t>
            </w:r>
          </w:p>
        </w:tc>
        <w:tc>
          <w:tcPr>
            <w:tcW w:w="974" w:type="pct"/>
            <w:shd w:val="clear" w:color="auto" w:fill="FFFFFF"/>
            <w:tcMar>
              <w:top w:w="0" w:type="dxa"/>
              <w:left w:w="108" w:type="dxa"/>
              <w:bottom w:w="0" w:type="dxa"/>
              <w:right w:w="108" w:type="dxa"/>
            </w:tcMar>
            <w:vAlign w:val="center"/>
          </w:tcPr>
          <w:p w14:paraId="4EDE5B1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电冰箱</w:t>
            </w:r>
          </w:p>
        </w:tc>
        <w:tc>
          <w:tcPr>
            <w:tcW w:w="1682" w:type="pct"/>
            <w:shd w:val="clear" w:color="auto" w:fill="FFFFFF"/>
            <w:tcMar>
              <w:top w:w="0" w:type="dxa"/>
              <w:left w:w="108" w:type="dxa"/>
              <w:bottom w:w="0" w:type="dxa"/>
              <w:right w:w="108" w:type="dxa"/>
            </w:tcMar>
            <w:vAlign w:val="center"/>
          </w:tcPr>
          <w:p w14:paraId="12AC97B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5E0ABA9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威凯认证检测有限公司</w:t>
            </w:r>
          </w:p>
          <w:p w14:paraId="073578D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中家院（北京）检测认证有限公司</w:t>
            </w:r>
          </w:p>
        </w:tc>
      </w:tr>
      <w:tr w14:paraId="65A70C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1E532A18">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2CF6DF4F">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19802E98">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019021D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A0206180203</w:t>
            </w:r>
          </w:p>
        </w:tc>
        <w:tc>
          <w:tcPr>
            <w:tcW w:w="974" w:type="pct"/>
            <w:shd w:val="clear" w:color="auto" w:fill="FFFFFF"/>
            <w:tcMar>
              <w:top w:w="0" w:type="dxa"/>
              <w:left w:w="108" w:type="dxa"/>
              <w:bottom w:w="0" w:type="dxa"/>
              <w:right w:w="108" w:type="dxa"/>
            </w:tcMar>
            <w:vAlign w:val="center"/>
          </w:tcPr>
          <w:p w14:paraId="436C5F3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空调机</w:t>
            </w:r>
          </w:p>
        </w:tc>
        <w:tc>
          <w:tcPr>
            <w:tcW w:w="1682" w:type="pct"/>
            <w:shd w:val="clear" w:color="auto" w:fill="FFFFFF"/>
            <w:tcMar>
              <w:top w:w="0" w:type="dxa"/>
              <w:left w:w="108" w:type="dxa"/>
              <w:bottom w:w="0" w:type="dxa"/>
              <w:right w:w="108" w:type="dxa"/>
            </w:tcMar>
            <w:vAlign w:val="center"/>
          </w:tcPr>
          <w:p w14:paraId="5A2F801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7F65D66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威凯认证检测有限公司</w:t>
            </w:r>
          </w:p>
          <w:p w14:paraId="4A79129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中家院（北京）检测认证有限公司</w:t>
            </w:r>
          </w:p>
          <w:p w14:paraId="16883FB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合肥通用机械产品认证有限公司</w:t>
            </w:r>
          </w:p>
        </w:tc>
      </w:tr>
      <w:tr w14:paraId="1A43B0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6C6AFF93">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4A10BF9C">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1526E84">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42823FA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A0206180301</w:t>
            </w:r>
          </w:p>
        </w:tc>
        <w:tc>
          <w:tcPr>
            <w:tcW w:w="974" w:type="pct"/>
            <w:shd w:val="clear" w:color="auto" w:fill="FFFFFF"/>
            <w:tcMar>
              <w:top w:w="0" w:type="dxa"/>
              <w:left w:w="108" w:type="dxa"/>
              <w:bottom w:w="0" w:type="dxa"/>
              <w:right w:w="108" w:type="dxa"/>
            </w:tcMar>
            <w:vAlign w:val="center"/>
          </w:tcPr>
          <w:p w14:paraId="1DDEBFF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洗衣机</w:t>
            </w:r>
          </w:p>
        </w:tc>
        <w:tc>
          <w:tcPr>
            <w:tcW w:w="1682" w:type="pct"/>
            <w:shd w:val="clear" w:color="auto" w:fill="FFFFFF"/>
            <w:tcMar>
              <w:top w:w="0" w:type="dxa"/>
              <w:left w:w="108" w:type="dxa"/>
              <w:bottom w:w="0" w:type="dxa"/>
              <w:right w:w="108" w:type="dxa"/>
            </w:tcMar>
            <w:vAlign w:val="center"/>
          </w:tcPr>
          <w:p w14:paraId="7BB0FF1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60F038E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威凯认证检测有限公司</w:t>
            </w:r>
          </w:p>
          <w:p w14:paraId="34964FD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中家院（北京）检测认证有限公司</w:t>
            </w:r>
          </w:p>
        </w:tc>
      </w:tr>
      <w:tr w14:paraId="4387E2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51E3163">
            <w:pPr>
              <w:widowControl/>
              <w:spacing w:line="276" w:lineRule="auto"/>
              <w:jc w:val="center"/>
              <w:rPr>
                <w:rFonts w:hint="eastAsia" w:cs="宋体"/>
                <w:color w:val="auto"/>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1FD9BFF0">
            <w:pPr>
              <w:widowControl/>
              <w:spacing w:line="276" w:lineRule="auto"/>
              <w:jc w:val="center"/>
              <w:rPr>
                <w:rFonts w:hint="eastAsia" w:cs="宋体"/>
                <w:color w:val="auto"/>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7B2116D8">
            <w:pPr>
              <w:widowControl/>
              <w:spacing w:line="276" w:lineRule="auto"/>
              <w:jc w:val="center"/>
              <w:rPr>
                <w:rFonts w:hint="eastAsia" w:cs="宋体"/>
                <w:color w:val="auto"/>
                <w:kern w:val="0"/>
                <w:szCs w:val="21"/>
                <w:highlight w:val="none"/>
              </w:rPr>
            </w:pPr>
          </w:p>
        </w:tc>
        <w:tc>
          <w:tcPr>
            <w:tcW w:w="688" w:type="pct"/>
            <w:shd w:val="clear" w:color="auto" w:fill="FFFFFF"/>
            <w:tcMar>
              <w:top w:w="0" w:type="dxa"/>
              <w:left w:w="108" w:type="dxa"/>
              <w:bottom w:w="0" w:type="dxa"/>
              <w:right w:w="108" w:type="dxa"/>
            </w:tcMar>
            <w:vAlign w:val="center"/>
          </w:tcPr>
          <w:p w14:paraId="5096904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A02061808</w:t>
            </w:r>
          </w:p>
        </w:tc>
        <w:tc>
          <w:tcPr>
            <w:tcW w:w="974" w:type="pct"/>
            <w:shd w:val="clear" w:color="auto" w:fill="FFFFFF"/>
            <w:tcMar>
              <w:top w:w="0" w:type="dxa"/>
              <w:left w:w="108" w:type="dxa"/>
              <w:bottom w:w="0" w:type="dxa"/>
              <w:right w:w="108" w:type="dxa"/>
            </w:tcMar>
            <w:vAlign w:val="center"/>
          </w:tcPr>
          <w:p w14:paraId="59816F3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热水器</w:t>
            </w:r>
          </w:p>
        </w:tc>
        <w:tc>
          <w:tcPr>
            <w:tcW w:w="1682" w:type="pct"/>
            <w:shd w:val="clear" w:color="auto" w:fill="FFFFFF"/>
            <w:tcMar>
              <w:top w:w="0" w:type="dxa"/>
              <w:left w:w="108" w:type="dxa"/>
              <w:bottom w:w="0" w:type="dxa"/>
              <w:right w:w="108" w:type="dxa"/>
            </w:tcMar>
            <w:vAlign w:val="center"/>
          </w:tcPr>
          <w:p w14:paraId="44F3B5D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382328B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威凯认证检测有限公司</w:t>
            </w:r>
          </w:p>
          <w:p w14:paraId="218E8DD7">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中家院（北京）检测认证有限公司</w:t>
            </w:r>
          </w:p>
          <w:p w14:paraId="5842533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合肥通用机械产品认证有限公司(范围仅限于“热泵热水器”)</w:t>
            </w:r>
          </w:p>
        </w:tc>
      </w:tr>
      <w:tr w14:paraId="4AB73C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15F60CD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11</w:t>
            </w:r>
          </w:p>
        </w:tc>
        <w:tc>
          <w:tcPr>
            <w:tcW w:w="569" w:type="pct"/>
            <w:shd w:val="clear" w:color="auto" w:fill="FFFFFF"/>
            <w:tcMar>
              <w:top w:w="0" w:type="dxa"/>
              <w:left w:w="108" w:type="dxa"/>
              <w:bottom w:w="0" w:type="dxa"/>
              <w:right w:w="108" w:type="dxa"/>
            </w:tcMar>
            <w:vAlign w:val="center"/>
          </w:tcPr>
          <w:p w14:paraId="7DB496A7">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A020619</w:t>
            </w:r>
          </w:p>
        </w:tc>
        <w:tc>
          <w:tcPr>
            <w:tcW w:w="819" w:type="pct"/>
            <w:shd w:val="clear" w:color="auto" w:fill="FFFFFF"/>
            <w:tcMar>
              <w:top w:w="0" w:type="dxa"/>
              <w:left w:w="108" w:type="dxa"/>
              <w:bottom w:w="0" w:type="dxa"/>
              <w:right w:w="108" w:type="dxa"/>
            </w:tcMar>
            <w:vAlign w:val="center"/>
          </w:tcPr>
          <w:p w14:paraId="27186F2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照明设备</w:t>
            </w:r>
          </w:p>
        </w:tc>
        <w:tc>
          <w:tcPr>
            <w:tcW w:w="688" w:type="pct"/>
            <w:shd w:val="clear" w:color="auto" w:fill="FFFFFF"/>
            <w:tcMar>
              <w:top w:w="0" w:type="dxa"/>
              <w:left w:w="108" w:type="dxa"/>
              <w:bottom w:w="0" w:type="dxa"/>
              <w:right w:w="108" w:type="dxa"/>
            </w:tcMar>
            <w:vAlign w:val="center"/>
          </w:tcPr>
          <w:p w14:paraId="7FC5F945">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43A97C2A">
            <w:pPr>
              <w:widowControl/>
              <w:spacing w:line="276" w:lineRule="auto"/>
              <w:jc w:val="center"/>
              <w:textAlignment w:val="baseline"/>
              <w:rPr>
                <w:rFonts w:hint="eastAsia" w:cs="宋体"/>
                <w:color w:val="auto"/>
                <w:kern w:val="0"/>
                <w:szCs w:val="21"/>
                <w:highlight w:val="none"/>
              </w:rPr>
            </w:pPr>
          </w:p>
        </w:tc>
        <w:tc>
          <w:tcPr>
            <w:tcW w:w="1682" w:type="pct"/>
            <w:shd w:val="clear" w:color="auto" w:fill="FFFFFF"/>
            <w:tcMar>
              <w:top w:w="0" w:type="dxa"/>
              <w:left w:w="108" w:type="dxa"/>
              <w:bottom w:w="0" w:type="dxa"/>
              <w:right w:w="108" w:type="dxa"/>
            </w:tcMar>
            <w:vAlign w:val="center"/>
          </w:tcPr>
          <w:p w14:paraId="271F789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799A2CA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深圳市计量质量检测研究院</w:t>
            </w:r>
          </w:p>
          <w:p w14:paraId="566A00B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中标合信（北京）认证有限公司</w:t>
            </w:r>
          </w:p>
        </w:tc>
      </w:tr>
      <w:tr w14:paraId="7FA1DB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13A47CD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12</w:t>
            </w:r>
          </w:p>
        </w:tc>
        <w:tc>
          <w:tcPr>
            <w:tcW w:w="569" w:type="pct"/>
            <w:shd w:val="clear" w:color="auto" w:fill="FFFFFF"/>
            <w:tcMar>
              <w:top w:w="0" w:type="dxa"/>
              <w:left w:w="108" w:type="dxa"/>
              <w:bottom w:w="0" w:type="dxa"/>
              <w:right w:w="108" w:type="dxa"/>
            </w:tcMar>
            <w:vAlign w:val="center"/>
          </w:tcPr>
          <w:p w14:paraId="4FD2C96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A020910</w:t>
            </w:r>
          </w:p>
        </w:tc>
        <w:tc>
          <w:tcPr>
            <w:tcW w:w="819" w:type="pct"/>
            <w:shd w:val="clear" w:color="auto" w:fill="FFFFFF"/>
            <w:tcMar>
              <w:top w:w="0" w:type="dxa"/>
              <w:left w:w="108" w:type="dxa"/>
              <w:bottom w:w="0" w:type="dxa"/>
              <w:right w:w="108" w:type="dxa"/>
            </w:tcMar>
            <w:vAlign w:val="center"/>
          </w:tcPr>
          <w:p w14:paraId="397D3A1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电视设备</w:t>
            </w:r>
          </w:p>
        </w:tc>
        <w:tc>
          <w:tcPr>
            <w:tcW w:w="688" w:type="pct"/>
            <w:shd w:val="clear" w:color="auto" w:fill="FFFFFF"/>
            <w:tcMar>
              <w:top w:w="0" w:type="dxa"/>
              <w:left w:w="108" w:type="dxa"/>
              <w:bottom w:w="0" w:type="dxa"/>
              <w:right w:w="108" w:type="dxa"/>
            </w:tcMar>
            <w:vAlign w:val="center"/>
          </w:tcPr>
          <w:p w14:paraId="15E0740C">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A02091001</w:t>
            </w:r>
          </w:p>
        </w:tc>
        <w:tc>
          <w:tcPr>
            <w:tcW w:w="974" w:type="pct"/>
            <w:shd w:val="clear" w:color="auto" w:fill="FFFFFF"/>
            <w:tcMar>
              <w:top w:w="0" w:type="dxa"/>
              <w:left w:w="108" w:type="dxa"/>
              <w:bottom w:w="0" w:type="dxa"/>
              <w:right w:w="108" w:type="dxa"/>
            </w:tcMar>
            <w:vAlign w:val="center"/>
          </w:tcPr>
          <w:p w14:paraId="2051E34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普通电视设备（电视机）</w:t>
            </w:r>
          </w:p>
        </w:tc>
        <w:tc>
          <w:tcPr>
            <w:tcW w:w="1682" w:type="pct"/>
            <w:vMerge w:val="restart"/>
            <w:shd w:val="clear" w:color="auto" w:fill="FFFFFF"/>
            <w:tcMar>
              <w:top w:w="0" w:type="dxa"/>
              <w:left w:w="108" w:type="dxa"/>
              <w:bottom w:w="0" w:type="dxa"/>
              <w:right w:w="108" w:type="dxa"/>
            </w:tcMar>
            <w:vAlign w:val="center"/>
          </w:tcPr>
          <w:p w14:paraId="67D49F2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5A67876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北京泰瑞特认证有限责任公司</w:t>
            </w:r>
          </w:p>
          <w:p w14:paraId="278407A8">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广州赛宝认证中心服务有限公司</w:t>
            </w:r>
          </w:p>
        </w:tc>
      </w:tr>
      <w:tr w14:paraId="4E523C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11A9C20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13</w:t>
            </w:r>
          </w:p>
        </w:tc>
        <w:tc>
          <w:tcPr>
            <w:tcW w:w="569" w:type="pct"/>
            <w:shd w:val="clear" w:color="auto" w:fill="FFFFFF"/>
            <w:tcMar>
              <w:top w:w="0" w:type="dxa"/>
              <w:left w:w="108" w:type="dxa"/>
              <w:bottom w:w="0" w:type="dxa"/>
              <w:right w:w="108" w:type="dxa"/>
            </w:tcMar>
            <w:vAlign w:val="center"/>
          </w:tcPr>
          <w:p w14:paraId="638A6952">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A020911</w:t>
            </w:r>
          </w:p>
        </w:tc>
        <w:tc>
          <w:tcPr>
            <w:tcW w:w="819" w:type="pct"/>
            <w:shd w:val="clear" w:color="auto" w:fill="FFFFFF"/>
            <w:tcMar>
              <w:top w:w="0" w:type="dxa"/>
              <w:left w:w="108" w:type="dxa"/>
              <w:bottom w:w="0" w:type="dxa"/>
              <w:right w:w="108" w:type="dxa"/>
            </w:tcMar>
            <w:vAlign w:val="center"/>
          </w:tcPr>
          <w:p w14:paraId="4987573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视频设备</w:t>
            </w:r>
          </w:p>
        </w:tc>
        <w:tc>
          <w:tcPr>
            <w:tcW w:w="688" w:type="pct"/>
            <w:shd w:val="clear" w:color="auto" w:fill="FFFFFF"/>
            <w:tcMar>
              <w:top w:w="0" w:type="dxa"/>
              <w:left w:w="108" w:type="dxa"/>
              <w:bottom w:w="0" w:type="dxa"/>
              <w:right w:w="108" w:type="dxa"/>
            </w:tcMar>
            <w:vAlign w:val="center"/>
          </w:tcPr>
          <w:p w14:paraId="5134369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A02091107</w:t>
            </w:r>
          </w:p>
        </w:tc>
        <w:tc>
          <w:tcPr>
            <w:tcW w:w="974" w:type="pct"/>
            <w:shd w:val="clear" w:color="auto" w:fill="FFFFFF"/>
            <w:tcMar>
              <w:top w:w="0" w:type="dxa"/>
              <w:left w:w="108" w:type="dxa"/>
              <w:bottom w:w="0" w:type="dxa"/>
              <w:right w:w="108" w:type="dxa"/>
            </w:tcMar>
            <w:vAlign w:val="center"/>
          </w:tcPr>
          <w:p w14:paraId="306604C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视频监控设备</w:t>
            </w:r>
          </w:p>
        </w:tc>
        <w:tc>
          <w:tcPr>
            <w:tcW w:w="1682" w:type="pct"/>
            <w:vMerge w:val="continue"/>
            <w:shd w:val="clear" w:color="auto" w:fill="FFFFFF"/>
            <w:tcMar>
              <w:top w:w="0" w:type="dxa"/>
              <w:left w:w="0" w:type="dxa"/>
              <w:bottom w:w="0" w:type="dxa"/>
              <w:right w:w="0" w:type="dxa"/>
            </w:tcMar>
            <w:vAlign w:val="center"/>
          </w:tcPr>
          <w:p w14:paraId="46EF60CC">
            <w:pPr>
              <w:widowControl/>
              <w:spacing w:line="276" w:lineRule="auto"/>
              <w:jc w:val="center"/>
              <w:rPr>
                <w:rFonts w:hint="eastAsia" w:cs="宋体"/>
                <w:color w:val="auto"/>
                <w:kern w:val="0"/>
                <w:szCs w:val="21"/>
                <w:highlight w:val="none"/>
              </w:rPr>
            </w:pPr>
          </w:p>
        </w:tc>
      </w:tr>
      <w:tr w14:paraId="45826A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19902FD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14</w:t>
            </w:r>
          </w:p>
        </w:tc>
        <w:tc>
          <w:tcPr>
            <w:tcW w:w="569" w:type="pct"/>
            <w:shd w:val="clear" w:color="auto" w:fill="FFFFFF"/>
            <w:tcMar>
              <w:top w:w="0" w:type="dxa"/>
              <w:left w:w="108" w:type="dxa"/>
              <w:bottom w:w="0" w:type="dxa"/>
              <w:right w:w="108" w:type="dxa"/>
            </w:tcMar>
            <w:vAlign w:val="center"/>
          </w:tcPr>
          <w:p w14:paraId="75F085B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A031210</w:t>
            </w:r>
          </w:p>
        </w:tc>
        <w:tc>
          <w:tcPr>
            <w:tcW w:w="819" w:type="pct"/>
            <w:shd w:val="clear" w:color="auto" w:fill="FFFFFF"/>
            <w:tcMar>
              <w:top w:w="0" w:type="dxa"/>
              <w:left w:w="108" w:type="dxa"/>
              <w:bottom w:w="0" w:type="dxa"/>
              <w:right w:w="108" w:type="dxa"/>
            </w:tcMar>
            <w:vAlign w:val="center"/>
          </w:tcPr>
          <w:p w14:paraId="69CEB0F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饮食炊事机械</w:t>
            </w:r>
          </w:p>
        </w:tc>
        <w:tc>
          <w:tcPr>
            <w:tcW w:w="688" w:type="pct"/>
            <w:shd w:val="clear" w:color="auto" w:fill="FFFFFF"/>
            <w:tcMar>
              <w:top w:w="0" w:type="dxa"/>
              <w:left w:w="108" w:type="dxa"/>
              <w:bottom w:w="0" w:type="dxa"/>
              <w:right w:w="108" w:type="dxa"/>
            </w:tcMar>
            <w:vAlign w:val="center"/>
          </w:tcPr>
          <w:p w14:paraId="010EA793">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79627A9E">
            <w:pPr>
              <w:widowControl/>
              <w:spacing w:line="276" w:lineRule="auto"/>
              <w:jc w:val="center"/>
              <w:textAlignment w:val="baseline"/>
              <w:rPr>
                <w:rFonts w:hint="eastAsia" w:cs="宋体"/>
                <w:color w:val="auto"/>
                <w:kern w:val="0"/>
                <w:szCs w:val="21"/>
                <w:highlight w:val="none"/>
              </w:rPr>
            </w:pPr>
          </w:p>
        </w:tc>
        <w:tc>
          <w:tcPr>
            <w:tcW w:w="1682" w:type="pct"/>
            <w:shd w:val="clear" w:color="auto" w:fill="FFFFFF"/>
            <w:tcMar>
              <w:top w:w="0" w:type="dxa"/>
              <w:left w:w="108" w:type="dxa"/>
              <w:bottom w:w="0" w:type="dxa"/>
              <w:right w:w="108" w:type="dxa"/>
            </w:tcMar>
            <w:vAlign w:val="center"/>
          </w:tcPr>
          <w:p w14:paraId="4538D5D3">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4E342336">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北京鉴衡认证中心</w:t>
            </w:r>
          </w:p>
          <w:p w14:paraId="3EB8CFE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中国市政工程华北设计研究总院有限公司</w:t>
            </w:r>
          </w:p>
        </w:tc>
      </w:tr>
      <w:tr w14:paraId="55167A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68089894">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15</w:t>
            </w:r>
          </w:p>
        </w:tc>
        <w:tc>
          <w:tcPr>
            <w:tcW w:w="569" w:type="pct"/>
            <w:shd w:val="clear" w:color="auto" w:fill="FFFFFF"/>
            <w:tcMar>
              <w:top w:w="0" w:type="dxa"/>
              <w:left w:w="108" w:type="dxa"/>
              <w:bottom w:w="0" w:type="dxa"/>
              <w:right w:w="108" w:type="dxa"/>
            </w:tcMar>
            <w:vAlign w:val="center"/>
          </w:tcPr>
          <w:p w14:paraId="554AD26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A060805</w:t>
            </w:r>
          </w:p>
        </w:tc>
        <w:tc>
          <w:tcPr>
            <w:tcW w:w="819" w:type="pct"/>
            <w:shd w:val="clear" w:color="auto" w:fill="FFFFFF"/>
            <w:tcMar>
              <w:top w:w="0" w:type="dxa"/>
              <w:left w:w="108" w:type="dxa"/>
              <w:bottom w:w="0" w:type="dxa"/>
              <w:right w:w="108" w:type="dxa"/>
            </w:tcMar>
            <w:vAlign w:val="center"/>
          </w:tcPr>
          <w:p w14:paraId="617DE7D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便器</w:t>
            </w:r>
          </w:p>
        </w:tc>
        <w:tc>
          <w:tcPr>
            <w:tcW w:w="688" w:type="pct"/>
            <w:shd w:val="clear" w:color="auto" w:fill="FFFFFF"/>
            <w:tcMar>
              <w:top w:w="0" w:type="dxa"/>
              <w:left w:w="108" w:type="dxa"/>
              <w:bottom w:w="0" w:type="dxa"/>
              <w:right w:w="108" w:type="dxa"/>
            </w:tcMar>
            <w:vAlign w:val="center"/>
          </w:tcPr>
          <w:p w14:paraId="29E36052">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364F53C3">
            <w:pPr>
              <w:widowControl/>
              <w:spacing w:line="276" w:lineRule="auto"/>
              <w:jc w:val="center"/>
              <w:textAlignment w:val="baseline"/>
              <w:rPr>
                <w:rFonts w:hint="eastAsia" w:cs="宋体"/>
                <w:color w:val="auto"/>
                <w:kern w:val="0"/>
                <w:szCs w:val="21"/>
                <w:highlight w:val="none"/>
              </w:rPr>
            </w:pPr>
          </w:p>
        </w:tc>
        <w:tc>
          <w:tcPr>
            <w:tcW w:w="1682" w:type="pct"/>
            <w:vMerge w:val="restart"/>
            <w:shd w:val="clear" w:color="auto" w:fill="FFFFFF"/>
            <w:tcMar>
              <w:top w:w="0" w:type="dxa"/>
              <w:left w:w="108" w:type="dxa"/>
              <w:bottom w:w="0" w:type="dxa"/>
              <w:right w:w="108" w:type="dxa"/>
            </w:tcMar>
            <w:vAlign w:val="center"/>
          </w:tcPr>
          <w:p w14:paraId="358F4031">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中国质量认证中心</w:t>
            </w:r>
          </w:p>
          <w:p w14:paraId="6972D8E0">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北京新华节水产品认证有限公司</w:t>
            </w:r>
          </w:p>
          <w:p w14:paraId="3A9303E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方圆标志认证集团有限公司</w:t>
            </w:r>
          </w:p>
        </w:tc>
      </w:tr>
      <w:tr w14:paraId="5F0929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7E7BAE4F">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16</w:t>
            </w:r>
          </w:p>
        </w:tc>
        <w:tc>
          <w:tcPr>
            <w:tcW w:w="569" w:type="pct"/>
            <w:shd w:val="clear" w:color="auto" w:fill="FFFFFF"/>
            <w:tcMar>
              <w:top w:w="0" w:type="dxa"/>
              <w:left w:w="108" w:type="dxa"/>
              <w:bottom w:w="0" w:type="dxa"/>
              <w:right w:w="108" w:type="dxa"/>
            </w:tcMar>
            <w:vAlign w:val="center"/>
          </w:tcPr>
          <w:p w14:paraId="5D16C199">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A060806</w:t>
            </w:r>
          </w:p>
        </w:tc>
        <w:tc>
          <w:tcPr>
            <w:tcW w:w="819" w:type="pct"/>
            <w:shd w:val="clear" w:color="auto" w:fill="FFFFFF"/>
            <w:tcMar>
              <w:top w:w="0" w:type="dxa"/>
              <w:left w:w="108" w:type="dxa"/>
              <w:bottom w:w="0" w:type="dxa"/>
              <w:right w:w="108" w:type="dxa"/>
            </w:tcMar>
            <w:vAlign w:val="center"/>
          </w:tcPr>
          <w:p w14:paraId="1AB151A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水嘴</w:t>
            </w:r>
          </w:p>
        </w:tc>
        <w:tc>
          <w:tcPr>
            <w:tcW w:w="688" w:type="pct"/>
            <w:shd w:val="clear" w:color="auto" w:fill="FFFFFF"/>
            <w:tcMar>
              <w:top w:w="0" w:type="dxa"/>
              <w:left w:w="108" w:type="dxa"/>
              <w:bottom w:w="0" w:type="dxa"/>
              <w:right w:w="108" w:type="dxa"/>
            </w:tcMar>
            <w:vAlign w:val="center"/>
          </w:tcPr>
          <w:p w14:paraId="24785411">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0B2E8FBA">
            <w:pPr>
              <w:widowControl/>
              <w:spacing w:line="276" w:lineRule="auto"/>
              <w:jc w:val="center"/>
              <w:textAlignment w:val="baseline"/>
              <w:rPr>
                <w:rFonts w:hint="eastAsia" w:cs="宋体"/>
                <w:color w:val="auto"/>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66FF4064">
            <w:pPr>
              <w:widowControl/>
              <w:spacing w:line="276" w:lineRule="auto"/>
              <w:jc w:val="center"/>
              <w:rPr>
                <w:rFonts w:hint="eastAsia" w:cs="宋体"/>
                <w:color w:val="auto"/>
                <w:kern w:val="0"/>
                <w:szCs w:val="21"/>
                <w:highlight w:val="none"/>
              </w:rPr>
            </w:pPr>
          </w:p>
        </w:tc>
      </w:tr>
      <w:tr w14:paraId="1B93C1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8D9DC05">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17</w:t>
            </w:r>
          </w:p>
        </w:tc>
        <w:tc>
          <w:tcPr>
            <w:tcW w:w="569" w:type="pct"/>
            <w:shd w:val="clear" w:color="auto" w:fill="FFFFFF"/>
            <w:tcMar>
              <w:top w:w="0" w:type="dxa"/>
              <w:left w:w="108" w:type="dxa"/>
              <w:bottom w:w="0" w:type="dxa"/>
              <w:right w:w="108" w:type="dxa"/>
            </w:tcMar>
            <w:vAlign w:val="center"/>
          </w:tcPr>
          <w:p w14:paraId="4507F946">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A060807</w:t>
            </w:r>
          </w:p>
        </w:tc>
        <w:tc>
          <w:tcPr>
            <w:tcW w:w="819" w:type="pct"/>
            <w:shd w:val="clear" w:color="auto" w:fill="FFFFFF"/>
            <w:tcMar>
              <w:top w:w="0" w:type="dxa"/>
              <w:left w:w="108" w:type="dxa"/>
              <w:bottom w:w="0" w:type="dxa"/>
              <w:right w:w="108" w:type="dxa"/>
            </w:tcMar>
            <w:vAlign w:val="center"/>
          </w:tcPr>
          <w:p w14:paraId="5E69521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便器冲洗阀</w:t>
            </w:r>
          </w:p>
        </w:tc>
        <w:tc>
          <w:tcPr>
            <w:tcW w:w="688" w:type="pct"/>
            <w:shd w:val="clear" w:color="auto" w:fill="FFFFFF"/>
            <w:tcMar>
              <w:top w:w="0" w:type="dxa"/>
              <w:left w:w="108" w:type="dxa"/>
              <w:bottom w:w="0" w:type="dxa"/>
              <w:right w:w="108" w:type="dxa"/>
            </w:tcMar>
            <w:vAlign w:val="center"/>
          </w:tcPr>
          <w:p w14:paraId="31FEDE1F">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3E312EFD">
            <w:pPr>
              <w:widowControl/>
              <w:spacing w:line="276" w:lineRule="auto"/>
              <w:jc w:val="center"/>
              <w:textAlignment w:val="baseline"/>
              <w:rPr>
                <w:rFonts w:hint="eastAsia" w:cs="宋体"/>
                <w:color w:val="auto"/>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39FCB65B">
            <w:pPr>
              <w:widowControl/>
              <w:spacing w:line="276" w:lineRule="auto"/>
              <w:jc w:val="center"/>
              <w:rPr>
                <w:rFonts w:hint="eastAsia" w:cs="宋体"/>
                <w:color w:val="auto"/>
                <w:kern w:val="0"/>
                <w:szCs w:val="21"/>
                <w:highlight w:val="none"/>
              </w:rPr>
            </w:pPr>
          </w:p>
        </w:tc>
      </w:tr>
      <w:tr w14:paraId="5A4332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341FBBCB">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18</w:t>
            </w:r>
          </w:p>
        </w:tc>
        <w:tc>
          <w:tcPr>
            <w:tcW w:w="569" w:type="pct"/>
            <w:shd w:val="clear" w:color="auto" w:fill="FFFFFF"/>
            <w:tcMar>
              <w:top w:w="0" w:type="dxa"/>
              <w:left w:w="108" w:type="dxa"/>
              <w:bottom w:w="0" w:type="dxa"/>
              <w:right w:w="108" w:type="dxa"/>
            </w:tcMar>
            <w:vAlign w:val="center"/>
          </w:tcPr>
          <w:p w14:paraId="57F6E22A">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A060810</w:t>
            </w:r>
          </w:p>
        </w:tc>
        <w:tc>
          <w:tcPr>
            <w:tcW w:w="819" w:type="pct"/>
            <w:shd w:val="clear" w:color="auto" w:fill="FFFFFF"/>
            <w:tcMar>
              <w:top w:w="0" w:type="dxa"/>
              <w:left w:w="108" w:type="dxa"/>
              <w:bottom w:w="0" w:type="dxa"/>
              <w:right w:w="108" w:type="dxa"/>
            </w:tcMar>
            <w:vAlign w:val="center"/>
          </w:tcPr>
          <w:p w14:paraId="3CFDCC6E">
            <w:pPr>
              <w:widowControl/>
              <w:spacing w:line="276" w:lineRule="auto"/>
              <w:jc w:val="center"/>
              <w:textAlignment w:val="baseline"/>
              <w:rPr>
                <w:rFonts w:hint="eastAsia" w:cs="宋体"/>
                <w:color w:val="auto"/>
                <w:kern w:val="0"/>
                <w:szCs w:val="21"/>
                <w:highlight w:val="none"/>
              </w:rPr>
            </w:pPr>
            <w:r>
              <w:rPr>
                <w:rFonts w:hint="eastAsia" w:cs="宋体"/>
                <w:color w:val="auto"/>
                <w:kern w:val="0"/>
                <w:szCs w:val="21"/>
                <w:highlight w:val="none"/>
              </w:rPr>
              <w:t>淋浴器</w:t>
            </w:r>
          </w:p>
        </w:tc>
        <w:tc>
          <w:tcPr>
            <w:tcW w:w="688" w:type="pct"/>
            <w:shd w:val="clear" w:color="auto" w:fill="FFFFFF"/>
            <w:tcMar>
              <w:top w:w="0" w:type="dxa"/>
              <w:left w:w="108" w:type="dxa"/>
              <w:bottom w:w="0" w:type="dxa"/>
              <w:right w:w="108" w:type="dxa"/>
            </w:tcMar>
            <w:vAlign w:val="center"/>
          </w:tcPr>
          <w:p w14:paraId="1CCA555F">
            <w:pPr>
              <w:widowControl/>
              <w:spacing w:line="276" w:lineRule="auto"/>
              <w:jc w:val="center"/>
              <w:textAlignment w:val="baseline"/>
              <w:rPr>
                <w:rFonts w:hint="eastAsia" w:cs="宋体"/>
                <w:color w:val="auto"/>
                <w:kern w:val="0"/>
                <w:szCs w:val="21"/>
                <w:highlight w:val="none"/>
              </w:rPr>
            </w:pPr>
          </w:p>
        </w:tc>
        <w:tc>
          <w:tcPr>
            <w:tcW w:w="974" w:type="pct"/>
            <w:shd w:val="clear" w:color="auto" w:fill="FFFFFF"/>
            <w:tcMar>
              <w:top w:w="0" w:type="dxa"/>
              <w:left w:w="108" w:type="dxa"/>
              <w:bottom w:w="0" w:type="dxa"/>
              <w:right w:w="108" w:type="dxa"/>
            </w:tcMar>
            <w:vAlign w:val="center"/>
          </w:tcPr>
          <w:p w14:paraId="3C078E73">
            <w:pPr>
              <w:widowControl/>
              <w:spacing w:line="276" w:lineRule="auto"/>
              <w:jc w:val="center"/>
              <w:textAlignment w:val="baseline"/>
              <w:rPr>
                <w:rFonts w:hint="eastAsia" w:cs="宋体"/>
                <w:color w:val="auto"/>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7CB53E33">
            <w:pPr>
              <w:widowControl/>
              <w:spacing w:line="276" w:lineRule="auto"/>
              <w:jc w:val="center"/>
              <w:rPr>
                <w:rFonts w:hint="eastAsia" w:cs="宋体"/>
                <w:color w:val="auto"/>
                <w:kern w:val="0"/>
                <w:szCs w:val="21"/>
                <w:highlight w:val="none"/>
              </w:rPr>
            </w:pPr>
          </w:p>
        </w:tc>
      </w:tr>
    </w:tbl>
    <w:p w14:paraId="726E86FD">
      <w:pPr>
        <w:widowControl/>
        <w:shd w:val="clear" w:color="auto" w:fill="FFFFFF"/>
        <w:textAlignment w:val="baseline"/>
        <w:rPr>
          <w:rFonts w:hint="eastAsia" w:cs="宋体"/>
          <w:color w:val="auto"/>
          <w:kern w:val="0"/>
          <w:szCs w:val="21"/>
          <w:highlight w:val="none"/>
        </w:rPr>
      </w:pPr>
      <w:r>
        <w:rPr>
          <w:rFonts w:hint="eastAsia"/>
          <w:color w:val="auto"/>
          <w:szCs w:val="21"/>
          <w:highlight w:val="none"/>
        </w:rPr>
        <w:t>2</w:t>
      </w:r>
      <w:r>
        <w:rPr>
          <w:color w:val="auto"/>
          <w:szCs w:val="21"/>
          <w:highlight w:val="none"/>
        </w:rPr>
        <w:t>.4.7</w:t>
      </w:r>
      <w:r>
        <w:rPr>
          <w:rFonts w:hint="eastAsia" w:cs="宋体"/>
          <w:color w:val="auto"/>
          <w:kern w:val="0"/>
          <w:szCs w:val="21"/>
          <w:highlight w:val="none"/>
        </w:rPr>
        <w:t>参与实施政府采购环境标志产品认证机构名录</w:t>
      </w:r>
    </w:p>
    <w:tbl>
      <w:tblPr>
        <w:tblStyle w:val="44"/>
        <w:tblW w:w="10038" w:type="dxa"/>
        <w:jc w:val="center"/>
        <w:shd w:val="clear" w:color="auto" w:fill="FFFFFF"/>
        <w:tblLayout w:type="autofit"/>
        <w:tblCellMar>
          <w:top w:w="30" w:type="dxa"/>
          <w:left w:w="30" w:type="dxa"/>
          <w:bottom w:w="30" w:type="dxa"/>
          <w:right w:w="30" w:type="dxa"/>
        </w:tblCellMar>
      </w:tblPr>
      <w:tblGrid>
        <w:gridCol w:w="729"/>
        <w:gridCol w:w="2396"/>
        <w:gridCol w:w="6913"/>
      </w:tblGrid>
      <w:tr w14:paraId="7E33DCFC">
        <w:tblPrEx>
          <w:tblCellMar>
            <w:top w:w="30" w:type="dxa"/>
            <w:left w:w="30" w:type="dxa"/>
            <w:bottom w:w="30" w:type="dxa"/>
            <w:right w:w="30" w:type="dxa"/>
          </w:tblCellMar>
        </w:tblPrEx>
        <w:trPr>
          <w:trHeight w:val="461" w:hRule="atLeast"/>
          <w:jc w:val="center"/>
        </w:trPr>
        <w:tc>
          <w:tcPr>
            <w:tcW w:w="72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647AD24">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序号</w:t>
            </w:r>
          </w:p>
        </w:tc>
        <w:tc>
          <w:tcPr>
            <w:tcW w:w="239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0970EC5">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目录</w:t>
            </w:r>
          </w:p>
        </w:tc>
        <w:tc>
          <w:tcPr>
            <w:tcW w:w="691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6D944AD">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认证机构名录</w:t>
            </w:r>
          </w:p>
        </w:tc>
      </w:tr>
      <w:tr w14:paraId="6A68A816">
        <w:tblPrEx>
          <w:shd w:val="clear" w:color="auto" w:fill="FFFFFF"/>
          <w:tblCellMar>
            <w:top w:w="30" w:type="dxa"/>
            <w:left w:w="30" w:type="dxa"/>
            <w:bottom w:w="30" w:type="dxa"/>
            <w:right w:w="30" w:type="dxa"/>
          </w:tblCellMar>
        </w:tblPrEx>
        <w:trPr>
          <w:trHeight w:val="1386" w:hRule="atLeast"/>
          <w:jc w:val="center"/>
        </w:trPr>
        <w:tc>
          <w:tcPr>
            <w:tcW w:w="72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A12803B">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1</w:t>
            </w:r>
          </w:p>
        </w:tc>
        <w:tc>
          <w:tcPr>
            <w:tcW w:w="239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A5BF222">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环境标志产品</w:t>
            </w:r>
          </w:p>
        </w:tc>
        <w:tc>
          <w:tcPr>
            <w:tcW w:w="691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A45E9F">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中环联合（北京）认证中心有限公司</w:t>
            </w:r>
          </w:p>
          <w:p w14:paraId="4F36BCF2">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中标合信（北京）认证有限公司</w:t>
            </w:r>
          </w:p>
          <w:p w14:paraId="76E045F5">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中环协（北京）认证中心</w:t>
            </w:r>
          </w:p>
          <w:p w14:paraId="610A56D0">
            <w:pPr>
              <w:widowControl/>
              <w:spacing w:line="240" w:lineRule="atLeast"/>
              <w:jc w:val="center"/>
              <w:textAlignment w:val="baseline"/>
              <w:rPr>
                <w:rFonts w:hint="eastAsia" w:cs="宋体"/>
                <w:color w:val="auto"/>
                <w:kern w:val="0"/>
                <w:szCs w:val="21"/>
                <w:highlight w:val="none"/>
              </w:rPr>
            </w:pPr>
            <w:r>
              <w:rPr>
                <w:rFonts w:hint="eastAsia" w:cs="宋体"/>
                <w:color w:val="auto"/>
                <w:kern w:val="0"/>
                <w:szCs w:val="21"/>
                <w:highlight w:val="none"/>
              </w:rPr>
              <w:t>天津华诚认证有限公司</w:t>
            </w:r>
          </w:p>
        </w:tc>
      </w:tr>
    </w:tbl>
    <w:p w14:paraId="43455B0E">
      <w:pPr>
        <w:pStyle w:val="4"/>
        <w:bidi w:val="0"/>
        <w:jc w:val="left"/>
        <w:rPr>
          <w:rFonts w:hint="eastAsia"/>
        </w:rPr>
      </w:pPr>
      <w:bookmarkStart w:id="381" w:name="_Toc26244"/>
      <w:bookmarkStart w:id="382" w:name="_Toc125986527"/>
      <w:bookmarkStart w:id="383" w:name="_Toc166067811"/>
      <w:bookmarkStart w:id="384" w:name="_Toc139357103"/>
      <w:bookmarkStart w:id="385" w:name="_Toc23253"/>
      <w:bookmarkStart w:id="386" w:name="_Toc802"/>
      <w:r>
        <w:rPr>
          <w:rFonts w:hint="eastAsia"/>
        </w:rPr>
        <w:t>3.评审标准</w:t>
      </w:r>
      <w:bookmarkEnd w:id="378"/>
      <w:bookmarkEnd w:id="379"/>
      <w:bookmarkEnd w:id="380"/>
      <w:bookmarkEnd w:id="381"/>
      <w:bookmarkEnd w:id="382"/>
      <w:bookmarkEnd w:id="383"/>
      <w:bookmarkEnd w:id="384"/>
      <w:bookmarkEnd w:id="385"/>
      <w:bookmarkEnd w:id="386"/>
    </w:p>
    <w:p w14:paraId="5DF50E2A">
      <w:pPr>
        <w:pStyle w:val="5"/>
        <w:bidi w:val="0"/>
        <w:rPr>
          <w:rFonts w:hint="eastAsia"/>
        </w:rPr>
      </w:pPr>
      <w:bookmarkStart w:id="387" w:name="_Toc125904393"/>
      <w:bookmarkStart w:id="388" w:name="_Toc139357104"/>
      <w:bookmarkStart w:id="389" w:name="_Toc125986528"/>
      <w:bookmarkStart w:id="390" w:name="_Toc166067812"/>
      <w:r>
        <w:rPr>
          <w:rFonts w:hint="eastAsia"/>
        </w:rPr>
        <w:t>3.1符合性评审</w:t>
      </w:r>
      <w:bookmarkEnd w:id="387"/>
      <w:bookmarkEnd w:id="388"/>
      <w:bookmarkEnd w:id="389"/>
      <w:bookmarkEnd w:id="390"/>
    </w:p>
    <w:p w14:paraId="49FDB56F">
      <w:pPr>
        <w:pStyle w:val="23"/>
        <w:tabs>
          <w:tab w:val="left" w:pos="2472"/>
        </w:tabs>
        <w:ind w:firstLine="420" w:firstLineChars="200"/>
        <w:rPr>
          <w:rFonts w:hint="eastAsia" w:cs="宋体"/>
          <w:color w:val="auto"/>
          <w:szCs w:val="21"/>
          <w:highlight w:val="none"/>
        </w:rPr>
      </w:pPr>
      <w:bookmarkStart w:id="391" w:name="_Hlk48744286"/>
      <w:r>
        <w:rPr>
          <w:rFonts w:hint="eastAsia" w:cs="宋体"/>
          <w:color w:val="auto"/>
          <w:szCs w:val="21"/>
          <w:highlight w:val="none"/>
        </w:rPr>
        <w:t>依据招标文件的规定，从投标文件的有效性、完整性和对招标文件的响应程度进行审查，以确定是否对招标文件的实质性要求作出响应；见评标办法前附表。</w:t>
      </w:r>
    </w:p>
    <w:bookmarkEnd w:id="391"/>
    <w:p w14:paraId="08DAED8B">
      <w:pPr>
        <w:pStyle w:val="5"/>
        <w:bidi w:val="0"/>
        <w:rPr>
          <w:rFonts w:hint="eastAsia"/>
        </w:rPr>
      </w:pPr>
      <w:bookmarkStart w:id="392" w:name="_Toc166067813"/>
      <w:bookmarkStart w:id="393" w:name="_Toc326218114"/>
      <w:bookmarkStart w:id="394" w:name="_Toc314817936"/>
      <w:bookmarkStart w:id="395" w:name="_Toc125986529"/>
      <w:bookmarkStart w:id="396" w:name="_Toc125904394"/>
      <w:bookmarkStart w:id="397" w:name="_Toc139357105"/>
      <w:r>
        <w:rPr>
          <w:rFonts w:hint="eastAsia"/>
        </w:rPr>
        <w:t>3.2分值构成与评分标准</w:t>
      </w:r>
      <w:bookmarkEnd w:id="392"/>
      <w:bookmarkEnd w:id="393"/>
      <w:bookmarkEnd w:id="394"/>
      <w:bookmarkEnd w:id="395"/>
      <w:bookmarkEnd w:id="396"/>
      <w:bookmarkEnd w:id="397"/>
    </w:p>
    <w:p w14:paraId="4C8ED669">
      <w:pPr>
        <w:pStyle w:val="23"/>
        <w:tabs>
          <w:tab w:val="left" w:pos="2472"/>
        </w:tabs>
        <w:ind w:firstLine="420" w:firstLineChars="200"/>
        <w:rPr>
          <w:rFonts w:hint="eastAsia" w:cs="宋体"/>
          <w:color w:val="auto"/>
          <w:szCs w:val="21"/>
          <w:highlight w:val="none"/>
        </w:rPr>
      </w:pPr>
      <w:bookmarkStart w:id="398" w:name="_Hlk48744311"/>
      <w:r>
        <w:rPr>
          <w:rFonts w:hint="eastAsia" w:cs="宋体"/>
          <w:color w:val="auto"/>
          <w:szCs w:val="21"/>
          <w:highlight w:val="none"/>
        </w:rPr>
        <w:t>3.2.1分值构成</w:t>
      </w:r>
    </w:p>
    <w:p w14:paraId="2A80F730">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（1）投标报价：见评标办法前附表；</w:t>
      </w:r>
    </w:p>
    <w:p w14:paraId="3B9C55B5">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（2）技术部分：见评标办法前附表；</w:t>
      </w:r>
    </w:p>
    <w:p w14:paraId="33372657">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（3）商务部分：见评标办法前附表。</w:t>
      </w:r>
    </w:p>
    <w:p w14:paraId="0334445E">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3.2.2评分标准</w:t>
      </w:r>
    </w:p>
    <w:p w14:paraId="04C27BE5">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按招标文件中规定的评标方法和标准，对资格评审和符合性评审合格的投标文件进行商务和技术评估，综合比较与评价。</w:t>
      </w:r>
    </w:p>
    <w:p w14:paraId="3D2A4041">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（1）投标报价评分标准：见评标办法前附表；</w:t>
      </w:r>
    </w:p>
    <w:p w14:paraId="670C7326">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（2）技术部分评分标准：见评标办法前附表；</w:t>
      </w:r>
    </w:p>
    <w:p w14:paraId="61BE46CA">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（3）商务部分评分标准：见评标办法前附表。</w:t>
      </w:r>
      <w:bookmarkEnd w:id="398"/>
    </w:p>
    <w:p w14:paraId="1086CE36">
      <w:pPr>
        <w:pStyle w:val="4"/>
        <w:bidi w:val="0"/>
        <w:jc w:val="left"/>
        <w:rPr>
          <w:rFonts w:hint="eastAsia"/>
        </w:rPr>
      </w:pPr>
      <w:bookmarkStart w:id="399" w:name="_Toc21683"/>
      <w:bookmarkStart w:id="400" w:name="_Toc314817937"/>
      <w:bookmarkStart w:id="401" w:name="_Toc326218115"/>
      <w:bookmarkStart w:id="402" w:name="_Toc1683"/>
      <w:bookmarkStart w:id="403" w:name="_Toc166067814"/>
      <w:bookmarkStart w:id="404" w:name="_Toc508191817"/>
      <w:bookmarkStart w:id="405" w:name="_Toc125986530"/>
      <w:bookmarkStart w:id="406" w:name="_Toc32186"/>
      <w:bookmarkStart w:id="407" w:name="_Toc139357106"/>
      <w:r>
        <w:rPr>
          <w:rFonts w:hint="eastAsia"/>
        </w:rPr>
        <w:t>4.评标程序</w:t>
      </w:r>
      <w:bookmarkEnd w:id="399"/>
      <w:bookmarkEnd w:id="400"/>
      <w:bookmarkEnd w:id="401"/>
      <w:bookmarkEnd w:id="402"/>
      <w:bookmarkEnd w:id="403"/>
      <w:bookmarkEnd w:id="404"/>
      <w:bookmarkEnd w:id="405"/>
      <w:bookmarkEnd w:id="406"/>
      <w:bookmarkEnd w:id="407"/>
    </w:p>
    <w:p w14:paraId="1EF9AC50">
      <w:pPr>
        <w:pStyle w:val="5"/>
        <w:bidi w:val="0"/>
        <w:rPr>
          <w:rFonts w:hint="eastAsia"/>
        </w:rPr>
      </w:pPr>
      <w:bookmarkStart w:id="408" w:name="_Toc139357107"/>
      <w:bookmarkStart w:id="409" w:name="_Toc125986531"/>
      <w:bookmarkStart w:id="410" w:name="_Toc125904396"/>
      <w:bookmarkStart w:id="411" w:name="_Toc166067815"/>
      <w:r>
        <w:rPr>
          <w:rFonts w:hint="eastAsia"/>
        </w:rPr>
        <w:t>4.1符合性评审</w:t>
      </w:r>
      <w:bookmarkEnd w:id="408"/>
      <w:bookmarkEnd w:id="409"/>
      <w:bookmarkEnd w:id="410"/>
      <w:bookmarkEnd w:id="411"/>
    </w:p>
    <w:p w14:paraId="470A0B06">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依据本章第3.2项规定的标准对投标文件进行符合性评审。有一项不符合评审标准的，作废标处理。</w:t>
      </w:r>
    </w:p>
    <w:p w14:paraId="20507CE6">
      <w:pPr>
        <w:pStyle w:val="5"/>
        <w:bidi w:val="0"/>
        <w:rPr>
          <w:rFonts w:hint="eastAsia"/>
        </w:rPr>
      </w:pPr>
      <w:bookmarkStart w:id="412" w:name="_Toc125904397"/>
      <w:bookmarkStart w:id="413" w:name="_Toc125986532"/>
      <w:bookmarkStart w:id="414" w:name="_Toc139357108"/>
      <w:bookmarkStart w:id="415" w:name="_Toc166067816"/>
      <w:bookmarkStart w:id="416" w:name="_Toc326218117"/>
      <w:bookmarkStart w:id="417" w:name="_Toc314817939"/>
      <w:r>
        <w:rPr>
          <w:rFonts w:hint="eastAsia"/>
        </w:rPr>
        <w:t>4.2 详细评审</w:t>
      </w:r>
      <w:bookmarkEnd w:id="412"/>
      <w:bookmarkEnd w:id="413"/>
      <w:bookmarkEnd w:id="414"/>
      <w:bookmarkEnd w:id="415"/>
      <w:bookmarkEnd w:id="416"/>
      <w:bookmarkEnd w:id="417"/>
    </w:p>
    <w:p w14:paraId="3E7590F9">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4.2.1 评标委员会按本章第3.2款规定的量化因素和分值进行打分，并计算出投标人的评标总得分。</w:t>
      </w:r>
    </w:p>
    <w:p w14:paraId="2829EE55">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（1）按本章第3.2.2（1）目规定的评分因素和分值对投标报价计算出得分F1；</w:t>
      </w:r>
    </w:p>
    <w:p w14:paraId="5B534A08">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（2）按本章第3.2.2（2）目规定的评分因素和分值对技术部分计算出得分F2；</w:t>
      </w:r>
    </w:p>
    <w:p w14:paraId="14BB92D4">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（3）按本章第3.2.2（3）目规定的评分因素和分值对商务部分计算出得分F3；</w:t>
      </w:r>
    </w:p>
    <w:p w14:paraId="75357389">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（4）按本章第3.2.1项所列公式计算评标总得分。</w:t>
      </w:r>
    </w:p>
    <w:p w14:paraId="7F4C721C">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4.2.2 投标文件如果出现计算或表达上的错误，修正错误的原则如下：</w:t>
      </w:r>
    </w:p>
    <w:p w14:paraId="42F8C601">
      <w:pPr>
        <w:pStyle w:val="23"/>
        <w:ind w:firstLine="420" w:firstLineChars="200"/>
        <w:rPr>
          <w:rFonts w:hint="eastAsia" w:cs="宋体"/>
          <w:color w:val="auto"/>
          <w:szCs w:val="21"/>
          <w:highlight w:val="none"/>
        </w:rPr>
      </w:pPr>
      <w:r>
        <w:rPr>
          <w:rFonts w:hint="eastAsia" w:cs="宋体"/>
          <w:color w:val="auto"/>
          <w:szCs w:val="21"/>
          <w:highlight w:val="none"/>
        </w:rPr>
        <w:t>（一）投标文件中开标一览表（报价表）内容与投标文件中相应内容不一致的，以开标一览表（报价表）为准；</w:t>
      </w:r>
    </w:p>
    <w:p w14:paraId="1BB6D514">
      <w:pPr>
        <w:pStyle w:val="23"/>
        <w:ind w:firstLine="420" w:firstLineChars="200"/>
        <w:rPr>
          <w:rFonts w:hint="eastAsia" w:cs="宋体"/>
          <w:color w:val="auto"/>
          <w:szCs w:val="21"/>
          <w:highlight w:val="none"/>
        </w:rPr>
      </w:pPr>
      <w:r>
        <w:rPr>
          <w:rFonts w:hint="eastAsia" w:cs="宋体"/>
          <w:color w:val="auto"/>
          <w:szCs w:val="21"/>
          <w:highlight w:val="none"/>
        </w:rPr>
        <w:t>（二）大写金额和小写金额不一致的，以大写金额为准；</w:t>
      </w:r>
    </w:p>
    <w:p w14:paraId="1E7106EB">
      <w:pPr>
        <w:pStyle w:val="23"/>
        <w:ind w:firstLine="420" w:firstLineChars="200"/>
        <w:rPr>
          <w:rFonts w:hint="eastAsia" w:cs="宋体"/>
          <w:color w:val="auto"/>
          <w:szCs w:val="21"/>
          <w:highlight w:val="none"/>
        </w:rPr>
      </w:pPr>
      <w:r>
        <w:rPr>
          <w:rFonts w:hint="eastAsia" w:cs="宋体"/>
          <w:color w:val="auto"/>
          <w:szCs w:val="21"/>
          <w:highlight w:val="none"/>
        </w:rPr>
        <w:t>（三）单价金额小数点或者百分比有明显错位的，以开标一览表的总价为准，并修改单价；</w:t>
      </w:r>
    </w:p>
    <w:p w14:paraId="3EE5158B">
      <w:pPr>
        <w:pStyle w:val="23"/>
        <w:ind w:firstLine="420" w:firstLineChars="200"/>
        <w:rPr>
          <w:rFonts w:hint="eastAsia" w:cs="宋体"/>
          <w:color w:val="auto"/>
          <w:szCs w:val="21"/>
          <w:highlight w:val="none"/>
        </w:rPr>
      </w:pPr>
      <w:r>
        <w:rPr>
          <w:rFonts w:hint="eastAsia" w:cs="宋体"/>
          <w:color w:val="auto"/>
          <w:szCs w:val="21"/>
          <w:highlight w:val="none"/>
        </w:rPr>
        <w:t>（四）总价金额与按单价汇总金额不一致的，以单价金额计算结果为准。</w:t>
      </w:r>
    </w:p>
    <w:p w14:paraId="672B6B59">
      <w:pPr>
        <w:pStyle w:val="23"/>
        <w:ind w:firstLine="420" w:firstLineChars="200"/>
        <w:rPr>
          <w:rFonts w:hint="eastAsia" w:cs="宋体"/>
          <w:color w:val="auto"/>
          <w:szCs w:val="21"/>
          <w:highlight w:val="none"/>
        </w:rPr>
      </w:pPr>
      <w:r>
        <w:rPr>
          <w:rFonts w:hint="eastAsia" w:cs="宋体"/>
          <w:color w:val="auto"/>
          <w:szCs w:val="21"/>
          <w:highlight w:val="none"/>
        </w:rPr>
        <w:t>同时出现两种以上不一致的，按照前款规定的顺序修正。修正后的报价按照本章3.2款的规定经投标人确认后产生约束力，投标人不确认的，其投标无效。</w:t>
      </w:r>
    </w:p>
    <w:p w14:paraId="3D418211">
      <w:pPr>
        <w:ind w:firstLine="420" w:firstLineChars="200"/>
        <w:jc w:val="left"/>
        <w:rPr>
          <w:rFonts w:hint="eastAsia" w:cs="宋体"/>
          <w:color w:val="auto"/>
          <w:szCs w:val="21"/>
          <w:highlight w:val="none"/>
        </w:rPr>
      </w:pPr>
      <w:r>
        <w:rPr>
          <w:rFonts w:hint="eastAsia" w:cs="宋体"/>
          <w:color w:val="auto"/>
          <w:szCs w:val="21"/>
          <w:highlight w:val="none"/>
        </w:rPr>
        <w:t>4.2.3技术部分（F2）和商务部分（F3）得分由评标委员会成员独立评分，计算各投标人得分的算术平均值计入各投标人总分。评分分值计算保留小数点后两位，小数点后第三位“四舍五入”。</w:t>
      </w:r>
    </w:p>
    <w:p w14:paraId="7CEFD6AC">
      <w:pPr>
        <w:ind w:firstLine="420" w:firstLineChars="200"/>
        <w:jc w:val="left"/>
        <w:rPr>
          <w:rFonts w:hint="eastAsia" w:cs="宋体"/>
          <w:color w:val="auto"/>
          <w:szCs w:val="21"/>
          <w:highlight w:val="none"/>
        </w:rPr>
      </w:pPr>
      <w:r>
        <w:rPr>
          <w:rFonts w:hint="eastAsia" w:cs="宋体"/>
          <w:color w:val="auto"/>
          <w:szCs w:val="21"/>
          <w:highlight w:val="none"/>
        </w:rPr>
        <w:t>★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DDDCF4C">
      <w:pPr>
        <w:ind w:firstLine="420" w:firstLineChars="200"/>
        <w:jc w:val="left"/>
        <w:rPr>
          <w:rFonts w:hint="eastAsia" w:cs="宋体"/>
          <w:color w:val="auto"/>
          <w:szCs w:val="21"/>
          <w:highlight w:val="none"/>
        </w:rPr>
      </w:pPr>
      <w:r>
        <w:rPr>
          <w:rFonts w:hint="eastAsia" w:cs="宋体"/>
          <w:color w:val="auto"/>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0E8694AB">
      <w:pPr>
        <w:ind w:firstLine="420" w:firstLineChars="200"/>
        <w:jc w:val="left"/>
        <w:rPr>
          <w:rFonts w:hint="eastAsia" w:cs="宋体"/>
          <w:color w:val="auto"/>
          <w:szCs w:val="21"/>
          <w:highlight w:val="none"/>
        </w:rPr>
      </w:pPr>
      <w:r>
        <w:rPr>
          <w:rFonts w:hint="eastAsia" w:cs="宋体"/>
          <w:color w:val="auto"/>
          <w:szCs w:val="21"/>
          <w:highlight w:val="none"/>
        </w:rPr>
        <w:t>4.2.6评标中若遇特殊问题，由评标委员会根据有关法律、法规研究决定。</w:t>
      </w:r>
    </w:p>
    <w:p w14:paraId="5F2FBEA4">
      <w:pPr>
        <w:pStyle w:val="5"/>
        <w:bidi w:val="0"/>
        <w:rPr>
          <w:rFonts w:hint="eastAsia"/>
        </w:rPr>
      </w:pPr>
      <w:bookmarkStart w:id="418" w:name="_Toc314817940"/>
      <w:bookmarkStart w:id="419" w:name="_Toc125904398"/>
      <w:bookmarkStart w:id="420" w:name="_Toc326218118"/>
      <w:bookmarkStart w:id="421" w:name="_Toc139357109"/>
      <w:bookmarkStart w:id="422" w:name="_Toc125986533"/>
      <w:bookmarkStart w:id="423" w:name="_Toc166067817"/>
      <w:r>
        <w:rPr>
          <w:rFonts w:hint="eastAsia"/>
        </w:rPr>
        <w:t>4.3 投标文件的澄清和补正统计分数原则</w:t>
      </w:r>
      <w:bookmarkEnd w:id="418"/>
      <w:bookmarkEnd w:id="419"/>
      <w:bookmarkEnd w:id="420"/>
      <w:bookmarkEnd w:id="421"/>
      <w:bookmarkEnd w:id="422"/>
      <w:bookmarkEnd w:id="423"/>
    </w:p>
    <w:p w14:paraId="42CB047B">
      <w:pPr>
        <w:ind w:firstLine="420" w:firstLineChars="200"/>
        <w:jc w:val="left"/>
        <w:rPr>
          <w:rFonts w:hint="eastAsia" w:cs="宋体"/>
          <w:color w:val="auto"/>
          <w:szCs w:val="21"/>
          <w:highlight w:val="none"/>
        </w:rPr>
      </w:pPr>
      <w:r>
        <w:rPr>
          <w:rFonts w:hint="eastAsia" w:cs="宋体"/>
          <w:color w:val="auto"/>
          <w:szCs w:val="21"/>
          <w:highlight w:val="none"/>
        </w:rPr>
        <w:t>4.3.1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E8AF474">
      <w:pPr>
        <w:ind w:firstLine="420" w:firstLineChars="200"/>
        <w:jc w:val="left"/>
        <w:rPr>
          <w:rFonts w:hint="eastAsia" w:cs="宋体"/>
          <w:color w:val="auto"/>
          <w:szCs w:val="21"/>
          <w:highlight w:val="none"/>
        </w:rPr>
      </w:pPr>
      <w:r>
        <w:rPr>
          <w:rFonts w:hint="eastAsia" w:cs="宋体"/>
          <w:color w:val="auto"/>
          <w:szCs w:val="21"/>
          <w:highlight w:val="none"/>
        </w:rPr>
        <w:t>4.3.2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0F8BF99">
      <w:pPr>
        <w:ind w:firstLine="420" w:firstLineChars="200"/>
        <w:jc w:val="left"/>
        <w:rPr>
          <w:rFonts w:hint="eastAsia" w:cs="宋体"/>
          <w:color w:val="auto"/>
          <w:szCs w:val="21"/>
          <w:highlight w:val="none"/>
        </w:rPr>
      </w:pPr>
      <w:r>
        <w:rPr>
          <w:rFonts w:hint="eastAsia" w:cs="宋体"/>
          <w:color w:val="auto"/>
          <w:szCs w:val="21"/>
          <w:highlight w:val="none"/>
        </w:rPr>
        <w:t>4.3.3评标委员会对投标人提交的澄清、说明有疑问的，可以要求投标人进一步澄清、说明。</w:t>
      </w:r>
    </w:p>
    <w:p w14:paraId="0E7A8309">
      <w:pPr>
        <w:pStyle w:val="5"/>
        <w:bidi w:val="0"/>
        <w:rPr>
          <w:rFonts w:hint="eastAsia"/>
        </w:rPr>
      </w:pPr>
      <w:bookmarkStart w:id="424" w:name="_Toc326218119"/>
      <w:bookmarkStart w:id="425" w:name="_Toc139357110"/>
      <w:bookmarkStart w:id="426" w:name="_Toc314817941"/>
      <w:bookmarkStart w:id="427" w:name="_Toc125986534"/>
      <w:bookmarkStart w:id="428" w:name="_Toc166067818"/>
      <w:bookmarkStart w:id="429" w:name="_Toc125904399"/>
      <w:r>
        <w:rPr>
          <w:rFonts w:hint="eastAsia"/>
        </w:rPr>
        <w:t>4.4 评标结果</w:t>
      </w:r>
      <w:bookmarkEnd w:id="424"/>
      <w:bookmarkEnd w:id="425"/>
      <w:bookmarkEnd w:id="426"/>
      <w:bookmarkEnd w:id="427"/>
      <w:bookmarkEnd w:id="428"/>
      <w:bookmarkEnd w:id="429"/>
    </w:p>
    <w:p w14:paraId="46AC372B">
      <w:pPr>
        <w:adjustRightInd w:val="0"/>
        <w:ind w:firstLine="420" w:firstLineChars="200"/>
        <w:rPr>
          <w:rFonts w:hint="eastAsia" w:cs="宋体"/>
          <w:color w:val="auto"/>
          <w:szCs w:val="21"/>
          <w:highlight w:val="none"/>
        </w:rPr>
      </w:pPr>
      <w:r>
        <w:rPr>
          <w:rFonts w:hint="eastAsia" w:cs="宋体"/>
          <w:color w:val="auto"/>
          <w:szCs w:val="21"/>
          <w:highlight w:val="none"/>
        </w:rPr>
        <w:t>4.4.1评标委员会对满足招标文件资格评审及符合性评审要求的投标文件，</w:t>
      </w:r>
      <w:bookmarkStart w:id="430" w:name="_Hlk49243521"/>
      <w:r>
        <w:rPr>
          <w:rFonts w:hint="eastAsia" w:cs="宋体"/>
          <w:color w:val="auto"/>
          <w:szCs w:val="21"/>
          <w:highlight w:val="none"/>
        </w:rPr>
        <w:t>按照本章前附表规定的评分标准</w:t>
      </w:r>
      <w:bookmarkEnd w:id="430"/>
      <w:r>
        <w:rPr>
          <w:rFonts w:hint="eastAsia" w:cs="宋体"/>
          <w:color w:val="auto"/>
          <w:szCs w:val="21"/>
          <w:highlight w:val="none"/>
        </w:rPr>
        <w:t>进行打分。</w:t>
      </w:r>
    </w:p>
    <w:p w14:paraId="1553FDD2">
      <w:pPr>
        <w:pStyle w:val="23"/>
        <w:tabs>
          <w:tab w:val="left" w:pos="2472"/>
        </w:tabs>
        <w:ind w:firstLine="420" w:firstLineChars="200"/>
        <w:rPr>
          <w:rFonts w:hint="eastAsia" w:cs="宋体"/>
          <w:color w:val="auto"/>
          <w:szCs w:val="21"/>
          <w:highlight w:val="none"/>
        </w:rPr>
      </w:pPr>
      <w:r>
        <w:rPr>
          <w:rFonts w:hint="eastAsia" w:cs="宋体"/>
          <w:color w:val="auto"/>
          <w:szCs w:val="21"/>
          <w:highlight w:val="none"/>
        </w:rPr>
        <w:t>评标委员按照本章前附表规定的评分标准评审并计算评标总得分后，</w:t>
      </w:r>
      <w:r>
        <w:rPr>
          <w:color w:val="auto"/>
          <w:szCs w:val="21"/>
          <w:highlight w:val="none"/>
        </w:rPr>
        <w:t>按总得分由高到低的顺序</w:t>
      </w:r>
      <w:r>
        <w:rPr>
          <w:rFonts w:hint="eastAsia"/>
          <w:color w:val="auto"/>
          <w:szCs w:val="21"/>
          <w:highlight w:val="none"/>
          <w:lang w:val="en-US" w:eastAsia="zh-CN"/>
        </w:rPr>
        <w:t>每个标包</w:t>
      </w:r>
      <w:r>
        <w:rPr>
          <w:color w:val="auto"/>
          <w:szCs w:val="21"/>
          <w:highlight w:val="none"/>
        </w:rPr>
        <w:t>推荐3名中标候选人；评标总得分相等时，按投标报价由低到高顺序排列；评标总得分相等且投标报价相同时，按技术部分得分</w:t>
      </w:r>
      <w:r>
        <w:rPr>
          <w:rFonts w:hint="eastAsia"/>
          <w:color w:val="auto"/>
          <w:szCs w:val="21"/>
          <w:lang w:val="en-US" w:eastAsia="zh-CN"/>
        </w:rPr>
        <w:t>由</w:t>
      </w:r>
      <w:r>
        <w:rPr>
          <w:color w:val="auto"/>
          <w:szCs w:val="21"/>
        </w:rPr>
        <w:t>高</w:t>
      </w:r>
      <w:r>
        <w:rPr>
          <w:rFonts w:hint="eastAsia"/>
          <w:color w:val="auto"/>
          <w:szCs w:val="21"/>
          <w:lang w:val="en-US" w:eastAsia="zh-CN"/>
        </w:rPr>
        <w:t>到</w:t>
      </w:r>
      <w:r>
        <w:rPr>
          <w:color w:val="auto"/>
          <w:szCs w:val="21"/>
        </w:rPr>
        <w:t>低</w:t>
      </w:r>
      <w:r>
        <w:rPr>
          <w:color w:val="auto"/>
          <w:szCs w:val="21"/>
          <w:highlight w:val="none"/>
        </w:rPr>
        <w:t>顺序排列；所有得分均相等的，按优先采购环境标志产品、非强制采购节能产品，优先采购监狱企业、残疾人福利性单位推荐中标候选人；所有得分均相等且政府采购政策条件也相等的，按重要技术指标高优先、质保期长优先、故障到达时间短优先的顺序推荐中标候选人。</w:t>
      </w:r>
    </w:p>
    <w:p w14:paraId="1CBA0707">
      <w:pPr>
        <w:ind w:firstLine="420" w:firstLineChars="200"/>
        <w:jc w:val="left"/>
        <w:rPr>
          <w:rFonts w:hint="eastAsia" w:cs="宋体"/>
          <w:color w:val="auto"/>
          <w:szCs w:val="21"/>
          <w:highlight w:val="none"/>
        </w:rPr>
      </w:pPr>
      <w:r>
        <w:rPr>
          <w:rFonts w:hint="eastAsia"/>
          <w:b/>
          <w:bCs/>
        </w:rPr>
        <w:t>评审原则</w:t>
      </w:r>
      <w:r>
        <w:rPr>
          <w:rFonts w:hint="eastAsia"/>
          <w:b/>
          <w:bCs/>
          <w:lang w:eastAsia="zh-CN"/>
        </w:rPr>
        <w:t>：</w:t>
      </w:r>
      <w:r>
        <w:rPr>
          <w:rFonts w:hint="eastAsia"/>
          <w:b/>
          <w:bCs/>
        </w:rPr>
        <w:t>投标人可以参与一个或多个标</w:t>
      </w:r>
      <w:r>
        <w:rPr>
          <w:rFonts w:hint="eastAsia"/>
          <w:b/>
          <w:bCs/>
          <w:lang w:val="en-US" w:eastAsia="zh-CN"/>
        </w:rPr>
        <w:t>包</w:t>
      </w:r>
      <w:r>
        <w:rPr>
          <w:rFonts w:hint="eastAsia"/>
          <w:b/>
          <w:bCs/>
        </w:rPr>
        <w:t>的投标，同一投标人至多只允许中一个</w:t>
      </w:r>
      <w:r>
        <w:rPr>
          <w:rFonts w:hint="eastAsia"/>
          <w:b/>
          <w:bCs/>
          <w:lang w:eastAsia="zh-CN"/>
        </w:rPr>
        <w:t>标包</w:t>
      </w:r>
      <w:r>
        <w:rPr>
          <w:rFonts w:hint="eastAsia"/>
          <w:b/>
          <w:bCs/>
        </w:rPr>
        <w:t>。评标时，评标委员会按</w:t>
      </w:r>
      <w:r>
        <w:rPr>
          <w:rFonts w:hint="eastAsia"/>
          <w:b/>
          <w:bCs/>
          <w:lang w:eastAsia="zh-CN"/>
        </w:rPr>
        <w:t>标包</w:t>
      </w:r>
      <w:r>
        <w:rPr>
          <w:rFonts w:hint="eastAsia"/>
          <w:b/>
          <w:bCs/>
        </w:rPr>
        <w:t>顺序进行评审（顺序由</w:t>
      </w:r>
      <w:r>
        <w:rPr>
          <w:rFonts w:hint="eastAsia"/>
          <w:b/>
          <w:bCs/>
          <w:lang w:val="en-US" w:eastAsia="zh-CN"/>
        </w:rPr>
        <w:t>A</w:t>
      </w:r>
      <w:r>
        <w:rPr>
          <w:rFonts w:hint="eastAsia"/>
          <w:b/>
          <w:bCs/>
          <w:lang w:eastAsia="zh-CN"/>
        </w:rPr>
        <w:t>标包开始到</w:t>
      </w:r>
      <w:r>
        <w:rPr>
          <w:rFonts w:hint="eastAsia"/>
          <w:b/>
          <w:bCs/>
          <w:lang w:val="en-US" w:eastAsia="zh-CN"/>
        </w:rPr>
        <w:t>C</w:t>
      </w:r>
      <w:r>
        <w:rPr>
          <w:rFonts w:hint="eastAsia"/>
          <w:b/>
          <w:bCs/>
          <w:lang w:eastAsia="zh-CN"/>
        </w:rPr>
        <w:t>标包</w:t>
      </w:r>
      <w:r>
        <w:rPr>
          <w:rFonts w:hint="eastAsia"/>
          <w:b/>
          <w:bCs/>
        </w:rPr>
        <w:t>结束），投标人在前一</w:t>
      </w:r>
      <w:r>
        <w:rPr>
          <w:rFonts w:hint="eastAsia"/>
          <w:b/>
          <w:bCs/>
          <w:lang w:eastAsia="zh-CN"/>
        </w:rPr>
        <w:t>标包</w:t>
      </w:r>
      <w:r>
        <w:rPr>
          <w:rFonts w:hint="eastAsia"/>
          <w:b/>
          <w:bCs/>
        </w:rPr>
        <w:t>推荐为第一中标候选人的，则在剩余</w:t>
      </w:r>
      <w:r>
        <w:rPr>
          <w:rFonts w:hint="eastAsia"/>
          <w:b/>
          <w:bCs/>
          <w:lang w:eastAsia="zh-CN"/>
        </w:rPr>
        <w:t>标包</w:t>
      </w:r>
      <w:r>
        <w:rPr>
          <w:rFonts w:hint="eastAsia"/>
          <w:b/>
          <w:bCs/>
        </w:rPr>
        <w:t>不再推荐为第一中标候选人，剩余</w:t>
      </w:r>
      <w:r>
        <w:rPr>
          <w:rFonts w:hint="eastAsia"/>
          <w:b/>
          <w:bCs/>
          <w:lang w:eastAsia="zh-CN"/>
        </w:rPr>
        <w:t>标包</w:t>
      </w:r>
      <w:r>
        <w:rPr>
          <w:rFonts w:hint="eastAsia"/>
          <w:b/>
          <w:bCs/>
        </w:rPr>
        <w:t>在扣除已推荐为第一中标候选人名单后，每个</w:t>
      </w:r>
      <w:r>
        <w:rPr>
          <w:rFonts w:hint="eastAsia"/>
          <w:b/>
          <w:bCs/>
          <w:lang w:eastAsia="zh-CN"/>
        </w:rPr>
        <w:t>标包</w:t>
      </w:r>
      <w:r>
        <w:rPr>
          <w:rFonts w:hint="eastAsia"/>
          <w:b/>
          <w:bCs/>
        </w:rPr>
        <w:t>合格投标人不</w:t>
      </w:r>
      <w:r>
        <w:rPr>
          <w:rFonts w:hint="eastAsia"/>
          <w:b/>
          <w:bCs/>
          <w:lang w:val="en-US" w:eastAsia="zh-CN"/>
        </w:rPr>
        <w:t>得</w:t>
      </w:r>
      <w:r>
        <w:rPr>
          <w:rFonts w:hint="eastAsia"/>
          <w:b/>
          <w:bCs/>
        </w:rPr>
        <w:t>少于3家</w:t>
      </w:r>
      <w:r>
        <w:rPr>
          <w:rFonts w:hint="eastAsia"/>
          <w:b/>
          <w:bCs/>
          <w:lang w:eastAsia="zh-CN"/>
        </w:rPr>
        <w:t>（</w:t>
      </w:r>
      <w:r>
        <w:rPr>
          <w:rFonts w:hint="eastAsia"/>
          <w:b/>
          <w:bCs/>
          <w:lang w:val="en-US" w:eastAsia="zh-CN"/>
        </w:rPr>
        <w:t>当标包合格投标人少于3家时，本标包流标</w:t>
      </w:r>
      <w:r>
        <w:rPr>
          <w:rFonts w:hint="eastAsia"/>
          <w:b/>
          <w:bCs/>
          <w:lang w:eastAsia="zh-CN"/>
        </w:rPr>
        <w:t>），</w:t>
      </w:r>
      <w:r>
        <w:rPr>
          <w:rFonts w:hint="eastAsia"/>
          <w:b/>
          <w:bCs/>
        </w:rPr>
        <w:t>按照得分排名顺延推荐。</w:t>
      </w:r>
    </w:p>
    <w:p w14:paraId="496B42FB">
      <w:pPr>
        <w:ind w:firstLine="420" w:firstLineChars="200"/>
        <w:jc w:val="left"/>
        <w:rPr>
          <w:rFonts w:hint="eastAsia" w:cs="宋体"/>
          <w:color w:val="auto"/>
          <w:szCs w:val="21"/>
          <w:highlight w:val="none"/>
        </w:rPr>
      </w:pPr>
      <w:r>
        <w:rPr>
          <w:rFonts w:hint="eastAsia" w:cs="宋体"/>
          <w:color w:val="auto"/>
          <w:szCs w:val="21"/>
          <w:highlight w:val="none"/>
        </w:rPr>
        <w:t>4.4.2采购人根据评标委员会提出的书面评标报告和推荐的中标候选人名单，确定中标人。</w:t>
      </w:r>
    </w:p>
    <w:p w14:paraId="6DA36CB1">
      <w:pPr>
        <w:ind w:firstLine="420" w:firstLineChars="200"/>
        <w:jc w:val="left"/>
        <w:rPr>
          <w:rFonts w:hint="eastAsia" w:cs="宋体"/>
          <w:color w:val="auto"/>
          <w:szCs w:val="21"/>
          <w:highlight w:val="none"/>
        </w:rPr>
      </w:pPr>
      <w:r>
        <w:rPr>
          <w:rFonts w:hint="eastAsia" w:cs="宋体"/>
          <w:color w:val="auto"/>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bookmarkEnd w:id="362"/>
    <w:p w14:paraId="0F012625">
      <w:pPr>
        <w:pStyle w:val="5"/>
        <w:bidi w:val="0"/>
        <w:rPr>
          <w:rFonts w:hint="eastAsia"/>
        </w:rPr>
      </w:pPr>
      <w:bookmarkStart w:id="431" w:name="_Toc166067819"/>
      <w:bookmarkStart w:id="432" w:name="_Toc139357111"/>
      <w:bookmarkStart w:id="433" w:name="_Toc125904400"/>
      <w:bookmarkStart w:id="434" w:name="_Toc125986535"/>
      <w:r>
        <w:rPr>
          <w:rFonts w:hint="eastAsia"/>
        </w:rPr>
        <w:t>4.5其他</w:t>
      </w:r>
      <w:bookmarkEnd w:id="431"/>
      <w:bookmarkEnd w:id="432"/>
      <w:bookmarkEnd w:id="433"/>
      <w:bookmarkEnd w:id="434"/>
    </w:p>
    <w:p w14:paraId="34F4F995">
      <w:pPr>
        <w:ind w:firstLine="420" w:firstLineChars="200"/>
        <w:jc w:val="left"/>
        <w:rPr>
          <w:rFonts w:hint="eastAsia" w:cs="宋体"/>
          <w:color w:val="auto"/>
          <w:szCs w:val="21"/>
          <w:highlight w:val="none"/>
          <w:lang w:val="zh-CN"/>
        </w:rPr>
      </w:pPr>
      <w:r>
        <w:rPr>
          <w:rFonts w:hint="eastAsia" w:cs="宋体"/>
          <w:color w:val="auto"/>
          <w:szCs w:val="21"/>
          <w:highlight w:val="none"/>
        </w:rPr>
        <w:t>其他未尽事宜遵照国家相关法律法规执行。</w:t>
      </w:r>
    </w:p>
    <w:sectPr>
      <w:pgSz w:w="11906" w:h="16838"/>
      <w:pgMar w:top="1440" w:right="1080" w:bottom="1440" w:left="1080" w:header="850" w:footer="850" w:gutter="0"/>
      <w:pgBorders>
        <w:top w:val="none" w:sz="0" w:space="0"/>
        <w:left w:val="none" w:sz="0" w:space="0"/>
        <w:bottom w:val="none" w:sz="0" w:space="0"/>
        <w:right w:val="none" w:sz="0" w:space="0"/>
      </w:pgBorders>
      <w:pgNumType w:fmt="decimal"/>
      <w:cols w:space="720" w:num="1"/>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宋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Heiti SC Light">
    <w:altName w:val="Noto Sans SC"/>
    <w:panose1 w:val="00000000000000000000"/>
    <w:charset w:val="80"/>
    <w:family w:val="auto"/>
    <w:pitch w:val="default"/>
    <w:sig w:usb0="00000000" w:usb1="00000000" w:usb2="00000000" w:usb3="00000000" w:csb0="203E0000" w:csb1="00000000"/>
  </w:font>
  <w:font w:name="Noto Sans SC">
    <w:panose1 w:val="020B0200000000000000"/>
    <w:charset w:val="86"/>
    <w:family w:val="auto"/>
    <w:pitch w:val="default"/>
    <w:sig w:usb0="20000083" w:usb1="2ADF3C10" w:usb2="00000016" w:usb3="00000000" w:csb0="60060107" w:csb1="00000000"/>
  </w:font>
  <w:font w:name="Times New Roman (标题 CS)">
    <w:altName w:val="Times New Roman"/>
    <w:panose1 w:val="00000000000000000000"/>
    <w:charset w:val="00"/>
    <w:family w:val="roman"/>
    <w:pitch w:val="default"/>
    <w:sig w:usb0="00000000" w:usb1="00000000" w:usb2="00000009" w:usb3="00000000" w:csb0="000001FF" w:csb1="00000000"/>
  </w:font>
  <w:font w:name="Times New Roman (正文 CS 字体)">
    <w:altName w:val="Times New Roman"/>
    <w:panose1 w:val="00000000000000000000"/>
    <w:charset w:val="00"/>
    <w:family w:val="roman"/>
    <w:pitch w:val="default"/>
    <w:sig w:usb0="00000000" w:usb1="00000000" w:usb2="00000009" w:usb3="00000000" w:csb0="0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C8B27">
    <w:pPr>
      <w:pStyle w:val="28"/>
      <w:jc w:val="center"/>
      <w:rPr>
        <w:rFonts w:hint="eastAsia"/>
        <w:b/>
        <w:bCs/>
        <w:sz w:val="21"/>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F2186">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17528">
                          <w:pPr>
                            <w:pStyle w:val="2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3317528">
                    <w:pPr>
                      <w:pStyle w:val="2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AC800">
    <w:pPr>
      <w:pStyle w:val="28"/>
      <w:tabs>
        <w:tab w:val="center" w:pos="4870"/>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527AB">
                          <w:pPr>
                            <w:pStyle w:val="2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C527AB">
                    <w:pPr>
                      <w:pStyle w:val="2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16AC">
    <w:pPr>
      <w:pStyle w:val="28"/>
      <w:rPr>
        <w:rFonts w:hint="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2A768">
                          <w:pPr>
                            <w:pStyle w:val="28"/>
                            <w:rPr>
                              <w:b/>
                              <w:bCs/>
                            </w:rPr>
                          </w:pPr>
                          <w:r>
                            <w:rPr>
                              <w:b/>
                              <w:bCs/>
                            </w:rPr>
                            <w:fldChar w:fldCharType="begin"/>
                          </w:r>
                          <w:r>
                            <w:rPr>
                              <w:b/>
                              <w:bCs/>
                            </w:rPr>
                            <w:instrText xml:space="preserve"> PAGE  \* MERGEFORMAT </w:instrText>
                          </w:r>
                          <w:r>
                            <w:rPr>
                              <w:b/>
                              <w:bCs/>
                            </w:rPr>
                            <w:fldChar w:fldCharType="separate"/>
                          </w:r>
                          <w:r>
                            <w:rPr>
                              <w:b/>
                              <w:bCs/>
                            </w:rPr>
                            <w:t>34</w:t>
                          </w:r>
                          <w:r>
                            <w:rPr>
                              <w:b/>
                              <w:bC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792A768">
                    <w:pPr>
                      <w:pStyle w:val="28"/>
                      <w:rPr>
                        <w:b/>
                        <w:bCs/>
                      </w:rPr>
                    </w:pPr>
                    <w:r>
                      <w:rPr>
                        <w:b/>
                        <w:bCs/>
                      </w:rPr>
                      <w:fldChar w:fldCharType="begin"/>
                    </w:r>
                    <w:r>
                      <w:rPr>
                        <w:b/>
                        <w:bCs/>
                      </w:rPr>
                      <w:instrText xml:space="preserve"> PAGE  \* MERGEFORMAT </w:instrText>
                    </w:r>
                    <w:r>
                      <w:rPr>
                        <w:b/>
                        <w:bCs/>
                      </w:rPr>
                      <w:fldChar w:fldCharType="separate"/>
                    </w:r>
                    <w:r>
                      <w:rPr>
                        <w:b/>
                        <w:bCs/>
                      </w:rPr>
                      <w:t>34</w:t>
                    </w:r>
                    <w:r>
                      <w:rPr>
                        <w:b/>
                        <w:bCs/>
                      </w:rP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7D2F3">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1BE10">
                          <w:pPr>
                            <w:pStyle w:val="2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4C1BE10">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086429D0">
    <w:pPr>
      <w:pStyle w:val="28"/>
      <w:jc w:val="center"/>
    </w:pPr>
    <w:r>
      <w:rPr>
        <w:rFonts w:hint="eastAsia" w:ascii="宋体" w:hAnsi="宋体" w:eastAsia="宋体" w:cs="Times New Roman"/>
        <w:bCs/>
        <w:color w:val="000000"/>
        <w:szCs w:val="21"/>
        <w:highlight w:val="none"/>
        <w:lang w:eastAsia="zh-CN"/>
      </w:rPr>
      <w:t>云南谦亚工程</w:t>
    </w:r>
    <w:r>
      <w:rPr>
        <w:rFonts w:hint="eastAsia" w:ascii="宋体" w:hAnsi="宋体" w:eastAsia="宋体" w:cs="Times New Roman"/>
        <w:bCs/>
        <w:color w:val="000000"/>
        <w:szCs w:val="21"/>
        <w:highlight w:val="none"/>
        <w:lang w:val="en-US" w:eastAsia="zh-CN"/>
      </w:rPr>
      <w:t>项目</w:t>
    </w:r>
    <w:r>
      <w:rPr>
        <w:rFonts w:hint="eastAsia" w:ascii="宋体" w:hAnsi="宋体" w:eastAsia="宋体" w:cs="Times New Roman"/>
        <w:bCs/>
        <w:color w:val="000000"/>
        <w:szCs w:val="21"/>
        <w:highlight w:val="none"/>
        <w:lang w:eastAsia="zh-CN"/>
      </w:rPr>
      <w:t>管理有限公司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C41FD">
    <w:pPr>
      <w:pStyle w:val="28"/>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posOffset>3004820</wp:posOffset>
              </wp:positionH>
              <wp:positionV relativeFrom="paragraph">
                <wp:posOffset>0</wp:posOffset>
              </wp:positionV>
              <wp:extent cx="35115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35115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9CA082">
                          <w:pPr>
                            <w:pStyle w:val="28"/>
                            <w:rPr>
                              <w:b/>
                              <w:bCs/>
                            </w:rPr>
                          </w:pPr>
                          <w:r>
                            <w:rPr>
                              <w:b/>
                              <w:bCs/>
                            </w:rPr>
                            <w:fldChar w:fldCharType="begin"/>
                          </w:r>
                          <w:r>
                            <w:rPr>
                              <w:b/>
                              <w:bCs/>
                            </w:rPr>
                            <w:instrText xml:space="preserve"> PAGE  \* MERGEFORMAT </w:instrText>
                          </w:r>
                          <w:r>
                            <w:rPr>
                              <w:b/>
                              <w:bCs/>
                            </w:rPr>
                            <w:fldChar w:fldCharType="separate"/>
                          </w:r>
                          <w:r>
                            <w:rPr>
                              <w:b/>
                              <w:bCs/>
                            </w:rPr>
                            <w:t>34</w:t>
                          </w:r>
                          <w:r>
                            <w:rPr>
                              <w:b/>
                              <w:bCs/>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6pt;margin-top:0pt;height:144pt;width:27.65pt;mso-position-horizontal-relative:margin;z-index:251659264;mso-width-relative:page;mso-height-relative:page;" filled="f" stroked="f" coordsize="21600,21600" o:gfxdata="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inRlGdYAAAAIAQAADwAAAAAAAAABACAAAAAiAAAAZHJzL2Rvd25y&#10;ZXYueG1sUEsBAhQAFAAAAAgAh07iQMCirNc5AgAAYgQAAA4AAAAAAAAAAQAgAAAAJQEAAGRycy9l&#10;Mm9Eb2MueG1sUEsFBgAAAAAGAAYAWQEAANAFAAAAAA==&#10;">
              <v:fill on="f" focussize="0,0"/>
              <v:stroke on="f" weight="0.5pt"/>
              <v:imagedata o:title=""/>
              <o:lock v:ext="edit" aspectratio="f"/>
              <v:textbox inset="0mm,0mm,0mm,0mm" style="mso-fit-shape-to-text:t;">
                <w:txbxContent>
                  <w:p w14:paraId="509CA082">
                    <w:pPr>
                      <w:pStyle w:val="28"/>
                      <w:rPr>
                        <w:b/>
                        <w:bCs/>
                      </w:rPr>
                    </w:pPr>
                    <w:r>
                      <w:rPr>
                        <w:b/>
                        <w:bCs/>
                      </w:rPr>
                      <w:fldChar w:fldCharType="begin"/>
                    </w:r>
                    <w:r>
                      <w:rPr>
                        <w:b/>
                        <w:bCs/>
                      </w:rPr>
                      <w:instrText xml:space="preserve"> PAGE  \* MERGEFORMAT </w:instrText>
                    </w:r>
                    <w:r>
                      <w:rPr>
                        <w:b/>
                        <w:bCs/>
                      </w:rPr>
                      <w:fldChar w:fldCharType="separate"/>
                    </w:r>
                    <w:r>
                      <w:rPr>
                        <w:b/>
                        <w:bCs/>
                      </w:rPr>
                      <w:t>34</w:t>
                    </w:r>
                    <w:r>
                      <w:rPr>
                        <w:b/>
                        <w:bCs/>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864A6">
    <w:pPr>
      <w:pStyle w:val="29"/>
      <w:keepNext w:val="0"/>
      <w:keepLines w:val="0"/>
      <w:pageBreakBefore w:val="0"/>
      <w:widowControl w:val="0"/>
      <w:pBdr>
        <w:bottom w:val="none" w:color="auto" w:sz="0" w:space="0"/>
      </w:pBdr>
      <w:tabs>
        <w:tab w:val="left" w:pos="6328"/>
        <w:tab w:val="right" w:pos="9866"/>
      </w:tabs>
      <w:kinsoku/>
      <w:wordWrap/>
      <w:overflowPunct/>
      <w:topLinePunct w:val="0"/>
      <w:bidi w:val="0"/>
      <w:adjustRightInd/>
      <w:snapToGrid w:val="0"/>
      <w:spacing w:line="240" w:lineRule="auto"/>
      <w:jc w:val="right"/>
      <w:textAlignment w:val="auto"/>
      <w:rPr>
        <w:rFonts w:hint="eastAsia"/>
      </w:rPr>
    </w:pPr>
    <w:r>
      <w:drawing>
        <wp:inline distT="0" distB="0" distL="114300" distR="114300">
          <wp:extent cx="1622425" cy="320675"/>
          <wp:effectExtent l="0" t="0" r="15875" b="3175"/>
          <wp:docPr id="1720696903" name="图片 172069690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696903" name="图片 1720696903" descr="标志"/>
                  <pic:cNvPicPr>
                    <a:picLocks noChangeAspect="1"/>
                  </pic:cNvPicPr>
                </pic:nvPicPr>
                <pic:blipFill>
                  <a:blip r:embed="rId1">
                    <a:lum contrast="20000"/>
                  </a:blip>
                  <a:stretch>
                    <a:fillRect/>
                  </a:stretch>
                </pic:blipFill>
                <pic:spPr>
                  <a:xfrm>
                    <a:off x="0" y="0"/>
                    <a:ext cx="1622425" cy="3206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3EB1F">
    <w:pPr>
      <w:pStyle w:val="29"/>
      <w:rPr>
        <w:rFonts w:hint="eastAsia"/>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86D30">
    <w:pPr>
      <w:pStyle w:val="29"/>
      <w:jc w:val="right"/>
      <w:rPr>
        <w:rFonts w:hint="eastAsia"/>
      </w:rPr>
    </w:pPr>
    <w:r>
      <w:rPr>
        <w:rFonts w:hint="eastAsia"/>
      </w:rPr>
      <w:t>“国际文化记忆和传承”之三江并流拍摄及图书策划编辑等服务--招标文件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3078">
    <w:pPr>
      <w:pStyle w:val="29"/>
      <w:jc w:val="right"/>
      <w:rPr>
        <w:rFonts w:hint="eastAsia"/>
      </w:rPr>
    </w:pPr>
    <w:r>
      <w:rPr>
        <w:rFonts w:hint="eastAsia"/>
      </w:rPr>
      <w:t>“国际文化记忆和传承”之三江并流拍摄及图书策划编辑等服务--招标文件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F9CFE">
    <w:pPr>
      <w:pStyle w:val="29"/>
      <w:jc w:val="right"/>
      <w:rPr>
        <w:rFonts w:hint="eastAsia"/>
      </w:rPr>
    </w:pPr>
    <w:r>
      <w:rPr>
        <w:rFonts w:hint="eastAsia"/>
      </w:rPr>
      <w:t>“国际文化记忆和传承”之三江并流拍摄及图书策划编辑等服务--招标文件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86C7AC"/>
    <w:multiLevelType w:val="singleLevel"/>
    <w:tmpl w:val="9E86C7AC"/>
    <w:lvl w:ilvl="0" w:tentative="0">
      <w:start w:val="2"/>
      <w:numFmt w:val="chineseCounting"/>
      <w:suff w:val="nothing"/>
      <w:lvlText w:val="%1、"/>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5">
    <w:nsid w:val="00000014"/>
    <w:multiLevelType w:val="multilevel"/>
    <w:tmpl w:val="00000014"/>
    <w:lvl w:ilvl="0" w:tentative="0">
      <w:start w:val="2"/>
      <w:numFmt w:val="lowerLetter"/>
      <w:pStyle w:val="12"/>
      <w:lvlText w:val="%1)"/>
      <w:lvlJc w:val="left"/>
      <w:pPr>
        <w:tabs>
          <w:tab w:val="left" w:pos="330"/>
        </w:tabs>
        <w:ind w:left="330" w:hanging="360"/>
      </w:pPr>
      <w:rPr>
        <w:rFonts w:hint="default"/>
      </w:rPr>
    </w:lvl>
    <w:lvl w:ilvl="1" w:tentative="0">
      <w:start w:val="1"/>
      <w:numFmt w:val="lowerLetter"/>
      <w:lvlText w:val="%2)"/>
      <w:lvlJc w:val="left"/>
      <w:pPr>
        <w:tabs>
          <w:tab w:val="left" w:pos="810"/>
        </w:tabs>
        <w:ind w:left="810" w:hanging="420"/>
      </w:pPr>
    </w:lvl>
    <w:lvl w:ilvl="2" w:tentative="0">
      <w:start w:val="1"/>
      <w:numFmt w:val="lowerRoman"/>
      <w:lvlText w:val="%3."/>
      <w:lvlJc w:val="right"/>
      <w:pPr>
        <w:tabs>
          <w:tab w:val="left" w:pos="1230"/>
        </w:tabs>
        <w:ind w:left="1230" w:hanging="420"/>
      </w:pPr>
    </w:lvl>
    <w:lvl w:ilvl="3" w:tentative="0">
      <w:start w:val="1"/>
      <w:numFmt w:val="decimal"/>
      <w:lvlText w:val="%4."/>
      <w:lvlJc w:val="left"/>
      <w:pPr>
        <w:tabs>
          <w:tab w:val="left" w:pos="1650"/>
        </w:tabs>
        <w:ind w:left="1650" w:hanging="420"/>
      </w:pPr>
    </w:lvl>
    <w:lvl w:ilvl="4" w:tentative="0">
      <w:start w:val="1"/>
      <w:numFmt w:val="lowerLetter"/>
      <w:lvlText w:val="%5)"/>
      <w:lvlJc w:val="left"/>
      <w:pPr>
        <w:tabs>
          <w:tab w:val="left" w:pos="2070"/>
        </w:tabs>
        <w:ind w:left="2070" w:hanging="420"/>
      </w:pPr>
    </w:lvl>
    <w:lvl w:ilvl="5" w:tentative="0">
      <w:start w:val="1"/>
      <w:numFmt w:val="lowerRoman"/>
      <w:lvlText w:val="%6."/>
      <w:lvlJc w:val="right"/>
      <w:pPr>
        <w:tabs>
          <w:tab w:val="left" w:pos="2490"/>
        </w:tabs>
        <w:ind w:left="2490" w:hanging="420"/>
      </w:pPr>
    </w:lvl>
    <w:lvl w:ilvl="6" w:tentative="0">
      <w:start w:val="1"/>
      <w:numFmt w:val="decimal"/>
      <w:lvlText w:val="%7."/>
      <w:lvlJc w:val="left"/>
      <w:pPr>
        <w:tabs>
          <w:tab w:val="left" w:pos="2910"/>
        </w:tabs>
        <w:ind w:left="2910" w:hanging="420"/>
      </w:pPr>
    </w:lvl>
    <w:lvl w:ilvl="7" w:tentative="0">
      <w:start w:val="1"/>
      <w:numFmt w:val="lowerLetter"/>
      <w:lvlText w:val="%8)"/>
      <w:lvlJc w:val="left"/>
      <w:pPr>
        <w:tabs>
          <w:tab w:val="left" w:pos="3330"/>
        </w:tabs>
        <w:ind w:left="3330" w:hanging="420"/>
      </w:pPr>
    </w:lvl>
    <w:lvl w:ilvl="8" w:tentative="0">
      <w:start w:val="1"/>
      <w:numFmt w:val="lowerRoman"/>
      <w:lvlText w:val="%9."/>
      <w:lvlJc w:val="right"/>
      <w:pPr>
        <w:tabs>
          <w:tab w:val="left" w:pos="3750"/>
        </w:tabs>
        <w:ind w:left="3750" w:hanging="420"/>
      </w:pPr>
    </w:lvl>
  </w:abstractNum>
  <w:abstractNum w:abstractNumId="6">
    <w:nsid w:val="07020397"/>
    <w:multiLevelType w:val="multilevel"/>
    <w:tmpl w:val="07020397"/>
    <w:lvl w:ilvl="0" w:tentative="0">
      <w:start w:val="1"/>
      <w:numFmt w:val="decimal"/>
      <w:pStyle w:val="355"/>
      <w:lvlText w:val="%1"/>
      <w:lvlJc w:val="left"/>
      <w:pPr>
        <w:ind w:left="425" w:hanging="425"/>
      </w:pPr>
      <w:rPr>
        <w:rFonts w:hint="eastAsia"/>
      </w:rPr>
    </w:lvl>
    <w:lvl w:ilvl="1" w:tentative="0">
      <w:start w:val="1"/>
      <w:numFmt w:val="decimal"/>
      <w:pStyle w:val="351"/>
      <w:lvlText w:val="%1.%2"/>
      <w:lvlJc w:val="left"/>
      <w:pPr>
        <w:ind w:left="0" w:firstLine="0"/>
      </w:pPr>
      <w:rPr>
        <w:rFonts w:hint="eastAsia"/>
      </w:rPr>
    </w:lvl>
    <w:lvl w:ilvl="2" w:tentative="0">
      <w:start w:val="1"/>
      <w:numFmt w:val="decimal"/>
      <w:pStyle w:val="357"/>
      <w:lvlText w:val="%1.%2.%3"/>
      <w:lvlJc w:val="left"/>
      <w:pPr>
        <w:ind w:left="0" w:firstLine="0"/>
      </w:pPr>
      <w:rPr>
        <w:rFonts w:hint="eastAsia"/>
      </w:rPr>
    </w:lvl>
    <w:lvl w:ilvl="3" w:tentative="0">
      <w:start w:val="1"/>
      <w:numFmt w:val="decimal"/>
      <w:pStyle w:val="360"/>
      <w:lvlText w:val="%1.%2.%3.%4"/>
      <w:lvlJc w:val="left"/>
      <w:pPr>
        <w:ind w:left="0" w:firstLine="0"/>
      </w:pPr>
      <w:rPr>
        <w:rFonts w:hint="eastAsia"/>
      </w:rPr>
    </w:lvl>
    <w:lvl w:ilvl="4" w:tentative="0">
      <w:start w:val="1"/>
      <w:numFmt w:val="decimal"/>
      <w:pStyle w:val="361"/>
      <w:lvlText w:val="%1.%2.%3.%4.%5"/>
      <w:lvlJc w:val="left"/>
      <w:pPr>
        <w:ind w:left="0" w:firstLine="0"/>
      </w:pPr>
      <w:rPr>
        <w:rFonts w:hint="eastAsia"/>
      </w:rPr>
    </w:lvl>
    <w:lvl w:ilvl="5" w:tentative="0">
      <w:start w:val="1"/>
      <w:numFmt w:val="decimal"/>
      <w:pStyle w:val="359"/>
      <w:lvlText w:val="%1.%2.%3.%4.%5.%6"/>
      <w:lvlJc w:val="left"/>
      <w:pPr>
        <w:ind w:left="0" w:firstLine="0"/>
      </w:pPr>
      <w:rPr>
        <w:rFonts w:hint="eastAsia"/>
      </w:rPr>
    </w:lvl>
    <w:lvl w:ilvl="6" w:tentative="0">
      <w:start w:val="1"/>
      <w:numFmt w:val="decimal"/>
      <w:pStyle w:val="358"/>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097907D7"/>
    <w:multiLevelType w:val="multilevel"/>
    <w:tmpl w:val="097907D7"/>
    <w:lvl w:ilvl="0" w:tentative="0">
      <w:start w:val="1"/>
      <w:numFmt w:val="decimal"/>
      <w:pStyle w:val="62"/>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3852405"/>
    <w:multiLevelType w:val="multilevel"/>
    <w:tmpl w:val="63852405"/>
    <w:lvl w:ilvl="0" w:tentative="0">
      <w:start w:val="1"/>
      <w:numFmt w:val="decimal"/>
      <w:pStyle w:val="148"/>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9">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5"/>
  </w:num>
  <w:num w:numId="3">
    <w:abstractNumId w:val="7"/>
  </w:num>
  <w:num w:numId="4">
    <w:abstractNumId w:val="8"/>
  </w:num>
  <w:num w:numId="5">
    <w:abstractNumId w:val="6"/>
  </w:num>
  <w:num w:numId="6">
    <w:abstractNumId w:val="0"/>
  </w:num>
  <w:num w:numId="7">
    <w:abstractNumId w:val="3"/>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AyMGQ4YjE0NTgzNGQyOGY0NDk2ODk2YWIwYzQxMjYifQ=="/>
  </w:docVars>
  <w:rsids>
    <w:rsidRoot w:val="00A21078"/>
    <w:rsid w:val="000002B2"/>
    <w:rsid w:val="00000416"/>
    <w:rsid w:val="0000137C"/>
    <w:rsid w:val="000018FD"/>
    <w:rsid w:val="00001932"/>
    <w:rsid w:val="0000241B"/>
    <w:rsid w:val="0000291B"/>
    <w:rsid w:val="00002A12"/>
    <w:rsid w:val="00002B38"/>
    <w:rsid w:val="00003547"/>
    <w:rsid w:val="00003FC8"/>
    <w:rsid w:val="00003FD6"/>
    <w:rsid w:val="0000405C"/>
    <w:rsid w:val="000042BF"/>
    <w:rsid w:val="00004374"/>
    <w:rsid w:val="0000460B"/>
    <w:rsid w:val="00004EAB"/>
    <w:rsid w:val="00004EFD"/>
    <w:rsid w:val="000054BE"/>
    <w:rsid w:val="00006C99"/>
    <w:rsid w:val="00007097"/>
    <w:rsid w:val="00007211"/>
    <w:rsid w:val="000072A0"/>
    <w:rsid w:val="00007A2A"/>
    <w:rsid w:val="00007F83"/>
    <w:rsid w:val="00010154"/>
    <w:rsid w:val="000101A8"/>
    <w:rsid w:val="000105AA"/>
    <w:rsid w:val="000107A4"/>
    <w:rsid w:val="000111B4"/>
    <w:rsid w:val="000120D8"/>
    <w:rsid w:val="000123A6"/>
    <w:rsid w:val="00012B90"/>
    <w:rsid w:val="00012F3D"/>
    <w:rsid w:val="00013DB5"/>
    <w:rsid w:val="00013E6F"/>
    <w:rsid w:val="00014087"/>
    <w:rsid w:val="00014214"/>
    <w:rsid w:val="00014307"/>
    <w:rsid w:val="0001480F"/>
    <w:rsid w:val="00014D1F"/>
    <w:rsid w:val="0001575F"/>
    <w:rsid w:val="00016091"/>
    <w:rsid w:val="00016334"/>
    <w:rsid w:val="00016892"/>
    <w:rsid w:val="00016A8C"/>
    <w:rsid w:val="00016CB0"/>
    <w:rsid w:val="00016D39"/>
    <w:rsid w:val="00016EBB"/>
    <w:rsid w:val="00017BE9"/>
    <w:rsid w:val="00017C95"/>
    <w:rsid w:val="00017FDA"/>
    <w:rsid w:val="000207FD"/>
    <w:rsid w:val="00020BD0"/>
    <w:rsid w:val="00020EFD"/>
    <w:rsid w:val="00020F88"/>
    <w:rsid w:val="0002140F"/>
    <w:rsid w:val="00021AA2"/>
    <w:rsid w:val="00021B69"/>
    <w:rsid w:val="00021B8C"/>
    <w:rsid w:val="00021DD3"/>
    <w:rsid w:val="00021EC5"/>
    <w:rsid w:val="00022493"/>
    <w:rsid w:val="0002297D"/>
    <w:rsid w:val="00022E45"/>
    <w:rsid w:val="00022F5E"/>
    <w:rsid w:val="00023CCC"/>
    <w:rsid w:val="000251A8"/>
    <w:rsid w:val="000253D2"/>
    <w:rsid w:val="0002557B"/>
    <w:rsid w:val="000258D1"/>
    <w:rsid w:val="00025E3B"/>
    <w:rsid w:val="00026470"/>
    <w:rsid w:val="0002648E"/>
    <w:rsid w:val="00026A1D"/>
    <w:rsid w:val="000273FE"/>
    <w:rsid w:val="000274D9"/>
    <w:rsid w:val="000274E3"/>
    <w:rsid w:val="0002791F"/>
    <w:rsid w:val="000279F3"/>
    <w:rsid w:val="00027A75"/>
    <w:rsid w:val="000305A9"/>
    <w:rsid w:val="000305E4"/>
    <w:rsid w:val="00030D67"/>
    <w:rsid w:val="000313A4"/>
    <w:rsid w:val="00031B31"/>
    <w:rsid w:val="000320AF"/>
    <w:rsid w:val="00032A6B"/>
    <w:rsid w:val="00032B7D"/>
    <w:rsid w:val="00033487"/>
    <w:rsid w:val="00033506"/>
    <w:rsid w:val="000338B0"/>
    <w:rsid w:val="0003443D"/>
    <w:rsid w:val="000349A7"/>
    <w:rsid w:val="00034A12"/>
    <w:rsid w:val="00034E42"/>
    <w:rsid w:val="0003587C"/>
    <w:rsid w:val="0003653F"/>
    <w:rsid w:val="00036983"/>
    <w:rsid w:val="00040310"/>
    <w:rsid w:val="0004067B"/>
    <w:rsid w:val="00040B0F"/>
    <w:rsid w:val="00040C2D"/>
    <w:rsid w:val="00040DF3"/>
    <w:rsid w:val="00040FFB"/>
    <w:rsid w:val="00041180"/>
    <w:rsid w:val="000413B7"/>
    <w:rsid w:val="000419A6"/>
    <w:rsid w:val="00041A62"/>
    <w:rsid w:val="00041D1C"/>
    <w:rsid w:val="0004218D"/>
    <w:rsid w:val="000421B3"/>
    <w:rsid w:val="000422F0"/>
    <w:rsid w:val="00042498"/>
    <w:rsid w:val="0004267B"/>
    <w:rsid w:val="00042A1F"/>
    <w:rsid w:val="00042E3D"/>
    <w:rsid w:val="00042FFA"/>
    <w:rsid w:val="000430D5"/>
    <w:rsid w:val="00043169"/>
    <w:rsid w:val="0004346B"/>
    <w:rsid w:val="000436A7"/>
    <w:rsid w:val="00043B3F"/>
    <w:rsid w:val="00044B36"/>
    <w:rsid w:val="000450DA"/>
    <w:rsid w:val="00045E5D"/>
    <w:rsid w:val="00045F72"/>
    <w:rsid w:val="00046B40"/>
    <w:rsid w:val="0004768C"/>
    <w:rsid w:val="00047D61"/>
    <w:rsid w:val="00047F83"/>
    <w:rsid w:val="00050840"/>
    <w:rsid w:val="0005084A"/>
    <w:rsid w:val="0005148F"/>
    <w:rsid w:val="00051E14"/>
    <w:rsid w:val="0005226D"/>
    <w:rsid w:val="00052290"/>
    <w:rsid w:val="00052BAA"/>
    <w:rsid w:val="00052BAF"/>
    <w:rsid w:val="00052C24"/>
    <w:rsid w:val="000530B8"/>
    <w:rsid w:val="000542F9"/>
    <w:rsid w:val="0005452A"/>
    <w:rsid w:val="00054933"/>
    <w:rsid w:val="000553D1"/>
    <w:rsid w:val="0005650D"/>
    <w:rsid w:val="00056933"/>
    <w:rsid w:val="00057281"/>
    <w:rsid w:val="00057FB5"/>
    <w:rsid w:val="00060901"/>
    <w:rsid w:val="000609A0"/>
    <w:rsid w:val="000611F0"/>
    <w:rsid w:val="000613E7"/>
    <w:rsid w:val="00061672"/>
    <w:rsid w:val="00061EBC"/>
    <w:rsid w:val="000622B2"/>
    <w:rsid w:val="000630DF"/>
    <w:rsid w:val="0006348D"/>
    <w:rsid w:val="00063788"/>
    <w:rsid w:val="00063BB2"/>
    <w:rsid w:val="00064455"/>
    <w:rsid w:val="0006495E"/>
    <w:rsid w:val="00064B5D"/>
    <w:rsid w:val="000658A4"/>
    <w:rsid w:val="000659E4"/>
    <w:rsid w:val="00065F72"/>
    <w:rsid w:val="00066082"/>
    <w:rsid w:val="00066423"/>
    <w:rsid w:val="000664AA"/>
    <w:rsid w:val="00066DAF"/>
    <w:rsid w:val="00066DD7"/>
    <w:rsid w:val="00067665"/>
    <w:rsid w:val="00067DB2"/>
    <w:rsid w:val="0007142B"/>
    <w:rsid w:val="00071B90"/>
    <w:rsid w:val="00071D5E"/>
    <w:rsid w:val="00072333"/>
    <w:rsid w:val="0007268E"/>
    <w:rsid w:val="0007273A"/>
    <w:rsid w:val="0007290C"/>
    <w:rsid w:val="00072912"/>
    <w:rsid w:val="00072A96"/>
    <w:rsid w:val="00072AEC"/>
    <w:rsid w:val="00073731"/>
    <w:rsid w:val="00073BF5"/>
    <w:rsid w:val="00073D63"/>
    <w:rsid w:val="0007439D"/>
    <w:rsid w:val="00074548"/>
    <w:rsid w:val="000747DA"/>
    <w:rsid w:val="000748CD"/>
    <w:rsid w:val="00074B25"/>
    <w:rsid w:val="00075091"/>
    <w:rsid w:val="0007526C"/>
    <w:rsid w:val="000753B5"/>
    <w:rsid w:val="00075D47"/>
    <w:rsid w:val="00075EF7"/>
    <w:rsid w:val="00076444"/>
    <w:rsid w:val="0007646A"/>
    <w:rsid w:val="0007675A"/>
    <w:rsid w:val="00076CE8"/>
    <w:rsid w:val="000771D0"/>
    <w:rsid w:val="00077249"/>
    <w:rsid w:val="000779EE"/>
    <w:rsid w:val="00077A59"/>
    <w:rsid w:val="00077BF9"/>
    <w:rsid w:val="00077CC1"/>
    <w:rsid w:val="00077DD2"/>
    <w:rsid w:val="00080841"/>
    <w:rsid w:val="000809A0"/>
    <w:rsid w:val="000809CE"/>
    <w:rsid w:val="00081714"/>
    <w:rsid w:val="00081BB1"/>
    <w:rsid w:val="000825C6"/>
    <w:rsid w:val="0008261F"/>
    <w:rsid w:val="0008271D"/>
    <w:rsid w:val="0008271F"/>
    <w:rsid w:val="00082CB4"/>
    <w:rsid w:val="000839DC"/>
    <w:rsid w:val="000846D4"/>
    <w:rsid w:val="00084971"/>
    <w:rsid w:val="0008499E"/>
    <w:rsid w:val="00084B40"/>
    <w:rsid w:val="00085163"/>
    <w:rsid w:val="00085C13"/>
    <w:rsid w:val="00086438"/>
    <w:rsid w:val="000865B4"/>
    <w:rsid w:val="0008694A"/>
    <w:rsid w:val="00086CC5"/>
    <w:rsid w:val="000873F4"/>
    <w:rsid w:val="000879D9"/>
    <w:rsid w:val="00087A6D"/>
    <w:rsid w:val="00087B59"/>
    <w:rsid w:val="00087FE4"/>
    <w:rsid w:val="00090067"/>
    <w:rsid w:val="000900F7"/>
    <w:rsid w:val="000902BA"/>
    <w:rsid w:val="0009073F"/>
    <w:rsid w:val="00090ABB"/>
    <w:rsid w:val="00090FDF"/>
    <w:rsid w:val="00091180"/>
    <w:rsid w:val="00091226"/>
    <w:rsid w:val="00091299"/>
    <w:rsid w:val="000918E6"/>
    <w:rsid w:val="00091EF4"/>
    <w:rsid w:val="000921EE"/>
    <w:rsid w:val="00092605"/>
    <w:rsid w:val="00092616"/>
    <w:rsid w:val="00092E99"/>
    <w:rsid w:val="000936DE"/>
    <w:rsid w:val="00093AD7"/>
    <w:rsid w:val="00093CB8"/>
    <w:rsid w:val="0009464C"/>
    <w:rsid w:val="00094C7C"/>
    <w:rsid w:val="000955DB"/>
    <w:rsid w:val="00095B23"/>
    <w:rsid w:val="00095C42"/>
    <w:rsid w:val="00095DBB"/>
    <w:rsid w:val="00096CFB"/>
    <w:rsid w:val="00096E5E"/>
    <w:rsid w:val="00096E66"/>
    <w:rsid w:val="00096F74"/>
    <w:rsid w:val="00097142"/>
    <w:rsid w:val="000971C5"/>
    <w:rsid w:val="0009793C"/>
    <w:rsid w:val="00097F7C"/>
    <w:rsid w:val="000A07B9"/>
    <w:rsid w:val="000A0C07"/>
    <w:rsid w:val="000A10FB"/>
    <w:rsid w:val="000A1A45"/>
    <w:rsid w:val="000A1B2E"/>
    <w:rsid w:val="000A1DC2"/>
    <w:rsid w:val="000A1E67"/>
    <w:rsid w:val="000A1FA1"/>
    <w:rsid w:val="000A37F7"/>
    <w:rsid w:val="000A3C44"/>
    <w:rsid w:val="000A459D"/>
    <w:rsid w:val="000A4A34"/>
    <w:rsid w:val="000A53DA"/>
    <w:rsid w:val="000A561B"/>
    <w:rsid w:val="000A5767"/>
    <w:rsid w:val="000A615B"/>
    <w:rsid w:val="000A6908"/>
    <w:rsid w:val="000A6A24"/>
    <w:rsid w:val="000A6D64"/>
    <w:rsid w:val="000A6FDA"/>
    <w:rsid w:val="000A75E3"/>
    <w:rsid w:val="000A7950"/>
    <w:rsid w:val="000A79B6"/>
    <w:rsid w:val="000A7BB1"/>
    <w:rsid w:val="000A7CF0"/>
    <w:rsid w:val="000B008E"/>
    <w:rsid w:val="000B00FE"/>
    <w:rsid w:val="000B01E8"/>
    <w:rsid w:val="000B051B"/>
    <w:rsid w:val="000B119E"/>
    <w:rsid w:val="000B1C18"/>
    <w:rsid w:val="000B2B6A"/>
    <w:rsid w:val="000B31BA"/>
    <w:rsid w:val="000B339D"/>
    <w:rsid w:val="000B3741"/>
    <w:rsid w:val="000B3A83"/>
    <w:rsid w:val="000B3D96"/>
    <w:rsid w:val="000B41D3"/>
    <w:rsid w:val="000B44F9"/>
    <w:rsid w:val="000B45F2"/>
    <w:rsid w:val="000B4A65"/>
    <w:rsid w:val="000B50AB"/>
    <w:rsid w:val="000B53CA"/>
    <w:rsid w:val="000B5616"/>
    <w:rsid w:val="000B5915"/>
    <w:rsid w:val="000B6177"/>
    <w:rsid w:val="000B621C"/>
    <w:rsid w:val="000B6344"/>
    <w:rsid w:val="000B688B"/>
    <w:rsid w:val="000B734D"/>
    <w:rsid w:val="000B7564"/>
    <w:rsid w:val="000B7873"/>
    <w:rsid w:val="000B7E73"/>
    <w:rsid w:val="000C0183"/>
    <w:rsid w:val="000C034D"/>
    <w:rsid w:val="000C0514"/>
    <w:rsid w:val="000C0D46"/>
    <w:rsid w:val="000C1550"/>
    <w:rsid w:val="000C16B5"/>
    <w:rsid w:val="000C1F8E"/>
    <w:rsid w:val="000C20E3"/>
    <w:rsid w:val="000C2298"/>
    <w:rsid w:val="000C2405"/>
    <w:rsid w:val="000C2C1A"/>
    <w:rsid w:val="000C2F86"/>
    <w:rsid w:val="000C3475"/>
    <w:rsid w:val="000C3CF3"/>
    <w:rsid w:val="000C3F13"/>
    <w:rsid w:val="000C4653"/>
    <w:rsid w:val="000C49D0"/>
    <w:rsid w:val="000C4A4B"/>
    <w:rsid w:val="000C4EDC"/>
    <w:rsid w:val="000C5410"/>
    <w:rsid w:val="000C571B"/>
    <w:rsid w:val="000C5D65"/>
    <w:rsid w:val="000C5D9D"/>
    <w:rsid w:val="000C61B0"/>
    <w:rsid w:val="000C62E2"/>
    <w:rsid w:val="000C6A38"/>
    <w:rsid w:val="000C7404"/>
    <w:rsid w:val="000D0ED8"/>
    <w:rsid w:val="000D1293"/>
    <w:rsid w:val="000D16AB"/>
    <w:rsid w:val="000D1880"/>
    <w:rsid w:val="000D1986"/>
    <w:rsid w:val="000D226F"/>
    <w:rsid w:val="000D2E79"/>
    <w:rsid w:val="000D2F32"/>
    <w:rsid w:val="000D3248"/>
    <w:rsid w:val="000D48C8"/>
    <w:rsid w:val="000D4C4A"/>
    <w:rsid w:val="000D51DA"/>
    <w:rsid w:val="000D5A02"/>
    <w:rsid w:val="000D5D91"/>
    <w:rsid w:val="000D612C"/>
    <w:rsid w:val="000D6371"/>
    <w:rsid w:val="000D63CF"/>
    <w:rsid w:val="000D68DA"/>
    <w:rsid w:val="000D6D3B"/>
    <w:rsid w:val="000D6D44"/>
    <w:rsid w:val="000D6E63"/>
    <w:rsid w:val="000D6E86"/>
    <w:rsid w:val="000D7187"/>
    <w:rsid w:val="000D782E"/>
    <w:rsid w:val="000E01A9"/>
    <w:rsid w:val="000E0452"/>
    <w:rsid w:val="000E0775"/>
    <w:rsid w:val="000E0D8D"/>
    <w:rsid w:val="000E0F20"/>
    <w:rsid w:val="000E1422"/>
    <w:rsid w:val="000E1CD9"/>
    <w:rsid w:val="000E203B"/>
    <w:rsid w:val="000E213D"/>
    <w:rsid w:val="000E335D"/>
    <w:rsid w:val="000E3A02"/>
    <w:rsid w:val="000E4017"/>
    <w:rsid w:val="000E472D"/>
    <w:rsid w:val="000E482A"/>
    <w:rsid w:val="000E4D57"/>
    <w:rsid w:val="000E545A"/>
    <w:rsid w:val="000E5B62"/>
    <w:rsid w:val="000E5D0D"/>
    <w:rsid w:val="000E60A7"/>
    <w:rsid w:val="000E662D"/>
    <w:rsid w:val="000E72B7"/>
    <w:rsid w:val="000E75F1"/>
    <w:rsid w:val="000E7B0A"/>
    <w:rsid w:val="000F030A"/>
    <w:rsid w:val="000F0961"/>
    <w:rsid w:val="000F0A90"/>
    <w:rsid w:val="000F0AB3"/>
    <w:rsid w:val="000F0F3E"/>
    <w:rsid w:val="000F1739"/>
    <w:rsid w:val="000F180B"/>
    <w:rsid w:val="000F226E"/>
    <w:rsid w:val="000F24D0"/>
    <w:rsid w:val="000F26A5"/>
    <w:rsid w:val="000F303D"/>
    <w:rsid w:val="000F3053"/>
    <w:rsid w:val="000F30F5"/>
    <w:rsid w:val="000F350B"/>
    <w:rsid w:val="000F3776"/>
    <w:rsid w:val="000F3BCD"/>
    <w:rsid w:val="000F3D67"/>
    <w:rsid w:val="000F42A3"/>
    <w:rsid w:val="000F45F7"/>
    <w:rsid w:val="000F47D9"/>
    <w:rsid w:val="000F48EF"/>
    <w:rsid w:val="000F5382"/>
    <w:rsid w:val="000F57B2"/>
    <w:rsid w:val="000F5E28"/>
    <w:rsid w:val="000F5F31"/>
    <w:rsid w:val="000F5F6F"/>
    <w:rsid w:val="000F6247"/>
    <w:rsid w:val="000F63AE"/>
    <w:rsid w:val="000F6950"/>
    <w:rsid w:val="000F6BA0"/>
    <w:rsid w:val="000F6C46"/>
    <w:rsid w:val="000F6DD8"/>
    <w:rsid w:val="000F6DEE"/>
    <w:rsid w:val="000F6EF1"/>
    <w:rsid w:val="000F7865"/>
    <w:rsid w:val="0010087A"/>
    <w:rsid w:val="00100F3D"/>
    <w:rsid w:val="00101336"/>
    <w:rsid w:val="001018F8"/>
    <w:rsid w:val="00101B2D"/>
    <w:rsid w:val="00101C23"/>
    <w:rsid w:val="001020AE"/>
    <w:rsid w:val="001022EE"/>
    <w:rsid w:val="0010285C"/>
    <w:rsid w:val="001029E7"/>
    <w:rsid w:val="00102B8F"/>
    <w:rsid w:val="00103265"/>
    <w:rsid w:val="00103400"/>
    <w:rsid w:val="0010366D"/>
    <w:rsid w:val="0010381F"/>
    <w:rsid w:val="00103E0F"/>
    <w:rsid w:val="00103F2A"/>
    <w:rsid w:val="00104009"/>
    <w:rsid w:val="00104850"/>
    <w:rsid w:val="00104983"/>
    <w:rsid w:val="00104BF5"/>
    <w:rsid w:val="00105908"/>
    <w:rsid w:val="00105AE5"/>
    <w:rsid w:val="0010634B"/>
    <w:rsid w:val="00106D72"/>
    <w:rsid w:val="00106DEC"/>
    <w:rsid w:val="00106EC9"/>
    <w:rsid w:val="0010724D"/>
    <w:rsid w:val="001078DE"/>
    <w:rsid w:val="00107C9F"/>
    <w:rsid w:val="00107E23"/>
    <w:rsid w:val="00107E48"/>
    <w:rsid w:val="001107E1"/>
    <w:rsid w:val="00110B44"/>
    <w:rsid w:val="001111DE"/>
    <w:rsid w:val="00111B37"/>
    <w:rsid w:val="00111E0A"/>
    <w:rsid w:val="00111F12"/>
    <w:rsid w:val="00112503"/>
    <w:rsid w:val="00112B14"/>
    <w:rsid w:val="00112DDB"/>
    <w:rsid w:val="00112F38"/>
    <w:rsid w:val="00113BCC"/>
    <w:rsid w:val="00113D91"/>
    <w:rsid w:val="001144FD"/>
    <w:rsid w:val="0011495A"/>
    <w:rsid w:val="00115276"/>
    <w:rsid w:val="001154FC"/>
    <w:rsid w:val="00115B44"/>
    <w:rsid w:val="00115D41"/>
    <w:rsid w:val="001169A7"/>
    <w:rsid w:val="0011760F"/>
    <w:rsid w:val="00117883"/>
    <w:rsid w:val="00117B07"/>
    <w:rsid w:val="00117B44"/>
    <w:rsid w:val="00117BF0"/>
    <w:rsid w:val="00117CBB"/>
    <w:rsid w:val="00117DE9"/>
    <w:rsid w:val="0012036E"/>
    <w:rsid w:val="00120873"/>
    <w:rsid w:val="00120995"/>
    <w:rsid w:val="001212CF"/>
    <w:rsid w:val="001215E3"/>
    <w:rsid w:val="0012173D"/>
    <w:rsid w:val="00121877"/>
    <w:rsid w:val="00121D94"/>
    <w:rsid w:val="00122907"/>
    <w:rsid w:val="00122B79"/>
    <w:rsid w:val="00122BDB"/>
    <w:rsid w:val="00122DDB"/>
    <w:rsid w:val="001234E6"/>
    <w:rsid w:val="00123531"/>
    <w:rsid w:val="00123D62"/>
    <w:rsid w:val="001246EC"/>
    <w:rsid w:val="0012472D"/>
    <w:rsid w:val="00124807"/>
    <w:rsid w:val="00124810"/>
    <w:rsid w:val="00124854"/>
    <w:rsid w:val="00124A27"/>
    <w:rsid w:val="00124B99"/>
    <w:rsid w:val="00125708"/>
    <w:rsid w:val="00125756"/>
    <w:rsid w:val="00125EC7"/>
    <w:rsid w:val="00125F73"/>
    <w:rsid w:val="0012621F"/>
    <w:rsid w:val="001262B2"/>
    <w:rsid w:val="00126A6B"/>
    <w:rsid w:val="00126C82"/>
    <w:rsid w:val="00126D0C"/>
    <w:rsid w:val="0012723B"/>
    <w:rsid w:val="00127424"/>
    <w:rsid w:val="0012778E"/>
    <w:rsid w:val="00127CEC"/>
    <w:rsid w:val="00127CED"/>
    <w:rsid w:val="00127F49"/>
    <w:rsid w:val="00130234"/>
    <w:rsid w:val="00130256"/>
    <w:rsid w:val="00130571"/>
    <w:rsid w:val="00131EC2"/>
    <w:rsid w:val="001320ED"/>
    <w:rsid w:val="001326A8"/>
    <w:rsid w:val="00132824"/>
    <w:rsid w:val="00132B9C"/>
    <w:rsid w:val="00132BD5"/>
    <w:rsid w:val="0013319F"/>
    <w:rsid w:val="00133449"/>
    <w:rsid w:val="001339D7"/>
    <w:rsid w:val="001340E4"/>
    <w:rsid w:val="001344CE"/>
    <w:rsid w:val="00134533"/>
    <w:rsid w:val="00134827"/>
    <w:rsid w:val="00134B04"/>
    <w:rsid w:val="001350B4"/>
    <w:rsid w:val="0013580A"/>
    <w:rsid w:val="00135A7C"/>
    <w:rsid w:val="00135F16"/>
    <w:rsid w:val="0013626F"/>
    <w:rsid w:val="00136754"/>
    <w:rsid w:val="00136AE4"/>
    <w:rsid w:val="001371B5"/>
    <w:rsid w:val="00137E64"/>
    <w:rsid w:val="00140256"/>
    <w:rsid w:val="0014040D"/>
    <w:rsid w:val="001406C2"/>
    <w:rsid w:val="001407CD"/>
    <w:rsid w:val="00141629"/>
    <w:rsid w:val="00141704"/>
    <w:rsid w:val="00142044"/>
    <w:rsid w:val="0014229D"/>
    <w:rsid w:val="00142C47"/>
    <w:rsid w:val="00143168"/>
    <w:rsid w:val="001435A9"/>
    <w:rsid w:val="00143901"/>
    <w:rsid w:val="001439CD"/>
    <w:rsid w:val="00144C4D"/>
    <w:rsid w:val="00144EBF"/>
    <w:rsid w:val="00145235"/>
    <w:rsid w:val="0014578A"/>
    <w:rsid w:val="001457A5"/>
    <w:rsid w:val="00145DFE"/>
    <w:rsid w:val="00146606"/>
    <w:rsid w:val="00146675"/>
    <w:rsid w:val="00146B2F"/>
    <w:rsid w:val="00146D1E"/>
    <w:rsid w:val="00146D29"/>
    <w:rsid w:val="00146E8B"/>
    <w:rsid w:val="00147447"/>
    <w:rsid w:val="0014785E"/>
    <w:rsid w:val="00147A48"/>
    <w:rsid w:val="00147D40"/>
    <w:rsid w:val="001501A9"/>
    <w:rsid w:val="001503AC"/>
    <w:rsid w:val="001504D7"/>
    <w:rsid w:val="00150C1A"/>
    <w:rsid w:val="00150C8E"/>
    <w:rsid w:val="00150F93"/>
    <w:rsid w:val="0015213D"/>
    <w:rsid w:val="001521DD"/>
    <w:rsid w:val="0015290A"/>
    <w:rsid w:val="00152ACF"/>
    <w:rsid w:val="00152C40"/>
    <w:rsid w:val="00153452"/>
    <w:rsid w:val="00153466"/>
    <w:rsid w:val="001534B3"/>
    <w:rsid w:val="0015351D"/>
    <w:rsid w:val="001538A3"/>
    <w:rsid w:val="00153906"/>
    <w:rsid w:val="0015399B"/>
    <w:rsid w:val="00153C9D"/>
    <w:rsid w:val="00154525"/>
    <w:rsid w:val="001547BC"/>
    <w:rsid w:val="00154E81"/>
    <w:rsid w:val="00155EDE"/>
    <w:rsid w:val="001572F2"/>
    <w:rsid w:val="00157ECD"/>
    <w:rsid w:val="001601B2"/>
    <w:rsid w:val="001605CE"/>
    <w:rsid w:val="001607FE"/>
    <w:rsid w:val="0016096A"/>
    <w:rsid w:val="00160FC7"/>
    <w:rsid w:val="0016101A"/>
    <w:rsid w:val="00161082"/>
    <w:rsid w:val="001611D9"/>
    <w:rsid w:val="00161844"/>
    <w:rsid w:val="00162364"/>
    <w:rsid w:val="00162B24"/>
    <w:rsid w:val="00162BB3"/>
    <w:rsid w:val="00162F61"/>
    <w:rsid w:val="00163668"/>
    <w:rsid w:val="001639AD"/>
    <w:rsid w:val="0016456A"/>
    <w:rsid w:val="0016458A"/>
    <w:rsid w:val="00164A48"/>
    <w:rsid w:val="00165514"/>
    <w:rsid w:val="00165890"/>
    <w:rsid w:val="00165A32"/>
    <w:rsid w:val="00165A7D"/>
    <w:rsid w:val="00165A82"/>
    <w:rsid w:val="001661CD"/>
    <w:rsid w:val="00166252"/>
    <w:rsid w:val="00166B51"/>
    <w:rsid w:val="00166C76"/>
    <w:rsid w:val="00167143"/>
    <w:rsid w:val="00170123"/>
    <w:rsid w:val="0017050E"/>
    <w:rsid w:val="00170AA0"/>
    <w:rsid w:val="00170D64"/>
    <w:rsid w:val="00170F41"/>
    <w:rsid w:val="00171713"/>
    <w:rsid w:val="001728B8"/>
    <w:rsid w:val="00172B20"/>
    <w:rsid w:val="00172E78"/>
    <w:rsid w:val="00173408"/>
    <w:rsid w:val="00173F94"/>
    <w:rsid w:val="0017472B"/>
    <w:rsid w:val="00174B6B"/>
    <w:rsid w:val="00174DB0"/>
    <w:rsid w:val="00174FAE"/>
    <w:rsid w:val="00174FDD"/>
    <w:rsid w:val="00175056"/>
    <w:rsid w:val="00175532"/>
    <w:rsid w:val="00175B68"/>
    <w:rsid w:val="00175C44"/>
    <w:rsid w:val="00175EC8"/>
    <w:rsid w:val="00176107"/>
    <w:rsid w:val="00176628"/>
    <w:rsid w:val="001768E9"/>
    <w:rsid w:val="001769E4"/>
    <w:rsid w:val="00177676"/>
    <w:rsid w:val="0017774A"/>
    <w:rsid w:val="00177B7C"/>
    <w:rsid w:val="00177CB1"/>
    <w:rsid w:val="001819BB"/>
    <w:rsid w:val="00181DA7"/>
    <w:rsid w:val="00181E98"/>
    <w:rsid w:val="0018253C"/>
    <w:rsid w:val="00183CE1"/>
    <w:rsid w:val="00184284"/>
    <w:rsid w:val="001843B6"/>
    <w:rsid w:val="001844D4"/>
    <w:rsid w:val="001844F5"/>
    <w:rsid w:val="00184510"/>
    <w:rsid w:val="00184639"/>
    <w:rsid w:val="001849D2"/>
    <w:rsid w:val="00184BBA"/>
    <w:rsid w:val="00184CC5"/>
    <w:rsid w:val="00184E27"/>
    <w:rsid w:val="0018510C"/>
    <w:rsid w:val="00185129"/>
    <w:rsid w:val="00185866"/>
    <w:rsid w:val="001861F2"/>
    <w:rsid w:val="001863C7"/>
    <w:rsid w:val="00186D12"/>
    <w:rsid w:val="00187776"/>
    <w:rsid w:val="00187873"/>
    <w:rsid w:val="00187B65"/>
    <w:rsid w:val="00187BF7"/>
    <w:rsid w:val="00187D6F"/>
    <w:rsid w:val="00190469"/>
    <w:rsid w:val="0019099F"/>
    <w:rsid w:val="00190AF7"/>
    <w:rsid w:val="0019112D"/>
    <w:rsid w:val="001916CC"/>
    <w:rsid w:val="00191CB1"/>
    <w:rsid w:val="00193135"/>
    <w:rsid w:val="00193459"/>
    <w:rsid w:val="0019520B"/>
    <w:rsid w:val="00195366"/>
    <w:rsid w:val="00195385"/>
    <w:rsid w:val="001953EF"/>
    <w:rsid w:val="0019548A"/>
    <w:rsid w:val="00195F45"/>
    <w:rsid w:val="001962C3"/>
    <w:rsid w:val="0019682C"/>
    <w:rsid w:val="00196CB3"/>
    <w:rsid w:val="00197558"/>
    <w:rsid w:val="00197C02"/>
    <w:rsid w:val="00197FBD"/>
    <w:rsid w:val="001A01A0"/>
    <w:rsid w:val="001A0729"/>
    <w:rsid w:val="001A0890"/>
    <w:rsid w:val="001A099D"/>
    <w:rsid w:val="001A0BDD"/>
    <w:rsid w:val="001A0FF8"/>
    <w:rsid w:val="001A1061"/>
    <w:rsid w:val="001A1857"/>
    <w:rsid w:val="001A1908"/>
    <w:rsid w:val="001A1E4C"/>
    <w:rsid w:val="001A23F1"/>
    <w:rsid w:val="001A259A"/>
    <w:rsid w:val="001A2B19"/>
    <w:rsid w:val="001A2BBA"/>
    <w:rsid w:val="001A2C68"/>
    <w:rsid w:val="001A3CEE"/>
    <w:rsid w:val="001A406B"/>
    <w:rsid w:val="001A429B"/>
    <w:rsid w:val="001A4D34"/>
    <w:rsid w:val="001A4DA8"/>
    <w:rsid w:val="001A4DFA"/>
    <w:rsid w:val="001A51DE"/>
    <w:rsid w:val="001A568E"/>
    <w:rsid w:val="001A5DB6"/>
    <w:rsid w:val="001A5FE4"/>
    <w:rsid w:val="001A66CD"/>
    <w:rsid w:val="001A6D48"/>
    <w:rsid w:val="001A6DEC"/>
    <w:rsid w:val="001A6F36"/>
    <w:rsid w:val="001A7005"/>
    <w:rsid w:val="001A76F4"/>
    <w:rsid w:val="001A7704"/>
    <w:rsid w:val="001A7791"/>
    <w:rsid w:val="001A7C68"/>
    <w:rsid w:val="001B0243"/>
    <w:rsid w:val="001B07CE"/>
    <w:rsid w:val="001B0B76"/>
    <w:rsid w:val="001B0C0D"/>
    <w:rsid w:val="001B0E55"/>
    <w:rsid w:val="001B1037"/>
    <w:rsid w:val="001B1079"/>
    <w:rsid w:val="001B1681"/>
    <w:rsid w:val="001B16C8"/>
    <w:rsid w:val="001B1771"/>
    <w:rsid w:val="001B1A25"/>
    <w:rsid w:val="001B2145"/>
    <w:rsid w:val="001B24D7"/>
    <w:rsid w:val="001B27F3"/>
    <w:rsid w:val="001B2FF7"/>
    <w:rsid w:val="001B3446"/>
    <w:rsid w:val="001B36CD"/>
    <w:rsid w:val="001B4628"/>
    <w:rsid w:val="001B5011"/>
    <w:rsid w:val="001B501A"/>
    <w:rsid w:val="001B5821"/>
    <w:rsid w:val="001B655C"/>
    <w:rsid w:val="001B78A4"/>
    <w:rsid w:val="001B7A6E"/>
    <w:rsid w:val="001B7E4A"/>
    <w:rsid w:val="001B7F0B"/>
    <w:rsid w:val="001C0025"/>
    <w:rsid w:val="001C0210"/>
    <w:rsid w:val="001C049C"/>
    <w:rsid w:val="001C06D6"/>
    <w:rsid w:val="001C0C05"/>
    <w:rsid w:val="001C0D8E"/>
    <w:rsid w:val="001C1348"/>
    <w:rsid w:val="001C1C72"/>
    <w:rsid w:val="001C1F7C"/>
    <w:rsid w:val="001C23C8"/>
    <w:rsid w:val="001C26F0"/>
    <w:rsid w:val="001C3050"/>
    <w:rsid w:val="001C30A8"/>
    <w:rsid w:val="001C3B2C"/>
    <w:rsid w:val="001C3C06"/>
    <w:rsid w:val="001C3DD0"/>
    <w:rsid w:val="001C3E17"/>
    <w:rsid w:val="001C456C"/>
    <w:rsid w:val="001C45B5"/>
    <w:rsid w:val="001C4613"/>
    <w:rsid w:val="001C4915"/>
    <w:rsid w:val="001C4C8E"/>
    <w:rsid w:val="001C542A"/>
    <w:rsid w:val="001C5C59"/>
    <w:rsid w:val="001C5F51"/>
    <w:rsid w:val="001C6773"/>
    <w:rsid w:val="001C6FCF"/>
    <w:rsid w:val="001C7197"/>
    <w:rsid w:val="001C729A"/>
    <w:rsid w:val="001C7A75"/>
    <w:rsid w:val="001C7C88"/>
    <w:rsid w:val="001C7D2A"/>
    <w:rsid w:val="001D12B3"/>
    <w:rsid w:val="001D216E"/>
    <w:rsid w:val="001D2EA8"/>
    <w:rsid w:val="001D2FFD"/>
    <w:rsid w:val="001D3494"/>
    <w:rsid w:val="001D38A4"/>
    <w:rsid w:val="001D3E70"/>
    <w:rsid w:val="001D3FB6"/>
    <w:rsid w:val="001D40DA"/>
    <w:rsid w:val="001D42AF"/>
    <w:rsid w:val="001D43E5"/>
    <w:rsid w:val="001D460B"/>
    <w:rsid w:val="001D49B6"/>
    <w:rsid w:val="001D4F00"/>
    <w:rsid w:val="001D5664"/>
    <w:rsid w:val="001D605D"/>
    <w:rsid w:val="001D6483"/>
    <w:rsid w:val="001D6AE9"/>
    <w:rsid w:val="001D6B41"/>
    <w:rsid w:val="001D702E"/>
    <w:rsid w:val="001D7501"/>
    <w:rsid w:val="001D75B1"/>
    <w:rsid w:val="001E06C8"/>
    <w:rsid w:val="001E095D"/>
    <w:rsid w:val="001E0EB4"/>
    <w:rsid w:val="001E191B"/>
    <w:rsid w:val="001E1A7D"/>
    <w:rsid w:val="001E217B"/>
    <w:rsid w:val="001E21FD"/>
    <w:rsid w:val="001E2451"/>
    <w:rsid w:val="001E2487"/>
    <w:rsid w:val="001E2A5A"/>
    <w:rsid w:val="001E3082"/>
    <w:rsid w:val="001E4895"/>
    <w:rsid w:val="001E4C25"/>
    <w:rsid w:val="001E5148"/>
    <w:rsid w:val="001E526F"/>
    <w:rsid w:val="001E5800"/>
    <w:rsid w:val="001E5C44"/>
    <w:rsid w:val="001E5C8C"/>
    <w:rsid w:val="001E60EB"/>
    <w:rsid w:val="001E641B"/>
    <w:rsid w:val="001E68DF"/>
    <w:rsid w:val="001E6981"/>
    <w:rsid w:val="001E6E72"/>
    <w:rsid w:val="001E7260"/>
    <w:rsid w:val="001E7F85"/>
    <w:rsid w:val="001F0F11"/>
    <w:rsid w:val="001F1112"/>
    <w:rsid w:val="001F1D88"/>
    <w:rsid w:val="001F21D0"/>
    <w:rsid w:val="001F2722"/>
    <w:rsid w:val="001F2794"/>
    <w:rsid w:val="001F2C12"/>
    <w:rsid w:val="001F2D98"/>
    <w:rsid w:val="001F33C2"/>
    <w:rsid w:val="001F33E0"/>
    <w:rsid w:val="001F465F"/>
    <w:rsid w:val="001F4B43"/>
    <w:rsid w:val="001F4F7F"/>
    <w:rsid w:val="001F4FDA"/>
    <w:rsid w:val="001F5958"/>
    <w:rsid w:val="001F6954"/>
    <w:rsid w:val="001F6BFD"/>
    <w:rsid w:val="001F6D4E"/>
    <w:rsid w:val="001F75BA"/>
    <w:rsid w:val="001F76A8"/>
    <w:rsid w:val="001F7BD0"/>
    <w:rsid w:val="001F7D03"/>
    <w:rsid w:val="0020093D"/>
    <w:rsid w:val="00200A5B"/>
    <w:rsid w:val="00201632"/>
    <w:rsid w:val="0020194B"/>
    <w:rsid w:val="00201D94"/>
    <w:rsid w:val="0020268F"/>
    <w:rsid w:val="002027A3"/>
    <w:rsid w:val="00202B5B"/>
    <w:rsid w:val="00202CAD"/>
    <w:rsid w:val="00203018"/>
    <w:rsid w:val="0020433B"/>
    <w:rsid w:val="00204354"/>
    <w:rsid w:val="002044F6"/>
    <w:rsid w:val="00204690"/>
    <w:rsid w:val="00204A78"/>
    <w:rsid w:val="00204C34"/>
    <w:rsid w:val="0020511E"/>
    <w:rsid w:val="00205190"/>
    <w:rsid w:val="00205C56"/>
    <w:rsid w:val="00206105"/>
    <w:rsid w:val="00206146"/>
    <w:rsid w:val="00206344"/>
    <w:rsid w:val="002066B5"/>
    <w:rsid w:val="002069C7"/>
    <w:rsid w:val="00206F95"/>
    <w:rsid w:val="0020718F"/>
    <w:rsid w:val="002075F5"/>
    <w:rsid w:val="002077FA"/>
    <w:rsid w:val="002103F9"/>
    <w:rsid w:val="00210683"/>
    <w:rsid w:val="00210700"/>
    <w:rsid w:val="002107D5"/>
    <w:rsid w:val="00210C49"/>
    <w:rsid w:val="00212BDE"/>
    <w:rsid w:val="00212F91"/>
    <w:rsid w:val="0021346F"/>
    <w:rsid w:val="00213504"/>
    <w:rsid w:val="002140D5"/>
    <w:rsid w:val="0021424F"/>
    <w:rsid w:val="0021455B"/>
    <w:rsid w:val="002145AC"/>
    <w:rsid w:val="00214BF5"/>
    <w:rsid w:val="00215644"/>
    <w:rsid w:val="0021591C"/>
    <w:rsid w:val="00215C6C"/>
    <w:rsid w:val="00216060"/>
    <w:rsid w:val="0021628F"/>
    <w:rsid w:val="002166CC"/>
    <w:rsid w:val="00216758"/>
    <w:rsid w:val="00217015"/>
    <w:rsid w:val="002176EA"/>
    <w:rsid w:val="002177B5"/>
    <w:rsid w:val="00220059"/>
    <w:rsid w:val="00220487"/>
    <w:rsid w:val="00220992"/>
    <w:rsid w:val="0022099F"/>
    <w:rsid w:val="00221211"/>
    <w:rsid w:val="00221432"/>
    <w:rsid w:val="00221D17"/>
    <w:rsid w:val="00222274"/>
    <w:rsid w:val="00222C18"/>
    <w:rsid w:val="00222E46"/>
    <w:rsid w:val="00222EE5"/>
    <w:rsid w:val="0022327F"/>
    <w:rsid w:val="002233ED"/>
    <w:rsid w:val="00223F45"/>
    <w:rsid w:val="00224A96"/>
    <w:rsid w:val="002257FC"/>
    <w:rsid w:val="00225B5B"/>
    <w:rsid w:val="00226473"/>
    <w:rsid w:val="00226627"/>
    <w:rsid w:val="002271B7"/>
    <w:rsid w:val="002275CF"/>
    <w:rsid w:val="0022788E"/>
    <w:rsid w:val="00230BB3"/>
    <w:rsid w:val="00230CFB"/>
    <w:rsid w:val="00230E4F"/>
    <w:rsid w:val="002312BB"/>
    <w:rsid w:val="002315C1"/>
    <w:rsid w:val="0023165E"/>
    <w:rsid w:val="00231709"/>
    <w:rsid w:val="00231C09"/>
    <w:rsid w:val="00232370"/>
    <w:rsid w:val="00232389"/>
    <w:rsid w:val="002325FE"/>
    <w:rsid w:val="002327C0"/>
    <w:rsid w:val="00232B9B"/>
    <w:rsid w:val="00232BB0"/>
    <w:rsid w:val="00232E32"/>
    <w:rsid w:val="00232EE3"/>
    <w:rsid w:val="00232F4B"/>
    <w:rsid w:val="002333C6"/>
    <w:rsid w:val="002333C9"/>
    <w:rsid w:val="0023352F"/>
    <w:rsid w:val="00233F51"/>
    <w:rsid w:val="00234603"/>
    <w:rsid w:val="002347E7"/>
    <w:rsid w:val="00234C24"/>
    <w:rsid w:val="00234D4E"/>
    <w:rsid w:val="00234D6E"/>
    <w:rsid w:val="00235757"/>
    <w:rsid w:val="00235AA1"/>
    <w:rsid w:val="00235FF2"/>
    <w:rsid w:val="00236CE8"/>
    <w:rsid w:val="0023715B"/>
    <w:rsid w:val="00237207"/>
    <w:rsid w:val="0023743E"/>
    <w:rsid w:val="00237BE7"/>
    <w:rsid w:val="00237F26"/>
    <w:rsid w:val="00237FD1"/>
    <w:rsid w:val="00240706"/>
    <w:rsid w:val="002407FD"/>
    <w:rsid w:val="0024134F"/>
    <w:rsid w:val="002418A6"/>
    <w:rsid w:val="00241ACE"/>
    <w:rsid w:val="00241F01"/>
    <w:rsid w:val="002420E0"/>
    <w:rsid w:val="00243763"/>
    <w:rsid w:val="002438B8"/>
    <w:rsid w:val="0024425A"/>
    <w:rsid w:val="002443C3"/>
    <w:rsid w:val="00244E47"/>
    <w:rsid w:val="0024544B"/>
    <w:rsid w:val="00245785"/>
    <w:rsid w:val="00246432"/>
    <w:rsid w:val="0024758C"/>
    <w:rsid w:val="00247879"/>
    <w:rsid w:val="00247AD2"/>
    <w:rsid w:val="002503F0"/>
    <w:rsid w:val="00250912"/>
    <w:rsid w:val="00250DE7"/>
    <w:rsid w:val="0025161F"/>
    <w:rsid w:val="00251AA7"/>
    <w:rsid w:val="00251B9B"/>
    <w:rsid w:val="00252357"/>
    <w:rsid w:val="0025246E"/>
    <w:rsid w:val="00252AD5"/>
    <w:rsid w:val="00252CE5"/>
    <w:rsid w:val="00253340"/>
    <w:rsid w:val="002535C7"/>
    <w:rsid w:val="002535F8"/>
    <w:rsid w:val="002536B2"/>
    <w:rsid w:val="00253A14"/>
    <w:rsid w:val="002546B4"/>
    <w:rsid w:val="00254957"/>
    <w:rsid w:val="00254BAD"/>
    <w:rsid w:val="0025636D"/>
    <w:rsid w:val="00256430"/>
    <w:rsid w:val="002564F3"/>
    <w:rsid w:val="00256824"/>
    <w:rsid w:val="002568AE"/>
    <w:rsid w:val="00256D9E"/>
    <w:rsid w:val="00257096"/>
    <w:rsid w:val="0025723D"/>
    <w:rsid w:val="00260126"/>
    <w:rsid w:val="0026075B"/>
    <w:rsid w:val="002614E5"/>
    <w:rsid w:val="00261A4B"/>
    <w:rsid w:val="00261DF9"/>
    <w:rsid w:val="00261FB8"/>
    <w:rsid w:val="00262388"/>
    <w:rsid w:val="002624E3"/>
    <w:rsid w:val="00262C14"/>
    <w:rsid w:val="00262F39"/>
    <w:rsid w:val="00263084"/>
    <w:rsid w:val="00263A2A"/>
    <w:rsid w:val="00263B5F"/>
    <w:rsid w:val="0026446E"/>
    <w:rsid w:val="00264583"/>
    <w:rsid w:val="002645CC"/>
    <w:rsid w:val="002646DA"/>
    <w:rsid w:val="0026488B"/>
    <w:rsid w:val="002649D4"/>
    <w:rsid w:val="00264ED8"/>
    <w:rsid w:val="002650D9"/>
    <w:rsid w:val="00265A1A"/>
    <w:rsid w:val="00265A6B"/>
    <w:rsid w:val="002660D7"/>
    <w:rsid w:val="002669DF"/>
    <w:rsid w:val="002669F5"/>
    <w:rsid w:val="00266D67"/>
    <w:rsid w:val="00266DB9"/>
    <w:rsid w:val="00266DD9"/>
    <w:rsid w:val="0026740B"/>
    <w:rsid w:val="0026797D"/>
    <w:rsid w:val="0027042A"/>
    <w:rsid w:val="00270558"/>
    <w:rsid w:val="002706BD"/>
    <w:rsid w:val="00270C7E"/>
    <w:rsid w:val="00270FFE"/>
    <w:rsid w:val="00271474"/>
    <w:rsid w:val="0027164E"/>
    <w:rsid w:val="0027191C"/>
    <w:rsid w:val="00271E56"/>
    <w:rsid w:val="00272230"/>
    <w:rsid w:val="00272B50"/>
    <w:rsid w:val="00272CE6"/>
    <w:rsid w:val="00272DD4"/>
    <w:rsid w:val="00272F21"/>
    <w:rsid w:val="00273437"/>
    <w:rsid w:val="002739F9"/>
    <w:rsid w:val="00273F7D"/>
    <w:rsid w:val="00274312"/>
    <w:rsid w:val="002754A9"/>
    <w:rsid w:val="00275B2E"/>
    <w:rsid w:val="00275D48"/>
    <w:rsid w:val="002760AE"/>
    <w:rsid w:val="00276CD3"/>
    <w:rsid w:val="00276DEF"/>
    <w:rsid w:val="00276F9B"/>
    <w:rsid w:val="00277080"/>
    <w:rsid w:val="00277279"/>
    <w:rsid w:val="0027739E"/>
    <w:rsid w:val="00277A27"/>
    <w:rsid w:val="00277E68"/>
    <w:rsid w:val="00277ECB"/>
    <w:rsid w:val="002807A7"/>
    <w:rsid w:val="00280DE6"/>
    <w:rsid w:val="00280E45"/>
    <w:rsid w:val="00280FE5"/>
    <w:rsid w:val="002812BC"/>
    <w:rsid w:val="002818EA"/>
    <w:rsid w:val="00281BBC"/>
    <w:rsid w:val="002822C3"/>
    <w:rsid w:val="002825B4"/>
    <w:rsid w:val="00282679"/>
    <w:rsid w:val="00283507"/>
    <w:rsid w:val="00283538"/>
    <w:rsid w:val="002841C6"/>
    <w:rsid w:val="00284359"/>
    <w:rsid w:val="002848CE"/>
    <w:rsid w:val="00284B8A"/>
    <w:rsid w:val="00285302"/>
    <w:rsid w:val="0028609D"/>
    <w:rsid w:val="002862FA"/>
    <w:rsid w:val="002869A3"/>
    <w:rsid w:val="002871C8"/>
    <w:rsid w:val="00287544"/>
    <w:rsid w:val="002875DC"/>
    <w:rsid w:val="002879AE"/>
    <w:rsid w:val="00287CFB"/>
    <w:rsid w:val="00287EF9"/>
    <w:rsid w:val="00291967"/>
    <w:rsid w:val="00291C06"/>
    <w:rsid w:val="00291EF2"/>
    <w:rsid w:val="00292029"/>
    <w:rsid w:val="00292BED"/>
    <w:rsid w:val="002933ED"/>
    <w:rsid w:val="00293413"/>
    <w:rsid w:val="002935B2"/>
    <w:rsid w:val="00293D7D"/>
    <w:rsid w:val="00293FFD"/>
    <w:rsid w:val="0029414C"/>
    <w:rsid w:val="002943CC"/>
    <w:rsid w:val="00294A5C"/>
    <w:rsid w:val="00295689"/>
    <w:rsid w:val="002956E0"/>
    <w:rsid w:val="00295FEF"/>
    <w:rsid w:val="0029665F"/>
    <w:rsid w:val="00296707"/>
    <w:rsid w:val="00296BF8"/>
    <w:rsid w:val="00296EEA"/>
    <w:rsid w:val="0029782E"/>
    <w:rsid w:val="002979FD"/>
    <w:rsid w:val="00297F6F"/>
    <w:rsid w:val="002A03E4"/>
    <w:rsid w:val="002A04F3"/>
    <w:rsid w:val="002A0ED2"/>
    <w:rsid w:val="002A14A2"/>
    <w:rsid w:val="002A1D9A"/>
    <w:rsid w:val="002A28E2"/>
    <w:rsid w:val="002A2993"/>
    <w:rsid w:val="002A3472"/>
    <w:rsid w:val="002A3FA8"/>
    <w:rsid w:val="002A404C"/>
    <w:rsid w:val="002A4060"/>
    <w:rsid w:val="002A43DC"/>
    <w:rsid w:val="002A4782"/>
    <w:rsid w:val="002A4A7B"/>
    <w:rsid w:val="002A4C28"/>
    <w:rsid w:val="002A51D3"/>
    <w:rsid w:val="002A52BD"/>
    <w:rsid w:val="002A5929"/>
    <w:rsid w:val="002A6821"/>
    <w:rsid w:val="002A6A2A"/>
    <w:rsid w:val="002A6B9C"/>
    <w:rsid w:val="002A727C"/>
    <w:rsid w:val="002A751C"/>
    <w:rsid w:val="002A77B2"/>
    <w:rsid w:val="002A792A"/>
    <w:rsid w:val="002B0C34"/>
    <w:rsid w:val="002B115E"/>
    <w:rsid w:val="002B140D"/>
    <w:rsid w:val="002B17F3"/>
    <w:rsid w:val="002B1979"/>
    <w:rsid w:val="002B2291"/>
    <w:rsid w:val="002B23B8"/>
    <w:rsid w:val="002B3268"/>
    <w:rsid w:val="002B35BD"/>
    <w:rsid w:val="002B3609"/>
    <w:rsid w:val="002B38E8"/>
    <w:rsid w:val="002B3A02"/>
    <w:rsid w:val="002B3A2E"/>
    <w:rsid w:val="002B3BBF"/>
    <w:rsid w:val="002B40A6"/>
    <w:rsid w:val="002B425C"/>
    <w:rsid w:val="002B4A53"/>
    <w:rsid w:val="002B4A64"/>
    <w:rsid w:val="002B4B35"/>
    <w:rsid w:val="002B5547"/>
    <w:rsid w:val="002B6208"/>
    <w:rsid w:val="002B6B78"/>
    <w:rsid w:val="002B6D6F"/>
    <w:rsid w:val="002B6F10"/>
    <w:rsid w:val="002B7431"/>
    <w:rsid w:val="002B7530"/>
    <w:rsid w:val="002C05CE"/>
    <w:rsid w:val="002C07D5"/>
    <w:rsid w:val="002C0C01"/>
    <w:rsid w:val="002C1558"/>
    <w:rsid w:val="002C15DD"/>
    <w:rsid w:val="002C17D0"/>
    <w:rsid w:val="002C189A"/>
    <w:rsid w:val="002C1BA1"/>
    <w:rsid w:val="002C2847"/>
    <w:rsid w:val="002C3125"/>
    <w:rsid w:val="002C3150"/>
    <w:rsid w:val="002C31DB"/>
    <w:rsid w:val="002C371C"/>
    <w:rsid w:val="002C3B5B"/>
    <w:rsid w:val="002C3E1C"/>
    <w:rsid w:val="002C44CE"/>
    <w:rsid w:val="002C4573"/>
    <w:rsid w:val="002C468A"/>
    <w:rsid w:val="002C49F0"/>
    <w:rsid w:val="002C4D2C"/>
    <w:rsid w:val="002C50E4"/>
    <w:rsid w:val="002C5512"/>
    <w:rsid w:val="002C5553"/>
    <w:rsid w:val="002C5733"/>
    <w:rsid w:val="002C57E3"/>
    <w:rsid w:val="002C5F96"/>
    <w:rsid w:val="002C6311"/>
    <w:rsid w:val="002C6316"/>
    <w:rsid w:val="002C65C3"/>
    <w:rsid w:val="002C6785"/>
    <w:rsid w:val="002C6FC8"/>
    <w:rsid w:val="002C73E4"/>
    <w:rsid w:val="002C7839"/>
    <w:rsid w:val="002C78BE"/>
    <w:rsid w:val="002D02CE"/>
    <w:rsid w:val="002D03DB"/>
    <w:rsid w:val="002D04E9"/>
    <w:rsid w:val="002D0CE3"/>
    <w:rsid w:val="002D2226"/>
    <w:rsid w:val="002D22D9"/>
    <w:rsid w:val="002D26EF"/>
    <w:rsid w:val="002D310F"/>
    <w:rsid w:val="002D31DD"/>
    <w:rsid w:val="002D407C"/>
    <w:rsid w:val="002D43C5"/>
    <w:rsid w:val="002D4DD5"/>
    <w:rsid w:val="002D4F10"/>
    <w:rsid w:val="002D502B"/>
    <w:rsid w:val="002D507E"/>
    <w:rsid w:val="002D5A53"/>
    <w:rsid w:val="002D5BAD"/>
    <w:rsid w:val="002D62CA"/>
    <w:rsid w:val="002D6531"/>
    <w:rsid w:val="002D6869"/>
    <w:rsid w:val="002D686F"/>
    <w:rsid w:val="002D68DE"/>
    <w:rsid w:val="002D6C15"/>
    <w:rsid w:val="002D7662"/>
    <w:rsid w:val="002E0272"/>
    <w:rsid w:val="002E0323"/>
    <w:rsid w:val="002E0E87"/>
    <w:rsid w:val="002E10B4"/>
    <w:rsid w:val="002E23EC"/>
    <w:rsid w:val="002E2594"/>
    <w:rsid w:val="002E321A"/>
    <w:rsid w:val="002E44CE"/>
    <w:rsid w:val="002E4BE6"/>
    <w:rsid w:val="002E55E2"/>
    <w:rsid w:val="002E5711"/>
    <w:rsid w:val="002E5C93"/>
    <w:rsid w:val="002E5E2F"/>
    <w:rsid w:val="002E5F70"/>
    <w:rsid w:val="002E62BA"/>
    <w:rsid w:val="002E6370"/>
    <w:rsid w:val="002E657F"/>
    <w:rsid w:val="002E682A"/>
    <w:rsid w:val="002E753D"/>
    <w:rsid w:val="002E7B88"/>
    <w:rsid w:val="002E7C77"/>
    <w:rsid w:val="002F001C"/>
    <w:rsid w:val="002F00C3"/>
    <w:rsid w:val="002F02C8"/>
    <w:rsid w:val="002F0998"/>
    <w:rsid w:val="002F0E1B"/>
    <w:rsid w:val="002F116A"/>
    <w:rsid w:val="002F122E"/>
    <w:rsid w:val="002F1BA4"/>
    <w:rsid w:val="002F1C81"/>
    <w:rsid w:val="002F2A8A"/>
    <w:rsid w:val="002F2E16"/>
    <w:rsid w:val="002F3D26"/>
    <w:rsid w:val="002F468C"/>
    <w:rsid w:val="002F472E"/>
    <w:rsid w:val="002F4798"/>
    <w:rsid w:val="002F4B24"/>
    <w:rsid w:val="002F4FE2"/>
    <w:rsid w:val="002F4FF7"/>
    <w:rsid w:val="002F54A7"/>
    <w:rsid w:val="002F5FE5"/>
    <w:rsid w:val="002F619D"/>
    <w:rsid w:val="002F6633"/>
    <w:rsid w:val="002F6E5C"/>
    <w:rsid w:val="002F72C3"/>
    <w:rsid w:val="002F775A"/>
    <w:rsid w:val="003000E0"/>
    <w:rsid w:val="003002B3"/>
    <w:rsid w:val="0030036C"/>
    <w:rsid w:val="003003DA"/>
    <w:rsid w:val="00300590"/>
    <w:rsid w:val="00300BA2"/>
    <w:rsid w:val="003018D4"/>
    <w:rsid w:val="00301AC5"/>
    <w:rsid w:val="00301F05"/>
    <w:rsid w:val="00302471"/>
    <w:rsid w:val="0030301E"/>
    <w:rsid w:val="00303166"/>
    <w:rsid w:val="003039C4"/>
    <w:rsid w:val="00303CC3"/>
    <w:rsid w:val="00303F76"/>
    <w:rsid w:val="0030427E"/>
    <w:rsid w:val="00304600"/>
    <w:rsid w:val="00304F2C"/>
    <w:rsid w:val="00304FA8"/>
    <w:rsid w:val="0030547E"/>
    <w:rsid w:val="0030550B"/>
    <w:rsid w:val="00305891"/>
    <w:rsid w:val="00305CEF"/>
    <w:rsid w:val="0030621D"/>
    <w:rsid w:val="00306A27"/>
    <w:rsid w:val="00306C2A"/>
    <w:rsid w:val="003074B6"/>
    <w:rsid w:val="00307780"/>
    <w:rsid w:val="003078E2"/>
    <w:rsid w:val="00307DA0"/>
    <w:rsid w:val="003103EC"/>
    <w:rsid w:val="00310864"/>
    <w:rsid w:val="00310FA6"/>
    <w:rsid w:val="003117AA"/>
    <w:rsid w:val="00311F14"/>
    <w:rsid w:val="00312EF9"/>
    <w:rsid w:val="003134E4"/>
    <w:rsid w:val="003136C0"/>
    <w:rsid w:val="0031388E"/>
    <w:rsid w:val="00313FDA"/>
    <w:rsid w:val="00314118"/>
    <w:rsid w:val="003143A7"/>
    <w:rsid w:val="003143A9"/>
    <w:rsid w:val="00314508"/>
    <w:rsid w:val="0031477F"/>
    <w:rsid w:val="00314D9F"/>
    <w:rsid w:val="00315453"/>
    <w:rsid w:val="0031557E"/>
    <w:rsid w:val="003158D2"/>
    <w:rsid w:val="00315B3D"/>
    <w:rsid w:val="00315E1A"/>
    <w:rsid w:val="00315F49"/>
    <w:rsid w:val="003162B9"/>
    <w:rsid w:val="00316D2E"/>
    <w:rsid w:val="00316DEC"/>
    <w:rsid w:val="00317997"/>
    <w:rsid w:val="00317B85"/>
    <w:rsid w:val="00317DF6"/>
    <w:rsid w:val="00320252"/>
    <w:rsid w:val="003204FA"/>
    <w:rsid w:val="00320FD5"/>
    <w:rsid w:val="003213B1"/>
    <w:rsid w:val="003221EC"/>
    <w:rsid w:val="0032233B"/>
    <w:rsid w:val="0032245C"/>
    <w:rsid w:val="0032256A"/>
    <w:rsid w:val="003226E1"/>
    <w:rsid w:val="00322797"/>
    <w:rsid w:val="00322935"/>
    <w:rsid w:val="00322ACD"/>
    <w:rsid w:val="003233F0"/>
    <w:rsid w:val="0032352B"/>
    <w:rsid w:val="00323605"/>
    <w:rsid w:val="00323902"/>
    <w:rsid w:val="003239CB"/>
    <w:rsid w:val="00323AE3"/>
    <w:rsid w:val="00323CFD"/>
    <w:rsid w:val="003245A1"/>
    <w:rsid w:val="00324E32"/>
    <w:rsid w:val="00324F22"/>
    <w:rsid w:val="00325052"/>
    <w:rsid w:val="00325B36"/>
    <w:rsid w:val="00325EAA"/>
    <w:rsid w:val="0032620F"/>
    <w:rsid w:val="0032671D"/>
    <w:rsid w:val="00326812"/>
    <w:rsid w:val="003269C8"/>
    <w:rsid w:val="00326B25"/>
    <w:rsid w:val="00327230"/>
    <w:rsid w:val="003273A2"/>
    <w:rsid w:val="00327578"/>
    <w:rsid w:val="00327A5D"/>
    <w:rsid w:val="00327B32"/>
    <w:rsid w:val="00327D5A"/>
    <w:rsid w:val="00330680"/>
    <w:rsid w:val="0033080C"/>
    <w:rsid w:val="00330ACC"/>
    <w:rsid w:val="00330E7D"/>
    <w:rsid w:val="00331361"/>
    <w:rsid w:val="003313AE"/>
    <w:rsid w:val="003314E0"/>
    <w:rsid w:val="00331A81"/>
    <w:rsid w:val="00331ABD"/>
    <w:rsid w:val="00331BF0"/>
    <w:rsid w:val="00331F4A"/>
    <w:rsid w:val="00332AF7"/>
    <w:rsid w:val="00333526"/>
    <w:rsid w:val="003336D6"/>
    <w:rsid w:val="00333A69"/>
    <w:rsid w:val="00333BE2"/>
    <w:rsid w:val="00334103"/>
    <w:rsid w:val="00334499"/>
    <w:rsid w:val="00334676"/>
    <w:rsid w:val="00334794"/>
    <w:rsid w:val="00334E47"/>
    <w:rsid w:val="00335130"/>
    <w:rsid w:val="00335603"/>
    <w:rsid w:val="003360CE"/>
    <w:rsid w:val="00336209"/>
    <w:rsid w:val="00336FCA"/>
    <w:rsid w:val="00337265"/>
    <w:rsid w:val="00337CA2"/>
    <w:rsid w:val="003403D7"/>
    <w:rsid w:val="0034078D"/>
    <w:rsid w:val="00341430"/>
    <w:rsid w:val="00341B16"/>
    <w:rsid w:val="00341E91"/>
    <w:rsid w:val="00342012"/>
    <w:rsid w:val="003424B0"/>
    <w:rsid w:val="003424B3"/>
    <w:rsid w:val="003426AF"/>
    <w:rsid w:val="003426FE"/>
    <w:rsid w:val="003428F1"/>
    <w:rsid w:val="003434C6"/>
    <w:rsid w:val="0034369E"/>
    <w:rsid w:val="00343A0A"/>
    <w:rsid w:val="00344111"/>
    <w:rsid w:val="003441E0"/>
    <w:rsid w:val="003442D2"/>
    <w:rsid w:val="00344611"/>
    <w:rsid w:val="0034464E"/>
    <w:rsid w:val="00345383"/>
    <w:rsid w:val="00345452"/>
    <w:rsid w:val="00345816"/>
    <w:rsid w:val="00345A7C"/>
    <w:rsid w:val="003468B1"/>
    <w:rsid w:val="00347548"/>
    <w:rsid w:val="00347554"/>
    <w:rsid w:val="00347E1C"/>
    <w:rsid w:val="00347E89"/>
    <w:rsid w:val="0035025F"/>
    <w:rsid w:val="003502D3"/>
    <w:rsid w:val="003508EE"/>
    <w:rsid w:val="00350A1D"/>
    <w:rsid w:val="00350A49"/>
    <w:rsid w:val="003511D6"/>
    <w:rsid w:val="00351522"/>
    <w:rsid w:val="00351E54"/>
    <w:rsid w:val="00352030"/>
    <w:rsid w:val="00352927"/>
    <w:rsid w:val="00352A59"/>
    <w:rsid w:val="00352E30"/>
    <w:rsid w:val="003530B1"/>
    <w:rsid w:val="003531B2"/>
    <w:rsid w:val="00353397"/>
    <w:rsid w:val="003535DF"/>
    <w:rsid w:val="00353694"/>
    <w:rsid w:val="00353B06"/>
    <w:rsid w:val="00353E13"/>
    <w:rsid w:val="0035406C"/>
    <w:rsid w:val="003540C1"/>
    <w:rsid w:val="00354277"/>
    <w:rsid w:val="00354691"/>
    <w:rsid w:val="003550A5"/>
    <w:rsid w:val="00355E33"/>
    <w:rsid w:val="00355EED"/>
    <w:rsid w:val="0035629F"/>
    <w:rsid w:val="00356502"/>
    <w:rsid w:val="00356651"/>
    <w:rsid w:val="0035668C"/>
    <w:rsid w:val="00356A35"/>
    <w:rsid w:val="00356C6C"/>
    <w:rsid w:val="00356D69"/>
    <w:rsid w:val="00356EF6"/>
    <w:rsid w:val="0035707E"/>
    <w:rsid w:val="003573E2"/>
    <w:rsid w:val="00357D98"/>
    <w:rsid w:val="00357E15"/>
    <w:rsid w:val="003604E2"/>
    <w:rsid w:val="00360BDC"/>
    <w:rsid w:val="003611FF"/>
    <w:rsid w:val="0036157F"/>
    <w:rsid w:val="0036205F"/>
    <w:rsid w:val="003627F8"/>
    <w:rsid w:val="00362913"/>
    <w:rsid w:val="003629F3"/>
    <w:rsid w:val="00362A73"/>
    <w:rsid w:val="00362E15"/>
    <w:rsid w:val="00362E7D"/>
    <w:rsid w:val="003630C3"/>
    <w:rsid w:val="0036323E"/>
    <w:rsid w:val="00363D33"/>
    <w:rsid w:val="003645BF"/>
    <w:rsid w:val="00364844"/>
    <w:rsid w:val="00364A23"/>
    <w:rsid w:val="00364ACE"/>
    <w:rsid w:val="00364BF8"/>
    <w:rsid w:val="00365478"/>
    <w:rsid w:val="00365667"/>
    <w:rsid w:val="00365727"/>
    <w:rsid w:val="003657E0"/>
    <w:rsid w:val="00365C7A"/>
    <w:rsid w:val="00366034"/>
    <w:rsid w:val="0036654F"/>
    <w:rsid w:val="003667EE"/>
    <w:rsid w:val="00366842"/>
    <w:rsid w:val="00366848"/>
    <w:rsid w:val="00366C2B"/>
    <w:rsid w:val="003675F5"/>
    <w:rsid w:val="003703D6"/>
    <w:rsid w:val="00370CD9"/>
    <w:rsid w:val="00371617"/>
    <w:rsid w:val="00371D82"/>
    <w:rsid w:val="00372B5E"/>
    <w:rsid w:val="00373182"/>
    <w:rsid w:val="0037397F"/>
    <w:rsid w:val="00373A10"/>
    <w:rsid w:val="00374074"/>
    <w:rsid w:val="00374591"/>
    <w:rsid w:val="0037476B"/>
    <w:rsid w:val="00374AD4"/>
    <w:rsid w:val="00375DFC"/>
    <w:rsid w:val="0037635D"/>
    <w:rsid w:val="0037651C"/>
    <w:rsid w:val="00376C1D"/>
    <w:rsid w:val="00376E62"/>
    <w:rsid w:val="0037700F"/>
    <w:rsid w:val="00377A8E"/>
    <w:rsid w:val="00380070"/>
    <w:rsid w:val="00380853"/>
    <w:rsid w:val="00380945"/>
    <w:rsid w:val="00380D2E"/>
    <w:rsid w:val="00381513"/>
    <w:rsid w:val="003815F5"/>
    <w:rsid w:val="00381F5B"/>
    <w:rsid w:val="00381F90"/>
    <w:rsid w:val="00382371"/>
    <w:rsid w:val="00382685"/>
    <w:rsid w:val="00382E06"/>
    <w:rsid w:val="00383004"/>
    <w:rsid w:val="00383227"/>
    <w:rsid w:val="00383B10"/>
    <w:rsid w:val="00385321"/>
    <w:rsid w:val="00385450"/>
    <w:rsid w:val="0038573E"/>
    <w:rsid w:val="00385B6C"/>
    <w:rsid w:val="00386285"/>
    <w:rsid w:val="00386577"/>
    <w:rsid w:val="003867BC"/>
    <w:rsid w:val="003878D9"/>
    <w:rsid w:val="00387EE3"/>
    <w:rsid w:val="003902F6"/>
    <w:rsid w:val="0039075B"/>
    <w:rsid w:val="0039079A"/>
    <w:rsid w:val="003910A7"/>
    <w:rsid w:val="003916D5"/>
    <w:rsid w:val="00392208"/>
    <w:rsid w:val="0039326C"/>
    <w:rsid w:val="0039423B"/>
    <w:rsid w:val="0039424F"/>
    <w:rsid w:val="0039443A"/>
    <w:rsid w:val="00394AF3"/>
    <w:rsid w:val="00394D6F"/>
    <w:rsid w:val="00394EE8"/>
    <w:rsid w:val="00395233"/>
    <w:rsid w:val="00395585"/>
    <w:rsid w:val="00395A48"/>
    <w:rsid w:val="00395D41"/>
    <w:rsid w:val="00395F0B"/>
    <w:rsid w:val="00395F60"/>
    <w:rsid w:val="00396F5A"/>
    <w:rsid w:val="003977ED"/>
    <w:rsid w:val="003A007C"/>
    <w:rsid w:val="003A0373"/>
    <w:rsid w:val="003A06C7"/>
    <w:rsid w:val="003A0839"/>
    <w:rsid w:val="003A0CCE"/>
    <w:rsid w:val="003A10BA"/>
    <w:rsid w:val="003A1A29"/>
    <w:rsid w:val="003A226D"/>
    <w:rsid w:val="003A2422"/>
    <w:rsid w:val="003A2D5F"/>
    <w:rsid w:val="003A3056"/>
    <w:rsid w:val="003A39FA"/>
    <w:rsid w:val="003A3A25"/>
    <w:rsid w:val="003A3A5A"/>
    <w:rsid w:val="003A3A67"/>
    <w:rsid w:val="003A3B00"/>
    <w:rsid w:val="003A3EE6"/>
    <w:rsid w:val="003A43BC"/>
    <w:rsid w:val="003A4597"/>
    <w:rsid w:val="003A5066"/>
    <w:rsid w:val="003A507C"/>
    <w:rsid w:val="003A51A9"/>
    <w:rsid w:val="003A56FD"/>
    <w:rsid w:val="003A6301"/>
    <w:rsid w:val="003A668A"/>
    <w:rsid w:val="003A6CA9"/>
    <w:rsid w:val="003A7277"/>
    <w:rsid w:val="003A75AA"/>
    <w:rsid w:val="003A7D75"/>
    <w:rsid w:val="003B039C"/>
    <w:rsid w:val="003B06D4"/>
    <w:rsid w:val="003B0DEF"/>
    <w:rsid w:val="003B1260"/>
    <w:rsid w:val="003B1295"/>
    <w:rsid w:val="003B1647"/>
    <w:rsid w:val="003B1974"/>
    <w:rsid w:val="003B21AF"/>
    <w:rsid w:val="003B21D8"/>
    <w:rsid w:val="003B2FE7"/>
    <w:rsid w:val="003B337B"/>
    <w:rsid w:val="003B33C2"/>
    <w:rsid w:val="003B37DF"/>
    <w:rsid w:val="003B4863"/>
    <w:rsid w:val="003B4EB2"/>
    <w:rsid w:val="003B5136"/>
    <w:rsid w:val="003B5388"/>
    <w:rsid w:val="003B57E8"/>
    <w:rsid w:val="003B5BD2"/>
    <w:rsid w:val="003B5F0D"/>
    <w:rsid w:val="003B614A"/>
    <w:rsid w:val="003B654E"/>
    <w:rsid w:val="003B68B3"/>
    <w:rsid w:val="003B69A3"/>
    <w:rsid w:val="003B6A1F"/>
    <w:rsid w:val="003B7329"/>
    <w:rsid w:val="003B7838"/>
    <w:rsid w:val="003B7CFD"/>
    <w:rsid w:val="003C0557"/>
    <w:rsid w:val="003C0677"/>
    <w:rsid w:val="003C0C05"/>
    <w:rsid w:val="003C1EE2"/>
    <w:rsid w:val="003C2144"/>
    <w:rsid w:val="003C22C4"/>
    <w:rsid w:val="003C3002"/>
    <w:rsid w:val="003C3362"/>
    <w:rsid w:val="003C361D"/>
    <w:rsid w:val="003C3DF7"/>
    <w:rsid w:val="003C4869"/>
    <w:rsid w:val="003C4DE0"/>
    <w:rsid w:val="003C4F1E"/>
    <w:rsid w:val="003C5D71"/>
    <w:rsid w:val="003C5E71"/>
    <w:rsid w:val="003C603A"/>
    <w:rsid w:val="003C6142"/>
    <w:rsid w:val="003C63E2"/>
    <w:rsid w:val="003C66E2"/>
    <w:rsid w:val="003C6769"/>
    <w:rsid w:val="003C6818"/>
    <w:rsid w:val="003C6983"/>
    <w:rsid w:val="003C7369"/>
    <w:rsid w:val="003C73C9"/>
    <w:rsid w:val="003C75FD"/>
    <w:rsid w:val="003C7BC3"/>
    <w:rsid w:val="003C7D73"/>
    <w:rsid w:val="003D02E1"/>
    <w:rsid w:val="003D09E9"/>
    <w:rsid w:val="003D1014"/>
    <w:rsid w:val="003D1AAC"/>
    <w:rsid w:val="003D1E9D"/>
    <w:rsid w:val="003D2191"/>
    <w:rsid w:val="003D2601"/>
    <w:rsid w:val="003D2901"/>
    <w:rsid w:val="003D3207"/>
    <w:rsid w:val="003D35C3"/>
    <w:rsid w:val="003D38B7"/>
    <w:rsid w:val="003D3DC9"/>
    <w:rsid w:val="003D40F9"/>
    <w:rsid w:val="003D4240"/>
    <w:rsid w:val="003D439C"/>
    <w:rsid w:val="003D5673"/>
    <w:rsid w:val="003D57D1"/>
    <w:rsid w:val="003D5DEE"/>
    <w:rsid w:val="003D6ED8"/>
    <w:rsid w:val="003D70D2"/>
    <w:rsid w:val="003D742F"/>
    <w:rsid w:val="003D773B"/>
    <w:rsid w:val="003D7BA5"/>
    <w:rsid w:val="003E097D"/>
    <w:rsid w:val="003E0D87"/>
    <w:rsid w:val="003E0DE1"/>
    <w:rsid w:val="003E1042"/>
    <w:rsid w:val="003E148B"/>
    <w:rsid w:val="003E1528"/>
    <w:rsid w:val="003E16A0"/>
    <w:rsid w:val="003E17E5"/>
    <w:rsid w:val="003E181C"/>
    <w:rsid w:val="003E1E85"/>
    <w:rsid w:val="003E2B13"/>
    <w:rsid w:val="003E2C52"/>
    <w:rsid w:val="003E2C8B"/>
    <w:rsid w:val="003E2D71"/>
    <w:rsid w:val="003E37A1"/>
    <w:rsid w:val="003E3B08"/>
    <w:rsid w:val="003E3EB4"/>
    <w:rsid w:val="003E49F3"/>
    <w:rsid w:val="003E4D67"/>
    <w:rsid w:val="003E5015"/>
    <w:rsid w:val="003E5874"/>
    <w:rsid w:val="003E59FA"/>
    <w:rsid w:val="003E5C50"/>
    <w:rsid w:val="003E616E"/>
    <w:rsid w:val="003E6510"/>
    <w:rsid w:val="003E691B"/>
    <w:rsid w:val="003E7465"/>
    <w:rsid w:val="003E7656"/>
    <w:rsid w:val="003E7765"/>
    <w:rsid w:val="003F05A5"/>
    <w:rsid w:val="003F072A"/>
    <w:rsid w:val="003F0BA7"/>
    <w:rsid w:val="003F0EA0"/>
    <w:rsid w:val="003F0F40"/>
    <w:rsid w:val="003F1364"/>
    <w:rsid w:val="003F23EF"/>
    <w:rsid w:val="003F2E85"/>
    <w:rsid w:val="003F2EB5"/>
    <w:rsid w:val="003F3677"/>
    <w:rsid w:val="003F370D"/>
    <w:rsid w:val="003F49FD"/>
    <w:rsid w:val="003F513C"/>
    <w:rsid w:val="003F51A4"/>
    <w:rsid w:val="003F5276"/>
    <w:rsid w:val="003F55E1"/>
    <w:rsid w:val="003F5612"/>
    <w:rsid w:val="003F5D5C"/>
    <w:rsid w:val="003F5F62"/>
    <w:rsid w:val="003F5FCA"/>
    <w:rsid w:val="003F62DD"/>
    <w:rsid w:val="003F69B2"/>
    <w:rsid w:val="003F6D53"/>
    <w:rsid w:val="003F6DCD"/>
    <w:rsid w:val="003F7017"/>
    <w:rsid w:val="003F7242"/>
    <w:rsid w:val="003F72FA"/>
    <w:rsid w:val="003F7466"/>
    <w:rsid w:val="003F74D9"/>
    <w:rsid w:val="003F7EA9"/>
    <w:rsid w:val="003F7F6C"/>
    <w:rsid w:val="004002A2"/>
    <w:rsid w:val="004003AE"/>
    <w:rsid w:val="00400944"/>
    <w:rsid w:val="00400CC9"/>
    <w:rsid w:val="00400FA5"/>
    <w:rsid w:val="004010DB"/>
    <w:rsid w:val="00401605"/>
    <w:rsid w:val="004019EA"/>
    <w:rsid w:val="00401B3E"/>
    <w:rsid w:val="00401B51"/>
    <w:rsid w:val="00401B8D"/>
    <w:rsid w:val="00401FDB"/>
    <w:rsid w:val="00402476"/>
    <w:rsid w:val="00402D62"/>
    <w:rsid w:val="00402FEC"/>
    <w:rsid w:val="004035F3"/>
    <w:rsid w:val="0040362B"/>
    <w:rsid w:val="0040368A"/>
    <w:rsid w:val="00403776"/>
    <w:rsid w:val="00403BE3"/>
    <w:rsid w:val="00403D5D"/>
    <w:rsid w:val="004040E9"/>
    <w:rsid w:val="00404421"/>
    <w:rsid w:val="00404947"/>
    <w:rsid w:val="00404EF1"/>
    <w:rsid w:val="00404EF4"/>
    <w:rsid w:val="00405D21"/>
    <w:rsid w:val="00405E54"/>
    <w:rsid w:val="00405FAE"/>
    <w:rsid w:val="004063D5"/>
    <w:rsid w:val="00407321"/>
    <w:rsid w:val="00410CF6"/>
    <w:rsid w:val="00411125"/>
    <w:rsid w:val="0041202A"/>
    <w:rsid w:val="004122AE"/>
    <w:rsid w:val="004124F1"/>
    <w:rsid w:val="0041334C"/>
    <w:rsid w:val="004142A8"/>
    <w:rsid w:val="00414591"/>
    <w:rsid w:val="004148CB"/>
    <w:rsid w:val="00414B1A"/>
    <w:rsid w:val="00415B07"/>
    <w:rsid w:val="00415B5F"/>
    <w:rsid w:val="00415D61"/>
    <w:rsid w:val="00416846"/>
    <w:rsid w:val="00416DAC"/>
    <w:rsid w:val="00416E6F"/>
    <w:rsid w:val="0041707B"/>
    <w:rsid w:val="004172F2"/>
    <w:rsid w:val="00417582"/>
    <w:rsid w:val="00417960"/>
    <w:rsid w:val="0042021D"/>
    <w:rsid w:val="00420A2F"/>
    <w:rsid w:val="00420CC1"/>
    <w:rsid w:val="00420E61"/>
    <w:rsid w:val="0042159A"/>
    <w:rsid w:val="00421F09"/>
    <w:rsid w:val="004221DF"/>
    <w:rsid w:val="004222BF"/>
    <w:rsid w:val="0042238B"/>
    <w:rsid w:val="004223E1"/>
    <w:rsid w:val="004226A7"/>
    <w:rsid w:val="00422AAA"/>
    <w:rsid w:val="00422B1D"/>
    <w:rsid w:val="0042339A"/>
    <w:rsid w:val="00423721"/>
    <w:rsid w:val="00423794"/>
    <w:rsid w:val="00423E53"/>
    <w:rsid w:val="00423FF5"/>
    <w:rsid w:val="0042417E"/>
    <w:rsid w:val="004243F8"/>
    <w:rsid w:val="004245E0"/>
    <w:rsid w:val="00424FB4"/>
    <w:rsid w:val="004257D2"/>
    <w:rsid w:val="00425861"/>
    <w:rsid w:val="00425911"/>
    <w:rsid w:val="00425A31"/>
    <w:rsid w:val="00425B63"/>
    <w:rsid w:val="00425FAC"/>
    <w:rsid w:val="004266A3"/>
    <w:rsid w:val="0042726D"/>
    <w:rsid w:val="004275BC"/>
    <w:rsid w:val="0042770F"/>
    <w:rsid w:val="004277D1"/>
    <w:rsid w:val="00427846"/>
    <w:rsid w:val="004302DC"/>
    <w:rsid w:val="004304E0"/>
    <w:rsid w:val="004308F9"/>
    <w:rsid w:val="00430ABE"/>
    <w:rsid w:val="00430C37"/>
    <w:rsid w:val="00430E17"/>
    <w:rsid w:val="00431037"/>
    <w:rsid w:val="004313AA"/>
    <w:rsid w:val="0043179C"/>
    <w:rsid w:val="004317B6"/>
    <w:rsid w:val="00431A3F"/>
    <w:rsid w:val="00431EBE"/>
    <w:rsid w:val="004320E8"/>
    <w:rsid w:val="0043227B"/>
    <w:rsid w:val="00433739"/>
    <w:rsid w:val="004339A2"/>
    <w:rsid w:val="00433DFD"/>
    <w:rsid w:val="00433F58"/>
    <w:rsid w:val="004340AB"/>
    <w:rsid w:val="00434124"/>
    <w:rsid w:val="00434471"/>
    <w:rsid w:val="00434581"/>
    <w:rsid w:val="0043467A"/>
    <w:rsid w:val="004346CD"/>
    <w:rsid w:val="004349C3"/>
    <w:rsid w:val="004349E1"/>
    <w:rsid w:val="00434D17"/>
    <w:rsid w:val="00434DDA"/>
    <w:rsid w:val="004353B5"/>
    <w:rsid w:val="0043561E"/>
    <w:rsid w:val="0043567E"/>
    <w:rsid w:val="004358AA"/>
    <w:rsid w:val="004358F6"/>
    <w:rsid w:val="00436716"/>
    <w:rsid w:val="00436FFE"/>
    <w:rsid w:val="004371B7"/>
    <w:rsid w:val="004371CC"/>
    <w:rsid w:val="004376A6"/>
    <w:rsid w:val="00437A0F"/>
    <w:rsid w:val="00437C77"/>
    <w:rsid w:val="00440332"/>
    <w:rsid w:val="004409D5"/>
    <w:rsid w:val="00440B6A"/>
    <w:rsid w:val="00440F96"/>
    <w:rsid w:val="0044125A"/>
    <w:rsid w:val="004416EB"/>
    <w:rsid w:val="004417BA"/>
    <w:rsid w:val="00441D62"/>
    <w:rsid w:val="00441D9F"/>
    <w:rsid w:val="004420DD"/>
    <w:rsid w:val="00442717"/>
    <w:rsid w:val="00442AEB"/>
    <w:rsid w:val="00442E00"/>
    <w:rsid w:val="00442F62"/>
    <w:rsid w:val="004433A9"/>
    <w:rsid w:val="00444050"/>
    <w:rsid w:val="004441A1"/>
    <w:rsid w:val="00444485"/>
    <w:rsid w:val="00444DF8"/>
    <w:rsid w:val="00444F23"/>
    <w:rsid w:val="00444F52"/>
    <w:rsid w:val="004450AA"/>
    <w:rsid w:val="004452A5"/>
    <w:rsid w:val="00446F50"/>
    <w:rsid w:val="004473E5"/>
    <w:rsid w:val="00447527"/>
    <w:rsid w:val="0044797F"/>
    <w:rsid w:val="00447AD9"/>
    <w:rsid w:val="0045008A"/>
    <w:rsid w:val="00450294"/>
    <w:rsid w:val="0045043B"/>
    <w:rsid w:val="0045139D"/>
    <w:rsid w:val="004516CA"/>
    <w:rsid w:val="00452974"/>
    <w:rsid w:val="00452D23"/>
    <w:rsid w:val="0045313A"/>
    <w:rsid w:val="00453811"/>
    <w:rsid w:val="00453F7B"/>
    <w:rsid w:val="0045421D"/>
    <w:rsid w:val="00454568"/>
    <w:rsid w:val="004546DE"/>
    <w:rsid w:val="00454E23"/>
    <w:rsid w:val="00454E2D"/>
    <w:rsid w:val="00454EC4"/>
    <w:rsid w:val="00454EE3"/>
    <w:rsid w:val="00454FAA"/>
    <w:rsid w:val="00455A09"/>
    <w:rsid w:val="004561C2"/>
    <w:rsid w:val="00456225"/>
    <w:rsid w:val="00456816"/>
    <w:rsid w:val="00456913"/>
    <w:rsid w:val="00456A73"/>
    <w:rsid w:val="00456D87"/>
    <w:rsid w:val="0045785F"/>
    <w:rsid w:val="00457974"/>
    <w:rsid w:val="00457F52"/>
    <w:rsid w:val="004602C4"/>
    <w:rsid w:val="004603A2"/>
    <w:rsid w:val="00460616"/>
    <w:rsid w:val="00460E94"/>
    <w:rsid w:val="0046186F"/>
    <w:rsid w:val="00461F92"/>
    <w:rsid w:val="00462277"/>
    <w:rsid w:val="0046291E"/>
    <w:rsid w:val="0046299F"/>
    <w:rsid w:val="0046320A"/>
    <w:rsid w:val="004632DE"/>
    <w:rsid w:val="00463B58"/>
    <w:rsid w:val="00463E9A"/>
    <w:rsid w:val="004645B6"/>
    <w:rsid w:val="00465574"/>
    <w:rsid w:val="00465595"/>
    <w:rsid w:val="0046599C"/>
    <w:rsid w:val="004659E1"/>
    <w:rsid w:val="004662AA"/>
    <w:rsid w:val="00466465"/>
    <w:rsid w:val="00466C0A"/>
    <w:rsid w:val="00466C6D"/>
    <w:rsid w:val="0046713A"/>
    <w:rsid w:val="00467402"/>
    <w:rsid w:val="00467AD6"/>
    <w:rsid w:val="00467DE2"/>
    <w:rsid w:val="00470384"/>
    <w:rsid w:val="004711E1"/>
    <w:rsid w:val="004719F7"/>
    <w:rsid w:val="00471C9F"/>
    <w:rsid w:val="004722A0"/>
    <w:rsid w:val="004722F4"/>
    <w:rsid w:val="00472371"/>
    <w:rsid w:val="00472C5F"/>
    <w:rsid w:val="0047329F"/>
    <w:rsid w:val="00473684"/>
    <w:rsid w:val="00473963"/>
    <w:rsid w:val="00473A14"/>
    <w:rsid w:val="00473D4F"/>
    <w:rsid w:val="00475CB2"/>
    <w:rsid w:val="004760F0"/>
    <w:rsid w:val="004767A7"/>
    <w:rsid w:val="004769DE"/>
    <w:rsid w:val="00476BDD"/>
    <w:rsid w:val="00476FE0"/>
    <w:rsid w:val="00477020"/>
    <w:rsid w:val="004778BF"/>
    <w:rsid w:val="00477A67"/>
    <w:rsid w:val="00477F01"/>
    <w:rsid w:val="004801F7"/>
    <w:rsid w:val="00480261"/>
    <w:rsid w:val="0048085F"/>
    <w:rsid w:val="00480956"/>
    <w:rsid w:val="00480D45"/>
    <w:rsid w:val="00480F1F"/>
    <w:rsid w:val="00480FCB"/>
    <w:rsid w:val="00482112"/>
    <w:rsid w:val="0048287A"/>
    <w:rsid w:val="00482968"/>
    <w:rsid w:val="00482D11"/>
    <w:rsid w:val="004832DC"/>
    <w:rsid w:val="00483314"/>
    <w:rsid w:val="00483380"/>
    <w:rsid w:val="0048377F"/>
    <w:rsid w:val="00483914"/>
    <w:rsid w:val="0048391D"/>
    <w:rsid w:val="00483E13"/>
    <w:rsid w:val="00484925"/>
    <w:rsid w:val="00484D7D"/>
    <w:rsid w:val="00484DDC"/>
    <w:rsid w:val="00484EFB"/>
    <w:rsid w:val="00485032"/>
    <w:rsid w:val="00485926"/>
    <w:rsid w:val="00485FFA"/>
    <w:rsid w:val="00486132"/>
    <w:rsid w:val="00486211"/>
    <w:rsid w:val="004862BF"/>
    <w:rsid w:val="004865AD"/>
    <w:rsid w:val="0048677F"/>
    <w:rsid w:val="00486A1E"/>
    <w:rsid w:val="00486AC4"/>
    <w:rsid w:val="00486C96"/>
    <w:rsid w:val="00486E0F"/>
    <w:rsid w:val="0048774D"/>
    <w:rsid w:val="00487770"/>
    <w:rsid w:val="00487973"/>
    <w:rsid w:val="00487A21"/>
    <w:rsid w:val="0049026B"/>
    <w:rsid w:val="00490412"/>
    <w:rsid w:val="004908AE"/>
    <w:rsid w:val="00490A17"/>
    <w:rsid w:val="00490D05"/>
    <w:rsid w:val="00490E62"/>
    <w:rsid w:val="00491049"/>
    <w:rsid w:val="004910B5"/>
    <w:rsid w:val="004912D0"/>
    <w:rsid w:val="0049172C"/>
    <w:rsid w:val="00491AF4"/>
    <w:rsid w:val="00491E72"/>
    <w:rsid w:val="00492062"/>
    <w:rsid w:val="004921A8"/>
    <w:rsid w:val="004923CF"/>
    <w:rsid w:val="00492448"/>
    <w:rsid w:val="00492474"/>
    <w:rsid w:val="00493289"/>
    <w:rsid w:val="004932D5"/>
    <w:rsid w:val="004935E9"/>
    <w:rsid w:val="00493AFA"/>
    <w:rsid w:val="004947E7"/>
    <w:rsid w:val="004949C6"/>
    <w:rsid w:val="00495005"/>
    <w:rsid w:val="004956B9"/>
    <w:rsid w:val="00495CC8"/>
    <w:rsid w:val="0049629F"/>
    <w:rsid w:val="0049658A"/>
    <w:rsid w:val="004965A3"/>
    <w:rsid w:val="0049665E"/>
    <w:rsid w:val="004969D3"/>
    <w:rsid w:val="00496A53"/>
    <w:rsid w:val="00496E9D"/>
    <w:rsid w:val="004A0301"/>
    <w:rsid w:val="004A0359"/>
    <w:rsid w:val="004A09B2"/>
    <w:rsid w:val="004A0D16"/>
    <w:rsid w:val="004A0F1E"/>
    <w:rsid w:val="004A1152"/>
    <w:rsid w:val="004A145F"/>
    <w:rsid w:val="004A1B39"/>
    <w:rsid w:val="004A224F"/>
    <w:rsid w:val="004A2E70"/>
    <w:rsid w:val="004A2FBC"/>
    <w:rsid w:val="004A3315"/>
    <w:rsid w:val="004A3738"/>
    <w:rsid w:val="004A3D33"/>
    <w:rsid w:val="004A3E65"/>
    <w:rsid w:val="004A4339"/>
    <w:rsid w:val="004A49A2"/>
    <w:rsid w:val="004A4DBB"/>
    <w:rsid w:val="004A55C3"/>
    <w:rsid w:val="004A59E2"/>
    <w:rsid w:val="004A5AEC"/>
    <w:rsid w:val="004A5DBC"/>
    <w:rsid w:val="004A5E7F"/>
    <w:rsid w:val="004A67A0"/>
    <w:rsid w:val="004A6972"/>
    <w:rsid w:val="004A78EB"/>
    <w:rsid w:val="004A7D6A"/>
    <w:rsid w:val="004A7EC8"/>
    <w:rsid w:val="004B00D2"/>
    <w:rsid w:val="004B0D88"/>
    <w:rsid w:val="004B0F6A"/>
    <w:rsid w:val="004B15BA"/>
    <w:rsid w:val="004B1B76"/>
    <w:rsid w:val="004B1C4A"/>
    <w:rsid w:val="004B1E45"/>
    <w:rsid w:val="004B1F54"/>
    <w:rsid w:val="004B2406"/>
    <w:rsid w:val="004B2EAB"/>
    <w:rsid w:val="004B3A90"/>
    <w:rsid w:val="004B3E27"/>
    <w:rsid w:val="004B3F08"/>
    <w:rsid w:val="004B400F"/>
    <w:rsid w:val="004B448A"/>
    <w:rsid w:val="004B4609"/>
    <w:rsid w:val="004B4DDE"/>
    <w:rsid w:val="004B597A"/>
    <w:rsid w:val="004B59AC"/>
    <w:rsid w:val="004B5C02"/>
    <w:rsid w:val="004B64F9"/>
    <w:rsid w:val="004B69B8"/>
    <w:rsid w:val="004B6EAF"/>
    <w:rsid w:val="004B728C"/>
    <w:rsid w:val="004B7B81"/>
    <w:rsid w:val="004C0B5A"/>
    <w:rsid w:val="004C110C"/>
    <w:rsid w:val="004C16CD"/>
    <w:rsid w:val="004C1F1C"/>
    <w:rsid w:val="004C2498"/>
    <w:rsid w:val="004C283E"/>
    <w:rsid w:val="004C2F56"/>
    <w:rsid w:val="004C385E"/>
    <w:rsid w:val="004C39F0"/>
    <w:rsid w:val="004C3A59"/>
    <w:rsid w:val="004C3DD9"/>
    <w:rsid w:val="004C4441"/>
    <w:rsid w:val="004C462A"/>
    <w:rsid w:val="004C4691"/>
    <w:rsid w:val="004C476D"/>
    <w:rsid w:val="004C47BA"/>
    <w:rsid w:val="004C4867"/>
    <w:rsid w:val="004C5335"/>
    <w:rsid w:val="004C556B"/>
    <w:rsid w:val="004C59CA"/>
    <w:rsid w:val="004C64C9"/>
    <w:rsid w:val="004C660B"/>
    <w:rsid w:val="004C6775"/>
    <w:rsid w:val="004C6D63"/>
    <w:rsid w:val="004C6DD7"/>
    <w:rsid w:val="004C6E6D"/>
    <w:rsid w:val="004C79AE"/>
    <w:rsid w:val="004C79FB"/>
    <w:rsid w:val="004C7AB9"/>
    <w:rsid w:val="004C7BEE"/>
    <w:rsid w:val="004D0038"/>
    <w:rsid w:val="004D04D7"/>
    <w:rsid w:val="004D07E2"/>
    <w:rsid w:val="004D085F"/>
    <w:rsid w:val="004D0F25"/>
    <w:rsid w:val="004D1907"/>
    <w:rsid w:val="004D1B52"/>
    <w:rsid w:val="004D248C"/>
    <w:rsid w:val="004D2DC7"/>
    <w:rsid w:val="004D401A"/>
    <w:rsid w:val="004D4328"/>
    <w:rsid w:val="004D488B"/>
    <w:rsid w:val="004D529F"/>
    <w:rsid w:val="004D53B7"/>
    <w:rsid w:val="004D5433"/>
    <w:rsid w:val="004D546C"/>
    <w:rsid w:val="004D5D04"/>
    <w:rsid w:val="004D5F27"/>
    <w:rsid w:val="004D6244"/>
    <w:rsid w:val="004D63C5"/>
    <w:rsid w:val="004D63E7"/>
    <w:rsid w:val="004D66BC"/>
    <w:rsid w:val="004D6D37"/>
    <w:rsid w:val="004D7644"/>
    <w:rsid w:val="004D7BFE"/>
    <w:rsid w:val="004D7EF6"/>
    <w:rsid w:val="004E0026"/>
    <w:rsid w:val="004E0104"/>
    <w:rsid w:val="004E016E"/>
    <w:rsid w:val="004E03AE"/>
    <w:rsid w:val="004E0422"/>
    <w:rsid w:val="004E04E6"/>
    <w:rsid w:val="004E05BC"/>
    <w:rsid w:val="004E0892"/>
    <w:rsid w:val="004E08C2"/>
    <w:rsid w:val="004E0BF6"/>
    <w:rsid w:val="004E102B"/>
    <w:rsid w:val="004E2124"/>
    <w:rsid w:val="004E2357"/>
    <w:rsid w:val="004E2CA2"/>
    <w:rsid w:val="004E2E43"/>
    <w:rsid w:val="004E3674"/>
    <w:rsid w:val="004E3ADE"/>
    <w:rsid w:val="004E3F9D"/>
    <w:rsid w:val="004E4500"/>
    <w:rsid w:val="004E450F"/>
    <w:rsid w:val="004E479F"/>
    <w:rsid w:val="004E4BC3"/>
    <w:rsid w:val="004E4F66"/>
    <w:rsid w:val="004E545B"/>
    <w:rsid w:val="004E57BE"/>
    <w:rsid w:val="004E5AFA"/>
    <w:rsid w:val="004E5DFC"/>
    <w:rsid w:val="004E5FAE"/>
    <w:rsid w:val="004E6299"/>
    <w:rsid w:val="004E62CA"/>
    <w:rsid w:val="004E6949"/>
    <w:rsid w:val="004E6C44"/>
    <w:rsid w:val="004E6D03"/>
    <w:rsid w:val="004E6EDB"/>
    <w:rsid w:val="004E6EEB"/>
    <w:rsid w:val="004E77A8"/>
    <w:rsid w:val="004E7935"/>
    <w:rsid w:val="004E7B8B"/>
    <w:rsid w:val="004F0723"/>
    <w:rsid w:val="004F12E3"/>
    <w:rsid w:val="004F15B9"/>
    <w:rsid w:val="004F2304"/>
    <w:rsid w:val="004F2862"/>
    <w:rsid w:val="004F2FF9"/>
    <w:rsid w:val="004F30E6"/>
    <w:rsid w:val="004F3891"/>
    <w:rsid w:val="004F39ED"/>
    <w:rsid w:val="004F39F4"/>
    <w:rsid w:val="004F4164"/>
    <w:rsid w:val="004F4E5B"/>
    <w:rsid w:val="004F4EA9"/>
    <w:rsid w:val="004F5751"/>
    <w:rsid w:val="004F5B5C"/>
    <w:rsid w:val="004F5FF6"/>
    <w:rsid w:val="004F605E"/>
    <w:rsid w:val="004F613D"/>
    <w:rsid w:val="004F643B"/>
    <w:rsid w:val="004F64A1"/>
    <w:rsid w:val="004F6523"/>
    <w:rsid w:val="004F652B"/>
    <w:rsid w:val="004F69BA"/>
    <w:rsid w:val="004F6E71"/>
    <w:rsid w:val="004F709A"/>
    <w:rsid w:val="004F7734"/>
    <w:rsid w:val="004F7B19"/>
    <w:rsid w:val="00500A53"/>
    <w:rsid w:val="00500DBB"/>
    <w:rsid w:val="00501C27"/>
    <w:rsid w:val="005020AB"/>
    <w:rsid w:val="005020DD"/>
    <w:rsid w:val="0050225D"/>
    <w:rsid w:val="005024DA"/>
    <w:rsid w:val="00502B00"/>
    <w:rsid w:val="005034C1"/>
    <w:rsid w:val="005036FB"/>
    <w:rsid w:val="0050375D"/>
    <w:rsid w:val="00503966"/>
    <w:rsid w:val="00503B1B"/>
    <w:rsid w:val="00503C3C"/>
    <w:rsid w:val="00504EAD"/>
    <w:rsid w:val="00505861"/>
    <w:rsid w:val="00505906"/>
    <w:rsid w:val="00505A12"/>
    <w:rsid w:val="00505F2C"/>
    <w:rsid w:val="00505FE9"/>
    <w:rsid w:val="00506282"/>
    <w:rsid w:val="00506425"/>
    <w:rsid w:val="00506650"/>
    <w:rsid w:val="0050724C"/>
    <w:rsid w:val="00507583"/>
    <w:rsid w:val="00507F16"/>
    <w:rsid w:val="00507F42"/>
    <w:rsid w:val="005102EC"/>
    <w:rsid w:val="00510CF1"/>
    <w:rsid w:val="00510DB9"/>
    <w:rsid w:val="00511593"/>
    <w:rsid w:val="00511EC0"/>
    <w:rsid w:val="00511FBD"/>
    <w:rsid w:val="00512B10"/>
    <w:rsid w:val="00512CA3"/>
    <w:rsid w:val="00512E55"/>
    <w:rsid w:val="005130A4"/>
    <w:rsid w:val="00513AC0"/>
    <w:rsid w:val="00513D04"/>
    <w:rsid w:val="005145BD"/>
    <w:rsid w:val="00514883"/>
    <w:rsid w:val="00514A88"/>
    <w:rsid w:val="00514A90"/>
    <w:rsid w:val="00514B66"/>
    <w:rsid w:val="00514CAA"/>
    <w:rsid w:val="00515008"/>
    <w:rsid w:val="00515177"/>
    <w:rsid w:val="00516148"/>
    <w:rsid w:val="0051635F"/>
    <w:rsid w:val="005163B4"/>
    <w:rsid w:val="0051663D"/>
    <w:rsid w:val="00516B9F"/>
    <w:rsid w:val="00517FAD"/>
    <w:rsid w:val="00521538"/>
    <w:rsid w:val="005216C7"/>
    <w:rsid w:val="00521F54"/>
    <w:rsid w:val="005223F9"/>
    <w:rsid w:val="0052244D"/>
    <w:rsid w:val="00522941"/>
    <w:rsid w:val="005229E7"/>
    <w:rsid w:val="00522A54"/>
    <w:rsid w:val="00522F5D"/>
    <w:rsid w:val="0052309A"/>
    <w:rsid w:val="00523EE9"/>
    <w:rsid w:val="005249FC"/>
    <w:rsid w:val="00524E93"/>
    <w:rsid w:val="00525201"/>
    <w:rsid w:val="00525378"/>
    <w:rsid w:val="005259FC"/>
    <w:rsid w:val="005268C7"/>
    <w:rsid w:val="00526AAE"/>
    <w:rsid w:val="005270E8"/>
    <w:rsid w:val="00527486"/>
    <w:rsid w:val="005275C4"/>
    <w:rsid w:val="00527BF8"/>
    <w:rsid w:val="00527E0C"/>
    <w:rsid w:val="005306CC"/>
    <w:rsid w:val="00530C4D"/>
    <w:rsid w:val="005316D1"/>
    <w:rsid w:val="00531A2B"/>
    <w:rsid w:val="00531D10"/>
    <w:rsid w:val="00531EC2"/>
    <w:rsid w:val="00532158"/>
    <w:rsid w:val="0053228E"/>
    <w:rsid w:val="005328A5"/>
    <w:rsid w:val="00532B4C"/>
    <w:rsid w:val="005334B3"/>
    <w:rsid w:val="005335E2"/>
    <w:rsid w:val="00533DAC"/>
    <w:rsid w:val="005344EB"/>
    <w:rsid w:val="00534528"/>
    <w:rsid w:val="005349FA"/>
    <w:rsid w:val="00534AB2"/>
    <w:rsid w:val="00535AE7"/>
    <w:rsid w:val="00535E7F"/>
    <w:rsid w:val="00536105"/>
    <w:rsid w:val="00536700"/>
    <w:rsid w:val="00536786"/>
    <w:rsid w:val="00536959"/>
    <w:rsid w:val="00536B45"/>
    <w:rsid w:val="00536DA9"/>
    <w:rsid w:val="005371B1"/>
    <w:rsid w:val="0053753B"/>
    <w:rsid w:val="00540B59"/>
    <w:rsid w:val="005413D2"/>
    <w:rsid w:val="0054174F"/>
    <w:rsid w:val="00541875"/>
    <w:rsid w:val="00542120"/>
    <w:rsid w:val="00543447"/>
    <w:rsid w:val="00543485"/>
    <w:rsid w:val="0054376B"/>
    <w:rsid w:val="0054383D"/>
    <w:rsid w:val="00544188"/>
    <w:rsid w:val="00544F32"/>
    <w:rsid w:val="00544FA1"/>
    <w:rsid w:val="005451BA"/>
    <w:rsid w:val="00545249"/>
    <w:rsid w:val="005452FA"/>
    <w:rsid w:val="005453A7"/>
    <w:rsid w:val="0054624F"/>
    <w:rsid w:val="0054644F"/>
    <w:rsid w:val="0054651C"/>
    <w:rsid w:val="00546816"/>
    <w:rsid w:val="00546F11"/>
    <w:rsid w:val="00547203"/>
    <w:rsid w:val="00547269"/>
    <w:rsid w:val="005477C7"/>
    <w:rsid w:val="005477E3"/>
    <w:rsid w:val="0054790F"/>
    <w:rsid w:val="005504C8"/>
    <w:rsid w:val="00550741"/>
    <w:rsid w:val="00551951"/>
    <w:rsid w:val="00551AB6"/>
    <w:rsid w:val="005537A0"/>
    <w:rsid w:val="00553AD2"/>
    <w:rsid w:val="00553BB7"/>
    <w:rsid w:val="00553D4F"/>
    <w:rsid w:val="00553E02"/>
    <w:rsid w:val="00553F94"/>
    <w:rsid w:val="00554819"/>
    <w:rsid w:val="0055514C"/>
    <w:rsid w:val="005552D5"/>
    <w:rsid w:val="00555346"/>
    <w:rsid w:val="005558FA"/>
    <w:rsid w:val="00555F55"/>
    <w:rsid w:val="00557200"/>
    <w:rsid w:val="00557B64"/>
    <w:rsid w:val="005604AC"/>
    <w:rsid w:val="00560D92"/>
    <w:rsid w:val="0056104E"/>
    <w:rsid w:val="005612EF"/>
    <w:rsid w:val="005626D6"/>
    <w:rsid w:val="00562B85"/>
    <w:rsid w:val="005636ED"/>
    <w:rsid w:val="00563873"/>
    <w:rsid w:val="00565460"/>
    <w:rsid w:val="00565DFB"/>
    <w:rsid w:val="00565E67"/>
    <w:rsid w:val="00566131"/>
    <w:rsid w:val="00566274"/>
    <w:rsid w:val="0056678A"/>
    <w:rsid w:val="00566821"/>
    <w:rsid w:val="00566E12"/>
    <w:rsid w:val="0056706B"/>
    <w:rsid w:val="005671C2"/>
    <w:rsid w:val="0056760B"/>
    <w:rsid w:val="005676E0"/>
    <w:rsid w:val="00567DE6"/>
    <w:rsid w:val="00567F47"/>
    <w:rsid w:val="00567FDC"/>
    <w:rsid w:val="005702F4"/>
    <w:rsid w:val="00570598"/>
    <w:rsid w:val="00570C3C"/>
    <w:rsid w:val="00570D3E"/>
    <w:rsid w:val="00571121"/>
    <w:rsid w:val="005713A6"/>
    <w:rsid w:val="00571C49"/>
    <w:rsid w:val="0057273A"/>
    <w:rsid w:val="00572D85"/>
    <w:rsid w:val="00573558"/>
    <w:rsid w:val="00573B03"/>
    <w:rsid w:val="00573E4D"/>
    <w:rsid w:val="0057408D"/>
    <w:rsid w:val="005740AF"/>
    <w:rsid w:val="0057548B"/>
    <w:rsid w:val="0057556F"/>
    <w:rsid w:val="0057563E"/>
    <w:rsid w:val="00576562"/>
    <w:rsid w:val="00576D37"/>
    <w:rsid w:val="0057709C"/>
    <w:rsid w:val="00577146"/>
    <w:rsid w:val="0058097F"/>
    <w:rsid w:val="005810FD"/>
    <w:rsid w:val="005811DD"/>
    <w:rsid w:val="005812E9"/>
    <w:rsid w:val="00581DC9"/>
    <w:rsid w:val="0058204C"/>
    <w:rsid w:val="0058258E"/>
    <w:rsid w:val="00582BC6"/>
    <w:rsid w:val="00582CD1"/>
    <w:rsid w:val="00583776"/>
    <w:rsid w:val="00583C16"/>
    <w:rsid w:val="00583D1D"/>
    <w:rsid w:val="00584B2B"/>
    <w:rsid w:val="00584E40"/>
    <w:rsid w:val="0058515F"/>
    <w:rsid w:val="005852C2"/>
    <w:rsid w:val="005853E1"/>
    <w:rsid w:val="005858F7"/>
    <w:rsid w:val="00585E64"/>
    <w:rsid w:val="00585F5E"/>
    <w:rsid w:val="00586653"/>
    <w:rsid w:val="005869BF"/>
    <w:rsid w:val="00586AB0"/>
    <w:rsid w:val="00586F6A"/>
    <w:rsid w:val="0058720E"/>
    <w:rsid w:val="00587C6E"/>
    <w:rsid w:val="005904C2"/>
    <w:rsid w:val="005907A1"/>
    <w:rsid w:val="00590F39"/>
    <w:rsid w:val="005915E1"/>
    <w:rsid w:val="00591ABF"/>
    <w:rsid w:val="00591FBC"/>
    <w:rsid w:val="0059273E"/>
    <w:rsid w:val="00592BB7"/>
    <w:rsid w:val="00592CD3"/>
    <w:rsid w:val="00592F3C"/>
    <w:rsid w:val="00592FE9"/>
    <w:rsid w:val="0059408A"/>
    <w:rsid w:val="005940B3"/>
    <w:rsid w:val="005942BF"/>
    <w:rsid w:val="005942CF"/>
    <w:rsid w:val="00594ADC"/>
    <w:rsid w:val="0059559B"/>
    <w:rsid w:val="00595BA0"/>
    <w:rsid w:val="0059714D"/>
    <w:rsid w:val="005974C8"/>
    <w:rsid w:val="00597C44"/>
    <w:rsid w:val="00597D54"/>
    <w:rsid w:val="00597E79"/>
    <w:rsid w:val="005A0193"/>
    <w:rsid w:val="005A01F6"/>
    <w:rsid w:val="005A0437"/>
    <w:rsid w:val="005A0CA3"/>
    <w:rsid w:val="005A0F90"/>
    <w:rsid w:val="005A1790"/>
    <w:rsid w:val="005A1C60"/>
    <w:rsid w:val="005A1FE9"/>
    <w:rsid w:val="005A264A"/>
    <w:rsid w:val="005A27AD"/>
    <w:rsid w:val="005A2BCE"/>
    <w:rsid w:val="005A2DEE"/>
    <w:rsid w:val="005A3622"/>
    <w:rsid w:val="005A36A4"/>
    <w:rsid w:val="005A3AE7"/>
    <w:rsid w:val="005A3CED"/>
    <w:rsid w:val="005A3EEE"/>
    <w:rsid w:val="005A43CC"/>
    <w:rsid w:val="005A4DA2"/>
    <w:rsid w:val="005A4FAA"/>
    <w:rsid w:val="005A50D6"/>
    <w:rsid w:val="005A6645"/>
    <w:rsid w:val="005A6957"/>
    <w:rsid w:val="005A72E6"/>
    <w:rsid w:val="005A74B0"/>
    <w:rsid w:val="005A77CB"/>
    <w:rsid w:val="005B035D"/>
    <w:rsid w:val="005B0BCB"/>
    <w:rsid w:val="005B0DF4"/>
    <w:rsid w:val="005B10C9"/>
    <w:rsid w:val="005B1127"/>
    <w:rsid w:val="005B11C8"/>
    <w:rsid w:val="005B131F"/>
    <w:rsid w:val="005B1591"/>
    <w:rsid w:val="005B17AD"/>
    <w:rsid w:val="005B1A9D"/>
    <w:rsid w:val="005B1ECE"/>
    <w:rsid w:val="005B23D5"/>
    <w:rsid w:val="005B25F4"/>
    <w:rsid w:val="005B2CE0"/>
    <w:rsid w:val="005B3323"/>
    <w:rsid w:val="005B360C"/>
    <w:rsid w:val="005B4847"/>
    <w:rsid w:val="005B4C00"/>
    <w:rsid w:val="005B5992"/>
    <w:rsid w:val="005B5B35"/>
    <w:rsid w:val="005B611A"/>
    <w:rsid w:val="005B624E"/>
    <w:rsid w:val="005B64EF"/>
    <w:rsid w:val="005B66BD"/>
    <w:rsid w:val="005B66D4"/>
    <w:rsid w:val="005B6DD8"/>
    <w:rsid w:val="005B7017"/>
    <w:rsid w:val="005B77D6"/>
    <w:rsid w:val="005C0590"/>
    <w:rsid w:val="005C12BB"/>
    <w:rsid w:val="005C19B7"/>
    <w:rsid w:val="005C1EC8"/>
    <w:rsid w:val="005C21FA"/>
    <w:rsid w:val="005C2473"/>
    <w:rsid w:val="005C3527"/>
    <w:rsid w:val="005C3BA0"/>
    <w:rsid w:val="005C3C01"/>
    <w:rsid w:val="005C3CC5"/>
    <w:rsid w:val="005C3E1C"/>
    <w:rsid w:val="005C423B"/>
    <w:rsid w:val="005C4493"/>
    <w:rsid w:val="005C474F"/>
    <w:rsid w:val="005C47F2"/>
    <w:rsid w:val="005C4EE9"/>
    <w:rsid w:val="005C5685"/>
    <w:rsid w:val="005C5CF1"/>
    <w:rsid w:val="005C6104"/>
    <w:rsid w:val="005C62C5"/>
    <w:rsid w:val="005C6339"/>
    <w:rsid w:val="005C6AE9"/>
    <w:rsid w:val="005C6B2B"/>
    <w:rsid w:val="005C6E18"/>
    <w:rsid w:val="005C6EB2"/>
    <w:rsid w:val="005C7118"/>
    <w:rsid w:val="005C782E"/>
    <w:rsid w:val="005C7853"/>
    <w:rsid w:val="005D0338"/>
    <w:rsid w:val="005D0818"/>
    <w:rsid w:val="005D0BE5"/>
    <w:rsid w:val="005D1871"/>
    <w:rsid w:val="005D1A67"/>
    <w:rsid w:val="005D23E4"/>
    <w:rsid w:val="005D27D2"/>
    <w:rsid w:val="005D27EF"/>
    <w:rsid w:val="005D2B8C"/>
    <w:rsid w:val="005D2F10"/>
    <w:rsid w:val="005D3B71"/>
    <w:rsid w:val="005D42D4"/>
    <w:rsid w:val="005D443D"/>
    <w:rsid w:val="005D45AC"/>
    <w:rsid w:val="005D47D0"/>
    <w:rsid w:val="005D4B29"/>
    <w:rsid w:val="005D50C0"/>
    <w:rsid w:val="005D5A15"/>
    <w:rsid w:val="005D753B"/>
    <w:rsid w:val="005D7582"/>
    <w:rsid w:val="005D7C4B"/>
    <w:rsid w:val="005D7E35"/>
    <w:rsid w:val="005E01D1"/>
    <w:rsid w:val="005E063D"/>
    <w:rsid w:val="005E0CAC"/>
    <w:rsid w:val="005E137D"/>
    <w:rsid w:val="005E1A86"/>
    <w:rsid w:val="005E1E1E"/>
    <w:rsid w:val="005E1F76"/>
    <w:rsid w:val="005E27A9"/>
    <w:rsid w:val="005E2814"/>
    <w:rsid w:val="005E28BE"/>
    <w:rsid w:val="005E2F7D"/>
    <w:rsid w:val="005E30F0"/>
    <w:rsid w:val="005E3695"/>
    <w:rsid w:val="005E51AC"/>
    <w:rsid w:val="005E5B1E"/>
    <w:rsid w:val="005E5D78"/>
    <w:rsid w:val="005E6941"/>
    <w:rsid w:val="005E70D9"/>
    <w:rsid w:val="005E7189"/>
    <w:rsid w:val="005E74C7"/>
    <w:rsid w:val="005E775F"/>
    <w:rsid w:val="005E7967"/>
    <w:rsid w:val="005E7CC7"/>
    <w:rsid w:val="005F049B"/>
    <w:rsid w:val="005F1224"/>
    <w:rsid w:val="005F1329"/>
    <w:rsid w:val="005F1F1A"/>
    <w:rsid w:val="005F1F62"/>
    <w:rsid w:val="005F27DC"/>
    <w:rsid w:val="005F2C52"/>
    <w:rsid w:val="005F2D62"/>
    <w:rsid w:val="005F3624"/>
    <w:rsid w:val="005F37FF"/>
    <w:rsid w:val="005F3CB8"/>
    <w:rsid w:val="005F3EEE"/>
    <w:rsid w:val="005F3FB0"/>
    <w:rsid w:val="005F468E"/>
    <w:rsid w:val="005F469A"/>
    <w:rsid w:val="005F4C1D"/>
    <w:rsid w:val="005F4C9A"/>
    <w:rsid w:val="005F4EA4"/>
    <w:rsid w:val="005F5094"/>
    <w:rsid w:val="005F5217"/>
    <w:rsid w:val="005F521F"/>
    <w:rsid w:val="005F59BB"/>
    <w:rsid w:val="005F5C3A"/>
    <w:rsid w:val="005F6239"/>
    <w:rsid w:val="005F668A"/>
    <w:rsid w:val="005F69E9"/>
    <w:rsid w:val="005F6A7C"/>
    <w:rsid w:val="005F6CDD"/>
    <w:rsid w:val="005F6D6A"/>
    <w:rsid w:val="005F6DC6"/>
    <w:rsid w:val="005F6F5A"/>
    <w:rsid w:val="005F764C"/>
    <w:rsid w:val="005F788F"/>
    <w:rsid w:val="005F789C"/>
    <w:rsid w:val="005F7F33"/>
    <w:rsid w:val="006007FF"/>
    <w:rsid w:val="00600C52"/>
    <w:rsid w:val="00600CA3"/>
    <w:rsid w:val="00601177"/>
    <w:rsid w:val="006018F9"/>
    <w:rsid w:val="00601921"/>
    <w:rsid w:val="00601DFA"/>
    <w:rsid w:val="00601F12"/>
    <w:rsid w:val="00602419"/>
    <w:rsid w:val="00602A86"/>
    <w:rsid w:val="00602F06"/>
    <w:rsid w:val="006030E3"/>
    <w:rsid w:val="006034FE"/>
    <w:rsid w:val="00603932"/>
    <w:rsid w:val="00604193"/>
    <w:rsid w:val="006044D8"/>
    <w:rsid w:val="006045C1"/>
    <w:rsid w:val="0060461E"/>
    <w:rsid w:val="0060502C"/>
    <w:rsid w:val="00606084"/>
    <w:rsid w:val="006060A7"/>
    <w:rsid w:val="00606117"/>
    <w:rsid w:val="00606630"/>
    <w:rsid w:val="006066CE"/>
    <w:rsid w:val="0060682B"/>
    <w:rsid w:val="006074BA"/>
    <w:rsid w:val="00607832"/>
    <w:rsid w:val="0060784D"/>
    <w:rsid w:val="006079B6"/>
    <w:rsid w:val="00607A8F"/>
    <w:rsid w:val="00610295"/>
    <w:rsid w:val="00610BC3"/>
    <w:rsid w:val="0061132F"/>
    <w:rsid w:val="006118FB"/>
    <w:rsid w:val="00611B6B"/>
    <w:rsid w:val="00612179"/>
    <w:rsid w:val="006122E2"/>
    <w:rsid w:val="006125E4"/>
    <w:rsid w:val="00612C6B"/>
    <w:rsid w:val="006133E3"/>
    <w:rsid w:val="0061374C"/>
    <w:rsid w:val="00613CE9"/>
    <w:rsid w:val="006154EA"/>
    <w:rsid w:val="00615D91"/>
    <w:rsid w:val="00616A5C"/>
    <w:rsid w:val="00616C4B"/>
    <w:rsid w:val="00616D25"/>
    <w:rsid w:val="0061717D"/>
    <w:rsid w:val="00617361"/>
    <w:rsid w:val="00617E34"/>
    <w:rsid w:val="00620164"/>
    <w:rsid w:val="006203A8"/>
    <w:rsid w:val="006207D4"/>
    <w:rsid w:val="00621AC1"/>
    <w:rsid w:val="00621D73"/>
    <w:rsid w:val="00621F65"/>
    <w:rsid w:val="00622AE6"/>
    <w:rsid w:val="00622DD0"/>
    <w:rsid w:val="00622FE9"/>
    <w:rsid w:val="006242E0"/>
    <w:rsid w:val="00624EDE"/>
    <w:rsid w:val="00625334"/>
    <w:rsid w:val="00625403"/>
    <w:rsid w:val="00625579"/>
    <w:rsid w:val="00625789"/>
    <w:rsid w:val="00625A5D"/>
    <w:rsid w:val="00625F12"/>
    <w:rsid w:val="00625F5D"/>
    <w:rsid w:val="00626E9E"/>
    <w:rsid w:val="00626EA3"/>
    <w:rsid w:val="00626FEC"/>
    <w:rsid w:val="006274E3"/>
    <w:rsid w:val="00627FF5"/>
    <w:rsid w:val="00630BBE"/>
    <w:rsid w:val="006311E2"/>
    <w:rsid w:val="00631692"/>
    <w:rsid w:val="006319A9"/>
    <w:rsid w:val="00631AD8"/>
    <w:rsid w:val="00631B2E"/>
    <w:rsid w:val="0063237F"/>
    <w:rsid w:val="006323B0"/>
    <w:rsid w:val="00632DFA"/>
    <w:rsid w:val="006334D5"/>
    <w:rsid w:val="006336F4"/>
    <w:rsid w:val="00634E92"/>
    <w:rsid w:val="006352C4"/>
    <w:rsid w:val="00635C1F"/>
    <w:rsid w:val="00635DAF"/>
    <w:rsid w:val="006363E7"/>
    <w:rsid w:val="00636CCF"/>
    <w:rsid w:val="00636D0F"/>
    <w:rsid w:val="0063718C"/>
    <w:rsid w:val="006377E4"/>
    <w:rsid w:val="00637E42"/>
    <w:rsid w:val="00637FAC"/>
    <w:rsid w:val="00640C15"/>
    <w:rsid w:val="006412DC"/>
    <w:rsid w:val="00641390"/>
    <w:rsid w:val="0064153A"/>
    <w:rsid w:val="00641CEC"/>
    <w:rsid w:val="0064219D"/>
    <w:rsid w:val="00642290"/>
    <w:rsid w:val="00642378"/>
    <w:rsid w:val="00642639"/>
    <w:rsid w:val="00642C2E"/>
    <w:rsid w:val="00642DF2"/>
    <w:rsid w:val="0064329F"/>
    <w:rsid w:val="0064365C"/>
    <w:rsid w:val="00643A1A"/>
    <w:rsid w:val="00643C36"/>
    <w:rsid w:val="006440D1"/>
    <w:rsid w:val="0064421D"/>
    <w:rsid w:val="00644483"/>
    <w:rsid w:val="006447B1"/>
    <w:rsid w:val="00645412"/>
    <w:rsid w:val="00645821"/>
    <w:rsid w:val="00645AF3"/>
    <w:rsid w:val="00646BBC"/>
    <w:rsid w:val="00647093"/>
    <w:rsid w:val="00647306"/>
    <w:rsid w:val="006476BA"/>
    <w:rsid w:val="00650078"/>
    <w:rsid w:val="00650149"/>
    <w:rsid w:val="00650B56"/>
    <w:rsid w:val="00650B93"/>
    <w:rsid w:val="00650FCF"/>
    <w:rsid w:val="006518FA"/>
    <w:rsid w:val="006521D4"/>
    <w:rsid w:val="00652278"/>
    <w:rsid w:val="0065229D"/>
    <w:rsid w:val="006522E3"/>
    <w:rsid w:val="00652328"/>
    <w:rsid w:val="006523B7"/>
    <w:rsid w:val="0065277A"/>
    <w:rsid w:val="00652B02"/>
    <w:rsid w:val="00652D46"/>
    <w:rsid w:val="0065324D"/>
    <w:rsid w:val="0065357F"/>
    <w:rsid w:val="0065393C"/>
    <w:rsid w:val="00653C3A"/>
    <w:rsid w:val="00653D19"/>
    <w:rsid w:val="00653DA7"/>
    <w:rsid w:val="00653F9B"/>
    <w:rsid w:val="006542FB"/>
    <w:rsid w:val="0065431A"/>
    <w:rsid w:val="00654CFE"/>
    <w:rsid w:val="00654D99"/>
    <w:rsid w:val="0065526C"/>
    <w:rsid w:val="00655564"/>
    <w:rsid w:val="00656903"/>
    <w:rsid w:val="00657A45"/>
    <w:rsid w:val="00657DBC"/>
    <w:rsid w:val="00657F66"/>
    <w:rsid w:val="0066055E"/>
    <w:rsid w:val="006605E1"/>
    <w:rsid w:val="00660A46"/>
    <w:rsid w:val="00660B83"/>
    <w:rsid w:val="00660C8D"/>
    <w:rsid w:val="006612CE"/>
    <w:rsid w:val="00661437"/>
    <w:rsid w:val="0066147A"/>
    <w:rsid w:val="006617C2"/>
    <w:rsid w:val="00661EE4"/>
    <w:rsid w:val="0066222F"/>
    <w:rsid w:val="0066263E"/>
    <w:rsid w:val="006629B5"/>
    <w:rsid w:val="00663684"/>
    <w:rsid w:val="00663AB6"/>
    <w:rsid w:val="006648AF"/>
    <w:rsid w:val="0066498C"/>
    <w:rsid w:val="00664BCE"/>
    <w:rsid w:val="00665635"/>
    <w:rsid w:val="0066578E"/>
    <w:rsid w:val="006658C5"/>
    <w:rsid w:val="00665B4B"/>
    <w:rsid w:val="00665B85"/>
    <w:rsid w:val="00666531"/>
    <w:rsid w:val="006665E6"/>
    <w:rsid w:val="00666777"/>
    <w:rsid w:val="00666AC6"/>
    <w:rsid w:val="00666C03"/>
    <w:rsid w:val="00666DBE"/>
    <w:rsid w:val="00666F65"/>
    <w:rsid w:val="00666F6F"/>
    <w:rsid w:val="00667018"/>
    <w:rsid w:val="00667496"/>
    <w:rsid w:val="006674A9"/>
    <w:rsid w:val="00667721"/>
    <w:rsid w:val="00667E7C"/>
    <w:rsid w:val="00667F16"/>
    <w:rsid w:val="00667F6B"/>
    <w:rsid w:val="00667F81"/>
    <w:rsid w:val="00670210"/>
    <w:rsid w:val="0067070D"/>
    <w:rsid w:val="00670A3F"/>
    <w:rsid w:val="00670A4B"/>
    <w:rsid w:val="00670ADD"/>
    <w:rsid w:val="00670C5A"/>
    <w:rsid w:val="0067119C"/>
    <w:rsid w:val="0067125A"/>
    <w:rsid w:val="0067138F"/>
    <w:rsid w:val="0067149D"/>
    <w:rsid w:val="00671723"/>
    <w:rsid w:val="0067185A"/>
    <w:rsid w:val="00671CE8"/>
    <w:rsid w:val="00671DC6"/>
    <w:rsid w:val="006722AB"/>
    <w:rsid w:val="0067231A"/>
    <w:rsid w:val="00672618"/>
    <w:rsid w:val="0067274F"/>
    <w:rsid w:val="00672A4F"/>
    <w:rsid w:val="00672ED3"/>
    <w:rsid w:val="006737B0"/>
    <w:rsid w:val="00674597"/>
    <w:rsid w:val="00674818"/>
    <w:rsid w:val="00674C86"/>
    <w:rsid w:val="0067517E"/>
    <w:rsid w:val="00675DEF"/>
    <w:rsid w:val="00676929"/>
    <w:rsid w:val="00676B46"/>
    <w:rsid w:val="00676E78"/>
    <w:rsid w:val="00676E94"/>
    <w:rsid w:val="0067751B"/>
    <w:rsid w:val="00677EF1"/>
    <w:rsid w:val="00677FF0"/>
    <w:rsid w:val="00680073"/>
    <w:rsid w:val="00680360"/>
    <w:rsid w:val="00680848"/>
    <w:rsid w:val="006810F9"/>
    <w:rsid w:val="006812E2"/>
    <w:rsid w:val="00681997"/>
    <w:rsid w:val="00681C38"/>
    <w:rsid w:val="00681D87"/>
    <w:rsid w:val="006823F4"/>
    <w:rsid w:val="00682649"/>
    <w:rsid w:val="00682D55"/>
    <w:rsid w:val="00682D91"/>
    <w:rsid w:val="0068372A"/>
    <w:rsid w:val="00684102"/>
    <w:rsid w:val="006842D0"/>
    <w:rsid w:val="006844B3"/>
    <w:rsid w:val="006846A3"/>
    <w:rsid w:val="006847CD"/>
    <w:rsid w:val="00684D74"/>
    <w:rsid w:val="006858B7"/>
    <w:rsid w:val="00685A18"/>
    <w:rsid w:val="00685E03"/>
    <w:rsid w:val="00685F7E"/>
    <w:rsid w:val="00686077"/>
    <w:rsid w:val="00686786"/>
    <w:rsid w:val="0068689C"/>
    <w:rsid w:val="00686DDF"/>
    <w:rsid w:val="00687516"/>
    <w:rsid w:val="0068792A"/>
    <w:rsid w:val="00687FB5"/>
    <w:rsid w:val="00690902"/>
    <w:rsid w:val="00690963"/>
    <w:rsid w:val="00691C71"/>
    <w:rsid w:val="00691EE7"/>
    <w:rsid w:val="006920B8"/>
    <w:rsid w:val="00692155"/>
    <w:rsid w:val="00692909"/>
    <w:rsid w:val="00692DE2"/>
    <w:rsid w:val="00693207"/>
    <w:rsid w:val="00693791"/>
    <w:rsid w:val="00693851"/>
    <w:rsid w:val="0069389F"/>
    <w:rsid w:val="00693C3A"/>
    <w:rsid w:val="00693D26"/>
    <w:rsid w:val="00693E83"/>
    <w:rsid w:val="006950E7"/>
    <w:rsid w:val="006950F7"/>
    <w:rsid w:val="006953E6"/>
    <w:rsid w:val="006954E3"/>
    <w:rsid w:val="00695B3E"/>
    <w:rsid w:val="00695DE2"/>
    <w:rsid w:val="006962A9"/>
    <w:rsid w:val="00696321"/>
    <w:rsid w:val="006963FB"/>
    <w:rsid w:val="0069656D"/>
    <w:rsid w:val="006967EE"/>
    <w:rsid w:val="0069744C"/>
    <w:rsid w:val="0069791F"/>
    <w:rsid w:val="00697BF0"/>
    <w:rsid w:val="006A152F"/>
    <w:rsid w:val="006A18FD"/>
    <w:rsid w:val="006A1A02"/>
    <w:rsid w:val="006A1AD7"/>
    <w:rsid w:val="006A2199"/>
    <w:rsid w:val="006A2751"/>
    <w:rsid w:val="006A2770"/>
    <w:rsid w:val="006A2EDD"/>
    <w:rsid w:val="006A315B"/>
    <w:rsid w:val="006A320F"/>
    <w:rsid w:val="006A34EB"/>
    <w:rsid w:val="006A3D51"/>
    <w:rsid w:val="006A4094"/>
    <w:rsid w:val="006A42B3"/>
    <w:rsid w:val="006A465D"/>
    <w:rsid w:val="006A5287"/>
    <w:rsid w:val="006A5398"/>
    <w:rsid w:val="006A5C6B"/>
    <w:rsid w:val="006A6405"/>
    <w:rsid w:val="006A6897"/>
    <w:rsid w:val="006A696B"/>
    <w:rsid w:val="006A6AB1"/>
    <w:rsid w:val="006A7387"/>
    <w:rsid w:val="006A74AA"/>
    <w:rsid w:val="006A772B"/>
    <w:rsid w:val="006A7C56"/>
    <w:rsid w:val="006B067B"/>
    <w:rsid w:val="006B08BE"/>
    <w:rsid w:val="006B093E"/>
    <w:rsid w:val="006B1212"/>
    <w:rsid w:val="006B139C"/>
    <w:rsid w:val="006B140D"/>
    <w:rsid w:val="006B158B"/>
    <w:rsid w:val="006B1C82"/>
    <w:rsid w:val="006B1E86"/>
    <w:rsid w:val="006B216C"/>
    <w:rsid w:val="006B2267"/>
    <w:rsid w:val="006B22A9"/>
    <w:rsid w:val="006B2441"/>
    <w:rsid w:val="006B260A"/>
    <w:rsid w:val="006B2804"/>
    <w:rsid w:val="006B2A95"/>
    <w:rsid w:val="006B2EA0"/>
    <w:rsid w:val="006B31FD"/>
    <w:rsid w:val="006B32F3"/>
    <w:rsid w:val="006B3D38"/>
    <w:rsid w:val="006B3EB8"/>
    <w:rsid w:val="006B46AE"/>
    <w:rsid w:val="006B4814"/>
    <w:rsid w:val="006B4A22"/>
    <w:rsid w:val="006B4B71"/>
    <w:rsid w:val="006B4D2E"/>
    <w:rsid w:val="006B5F51"/>
    <w:rsid w:val="006B6835"/>
    <w:rsid w:val="006B6C60"/>
    <w:rsid w:val="006B7BD5"/>
    <w:rsid w:val="006C05F7"/>
    <w:rsid w:val="006C07A1"/>
    <w:rsid w:val="006C0942"/>
    <w:rsid w:val="006C0A1F"/>
    <w:rsid w:val="006C0E3C"/>
    <w:rsid w:val="006C101B"/>
    <w:rsid w:val="006C14E0"/>
    <w:rsid w:val="006C16D9"/>
    <w:rsid w:val="006C1900"/>
    <w:rsid w:val="006C1E51"/>
    <w:rsid w:val="006C2323"/>
    <w:rsid w:val="006C3F76"/>
    <w:rsid w:val="006C46A0"/>
    <w:rsid w:val="006C4A8F"/>
    <w:rsid w:val="006C4D7C"/>
    <w:rsid w:val="006C4EB3"/>
    <w:rsid w:val="006C5088"/>
    <w:rsid w:val="006C50C3"/>
    <w:rsid w:val="006C51C9"/>
    <w:rsid w:val="006C5347"/>
    <w:rsid w:val="006C58CE"/>
    <w:rsid w:val="006C6077"/>
    <w:rsid w:val="006C63A2"/>
    <w:rsid w:val="006C6B24"/>
    <w:rsid w:val="006C6EA3"/>
    <w:rsid w:val="006C6F4A"/>
    <w:rsid w:val="006C70EA"/>
    <w:rsid w:val="006C76B4"/>
    <w:rsid w:val="006C7867"/>
    <w:rsid w:val="006C7BE4"/>
    <w:rsid w:val="006C7FE2"/>
    <w:rsid w:val="006D049C"/>
    <w:rsid w:val="006D06F3"/>
    <w:rsid w:val="006D1907"/>
    <w:rsid w:val="006D1FE5"/>
    <w:rsid w:val="006D28B2"/>
    <w:rsid w:val="006D316D"/>
    <w:rsid w:val="006D35C8"/>
    <w:rsid w:val="006D38C5"/>
    <w:rsid w:val="006D3DED"/>
    <w:rsid w:val="006D3E1E"/>
    <w:rsid w:val="006D3FD1"/>
    <w:rsid w:val="006D42EF"/>
    <w:rsid w:val="006D4C34"/>
    <w:rsid w:val="006D4EFD"/>
    <w:rsid w:val="006D55DB"/>
    <w:rsid w:val="006D573F"/>
    <w:rsid w:val="006D5F7F"/>
    <w:rsid w:val="006D61DA"/>
    <w:rsid w:val="006D633B"/>
    <w:rsid w:val="006D6465"/>
    <w:rsid w:val="006D6751"/>
    <w:rsid w:val="006D6753"/>
    <w:rsid w:val="006D7112"/>
    <w:rsid w:val="006D7ABC"/>
    <w:rsid w:val="006D7B33"/>
    <w:rsid w:val="006D7B36"/>
    <w:rsid w:val="006D7C92"/>
    <w:rsid w:val="006D7D95"/>
    <w:rsid w:val="006E00B7"/>
    <w:rsid w:val="006E0160"/>
    <w:rsid w:val="006E05C9"/>
    <w:rsid w:val="006E06B1"/>
    <w:rsid w:val="006E08C8"/>
    <w:rsid w:val="006E0957"/>
    <w:rsid w:val="006E10D9"/>
    <w:rsid w:val="006E18CF"/>
    <w:rsid w:val="006E1FF6"/>
    <w:rsid w:val="006E229B"/>
    <w:rsid w:val="006E25FF"/>
    <w:rsid w:val="006E2B1E"/>
    <w:rsid w:val="006E2F30"/>
    <w:rsid w:val="006E31E3"/>
    <w:rsid w:val="006E32B1"/>
    <w:rsid w:val="006E3738"/>
    <w:rsid w:val="006E3F8C"/>
    <w:rsid w:val="006E4368"/>
    <w:rsid w:val="006E4815"/>
    <w:rsid w:val="006E4ADB"/>
    <w:rsid w:val="006E5680"/>
    <w:rsid w:val="006E5A19"/>
    <w:rsid w:val="006E5F1E"/>
    <w:rsid w:val="006E6532"/>
    <w:rsid w:val="006E725E"/>
    <w:rsid w:val="006E7547"/>
    <w:rsid w:val="006E7E11"/>
    <w:rsid w:val="006F056D"/>
    <w:rsid w:val="006F11AF"/>
    <w:rsid w:val="006F1F0B"/>
    <w:rsid w:val="006F205D"/>
    <w:rsid w:val="006F225B"/>
    <w:rsid w:val="006F2269"/>
    <w:rsid w:val="006F293C"/>
    <w:rsid w:val="006F2D8D"/>
    <w:rsid w:val="006F3A7B"/>
    <w:rsid w:val="006F4882"/>
    <w:rsid w:val="006F5190"/>
    <w:rsid w:val="006F51A2"/>
    <w:rsid w:val="006F56EE"/>
    <w:rsid w:val="006F56F0"/>
    <w:rsid w:val="006F62A8"/>
    <w:rsid w:val="006F648B"/>
    <w:rsid w:val="006F684B"/>
    <w:rsid w:val="006F6F83"/>
    <w:rsid w:val="006F7112"/>
    <w:rsid w:val="00700C02"/>
    <w:rsid w:val="00700CBF"/>
    <w:rsid w:val="00700D64"/>
    <w:rsid w:val="00700D85"/>
    <w:rsid w:val="00700F90"/>
    <w:rsid w:val="0070100D"/>
    <w:rsid w:val="00701DE3"/>
    <w:rsid w:val="00701E40"/>
    <w:rsid w:val="0070210E"/>
    <w:rsid w:val="00702868"/>
    <w:rsid w:val="00702888"/>
    <w:rsid w:val="00702CB5"/>
    <w:rsid w:val="00702D2F"/>
    <w:rsid w:val="00703383"/>
    <w:rsid w:val="007033C8"/>
    <w:rsid w:val="007041E7"/>
    <w:rsid w:val="007043E8"/>
    <w:rsid w:val="0070469F"/>
    <w:rsid w:val="00704E03"/>
    <w:rsid w:val="007051BE"/>
    <w:rsid w:val="0070567C"/>
    <w:rsid w:val="00706653"/>
    <w:rsid w:val="00706774"/>
    <w:rsid w:val="007069DA"/>
    <w:rsid w:val="00706B03"/>
    <w:rsid w:val="00706F15"/>
    <w:rsid w:val="00706F4F"/>
    <w:rsid w:val="00707DED"/>
    <w:rsid w:val="0071059F"/>
    <w:rsid w:val="0071129D"/>
    <w:rsid w:val="007116EA"/>
    <w:rsid w:val="00711B13"/>
    <w:rsid w:val="00712183"/>
    <w:rsid w:val="00712651"/>
    <w:rsid w:val="00712B26"/>
    <w:rsid w:val="00712CC0"/>
    <w:rsid w:val="00713CB4"/>
    <w:rsid w:val="00713DB4"/>
    <w:rsid w:val="0071439C"/>
    <w:rsid w:val="0071454C"/>
    <w:rsid w:val="0071455A"/>
    <w:rsid w:val="007146A4"/>
    <w:rsid w:val="00715223"/>
    <w:rsid w:val="00715B5B"/>
    <w:rsid w:val="00715BF2"/>
    <w:rsid w:val="0071649C"/>
    <w:rsid w:val="007164F7"/>
    <w:rsid w:val="007166A2"/>
    <w:rsid w:val="007166D0"/>
    <w:rsid w:val="007166E1"/>
    <w:rsid w:val="007168BE"/>
    <w:rsid w:val="0071697E"/>
    <w:rsid w:val="00716C53"/>
    <w:rsid w:val="00716FD1"/>
    <w:rsid w:val="00717B62"/>
    <w:rsid w:val="00717EA8"/>
    <w:rsid w:val="00717F5F"/>
    <w:rsid w:val="0072016C"/>
    <w:rsid w:val="007201AD"/>
    <w:rsid w:val="0072077D"/>
    <w:rsid w:val="007207BB"/>
    <w:rsid w:val="0072147F"/>
    <w:rsid w:val="00721F15"/>
    <w:rsid w:val="0072235A"/>
    <w:rsid w:val="00722B28"/>
    <w:rsid w:val="00722C62"/>
    <w:rsid w:val="00723A27"/>
    <w:rsid w:val="00723A48"/>
    <w:rsid w:val="0072406D"/>
    <w:rsid w:val="007240D2"/>
    <w:rsid w:val="00725501"/>
    <w:rsid w:val="007255F1"/>
    <w:rsid w:val="00725E44"/>
    <w:rsid w:val="0072607A"/>
    <w:rsid w:val="0072622E"/>
    <w:rsid w:val="00726380"/>
    <w:rsid w:val="007269F9"/>
    <w:rsid w:val="0072749C"/>
    <w:rsid w:val="007279E3"/>
    <w:rsid w:val="007279FC"/>
    <w:rsid w:val="00727EA1"/>
    <w:rsid w:val="00730058"/>
    <w:rsid w:val="00730385"/>
    <w:rsid w:val="00730CAF"/>
    <w:rsid w:val="00731050"/>
    <w:rsid w:val="00731604"/>
    <w:rsid w:val="007318B3"/>
    <w:rsid w:val="00731A40"/>
    <w:rsid w:val="00731ABF"/>
    <w:rsid w:val="00731EFC"/>
    <w:rsid w:val="007320A4"/>
    <w:rsid w:val="007328A7"/>
    <w:rsid w:val="007328AE"/>
    <w:rsid w:val="00733214"/>
    <w:rsid w:val="007334F7"/>
    <w:rsid w:val="00733B2E"/>
    <w:rsid w:val="007341C1"/>
    <w:rsid w:val="007344FE"/>
    <w:rsid w:val="00734A9D"/>
    <w:rsid w:val="00734CD6"/>
    <w:rsid w:val="00735BB9"/>
    <w:rsid w:val="00735C8F"/>
    <w:rsid w:val="007361A7"/>
    <w:rsid w:val="007365AB"/>
    <w:rsid w:val="007368C0"/>
    <w:rsid w:val="00736D93"/>
    <w:rsid w:val="0073711D"/>
    <w:rsid w:val="00737454"/>
    <w:rsid w:val="0073766C"/>
    <w:rsid w:val="0073785C"/>
    <w:rsid w:val="00737AAE"/>
    <w:rsid w:val="00737B4B"/>
    <w:rsid w:val="00737CC5"/>
    <w:rsid w:val="007407AF"/>
    <w:rsid w:val="00740998"/>
    <w:rsid w:val="00740BD7"/>
    <w:rsid w:val="00740CA4"/>
    <w:rsid w:val="00741AA7"/>
    <w:rsid w:val="00742141"/>
    <w:rsid w:val="00742259"/>
    <w:rsid w:val="00742C0B"/>
    <w:rsid w:val="00742D37"/>
    <w:rsid w:val="00742F7D"/>
    <w:rsid w:val="007434B1"/>
    <w:rsid w:val="0074352D"/>
    <w:rsid w:val="007435DC"/>
    <w:rsid w:val="0074392C"/>
    <w:rsid w:val="00743CAA"/>
    <w:rsid w:val="00743E19"/>
    <w:rsid w:val="00744007"/>
    <w:rsid w:val="00744674"/>
    <w:rsid w:val="007446CB"/>
    <w:rsid w:val="00744FF2"/>
    <w:rsid w:val="00745D4F"/>
    <w:rsid w:val="0074637F"/>
    <w:rsid w:val="00746D5B"/>
    <w:rsid w:val="0074742A"/>
    <w:rsid w:val="00750069"/>
    <w:rsid w:val="0075009C"/>
    <w:rsid w:val="007504CF"/>
    <w:rsid w:val="00750664"/>
    <w:rsid w:val="00750907"/>
    <w:rsid w:val="00750947"/>
    <w:rsid w:val="00750A5B"/>
    <w:rsid w:val="00750C9D"/>
    <w:rsid w:val="00751055"/>
    <w:rsid w:val="00751166"/>
    <w:rsid w:val="00751AE1"/>
    <w:rsid w:val="007520DE"/>
    <w:rsid w:val="0075230F"/>
    <w:rsid w:val="0075242E"/>
    <w:rsid w:val="007525D0"/>
    <w:rsid w:val="007526A6"/>
    <w:rsid w:val="00752752"/>
    <w:rsid w:val="00753816"/>
    <w:rsid w:val="00753DE7"/>
    <w:rsid w:val="0075414E"/>
    <w:rsid w:val="00754165"/>
    <w:rsid w:val="007542E6"/>
    <w:rsid w:val="007544D4"/>
    <w:rsid w:val="00754A09"/>
    <w:rsid w:val="00754A82"/>
    <w:rsid w:val="00754C21"/>
    <w:rsid w:val="00754CA2"/>
    <w:rsid w:val="0075501D"/>
    <w:rsid w:val="0075520F"/>
    <w:rsid w:val="0075573E"/>
    <w:rsid w:val="00755DCB"/>
    <w:rsid w:val="00755F05"/>
    <w:rsid w:val="00756412"/>
    <w:rsid w:val="00756419"/>
    <w:rsid w:val="007568E8"/>
    <w:rsid w:val="00756975"/>
    <w:rsid w:val="00756B6D"/>
    <w:rsid w:val="00756BF8"/>
    <w:rsid w:val="00756C31"/>
    <w:rsid w:val="00756F9F"/>
    <w:rsid w:val="00757289"/>
    <w:rsid w:val="007572F6"/>
    <w:rsid w:val="0075745C"/>
    <w:rsid w:val="00757608"/>
    <w:rsid w:val="007576B6"/>
    <w:rsid w:val="00757715"/>
    <w:rsid w:val="007601F4"/>
    <w:rsid w:val="0076044D"/>
    <w:rsid w:val="007606B0"/>
    <w:rsid w:val="0076099F"/>
    <w:rsid w:val="00760A1D"/>
    <w:rsid w:val="00760A43"/>
    <w:rsid w:val="00760C33"/>
    <w:rsid w:val="00761321"/>
    <w:rsid w:val="0076142A"/>
    <w:rsid w:val="007616B8"/>
    <w:rsid w:val="007616C5"/>
    <w:rsid w:val="00761E03"/>
    <w:rsid w:val="00761F5E"/>
    <w:rsid w:val="007621D8"/>
    <w:rsid w:val="00762611"/>
    <w:rsid w:val="00762727"/>
    <w:rsid w:val="00762972"/>
    <w:rsid w:val="00762FCA"/>
    <w:rsid w:val="00763497"/>
    <w:rsid w:val="0076376A"/>
    <w:rsid w:val="007642B9"/>
    <w:rsid w:val="00764674"/>
    <w:rsid w:val="00764D21"/>
    <w:rsid w:val="00764EB1"/>
    <w:rsid w:val="0076523E"/>
    <w:rsid w:val="007656D3"/>
    <w:rsid w:val="00766744"/>
    <w:rsid w:val="00766AC7"/>
    <w:rsid w:val="00766D32"/>
    <w:rsid w:val="00766E11"/>
    <w:rsid w:val="00770C79"/>
    <w:rsid w:val="00771078"/>
    <w:rsid w:val="00771289"/>
    <w:rsid w:val="00771607"/>
    <w:rsid w:val="007728E2"/>
    <w:rsid w:val="0077310E"/>
    <w:rsid w:val="00773134"/>
    <w:rsid w:val="007734B3"/>
    <w:rsid w:val="00773724"/>
    <w:rsid w:val="00773D8D"/>
    <w:rsid w:val="007745D1"/>
    <w:rsid w:val="00774D22"/>
    <w:rsid w:val="00774FEC"/>
    <w:rsid w:val="00775318"/>
    <w:rsid w:val="0077547A"/>
    <w:rsid w:val="00775532"/>
    <w:rsid w:val="00775846"/>
    <w:rsid w:val="00775B26"/>
    <w:rsid w:val="00775C14"/>
    <w:rsid w:val="0077616A"/>
    <w:rsid w:val="007768E9"/>
    <w:rsid w:val="00776B87"/>
    <w:rsid w:val="007771E0"/>
    <w:rsid w:val="00777925"/>
    <w:rsid w:val="007779F8"/>
    <w:rsid w:val="00777A20"/>
    <w:rsid w:val="00777B52"/>
    <w:rsid w:val="00777D9C"/>
    <w:rsid w:val="00777EA4"/>
    <w:rsid w:val="007803C4"/>
    <w:rsid w:val="00780AB0"/>
    <w:rsid w:val="00780DC3"/>
    <w:rsid w:val="00781414"/>
    <w:rsid w:val="00781CE7"/>
    <w:rsid w:val="0078228E"/>
    <w:rsid w:val="00782B8C"/>
    <w:rsid w:val="00782BA3"/>
    <w:rsid w:val="00782DFC"/>
    <w:rsid w:val="0078375F"/>
    <w:rsid w:val="00783B6F"/>
    <w:rsid w:val="00783ECC"/>
    <w:rsid w:val="00784740"/>
    <w:rsid w:val="00784F11"/>
    <w:rsid w:val="00784F79"/>
    <w:rsid w:val="00785CE9"/>
    <w:rsid w:val="00785F6D"/>
    <w:rsid w:val="00786460"/>
    <w:rsid w:val="00786713"/>
    <w:rsid w:val="007869F4"/>
    <w:rsid w:val="00786A25"/>
    <w:rsid w:val="00787582"/>
    <w:rsid w:val="007877FB"/>
    <w:rsid w:val="00787DC7"/>
    <w:rsid w:val="00787F1B"/>
    <w:rsid w:val="00790EAB"/>
    <w:rsid w:val="007910AF"/>
    <w:rsid w:val="0079125A"/>
    <w:rsid w:val="00791551"/>
    <w:rsid w:val="0079158F"/>
    <w:rsid w:val="00791ABB"/>
    <w:rsid w:val="00791B90"/>
    <w:rsid w:val="0079200B"/>
    <w:rsid w:val="007925DE"/>
    <w:rsid w:val="00792ACA"/>
    <w:rsid w:val="00792C00"/>
    <w:rsid w:val="0079315A"/>
    <w:rsid w:val="00793231"/>
    <w:rsid w:val="0079385B"/>
    <w:rsid w:val="007938FF"/>
    <w:rsid w:val="00793F0B"/>
    <w:rsid w:val="00793FC0"/>
    <w:rsid w:val="007948FB"/>
    <w:rsid w:val="00794904"/>
    <w:rsid w:val="00794BA8"/>
    <w:rsid w:val="00794E4E"/>
    <w:rsid w:val="00794FBE"/>
    <w:rsid w:val="0079540E"/>
    <w:rsid w:val="0079553A"/>
    <w:rsid w:val="00795557"/>
    <w:rsid w:val="007959C0"/>
    <w:rsid w:val="007967AC"/>
    <w:rsid w:val="00796C5C"/>
    <w:rsid w:val="00796D55"/>
    <w:rsid w:val="0079783D"/>
    <w:rsid w:val="007978A6"/>
    <w:rsid w:val="00797A24"/>
    <w:rsid w:val="00797DE4"/>
    <w:rsid w:val="00797DEA"/>
    <w:rsid w:val="007A02C0"/>
    <w:rsid w:val="007A0629"/>
    <w:rsid w:val="007A0F45"/>
    <w:rsid w:val="007A154A"/>
    <w:rsid w:val="007A1812"/>
    <w:rsid w:val="007A1A90"/>
    <w:rsid w:val="007A1C6D"/>
    <w:rsid w:val="007A20BB"/>
    <w:rsid w:val="007A20D4"/>
    <w:rsid w:val="007A2184"/>
    <w:rsid w:val="007A2275"/>
    <w:rsid w:val="007A288D"/>
    <w:rsid w:val="007A2A1D"/>
    <w:rsid w:val="007A2B2B"/>
    <w:rsid w:val="007A3118"/>
    <w:rsid w:val="007A334C"/>
    <w:rsid w:val="007A33BC"/>
    <w:rsid w:val="007A3D26"/>
    <w:rsid w:val="007A48EC"/>
    <w:rsid w:val="007A4A11"/>
    <w:rsid w:val="007A4A8F"/>
    <w:rsid w:val="007A4E24"/>
    <w:rsid w:val="007A50EA"/>
    <w:rsid w:val="007A521E"/>
    <w:rsid w:val="007A554D"/>
    <w:rsid w:val="007A558B"/>
    <w:rsid w:val="007A579D"/>
    <w:rsid w:val="007A5832"/>
    <w:rsid w:val="007A5DFB"/>
    <w:rsid w:val="007A5EF5"/>
    <w:rsid w:val="007A6533"/>
    <w:rsid w:val="007A698D"/>
    <w:rsid w:val="007A72BE"/>
    <w:rsid w:val="007A73B7"/>
    <w:rsid w:val="007A7B2D"/>
    <w:rsid w:val="007A7B2F"/>
    <w:rsid w:val="007A7B5F"/>
    <w:rsid w:val="007B0001"/>
    <w:rsid w:val="007B00C4"/>
    <w:rsid w:val="007B01AA"/>
    <w:rsid w:val="007B03B2"/>
    <w:rsid w:val="007B0492"/>
    <w:rsid w:val="007B065A"/>
    <w:rsid w:val="007B06A2"/>
    <w:rsid w:val="007B0ADB"/>
    <w:rsid w:val="007B0AFE"/>
    <w:rsid w:val="007B0CA4"/>
    <w:rsid w:val="007B0E41"/>
    <w:rsid w:val="007B12EA"/>
    <w:rsid w:val="007B13F2"/>
    <w:rsid w:val="007B1D28"/>
    <w:rsid w:val="007B1F11"/>
    <w:rsid w:val="007B25AB"/>
    <w:rsid w:val="007B2AA4"/>
    <w:rsid w:val="007B2E51"/>
    <w:rsid w:val="007B33B1"/>
    <w:rsid w:val="007B357D"/>
    <w:rsid w:val="007B3930"/>
    <w:rsid w:val="007B3B3A"/>
    <w:rsid w:val="007B3C3E"/>
    <w:rsid w:val="007B3C46"/>
    <w:rsid w:val="007B42C9"/>
    <w:rsid w:val="007B4C9C"/>
    <w:rsid w:val="007B5343"/>
    <w:rsid w:val="007B5458"/>
    <w:rsid w:val="007B5738"/>
    <w:rsid w:val="007B63F7"/>
    <w:rsid w:val="007B704C"/>
    <w:rsid w:val="007B7555"/>
    <w:rsid w:val="007B75AF"/>
    <w:rsid w:val="007B7790"/>
    <w:rsid w:val="007B7884"/>
    <w:rsid w:val="007B7A39"/>
    <w:rsid w:val="007C0139"/>
    <w:rsid w:val="007C0154"/>
    <w:rsid w:val="007C069C"/>
    <w:rsid w:val="007C0A9B"/>
    <w:rsid w:val="007C0E13"/>
    <w:rsid w:val="007C15D4"/>
    <w:rsid w:val="007C181E"/>
    <w:rsid w:val="007C1880"/>
    <w:rsid w:val="007C25D2"/>
    <w:rsid w:val="007C2B9E"/>
    <w:rsid w:val="007C2C10"/>
    <w:rsid w:val="007C30CC"/>
    <w:rsid w:val="007C3723"/>
    <w:rsid w:val="007C3A83"/>
    <w:rsid w:val="007C42B5"/>
    <w:rsid w:val="007C5155"/>
    <w:rsid w:val="007C52B6"/>
    <w:rsid w:val="007C5B35"/>
    <w:rsid w:val="007C5B46"/>
    <w:rsid w:val="007C63F2"/>
    <w:rsid w:val="007C63FA"/>
    <w:rsid w:val="007C66E5"/>
    <w:rsid w:val="007C6741"/>
    <w:rsid w:val="007C69CA"/>
    <w:rsid w:val="007C6AF6"/>
    <w:rsid w:val="007C6F9B"/>
    <w:rsid w:val="007C7216"/>
    <w:rsid w:val="007C749C"/>
    <w:rsid w:val="007D008E"/>
    <w:rsid w:val="007D0585"/>
    <w:rsid w:val="007D0BA3"/>
    <w:rsid w:val="007D0DA3"/>
    <w:rsid w:val="007D2251"/>
    <w:rsid w:val="007D2440"/>
    <w:rsid w:val="007D2474"/>
    <w:rsid w:val="007D26A2"/>
    <w:rsid w:val="007D29F8"/>
    <w:rsid w:val="007D2E6F"/>
    <w:rsid w:val="007D314F"/>
    <w:rsid w:val="007D3B39"/>
    <w:rsid w:val="007D3FDB"/>
    <w:rsid w:val="007D469A"/>
    <w:rsid w:val="007D4C0A"/>
    <w:rsid w:val="007D4EDA"/>
    <w:rsid w:val="007D5071"/>
    <w:rsid w:val="007D575B"/>
    <w:rsid w:val="007D611F"/>
    <w:rsid w:val="007D6747"/>
    <w:rsid w:val="007D70BA"/>
    <w:rsid w:val="007D73DA"/>
    <w:rsid w:val="007D7775"/>
    <w:rsid w:val="007D7852"/>
    <w:rsid w:val="007D7C2E"/>
    <w:rsid w:val="007E0920"/>
    <w:rsid w:val="007E1060"/>
    <w:rsid w:val="007E1070"/>
    <w:rsid w:val="007E107F"/>
    <w:rsid w:val="007E10EC"/>
    <w:rsid w:val="007E13A1"/>
    <w:rsid w:val="007E170D"/>
    <w:rsid w:val="007E2178"/>
    <w:rsid w:val="007E2243"/>
    <w:rsid w:val="007E253C"/>
    <w:rsid w:val="007E27E0"/>
    <w:rsid w:val="007E2C00"/>
    <w:rsid w:val="007E2C8D"/>
    <w:rsid w:val="007E3DF4"/>
    <w:rsid w:val="007E3E4D"/>
    <w:rsid w:val="007E3FF0"/>
    <w:rsid w:val="007E4519"/>
    <w:rsid w:val="007E49AF"/>
    <w:rsid w:val="007E4B39"/>
    <w:rsid w:val="007E52EA"/>
    <w:rsid w:val="007E55A0"/>
    <w:rsid w:val="007E5C64"/>
    <w:rsid w:val="007E5FFA"/>
    <w:rsid w:val="007E66C9"/>
    <w:rsid w:val="007E6F53"/>
    <w:rsid w:val="007E6FC8"/>
    <w:rsid w:val="007E71E7"/>
    <w:rsid w:val="007E72E1"/>
    <w:rsid w:val="007E732E"/>
    <w:rsid w:val="007E74C1"/>
    <w:rsid w:val="007E75C7"/>
    <w:rsid w:val="007F0172"/>
    <w:rsid w:val="007F0377"/>
    <w:rsid w:val="007F0489"/>
    <w:rsid w:val="007F0639"/>
    <w:rsid w:val="007F07D5"/>
    <w:rsid w:val="007F0BC0"/>
    <w:rsid w:val="007F0F22"/>
    <w:rsid w:val="007F0FBA"/>
    <w:rsid w:val="007F158D"/>
    <w:rsid w:val="007F1D17"/>
    <w:rsid w:val="007F25EC"/>
    <w:rsid w:val="007F27CB"/>
    <w:rsid w:val="007F2C2C"/>
    <w:rsid w:val="007F30E1"/>
    <w:rsid w:val="007F3176"/>
    <w:rsid w:val="007F32EE"/>
    <w:rsid w:val="007F3552"/>
    <w:rsid w:val="007F3819"/>
    <w:rsid w:val="007F3DA8"/>
    <w:rsid w:val="007F40D8"/>
    <w:rsid w:val="007F444D"/>
    <w:rsid w:val="007F4660"/>
    <w:rsid w:val="007F47D9"/>
    <w:rsid w:val="007F4F87"/>
    <w:rsid w:val="007F5078"/>
    <w:rsid w:val="007F5719"/>
    <w:rsid w:val="007F58F5"/>
    <w:rsid w:val="007F5C32"/>
    <w:rsid w:val="007F6031"/>
    <w:rsid w:val="007F616D"/>
    <w:rsid w:val="007F6423"/>
    <w:rsid w:val="007F6E03"/>
    <w:rsid w:val="007F79EF"/>
    <w:rsid w:val="007F7BDD"/>
    <w:rsid w:val="007F7DEF"/>
    <w:rsid w:val="00800115"/>
    <w:rsid w:val="00800A1B"/>
    <w:rsid w:val="00800DD2"/>
    <w:rsid w:val="00800F46"/>
    <w:rsid w:val="00801033"/>
    <w:rsid w:val="00801570"/>
    <w:rsid w:val="00801B86"/>
    <w:rsid w:val="00801BEF"/>
    <w:rsid w:val="00801C0B"/>
    <w:rsid w:val="008020FC"/>
    <w:rsid w:val="00802662"/>
    <w:rsid w:val="0080287A"/>
    <w:rsid w:val="00803562"/>
    <w:rsid w:val="00803B21"/>
    <w:rsid w:val="00803CA0"/>
    <w:rsid w:val="00803DA2"/>
    <w:rsid w:val="00804048"/>
    <w:rsid w:val="00804917"/>
    <w:rsid w:val="00804B36"/>
    <w:rsid w:val="00804B55"/>
    <w:rsid w:val="00804CE4"/>
    <w:rsid w:val="008051E9"/>
    <w:rsid w:val="008052A1"/>
    <w:rsid w:val="00805395"/>
    <w:rsid w:val="0080588B"/>
    <w:rsid w:val="00805B70"/>
    <w:rsid w:val="00806119"/>
    <w:rsid w:val="0080693A"/>
    <w:rsid w:val="00807085"/>
    <w:rsid w:val="00807132"/>
    <w:rsid w:val="0081021F"/>
    <w:rsid w:val="00810559"/>
    <w:rsid w:val="008105AD"/>
    <w:rsid w:val="008105B4"/>
    <w:rsid w:val="00810854"/>
    <w:rsid w:val="00810CB4"/>
    <w:rsid w:val="0081121C"/>
    <w:rsid w:val="008115AA"/>
    <w:rsid w:val="00811684"/>
    <w:rsid w:val="00811DE9"/>
    <w:rsid w:val="00811ED6"/>
    <w:rsid w:val="00811FA5"/>
    <w:rsid w:val="00812225"/>
    <w:rsid w:val="008125F9"/>
    <w:rsid w:val="0081329E"/>
    <w:rsid w:val="0081379C"/>
    <w:rsid w:val="008138EC"/>
    <w:rsid w:val="00813EC4"/>
    <w:rsid w:val="00814211"/>
    <w:rsid w:val="00814362"/>
    <w:rsid w:val="00814769"/>
    <w:rsid w:val="00814ABE"/>
    <w:rsid w:val="00815286"/>
    <w:rsid w:val="0081552E"/>
    <w:rsid w:val="00815874"/>
    <w:rsid w:val="00816399"/>
    <w:rsid w:val="00817350"/>
    <w:rsid w:val="008174C8"/>
    <w:rsid w:val="008178C6"/>
    <w:rsid w:val="00817E07"/>
    <w:rsid w:val="00817F82"/>
    <w:rsid w:val="0082022C"/>
    <w:rsid w:val="00820AA3"/>
    <w:rsid w:val="00820F53"/>
    <w:rsid w:val="008216FD"/>
    <w:rsid w:val="00821924"/>
    <w:rsid w:val="00821BC9"/>
    <w:rsid w:val="00821FFA"/>
    <w:rsid w:val="00822639"/>
    <w:rsid w:val="00822B08"/>
    <w:rsid w:val="00822DF4"/>
    <w:rsid w:val="008235DF"/>
    <w:rsid w:val="00823B99"/>
    <w:rsid w:val="008240E6"/>
    <w:rsid w:val="00824252"/>
    <w:rsid w:val="00824ABA"/>
    <w:rsid w:val="00824B1F"/>
    <w:rsid w:val="00824FEB"/>
    <w:rsid w:val="008251EE"/>
    <w:rsid w:val="0082588B"/>
    <w:rsid w:val="00825DAD"/>
    <w:rsid w:val="00825E44"/>
    <w:rsid w:val="0082625A"/>
    <w:rsid w:val="00826A30"/>
    <w:rsid w:val="00826A95"/>
    <w:rsid w:val="00826E45"/>
    <w:rsid w:val="00827B18"/>
    <w:rsid w:val="0083050D"/>
    <w:rsid w:val="00830656"/>
    <w:rsid w:val="008306E8"/>
    <w:rsid w:val="00830C10"/>
    <w:rsid w:val="00831279"/>
    <w:rsid w:val="00831296"/>
    <w:rsid w:val="0083144D"/>
    <w:rsid w:val="00831B8A"/>
    <w:rsid w:val="00831E45"/>
    <w:rsid w:val="00831F4A"/>
    <w:rsid w:val="008320D7"/>
    <w:rsid w:val="00832227"/>
    <w:rsid w:val="00832229"/>
    <w:rsid w:val="008322EF"/>
    <w:rsid w:val="00832535"/>
    <w:rsid w:val="0083281A"/>
    <w:rsid w:val="00832DD7"/>
    <w:rsid w:val="00833408"/>
    <w:rsid w:val="00833A6F"/>
    <w:rsid w:val="0083465F"/>
    <w:rsid w:val="00834697"/>
    <w:rsid w:val="008349CE"/>
    <w:rsid w:val="00834FC5"/>
    <w:rsid w:val="0083542A"/>
    <w:rsid w:val="008355CE"/>
    <w:rsid w:val="00835635"/>
    <w:rsid w:val="008358A4"/>
    <w:rsid w:val="00835BBF"/>
    <w:rsid w:val="00836557"/>
    <w:rsid w:val="00836768"/>
    <w:rsid w:val="00836E2D"/>
    <w:rsid w:val="0083700D"/>
    <w:rsid w:val="008370AF"/>
    <w:rsid w:val="0083734F"/>
    <w:rsid w:val="008377EA"/>
    <w:rsid w:val="00840009"/>
    <w:rsid w:val="0084031C"/>
    <w:rsid w:val="00840749"/>
    <w:rsid w:val="00840F5E"/>
    <w:rsid w:val="008416C3"/>
    <w:rsid w:val="008418EC"/>
    <w:rsid w:val="00841D17"/>
    <w:rsid w:val="00842829"/>
    <w:rsid w:val="00842E68"/>
    <w:rsid w:val="00842EDA"/>
    <w:rsid w:val="00843725"/>
    <w:rsid w:val="00843B05"/>
    <w:rsid w:val="00844277"/>
    <w:rsid w:val="00844AF7"/>
    <w:rsid w:val="00844ED2"/>
    <w:rsid w:val="008453D0"/>
    <w:rsid w:val="00845E9D"/>
    <w:rsid w:val="00846618"/>
    <w:rsid w:val="00846787"/>
    <w:rsid w:val="00846B49"/>
    <w:rsid w:val="00846F62"/>
    <w:rsid w:val="008474E2"/>
    <w:rsid w:val="008478DA"/>
    <w:rsid w:val="00847A1C"/>
    <w:rsid w:val="008504E9"/>
    <w:rsid w:val="00850F6B"/>
    <w:rsid w:val="008512B5"/>
    <w:rsid w:val="00851BAC"/>
    <w:rsid w:val="00851D24"/>
    <w:rsid w:val="00852638"/>
    <w:rsid w:val="00852F5A"/>
    <w:rsid w:val="00853815"/>
    <w:rsid w:val="008538BE"/>
    <w:rsid w:val="00854F41"/>
    <w:rsid w:val="00855203"/>
    <w:rsid w:val="00855C1B"/>
    <w:rsid w:val="00855CDD"/>
    <w:rsid w:val="00856C78"/>
    <w:rsid w:val="00856D79"/>
    <w:rsid w:val="00857012"/>
    <w:rsid w:val="008570A1"/>
    <w:rsid w:val="00857467"/>
    <w:rsid w:val="00857AEB"/>
    <w:rsid w:val="00857BFF"/>
    <w:rsid w:val="0086014C"/>
    <w:rsid w:val="00860284"/>
    <w:rsid w:val="008604F8"/>
    <w:rsid w:val="00860704"/>
    <w:rsid w:val="0086078C"/>
    <w:rsid w:val="00861363"/>
    <w:rsid w:val="00861C16"/>
    <w:rsid w:val="00861D52"/>
    <w:rsid w:val="00861FD6"/>
    <w:rsid w:val="00862519"/>
    <w:rsid w:val="00863150"/>
    <w:rsid w:val="0086368A"/>
    <w:rsid w:val="00863E06"/>
    <w:rsid w:val="00864092"/>
    <w:rsid w:val="00865852"/>
    <w:rsid w:val="008662F5"/>
    <w:rsid w:val="00866369"/>
    <w:rsid w:val="008671C1"/>
    <w:rsid w:val="0086783E"/>
    <w:rsid w:val="008679BC"/>
    <w:rsid w:val="00867A73"/>
    <w:rsid w:val="00867B95"/>
    <w:rsid w:val="00867C15"/>
    <w:rsid w:val="00867E03"/>
    <w:rsid w:val="00867FD2"/>
    <w:rsid w:val="008700E8"/>
    <w:rsid w:val="0087033C"/>
    <w:rsid w:val="00870684"/>
    <w:rsid w:val="00870D5E"/>
    <w:rsid w:val="0087110A"/>
    <w:rsid w:val="00871505"/>
    <w:rsid w:val="00871C4E"/>
    <w:rsid w:val="00872787"/>
    <w:rsid w:val="00872CF5"/>
    <w:rsid w:val="00872D76"/>
    <w:rsid w:val="00872E22"/>
    <w:rsid w:val="00873475"/>
    <w:rsid w:val="0087368E"/>
    <w:rsid w:val="008744C3"/>
    <w:rsid w:val="00874630"/>
    <w:rsid w:val="008747D1"/>
    <w:rsid w:val="008750C2"/>
    <w:rsid w:val="0087537E"/>
    <w:rsid w:val="0087560D"/>
    <w:rsid w:val="008761D8"/>
    <w:rsid w:val="00876656"/>
    <w:rsid w:val="00876A67"/>
    <w:rsid w:val="008776CE"/>
    <w:rsid w:val="00877869"/>
    <w:rsid w:val="00877ABC"/>
    <w:rsid w:val="00877CFD"/>
    <w:rsid w:val="008809EA"/>
    <w:rsid w:val="00880A33"/>
    <w:rsid w:val="008816E2"/>
    <w:rsid w:val="008818DF"/>
    <w:rsid w:val="00881914"/>
    <w:rsid w:val="00881942"/>
    <w:rsid w:val="0088201B"/>
    <w:rsid w:val="0088242E"/>
    <w:rsid w:val="008824F0"/>
    <w:rsid w:val="0088257F"/>
    <w:rsid w:val="008825E6"/>
    <w:rsid w:val="008828AC"/>
    <w:rsid w:val="00882AA8"/>
    <w:rsid w:val="00882CE4"/>
    <w:rsid w:val="00883889"/>
    <w:rsid w:val="00883A80"/>
    <w:rsid w:val="00883AE4"/>
    <w:rsid w:val="00883CFA"/>
    <w:rsid w:val="00883E8F"/>
    <w:rsid w:val="00883F7C"/>
    <w:rsid w:val="0088460A"/>
    <w:rsid w:val="008849B4"/>
    <w:rsid w:val="00884A89"/>
    <w:rsid w:val="00884BC4"/>
    <w:rsid w:val="00884BCE"/>
    <w:rsid w:val="00884E0B"/>
    <w:rsid w:val="00885B73"/>
    <w:rsid w:val="00885D03"/>
    <w:rsid w:val="00885EFE"/>
    <w:rsid w:val="008860E3"/>
    <w:rsid w:val="00886ACD"/>
    <w:rsid w:val="00886AD3"/>
    <w:rsid w:val="00886F32"/>
    <w:rsid w:val="0088731E"/>
    <w:rsid w:val="008873CE"/>
    <w:rsid w:val="00890305"/>
    <w:rsid w:val="00890809"/>
    <w:rsid w:val="0089085F"/>
    <w:rsid w:val="00891059"/>
    <w:rsid w:val="008910CA"/>
    <w:rsid w:val="0089114E"/>
    <w:rsid w:val="0089116B"/>
    <w:rsid w:val="008916E7"/>
    <w:rsid w:val="00891F37"/>
    <w:rsid w:val="00891F6D"/>
    <w:rsid w:val="00891F72"/>
    <w:rsid w:val="00892DEA"/>
    <w:rsid w:val="0089318E"/>
    <w:rsid w:val="0089338F"/>
    <w:rsid w:val="00893477"/>
    <w:rsid w:val="00893CAA"/>
    <w:rsid w:val="00894077"/>
    <w:rsid w:val="00894184"/>
    <w:rsid w:val="00894B08"/>
    <w:rsid w:val="0089542F"/>
    <w:rsid w:val="00896028"/>
    <w:rsid w:val="00896840"/>
    <w:rsid w:val="00897735"/>
    <w:rsid w:val="00897B59"/>
    <w:rsid w:val="00897F90"/>
    <w:rsid w:val="008A00C3"/>
    <w:rsid w:val="008A0511"/>
    <w:rsid w:val="008A1062"/>
    <w:rsid w:val="008A186D"/>
    <w:rsid w:val="008A197D"/>
    <w:rsid w:val="008A1A6E"/>
    <w:rsid w:val="008A1AB2"/>
    <w:rsid w:val="008A245C"/>
    <w:rsid w:val="008A26FB"/>
    <w:rsid w:val="008A2902"/>
    <w:rsid w:val="008A2AFB"/>
    <w:rsid w:val="008A344D"/>
    <w:rsid w:val="008A431D"/>
    <w:rsid w:val="008A490D"/>
    <w:rsid w:val="008A49DD"/>
    <w:rsid w:val="008A4B08"/>
    <w:rsid w:val="008A4B71"/>
    <w:rsid w:val="008A4DCC"/>
    <w:rsid w:val="008A4E84"/>
    <w:rsid w:val="008A539A"/>
    <w:rsid w:val="008A59AF"/>
    <w:rsid w:val="008A5B50"/>
    <w:rsid w:val="008A5BF5"/>
    <w:rsid w:val="008A666C"/>
    <w:rsid w:val="008A6C3B"/>
    <w:rsid w:val="008A7337"/>
    <w:rsid w:val="008A79D7"/>
    <w:rsid w:val="008A7C7A"/>
    <w:rsid w:val="008A7FAE"/>
    <w:rsid w:val="008B06D4"/>
    <w:rsid w:val="008B1F31"/>
    <w:rsid w:val="008B26D4"/>
    <w:rsid w:val="008B2F18"/>
    <w:rsid w:val="008B318D"/>
    <w:rsid w:val="008B35E2"/>
    <w:rsid w:val="008B370D"/>
    <w:rsid w:val="008B3B54"/>
    <w:rsid w:val="008B3EA8"/>
    <w:rsid w:val="008B3F47"/>
    <w:rsid w:val="008B43C5"/>
    <w:rsid w:val="008B50EA"/>
    <w:rsid w:val="008B6037"/>
    <w:rsid w:val="008B60D0"/>
    <w:rsid w:val="008B66FD"/>
    <w:rsid w:val="008B6BB9"/>
    <w:rsid w:val="008B6D9E"/>
    <w:rsid w:val="008B723D"/>
    <w:rsid w:val="008B738C"/>
    <w:rsid w:val="008B76F8"/>
    <w:rsid w:val="008B7AF6"/>
    <w:rsid w:val="008B7E5A"/>
    <w:rsid w:val="008C003A"/>
    <w:rsid w:val="008C0041"/>
    <w:rsid w:val="008C02E7"/>
    <w:rsid w:val="008C03F0"/>
    <w:rsid w:val="008C096C"/>
    <w:rsid w:val="008C0C71"/>
    <w:rsid w:val="008C1515"/>
    <w:rsid w:val="008C162C"/>
    <w:rsid w:val="008C1B17"/>
    <w:rsid w:val="008C2B84"/>
    <w:rsid w:val="008C2FB6"/>
    <w:rsid w:val="008C33FD"/>
    <w:rsid w:val="008C4031"/>
    <w:rsid w:val="008C40A3"/>
    <w:rsid w:val="008C42BB"/>
    <w:rsid w:val="008C53B1"/>
    <w:rsid w:val="008C556F"/>
    <w:rsid w:val="008C57C1"/>
    <w:rsid w:val="008C59F2"/>
    <w:rsid w:val="008C5BE9"/>
    <w:rsid w:val="008C5CC3"/>
    <w:rsid w:val="008C5DB4"/>
    <w:rsid w:val="008C5F9A"/>
    <w:rsid w:val="008C689E"/>
    <w:rsid w:val="008C6961"/>
    <w:rsid w:val="008C69F4"/>
    <w:rsid w:val="008C6BF7"/>
    <w:rsid w:val="008C6DE3"/>
    <w:rsid w:val="008C6F1B"/>
    <w:rsid w:val="008C6F26"/>
    <w:rsid w:val="008C7624"/>
    <w:rsid w:val="008C76FE"/>
    <w:rsid w:val="008C7FF6"/>
    <w:rsid w:val="008D01D7"/>
    <w:rsid w:val="008D0396"/>
    <w:rsid w:val="008D0C31"/>
    <w:rsid w:val="008D0CF2"/>
    <w:rsid w:val="008D0D01"/>
    <w:rsid w:val="008D0FA5"/>
    <w:rsid w:val="008D10D1"/>
    <w:rsid w:val="008D1453"/>
    <w:rsid w:val="008D16C8"/>
    <w:rsid w:val="008D1C46"/>
    <w:rsid w:val="008D1E33"/>
    <w:rsid w:val="008D2523"/>
    <w:rsid w:val="008D2625"/>
    <w:rsid w:val="008D263A"/>
    <w:rsid w:val="008D288A"/>
    <w:rsid w:val="008D2BEF"/>
    <w:rsid w:val="008D2FDF"/>
    <w:rsid w:val="008D3155"/>
    <w:rsid w:val="008D317D"/>
    <w:rsid w:val="008D4116"/>
    <w:rsid w:val="008D4233"/>
    <w:rsid w:val="008D431F"/>
    <w:rsid w:val="008D48D1"/>
    <w:rsid w:val="008D490C"/>
    <w:rsid w:val="008D5457"/>
    <w:rsid w:val="008D56A9"/>
    <w:rsid w:val="008D5857"/>
    <w:rsid w:val="008D5A85"/>
    <w:rsid w:val="008D5BAD"/>
    <w:rsid w:val="008D5C05"/>
    <w:rsid w:val="008D5E4A"/>
    <w:rsid w:val="008D5FEE"/>
    <w:rsid w:val="008D6E62"/>
    <w:rsid w:val="008D72CE"/>
    <w:rsid w:val="008D7381"/>
    <w:rsid w:val="008D795C"/>
    <w:rsid w:val="008D7BAC"/>
    <w:rsid w:val="008D7D8E"/>
    <w:rsid w:val="008D7ED9"/>
    <w:rsid w:val="008D7EEB"/>
    <w:rsid w:val="008D7FAA"/>
    <w:rsid w:val="008E065D"/>
    <w:rsid w:val="008E0816"/>
    <w:rsid w:val="008E0D4E"/>
    <w:rsid w:val="008E0EE9"/>
    <w:rsid w:val="008E0FCE"/>
    <w:rsid w:val="008E1313"/>
    <w:rsid w:val="008E1706"/>
    <w:rsid w:val="008E20A7"/>
    <w:rsid w:val="008E21D3"/>
    <w:rsid w:val="008E2B02"/>
    <w:rsid w:val="008E2B8B"/>
    <w:rsid w:val="008E2F19"/>
    <w:rsid w:val="008E2F82"/>
    <w:rsid w:val="008E3040"/>
    <w:rsid w:val="008E311F"/>
    <w:rsid w:val="008E3168"/>
    <w:rsid w:val="008E3794"/>
    <w:rsid w:val="008E3AEF"/>
    <w:rsid w:val="008E48CC"/>
    <w:rsid w:val="008E4BB5"/>
    <w:rsid w:val="008E4C9B"/>
    <w:rsid w:val="008E4E30"/>
    <w:rsid w:val="008E515C"/>
    <w:rsid w:val="008E559B"/>
    <w:rsid w:val="008E6033"/>
    <w:rsid w:val="008E6D81"/>
    <w:rsid w:val="008E71CD"/>
    <w:rsid w:val="008E7587"/>
    <w:rsid w:val="008E7606"/>
    <w:rsid w:val="008E7C43"/>
    <w:rsid w:val="008F0033"/>
    <w:rsid w:val="008F0501"/>
    <w:rsid w:val="008F0AAE"/>
    <w:rsid w:val="008F0C08"/>
    <w:rsid w:val="008F267B"/>
    <w:rsid w:val="008F2900"/>
    <w:rsid w:val="008F2DDF"/>
    <w:rsid w:val="008F2E66"/>
    <w:rsid w:val="008F2F43"/>
    <w:rsid w:val="008F3637"/>
    <w:rsid w:val="008F37F4"/>
    <w:rsid w:val="008F3BB2"/>
    <w:rsid w:val="008F3E33"/>
    <w:rsid w:val="008F41E1"/>
    <w:rsid w:val="008F4F75"/>
    <w:rsid w:val="008F51EB"/>
    <w:rsid w:val="008F534E"/>
    <w:rsid w:val="008F5C9E"/>
    <w:rsid w:val="008F5ED2"/>
    <w:rsid w:val="008F6718"/>
    <w:rsid w:val="008F6C6F"/>
    <w:rsid w:val="008F70EA"/>
    <w:rsid w:val="008F7229"/>
    <w:rsid w:val="008F7591"/>
    <w:rsid w:val="008F76E4"/>
    <w:rsid w:val="008F7868"/>
    <w:rsid w:val="008F7869"/>
    <w:rsid w:val="009009C4"/>
    <w:rsid w:val="00900B02"/>
    <w:rsid w:val="00900F49"/>
    <w:rsid w:val="00901297"/>
    <w:rsid w:val="009013CE"/>
    <w:rsid w:val="00901EED"/>
    <w:rsid w:val="00902063"/>
    <w:rsid w:val="0090210A"/>
    <w:rsid w:val="009026C2"/>
    <w:rsid w:val="00902956"/>
    <w:rsid w:val="00902DA3"/>
    <w:rsid w:val="0090300B"/>
    <w:rsid w:val="009031B8"/>
    <w:rsid w:val="009032CB"/>
    <w:rsid w:val="0090353B"/>
    <w:rsid w:val="00903E94"/>
    <w:rsid w:val="0090458E"/>
    <w:rsid w:val="00906540"/>
    <w:rsid w:val="00906B63"/>
    <w:rsid w:val="00906E03"/>
    <w:rsid w:val="009073A9"/>
    <w:rsid w:val="009075A8"/>
    <w:rsid w:val="009078AB"/>
    <w:rsid w:val="00907944"/>
    <w:rsid w:val="00907DC7"/>
    <w:rsid w:val="00910117"/>
    <w:rsid w:val="0091055E"/>
    <w:rsid w:val="0091075E"/>
    <w:rsid w:val="00910B16"/>
    <w:rsid w:val="009113A6"/>
    <w:rsid w:val="0091141F"/>
    <w:rsid w:val="009118AD"/>
    <w:rsid w:val="00911C29"/>
    <w:rsid w:val="00912072"/>
    <w:rsid w:val="00912415"/>
    <w:rsid w:val="009124BD"/>
    <w:rsid w:val="009124E2"/>
    <w:rsid w:val="0091259B"/>
    <w:rsid w:val="009135F1"/>
    <w:rsid w:val="0091369F"/>
    <w:rsid w:val="009140E3"/>
    <w:rsid w:val="0091412F"/>
    <w:rsid w:val="00914224"/>
    <w:rsid w:val="00914280"/>
    <w:rsid w:val="009145C9"/>
    <w:rsid w:val="009147C7"/>
    <w:rsid w:val="00914878"/>
    <w:rsid w:val="00914BB0"/>
    <w:rsid w:val="009150F0"/>
    <w:rsid w:val="009152E4"/>
    <w:rsid w:val="0091556A"/>
    <w:rsid w:val="00915689"/>
    <w:rsid w:val="0091568A"/>
    <w:rsid w:val="00915803"/>
    <w:rsid w:val="00915ADD"/>
    <w:rsid w:val="00915BD5"/>
    <w:rsid w:val="00915C31"/>
    <w:rsid w:val="009160E5"/>
    <w:rsid w:val="0091640B"/>
    <w:rsid w:val="009164B3"/>
    <w:rsid w:val="009166AA"/>
    <w:rsid w:val="009168A0"/>
    <w:rsid w:val="00916E54"/>
    <w:rsid w:val="009175B9"/>
    <w:rsid w:val="0091766F"/>
    <w:rsid w:val="00917BE8"/>
    <w:rsid w:val="0092057F"/>
    <w:rsid w:val="009209F7"/>
    <w:rsid w:val="00920B6B"/>
    <w:rsid w:val="00920C10"/>
    <w:rsid w:val="0092192C"/>
    <w:rsid w:val="00921AF7"/>
    <w:rsid w:val="00921CF5"/>
    <w:rsid w:val="009225A5"/>
    <w:rsid w:val="00923045"/>
    <w:rsid w:val="00923219"/>
    <w:rsid w:val="00923562"/>
    <w:rsid w:val="00923951"/>
    <w:rsid w:val="00923D8D"/>
    <w:rsid w:val="0092438C"/>
    <w:rsid w:val="00924A86"/>
    <w:rsid w:val="00924ED7"/>
    <w:rsid w:val="00925167"/>
    <w:rsid w:val="00925168"/>
    <w:rsid w:val="00925314"/>
    <w:rsid w:val="00925362"/>
    <w:rsid w:val="009257EE"/>
    <w:rsid w:val="0092609A"/>
    <w:rsid w:val="0092616F"/>
    <w:rsid w:val="0092619F"/>
    <w:rsid w:val="00926F93"/>
    <w:rsid w:val="00927286"/>
    <w:rsid w:val="009273E1"/>
    <w:rsid w:val="0092740E"/>
    <w:rsid w:val="0092746A"/>
    <w:rsid w:val="009274BC"/>
    <w:rsid w:val="00927717"/>
    <w:rsid w:val="009278D4"/>
    <w:rsid w:val="009279E6"/>
    <w:rsid w:val="00927E8D"/>
    <w:rsid w:val="00927F31"/>
    <w:rsid w:val="009304FC"/>
    <w:rsid w:val="0093063C"/>
    <w:rsid w:val="00930771"/>
    <w:rsid w:val="00931567"/>
    <w:rsid w:val="00931752"/>
    <w:rsid w:val="00931FD7"/>
    <w:rsid w:val="00933728"/>
    <w:rsid w:val="00933EC4"/>
    <w:rsid w:val="00933F4B"/>
    <w:rsid w:val="0093437E"/>
    <w:rsid w:val="009343A4"/>
    <w:rsid w:val="0093467D"/>
    <w:rsid w:val="00934C09"/>
    <w:rsid w:val="00934D97"/>
    <w:rsid w:val="009351BB"/>
    <w:rsid w:val="0093559E"/>
    <w:rsid w:val="009357CD"/>
    <w:rsid w:val="00935AF8"/>
    <w:rsid w:val="00935CDF"/>
    <w:rsid w:val="009361F6"/>
    <w:rsid w:val="00936413"/>
    <w:rsid w:val="00936466"/>
    <w:rsid w:val="00936FB0"/>
    <w:rsid w:val="00936FB1"/>
    <w:rsid w:val="00937005"/>
    <w:rsid w:val="00937190"/>
    <w:rsid w:val="00937844"/>
    <w:rsid w:val="009378B6"/>
    <w:rsid w:val="00937AE1"/>
    <w:rsid w:val="00940326"/>
    <w:rsid w:val="009407BB"/>
    <w:rsid w:val="00940A34"/>
    <w:rsid w:val="009412F0"/>
    <w:rsid w:val="009412FD"/>
    <w:rsid w:val="00941405"/>
    <w:rsid w:val="00941822"/>
    <w:rsid w:val="009418FD"/>
    <w:rsid w:val="00941A58"/>
    <w:rsid w:val="00941A8F"/>
    <w:rsid w:val="00942AC8"/>
    <w:rsid w:val="00942BED"/>
    <w:rsid w:val="00942C9F"/>
    <w:rsid w:val="0094326A"/>
    <w:rsid w:val="00943609"/>
    <w:rsid w:val="00943978"/>
    <w:rsid w:val="0094419C"/>
    <w:rsid w:val="0094428C"/>
    <w:rsid w:val="00944CF7"/>
    <w:rsid w:val="009454B4"/>
    <w:rsid w:val="009454C0"/>
    <w:rsid w:val="0094551A"/>
    <w:rsid w:val="0094564F"/>
    <w:rsid w:val="0094638C"/>
    <w:rsid w:val="00947112"/>
    <w:rsid w:val="009475A5"/>
    <w:rsid w:val="009478CE"/>
    <w:rsid w:val="009478FC"/>
    <w:rsid w:val="009479AC"/>
    <w:rsid w:val="00947B85"/>
    <w:rsid w:val="009505D7"/>
    <w:rsid w:val="0095073F"/>
    <w:rsid w:val="009509C2"/>
    <w:rsid w:val="00950B2F"/>
    <w:rsid w:val="00951262"/>
    <w:rsid w:val="00951EB2"/>
    <w:rsid w:val="00951FA6"/>
    <w:rsid w:val="00952AD4"/>
    <w:rsid w:val="00952DF6"/>
    <w:rsid w:val="00953861"/>
    <w:rsid w:val="00953C60"/>
    <w:rsid w:val="00953C95"/>
    <w:rsid w:val="00953D6D"/>
    <w:rsid w:val="00955743"/>
    <w:rsid w:val="00955BA2"/>
    <w:rsid w:val="00955FF1"/>
    <w:rsid w:val="0095639B"/>
    <w:rsid w:val="0095644E"/>
    <w:rsid w:val="009565DA"/>
    <w:rsid w:val="00956B3A"/>
    <w:rsid w:val="009577F8"/>
    <w:rsid w:val="009606DD"/>
    <w:rsid w:val="009607F2"/>
    <w:rsid w:val="00960948"/>
    <w:rsid w:val="00960C21"/>
    <w:rsid w:val="009622E6"/>
    <w:rsid w:val="00962EC1"/>
    <w:rsid w:val="009635C9"/>
    <w:rsid w:val="00963D47"/>
    <w:rsid w:val="0096460F"/>
    <w:rsid w:val="00965470"/>
    <w:rsid w:val="00965B20"/>
    <w:rsid w:val="00965B5C"/>
    <w:rsid w:val="00966262"/>
    <w:rsid w:val="00966F41"/>
    <w:rsid w:val="00967825"/>
    <w:rsid w:val="00967EB9"/>
    <w:rsid w:val="00970821"/>
    <w:rsid w:val="00971EF7"/>
    <w:rsid w:val="00971F20"/>
    <w:rsid w:val="009720D8"/>
    <w:rsid w:val="00972248"/>
    <w:rsid w:val="00972331"/>
    <w:rsid w:val="009725C3"/>
    <w:rsid w:val="009728AC"/>
    <w:rsid w:val="00972EF9"/>
    <w:rsid w:val="00973D01"/>
    <w:rsid w:val="009741EF"/>
    <w:rsid w:val="00974721"/>
    <w:rsid w:val="00974897"/>
    <w:rsid w:val="00974B75"/>
    <w:rsid w:val="00974D64"/>
    <w:rsid w:val="009755B0"/>
    <w:rsid w:val="009767EB"/>
    <w:rsid w:val="0097724F"/>
    <w:rsid w:val="009774DB"/>
    <w:rsid w:val="00977580"/>
    <w:rsid w:val="0098026B"/>
    <w:rsid w:val="009802F2"/>
    <w:rsid w:val="00980373"/>
    <w:rsid w:val="0098061D"/>
    <w:rsid w:val="00980B96"/>
    <w:rsid w:val="009811DF"/>
    <w:rsid w:val="009815D4"/>
    <w:rsid w:val="00982023"/>
    <w:rsid w:val="00982ECA"/>
    <w:rsid w:val="009831A7"/>
    <w:rsid w:val="009834D3"/>
    <w:rsid w:val="0098366E"/>
    <w:rsid w:val="0098368A"/>
    <w:rsid w:val="00983A56"/>
    <w:rsid w:val="00983BCD"/>
    <w:rsid w:val="009840CD"/>
    <w:rsid w:val="009840F3"/>
    <w:rsid w:val="0098432B"/>
    <w:rsid w:val="00984940"/>
    <w:rsid w:val="0098495C"/>
    <w:rsid w:val="00984F7A"/>
    <w:rsid w:val="0098542C"/>
    <w:rsid w:val="009857A5"/>
    <w:rsid w:val="00985B6A"/>
    <w:rsid w:val="00985C80"/>
    <w:rsid w:val="009862D1"/>
    <w:rsid w:val="009867F7"/>
    <w:rsid w:val="009869A6"/>
    <w:rsid w:val="00986AD8"/>
    <w:rsid w:val="00986CAA"/>
    <w:rsid w:val="0098790E"/>
    <w:rsid w:val="00990791"/>
    <w:rsid w:val="009910EC"/>
    <w:rsid w:val="00991B84"/>
    <w:rsid w:val="0099207D"/>
    <w:rsid w:val="0099225F"/>
    <w:rsid w:val="00992579"/>
    <w:rsid w:val="009926E1"/>
    <w:rsid w:val="00992A7F"/>
    <w:rsid w:val="00992B7E"/>
    <w:rsid w:val="009932C9"/>
    <w:rsid w:val="0099338E"/>
    <w:rsid w:val="009935AD"/>
    <w:rsid w:val="009935DF"/>
    <w:rsid w:val="009942CF"/>
    <w:rsid w:val="00994E8A"/>
    <w:rsid w:val="00995328"/>
    <w:rsid w:val="009955ED"/>
    <w:rsid w:val="00995A96"/>
    <w:rsid w:val="00995D6E"/>
    <w:rsid w:val="00996C39"/>
    <w:rsid w:val="00996DC2"/>
    <w:rsid w:val="009975EF"/>
    <w:rsid w:val="009A00FB"/>
    <w:rsid w:val="009A04E9"/>
    <w:rsid w:val="009A05EB"/>
    <w:rsid w:val="009A0AB2"/>
    <w:rsid w:val="009A2357"/>
    <w:rsid w:val="009A28A5"/>
    <w:rsid w:val="009A2A80"/>
    <w:rsid w:val="009A2E09"/>
    <w:rsid w:val="009A34D8"/>
    <w:rsid w:val="009A3785"/>
    <w:rsid w:val="009A37A3"/>
    <w:rsid w:val="009A39AB"/>
    <w:rsid w:val="009A3E5C"/>
    <w:rsid w:val="009A4524"/>
    <w:rsid w:val="009A469C"/>
    <w:rsid w:val="009A4890"/>
    <w:rsid w:val="009A5965"/>
    <w:rsid w:val="009A5C6D"/>
    <w:rsid w:val="009A5CAC"/>
    <w:rsid w:val="009A5CF7"/>
    <w:rsid w:val="009A5D90"/>
    <w:rsid w:val="009A6941"/>
    <w:rsid w:val="009A7827"/>
    <w:rsid w:val="009B0AB3"/>
    <w:rsid w:val="009B10A7"/>
    <w:rsid w:val="009B10DA"/>
    <w:rsid w:val="009B12A3"/>
    <w:rsid w:val="009B1BD2"/>
    <w:rsid w:val="009B1D4F"/>
    <w:rsid w:val="009B1E61"/>
    <w:rsid w:val="009B21DA"/>
    <w:rsid w:val="009B2299"/>
    <w:rsid w:val="009B2ACE"/>
    <w:rsid w:val="009B2B6B"/>
    <w:rsid w:val="009B2BD5"/>
    <w:rsid w:val="009B30CB"/>
    <w:rsid w:val="009B37C1"/>
    <w:rsid w:val="009B3F07"/>
    <w:rsid w:val="009B4247"/>
    <w:rsid w:val="009B42C9"/>
    <w:rsid w:val="009B4740"/>
    <w:rsid w:val="009B4918"/>
    <w:rsid w:val="009B4A39"/>
    <w:rsid w:val="009B4EB3"/>
    <w:rsid w:val="009B4FFB"/>
    <w:rsid w:val="009B54F8"/>
    <w:rsid w:val="009B5613"/>
    <w:rsid w:val="009B58AF"/>
    <w:rsid w:val="009B5B17"/>
    <w:rsid w:val="009B5BB2"/>
    <w:rsid w:val="009B6583"/>
    <w:rsid w:val="009B6E4B"/>
    <w:rsid w:val="009B7257"/>
    <w:rsid w:val="009B790B"/>
    <w:rsid w:val="009B7933"/>
    <w:rsid w:val="009C025B"/>
    <w:rsid w:val="009C0332"/>
    <w:rsid w:val="009C10C7"/>
    <w:rsid w:val="009C161C"/>
    <w:rsid w:val="009C1C09"/>
    <w:rsid w:val="009C2474"/>
    <w:rsid w:val="009C260E"/>
    <w:rsid w:val="009C28B0"/>
    <w:rsid w:val="009C29FE"/>
    <w:rsid w:val="009C3075"/>
    <w:rsid w:val="009C35EC"/>
    <w:rsid w:val="009C3EA1"/>
    <w:rsid w:val="009C40C3"/>
    <w:rsid w:val="009C4136"/>
    <w:rsid w:val="009C4206"/>
    <w:rsid w:val="009C457C"/>
    <w:rsid w:val="009C46F2"/>
    <w:rsid w:val="009C4756"/>
    <w:rsid w:val="009C47D2"/>
    <w:rsid w:val="009C4BA0"/>
    <w:rsid w:val="009C57C3"/>
    <w:rsid w:val="009C72DE"/>
    <w:rsid w:val="009C75BD"/>
    <w:rsid w:val="009C79BD"/>
    <w:rsid w:val="009D00FC"/>
    <w:rsid w:val="009D03CD"/>
    <w:rsid w:val="009D0DAA"/>
    <w:rsid w:val="009D1985"/>
    <w:rsid w:val="009D19D4"/>
    <w:rsid w:val="009D228C"/>
    <w:rsid w:val="009D2772"/>
    <w:rsid w:val="009D2810"/>
    <w:rsid w:val="009D28D4"/>
    <w:rsid w:val="009D2F17"/>
    <w:rsid w:val="009D2F36"/>
    <w:rsid w:val="009D32F3"/>
    <w:rsid w:val="009D32FA"/>
    <w:rsid w:val="009D36EE"/>
    <w:rsid w:val="009D3754"/>
    <w:rsid w:val="009D3FFD"/>
    <w:rsid w:val="009D403C"/>
    <w:rsid w:val="009D4D1F"/>
    <w:rsid w:val="009D55AD"/>
    <w:rsid w:val="009D56BB"/>
    <w:rsid w:val="009D58E1"/>
    <w:rsid w:val="009D5CDD"/>
    <w:rsid w:val="009D5FC4"/>
    <w:rsid w:val="009D6064"/>
    <w:rsid w:val="009D6E11"/>
    <w:rsid w:val="009D7387"/>
    <w:rsid w:val="009D7539"/>
    <w:rsid w:val="009D7646"/>
    <w:rsid w:val="009E1AC6"/>
    <w:rsid w:val="009E239B"/>
    <w:rsid w:val="009E241E"/>
    <w:rsid w:val="009E24E8"/>
    <w:rsid w:val="009E260E"/>
    <w:rsid w:val="009E35DD"/>
    <w:rsid w:val="009E3B10"/>
    <w:rsid w:val="009E3CC8"/>
    <w:rsid w:val="009E41D0"/>
    <w:rsid w:val="009E461D"/>
    <w:rsid w:val="009E4C04"/>
    <w:rsid w:val="009E4EC2"/>
    <w:rsid w:val="009E5605"/>
    <w:rsid w:val="009E5916"/>
    <w:rsid w:val="009E6715"/>
    <w:rsid w:val="009E6E06"/>
    <w:rsid w:val="009E76D8"/>
    <w:rsid w:val="009E7C60"/>
    <w:rsid w:val="009F0E79"/>
    <w:rsid w:val="009F13E4"/>
    <w:rsid w:val="009F1425"/>
    <w:rsid w:val="009F1476"/>
    <w:rsid w:val="009F1B0D"/>
    <w:rsid w:val="009F2503"/>
    <w:rsid w:val="009F28F3"/>
    <w:rsid w:val="009F2A8F"/>
    <w:rsid w:val="009F2BD4"/>
    <w:rsid w:val="009F3748"/>
    <w:rsid w:val="009F387C"/>
    <w:rsid w:val="009F3A78"/>
    <w:rsid w:val="009F3B3E"/>
    <w:rsid w:val="009F3BC2"/>
    <w:rsid w:val="009F3C17"/>
    <w:rsid w:val="009F422E"/>
    <w:rsid w:val="009F4870"/>
    <w:rsid w:val="009F495C"/>
    <w:rsid w:val="009F4AD9"/>
    <w:rsid w:val="009F4CDF"/>
    <w:rsid w:val="009F4F2C"/>
    <w:rsid w:val="009F5027"/>
    <w:rsid w:val="009F57FC"/>
    <w:rsid w:val="009F59EC"/>
    <w:rsid w:val="009F6C95"/>
    <w:rsid w:val="009F72DB"/>
    <w:rsid w:val="009F79DC"/>
    <w:rsid w:val="009F7B0D"/>
    <w:rsid w:val="00A00764"/>
    <w:rsid w:val="00A0082E"/>
    <w:rsid w:val="00A00E90"/>
    <w:rsid w:val="00A01850"/>
    <w:rsid w:val="00A01AE3"/>
    <w:rsid w:val="00A01DA9"/>
    <w:rsid w:val="00A024EF"/>
    <w:rsid w:val="00A02A96"/>
    <w:rsid w:val="00A02D19"/>
    <w:rsid w:val="00A03107"/>
    <w:rsid w:val="00A03A76"/>
    <w:rsid w:val="00A047DD"/>
    <w:rsid w:val="00A05441"/>
    <w:rsid w:val="00A0560D"/>
    <w:rsid w:val="00A0571F"/>
    <w:rsid w:val="00A057B9"/>
    <w:rsid w:val="00A05942"/>
    <w:rsid w:val="00A05A1C"/>
    <w:rsid w:val="00A05C20"/>
    <w:rsid w:val="00A05FFD"/>
    <w:rsid w:val="00A064AB"/>
    <w:rsid w:val="00A1019B"/>
    <w:rsid w:val="00A103BC"/>
    <w:rsid w:val="00A10573"/>
    <w:rsid w:val="00A105B1"/>
    <w:rsid w:val="00A10CE2"/>
    <w:rsid w:val="00A10CEB"/>
    <w:rsid w:val="00A11A4D"/>
    <w:rsid w:val="00A11EED"/>
    <w:rsid w:val="00A12C4E"/>
    <w:rsid w:val="00A12F46"/>
    <w:rsid w:val="00A133F8"/>
    <w:rsid w:val="00A13582"/>
    <w:rsid w:val="00A1428A"/>
    <w:rsid w:val="00A1456F"/>
    <w:rsid w:val="00A148F1"/>
    <w:rsid w:val="00A14D2E"/>
    <w:rsid w:val="00A152B7"/>
    <w:rsid w:val="00A15391"/>
    <w:rsid w:val="00A158B7"/>
    <w:rsid w:val="00A15C7E"/>
    <w:rsid w:val="00A162A8"/>
    <w:rsid w:val="00A164A0"/>
    <w:rsid w:val="00A164C2"/>
    <w:rsid w:val="00A17330"/>
    <w:rsid w:val="00A1770C"/>
    <w:rsid w:val="00A17812"/>
    <w:rsid w:val="00A20317"/>
    <w:rsid w:val="00A2046D"/>
    <w:rsid w:val="00A20DB8"/>
    <w:rsid w:val="00A21078"/>
    <w:rsid w:val="00A214B7"/>
    <w:rsid w:val="00A21719"/>
    <w:rsid w:val="00A2193B"/>
    <w:rsid w:val="00A21E47"/>
    <w:rsid w:val="00A2268F"/>
    <w:rsid w:val="00A22801"/>
    <w:rsid w:val="00A22A6C"/>
    <w:rsid w:val="00A22DA8"/>
    <w:rsid w:val="00A22FBF"/>
    <w:rsid w:val="00A23D26"/>
    <w:rsid w:val="00A241EC"/>
    <w:rsid w:val="00A246B4"/>
    <w:rsid w:val="00A24DA5"/>
    <w:rsid w:val="00A25DEC"/>
    <w:rsid w:val="00A26396"/>
    <w:rsid w:val="00A263AE"/>
    <w:rsid w:val="00A26571"/>
    <w:rsid w:val="00A26C15"/>
    <w:rsid w:val="00A3023A"/>
    <w:rsid w:val="00A30258"/>
    <w:rsid w:val="00A304D5"/>
    <w:rsid w:val="00A30641"/>
    <w:rsid w:val="00A30689"/>
    <w:rsid w:val="00A30720"/>
    <w:rsid w:val="00A309FC"/>
    <w:rsid w:val="00A30D9A"/>
    <w:rsid w:val="00A31006"/>
    <w:rsid w:val="00A31086"/>
    <w:rsid w:val="00A31424"/>
    <w:rsid w:val="00A3147D"/>
    <w:rsid w:val="00A315D1"/>
    <w:rsid w:val="00A317A3"/>
    <w:rsid w:val="00A319A0"/>
    <w:rsid w:val="00A31D85"/>
    <w:rsid w:val="00A31F29"/>
    <w:rsid w:val="00A32FD7"/>
    <w:rsid w:val="00A334DB"/>
    <w:rsid w:val="00A335FC"/>
    <w:rsid w:val="00A3360B"/>
    <w:rsid w:val="00A33727"/>
    <w:rsid w:val="00A33BC5"/>
    <w:rsid w:val="00A3414C"/>
    <w:rsid w:val="00A347CF"/>
    <w:rsid w:val="00A34AF8"/>
    <w:rsid w:val="00A359FC"/>
    <w:rsid w:val="00A35DDB"/>
    <w:rsid w:val="00A36213"/>
    <w:rsid w:val="00A3632C"/>
    <w:rsid w:val="00A36852"/>
    <w:rsid w:val="00A36B09"/>
    <w:rsid w:val="00A40DB8"/>
    <w:rsid w:val="00A40F71"/>
    <w:rsid w:val="00A41178"/>
    <w:rsid w:val="00A41752"/>
    <w:rsid w:val="00A41A05"/>
    <w:rsid w:val="00A41BCE"/>
    <w:rsid w:val="00A41D3B"/>
    <w:rsid w:val="00A41EB6"/>
    <w:rsid w:val="00A42461"/>
    <w:rsid w:val="00A426AA"/>
    <w:rsid w:val="00A429D2"/>
    <w:rsid w:val="00A42F9E"/>
    <w:rsid w:val="00A42FCD"/>
    <w:rsid w:val="00A4321F"/>
    <w:rsid w:val="00A43A53"/>
    <w:rsid w:val="00A43B01"/>
    <w:rsid w:val="00A43BAF"/>
    <w:rsid w:val="00A43F01"/>
    <w:rsid w:val="00A43F9D"/>
    <w:rsid w:val="00A43F9F"/>
    <w:rsid w:val="00A44001"/>
    <w:rsid w:val="00A45A43"/>
    <w:rsid w:val="00A45A6B"/>
    <w:rsid w:val="00A45F5C"/>
    <w:rsid w:val="00A46295"/>
    <w:rsid w:val="00A4641B"/>
    <w:rsid w:val="00A466B5"/>
    <w:rsid w:val="00A46AB6"/>
    <w:rsid w:val="00A46C65"/>
    <w:rsid w:val="00A46FBD"/>
    <w:rsid w:val="00A4707A"/>
    <w:rsid w:val="00A47ABC"/>
    <w:rsid w:val="00A47ED0"/>
    <w:rsid w:val="00A50136"/>
    <w:rsid w:val="00A504B1"/>
    <w:rsid w:val="00A50986"/>
    <w:rsid w:val="00A50D70"/>
    <w:rsid w:val="00A5131C"/>
    <w:rsid w:val="00A51507"/>
    <w:rsid w:val="00A51596"/>
    <w:rsid w:val="00A5167E"/>
    <w:rsid w:val="00A51965"/>
    <w:rsid w:val="00A528E1"/>
    <w:rsid w:val="00A53497"/>
    <w:rsid w:val="00A53AB8"/>
    <w:rsid w:val="00A53D20"/>
    <w:rsid w:val="00A548A8"/>
    <w:rsid w:val="00A54944"/>
    <w:rsid w:val="00A54C62"/>
    <w:rsid w:val="00A54FD8"/>
    <w:rsid w:val="00A5556C"/>
    <w:rsid w:val="00A56196"/>
    <w:rsid w:val="00A56355"/>
    <w:rsid w:val="00A56461"/>
    <w:rsid w:val="00A5647E"/>
    <w:rsid w:val="00A56706"/>
    <w:rsid w:val="00A56907"/>
    <w:rsid w:val="00A56C50"/>
    <w:rsid w:val="00A56D07"/>
    <w:rsid w:val="00A5728A"/>
    <w:rsid w:val="00A5770A"/>
    <w:rsid w:val="00A5792B"/>
    <w:rsid w:val="00A57CAD"/>
    <w:rsid w:val="00A57FFA"/>
    <w:rsid w:val="00A60249"/>
    <w:rsid w:val="00A6094A"/>
    <w:rsid w:val="00A609E7"/>
    <w:rsid w:val="00A61F23"/>
    <w:rsid w:val="00A6215C"/>
    <w:rsid w:val="00A622FC"/>
    <w:rsid w:val="00A62782"/>
    <w:rsid w:val="00A630C2"/>
    <w:rsid w:val="00A6391A"/>
    <w:rsid w:val="00A63CA4"/>
    <w:rsid w:val="00A64755"/>
    <w:rsid w:val="00A6491D"/>
    <w:rsid w:val="00A64AF4"/>
    <w:rsid w:val="00A64D6A"/>
    <w:rsid w:val="00A64ED0"/>
    <w:rsid w:val="00A64F8F"/>
    <w:rsid w:val="00A65205"/>
    <w:rsid w:val="00A657DA"/>
    <w:rsid w:val="00A667EA"/>
    <w:rsid w:val="00A66D3B"/>
    <w:rsid w:val="00A66F49"/>
    <w:rsid w:val="00A67297"/>
    <w:rsid w:val="00A67314"/>
    <w:rsid w:val="00A675A6"/>
    <w:rsid w:val="00A67BDB"/>
    <w:rsid w:val="00A67EB2"/>
    <w:rsid w:val="00A7027B"/>
    <w:rsid w:val="00A702A2"/>
    <w:rsid w:val="00A70433"/>
    <w:rsid w:val="00A709A2"/>
    <w:rsid w:val="00A7114F"/>
    <w:rsid w:val="00A72169"/>
    <w:rsid w:val="00A72461"/>
    <w:rsid w:val="00A726A0"/>
    <w:rsid w:val="00A72CCC"/>
    <w:rsid w:val="00A73086"/>
    <w:rsid w:val="00A73494"/>
    <w:rsid w:val="00A7366F"/>
    <w:rsid w:val="00A737E4"/>
    <w:rsid w:val="00A73FB3"/>
    <w:rsid w:val="00A74337"/>
    <w:rsid w:val="00A7458A"/>
    <w:rsid w:val="00A749AD"/>
    <w:rsid w:val="00A7557A"/>
    <w:rsid w:val="00A7565B"/>
    <w:rsid w:val="00A75719"/>
    <w:rsid w:val="00A76C79"/>
    <w:rsid w:val="00A76F1B"/>
    <w:rsid w:val="00A773A7"/>
    <w:rsid w:val="00A773FE"/>
    <w:rsid w:val="00A800BF"/>
    <w:rsid w:val="00A801D8"/>
    <w:rsid w:val="00A80234"/>
    <w:rsid w:val="00A8023B"/>
    <w:rsid w:val="00A802EE"/>
    <w:rsid w:val="00A806ED"/>
    <w:rsid w:val="00A8079C"/>
    <w:rsid w:val="00A80D21"/>
    <w:rsid w:val="00A80E33"/>
    <w:rsid w:val="00A80FEA"/>
    <w:rsid w:val="00A810D1"/>
    <w:rsid w:val="00A81D7C"/>
    <w:rsid w:val="00A81E67"/>
    <w:rsid w:val="00A81F54"/>
    <w:rsid w:val="00A82064"/>
    <w:rsid w:val="00A82525"/>
    <w:rsid w:val="00A82762"/>
    <w:rsid w:val="00A83830"/>
    <w:rsid w:val="00A83B10"/>
    <w:rsid w:val="00A83CA2"/>
    <w:rsid w:val="00A83F90"/>
    <w:rsid w:val="00A8499D"/>
    <w:rsid w:val="00A852AC"/>
    <w:rsid w:val="00A85846"/>
    <w:rsid w:val="00A86B6E"/>
    <w:rsid w:val="00A86E95"/>
    <w:rsid w:val="00A87D58"/>
    <w:rsid w:val="00A87FB9"/>
    <w:rsid w:val="00A90947"/>
    <w:rsid w:val="00A90A7E"/>
    <w:rsid w:val="00A9105F"/>
    <w:rsid w:val="00A91A0E"/>
    <w:rsid w:val="00A91AC6"/>
    <w:rsid w:val="00A92137"/>
    <w:rsid w:val="00A92154"/>
    <w:rsid w:val="00A9225F"/>
    <w:rsid w:val="00A9238F"/>
    <w:rsid w:val="00A92A33"/>
    <w:rsid w:val="00A9341E"/>
    <w:rsid w:val="00A93F23"/>
    <w:rsid w:val="00A94A55"/>
    <w:rsid w:val="00A94D27"/>
    <w:rsid w:val="00A95502"/>
    <w:rsid w:val="00A959E2"/>
    <w:rsid w:val="00A95CB3"/>
    <w:rsid w:val="00A9604D"/>
    <w:rsid w:val="00A96701"/>
    <w:rsid w:val="00A96ABC"/>
    <w:rsid w:val="00A96CE5"/>
    <w:rsid w:val="00A96DDE"/>
    <w:rsid w:val="00A97216"/>
    <w:rsid w:val="00A9725A"/>
    <w:rsid w:val="00A97675"/>
    <w:rsid w:val="00A978A8"/>
    <w:rsid w:val="00A97D10"/>
    <w:rsid w:val="00A97D54"/>
    <w:rsid w:val="00AA009F"/>
    <w:rsid w:val="00AA05FA"/>
    <w:rsid w:val="00AA065A"/>
    <w:rsid w:val="00AA08FF"/>
    <w:rsid w:val="00AA0BDD"/>
    <w:rsid w:val="00AA1645"/>
    <w:rsid w:val="00AA1C03"/>
    <w:rsid w:val="00AA2C98"/>
    <w:rsid w:val="00AA2E8D"/>
    <w:rsid w:val="00AA31BA"/>
    <w:rsid w:val="00AA3CD5"/>
    <w:rsid w:val="00AA40E1"/>
    <w:rsid w:val="00AA4125"/>
    <w:rsid w:val="00AA4224"/>
    <w:rsid w:val="00AA4507"/>
    <w:rsid w:val="00AA4703"/>
    <w:rsid w:val="00AA5D60"/>
    <w:rsid w:val="00AA5DB0"/>
    <w:rsid w:val="00AA6231"/>
    <w:rsid w:val="00AA641E"/>
    <w:rsid w:val="00AA6B90"/>
    <w:rsid w:val="00AA6E9C"/>
    <w:rsid w:val="00AA6F85"/>
    <w:rsid w:val="00AA75DC"/>
    <w:rsid w:val="00AA76B6"/>
    <w:rsid w:val="00AA7EFF"/>
    <w:rsid w:val="00AA7F0B"/>
    <w:rsid w:val="00AB012D"/>
    <w:rsid w:val="00AB04BE"/>
    <w:rsid w:val="00AB0CF5"/>
    <w:rsid w:val="00AB10EB"/>
    <w:rsid w:val="00AB13FA"/>
    <w:rsid w:val="00AB17DB"/>
    <w:rsid w:val="00AB1936"/>
    <w:rsid w:val="00AB1A41"/>
    <w:rsid w:val="00AB1B2B"/>
    <w:rsid w:val="00AB1EDA"/>
    <w:rsid w:val="00AB2685"/>
    <w:rsid w:val="00AB2CFF"/>
    <w:rsid w:val="00AB2D4D"/>
    <w:rsid w:val="00AB324B"/>
    <w:rsid w:val="00AB3D25"/>
    <w:rsid w:val="00AB465F"/>
    <w:rsid w:val="00AB4A25"/>
    <w:rsid w:val="00AB5E5E"/>
    <w:rsid w:val="00AB662C"/>
    <w:rsid w:val="00AB66BB"/>
    <w:rsid w:val="00AB6F32"/>
    <w:rsid w:val="00AB70C8"/>
    <w:rsid w:val="00AB7E16"/>
    <w:rsid w:val="00AC04A6"/>
    <w:rsid w:val="00AC06C1"/>
    <w:rsid w:val="00AC091F"/>
    <w:rsid w:val="00AC105E"/>
    <w:rsid w:val="00AC11CC"/>
    <w:rsid w:val="00AC1707"/>
    <w:rsid w:val="00AC17B3"/>
    <w:rsid w:val="00AC199D"/>
    <w:rsid w:val="00AC210E"/>
    <w:rsid w:val="00AC21B6"/>
    <w:rsid w:val="00AC318B"/>
    <w:rsid w:val="00AC3384"/>
    <w:rsid w:val="00AC3415"/>
    <w:rsid w:val="00AC3668"/>
    <w:rsid w:val="00AC3ADB"/>
    <w:rsid w:val="00AC40F6"/>
    <w:rsid w:val="00AC4563"/>
    <w:rsid w:val="00AC45ED"/>
    <w:rsid w:val="00AC4942"/>
    <w:rsid w:val="00AC520B"/>
    <w:rsid w:val="00AC54D3"/>
    <w:rsid w:val="00AC573C"/>
    <w:rsid w:val="00AC5C5A"/>
    <w:rsid w:val="00AC614B"/>
    <w:rsid w:val="00AC6536"/>
    <w:rsid w:val="00AC71AA"/>
    <w:rsid w:val="00AC76AA"/>
    <w:rsid w:val="00AC78BB"/>
    <w:rsid w:val="00AD01DC"/>
    <w:rsid w:val="00AD0214"/>
    <w:rsid w:val="00AD0749"/>
    <w:rsid w:val="00AD0996"/>
    <w:rsid w:val="00AD0DE9"/>
    <w:rsid w:val="00AD0E5D"/>
    <w:rsid w:val="00AD0EC3"/>
    <w:rsid w:val="00AD1020"/>
    <w:rsid w:val="00AD149A"/>
    <w:rsid w:val="00AD1585"/>
    <w:rsid w:val="00AD1B73"/>
    <w:rsid w:val="00AD2221"/>
    <w:rsid w:val="00AD270B"/>
    <w:rsid w:val="00AD3388"/>
    <w:rsid w:val="00AD3BE6"/>
    <w:rsid w:val="00AD3C6A"/>
    <w:rsid w:val="00AD3E91"/>
    <w:rsid w:val="00AD3F52"/>
    <w:rsid w:val="00AD42CC"/>
    <w:rsid w:val="00AD43E8"/>
    <w:rsid w:val="00AD490C"/>
    <w:rsid w:val="00AD4BE6"/>
    <w:rsid w:val="00AD4CA7"/>
    <w:rsid w:val="00AD5D74"/>
    <w:rsid w:val="00AD603F"/>
    <w:rsid w:val="00AD607E"/>
    <w:rsid w:val="00AD6592"/>
    <w:rsid w:val="00AD6A2A"/>
    <w:rsid w:val="00AD6AC8"/>
    <w:rsid w:val="00AD6F93"/>
    <w:rsid w:val="00AD7484"/>
    <w:rsid w:val="00AD7689"/>
    <w:rsid w:val="00AE03B6"/>
    <w:rsid w:val="00AE069B"/>
    <w:rsid w:val="00AE0C0E"/>
    <w:rsid w:val="00AE106F"/>
    <w:rsid w:val="00AE1159"/>
    <w:rsid w:val="00AE1349"/>
    <w:rsid w:val="00AE151B"/>
    <w:rsid w:val="00AE19E7"/>
    <w:rsid w:val="00AE1B54"/>
    <w:rsid w:val="00AE208E"/>
    <w:rsid w:val="00AE20AF"/>
    <w:rsid w:val="00AE2492"/>
    <w:rsid w:val="00AE29DC"/>
    <w:rsid w:val="00AE2A9A"/>
    <w:rsid w:val="00AE2C1A"/>
    <w:rsid w:val="00AE2EC9"/>
    <w:rsid w:val="00AE3A0C"/>
    <w:rsid w:val="00AE3F1F"/>
    <w:rsid w:val="00AE400A"/>
    <w:rsid w:val="00AE423A"/>
    <w:rsid w:val="00AE449B"/>
    <w:rsid w:val="00AE46DA"/>
    <w:rsid w:val="00AE4865"/>
    <w:rsid w:val="00AE501D"/>
    <w:rsid w:val="00AE5295"/>
    <w:rsid w:val="00AF061C"/>
    <w:rsid w:val="00AF06B4"/>
    <w:rsid w:val="00AF0F46"/>
    <w:rsid w:val="00AF11B6"/>
    <w:rsid w:val="00AF11CD"/>
    <w:rsid w:val="00AF162D"/>
    <w:rsid w:val="00AF1648"/>
    <w:rsid w:val="00AF16CF"/>
    <w:rsid w:val="00AF184F"/>
    <w:rsid w:val="00AF19E5"/>
    <w:rsid w:val="00AF1F69"/>
    <w:rsid w:val="00AF2947"/>
    <w:rsid w:val="00AF2B3D"/>
    <w:rsid w:val="00AF2C48"/>
    <w:rsid w:val="00AF333B"/>
    <w:rsid w:val="00AF3822"/>
    <w:rsid w:val="00AF3CB2"/>
    <w:rsid w:val="00AF3F4C"/>
    <w:rsid w:val="00AF482C"/>
    <w:rsid w:val="00AF4D9D"/>
    <w:rsid w:val="00AF4DFF"/>
    <w:rsid w:val="00AF50EE"/>
    <w:rsid w:val="00AF524E"/>
    <w:rsid w:val="00AF5281"/>
    <w:rsid w:val="00AF52B1"/>
    <w:rsid w:val="00AF5540"/>
    <w:rsid w:val="00AF5A89"/>
    <w:rsid w:val="00AF5C1B"/>
    <w:rsid w:val="00AF5DFE"/>
    <w:rsid w:val="00AF678B"/>
    <w:rsid w:val="00AF690F"/>
    <w:rsid w:val="00AF6A61"/>
    <w:rsid w:val="00AF7994"/>
    <w:rsid w:val="00AF7BF9"/>
    <w:rsid w:val="00AF7EF8"/>
    <w:rsid w:val="00AF7FD5"/>
    <w:rsid w:val="00B00AD0"/>
    <w:rsid w:val="00B00BF1"/>
    <w:rsid w:val="00B00E07"/>
    <w:rsid w:val="00B00F12"/>
    <w:rsid w:val="00B01582"/>
    <w:rsid w:val="00B018DB"/>
    <w:rsid w:val="00B01C41"/>
    <w:rsid w:val="00B01EF8"/>
    <w:rsid w:val="00B02372"/>
    <w:rsid w:val="00B031D8"/>
    <w:rsid w:val="00B031E4"/>
    <w:rsid w:val="00B03814"/>
    <w:rsid w:val="00B03877"/>
    <w:rsid w:val="00B03C88"/>
    <w:rsid w:val="00B03CCA"/>
    <w:rsid w:val="00B03D51"/>
    <w:rsid w:val="00B046A2"/>
    <w:rsid w:val="00B04753"/>
    <w:rsid w:val="00B04940"/>
    <w:rsid w:val="00B04CF7"/>
    <w:rsid w:val="00B053B0"/>
    <w:rsid w:val="00B057CE"/>
    <w:rsid w:val="00B10B23"/>
    <w:rsid w:val="00B10C09"/>
    <w:rsid w:val="00B1136C"/>
    <w:rsid w:val="00B11406"/>
    <w:rsid w:val="00B1177A"/>
    <w:rsid w:val="00B11908"/>
    <w:rsid w:val="00B11F0B"/>
    <w:rsid w:val="00B12B3E"/>
    <w:rsid w:val="00B13045"/>
    <w:rsid w:val="00B131C1"/>
    <w:rsid w:val="00B1325D"/>
    <w:rsid w:val="00B13303"/>
    <w:rsid w:val="00B134E6"/>
    <w:rsid w:val="00B13670"/>
    <w:rsid w:val="00B13E93"/>
    <w:rsid w:val="00B13F6F"/>
    <w:rsid w:val="00B14552"/>
    <w:rsid w:val="00B14654"/>
    <w:rsid w:val="00B14E5D"/>
    <w:rsid w:val="00B152CB"/>
    <w:rsid w:val="00B15343"/>
    <w:rsid w:val="00B1582C"/>
    <w:rsid w:val="00B15A97"/>
    <w:rsid w:val="00B15D98"/>
    <w:rsid w:val="00B16270"/>
    <w:rsid w:val="00B162A5"/>
    <w:rsid w:val="00B162B2"/>
    <w:rsid w:val="00B16A41"/>
    <w:rsid w:val="00B16C4D"/>
    <w:rsid w:val="00B16E43"/>
    <w:rsid w:val="00B1715E"/>
    <w:rsid w:val="00B17644"/>
    <w:rsid w:val="00B17F82"/>
    <w:rsid w:val="00B2071E"/>
    <w:rsid w:val="00B2109E"/>
    <w:rsid w:val="00B22048"/>
    <w:rsid w:val="00B225C0"/>
    <w:rsid w:val="00B226E4"/>
    <w:rsid w:val="00B22908"/>
    <w:rsid w:val="00B22AA1"/>
    <w:rsid w:val="00B22C35"/>
    <w:rsid w:val="00B22FCB"/>
    <w:rsid w:val="00B23032"/>
    <w:rsid w:val="00B2373A"/>
    <w:rsid w:val="00B23754"/>
    <w:rsid w:val="00B23AB4"/>
    <w:rsid w:val="00B23CF3"/>
    <w:rsid w:val="00B2429F"/>
    <w:rsid w:val="00B244E5"/>
    <w:rsid w:val="00B247FB"/>
    <w:rsid w:val="00B25078"/>
    <w:rsid w:val="00B250C0"/>
    <w:rsid w:val="00B2577D"/>
    <w:rsid w:val="00B26411"/>
    <w:rsid w:val="00B26911"/>
    <w:rsid w:val="00B26DAE"/>
    <w:rsid w:val="00B26DDE"/>
    <w:rsid w:val="00B26E5B"/>
    <w:rsid w:val="00B26F76"/>
    <w:rsid w:val="00B272E0"/>
    <w:rsid w:val="00B276F1"/>
    <w:rsid w:val="00B277E0"/>
    <w:rsid w:val="00B27869"/>
    <w:rsid w:val="00B27A6A"/>
    <w:rsid w:val="00B3026D"/>
    <w:rsid w:val="00B302F2"/>
    <w:rsid w:val="00B3039E"/>
    <w:rsid w:val="00B3056D"/>
    <w:rsid w:val="00B31131"/>
    <w:rsid w:val="00B31449"/>
    <w:rsid w:val="00B31713"/>
    <w:rsid w:val="00B319B3"/>
    <w:rsid w:val="00B31B48"/>
    <w:rsid w:val="00B31CD7"/>
    <w:rsid w:val="00B32C24"/>
    <w:rsid w:val="00B32E81"/>
    <w:rsid w:val="00B337B9"/>
    <w:rsid w:val="00B33E9E"/>
    <w:rsid w:val="00B3487A"/>
    <w:rsid w:val="00B34A7D"/>
    <w:rsid w:val="00B34B0B"/>
    <w:rsid w:val="00B34C90"/>
    <w:rsid w:val="00B34FFF"/>
    <w:rsid w:val="00B35152"/>
    <w:rsid w:val="00B35156"/>
    <w:rsid w:val="00B35207"/>
    <w:rsid w:val="00B3532D"/>
    <w:rsid w:val="00B3533C"/>
    <w:rsid w:val="00B355FE"/>
    <w:rsid w:val="00B356FC"/>
    <w:rsid w:val="00B3599E"/>
    <w:rsid w:val="00B35A88"/>
    <w:rsid w:val="00B35C55"/>
    <w:rsid w:val="00B36682"/>
    <w:rsid w:val="00B36752"/>
    <w:rsid w:val="00B37579"/>
    <w:rsid w:val="00B37895"/>
    <w:rsid w:val="00B37EF0"/>
    <w:rsid w:val="00B4061B"/>
    <w:rsid w:val="00B40A2F"/>
    <w:rsid w:val="00B41A26"/>
    <w:rsid w:val="00B41C1E"/>
    <w:rsid w:val="00B41C77"/>
    <w:rsid w:val="00B421D1"/>
    <w:rsid w:val="00B4220D"/>
    <w:rsid w:val="00B427F6"/>
    <w:rsid w:val="00B42C4C"/>
    <w:rsid w:val="00B42DFF"/>
    <w:rsid w:val="00B43823"/>
    <w:rsid w:val="00B43D10"/>
    <w:rsid w:val="00B43FFE"/>
    <w:rsid w:val="00B44032"/>
    <w:rsid w:val="00B44666"/>
    <w:rsid w:val="00B4468A"/>
    <w:rsid w:val="00B44EF7"/>
    <w:rsid w:val="00B455CB"/>
    <w:rsid w:val="00B4578B"/>
    <w:rsid w:val="00B45DCD"/>
    <w:rsid w:val="00B462A8"/>
    <w:rsid w:val="00B463CC"/>
    <w:rsid w:val="00B46938"/>
    <w:rsid w:val="00B47734"/>
    <w:rsid w:val="00B4791F"/>
    <w:rsid w:val="00B4799A"/>
    <w:rsid w:val="00B5008B"/>
    <w:rsid w:val="00B500FB"/>
    <w:rsid w:val="00B504F2"/>
    <w:rsid w:val="00B50852"/>
    <w:rsid w:val="00B5091E"/>
    <w:rsid w:val="00B50939"/>
    <w:rsid w:val="00B50B2C"/>
    <w:rsid w:val="00B515F3"/>
    <w:rsid w:val="00B51CAE"/>
    <w:rsid w:val="00B51E9D"/>
    <w:rsid w:val="00B521B7"/>
    <w:rsid w:val="00B521D9"/>
    <w:rsid w:val="00B529DA"/>
    <w:rsid w:val="00B52A7E"/>
    <w:rsid w:val="00B530FF"/>
    <w:rsid w:val="00B531D7"/>
    <w:rsid w:val="00B53889"/>
    <w:rsid w:val="00B538F7"/>
    <w:rsid w:val="00B53E64"/>
    <w:rsid w:val="00B54A64"/>
    <w:rsid w:val="00B54E37"/>
    <w:rsid w:val="00B551B8"/>
    <w:rsid w:val="00B55763"/>
    <w:rsid w:val="00B55FE6"/>
    <w:rsid w:val="00B5646D"/>
    <w:rsid w:val="00B56528"/>
    <w:rsid w:val="00B56FB7"/>
    <w:rsid w:val="00B57390"/>
    <w:rsid w:val="00B57CBC"/>
    <w:rsid w:val="00B57FF9"/>
    <w:rsid w:val="00B6014C"/>
    <w:rsid w:val="00B60812"/>
    <w:rsid w:val="00B608EE"/>
    <w:rsid w:val="00B6091E"/>
    <w:rsid w:val="00B61454"/>
    <w:rsid w:val="00B617BA"/>
    <w:rsid w:val="00B618AF"/>
    <w:rsid w:val="00B61AE6"/>
    <w:rsid w:val="00B61C75"/>
    <w:rsid w:val="00B621A0"/>
    <w:rsid w:val="00B623AE"/>
    <w:rsid w:val="00B62523"/>
    <w:rsid w:val="00B62529"/>
    <w:rsid w:val="00B6305D"/>
    <w:rsid w:val="00B6311D"/>
    <w:rsid w:val="00B63242"/>
    <w:rsid w:val="00B634AF"/>
    <w:rsid w:val="00B639D8"/>
    <w:rsid w:val="00B641D5"/>
    <w:rsid w:val="00B642BC"/>
    <w:rsid w:val="00B64D91"/>
    <w:rsid w:val="00B64FC0"/>
    <w:rsid w:val="00B65505"/>
    <w:rsid w:val="00B65698"/>
    <w:rsid w:val="00B66427"/>
    <w:rsid w:val="00B6685D"/>
    <w:rsid w:val="00B669C7"/>
    <w:rsid w:val="00B66F82"/>
    <w:rsid w:val="00B67391"/>
    <w:rsid w:val="00B67653"/>
    <w:rsid w:val="00B67BD0"/>
    <w:rsid w:val="00B70153"/>
    <w:rsid w:val="00B701A2"/>
    <w:rsid w:val="00B7054F"/>
    <w:rsid w:val="00B70565"/>
    <w:rsid w:val="00B70820"/>
    <w:rsid w:val="00B712D6"/>
    <w:rsid w:val="00B7146F"/>
    <w:rsid w:val="00B71E58"/>
    <w:rsid w:val="00B7232A"/>
    <w:rsid w:val="00B72474"/>
    <w:rsid w:val="00B72728"/>
    <w:rsid w:val="00B7286D"/>
    <w:rsid w:val="00B72962"/>
    <w:rsid w:val="00B72D51"/>
    <w:rsid w:val="00B72D7A"/>
    <w:rsid w:val="00B73014"/>
    <w:rsid w:val="00B739A9"/>
    <w:rsid w:val="00B73B12"/>
    <w:rsid w:val="00B74394"/>
    <w:rsid w:val="00B7488E"/>
    <w:rsid w:val="00B74C42"/>
    <w:rsid w:val="00B757C4"/>
    <w:rsid w:val="00B766F9"/>
    <w:rsid w:val="00B76B2B"/>
    <w:rsid w:val="00B76E6F"/>
    <w:rsid w:val="00B76FA0"/>
    <w:rsid w:val="00B77065"/>
    <w:rsid w:val="00B7720C"/>
    <w:rsid w:val="00B773FB"/>
    <w:rsid w:val="00B7775C"/>
    <w:rsid w:val="00B777CB"/>
    <w:rsid w:val="00B77902"/>
    <w:rsid w:val="00B77992"/>
    <w:rsid w:val="00B8021D"/>
    <w:rsid w:val="00B807D4"/>
    <w:rsid w:val="00B80802"/>
    <w:rsid w:val="00B80A9A"/>
    <w:rsid w:val="00B814AD"/>
    <w:rsid w:val="00B81548"/>
    <w:rsid w:val="00B81BC9"/>
    <w:rsid w:val="00B81C9C"/>
    <w:rsid w:val="00B81DA0"/>
    <w:rsid w:val="00B837D4"/>
    <w:rsid w:val="00B83DAE"/>
    <w:rsid w:val="00B83E78"/>
    <w:rsid w:val="00B8454A"/>
    <w:rsid w:val="00B84971"/>
    <w:rsid w:val="00B84C06"/>
    <w:rsid w:val="00B84D39"/>
    <w:rsid w:val="00B8565F"/>
    <w:rsid w:val="00B85740"/>
    <w:rsid w:val="00B8585C"/>
    <w:rsid w:val="00B85B86"/>
    <w:rsid w:val="00B85C8C"/>
    <w:rsid w:val="00B864BB"/>
    <w:rsid w:val="00B865D3"/>
    <w:rsid w:val="00B86927"/>
    <w:rsid w:val="00B86D70"/>
    <w:rsid w:val="00B87522"/>
    <w:rsid w:val="00B87EEA"/>
    <w:rsid w:val="00B90276"/>
    <w:rsid w:val="00B9029F"/>
    <w:rsid w:val="00B905E8"/>
    <w:rsid w:val="00B916F3"/>
    <w:rsid w:val="00B91A0B"/>
    <w:rsid w:val="00B9264D"/>
    <w:rsid w:val="00B927F8"/>
    <w:rsid w:val="00B92CBE"/>
    <w:rsid w:val="00B93014"/>
    <w:rsid w:val="00B932AC"/>
    <w:rsid w:val="00B933E6"/>
    <w:rsid w:val="00B93557"/>
    <w:rsid w:val="00B94AC5"/>
    <w:rsid w:val="00B958C2"/>
    <w:rsid w:val="00B95ABB"/>
    <w:rsid w:val="00B95B7D"/>
    <w:rsid w:val="00B96FC5"/>
    <w:rsid w:val="00B978F2"/>
    <w:rsid w:val="00B9794C"/>
    <w:rsid w:val="00B979BD"/>
    <w:rsid w:val="00B97D00"/>
    <w:rsid w:val="00B97E1D"/>
    <w:rsid w:val="00BA04CC"/>
    <w:rsid w:val="00BA04DA"/>
    <w:rsid w:val="00BA0723"/>
    <w:rsid w:val="00BA0D70"/>
    <w:rsid w:val="00BA0FA5"/>
    <w:rsid w:val="00BA1455"/>
    <w:rsid w:val="00BA188E"/>
    <w:rsid w:val="00BA1AB1"/>
    <w:rsid w:val="00BA1D31"/>
    <w:rsid w:val="00BA20DC"/>
    <w:rsid w:val="00BA20DE"/>
    <w:rsid w:val="00BA227D"/>
    <w:rsid w:val="00BA2D46"/>
    <w:rsid w:val="00BA3310"/>
    <w:rsid w:val="00BA343E"/>
    <w:rsid w:val="00BA3CE8"/>
    <w:rsid w:val="00BA42BC"/>
    <w:rsid w:val="00BA4368"/>
    <w:rsid w:val="00BA436D"/>
    <w:rsid w:val="00BA4710"/>
    <w:rsid w:val="00BA5BBF"/>
    <w:rsid w:val="00BA5D53"/>
    <w:rsid w:val="00BA63A6"/>
    <w:rsid w:val="00BA7232"/>
    <w:rsid w:val="00BA7885"/>
    <w:rsid w:val="00BA7CBD"/>
    <w:rsid w:val="00BA7ED0"/>
    <w:rsid w:val="00BA7F11"/>
    <w:rsid w:val="00BB0B55"/>
    <w:rsid w:val="00BB0E2F"/>
    <w:rsid w:val="00BB0EB7"/>
    <w:rsid w:val="00BB0F04"/>
    <w:rsid w:val="00BB10E0"/>
    <w:rsid w:val="00BB1A8A"/>
    <w:rsid w:val="00BB2049"/>
    <w:rsid w:val="00BB22CE"/>
    <w:rsid w:val="00BB268D"/>
    <w:rsid w:val="00BB2A55"/>
    <w:rsid w:val="00BB2C2E"/>
    <w:rsid w:val="00BB3200"/>
    <w:rsid w:val="00BB34D9"/>
    <w:rsid w:val="00BB3E43"/>
    <w:rsid w:val="00BB521E"/>
    <w:rsid w:val="00BB524F"/>
    <w:rsid w:val="00BB5450"/>
    <w:rsid w:val="00BB5567"/>
    <w:rsid w:val="00BB69D3"/>
    <w:rsid w:val="00BB6E01"/>
    <w:rsid w:val="00BB7118"/>
    <w:rsid w:val="00BB7908"/>
    <w:rsid w:val="00BB7D88"/>
    <w:rsid w:val="00BB7EAA"/>
    <w:rsid w:val="00BC0155"/>
    <w:rsid w:val="00BC0204"/>
    <w:rsid w:val="00BC083E"/>
    <w:rsid w:val="00BC0986"/>
    <w:rsid w:val="00BC0AC7"/>
    <w:rsid w:val="00BC0E87"/>
    <w:rsid w:val="00BC10DD"/>
    <w:rsid w:val="00BC1210"/>
    <w:rsid w:val="00BC1684"/>
    <w:rsid w:val="00BC1958"/>
    <w:rsid w:val="00BC1D93"/>
    <w:rsid w:val="00BC205B"/>
    <w:rsid w:val="00BC20FA"/>
    <w:rsid w:val="00BC27E2"/>
    <w:rsid w:val="00BC2960"/>
    <w:rsid w:val="00BC296D"/>
    <w:rsid w:val="00BC2F77"/>
    <w:rsid w:val="00BC3AAD"/>
    <w:rsid w:val="00BC44FE"/>
    <w:rsid w:val="00BC479D"/>
    <w:rsid w:val="00BC5566"/>
    <w:rsid w:val="00BC55E0"/>
    <w:rsid w:val="00BC58D0"/>
    <w:rsid w:val="00BC596F"/>
    <w:rsid w:val="00BC5F54"/>
    <w:rsid w:val="00BC6213"/>
    <w:rsid w:val="00BC6983"/>
    <w:rsid w:val="00BC6A68"/>
    <w:rsid w:val="00BC6EF7"/>
    <w:rsid w:val="00BC6FC2"/>
    <w:rsid w:val="00BC703D"/>
    <w:rsid w:val="00BC7127"/>
    <w:rsid w:val="00BC7873"/>
    <w:rsid w:val="00BD00A3"/>
    <w:rsid w:val="00BD064A"/>
    <w:rsid w:val="00BD099B"/>
    <w:rsid w:val="00BD10DB"/>
    <w:rsid w:val="00BD143D"/>
    <w:rsid w:val="00BD153E"/>
    <w:rsid w:val="00BD16E5"/>
    <w:rsid w:val="00BD1DEB"/>
    <w:rsid w:val="00BD297F"/>
    <w:rsid w:val="00BD2D0A"/>
    <w:rsid w:val="00BD3180"/>
    <w:rsid w:val="00BD342D"/>
    <w:rsid w:val="00BD425D"/>
    <w:rsid w:val="00BD4C01"/>
    <w:rsid w:val="00BD4CA6"/>
    <w:rsid w:val="00BD5BAB"/>
    <w:rsid w:val="00BD5C78"/>
    <w:rsid w:val="00BD6E22"/>
    <w:rsid w:val="00BD7336"/>
    <w:rsid w:val="00BD7357"/>
    <w:rsid w:val="00BD739C"/>
    <w:rsid w:val="00BD7DE0"/>
    <w:rsid w:val="00BE05D1"/>
    <w:rsid w:val="00BE0ED2"/>
    <w:rsid w:val="00BE16F8"/>
    <w:rsid w:val="00BE1966"/>
    <w:rsid w:val="00BE276C"/>
    <w:rsid w:val="00BE3561"/>
    <w:rsid w:val="00BE37D9"/>
    <w:rsid w:val="00BE3DCF"/>
    <w:rsid w:val="00BE43F9"/>
    <w:rsid w:val="00BE49A8"/>
    <w:rsid w:val="00BE5D68"/>
    <w:rsid w:val="00BE5DA2"/>
    <w:rsid w:val="00BE5E6C"/>
    <w:rsid w:val="00BE5FA6"/>
    <w:rsid w:val="00BE7447"/>
    <w:rsid w:val="00BE795D"/>
    <w:rsid w:val="00BE7991"/>
    <w:rsid w:val="00BF0226"/>
    <w:rsid w:val="00BF0239"/>
    <w:rsid w:val="00BF095F"/>
    <w:rsid w:val="00BF12A5"/>
    <w:rsid w:val="00BF15FB"/>
    <w:rsid w:val="00BF2C33"/>
    <w:rsid w:val="00BF2E23"/>
    <w:rsid w:val="00BF3235"/>
    <w:rsid w:val="00BF33B9"/>
    <w:rsid w:val="00BF362A"/>
    <w:rsid w:val="00BF366D"/>
    <w:rsid w:val="00BF37AC"/>
    <w:rsid w:val="00BF44F1"/>
    <w:rsid w:val="00BF4BEF"/>
    <w:rsid w:val="00BF4C7C"/>
    <w:rsid w:val="00BF4CC9"/>
    <w:rsid w:val="00BF5EB2"/>
    <w:rsid w:val="00BF5F43"/>
    <w:rsid w:val="00BF62C3"/>
    <w:rsid w:val="00BF64E4"/>
    <w:rsid w:val="00BF6B45"/>
    <w:rsid w:val="00BF6CAA"/>
    <w:rsid w:val="00BF6DE3"/>
    <w:rsid w:val="00BF6F95"/>
    <w:rsid w:val="00BF774D"/>
    <w:rsid w:val="00BF7854"/>
    <w:rsid w:val="00C006B2"/>
    <w:rsid w:val="00C00901"/>
    <w:rsid w:val="00C00B30"/>
    <w:rsid w:val="00C01209"/>
    <w:rsid w:val="00C01CBE"/>
    <w:rsid w:val="00C01EE5"/>
    <w:rsid w:val="00C01F17"/>
    <w:rsid w:val="00C01F4D"/>
    <w:rsid w:val="00C02001"/>
    <w:rsid w:val="00C03206"/>
    <w:rsid w:val="00C03681"/>
    <w:rsid w:val="00C03BC3"/>
    <w:rsid w:val="00C03D82"/>
    <w:rsid w:val="00C045C1"/>
    <w:rsid w:val="00C05267"/>
    <w:rsid w:val="00C0581A"/>
    <w:rsid w:val="00C05ABC"/>
    <w:rsid w:val="00C06567"/>
    <w:rsid w:val="00C0659E"/>
    <w:rsid w:val="00C06663"/>
    <w:rsid w:val="00C06F94"/>
    <w:rsid w:val="00C076F4"/>
    <w:rsid w:val="00C07A60"/>
    <w:rsid w:val="00C07DBF"/>
    <w:rsid w:val="00C07F9B"/>
    <w:rsid w:val="00C107DF"/>
    <w:rsid w:val="00C1096E"/>
    <w:rsid w:val="00C109A7"/>
    <w:rsid w:val="00C110F2"/>
    <w:rsid w:val="00C111CA"/>
    <w:rsid w:val="00C11A33"/>
    <w:rsid w:val="00C11DC7"/>
    <w:rsid w:val="00C124B8"/>
    <w:rsid w:val="00C12B07"/>
    <w:rsid w:val="00C13B7E"/>
    <w:rsid w:val="00C13F6B"/>
    <w:rsid w:val="00C14603"/>
    <w:rsid w:val="00C1499B"/>
    <w:rsid w:val="00C14FBA"/>
    <w:rsid w:val="00C1536B"/>
    <w:rsid w:val="00C15519"/>
    <w:rsid w:val="00C15555"/>
    <w:rsid w:val="00C15954"/>
    <w:rsid w:val="00C1617B"/>
    <w:rsid w:val="00C166AB"/>
    <w:rsid w:val="00C1670D"/>
    <w:rsid w:val="00C2058C"/>
    <w:rsid w:val="00C20DA1"/>
    <w:rsid w:val="00C20E3D"/>
    <w:rsid w:val="00C21590"/>
    <w:rsid w:val="00C219A0"/>
    <w:rsid w:val="00C21AD4"/>
    <w:rsid w:val="00C21DDA"/>
    <w:rsid w:val="00C21E2A"/>
    <w:rsid w:val="00C22404"/>
    <w:rsid w:val="00C2272A"/>
    <w:rsid w:val="00C22EF0"/>
    <w:rsid w:val="00C22FBE"/>
    <w:rsid w:val="00C2316E"/>
    <w:rsid w:val="00C23BEE"/>
    <w:rsid w:val="00C23E73"/>
    <w:rsid w:val="00C23F44"/>
    <w:rsid w:val="00C24539"/>
    <w:rsid w:val="00C24639"/>
    <w:rsid w:val="00C24B1B"/>
    <w:rsid w:val="00C24B8D"/>
    <w:rsid w:val="00C2508F"/>
    <w:rsid w:val="00C25A61"/>
    <w:rsid w:val="00C25C6F"/>
    <w:rsid w:val="00C25F48"/>
    <w:rsid w:val="00C26AFD"/>
    <w:rsid w:val="00C26E1E"/>
    <w:rsid w:val="00C27F1A"/>
    <w:rsid w:val="00C301B0"/>
    <w:rsid w:val="00C319E5"/>
    <w:rsid w:val="00C31A51"/>
    <w:rsid w:val="00C320CC"/>
    <w:rsid w:val="00C322C4"/>
    <w:rsid w:val="00C323A8"/>
    <w:rsid w:val="00C3244F"/>
    <w:rsid w:val="00C32550"/>
    <w:rsid w:val="00C32822"/>
    <w:rsid w:val="00C3285D"/>
    <w:rsid w:val="00C3311C"/>
    <w:rsid w:val="00C3340A"/>
    <w:rsid w:val="00C33A23"/>
    <w:rsid w:val="00C33AF7"/>
    <w:rsid w:val="00C344FF"/>
    <w:rsid w:val="00C34625"/>
    <w:rsid w:val="00C348EC"/>
    <w:rsid w:val="00C34EAE"/>
    <w:rsid w:val="00C356C5"/>
    <w:rsid w:val="00C35E4B"/>
    <w:rsid w:val="00C361E7"/>
    <w:rsid w:val="00C3693E"/>
    <w:rsid w:val="00C36F37"/>
    <w:rsid w:val="00C371F8"/>
    <w:rsid w:val="00C37216"/>
    <w:rsid w:val="00C37B2A"/>
    <w:rsid w:val="00C40524"/>
    <w:rsid w:val="00C41060"/>
    <w:rsid w:val="00C41165"/>
    <w:rsid w:val="00C412F3"/>
    <w:rsid w:val="00C42063"/>
    <w:rsid w:val="00C42622"/>
    <w:rsid w:val="00C42E8A"/>
    <w:rsid w:val="00C4306A"/>
    <w:rsid w:val="00C44311"/>
    <w:rsid w:val="00C446A4"/>
    <w:rsid w:val="00C4540E"/>
    <w:rsid w:val="00C4576F"/>
    <w:rsid w:val="00C457CA"/>
    <w:rsid w:val="00C45999"/>
    <w:rsid w:val="00C45C2D"/>
    <w:rsid w:val="00C45D4E"/>
    <w:rsid w:val="00C464C6"/>
    <w:rsid w:val="00C46693"/>
    <w:rsid w:val="00C46B68"/>
    <w:rsid w:val="00C46C63"/>
    <w:rsid w:val="00C47516"/>
    <w:rsid w:val="00C4791F"/>
    <w:rsid w:val="00C47CBF"/>
    <w:rsid w:val="00C47D8A"/>
    <w:rsid w:val="00C47E77"/>
    <w:rsid w:val="00C47F3A"/>
    <w:rsid w:val="00C50038"/>
    <w:rsid w:val="00C5034D"/>
    <w:rsid w:val="00C5058F"/>
    <w:rsid w:val="00C505EA"/>
    <w:rsid w:val="00C50C17"/>
    <w:rsid w:val="00C50CFD"/>
    <w:rsid w:val="00C51A13"/>
    <w:rsid w:val="00C5227C"/>
    <w:rsid w:val="00C5232C"/>
    <w:rsid w:val="00C52952"/>
    <w:rsid w:val="00C52A60"/>
    <w:rsid w:val="00C5300A"/>
    <w:rsid w:val="00C53189"/>
    <w:rsid w:val="00C54848"/>
    <w:rsid w:val="00C54A1D"/>
    <w:rsid w:val="00C54B8A"/>
    <w:rsid w:val="00C54E09"/>
    <w:rsid w:val="00C5513F"/>
    <w:rsid w:val="00C55388"/>
    <w:rsid w:val="00C558F5"/>
    <w:rsid w:val="00C5592B"/>
    <w:rsid w:val="00C56A56"/>
    <w:rsid w:val="00C56FCA"/>
    <w:rsid w:val="00C56FE4"/>
    <w:rsid w:val="00C57123"/>
    <w:rsid w:val="00C57CE8"/>
    <w:rsid w:val="00C60458"/>
    <w:rsid w:val="00C6046B"/>
    <w:rsid w:val="00C60828"/>
    <w:rsid w:val="00C60CC2"/>
    <w:rsid w:val="00C60FC8"/>
    <w:rsid w:val="00C611F2"/>
    <w:rsid w:val="00C6121B"/>
    <w:rsid w:val="00C61698"/>
    <w:rsid w:val="00C61C34"/>
    <w:rsid w:val="00C61C5E"/>
    <w:rsid w:val="00C623A7"/>
    <w:rsid w:val="00C62843"/>
    <w:rsid w:val="00C62BD4"/>
    <w:rsid w:val="00C62D68"/>
    <w:rsid w:val="00C62F36"/>
    <w:rsid w:val="00C62FE7"/>
    <w:rsid w:val="00C63515"/>
    <w:rsid w:val="00C636D8"/>
    <w:rsid w:val="00C639AF"/>
    <w:rsid w:val="00C63A93"/>
    <w:rsid w:val="00C642B8"/>
    <w:rsid w:val="00C64748"/>
    <w:rsid w:val="00C650E1"/>
    <w:rsid w:val="00C651C1"/>
    <w:rsid w:val="00C65514"/>
    <w:rsid w:val="00C655B0"/>
    <w:rsid w:val="00C65635"/>
    <w:rsid w:val="00C65A10"/>
    <w:rsid w:val="00C6656E"/>
    <w:rsid w:val="00C6694F"/>
    <w:rsid w:val="00C670DB"/>
    <w:rsid w:val="00C7043A"/>
    <w:rsid w:val="00C70502"/>
    <w:rsid w:val="00C7054C"/>
    <w:rsid w:val="00C70CA3"/>
    <w:rsid w:val="00C70E6F"/>
    <w:rsid w:val="00C7177F"/>
    <w:rsid w:val="00C717F0"/>
    <w:rsid w:val="00C71821"/>
    <w:rsid w:val="00C72A04"/>
    <w:rsid w:val="00C72B10"/>
    <w:rsid w:val="00C72D41"/>
    <w:rsid w:val="00C72DB3"/>
    <w:rsid w:val="00C72ECF"/>
    <w:rsid w:val="00C73CBC"/>
    <w:rsid w:val="00C74380"/>
    <w:rsid w:val="00C744E3"/>
    <w:rsid w:val="00C744ED"/>
    <w:rsid w:val="00C74D15"/>
    <w:rsid w:val="00C75DAA"/>
    <w:rsid w:val="00C76512"/>
    <w:rsid w:val="00C7676F"/>
    <w:rsid w:val="00C76F1B"/>
    <w:rsid w:val="00C7753C"/>
    <w:rsid w:val="00C77BD1"/>
    <w:rsid w:val="00C77F1A"/>
    <w:rsid w:val="00C807FE"/>
    <w:rsid w:val="00C80D0B"/>
    <w:rsid w:val="00C815B0"/>
    <w:rsid w:val="00C81E78"/>
    <w:rsid w:val="00C8304F"/>
    <w:rsid w:val="00C8305E"/>
    <w:rsid w:val="00C83170"/>
    <w:rsid w:val="00C8335E"/>
    <w:rsid w:val="00C8348E"/>
    <w:rsid w:val="00C83687"/>
    <w:rsid w:val="00C836C8"/>
    <w:rsid w:val="00C838CE"/>
    <w:rsid w:val="00C84051"/>
    <w:rsid w:val="00C8432C"/>
    <w:rsid w:val="00C84BA1"/>
    <w:rsid w:val="00C856C1"/>
    <w:rsid w:val="00C857E4"/>
    <w:rsid w:val="00C858C5"/>
    <w:rsid w:val="00C85ACE"/>
    <w:rsid w:val="00C85C98"/>
    <w:rsid w:val="00C85CEB"/>
    <w:rsid w:val="00C864B0"/>
    <w:rsid w:val="00C86537"/>
    <w:rsid w:val="00C86736"/>
    <w:rsid w:val="00C86A7C"/>
    <w:rsid w:val="00C86A8D"/>
    <w:rsid w:val="00C86DC2"/>
    <w:rsid w:val="00C87940"/>
    <w:rsid w:val="00C87B7C"/>
    <w:rsid w:val="00C909D7"/>
    <w:rsid w:val="00C9221B"/>
    <w:rsid w:val="00C922AF"/>
    <w:rsid w:val="00C9232A"/>
    <w:rsid w:val="00C924A7"/>
    <w:rsid w:val="00C92529"/>
    <w:rsid w:val="00C92974"/>
    <w:rsid w:val="00C9358B"/>
    <w:rsid w:val="00C93DEE"/>
    <w:rsid w:val="00C94CF1"/>
    <w:rsid w:val="00C9540C"/>
    <w:rsid w:val="00C95529"/>
    <w:rsid w:val="00C9568F"/>
    <w:rsid w:val="00C9626E"/>
    <w:rsid w:val="00C96521"/>
    <w:rsid w:val="00C9672C"/>
    <w:rsid w:val="00C96840"/>
    <w:rsid w:val="00C96DCC"/>
    <w:rsid w:val="00C971E7"/>
    <w:rsid w:val="00C97228"/>
    <w:rsid w:val="00C97829"/>
    <w:rsid w:val="00C97ABA"/>
    <w:rsid w:val="00C97B95"/>
    <w:rsid w:val="00CA0225"/>
    <w:rsid w:val="00CA053C"/>
    <w:rsid w:val="00CA0CF2"/>
    <w:rsid w:val="00CA0DBE"/>
    <w:rsid w:val="00CA0F42"/>
    <w:rsid w:val="00CA146A"/>
    <w:rsid w:val="00CA1EB9"/>
    <w:rsid w:val="00CA21F9"/>
    <w:rsid w:val="00CA292B"/>
    <w:rsid w:val="00CA2A3F"/>
    <w:rsid w:val="00CA3058"/>
    <w:rsid w:val="00CA3388"/>
    <w:rsid w:val="00CA4217"/>
    <w:rsid w:val="00CA424B"/>
    <w:rsid w:val="00CA4814"/>
    <w:rsid w:val="00CA4909"/>
    <w:rsid w:val="00CA4925"/>
    <w:rsid w:val="00CA52A0"/>
    <w:rsid w:val="00CA5302"/>
    <w:rsid w:val="00CA6598"/>
    <w:rsid w:val="00CA692B"/>
    <w:rsid w:val="00CA6E50"/>
    <w:rsid w:val="00CA6E96"/>
    <w:rsid w:val="00CA76C8"/>
    <w:rsid w:val="00CA7C19"/>
    <w:rsid w:val="00CA7DD5"/>
    <w:rsid w:val="00CA7F62"/>
    <w:rsid w:val="00CB0E8E"/>
    <w:rsid w:val="00CB1470"/>
    <w:rsid w:val="00CB1DA4"/>
    <w:rsid w:val="00CB1E94"/>
    <w:rsid w:val="00CB2305"/>
    <w:rsid w:val="00CB2382"/>
    <w:rsid w:val="00CB29B6"/>
    <w:rsid w:val="00CB2AD7"/>
    <w:rsid w:val="00CB2DC4"/>
    <w:rsid w:val="00CB2F5A"/>
    <w:rsid w:val="00CB3030"/>
    <w:rsid w:val="00CB4018"/>
    <w:rsid w:val="00CB43CD"/>
    <w:rsid w:val="00CB47E9"/>
    <w:rsid w:val="00CB5441"/>
    <w:rsid w:val="00CB5585"/>
    <w:rsid w:val="00CB599F"/>
    <w:rsid w:val="00CB5AA6"/>
    <w:rsid w:val="00CB5E84"/>
    <w:rsid w:val="00CB5EAE"/>
    <w:rsid w:val="00CB63BD"/>
    <w:rsid w:val="00CB6480"/>
    <w:rsid w:val="00CB70CF"/>
    <w:rsid w:val="00CB7680"/>
    <w:rsid w:val="00CB7879"/>
    <w:rsid w:val="00CB78C0"/>
    <w:rsid w:val="00CB7D7D"/>
    <w:rsid w:val="00CB7E12"/>
    <w:rsid w:val="00CC0B70"/>
    <w:rsid w:val="00CC1198"/>
    <w:rsid w:val="00CC136B"/>
    <w:rsid w:val="00CC142F"/>
    <w:rsid w:val="00CC1CBA"/>
    <w:rsid w:val="00CC20DE"/>
    <w:rsid w:val="00CC23CE"/>
    <w:rsid w:val="00CC23E0"/>
    <w:rsid w:val="00CC297F"/>
    <w:rsid w:val="00CC29F6"/>
    <w:rsid w:val="00CC2B96"/>
    <w:rsid w:val="00CC2BDC"/>
    <w:rsid w:val="00CC2C10"/>
    <w:rsid w:val="00CC2DB9"/>
    <w:rsid w:val="00CC33F8"/>
    <w:rsid w:val="00CC45FD"/>
    <w:rsid w:val="00CC46E8"/>
    <w:rsid w:val="00CC4A35"/>
    <w:rsid w:val="00CC4B49"/>
    <w:rsid w:val="00CC5E5A"/>
    <w:rsid w:val="00CC64D5"/>
    <w:rsid w:val="00CC64E4"/>
    <w:rsid w:val="00CC68D5"/>
    <w:rsid w:val="00CC6BBD"/>
    <w:rsid w:val="00CC6BEA"/>
    <w:rsid w:val="00CC6CC9"/>
    <w:rsid w:val="00CC7235"/>
    <w:rsid w:val="00CC757B"/>
    <w:rsid w:val="00CC7F02"/>
    <w:rsid w:val="00CD0062"/>
    <w:rsid w:val="00CD042D"/>
    <w:rsid w:val="00CD0583"/>
    <w:rsid w:val="00CD059B"/>
    <w:rsid w:val="00CD0F1C"/>
    <w:rsid w:val="00CD0F77"/>
    <w:rsid w:val="00CD131B"/>
    <w:rsid w:val="00CD1758"/>
    <w:rsid w:val="00CD25B1"/>
    <w:rsid w:val="00CD2C1A"/>
    <w:rsid w:val="00CD2D3D"/>
    <w:rsid w:val="00CD2D9F"/>
    <w:rsid w:val="00CD3475"/>
    <w:rsid w:val="00CD3B57"/>
    <w:rsid w:val="00CD407F"/>
    <w:rsid w:val="00CD43E9"/>
    <w:rsid w:val="00CD45EC"/>
    <w:rsid w:val="00CD4BD5"/>
    <w:rsid w:val="00CD56CC"/>
    <w:rsid w:val="00CD5C66"/>
    <w:rsid w:val="00CD5F3E"/>
    <w:rsid w:val="00CD66B3"/>
    <w:rsid w:val="00CD6895"/>
    <w:rsid w:val="00CD71CB"/>
    <w:rsid w:val="00CD762A"/>
    <w:rsid w:val="00CD7B17"/>
    <w:rsid w:val="00CD7C46"/>
    <w:rsid w:val="00CD7F74"/>
    <w:rsid w:val="00CE00B5"/>
    <w:rsid w:val="00CE05B9"/>
    <w:rsid w:val="00CE05F1"/>
    <w:rsid w:val="00CE09AA"/>
    <w:rsid w:val="00CE0BCF"/>
    <w:rsid w:val="00CE14CD"/>
    <w:rsid w:val="00CE17F1"/>
    <w:rsid w:val="00CE1C51"/>
    <w:rsid w:val="00CE235B"/>
    <w:rsid w:val="00CE269C"/>
    <w:rsid w:val="00CE314B"/>
    <w:rsid w:val="00CE314F"/>
    <w:rsid w:val="00CE36E0"/>
    <w:rsid w:val="00CE3712"/>
    <w:rsid w:val="00CE397F"/>
    <w:rsid w:val="00CE3FE8"/>
    <w:rsid w:val="00CE4485"/>
    <w:rsid w:val="00CE473E"/>
    <w:rsid w:val="00CE474A"/>
    <w:rsid w:val="00CE4C26"/>
    <w:rsid w:val="00CE4C8E"/>
    <w:rsid w:val="00CE504D"/>
    <w:rsid w:val="00CE5551"/>
    <w:rsid w:val="00CE5930"/>
    <w:rsid w:val="00CE5979"/>
    <w:rsid w:val="00CE5E00"/>
    <w:rsid w:val="00CE5E6C"/>
    <w:rsid w:val="00CE60C9"/>
    <w:rsid w:val="00CE628C"/>
    <w:rsid w:val="00CE6569"/>
    <w:rsid w:val="00CE6712"/>
    <w:rsid w:val="00CE717A"/>
    <w:rsid w:val="00CE72AE"/>
    <w:rsid w:val="00CE7665"/>
    <w:rsid w:val="00CE77CF"/>
    <w:rsid w:val="00CE7B7F"/>
    <w:rsid w:val="00CF0415"/>
    <w:rsid w:val="00CF099B"/>
    <w:rsid w:val="00CF0D5D"/>
    <w:rsid w:val="00CF1672"/>
    <w:rsid w:val="00CF1B3D"/>
    <w:rsid w:val="00CF237D"/>
    <w:rsid w:val="00CF31B5"/>
    <w:rsid w:val="00CF364F"/>
    <w:rsid w:val="00CF3E89"/>
    <w:rsid w:val="00CF3F36"/>
    <w:rsid w:val="00CF4083"/>
    <w:rsid w:val="00CF4510"/>
    <w:rsid w:val="00CF53DC"/>
    <w:rsid w:val="00CF59BE"/>
    <w:rsid w:val="00CF5A1F"/>
    <w:rsid w:val="00CF619A"/>
    <w:rsid w:val="00CF6939"/>
    <w:rsid w:val="00CF6A15"/>
    <w:rsid w:val="00CF6E16"/>
    <w:rsid w:val="00CF73C8"/>
    <w:rsid w:val="00CF752E"/>
    <w:rsid w:val="00CF7A8B"/>
    <w:rsid w:val="00CF7BAE"/>
    <w:rsid w:val="00D0101E"/>
    <w:rsid w:val="00D019AE"/>
    <w:rsid w:val="00D01BC6"/>
    <w:rsid w:val="00D01E21"/>
    <w:rsid w:val="00D02748"/>
    <w:rsid w:val="00D02898"/>
    <w:rsid w:val="00D02B53"/>
    <w:rsid w:val="00D02B7E"/>
    <w:rsid w:val="00D03104"/>
    <w:rsid w:val="00D03354"/>
    <w:rsid w:val="00D0383A"/>
    <w:rsid w:val="00D03929"/>
    <w:rsid w:val="00D03A3B"/>
    <w:rsid w:val="00D0477E"/>
    <w:rsid w:val="00D04AEF"/>
    <w:rsid w:val="00D04D7B"/>
    <w:rsid w:val="00D04F2D"/>
    <w:rsid w:val="00D05353"/>
    <w:rsid w:val="00D05418"/>
    <w:rsid w:val="00D056AD"/>
    <w:rsid w:val="00D0577A"/>
    <w:rsid w:val="00D05BD3"/>
    <w:rsid w:val="00D05C8D"/>
    <w:rsid w:val="00D06001"/>
    <w:rsid w:val="00D066CB"/>
    <w:rsid w:val="00D075E9"/>
    <w:rsid w:val="00D101EE"/>
    <w:rsid w:val="00D106DA"/>
    <w:rsid w:val="00D10EC5"/>
    <w:rsid w:val="00D10ED5"/>
    <w:rsid w:val="00D110A9"/>
    <w:rsid w:val="00D118F4"/>
    <w:rsid w:val="00D1195F"/>
    <w:rsid w:val="00D121EE"/>
    <w:rsid w:val="00D12B02"/>
    <w:rsid w:val="00D12CBB"/>
    <w:rsid w:val="00D135F7"/>
    <w:rsid w:val="00D13684"/>
    <w:rsid w:val="00D13905"/>
    <w:rsid w:val="00D13ACE"/>
    <w:rsid w:val="00D14174"/>
    <w:rsid w:val="00D14499"/>
    <w:rsid w:val="00D148FB"/>
    <w:rsid w:val="00D1524D"/>
    <w:rsid w:val="00D1539F"/>
    <w:rsid w:val="00D1554E"/>
    <w:rsid w:val="00D15946"/>
    <w:rsid w:val="00D15D33"/>
    <w:rsid w:val="00D15E21"/>
    <w:rsid w:val="00D1645A"/>
    <w:rsid w:val="00D1645D"/>
    <w:rsid w:val="00D165EE"/>
    <w:rsid w:val="00D16732"/>
    <w:rsid w:val="00D16AD0"/>
    <w:rsid w:val="00D17491"/>
    <w:rsid w:val="00D20541"/>
    <w:rsid w:val="00D206EF"/>
    <w:rsid w:val="00D20720"/>
    <w:rsid w:val="00D20771"/>
    <w:rsid w:val="00D2080A"/>
    <w:rsid w:val="00D20A58"/>
    <w:rsid w:val="00D211DA"/>
    <w:rsid w:val="00D21201"/>
    <w:rsid w:val="00D21330"/>
    <w:rsid w:val="00D214C7"/>
    <w:rsid w:val="00D21513"/>
    <w:rsid w:val="00D2225B"/>
    <w:rsid w:val="00D228B1"/>
    <w:rsid w:val="00D22948"/>
    <w:rsid w:val="00D22EFC"/>
    <w:rsid w:val="00D23013"/>
    <w:rsid w:val="00D235B4"/>
    <w:rsid w:val="00D23D62"/>
    <w:rsid w:val="00D23F82"/>
    <w:rsid w:val="00D2430C"/>
    <w:rsid w:val="00D24E53"/>
    <w:rsid w:val="00D25131"/>
    <w:rsid w:val="00D251AC"/>
    <w:rsid w:val="00D25775"/>
    <w:rsid w:val="00D26647"/>
    <w:rsid w:val="00D268A0"/>
    <w:rsid w:val="00D26D47"/>
    <w:rsid w:val="00D26F64"/>
    <w:rsid w:val="00D2733B"/>
    <w:rsid w:val="00D27409"/>
    <w:rsid w:val="00D276E8"/>
    <w:rsid w:val="00D27761"/>
    <w:rsid w:val="00D27A72"/>
    <w:rsid w:val="00D27D61"/>
    <w:rsid w:val="00D27E12"/>
    <w:rsid w:val="00D27E1E"/>
    <w:rsid w:val="00D27E77"/>
    <w:rsid w:val="00D30F5C"/>
    <w:rsid w:val="00D31809"/>
    <w:rsid w:val="00D31BA0"/>
    <w:rsid w:val="00D328DE"/>
    <w:rsid w:val="00D329B1"/>
    <w:rsid w:val="00D32B5B"/>
    <w:rsid w:val="00D330B4"/>
    <w:rsid w:val="00D3318B"/>
    <w:rsid w:val="00D33497"/>
    <w:rsid w:val="00D3366F"/>
    <w:rsid w:val="00D344C6"/>
    <w:rsid w:val="00D345D0"/>
    <w:rsid w:val="00D348E0"/>
    <w:rsid w:val="00D35213"/>
    <w:rsid w:val="00D3557E"/>
    <w:rsid w:val="00D3558A"/>
    <w:rsid w:val="00D356D1"/>
    <w:rsid w:val="00D359A9"/>
    <w:rsid w:val="00D35A41"/>
    <w:rsid w:val="00D35CDC"/>
    <w:rsid w:val="00D36372"/>
    <w:rsid w:val="00D366BC"/>
    <w:rsid w:val="00D37057"/>
    <w:rsid w:val="00D37352"/>
    <w:rsid w:val="00D3735F"/>
    <w:rsid w:val="00D37955"/>
    <w:rsid w:val="00D40079"/>
    <w:rsid w:val="00D40485"/>
    <w:rsid w:val="00D408E8"/>
    <w:rsid w:val="00D411A5"/>
    <w:rsid w:val="00D41323"/>
    <w:rsid w:val="00D415D9"/>
    <w:rsid w:val="00D41F5C"/>
    <w:rsid w:val="00D421F1"/>
    <w:rsid w:val="00D42C7F"/>
    <w:rsid w:val="00D43347"/>
    <w:rsid w:val="00D433C1"/>
    <w:rsid w:val="00D43754"/>
    <w:rsid w:val="00D437A5"/>
    <w:rsid w:val="00D43B8C"/>
    <w:rsid w:val="00D43D8C"/>
    <w:rsid w:val="00D43FC3"/>
    <w:rsid w:val="00D44A64"/>
    <w:rsid w:val="00D44CFA"/>
    <w:rsid w:val="00D45C57"/>
    <w:rsid w:val="00D45D4C"/>
    <w:rsid w:val="00D45F61"/>
    <w:rsid w:val="00D462CC"/>
    <w:rsid w:val="00D46C0B"/>
    <w:rsid w:val="00D46FCE"/>
    <w:rsid w:val="00D47681"/>
    <w:rsid w:val="00D4788B"/>
    <w:rsid w:val="00D47E12"/>
    <w:rsid w:val="00D50347"/>
    <w:rsid w:val="00D50551"/>
    <w:rsid w:val="00D50645"/>
    <w:rsid w:val="00D50CC0"/>
    <w:rsid w:val="00D50F5D"/>
    <w:rsid w:val="00D51263"/>
    <w:rsid w:val="00D51D57"/>
    <w:rsid w:val="00D522E6"/>
    <w:rsid w:val="00D52442"/>
    <w:rsid w:val="00D531D6"/>
    <w:rsid w:val="00D53413"/>
    <w:rsid w:val="00D53EC9"/>
    <w:rsid w:val="00D5403D"/>
    <w:rsid w:val="00D544D7"/>
    <w:rsid w:val="00D54776"/>
    <w:rsid w:val="00D54E53"/>
    <w:rsid w:val="00D559A8"/>
    <w:rsid w:val="00D559BC"/>
    <w:rsid w:val="00D5651D"/>
    <w:rsid w:val="00D56703"/>
    <w:rsid w:val="00D570ED"/>
    <w:rsid w:val="00D574CC"/>
    <w:rsid w:val="00D5764A"/>
    <w:rsid w:val="00D608DB"/>
    <w:rsid w:val="00D60E01"/>
    <w:rsid w:val="00D6145E"/>
    <w:rsid w:val="00D619CD"/>
    <w:rsid w:val="00D6256C"/>
    <w:rsid w:val="00D62638"/>
    <w:rsid w:val="00D6271B"/>
    <w:rsid w:val="00D627E9"/>
    <w:rsid w:val="00D628C8"/>
    <w:rsid w:val="00D62D29"/>
    <w:rsid w:val="00D6350C"/>
    <w:rsid w:val="00D63D84"/>
    <w:rsid w:val="00D6491E"/>
    <w:rsid w:val="00D649DB"/>
    <w:rsid w:val="00D64DF9"/>
    <w:rsid w:val="00D64E46"/>
    <w:rsid w:val="00D65498"/>
    <w:rsid w:val="00D65733"/>
    <w:rsid w:val="00D65896"/>
    <w:rsid w:val="00D65FBF"/>
    <w:rsid w:val="00D6637A"/>
    <w:rsid w:val="00D664FD"/>
    <w:rsid w:val="00D6658F"/>
    <w:rsid w:val="00D6694F"/>
    <w:rsid w:val="00D66DD4"/>
    <w:rsid w:val="00D67866"/>
    <w:rsid w:val="00D6791A"/>
    <w:rsid w:val="00D705FE"/>
    <w:rsid w:val="00D7157B"/>
    <w:rsid w:val="00D7170E"/>
    <w:rsid w:val="00D71A24"/>
    <w:rsid w:val="00D71A92"/>
    <w:rsid w:val="00D720EF"/>
    <w:rsid w:val="00D7280C"/>
    <w:rsid w:val="00D735CD"/>
    <w:rsid w:val="00D7379D"/>
    <w:rsid w:val="00D73A26"/>
    <w:rsid w:val="00D73D31"/>
    <w:rsid w:val="00D744AB"/>
    <w:rsid w:val="00D74B80"/>
    <w:rsid w:val="00D74CE8"/>
    <w:rsid w:val="00D7504E"/>
    <w:rsid w:val="00D7516B"/>
    <w:rsid w:val="00D753BE"/>
    <w:rsid w:val="00D75422"/>
    <w:rsid w:val="00D7545B"/>
    <w:rsid w:val="00D7642A"/>
    <w:rsid w:val="00D76452"/>
    <w:rsid w:val="00D76657"/>
    <w:rsid w:val="00D7683E"/>
    <w:rsid w:val="00D77584"/>
    <w:rsid w:val="00D77AD5"/>
    <w:rsid w:val="00D77DA8"/>
    <w:rsid w:val="00D80013"/>
    <w:rsid w:val="00D801C8"/>
    <w:rsid w:val="00D8083F"/>
    <w:rsid w:val="00D814D3"/>
    <w:rsid w:val="00D81A85"/>
    <w:rsid w:val="00D81BF9"/>
    <w:rsid w:val="00D81F3F"/>
    <w:rsid w:val="00D82460"/>
    <w:rsid w:val="00D82631"/>
    <w:rsid w:val="00D828D7"/>
    <w:rsid w:val="00D82B6A"/>
    <w:rsid w:val="00D82CE5"/>
    <w:rsid w:val="00D83014"/>
    <w:rsid w:val="00D83159"/>
    <w:rsid w:val="00D831C1"/>
    <w:rsid w:val="00D835D0"/>
    <w:rsid w:val="00D83980"/>
    <w:rsid w:val="00D83A36"/>
    <w:rsid w:val="00D83C30"/>
    <w:rsid w:val="00D84353"/>
    <w:rsid w:val="00D843BF"/>
    <w:rsid w:val="00D84488"/>
    <w:rsid w:val="00D84A32"/>
    <w:rsid w:val="00D84B85"/>
    <w:rsid w:val="00D84C9A"/>
    <w:rsid w:val="00D8528E"/>
    <w:rsid w:val="00D857E4"/>
    <w:rsid w:val="00D85BD1"/>
    <w:rsid w:val="00D85BD6"/>
    <w:rsid w:val="00D85E87"/>
    <w:rsid w:val="00D85E9E"/>
    <w:rsid w:val="00D860C9"/>
    <w:rsid w:val="00D8650B"/>
    <w:rsid w:val="00D86C30"/>
    <w:rsid w:val="00D86C67"/>
    <w:rsid w:val="00D87034"/>
    <w:rsid w:val="00D877D5"/>
    <w:rsid w:val="00D87AC3"/>
    <w:rsid w:val="00D904FC"/>
    <w:rsid w:val="00D90B53"/>
    <w:rsid w:val="00D90B68"/>
    <w:rsid w:val="00D90CAD"/>
    <w:rsid w:val="00D90DAF"/>
    <w:rsid w:val="00D91422"/>
    <w:rsid w:val="00D91734"/>
    <w:rsid w:val="00D91CFA"/>
    <w:rsid w:val="00D91FAA"/>
    <w:rsid w:val="00D921BA"/>
    <w:rsid w:val="00D924B1"/>
    <w:rsid w:val="00D92A2B"/>
    <w:rsid w:val="00D933BB"/>
    <w:rsid w:val="00D933F9"/>
    <w:rsid w:val="00D93806"/>
    <w:rsid w:val="00D93875"/>
    <w:rsid w:val="00D938AE"/>
    <w:rsid w:val="00D93DD0"/>
    <w:rsid w:val="00D94142"/>
    <w:rsid w:val="00D9418C"/>
    <w:rsid w:val="00D948F8"/>
    <w:rsid w:val="00D949FE"/>
    <w:rsid w:val="00D94D67"/>
    <w:rsid w:val="00D95332"/>
    <w:rsid w:val="00D95BD7"/>
    <w:rsid w:val="00D95CCA"/>
    <w:rsid w:val="00D95E69"/>
    <w:rsid w:val="00D96251"/>
    <w:rsid w:val="00D96995"/>
    <w:rsid w:val="00D96C53"/>
    <w:rsid w:val="00D96C9B"/>
    <w:rsid w:val="00D96D31"/>
    <w:rsid w:val="00D9793A"/>
    <w:rsid w:val="00D979D9"/>
    <w:rsid w:val="00DA035A"/>
    <w:rsid w:val="00DA035C"/>
    <w:rsid w:val="00DA0670"/>
    <w:rsid w:val="00DA0961"/>
    <w:rsid w:val="00DA129D"/>
    <w:rsid w:val="00DA147A"/>
    <w:rsid w:val="00DA166F"/>
    <w:rsid w:val="00DA185D"/>
    <w:rsid w:val="00DA187E"/>
    <w:rsid w:val="00DA2897"/>
    <w:rsid w:val="00DA3235"/>
    <w:rsid w:val="00DA37DA"/>
    <w:rsid w:val="00DA3D4D"/>
    <w:rsid w:val="00DA4759"/>
    <w:rsid w:val="00DA4E81"/>
    <w:rsid w:val="00DA53EA"/>
    <w:rsid w:val="00DA563F"/>
    <w:rsid w:val="00DA59DD"/>
    <w:rsid w:val="00DA6A3C"/>
    <w:rsid w:val="00DA6FAC"/>
    <w:rsid w:val="00DA72CA"/>
    <w:rsid w:val="00DA7319"/>
    <w:rsid w:val="00DA7CED"/>
    <w:rsid w:val="00DA7E8F"/>
    <w:rsid w:val="00DA7F3C"/>
    <w:rsid w:val="00DB16DA"/>
    <w:rsid w:val="00DB235B"/>
    <w:rsid w:val="00DB2A82"/>
    <w:rsid w:val="00DB3B82"/>
    <w:rsid w:val="00DB4142"/>
    <w:rsid w:val="00DB41CC"/>
    <w:rsid w:val="00DB45A7"/>
    <w:rsid w:val="00DB4F7D"/>
    <w:rsid w:val="00DB52AB"/>
    <w:rsid w:val="00DB5B2F"/>
    <w:rsid w:val="00DB5CE5"/>
    <w:rsid w:val="00DB60DC"/>
    <w:rsid w:val="00DB624E"/>
    <w:rsid w:val="00DB6505"/>
    <w:rsid w:val="00DB6666"/>
    <w:rsid w:val="00DB6CC2"/>
    <w:rsid w:val="00DB6EF9"/>
    <w:rsid w:val="00DB7C0D"/>
    <w:rsid w:val="00DC016F"/>
    <w:rsid w:val="00DC06FC"/>
    <w:rsid w:val="00DC1165"/>
    <w:rsid w:val="00DC119A"/>
    <w:rsid w:val="00DC1640"/>
    <w:rsid w:val="00DC175E"/>
    <w:rsid w:val="00DC1AC9"/>
    <w:rsid w:val="00DC1B83"/>
    <w:rsid w:val="00DC22D2"/>
    <w:rsid w:val="00DC25BC"/>
    <w:rsid w:val="00DC2C16"/>
    <w:rsid w:val="00DC2D2E"/>
    <w:rsid w:val="00DC40DA"/>
    <w:rsid w:val="00DC4215"/>
    <w:rsid w:val="00DC47FE"/>
    <w:rsid w:val="00DC492C"/>
    <w:rsid w:val="00DC4B41"/>
    <w:rsid w:val="00DC534E"/>
    <w:rsid w:val="00DC5A65"/>
    <w:rsid w:val="00DC5E1C"/>
    <w:rsid w:val="00DC5F94"/>
    <w:rsid w:val="00DC6547"/>
    <w:rsid w:val="00DC67F8"/>
    <w:rsid w:val="00DC753B"/>
    <w:rsid w:val="00DC756F"/>
    <w:rsid w:val="00DC76AC"/>
    <w:rsid w:val="00DC781C"/>
    <w:rsid w:val="00DD02BA"/>
    <w:rsid w:val="00DD0513"/>
    <w:rsid w:val="00DD0A39"/>
    <w:rsid w:val="00DD0AA5"/>
    <w:rsid w:val="00DD0B5D"/>
    <w:rsid w:val="00DD0E97"/>
    <w:rsid w:val="00DD1571"/>
    <w:rsid w:val="00DD15FA"/>
    <w:rsid w:val="00DD1BB0"/>
    <w:rsid w:val="00DD1D5D"/>
    <w:rsid w:val="00DD22E4"/>
    <w:rsid w:val="00DD3196"/>
    <w:rsid w:val="00DD3216"/>
    <w:rsid w:val="00DD3221"/>
    <w:rsid w:val="00DD330A"/>
    <w:rsid w:val="00DD37F1"/>
    <w:rsid w:val="00DD3C58"/>
    <w:rsid w:val="00DD419F"/>
    <w:rsid w:val="00DD421E"/>
    <w:rsid w:val="00DD488D"/>
    <w:rsid w:val="00DD4DCB"/>
    <w:rsid w:val="00DD4E51"/>
    <w:rsid w:val="00DD55F2"/>
    <w:rsid w:val="00DD5C2B"/>
    <w:rsid w:val="00DD60C9"/>
    <w:rsid w:val="00DD6119"/>
    <w:rsid w:val="00DD64FF"/>
    <w:rsid w:val="00DD68D6"/>
    <w:rsid w:val="00DD694A"/>
    <w:rsid w:val="00DD71EF"/>
    <w:rsid w:val="00DD7356"/>
    <w:rsid w:val="00DE019B"/>
    <w:rsid w:val="00DE0919"/>
    <w:rsid w:val="00DE1515"/>
    <w:rsid w:val="00DE1DF3"/>
    <w:rsid w:val="00DE2EB8"/>
    <w:rsid w:val="00DE2F22"/>
    <w:rsid w:val="00DE3057"/>
    <w:rsid w:val="00DE3488"/>
    <w:rsid w:val="00DE3770"/>
    <w:rsid w:val="00DE391A"/>
    <w:rsid w:val="00DE3FCE"/>
    <w:rsid w:val="00DE416E"/>
    <w:rsid w:val="00DE4278"/>
    <w:rsid w:val="00DE4956"/>
    <w:rsid w:val="00DE4DF2"/>
    <w:rsid w:val="00DE58EB"/>
    <w:rsid w:val="00DE5A67"/>
    <w:rsid w:val="00DE5E5A"/>
    <w:rsid w:val="00DE5E8D"/>
    <w:rsid w:val="00DE648D"/>
    <w:rsid w:val="00DE671F"/>
    <w:rsid w:val="00DE683C"/>
    <w:rsid w:val="00DE6885"/>
    <w:rsid w:val="00DE6BB2"/>
    <w:rsid w:val="00DE6DDF"/>
    <w:rsid w:val="00DE6F2B"/>
    <w:rsid w:val="00DE7A4E"/>
    <w:rsid w:val="00DF089A"/>
    <w:rsid w:val="00DF092A"/>
    <w:rsid w:val="00DF102B"/>
    <w:rsid w:val="00DF1089"/>
    <w:rsid w:val="00DF119C"/>
    <w:rsid w:val="00DF1570"/>
    <w:rsid w:val="00DF1CF1"/>
    <w:rsid w:val="00DF1D19"/>
    <w:rsid w:val="00DF230B"/>
    <w:rsid w:val="00DF28C6"/>
    <w:rsid w:val="00DF2941"/>
    <w:rsid w:val="00DF2EB3"/>
    <w:rsid w:val="00DF2FD7"/>
    <w:rsid w:val="00DF312A"/>
    <w:rsid w:val="00DF3227"/>
    <w:rsid w:val="00DF32A5"/>
    <w:rsid w:val="00DF3ABD"/>
    <w:rsid w:val="00DF3B49"/>
    <w:rsid w:val="00DF3C70"/>
    <w:rsid w:val="00DF447B"/>
    <w:rsid w:val="00DF456F"/>
    <w:rsid w:val="00DF47DE"/>
    <w:rsid w:val="00DF48AD"/>
    <w:rsid w:val="00DF4BEB"/>
    <w:rsid w:val="00DF4CE9"/>
    <w:rsid w:val="00DF4D96"/>
    <w:rsid w:val="00DF548B"/>
    <w:rsid w:val="00DF5A78"/>
    <w:rsid w:val="00DF5EBC"/>
    <w:rsid w:val="00DF621A"/>
    <w:rsid w:val="00DF6291"/>
    <w:rsid w:val="00DF708E"/>
    <w:rsid w:val="00DF71FF"/>
    <w:rsid w:val="00DF735D"/>
    <w:rsid w:val="00DF7B3F"/>
    <w:rsid w:val="00DF7BDD"/>
    <w:rsid w:val="00DF7DB2"/>
    <w:rsid w:val="00DF7F57"/>
    <w:rsid w:val="00E00047"/>
    <w:rsid w:val="00E0025C"/>
    <w:rsid w:val="00E003F4"/>
    <w:rsid w:val="00E00C0E"/>
    <w:rsid w:val="00E0104E"/>
    <w:rsid w:val="00E01351"/>
    <w:rsid w:val="00E02098"/>
    <w:rsid w:val="00E02343"/>
    <w:rsid w:val="00E023FC"/>
    <w:rsid w:val="00E025F5"/>
    <w:rsid w:val="00E027A5"/>
    <w:rsid w:val="00E030FB"/>
    <w:rsid w:val="00E031F5"/>
    <w:rsid w:val="00E0321B"/>
    <w:rsid w:val="00E03472"/>
    <w:rsid w:val="00E03C3E"/>
    <w:rsid w:val="00E03E3F"/>
    <w:rsid w:val="00E051B7"/>
    <w:rsid w:val="00E0535B"/>
    <w:rsid w:val="00E05657"/>
    <w:rsid w:val="00E057AB"/>
    <w:rsid w:val="00E05867"/>
    <w:rsid w:val="00E05A2B"/>
    <w:rsid w:val="00E0641A"/>
    <w:rsid w:val="00E07008"/>
    <w:rsid w:val="00E07174"/>
    <w:rsid w:val="00E07721"/>
    <w:rsid w:val="00E07E4F"/>
    <w:rsid w:val="00E07FFE"/>
    <w:rsid w:val="00E1046A"/>
    <w:rsid w:val="00E10FF0"/>
    <w:rsid w:val="00E110FC"/>
    <w:rsid w:val="00E11211"/>
    <w:rsid w:val="00E1139B"/>
    <w:rsid w:val="00E114A9"/>
    <w:rsid w:val="00E1159D"/>
    <w:rsid w:val="00E119D4"/>
    <w:rsid w:val="00E11CCC"/>
    <w:rsid w:val="00E120C6"/>
    <w:rsid w:val="00E1211B"/>
    <w:rsid w:val="00E12164"/>
    <w:rsid w:val="00E12420"/>
    <w:rsid w:val="00E1276B"/>
    <w:rsid w:val="00E129CA"/>
    <w:rsid w:val="00E12A4C"/>
    <w:rsid w:val="00E12A95"/>
    <w:rsid w:val="00E12DC1"/>
    <w:rsid w:val="00E12E40"/>
    <w:rsid w:val="00E130CE"/>
    <w:rsid w:val="00E131BD"/>
    <w:rsid w:val="00E138D1"/>
    <w:rsid w:val="00E13982"/>
    <w:rsid w:val="00E13B33"/>
    <w:rsid w:val="00E13B73"/>
    <w:rsid w:val="00E13C76"/>
    <w:rsid w:val="00E14037"/>
    <w:rsid w:val="00E149B7"/>
    <w:rsid w:val="00E14C37"/>
    <w:rsid w:val="00E14DD6"/>
    <w:rsid w:val="00E14F64"/>
    <w:rsid w:val="00E15150"/>
    <w:rsid w:val="00E1526E"/>
    <w:rsid w:val="00E1584A"/>
    <w:rsid w:val="00E15DA4"/>
    <w:rsid w:val="00E16568"/>
    <w:rsid w:val="00E16623"/>
    <w:rsid w:val="00E171DA"/>
    <w:rsid w:val="00E172E4"/>
    <w:rsid w:val="00E178E5"/>
    <w:rsid w:val="00E1795A"/>
    <w:rsid w:val="00E17E20"/>
    <w:rsid w:val="00E205E5"/>
    <w:rsid w:val="00E20C5F"/>
    <w:rsid w:val="00E20D84"/>
    <w:rsid w:val="00E20F46"/>
    <w:rsid w:val="00E212F5"/>
    <w:rsid w:val="00E21309"/>
    <w:rsid w:val="00E213B0"/>
    <w:rsid w:val="00E2194D"/>
    <w:rsid w:val="00E21FB1"/>
    <w:rsid w:val="00E22332"/>
    <w:rsid w:val="00E2244C"/>
    <w:rsid w:val="00E2254F"/>
    <w:rsid w:val="00E22652"/>
    <w:rsid w:val="00E22846"/>
    <w:rsid w:val="00E24311"/>
    <w:rsid w:val="00E24589"/>
    <w:rsid w:val="00E2541B"/>
    <w:rsid w:val="00E259B7"/>
    <w:rsid w:val="00E263DF"/>
    <w:rsid w:val="00E264C7"/>
    <w:rsid w:val="00E26848"/>
    <w:rsid w:val="00E2719C"/>
    <w:rsid w:val="00E271AC"/>
    <w:rsid w:val="00E27495"/>
    <w:rsid w:val="00E27C90"/>
    <w:rsid w:val="00E27CC2"/>
    <w:rsid w:val="00E305BF"/>
    <w:rsid w:val="00E30A60"/>
    <w:rsid w:val="00E30DF2"/>
    <w:rsid w:val="00E30EEF"/>
    <w:rsid w:val="00E311E1"/>
    <w:rsid w:val="00E32CB7"/>
    <w:rsid w:val="00E32F53"/>
    <w:rsid w:val="00E33311"/>
    <w:rsid w:val="00E33B2D"/>
    <w:rsid w:val="00E33BA2"/>
    <w:rsid w:val="00E34630"/>
    <w:rsid w:val="00E355E7"/>
    <w:rsid w:val="00E35970"/>
    <w:rsid w:val="00E35DB5"/>
    <w:rsid w:val="00E365C8"/>
    <w:rsid w:val="00E36875"/>
    <w:rsid w:val="00E36D4A"/>
    <w:rsid w:val="00E36EEE"/>
    <w:rsid w:val="00E3710F"/>
    <w:rsid w:val="00E373EF"/>
    <w:rsid w:val="00E376DB"/>
    <w:rsid w:val="00E37A87"/>
    <w:rsid w:val="00E4023E"/>
    <w:rsid w:val="00E403C0"/>
    <w:rsid w:val="00E40F8A"/>
    <w:rsid w:val="00E40FB4"/>
    <w:rsid w:val="00E41454"/>
    <w:rsid w:val="00E415E2"/>
    <w:rsid w:val="00E41A6B"/>
    <w:rsid w:val="00E41C07"/>
    <w:rsid w:val="00E41FB0"/>
    <w:rsid w:val="00E42153"/>
    <w:rsid w:val="00E424C6"/>
    <w:rsid w:val="00E42E0D"/>
    <w:rsid w:val="00E432E9"/>
    <w:rsid w:val="00E43835"/>
    <w:rsid w:val="00E447F9"/>
    <w:rsid w:val="00E44FB1"/>
    <w:rsid w:val="00E454E5"/>
    <w:rsid w:val="00E46542"/>
    <w:rsid w:val="00E465EA"/>
    <w:rsid w:val="00E46631"/>
    <w:rsid w:val="00E46C0D"/>
    <w:rsid w:val="00E46F55"/>
    <w:rsid w:val="00E470F2"/>
    <w:rsid w:val="00E47342"/>
    <w:rsid w:val="00E47542"/>
    <w:rsid w:val="00E47934"/>
    <w:rsid w:val="00E47BEC"/>
    <w:rsid w:val="00E50114"/>
    <w:rsid w:val="00E5016E"/>
    <w:rsid w:val="00E504CD"/>
    <w:rsid w:val="00E50652"/>
    <w:rsid w:val="00E50DE8"/>
    <w:rsid w:val="00E51622"/>
    <w:rsid w:val="00E51890"/>
    <w:rsid w:val="00E519AD"/>
    <w:rsid w:val="00E51B28"/>
    <w:rsid w:val="00E52024"/>
    <w:rsid w:val="00E527A5"/>
    <w:rsid w:val="00E5281C"/>
    <w:rsid w:val="00E52BAA"/>
    <w:rsid w:val="00E52F1A"/>
    <w:rsid w:val="00E52F86"/>
    <w:rsid w:val="00E5306B"/>
    <w:rsid w:val="00E530DF"/>
    <w:rsid w:val="00E531A5"/>
    <w:rsid w:val="00E53597"/>
    <w:rsid w:val="00E535F9"/>
    <w:rsid w:val="00E546FA"/>
    <w:rsid w:val="00E54B02"/>
    <w:rsid w:val="00E54C35"/>
    <w:rsid w:val="00E54C89"/>
    <w:rsid w:val="00E55316"/>
    <w:rsid w:val="00E55763"/>
    <w:rsid w:val="00E5583A"/>
    <w:rsid w:val="00E558BA"/>
    <w:rsid w:val="00E55AA4"/>
    <w:rsid w:val="00E55B17"/>
    <w:rsid w:val="00E55BB0"/>
    <w:rsid w:val="00E56859"/>
    <w:rsid w:val="00E57227"/>
    <w:rsid w:val="00E572DF"/>
    <w:rsid w:val="00E60081"/>
    <w:rsid w:val="00E603BC"/>
    <w:rsid w:val="00E603E0"/>
    <w:rsid w:val="00E60408"/>
    <w:rsid w:val="00E609B6"/>
    <w:rsid w:val="00E61059"/>
    <w:rsid w:val="00E613B6"/>
    <w:rsid w:val="00E616A7"/>
    <w:rsid w:val="00E617DD"/>
    <w:rsid w:val="00E61D43"/>
    <w:rsid w:val="00E6212C"/>
    <w:rsid w:val="00E626AD"/>
    <w:rsid w:val="00E62ED7"/>
    <w:rsid w:val="00E62FE8"/>
    <w:rsid w:val="00E63292"/>
    <w:rsid w:val="00E634ED"/>
    <w:rsid w:val="00E63739"/>
    <w:rsid w:val="00E63C1A"/>
    <w:rsid w:val="00E64151"/>
    <w:rsid w:val="00E64A6F"/>
    <w:rsid w:val="00E652A3"/>
    <w:rsid w:val="00E65539"/>
    <w:rsid w:val="00E65F50"/>
    <w:rsid w:val="00E66818"/>
    <w:rsid w:val="00E66C3A"/>
    <w:rsid w:val="00E6746A"/>
    <w:rsid w:val="00E67C81"/>
    <w:rsid w:val="00E67D12"/>
    <w:rsid w:val="00E67E2C"/>
    <w:rsid w:val="00E700BA"/>
    <w:rsid w:val="00E70473"/>
    <w:rsid w:val="00E7087E"/>
    <w:rsid w:val="00E70D2F"/>
    <w:rsid w:val="00E70FBD"/>
    <w:rsid w:val="00E71DA9"/>
    <w:rsid w:val="00E721DA"/>
    <w:rsid w:val="00E72644"/>
    <w:rsid w:val="00E728EF"/>
    <w:rsid w:val="00E72E95"/>
    <w:rsid w:val="00E73122"/>
    <w:rsid w:val="00E73232"/>
    <w:rsid w:val="00E7342C"/>
    <w:rsid w:val="00E73823"/>
    <w:rsid w:val="00E7389B"/>
    <w:rsid w:val="00E7397B"/>
    <w:rsid w:val="00E73C19"/>
    <w:rsid w:val="00E73D22"/>
    <w:rsid w:val="00E73F66"/>
    <w:rsid w:val="00E74398"/>
    <w:rsid w:val="00E757F3"/>
    <w:rsid w:val="00E76A61"/>
    <w:rsid w:val="00E76BB6"/>
    <w:rsid w:val="00E775F7"/>
    <w:rsid w:val="00E7784E"/>
    <w:rsid w:val="00E77CBE"/>
    <w:rsid w:val="00E77DB9"/>
    <w:rsid w:val="00E80307"/>
    <w:rsid w:val="00E80313"/>
    <w:rsid w:val="00E804A0"/>
    <w:rsid w:val="00E8074E"/>
    <w:rsid w:val="00E811E7"/>
    <w:rsid w:val="00E811FB"/>
    <w:rsid w:val="00E81B62"/>
    <w:rsid w:val="00E81CFE"/>
    <w:rsid w:val="00E82904"/>
    <w:rsid w:val="00E82A7B"/>
    <w:rsid w:val="00E82C77"/>
    <w:rsid w:val="00E82CAB"/>
    <w:rsid w:val="00E83068"/>
    <w:rsid w:val="00E8346D"/>
    <w:rsid w:val="00E83D2A"/>
    <w:rsid w:val="00E83EE5"/>
    <w:rsid w:val="00E84882"/>
    <w:rsid w:val="00E850BC"/>
    <w:rsid w:val="00E850D2"/>
    <w:rsid w:val="00E8547E"/>
    <w:rsid w:val="00E85D73"/>
    <w:rsid w:val="00E8681A"/>
    <w:rsid w:val="00E8688E"/>
    <w:rsid w:val="00E86D50"/>
    <w:rsid w:val="00E86F92"/>
    <w:rsid w:val="00E8700E"/>
    <w:rsid w:val="00E87772"/>
    <w:rsid w:val="00E87955"/>
    <w:rsid w:val="00E87A39"/>
    <w:rsid w:val="00E87CB7"/>
    <w:rsid w:val="00E90010"/>
    <w:rsid w:val="00E9069D"/>
    <w:rsid w:val="00E90A6B"/>
    <w:rsid w:val="00E90A75"/>
    <w:rsid w:val="00E90F82"/>
    <w:rsid w:val="00E914A7"/>
    <w:rsid w:val="00E915DF"/>
    <w:rsid w:val="00E9169F"/>
    <w:rsid w:val="00E91BE9"/>
    <w:rsid w:val="00E920DE"/>
    <w:rsid w:val="00E9230E"/>
    <w:rsid w:val="00E92CED"/>
    <w:rsid w:val="00E92F19"/>
    <w:rsid w:val="00E93132"/>
    <w:rsid w:val="00E931A5"/>
    <w:rsid w:val="00E93577"/>
    <w:rsid w:val="00E93C1E"/>
    <w:rsid w:val="00E9439A"/>
    <w:rsid w:val="00E94431"/>
    <w:rsid w:val="00E94512"/>
    <w:rsid w:val="00E94B32"/>
    <w:rsid w:val="00E9581A"/>
    <w:rsid w:val="00E95889"/>
    <w:rsid w:val="00E9592A"/>
    <w:rsid w:val="00E96430"/>
    <w:rsid w:val="00E968AE"/>
    <w:rsid w:val="00E96BAD"/>
    <w:rsid w:val="00E96DEE"/>
    <w:rsid w:val="00E96FA5"/>
    <w:rsid w:val="00E96FB3"/>
    <w:rsid w:val="00E9700E"/>
    <w:rsid w:val="00E97084"/>
    <w:rsid w:val="00E971C4"/>
    <w:rsid w:val="00E977DA"/>
    <w:rsid w:val="00E977E5"/>
    <w:rsid w:val="00E97EE3"/>
    <w:rsid w:val="00EA072B"/>
    <w:rsid w:val="00EA0D5B"/>
    <w:rsid w:val="00EA0EF3"/>
    <w:rsid w:val="00EA1165"/>
    <w:rsid w:val="00EA117B"/>
    <w:rsid w:val="00EA15F8"/>
    <w:rsid w:val="00EA1B7D"/>
    <w:rsid w:val="00EA1C91"/>
    <w:rsid w:val="00EA1E53"/>
    <w:rsid w:val="00EA1FF8"/>
    <w:rsid w:val="00EA2217"/>
    <w:rsid w:val="00EA2301"/>
    <w:rsid w:val="00EA2454"/>
    <w:rsid w:val="00EA2664"/>
    <w:rsid w:val="00EA27CC"/>
    <w:rsid w:val="00EA2814"/>
    <w:rsid w:val="00EA28F1"/>
    <w:rsid w:val="00EA2949"/>
    <w:rsid w:val="00EA2AAC"/>
    <w:rsid w:val="00EA2DFC"/>
    <w:rsid w:val="00EA302B"/>
    <w:rsid w:val="00EA30C7"/>
    <w:rsid w:val="00EA32C6"/>
    <w:rsid w:val="00EA3340"/>
    <w:rsid w:val="00EA41E8"/>
    <w:rsid w:val="00EA4321"/>
    <w:rsid w:val="00EA55AE"/>
    <w:rsid w:val="00EA56F1"/>
    <w:rsid w:val="00EA58DF"/>
    <w:rsid w:val="00EA5B30"/>
    <w:rsid w:val="00EA624A"/>
    <w:rsid w:val="00EA62BC"/>
    <w:rsid w:val="00EA6610"/>
    <w:rsid w:val="00EA7028"/>
    <w:rsid w:val="00EA71CE"/>
    <w:rsid w:val="00EA730D"/>
    <w:rsid w:val="00EA7AC3"/>
    <w:rsid w:val="00EB03A7"/>
    <w:rsid w:val="00EB04DD"/>
    <w:rsid w:val="00EB06F2"/>
    <w:rsid w:val="00EB1206"/>
    <w:rsid w:val="00EB159A"/>
    <w:rsid w:val="00EB15ED"/>
    <w:rsid w:val="00EB1938"/>
    <w:rsid w:val="00EB1C40"/>
    <w:rsid w:val="00EB1CC3"/>
    <w:rsid w:val="00EB1F27"/>
    <w:rsid w:val="00EB22BB"/>
    <w:rsid w:val="00EB22E4"/>
    <w:rsid w:val="00EB2A5B"/>
    <w:rsid w:val="00EB2BCD"/>
    <w:rsid w:val="00EB32BC"/>
    <w:rsid w:val="00EB36F4"/>
    <w:rsid w:val="00EB3BEE"/>
    <w:rsid w:val="00EB3C1A"/>
    <w:rsid w:val="00EB3E7A"/>
    <w:rsid w:val="00EB4CF2"/>
    <w:rsid w:val="00EB51E5"/>
    <w:rsid w:val="00EB51FF"/>
    <w:rsid w:val="00EB66FF"/>
    <w:rsid w:val="00EB6953"/>
    <w:rsid w:val="00EB6A04"/>
    <w:rsid w:val="00EB6DCF"/>
    <w:rsid w:val="00EB7244"/>
    <w:rsid w:val="00EB7465"/>
    <w:rsid w:val="00EB748E"/>
    <w:rsid w:val="00EB767E"/>
    <w:rsid w:val="00EB7C0B"/>
    <w:rsid w:val="00EC01DE"/>
    <w:rsid w:val="00EC02AA"/>
    <w:rsid w:val="00EC079A"/>
    <w:rsid w:val="00EC0954"/>
    <w:rsid w:val="00EC0D04"/>
    <w:rsid w:val="00EC1393"/>
    <w:rsid w:val="00EC27AC"/>
    <w:rsid w:val="00EC28E2"/>
    <w:rsid w:val="00EC293D"/>
    <w:rsid w:val="00EC2B9E"/>
    <w:rsid w:val="00EC44BA"/>
    <w:rsid w:val="00EC45F8"/>
    <w:rsid w:val="00EC481C"/>
    <w:rsid w:val="00EC5748"/>
    <w:rsid w:val="00EC6266"/>
    <w:rsid w:val="00EC67C1"/>
    <w:rsid w:val="00EC6EC7"/>
    <w:rsid w:val="00EC736A"/>
    <w:rsid w:val="00EC77F0"/>
    <w:rsid w:val="00EC7B1F"/>
    <w:rsid w:val="00ED01BE"/>
    <w:rsid w:val="00ED0C73"/>
    <w:rsid w:val="00ED1050"/>
    <w:rsid w:val="00ED1C45"/>
    <w:rsid w:val="00ED208E"/>
    <w:rsid w:val="00ED25F1"/>
    <w:rsid w:val="00ED2776"/>
    <w:rsid w:val="00ED3528"/>
    <w:rsid w:val="00ED37EF"/>
    <w:rsid w:val="00ED3995"/>
    <w:rsid w:val="00ED3B49"/>
    <w:rsid w:val="00ED3BEE"/>
    <w:rsid w:val="00ED3F2D"/>
    <w:rsid w:val="00ED48B4"/>
    <w:rsid w:val="00ED5386"/>
    <w:rsid w:val="00ED573F"/>
    <w:rsid w:val="00ED5B73"/>
    <w:rsid w:val="00ED677B"/>
    <w:rsid w:val="00ED6788"/>
    <w:rsid w:val="00ED6857"/>
    <w:rsid w:val="00ED6970"/>
    <w:rsid w:val="00ED6C28"/>
    <w:rsid w:val="00ED6C48"/>
    <w:rsid w:val="00ED770F"/>
    <w:rsid w:val="00EE00BA"/>
    <w:rsid w:val="00EE0138"/>
    <w:rsid w:val="00EE0278"/>
    <w:rsid w:val="00EE0292"/>
    <w:rsid w:val="00EE0545"/>
    <w:rsid w:val="00EE079A"/>
    <w:rsid w:val="00EE0C3A"/>
    <w:rsid w:val="00EE0E0C"/>
    <w:rsid w:val="00EE0F3C"/>
    <w:rsid w:val="00EE1228"/>
    <w:rsid w:val="00EE12E1"/>
    <w:rsid w:val="00EE13F5"/>
    <w:rsid w:val="00EE1F6D"/>
    <w:rsid w:val="00EE2476"/>
    <w:rsid w:val="00EE24BD"/>
    <w:rsid w:val="00EE2BC5"/>
    <w:rsid w:val="00EE2C81"/>
    <w:rsid w:val="00EE2FBB"/>
    <w:rsid w:val="00EE2FCB"/>
    <w:rsid w:val="00EE3506"/>
    <w:rsid w:val="00EE3871"/>
    <w:rsid w:val="00EE3C4E"/>
    <w:rsid w:val="00EE48DA"/>
    <w:rsid w:val="00EE49AE"/>
    <w:rsid w:val="00EE49CB"/>
    <w:rsid w:val="00EE4BDF"/>
    <w:rsid w:val="00EE4C2D"/>
    <w:rsid w:val="00EE4F86"/>
    <w:rsid w:val="00EE515E"/>
    <w:rsid w:val="00EE5D4B"/>
    <w:rsid w:val="00EE6037"/>
    <w:rsid w:val="00EE610C"/>
    <w:rsid w:val="00EE61D4"/>
    <w:rsid w:val="00EE6351"/>
    <w:rsid w:val="00EE6F6A"/>
    <w:rsid w:val="00EF06C7"/>
    <w:rsid w:val="00EF1AAF"/>
    <w:rsid w:val="00EF1D7D"/>
    <w:rsid w:val="00EF1F68"/>
    <w:rsid w:val="00EF233F"/>
    <w:rsid w:val="00EF29D0"/>
    <w:rsid w:val="00EF29F2"/>
    <w:rsid w:val="00EF2C2F"/>
    <w:rsid w:val="00EF32AF"/>
    <w:rsid w:val="00EF3545"/>
    <w:rsid w:val="00EF39C9"/>
    <w:rsid w:val="00EF3B82"/>
    <w:rsid w:val="00EF3C3B"/>
    <w:rsid w:val="00EF3D85"/>
    <w:rsid w:val="00EF446B"/>
    <w:rsid w:val="00EF4556"/>
    <w:rsid w:val="00EF4E3F"/>
    <w:rsid w:val="00EF4E5B"/>
    <w:rsid w:val="00EF4F93"/>
    <w:rsid w:val="00EF545C"/>
    <w:rsid w:val="00EF55C9"/>
    <w:rsid w:val="00EF5A56"/>
    <w:rsid w:val="00EF5BC1"/>
    <w:rsid w:val="00EF6407"/>
    <w:rsid w:val="00EF671B"/>
    <w:rsid w:val="00EF6720"/>
    <w:rsid w:val="00EF68FD"/>
    <w:rsid w:val="00EF6B78"/>
    <w:rsid w:val="00EF6C3A"/>
    <w:rsid w:val="00EF7925"/>
    <w:rsid w:val="00EF7CF5"/>
    <w:rsid w:val="00EF7FBF"/>
    <w:rsid w:val="00F0017B"/>
    <w:rsid w:val="00F00732"/>
    <w:rsid w:val="00F015E5"/>
    <w:rsid w:val="00F019A8"/>
    <w:rsid w:val="00F01DD0"/>
    <w:rsid w:val="00F0215E"/>
    <w:rsid w:val="00F021A9"/>
    <w:rsid w:val="00F02820"/>
    <w:rsid w:val="00F02E06"/>
    <w:rsid w:val="00F032EB"/>
    <w:rsid w:val="00F03C94"/>
    <w:rsid w:val="00F03D2D"/>
    <w:rsid w:val="00F04068"/>
    <w:rsid w:val="00F041A0"/>
    <w:rsid w:val="00F04787"/>
    <w:rsid w:val="00F04AC2"/>
    <w:rsid w:val="00F0557A"/>
    <w:rsid w:val="00F05BE8"/>
    <w:rsid w:val="00F06320"/>
    <w:rsid w:val="00F06D2B"/>
    <w:rsid w:val="00F0707F"/>
    <w:rsid w:val="00F07521"/>
    <w:rsid w:val="00F07983"/>
    <w:rsid w:val="00F10263"/>
    <w:rsid w:val="00F10302"/>
    <w:rsid w:val="00F109E4"/>
    <w:rsid w:val="00F10C76"/>
    <w:rsid w:val="00F10E50"/>
    <w:rsid w:val="00F111F0"/>
    <w:rsid w:val="00F11350"/>
    <w:rsid w:val="00F1135D"/>
    <w:rsid w:val="00F11665"/>
    <w:rsid w:val="00F11D07"/>
    <w:rsid w:val="00F12256"/>
    <w:rsid w:val="00F1227F"/>
    <w:rsid w:val="00F1274E"/>
    <w:rsid w:val="00F12884"/>
    <w:rsid w:val="00F12E0F"/>
    <w:rsid w:val="00F130F5"/>
    <w:rsid w:val="00F13475"/>
    <w:rsid w:val="00F13E55"/>
    <w:rsid w:val="00F157DE"/>
    <w:rsid w:val="00F1586F"/>
    <w:rsid w:val="00F15D50"/>
    <w:rsid w:val="00F160D8"/>
    <w:rsid w:val="00F1638F"/>
    <w:rsid w:val="00F16587"/>
    <w:rsid w:val="00F16E06"/>
    <w:rsid w:val="00F17450"/>
    <w:rsid w:val="00F17D2B"/>
    <w:rsid w:val="00F20F35"/>
    <w:rsid w:val="00F21160"/>
    <w:rsid w:val="00F21223"/>
    <w:rsid w:val="00F21302"/>
    <w:rsid w:val="00F21B94"/>
    <w:rsid w:val="00F21F33"/>
    <w:rsid w:val="00F2244E"/>
    <w:rsid w:val="00F2301F"/>
    <w:rsid w:val="00F233C4"/>
    <w:rsid w:val="00F234BD"/>
    <w:rsid w:val="00F2484B"/>
    <w:rsid w:val="00F249B7"/>
    <w:rsid w:val="00F24C35"/>
    <w:rsid w:val="00F24DCE"/>
    <w:rsid w:val="00F24FA2"/>
    <w:rsid w:val="00F254AB"/>
    <w:rsid w:val="00F258E9"/>
    <w:rsid w:val="00F25A10"/>
    <w:rsid w:val="00F25B42"/>
    <w:rsid w:val="00F25B86"/>
    <w:rsid w:val="00F25B88"/>
    <w:rsid w:val="00F25C7D"/>
    <w:rsid w:val="00F26133"/>
    <w:rsid w:val="00F26369"/>
    <w:rsid w:val="00F264C3"/>
    <w:rsid w:val="00F270D3"/>
    <w:rsid w:val="00F278F0"/>
    <w:rsid w:val="00F279C3"/>
    <w:rsid w:val="00F300DF"/>
    <w:rsid w:val="00F30492"/>
    <w:rsid w:val="00F306FE"/>
    <w:rsid w:val="00F30CEF"/>
    <w:rsid w:val="00F30E40"/>
    <w:rsid w:val="00F31032"/>
    <w:rsid w:val="00F318EC"/>
    <w:rsid w:val="00F318FC"/>
    <w:rsid w:val="00F32734"/>
    <w:rsid w:val="00F32AE9"/>
    <w:rsid w:val="00F33778"/>
    <w:rsid w:val="00F339B9"/>
    <w:rsid w:val="00F33C9C"/>
    <w:rsid w:val="00F33CF6"/>
    <w:rsid w:val="00F34A01"/>
    <w:rsid w:val="00F3515D"/>
    <w:rsid w:val="00F35325"/>
    <w:rsid w:val="00F35535"/>
    <w:rsid w:val="00F35A4F"/>
    <w:rsid w:val="00F35BEF"/>
    <w:rsid w:val="00F35C39"/>
    <w:rsid w:val="00F3602E"/>
    <w:rsid w:val="00F365C6"/>
    <w:rsid w:val="00F37109"/>
    <w:rsid w:val="00F37B0A"/>
    <w:rsid w:val="00F400B0"/>
    <w:rsid w:val="00F402F8"/>
    <w:rsid w:val="00F404BB"/>
    <w:rsid w:val="00F40579"/>
    <w:rsid w:val="00F4062A"/>
    <w:rsid w:val="00F40647"/>
    <w:rsid w:val="00F40967"/>
    <w:rsid w:val="00F40D47"/>
    <w:rsid w:val="00F41084"/>
    <w:rsid w:val="00F41C8F"/>
    <w:rsid w:val="00F42467"/>
    <w:rsid w:val="00F425E8"/>
    <w:rsid w:val="00F426FD"/>
    <w:rsid w:val="00F42938"/>
    <w:rsid w:val="00F43A9D"/>
    <w:rsid w:val="00F43B62"/>
    <w:rsid w:val="00F43E20"/>
    <w:rsid w:val="00F4438D"/>
    <w:rsid w:val="00F4441D"/>
    <w:rsid w:val="00F44B8C"/>
    <w:rsid w:val="00F456A1"/>
    <w:rsid w:val="00F45BB9"/>
    <w:rsid w:val="00F460A1"/>
    <w:rsid w:val="00F46412"/>
    <w:rsid w:val="00F4670B"/>
    <w:rsid w:val="00F4675A"/>
    <w:rsid w:val="00F4684A"/>
    <w:rsid w:val="00F46BB3"/>
    <w:rsid w:val="00F46D82"/>
    <w:rsid w:val="00F4712B"/>
    <w:rsid w:val="00F478F1"/>
    <w:rsid w:val="00F5042F"/>
    <w:rsid w:val="00F50521"/>
    <w:rsid w:val="00F50B13"/>
    <w:rsid w:val="00F50BC5"/>
    <w:rsid w:val="00F50DD5"/>
    <w:rsid w:val="00F5195F"/>
    <w:rsid w:val="00F51E51"/>
    <w:rsid w:val="00F52368"/>
    <w:rsid w:val="00F52657"/>
    <w:rsid w:val="00F527D8"/>
    <w:rsid w:val="00F52D8E"/>
    <w:rsid w:val="00F53706"/>
    <w:rsid w:val="00F53732"/>
    <w:rsid w:val="00F53769"/>
    <w:rsid w:val="00F53E74"/>
    <w:rsid w:val="00F54348"/>
    <w:rsid w:val="00F54BA1"/>
    <w:rsid w:val="00F54CA4"/>
    <w:rsid w:val="00F5559B"/>
    <w:rsid w:val="00F55977"/>
    <w:rsid w:val="00F55D57"/>
    <w:rsid w:val="00F56017"/>
    <w:rsid w:val="00F561DA"/>
    <w:rsid w:val="00F565E6"/>
    <w:rsid w:val="00F56AAF"/>
    <w:rsid w:val="00F56C56"/>
    <w:rsid w:val="00F56D9B"/>
    <w:rsid w:val="00F57535"/>
    <w:rsid w:val="00F575EE"/>
    <w:rsid w:val="00F5772A"/>
    <w:rsid w:val="00F57DF4"/>
    <w:rsid w:val="00F57E76"/>
    <w:rsid w:val="00F60041"/>
    <w:rsid w:val="00F603E4"/>
    <w:rsid w:val="00F60B9C"/>
    <w:rsid w:val="00F61BB8"/>
    <w:rsid w:val="00F61C69"/>
    <w:rsid w:val="00F61CF4"/>
    <w:rsid w:val="00F62064"/>
    <w:rsid w:val="00F62BFF"/>
    <w:rsid w:val="00F632E7"/>
    <w:rsid w:val="00F6334A"/>
    <w:rsid w:val="00F63783"/>
    <w:rsid w:val="00F63931"/>
    <w:rsid w:val="00F63E37"/>
    <w:rsid w:val="00F63F7A"/>
    <w:rsid w:val="00F643B6"/>
    <w:rsid w:val="00F64591"/>
    <w:rsid w:val="00F64701"/>
    <w:rsid w:val="00F65F2F"/>
    <w:rsid w:val="00F6610A"/>
    <w:rsid w:val="00F662EB"/>
    <w:rsid w:val="00F66F58"/>
    <w:rsid w:val="00F67452"/>
    <w:rsid w:val="00F705B3"/>
    <w:rsid w:val="00F70680"/>
    <w:rsid w:val="00F7079B"/>
    <w:rsid w:val="00F70998"/>
    <w:rsid w:val="00F71622"/>
    <w:rsid w:val="00F71777"/>
    <w:rsid w:val="00F71858"/>
    <w:rsid w:val="00F71963"/>
    <w:rsid w:val="00F71C9B"/>
    <w:rsid w:val="00F725B4"/>
    <w:rsid w:val="00F72B7C"/>
    <w:rsid w:val="00F72DAD"/>
    <w:rsid w:val="00F72DF3"/>
    <w:rsid w:val="00F73068"/>
    <w:rsid w:val="00F73335"/>
    <w:rsid w:val="00F7368F"/>
    <w:rsid w:val="00F736F6"/>
    <w:rsid w:val="00F73DA8"/>
    <w:rsid w:val="00F73EA6"/>
    <w:rsid w:val="00F7449A"/>
    <w:rsid w:val="00F74783"/>
    <w:rsid w:val="00F754D8"/>
    <w:rsid w:val="00F757DC"/>
    <w:rsid w:val="00F7594D"/>
    <w:rsid w:val="00F76DAF"/>
    <w:rsid w:val="00F76F7F"/>
    <w:rsid w:val="00F77AB6"/>
    <w:rsid w:val="00F801A9"/>
    <w:rsid w:val="00F80E2E"/>
    <w:rsid w:val="00F80E5C"/>
    <w:rsid w:val="00F8115F"/>
    <w:rsid w:val="00F81242"/>
    <w:rsid w:val="00F8178A"/>
    <w:rsid w:val="00F81BFA"/>
    <w:rsid w:val="00F83375"/>
    <w:rsid w:val="00F833B0"/>
    <w:rsid w:val="00F83C64"/>
    <w:rsid w:val="00F841AF"/>
    <w:rsid w:val="00F8425A"/>
    <w:rsid w:val="00F8473D"/>
    <w:rsid w:val="00F84A06"/>
    <w:rsid w:val="00F84AC6"/>
    <w:rsid w:val="00F84B5D"/>
    <w:rsid w:val="00F8582D"/>
    <w:rsid w:val="00F85856"/>
    <w:rsid w:val="00F8594F"/>
    <w:rsid w:val="00F85E2A"/>
    <w:rsid w:val="00F86066"/>
    <w:rsid w:val="00F86366"/>
    <w:rsid w:val="00F87837"/>
    <w:rsid w:val="00F8797D"/>
    <w:rsid w:val="00F87E8C"/>
    <w:rsid w:val="00F90057"/>
    <w:rsid w:val="00F900F5"/>
    <w:rsid w:val="00F90A89"/>
    <w:rsid w:val="00F90F72"/>
    <w:rsid w:val="00F91072"/>
    <w:rsid w:val="00F9130F"/>
    <w:rsid w:val="00F915F2"/>
    <w:rsid w:val="00F916BA"/>
    <w:rsid w:val="00F91B62"/>
    <w:rsid w:val="00F91ED6"/>
    <w:rsid w:val="00F91FD6"/>
    <w:rsid w:val="00F934DF"/>
    <w:rsid w:val="00F93ACA"/>
    <w:rsid w:val="00F94182"/>
    <w:rsid w:val="00F94294"/>
    <w:rsid w:val="00F945C6"/>
    <w:rsid w:val="00F950F2"/>
    <w:rsid w:val="00F9535E"/>
    <w:rsid w:val="00F95484"/>
    <w:rsid w:val="00F9588A"/>
    <w:rsid w:val="00F95988"/>
    <w:rsid w:val="00F9601B"/>
    <w:rsid w:val="00F964EB"/>
    <w:rsid w:val="00F965CA"/>
    <w:rsid w:val="00F967F2"/>
    <w:rsid w:val="00F96FC7"/>
    <w:rsid w:val="00F97037"/>
    <w:rsid w:val="00F97B5D"/>
    <w:rsid w:val="00FA03FD"/>
    <w:rsid w:val="00FA0B85"/>
    <w:rsid w:val="00FA0E8C"/>
    <w:rsid w:val="00FA0F0E"/>
    <w:rsid w:val="00FA12E5"/>
    <w:rsid w:val="00FA1E82"/>
    <w:rsid w:val="00FA20B7"/>
    <w:rsid w:val="00FA2C5D"/>
    <w:rsid w:val="00FA328B"/>
    <w:rsid w:val="00FA346C"/>
    <w:rsid w:val="00FA3538"/>
    <w:rsid w:val="00FA3564"/>
    <w:rsid w:val="00FA371D"/>
    <w:rsid w:val="00FA3E17"/>
    <w:rsid w:val="00FA3FE5"/>
    <w:rsid w:val="00FA5A12"/>
    <w:rsid w:val="00FA5BCC"/>
    <w:rsid w:val="00FA5F78"/>
    <w:rsid w:val="00FA60DF"/>
    <w:rsid w:val="00FA6D9F"/>
    <w:rsid w:val="00FA6DBA"/>
    <w:rsid w:val="00FA6FBF"/>
    <w:rsid w:val="00FA7610"/>
    <w:rsid w:val="00FA76AA"/>
    <w:rsid w:val="00FA78B6"/>
    <w:rsid w:val="00FA7C83"/>
    <w:rsid w:val="00FA7FF6"/>
    <w:rsid w:val="00FB09D4"/>
    <w:rsid w:val="00FB0BA1"/>
    <w:rsid w:val="00FB0BB8"/>
    <w:rsid w:val="00FB113D"/>
    <w:rsid w:val="00FB1378"/>
    <w:rsid w:val="00FB180B"/>
    <w:rsid w:val="00FB20AB"/>
    <w:rsid w:val="00FB2296"/>
    <w:rsid w:val="00FB2547"/>
    <w:rsid w:val="00FB269E"/>
    <w:rsid w:val="00FB30B9"/>
    <w:rsid w:val="00FB3115"/>
    <w:rsid w:val="00FB36AD"/>
    <w:rsid w:val="00FB398C"/>
    <w:rsid w:val="00FB3F9F"/>
    <w:rsid w:val="00FB4D13"/>
    <w:rsid w:val="00FB4D31"/>
    <w:rsid w:val="00FB5339"/>
    <w:rsid w:val="00FB58A2"/>
    <w:rsid w:val="00FB59F9"/>
    <w:rsid w:val="00FB5B5B"/>
    <w:rsid w:val="00FB5CC1"/>
    <w:rsid w:val="00FB621F"/>
    <w:rsid w:val="00FB6267"/>
    <w:rsid w:val="00FB6329"/>
    <w:rsid w:val="00FB6A70"/>
    <w:rsid w:val="00FB6D17"/>
    <w:rsid w:val="00FB737C"/>
    <w:rsid w:val="00FB7ABC"/>
    <w:rsid w:val="00FB7CA4"/>
    <w:rsid w:val="00FC022C"/>
    <w:rsid w:val="00FC06FC"/>
    <w:rsid w:val="00FC119B"/>
    <w:rsid w:val="00FC15F4"/>
    <w:rsid w:val="00FC2406"/>
    <w:rsid w:val="00FC2753"/>
    <w:rsid w:val="00FC3433"/>
    <w:rsid w:val="00FC355E"/>
    <w:rsid w:val="00FC35D4"/>
    <w:rsid w:val="00FC38C2"/>
    <w:rsid w:val="00FC3BF4"/>
    <w:rsid w:val="00FC3C2B"/>
    <w:rsid w:val="00FC456F"/>
    <w:rsid w:val="00FC4D7C"/>
    <w:rsid w:val="00FC5333"/>
    <w:rsid w:val="00FC53D1"/>
    <w:rsid w:val="00FC5C96"/>
    <w:rsid w:val="00FC5D55"/>
    <w:rsid w:val="00FC5FBA"/>
    <w:rsid w:val="00FC664E"/>
    <w:rsid w:val="00FC6E5B"/>
    <w:rsid w:val="00FC7044"/>
    <w:rsid w:val="00FD09D3"/>
    <w:rsid w:val="00FD0F2C"/>
    <w:rsid w:val="00FD100B"/>
    <w:rsid w:val="00FD1518"/>
    <w:rsid w:val="00FD16A6"/>
    <w:rsid w:val="00FD17C4"/>
    <w:rsid w:val="00FD183D"/>
    <w:rsid w:val="00FD1CE8"/>
    <w:rsid w:val="00FD2088"/>
    <w:rsid w:val="00FD2437"/>
    <w:rsid w:val="00FD2E13"/>
    <w:rsid w:val="00FD31E5"/>
    <w:rsid w:val="00FD378F"/>
    <w:rsid w:val="00FD422E"/>
    <w:rsid w:val="00FD43EA"/>
    <w:rsid w:val="00FD4671"/>
    <w:rsid w:val="00FD4DF7"/>
    <w:rsid w:val="00FD51B5"/>
    <w:rsid w:val="00FD5294"/>
    <w:rsid w:val="00FD5F7E"/>
    <w:rsid w:val="00FD64A1"/>
    <w:rsid w:val="00FD65CC"/>
    <w:rsid w:val="00FD6694"/>
    <w:rsid w:val="00FD6FEB"/>
    <w:rsid w:val="00FD71C4"/>
    <w:rsid w:val="00FD723B"/>
    <w:rsid w:val="00FE0AAF"/>
    <w:rsid w:val="00FE0D2A"/>
    <w:rsid w:val="00FE0F96"/>
    <w:rsid w:val="00FE15E5"/>
    <w:rsid w:val="00FE1C2D"/>
    <w:rsid w:val="00FE28F5"/>
    <w:rsid w:val="00FE2A43"/>
    <w:rsid w:val="00FE2A4A"/>
    <w:rsid w:val="00FE2F7F"/>
    <w:rsid w:val="00FE338E"/>
    <w:rsid w:val="00FE36EC"/>
    <w:rsid w:val="00FE399C"/>
    <w:rsid w:val="00FE3BC6"/>
    <w:rsid w:val="00FE3EB5"/>
    <w:rsid w:val="00FE4441"/>
    <w:rsid w:val="00FE49AD"/>
    <w:rsid w:val="00FE4B4F"/>
    <w:rsid w:val="00FE528E"/>
    <w:rsid w:val="00FE5955"/>
    <w:rsid w:val="00FE6060"/>
    <w:rsid w:val="00FE670E"/>
    <w:rsid w:val="00FE6749"/>
    <w:rsid w:val="00FE6E5F"/>
    <w:rsid w:val="00FE6ED9"/>
    <w:rsid w:val="00FE6F1A"/>
    <w:rsid w:val="00FE745A"/>
    <w:rsid w:val="00FE7E9F"/>
    <w:rsid w:val="00FF03CF"/>
    <w:rsid w:val="00FF0464"/>
    <w:rsid w:val="00FF15EB"/>
    <w:rsid w:val="00FF1D2D"/>
    <w:rsid w:val="00FF1E3F"/>
    <w:rsid w:val="00FF2B27"/>
    <w:rsid w:val="00FF2DD9"/>
    <w:rsid w:val="00FF37E2"/>
    <w:rsid w:val="00FF380C"/>
    <w:rsid w:val="00FF38E1"/>
    <w:rsid w:val="00FF461C"/>
    <w:rsid w:val="00FF4D54"/>
    <w:rsid w:val="00FF61E3"/>
    <w:rsid w:val="00FF6499"/>
    <w:rsid w:val="00FF6616"/>
    <w:rsid w:val="00FF68E8"/>
    <w:rsid w:val="00FF6A60"/>
    <w:rsid w:val="00FF706B"/>
    <w:rsid w:val="01104C14"/>
    <w:rsid w:val="011100EF"/>
    <w:rsid w:val="012061DB"/>
    <w:rsid w:val="01222C98"/>
    <w:rsid w:val="012D5BAE"/>
    <w:rsid w:val="012E1C50"/>
    <w:rsid w:val="013712F7"/>
    <w:rsid w:val="014063FE"/>
    <w:rsid w:val="014866DE"/>
    <w:rsid w:val="015231FB"/>
    <w:rsid w:val="016D79FC"/>
    <w:rsid w:val="019E3125"/>
    <w:rsid w:val="01B26760"/>
    <w:rsid w:val="01BD729C"/>
    <w:rsid w:val="01BF694A"/>
    <w:rsid w:val="01C54B55"/>
    <w:rsid w:val="01D60B10"/>
    <w:rsid w:val="01EB45BC"/>
    <w:rsid w:val="020B6A0C"/>
    <w:rsid w:val="02200630"/>
    <w:rsid w:val="022628B3"/>
    <w:rsid w:val="02443CCC"/>
    <w:rsid w:val="02447828"/>
    <w:rsid w:val="02AD1831"/>
    <w:rsid w:val="02B344BE"/>
    <w:rsid w:val="02BC2C0B"/>
    <w:rsid w:val="02EB05EB"/>
    <w:rsid w:val="03136720"/>
    <w:rsid w:val="032A4C62"/>
    <w:rsid w:val="032D650E"/>
    <w:rsid w:val="032E0023"/>
    <w:rsid w:val="03380365"/>
    <w:rsid w:val="034D4E02"/>
    <w:rsid w:val="03922815"/>
    <w:rsid w:val="0398212A"/>
    <w:rsid w:val="039E090F"/>
    <w:rsid w:val="03A03184"/>
    <w:rsid w:val="03BB7FBE"/>
    <w:rsid w:val="03CC4F0C"/>
    <w:rsid w:val="03D2523E"/>
    <w:rsid w:val="03D64DF8"/>
    <w:rsid w:val="03EB288A"/>
    <w:rsid w:val="03F86763"/>
    <w:rsid w:val="043700D9"/>
    <w:rsid w:val="047C599F"/>
    <w:rsid w:val="049D3F48"/>
    <w:rsid w:val="04B70785"/>
    <w:rsid w:val="04B81E75"/>
    <w:rsid w:val="04D831EF"/>
    <w:rsid w:val="04DA26C6"/>
    <w:rsid w:val="04E56428"/>
    <w:rsid w:val="04FF037E"/>
    <w:rsid w:val="05153EF3"/>
    <w:rsid w:val="051A51B8"/>
    <w:rsid w:val="0546521D"/>
    <w:rsid w:val="05495104"/>
    <w:rsid w:val="056C26A8"/>
    <w:rsid w:val="0575419C"/>
    <w:rsid w:val="05793C8D"/>
    <w:rsid w:val="057D4AD5"/>
    <w:rsid w:val="05A827C4"/>
    <w:rsid w:val="05C72369"/>
    <w:rsid w:val="05D215EF"/>
    <w:rsid w:val="05D435B9"/>
    <w:rsid w:val="05DE4A52"/>
    <w:rsid w:val="05F00F12"/>
    <w:rsid w:val="0616772D"/>
    <w:rsid w:val="0619721E"/>
    <w:rsid w:val="064A73D7"/>
    <w:rsid w:val="065C1CBD"/>
    <w:rsid w:val="065D35AE"/>
    <w:rsid w:val="06725923"/>
    <w:rsid w:val="06786287"/>
    <w:rsid w:val="06925445"/>
    <w:rsid w:val="06A45B35"/>
    <w:rsid w:val="06A501CA"/>
    <w:rsid w:val="06A938AC"/>
    <w:rsid w:val="06A96408"/>
    <w:rsid w:val="06B31329"/>
    <w:rsid w:val="06B604E5"/>
    <w:rsid w:val="06BA52A3"/>
    <w:rsid w:val="06C06AFB"/>
    <w:rsid w:val="06E56437"/>
    <w:rsid w:val="06F3181D"/>
    <w:rsid w:val="06FD67E2"/>
    <w:rsid w:val="070B125C"/>
    <w:rsid w:val="071E0E7E"/>
    <w:rsid w:val="071E1F77"/>
    <w:rsid w:val="0722476B"/>
    <w:rsid w:val="07783624"/>
    <w:rsid w:val="078C659B"/>
    <w:rsid w:val="079E3E7E"/>
    <w:rsid w:val="07AA637F"/>
    <w:rsid w:val="07B94E5F"/>
    <w:rsid w:val="07BF3587"/>
    <w:rsid w:val="07CD02C0"/>
    <w:rsid w:val="07F910B5"/>
    <w:rsid w:val="081049F0"/>
    <w:rsid w:val="081E6D6D"/>
    <w:rsid w:val="082425D6"/>
    <w:rsid w:val="084A5DB4"/>
    <w:rsid w:val="0858402D"/>
    <w:rsid w:val="08634780"/>
    <w:rsid w:val="08647D8D"/>
    <w:rsid w:val="086F75C9"/>
    <w:rsid w:val="0876560C"/>
    <w:rsid w:val="088A01CF"/>
    <w:rsid w:val="088A61B1"/>
    <w:rsid w:val="08AB142C"/>
    <w:rsid w:val="08B61348"/>
    <w:rsid w:val="08BB734B"/>
    <w:rsid w:val="08C27E33"/>
    <w:rsid w:val="08E21B49"/>
    <w:rsid w:val="09003C18"/>
    <w:rsid w:val="0916311C"/>
    <w:rsid w:val="092959CA"/>
    <w:rsid w:val="09524F20"/>
    <w:rsid w:val="095A7890"/>
    <w:rsid w:val="097A6FD0"/>
    <w:rsid w:val="098826F0"/>
    <w:rsid w:val="099C58C8"/>
    <w:rsid w:val="09A3752A"/>
    <w:rsid w:val="09A43154"/>
    <w:rsid w:val="09BF7412"/>
    <w:rsid w:val="09C0632E"/>
    <w:rsid w:val="09D94D21"/>
    <w:rsid w:val="09F93145"/>
    <w:rsid w:val="0A0106F5"/>
    <w:rsid w:val="0A057038"/>
    <w:rsid w:val="0A075C11"/>
    <w:rsid w:val="0A086203"/>
    <w:rsid w:val="0A222B45"/>
    <w:rsid w:val="0A2F0DBE"/>
    <w:rsid w:val="0A312D88"/>
    <w:rsid w:val="0A326B00"/>
    <w:rsid w:val="0A335653"/>
    <w:rsid w:val="0A552666"/>
    <w:rsid w:val="0A5E34EE"/>
    <w:rsid w:val="0A6E4E12"/>
    <w:rsid w:val="0A740701"/>
    <w:rsid w:val="0A876E4C"/>
    <w:rsid w:val="0A8D3D36"/>
    <w:rsid w:val="0A982839"/>
    <w:rsid w:val="0A9D21CB"/>
    <w:rsid w:val="0AA40BA3"/>
    <w:rsid w:val="0AA56340"/>
    <w:rsid w:val="0AB67731"/>
    <w:rsid w:val="0AC0190F"/>
    <w:rsid w:val="0AC704D6"/>
    <w:rsid w:val="0AC97464"/>
    <w:rsid w:val="0AF3628F"/>
    <w:rsid w:val="0AF815E8"/>
    <w:rsid w:val="0B024CD7"/>
    <w:rsid w:val="0B7774DD"/>
    <w:rsid w:val="0B800620"/>
    <w:rsid w:val="0B87345B"/>
    <w:rsid w:val="0B921E56"/>
    <w:rsid w:val="0B955598"/>
    <w:rsid w:val="0B965A11"/>
    <w:rsid w:val="0B9C6927"/>
    <w:rsid w:val="0BA47589"/>
    <w:rsid w:val="0BB43689"/>
    <w:rsid w:val="0BC32E3C"/>
    <w:rsid w:val="0BCF2858"/>
    <w:rsid w:val="0BD9183C"/>
    <w:rsid w:val="0BDD1444"/>
    <w:rsid w:val="0BE000D8"/>
    <w:rsid w:val="0BF57DE5"/>
    <w:rsid w:val="0C0C0F48"/>
    <w:rsid w:val="0C22507E"/>
    <w:rsid w:val="0C254537"/>
    <w:rsid w:val="0C256591"/>
    <w:rsid w:val="0C451294"/>
    <w:rsid w:val="0C6C454B"/>
    <w:rsid w:val="0C7D071A"/>
    <w:rsid w:val="0C831B32"/>
    <w:rsid w:val="0C8353F1"/>
    <w:rsid w:val="0CAD08D1"/>
    <w:rsid w:val="0CB013D2"/>
    <w:rsid w:val="0CBB5DAF"/>
    <w:rsid w:val="0CBE7410"/>
    <w:rsid w:val="0CD10852"/>
    <w:rsid w:val="0CE63724"/>
    <w:rsid w:val="0CF47BD5"/>
    <w:rsid w:val="0CFC4A7D"/>
    <w:rsid w:val="0CFD51A3"/>
    <w:rsid w:val="0CFF2990"/>
    <w:rsid w:val="0D117DE9"/>
    <w:rsid w:val="0D1E1590"/>
    <w:rsid w:val="0D234914"/>
    <w:rsid w:val="0D5154EF"/>
    <w:rsid w:val="0D5F19BA"/>
    <w:rsid w:val="0D8B6C53"/>
    <w:rsid w:val="0D981926"/>
    <w:rsid w:val="0DAD3139"/>
    <w:rsid w:val="0DB717F6"/>
    <w:rsid w:val="0DB86F7C"/>
    <w:rsid w:val="0DC04476"/>
    <w:rsid w:val="0DC83A03"/>
    <w:rsid w:val="0DE40A65"/>
    <w:rsid w:val="0E124CC9"/>
    <w:rsid w:val="0E2472B1"/>
    <w:rsid w:val="0E46294A"/>
    <w:rsid w:val="0E500796"/>
    <w:rsid w:val="0E572C71"/>
    <w:rsid w:val="0E600F27"/>
    <w:rsid w:val="0E7C492E"/>
    <w:rsid w:val="0E7E7EA4"/>
    <w:rsid w:val="0E8502EA"/>
    <w:rsid w:val="0E990411"/>
    <w:rsid w:val="0E9C4E0F"/>
    <w:rsid w:val="0EA3269E"/>
    <w:rsid w:val="0EAB5D97"/>
    <w:rsid w:val="0EBE0962"/>
    <w:rsid w:val="0ECC12D1"/>
    <w:rsid w:val="0EE40ABE"/>
    <w:rsid w:val="0EF10CF0"/>
    <w:rsid w:val="0EF6634E"/>
    <w:rsid w:val="0EF80318"/>
    <w:rsid w:val="0F0E3698"/>
    <w:rsid w:val="0F130CAE"/>
    <w:rsid w:val="0F2F153E"/>
    <w:rsid w:val="0F305E8E"/>
    <w:rsid w:val="0F333E6F"/>
    <w:rsid w:val="0F3E7D74"/>
    <w:rsid w:val="0F423341"/>
    <w:rsid w:val="0F5B1FBE"/>
    <w:rsid w:val="0F6E05DA"/>
    <w:rsid w:val="0F7300A2"/>
    <w:rsid w:val="0F9A62B1"/>
    <w:rsid w:val="0FAE09D7"/>
    <w:rsid w:val="0FDD2DA3"/>
    <w:rsid w:val="100B407B"/>
    <w:rsid w:val="100F37D9"/>
    <w:rsid w:val="10125409"/>
    <w:rsid w:val="102F7D69"/>
    <w:rsid w:val="10394744"/>
    <w:rsid w:val="10520BE4"/>
    <w:rsid w:val="105312C0"/>
    <w:rsid w:val="10667485"/>
    <w:rsid w:val="106D3739"/>
    <w:rsid w:val="106F0DDE"/>
    <w:rsid w:val="10764868"/>
    <w:rsid w:val="10980839"/>
    <w:rsid w:val="10AA5642"/>
    <w:rsid w:val="10B534BE"/>
    <w:rsid w:val="10BD1037"/>
    <w:rsid w:val="10CF0134"/>
    <w:rsid w:val="10E50428"/>
    <w:rsid w:val="10FC2D59"/>
    <w:rsid w:val="11010B90"/>
    <w:rsid w:val="11164A85"/>
    <w:rsid w:val="117417AC"/>
    <w:rsid w:val="117B77CF"/>
    <w:rsid w:val="11845E93"/>
    <w:rsid w:val="118A0FD0"/>
    <w:rsid w:val="1191585C"/>
    <w:rsid w:val="11996413"/>
    <w:rsid w:val="11A42091"/>
    <w:rsid w:val="11B15797"/>
    <w:rsid w:val="11BC3071"/>
    <w:rsid w:val="11C40985"/>
    <w:rsid w:val="11D20C42"/>
    <w:rsid w:val="11D34725"/>
    <w:rsid w:val="11DE429A"/>
    <w:rsid w:val="11E65C31"/>
    <w:rsid w:val="11EB17AE"/>
    <w:rsid w:val="11F25B0B"/>
    <w:rsid w:val="1211524D"/>
    <w:rsid w:val="122919D7"/>
    <w:rsid w:val="122F2EB4"/>
    <w:rsid w:val="12315F25"/>
    <w:rsid w:val="12446FC4"/>
    <w:rsid w:val="1257214A"/>
    <w:rsid w:val="125B66BA"/>
    <w:rsid w:val="12681311"/>
    <w:rsid w:val="126B7053"/>
    <w:rsid w:val="12837EF9"/>
    <w:rsid w:val="12991838"/>
    <w:rsid w:val="12A50971"/>
    <w:rsid w:val="12AC787C"/>
    <w:rsid w:val="12B02CB8"/>
    <w:rsid w:val="12B35956"/>
    <w:rsid w:val="12B969E9"/>
    <w:rsid w:val="12D06EB6"/>
    <w:rsid w:val="12E26812"/>
    <w:rsid w:val="12FE6C66"/>
    <w:rsid w:val="131523FF"/>
    <w:rsid w:val="13207E3D"/>
    <w:rsid w:val="13334412"/>
    <w:rsid w:val="134E2172"/>
    <w:rsid w:val="137D5290"/>
    <w:rsid w:val="138C08C0"/>
    <w:rsid w:val="138E124B"/>
    <w:rsid w:val="138E54CE"/>
    <w:rsid w:val="13A117B4"/>
    <w:rsid w:val="13B16720"/>
    <w:rsid w:val="13C133CE"/>
    <w:rsid w:val="13D777CD"/>
    <w:rsid w:val="13E946D3"/>
    <w:rsid w:val="13F866C4"/>
    <w:rsid w:val="13FD017F"/>
    <w:rsid w:val="14065285"/>
    <w:rsid w:val="140C784A"/>
    <w:rsid w:val="14207631"/>
    <w:rsid w:val="1432607A"/>
    <w:rsid w:val="14551D69"/>
    <w:rsid w:val="1463073A"/>
    <w:rsid w:val="14636234"/>
    <w:rsid w:val="146F4EE8"/>
    <w:rsid w:val="147D6BCA"/>
    <w:rsid w:val="148625CF"/>
    <w:rsid w:val="148E0DD7"/>
    <w:rsid w:val="14967790"/>
    <w:rsid w:val="14BB6070"/>
    <w:rsid w:val="14C137FD"/>
    <w:rsid w:val="14C770F1"/>
    <w:rsid w:val="14C8197B"/>
    <w:rsid w:val="150710FE"/>
    <w:rsid w:val="150F3CC6"/>
    <w:rsid w:val="15171A24"/>
    <w:rsid w:val="1525798D"/>
    <w:rsid w:val="153B169B"/>
    <w:rsid w:val="154C4F1A"/>
    <w:rsid w:val="155D7127"/>
    <w:rsid w:val="15632A9B"/>
    <w:rsid w:val="156C1118"/>
    <w:rsid w:val="15772BD9"/>
    <w:rsid w:val="15897F1C"/>
    <w:rsid w:val="158A3C94"/>
    <w:rsid w:val="1594241D"/>
    <w:rsid w:val="15AA1C40"/>
    <w:rsid w:val="15AD0D52"/>
    <w:rsid w:val="15B70E0B"/>
    <w:rsid w:val="15C90318"/>
    <w:rsid w:val="15DA2525"/>
    <w:rsid w:val="15DA30C4"/>
    <w:rsid w:val="15E1712D"/>
    <w:rsid w:val="15EE34F8"/>
    <w:rsid w:val="161B2A19"/>
    <w:rsid w:val="161B4D57"/>
    <w:rsid w:val="16322FAF"/>
    <w:rsid w:val="1675197E"/>
    <w:rsid w:val="168850DA"/>
    <w:rsid w:val="169721C5"/>
    <w:rsid w:val="16A50D85"/>
    <w:rsid w:val="16B20DAC"/>
    <w:rsid w:val="16B94831"/>
    <w:rsid w:val="16E12CF7"/>
    <w:rsid w:val="16E318AE"/>
    <w:rsid w:val="16E41CDD"/>
    <w:rsid w:val="16F37313"/>
    <w:rsid w:val="170A0685"/>
    <w:rsid w:val="171C65D9"/>
    <w:rsid w:val="173E6AE4"/>
    <w:rsid w:val="1749390B"/>
    <w:rsid w:val="175678B1"/>
    <w:rsid w:val="175726A6"/>
    <w:rsid w:val="17580BC2"/>
    <w:rsid w:val="17635E9D"/>
    <w:rsid w:val="176403ED"/>
    <w:rsid w:val="17651AB7"/>
    <w:rsid w:val="176F2460"/>
    <w:rsid w:val="178260B9"/>
    <w:rsid w:val="178D1819"/>
    <w:rsid w:val="17A032FB"/>
    <w:rsid w:val="17AC24F6"/>
    <w:rsid w:val="17B267DF"/>
    <w:rsid w:val="17D15BAA"/>
    <w:rsid w:val="17DF02C7"/>
    <w:rsid w:val="17EE7F6C"/>
    <w:rsid w:val="183F48C2"/>
    <w:rsid w:val="186952EE"/>
    <w:rsid w:val="18695DE3"/>
    <w:rsid w:val="186D1161"/>
    <w:rsid w:val="187121A7"/>
    <w:rsid w:val="187577DF"/>
    <w:rsid w:val="189562F3"/>
    <w:rsid w:val="189F35B2"/>
    <w:rsid w:val="18A2038D"/>
    <w:rsid w:val="18C7014D"/>
    <w:rsid w:val="18D314AE"/>
    <w:rsid w:val="18F002B2"/>
    <w:rsid w:val="18F83FBE"/>
    <w:rsid w:val="190653E0"/>
    <w:rsid w:val="1912647A"/>
    <w:rsid w:val="19151AC7"/>
    <w:rsid w:val="191D730F"/>
    <w:rsid w:val="1935423E"/>
    <w:rsid w:val="194D0401"/>
    <w:rsid w:val="195916DD"/>
    <w:rsid w:val="19627D59"/>
    <w:rsid w:val="198A47CB"/>
    <w:rsid w:val="198F7ACB"/>
    <w:rsid w:val="19983B78"/>
    <w:rsid w:val="19A03A86"/>
    <w:rsid w:val="19AA37E4"/>
    <w:rsid w:val="19BC2228"/>
    <w:rsid w:val="19DA6FC4"/>
    <w:rsid w:val="1A07140F"/>
    <w:rsid w:val="1A1F2BFD"/>
    <w:rsid w:val="1A295829"/>
    <w:rsid w:val="1A561E63"/>
    <w:rsid w:val="1A6D2559"/>
    <w:rsid w:val="1A7840BB"/>
    <w:rsid w:val="1A803466"/>
    <w:rsid w:val="1A8312A4"/>
    <w:rsid w:val="1A884D6F"/>
    <w:rsid w:val="1A971456"/>
    <w:rsid w:val="1A9938CF"/>
    <w:rsid w:val="1A9A6727"/>
    <w:rsid w:val="1AA90718"/>
    <w:rsid w:val="1AC731AE"/>
    <w:rsid w:val="1AF309F4"/>
    <w:rsid w:val="1B153C25"/>
    <w:rsid w:val="1B1D75F9"/>
    <w:rsid w:val="1B2821E2"/>
    <w:rsid w:val="1B354263"/>
    <w:rsid w:val="1B416EAA"/>
    <w:rsid w:val="1B504A62"/>
    <w:rsid w:val="1B776A68"/>
    <w:rsid w:val="1B7D379A"/>
    <w:rsid w:val="1B840A40"/>
    <w:rsid w:val="1B860A5A"/>
    <w:rsid w:val="1B92247E"/>
    <w:rsid w:val="1B944F25"/>
    <w:rsid w:val="1B965141"/>
    <w:rsid w:val="1B972C67"/>
    <w:rsid w:val="1BBC0D95"/>
    <w:rsid w:val="1BC872C4"/>
    <w:rsid w:val="1BD822D7"/>
    <w:rsid w:val="1BDA7108"/>
    <w:rsid w:val="1BDB0BFF"/>
    <w:rsid w:val="1BE0016A"/>
    <w:rsid w:val="1BF14125"/>
    <w:rsid w:val="1C116575"/>
    <w:rsid w:val="1C13053F"/>
    <w:rsid w:val="1C1F0D63"/>
    <w:rsid w:val="1C227C2A"/>
    <w:rsid w:val="1C2A6A17"/>
    <w:rsid w:val="1C2E5379"/>
    <w:rsid w:val="1C2F43E6"/>
    <w:rsid w:val="1C3C76ED"/>
    <w:rsid w:val="1C3F500D"/>
    <w:rsid w:val="1C4032FE"/>
    <w:rsid w:val="1C5D381B"/>
    <w:rsid w:val="1C6C7C4F"/>
    <w:rsid w:val="1C746B04"/>
    <w:rsid w:val="1C845CEE"/>
    <w:rsid w:val="1C955EFE"/>
    <w:rsid w:val="1CA918FD"/>
    <w:rsid w:val="1CB47AB9"/>
    <w:rsid w:val="1CCD7DAB"/>
    <w:rsid w:val="1D1E3003"/>
    <w:rsid w:val="1D21088F"/>
    <w:rsid w:val="1D2B18B9"/>
    <w:rsid w:val="1D322C47"/>
    <w:rsid w:val="1D3976BF"/>
    <w:rsid w:val="1D507571"/>
    <w:rsid w:val="1D540E0F"/>
    <w:rsid w:val="1D57445C"/>
    <w:rsid w:val="1D5F5A06"/>
    <w:rsid w:val="1D6C6395"/>
    <w:rsid w:val="1D7436EC"/>
    <w:rsid w:val="1D7638FA"/>
    <w:rsid w:val="1D970CFC"/>
    <w:rsid w:val="1DB06D6D"/>
    <w:rsid w:val="1DDF0A41"/>
    <w:rsid w:val="1DE55D42"/>
    <w:rsid w:val="1DFE0D7B"/>
    <w:rsid w:val="1E08620F"/>
    <w:rsid w:val="1E114F52"/>
    <w:rsid w:val="1E15776D"/>
    <w:rsid w:val="1E193955"/>
    <w:rsid w:val="1E48649A"/>
    <w:rsid w:val="1E4E1D03"/>
    <w:rsid w:val="1E59229C"/>
    <w:rsid w:val="1E854FF8"/>
    <w:rsid w:val="1E982F7E"/>
    <w:rsid w:val="1EC34D93"/>
    <w:rsid w:val="1EC57AEB"/>
    <w:rsid w:val="1EFA7794"/>
    <w:rsid w:val="1F0108C6"/>
    <w:rsid w:val="1F176598"/>
    <w:rsid w:val="1F1E4556"/>
    <w:rsid w:val="1F2E38E2"/>
    <w:rsid w:val="1F4903A8"/>
    <w:rsid w:val="1F4A4EB7"/>
    <w:rsid w:val="1F6B41EE"/>
    <w:rsid w:val="1F73459A"/>
    <w:rsid w:val="1F757C8F"/>
    <w:rsid w:val="1F844893"/>
    <w:rsid w:val="1F86727A"/>
    <w:rsid w:val="1F8E3FF9"/>
    <w:rsid w:val="1F8F201A"/>
    <w:rsid w:val="1FAF4A23"/>
    <w:rsid w:val="1FC144EC"/>
    <w:rsid w:val="1FC97167"/>
    <w:rsid w:val="1FD955FC"/>
    <w:rsid w:val="1FFE68EE"/>
    <w:rsid w:val="20000DDB"/>
    <w:rsid w:val="200704EC"/>
    <w:rsid w:val="20200378"/>
    <w:rsid w:val="20231F4B"/>
    <w:rsid w:val="20234AC9"/>
    <w:rsid w:val="20315438"/>
    <w:rsid w:val="20441A7E"/>
    <w:rsid w:val="20551BE1"/>
    <w:rsid w:val="20617958"/>
    <w:rsid w:val="206C35D6"/>
    <w:rsid w:val="20735A90"/>
    <w:rsid w:val="207E2611"/>
    <w:rsid w:val="20893A7B"/>
    <w:rsid w:val="209033B2"/>
    <w:rsid w:val="20923858"/>
    <w:rsid w:val="20AA51EA"/>
    <w:rsid w:val="20AD490A"/>
    <w:rsid w:val="20C4005A"/>
    <w:rsid w:val="20C44750"/>
    <w:rsid w:val="20CC31C2"/>
    <w:rsid w:val="20E3052F"/>
    <w:rsid w:val="20F04C2B"/>
    <w:rsid w:val="2110376E"/>
    <w:rsid w:val="212749B4"/>
    <w:rsid w:val="212D20A3"/>
    <w:rsid w:val="213F3B84"/>
    <w:rsid w:val="21470C8B"/>
    <w:rsid w:val="214F20C7"/>
    <w:rsid w:val="215C64E4"/>
    <w:rsid w:val="215E6082"/>
    <w:rsid w:val="2169100C"/>
    <w:rsid w:val="216D1A51"/>
    <w:rsid w:val="216E7EE7"/>
    <w:rsid w:val="218153F1"/>
    <w:rsid w:val="21A9702A"/>
    <w:rsid w:val="21B04A82"/>
    <w:rsid w:val="21BA7124"/>
    <w:rsid w:val="21BE7FEE"/>
    <w:rsid w:val="21C8709A"/>
    <w:rsid w:val="21D818E3"/>
    <w:rsid w:val="21DA2741"/>
    <w:rsid w:val="21DE43DB"/>
    <w:rsid w:val="21EE1107"/>
    <w:rsid w:val="21FC7CC7"/>
    <w:rsid w:val="220B3A67"/>
    <w:rsid w:val="2218027A"/>
    <w:rsid w:val="22274D44"/>
    <w:rsid w:val="22605768"/>
    <w:rsid w:val="22625F46"/>
    <w:rsid w:val="22643B2A"/>
    <w:rsid w:val="227066A0"/>
    <w:rsid w:val="227F4910"/>
    <w:rsid w:val="2288192A"/>
    <w:rsid w:val="22BD1205"/>
    <w:rsid w:val="22BD7457"/>
    <w:rsid w:val="22C81958"/>
    <w:rsid w:val="22CF0CA2"/>
    <w:rsid w:val="22F2173B"/>
    <w:rsid w:val="22F4686C"/>
    <w:rsid w:val="23193B27"/>
    <w:rsid w:val="231A6657"/>
    <w:rsid w:val="234047FB"/>
    <w:rsid w:val="234D7A8D"/>
    <w:rsid w:val="235A2EF8"/>
    <w:rsid w:val="236B4CFA"/>
    <w:rsid w:val="23925234"/>
    <w:rsid w:val="23A14683"/>
    <w:rsid w:val="23B13E78"/>
    <w:rsid w:val="23C44815"/>
    <w:rsid w:val="23DB5B67"/>
    <w:rsid w:val="23DE58D7"/>
    <w:rsid w:val="23EB70FD"/>
    <w:rsid w:val="23F72984"/>
    <w:rsid w:val="23FC5315"/>
    <w:rsid w:val="24127FE9"/>
    <w:rsid w:val="241B2B57"/>
    <w:rsid w:val="24282EAF"/>
    <w:rsid w:val="242A7CDE"/>
    <w:rsid w:val="2435126F"/>
    <w:rsid w:val="2436430E"/>
    <w:rsid w:val="24376D95"/>
    <w:rsid w:val="243A0784"/>
    <w:rsid w:val="243D7491"/>
    <w:rsid w:val="24455956"/>
    <w:rsid w:val="244D0831"/>
    <w:rsid w:val="24540A05"/>
    <w:rsid w:val="24575689"/>
    <w:rsid w:val="247B1575"/>
    <w:rsid w:val="24A02E76"/>
    <w:rsid w:val="24A25455"/>
    <w:rsid w:val="24A361D8"/>
    <w:rsid w:val="24A93D28"/>
    <w:rsid w:val="24B403E6"/>
    <w:rsid w:val="24B65F0C"/>
    <w:rsid w:val="24C067DA"/>
    <w:rsid w:val="24C7636B"/>
    <w:rsid w:val="24D9609E"/>
    <w:rsid w:val="24E42A36"/>
    <w:rsid w:val="25035EE8"/>
    <w:rsid w:val="250824DF"/>
    <w:rsid w:val="251400E7"/>
    <w:rsid w:val="251610A0"/>
    <w:rsid w:val="25162E4E"/>
    <w:rsid w:val="25184E18"/>
    <w:rsid w:val="251947EC"/>
    <w:rsid w:val="251F2D2D"/>
    <w:rsid w:val="252400D7"/>
    <w:rsid w:val="252E1F46"/>
    <w:rsid w:val="253A082D"/>
    <w:rsid w:val="253F5304"/>
    <w:rsid w:val="254F010E"/>
    <w:rsid w:val="2553347D"/>
    <w:rsid w:val="258124B0"/>
    <w:rsid w:val="259F4BF2"/>
    <w:rsid w:val="25A25540"/>
    <w:rsid w:val="25A7281A"/>
    <w:rsid w:val="25AF6CBE"/>
    <w:rsid w:val="25BD151C"/>
    <w:rsid w:val="25CF79A9"/>
    <w:rsid w:val="25E518C1"/>
    <w:rsid w:val="26052BC0"/>
    <w:rsid w:val="261147D6"/>
    <w:rsid w:val="261A071C"/>
    <w:rsid w:val="26404627"/>
    <w:rsid w:val="26451C3D"/>
    <w:rsid w:val="2667528C"/>
    <w:rsid w:val="2677791D"/>
    <w:rsid w:val="26971D6D"/>
    <w:rsid w:val="26A52068"/>
    <w:rsid w:val="26A821CC"/>
    <w:rsid w:val="26C1219F"/>
    <w:rsid w:val="26C604C0"/>
    <w:rsid w:val="26DC3C24"/>
    <w:rsid w:val="26E256DE"/>
    <w:rsid w:val="26EB531C"/>
    <w:rsid w:val="270B5457"/>
    <w:rsid w:val="27127C4E"/>
    <w:rsid w:val="271635D9"/>
    <w:rsid w:val="273852FE"/>
    <w:rsid w:val="273F5F9F"/>
    <w:rsid w:val="274305E9"/>
    <w:rsid w:val="27480ED7"/>
    <w:rsid w:val="27483F9D"/>
    <w:rsid w:val="274A360B"/>
    <w:rsid w:val="275342F2"/>
    <w:rsid w:val="275B0FEC"/>
    <w:rsid w:val="27692AB9"/>
    <w:rsid w:val="27743E5C"/>
    <w:rsid w:val="27785720"/>
    <w:rsid w:val="27AA05EE"/>
    <w:rsid w:val="27B506FD"/>
    <w:rsid w:val="27BB7821"/>
    <w:rsid w:val="27C70430"/>
    <w:rsid w:val="27CB4689"/>
    <w:rsid w:val="27D16310"/>
    <w:rsid w:val="27D33586"/>
    <w:rsid w:val="27F47C97"/>
    <w:rsid w:val="282547CF"/>
    <w:rsid w:val="28447CD2"/>
    <w:rsid w:val="28593CE0"/>
    <w:rsid w:val="28681C13"/>
    <w:rsid w:val="287C21CB"/>
    <w:rsid w:val="28A434BB"/>
    <w:rsid w:val="28B906C0"/>
    <w:rsid w:val="28D21782"/>
    <w:rsid w:val="29112DAA"/>
    <w:rsid w:val="29152DF2"/>
    <w:rsid w:val="291A59F6"/>
    <w:rsid w:val="291C47AB"/>
    <w:rsid w:val="291C4AAD"/>
    <w:rsid w:val="29300AF6"/>
    <w:rsid w:val="298E38FB"/>
    <w:rsid w:val="29C70504"/>
    <w:rsid w:val="29C81536"/>
    <w:rsid w:val="29D55086"/>
    <w:rsid w:val="29E4176D"/>
    <w:rsid w:val="29E63897"/>
    <w:rsid w:val="29F85218"/>
    <w:rsid w:val="29FD282F"/>
    <w:rsid w:val="2A1831C5"/>
    <w:rsid w:val="2A2D08D8"/>
    <w:rsid w:val="2A3A75DF"/>
    <w:rsid w:val="2A506E02"/>
    <w:rsid w:val="2A522B7B"/>
    <w:rsid w:val="2A68414C"/>
    <w:rsid w:val="2A73489F"/>
    <w:rsid w:val="2A7A03B2"/>
    <w:rsid w:val="2ABA3B39"/>
    <w:rsid w:val="2ABC34C5"/>
    <w:rsid w:val="2ADC0696"/>
    <w:rsid w:val="2AE412F9"/>
    <w:rsid w:val="2AED1D1B"/>
    <w:rsid w:val="2B0025D7"/>
    <w:rsid w:val="2B0A0D5F"/>
    <w:rsid w:val="2B0A1189"/>
    <w:rsid w:val="2B23372B"/>
    <w:rsid w:val="2B253B60"/>
    <w:rsid w:val="2B2A7653"/>
    <w:rsid w:val="2B3B2925"/>
    <w:rsid w:val="2B6E5792"/>
    <w:rsid w:val="2B7F321F"/>
    <w:rsid w:val="2B8535C3"/>
    <w:rsid w:val="2BAF5A0A"/>
    <w:rsid w:val="2BB93165"/>
    <w:rsid w:val="2BC00E3F"/>
    <w:rsid w:val="2BC41856"/>
    <w:rsid w:val="2BDA2E28"/>
    <w:rsid w:val="2BE27F2E"/>
    <w:rsid w:val="2C3167C0"/>
    <w:rsid w:val="2C320353"/>
    <w:rsid w:val="2C3C3385"/>
    <w:rsid w:val="2C69776A"/>
    <w:rsid w:val="2C7F3E5F"/>
    <w:rsid w:val="2C884632"/>
    <w:rsid w:val="2C8903AA"/>
    <w:rsid w:val="2CA6414A"/>
    <w:rsid w:val="2CAB100E"/>
    <w:rsid w:val="2CB457F8"/>
    <w:rsid w:val="2CB5119F"/>
    <w:rsid w:val="2CBD1A36"/>
    <w:rsid w:val="2CC35C05"/>
    <w:rsid w:val="2CCE39C3"/>
    <w:rsid w:val="2D016192"/>
    <w:rsid w:val="2D0E402F"/>
    <w:rsid w:val="2D297497"/>
    <w:rsid w:val="2D6E6C3A"/>
    <w:rsid w:val="2D6F5DB1"/>
    <w:rsid w:val="2D744BB6"/>
    <w:rsid w:val="2D856DC3"/>
    <w:rsid w:val="2D99286E"/>
    <w:rsid w:val="2DAB27D7"/>
    <w:rsid w:val="2DBB340D"/>
    <w:rsid w:val="2DCC2C44"/>
    <w:rsid w:val="2DD438A6"/>
    <w:rsid w:val="2DDC71BD"/>
    <w:rsid w:val="2DE94467"/>
    <w:rsid w:val="2E026666"/>
    <w:rsid w:val="2E04418C"/>
    <w:rsid w:val="2E0D18A7"/>
    <w:rsid w:val="2E2D6E98"/>
    <w:rsid w:val="2E427132"/>
    <w:rsid w:val="2E5A68F3"/>
    <w:rsid w:val="2E5E2993"/>
    <w:rsid w:val="2E624156"/>
    <w:rsid w:val="2E8C6DE5"/>
    <w:rsid w:val="2ECB7580"/>
    <w:rsid w:val="2EDA313F"/>
    <w:rsid w:val="2EE7436B"/>
    <w:rsid w:val="2EEB0EA8"/>
    <w:rsid w:val="2EED5566"/>
    <w:rsid w:val="2EEF4086"/>
    <w:rsid w:val="2F02233A"/>
    <w:rsid w:val="2F144373"/>
    <w:rsid w:val="2F3A4F18"/>
    <w:rsid w:val="2F3B4111"/>
    <w:rsid w:val="2F437F16"/>
    <w:rsid w:val="2F471E49"/>
    <w:rsid w:val="2F546A4D"/>
    <w:rsid w:val="2F5800FF"/>
    <w:rsid w:val="2F6745EE"/>
    <w:rsid w:val="2F6B3D97"/>
    <w:rsid w:val="2F71017C"/>
    <w:rsid w:val="2F940688"/>
    <w:rsid w:val="2F9E5F1A"/>
    <w:rsid w:val="2FAD43AF"/>
    <w:rsid w:val="2FB120F1"/>
    <w:rsid w:val="2FB35E69"/>
    <w:rsid w:val="2FC33BD3"/>
    <w:rsid w:val="2FC5794B"/>
    <w:rsid w:val="2FCE65FE"/>
    <w:rsid w:val="2FD21AC7"/>
    <w:rsid w:val="2FD22068"/>
    <w:rsid w:val="2FD302BA"/>
    <w:rsid w:val="2FD656B4"/>
    <w:rsid w:val="2FDD4C94"/>
    <w:rsid w:val="2FE372E5"/>
    <w:rsid w:val="2FE511E5"/>
    <w:rsid w:val="2FF72603"/>
    <w:rsid w:val="2FFC1274"/>
    <w:rsid w:val="300D4E4E"/>
    <w:rsid w:val="301306B6"/>
    <w:rsid w:val="301616C0"/>
    <w:rsid w:val="301C4EC1"/>
    <w:rsid w:val="30313232"/>
    <w:rsid w:val="30316D8E"/>
    <w:rsid w:val="30324E05"/>
    <w:rsid w:val="303A69A3"/>
    <w:rsid w:val="303E14AB"/>
    <w:rsid w:val="30851CF4"/>
    <w:rsid w:val="308710A4"/>
    <w:rsid w:val="309D6271"/>
    <w:rsid w:val="30A12166"/>
    <w:rsid w:val="30BD0B49"/>
    <w:rsid w:val="30CE5DBC"/>
    <w:rsid w:val="30DD2A72"/>
    <w:rsid w:val="30F4643D"/>
    <w:rsid w:val="31175F84"/>
    <w:rsid w:val="312D4AA6"/>
    <w:rsid w:val="314115B0"/>
    <w:rsid w:val="31442AF1"/>
    <w:rsid w:val="31496359"/>
    <w:rsid w:val="314E47F2"/>
    <w:rsid w:val="31523460"/>
    <w:rsid w:val="318B24CE"/>
    <w:rsid w:val="318C784B"/>
    <w:rsid w:val="319470CE"/>
    <w:rsid w:val="31A1652F"/>
    <w:rsid w:val="31A66DB7"/>
    <w:rsid w:val="31D42A70"/>
    <w:rsid w:val="31DB5204"/>
    <w:rsid w:val="31E806EF"/>
    <w:rsid w:val="32175A53"/>
    <w:rsid w:val="32285192"/>
    <w:rsid w:val="32292413"/>
    <w:rsid w:val="322A5797"/>
    <w:rsid w:val="322C5A5F"/>
    <w:rsid w:val="32352E0B"/>
    <w:rsid w:val="323F2C6D"/>
    <w:rsid w:val="327E1E99"/>
    <w:rsid w:val="3283114D"/>
    <w:rsid w:val="32A7158A"/>
    <w:rsid w:val="32A95302"/>
    <w:rsid w:val="32B83797"/>
    <w:rsid w:val="32B910BD"/>
    <w:rsid w:val="32F04CDF"/>
    <w:rsid w:val="32F56799"/>
    <w:rsid w:val="32F720D2"/>
    <w:rsid w:val="33210306"/>
    <w:rsid w:val="332130EA"/>
    <w:rsid w:val="33597F69"/>
    <w:rsid w:val="33730CED"/>
    <w:rsid w:val="33790A87"/>
    <w:rsid w:val="338D58C0"/>
    <w:rsid w:val="33902CC3"/>
    <w:rsid w:val="33A829B9"/>
    <w:rsid w:val="33A9221C"/>
    <w:rsid w:val="33C120A0"/>
    <w:rsid w:val="33C57F19"/>
    <w:rsid w:val="33C67AF1"/>
    <w:rsid w:val="33CD3272"/>
    <w:rsid w:val="33D15DFC"/>
    <w:rsid w:val="33D44A4F"/>
    <w:rsid w:val="33E52369"/>
    <w:rsid w:val="33EA3E24"/>
    <w:rsid w:val="33F6401E"/>
    <w:rsid w:val="341B3976"/>
    <w:rsid w:val="34215894"/>
    <w:rsid w:val="343917A7"/>
    <w:rsid w:val="344B3822"/>
    <w:rsid w:val="346A03D6"/>
    <w:rsid w:val="346C2A8B"/>
    <w:rsid w:val="346E05B1"/>
    <w:rsid w:val="34735BC7"/>
    <w:rsid w:val="34761214"/>
    <w:rsid w:val="3498317A"/>
    <w:rsid w:val="34A444F8"/>
    <w:rsid w:val="34AC732B"/>
    <w:rsid w:val="34BF0E0C"/>
    <w:rsid w:val="34C218E5"/>
    <w:rsid w:val="34C77CC1"/>
    <w:rsid w:val="34D12E6D"/>
    <w:rsid w:val="34E16FD5"/>
    <w:rsid w:val="34F657F1"/>
    <w:rsid w:val="35056FDB"/>
    <w:rsid w:val="351C625F"/>
    <w:rsid w:val="352430C5"/>
    <w:rsid w:val="352A1B87"/>
    <w:rsid w:val="352B0250"/>
    <w:rsid w:val="3538471B"/>
    <w:rsid w:val="354857DD"/>
    <w:rsid w:val="35491515"/>
    <w:rsid w:val="355002A9"/>
    <w:rsid w:val="35591191"/>
    <w:rsid w:val="355B630F"/>
    <w:rsid w:val="356C2617"/>
    <w:rsid w:val="35780FBB"/>
    <w:rsid w:val="35907231"/>
    <w:rsid w:val="359143DF"/>
    <w:rsid w:val="35977693"/>
    <w:rsid w:val="35A324DC"/>
    <w:rsid w:val="35A91A40"/>
    <w:rsid w:val="35A93699"/>
    <w:rsid w:val="35C82DCB"/>
    <w:rsid w:val="35CA79CF"/>
    <w:rsid w:val="35E11C36"/>
    <w:rsid w:val="35E937D9"/>
    <w:rsid w:val="35EA1EB9"/>
    <w:rsid w:val="35EE5A12"/>
    <w:rsid w:val="35F44186"/>
    <w:rsid w:val="362B7767"/>
    <w:rsid w:val="36357970"/>
    <w:rsid w:val="36502880"/>
    <w:rsid w:val="365E28A7"/>
    <w:rsid w:val="36687282"/>
    <w:rsid w:val="36861E2A"/>
    <w:rsid w:val="368816D2"/>
    <w:rsid w:val="36910587"/>
    <w:rsid w:val="36931675"/>
    <w:rsid w:val="369E4E88"/>
    <w:rsid w:val="36C3183B"/>
    <w:rsid w:val="36CE3589"/>
    <w:rsid w:val="36D57645"/>
    <w:rsid w:val="36D84169"/>
    <w:rsid w:val="36E25286"/>
    <w:rsid w:val="36E357DD"/>
    <w:rsid w:val="36EC1C61"/>
    <w:rsid w:val="370074BA"/>
    <w:rsid w:val="37061D90"/>
    <w:rsid w:val="3723041E"/>
    <w:rsid w:val="372C09BB"/>
    <w:rsid w:val="372E4027"/>
    <w:rsid w:val="373359BC"/>
    <w:rsid w:val="37337890"/>
    <w:rsid w:val="373F38EC"/>
    <w:rsid w:val="37435AD9"/>
    <w:rsid w:val="375515B4"/>
    <w:rsid w:val="377D0B0B"/>
    <w:rsid w:val="37826D14"/>
    <w:rsid w:val="37887BDC"/>
    <w:rsid w:val="378C0ACE"/>
    <w:rsid w:val="378E3483"/>
    <w:rsid w:val="37AE07C9"/>
    <w:rsid w:val="37D050DF"/>
    <w:rsid w:val="37D32856"/>
    <w:rsid w:val="37EA0E8A"/>
    <w:rsid w:val="37F044C4"/>
    <w:rsid w:val="38053E9B"/>
    <w:rsid w:val="38262F51"/>
    <w:rsid w:val="382756A7"/>
    <w:rsid w:val="38330ECB"/>
    <w:rsid w:val="384076A0"/>
    <w:rsid w:val="38546EE5"/>
    <w:rsid w:val="386E0B87"/>
    <w:rsid w:val="387C7014"/>
    <w:rsid w:val="387E0FDF"/>
    <w:rsid w:val="38922057"/>
    <w:rsid w:val="389649D1"/>
    <w:rsid w:val="38A65E3F"/>
    <w:rsid w:val="38AF0094"/>
    <w:rsid w:val="38B62526"/>
    <w:rsid w:val="38CD02C9"/>
    <w:rsid w:val="38D20AB2"/>
    <w:rsid w:val="38E01351"/>
    <w:rsid w:val="38E62960"/>
    <w:rsid w:val="38F24410"/>
    <w:rsid w:val="38F878E3"/>
    <w:rsid w:val="39002C48"/>
    <w:rsid w:val="392A6571"/>
    <w:rsid w:val="392E7CBB"/>
    <w:rsid w:val="39491474"/>
    <w:rsid w:val="394F29FB"/>
    <w:rsid w:val="394F6EEF"/>
    <w:rsid w:val="395D2841"/>
    <w:rsid w:val="3962403C"/>
    <w:rsid w:val="39972389"/>
    <w:rsid w:val="39992370"/>
    <w:rsid w:val="39B623FC"/>
    <w:rsid w:val="39C62C3D"/>
    <w:rsid w:val="39C944DB"/>
    <w:rsid w:val="39E41962"/>
    <w:rsid w:val="39F41C17"/>
    <w:rsid w:val="39F82E28"/>
    <w:rsid w:val="3A0D1D6D"/>
    <w:rsid w:val="3A10210A"/>
    <w:rsid w:val="3A1219DE"/>
    <w:rsid w:val="3A231E3E"/>
    <w:rsid w:val="3A292D35"/>
    <w:rsid w:val="3A426A6B"/>
    <w:rsid w:val="3A444DD8"/>
    <w:rsid w:val="3A4B6C9E"/>
    <w:rsid w:val="3A4E344D"/>
    <w:rsid w:val="3A566C0D"/>
    <w:rsid w:val="3A607317"/>
    <w:rsid w:val="3A62086F"/>
    <w:rsid w:val="3A6855F4"/>
    <w:rsid w:val="3A6C2756"/>
    <w:rsid w:val="3A775CE5"/>
    <w:rsid w:val="3A870D71"/>
    <w:rsid w:val="3A8831B3"/>
    <w:rsid w:val="3A933F70"/>
    <w:rsid w:val="3A96260F"/>
    <w:rsid w:val="3ABC5444"/>
    <w:rsid w:val="3ABE48A4"/>
    <w:rsid w:val="3AC21656"/>
    <w:rsid w:val="3AD27464"/>
    <w:rsid w:val="3AE315CD"/>
    <w:rsid w:val="3AF31810"/>
    <w:rsid w:val="3AFA733F"/>
    <w:rsid w:val="3AFD61EB"/>
    <w:rsid w:val="3B0A35A1"/>
    <w:rsid w:val="3B0B3DCA"/>
    <w:rsid w:val="3B1376D3"/>
    <w:rsid w:val="3B423C35"/>
    <w:rsid w:val="3B497682"/>
    <w:rsid w:val="3B64018B"/>
    <w:rsid w:val="3B691AD2"/>
    <w:rsid w:val="3B732951"/>
    <w:rsid w:val="3B7C13A7"/>
    <w:rsid w:val="3B903503"/>
    <w:rsid w:val="3B9052B1"/>
    <w:rsid w:val="3BAC0F6E"/>
    <w:rsid w:val="3BAC19BF"/>
    <w:rsid w:val="3BB80364"/>
    <w:rsid w:val="3BCE5DD9"/>
    <w:rsid w:val="3BD90747"/>
    <w:rsid w:val="3BDC6748"/>
    <w:rsid w:val="3BE455FD"/>
    <w:rsid w:val="3BF127CF"/>
    <w:rsid w:val="3C1F4F04"/>
    <w:rsid w:val="3C215F09"/>
    <w:rsid w:val="3C2679C3"/>
    <w:rsid w:val="3C28350D"/>
    <w:rsid w:val="3C2B3455"/>
    <w:rsid w:val="3C4452EA"/>
    <w:rsid w:val="3C463BC1"/>
    <w:rsid w:val="3C464141"/>
    <w:rsid w:val="3C502C92"/>
    <w:rsid w:val="3C6978B0"/>
    <w:rsid w:val="3C7A4FBF"/>
    <w:rsid w:val="3C8A1D00"/>
    <w:rsid w:val="3C8A61A4"/>
    <w:rsid w:val="3C8F37BA"/>
    <w:rsid w:val="3C907C41"/>
    <w:rsid w:val="3CBE7C2A"/>
    <w:rsid w:val="3CC72F54"/>
    <w:rsid w:val="3CFA149C"/>
    <w:rsid w:val="3D006466"/>
    <w:rsid w:val="3D123350"/>
    <w:rsid w:val="3D21089D"/>
    <w:rsid w:val="3D3A1978"/>
    <w:rsid w:val="3D4C5207"/>
    <w:rsid w:val="3D516CC2"/>
    <w:rsid w:val="3D670293"/>
    <w:rsid w:val="3D6C3AFB"/>
    <w:rsid w:val="3D7209B7"/>
    <w:rsid w:val="3D74475E"/>
    <w:rsid w:val="3D85696B"/>
    <w:rsid w:val="3DCD3D2E"/>
    <w:rsid w:val="3DD54B04"/>
    <w:rsid w:val="3DE10046"/>
    <w:rsid w:val="3DFF04CC"/>
    <w:rsid w:val="3E1675C3"/>
    <w:rsid w:val="3E2E290C"/>
    <w:rsid w:val="3E481E73"/>
    <w:rsid w:val="3E593570"/>
    <w:rsid w:val="3E695620"/>
    <w:rsid w:val="3E702A28"/>
    <w:rsid w:val="3E7129E2"/>
    <w:rsid w:val="3E9C1A5E"/>
    <w:rsid w:val="3EB048E1"/>
    <w:rsid w:val="3EBF1A09"/>
    <w:rsid w:val="3ED90D1D"/>
    <w:rsid w:val="3EDC1021"/>
    <w:rsid w:val="3EF73D4C"/>
    <w:rsid w:val="3F0E6C52"/>
    <w:rsid w:val="3F3643C1"/>
    <w:rsid w:val="3F446ADE"/>
    <w:rsid w:val="3F4A3BF3"/>
    <w:rsid w:val="3F4F42DC"/>
    <w:rsid w:val="3F7136FE"/>
    <w:rsid w:val="3F984A9B"/>
    <w:rsid w:val="3F9C7353"/>
    <w:rsid w:val="3F9D7F9C"/>
    <w:rsid w:val="3FAD55A0"/>
    <w:rsid w:val="3FBD6E1D"/>
    <w:rsid w:val="3FBF43B6"/>
    <w:rsid w:val="3FC079B0"/>
    <w:rsid w:val="3FD15600"/>
    <w:rsid w:val="3FD57736"/>
    <w:rsid w:val="3FE42B8F"/>
    <w:rsid w:val="3FE67B95"/>
    <w:rsid w:val="3FEC2C74"/>
    <w:rsid w:val="4010076E"/>
    <w:rsid w:val="40104060"/>
    <w:rsid w:val="401D2E8B"/>
    <w:rsid w:val="403170D2"/>
    <w:rsid w:val="40690EF3"/>
    <w:rsid w:val="40827192"/>
    <w:rsid w:val="40866647"/>
    <w:rsid w:val="40880C4C"/>
    <w:rsid w:val="408C2B44"/>
    <w:rsid w:val="40A11D0E"/>
    <w:rsid w:val="40D572C9"/>
    <w:rsid w:val="40D8488C"/>
    <w:rsid w:val="41005AE4"/>
    <w:rsid w:val="41087276"/>
    <w:rsid w:val="41197AF4"/>
    <w:rsid w:val="411D7259"/>
    <w:rsid w:val="41320BB8"/>
    <w:rsid w:val="41385DCA"/>
    <w:rsid w:val="413875BE"/>
    <w:rsid w:val="413E57AF"/>
    <w:rsid w:val="414546A9"/>
    <w:rsid w:val="41456B3D"/>
    <w:rsid w:val="414A1AA2"/>
    <w:rsid w:val="41586871"/>
    <w:rsid w:val="41650FF7"/>
    <w:rsid w:val="41676AB4"/>
    <w:rsid w:val="41763DF0"/>
    <w:rsid w:val="41833D2F"/>
    <w:rsid w:val="41867FAB"/>
    <w:rsid w:val="418D5088"/>
    <w:rsid w:val="41A4122D"/>
    <w:rsid w:val="41B63597"/>
    <w:rsid w:val="41C757A4"/>
    <w:rsid w:val="41D03195"/>
    <w:rsid w:val="41D42244"/>
    <w:rsid w:val="41FF6CEC"/>
    <w:rsid w:val="420B2761"/>
    <w:rsid w:val="42104030"/>
    <w:rsid w:val="42310387"/>
    <w:rsid w:val="423F2F75"/>
    <w:rsid w:val="424010B3"/>
    <w:rsid w:val="424741EF"/>
    <w:rsid w:val="428656E6"/>
    <w:rsid w:val="429A4C67"/>
    <w:rsid w:val="429E1CC4"/>
    <w:rsid w:val="42A93E23"/>
    <w:rsid w:val="42B126F4"/>
    <w:rsid w:val="42C955C4"/>
    <w:rsid w:val="42CB7E13"/>
    <w:rsid w:val="42D068DB"/>
    <w:rsid w:val="42DD6902"/>
    <w:rsid w:val="42F02A85"/>
    <w:rsid w:val="42F67231"/>
    <w:rsid w:val="43086074"/>
    <w:rsid w:val="431A1904"/>
    <w:rsid w:val="431F6B77"/>
    <w:rsid w:val="43254E0A"/>
    <w:rsid w:val="432F6182"/>
    <w:rsid w:val="435117C9"/>
    <w:rsid w:val="43590F9F"/>
    <w:rsid w:val="43682374"/>
    <w:rsid w:val="43752C59"/>
    <w:rsid w:val="43776D56"/>
    <w:rsid w:val="439B47F0"/>
    <w:rsid w:val="439C4B3A"/>
    <w:rsid w:val="43DA3242"/>
    <w:rsid w:val="43EC14F2"/>
    <w:rsid w:val="43EE0705"/>
    <w:rsid w:val="43F92974"/>
    <w:rsid w:val="440B20A3"/>
    <w:rsid w:val="440D50C0"/>
    <w:rsid w:val="44164CE1"/>
    <w:rsid w:val="442476DF"/>
    <w:rsid w:val="44337121"/>
    <w:rsid w:val="4464552C"/>
    <w:rsid w:val="44727C49"/>
    <w:rsid w:val="447C6FB3"/>
    <w:rsid w:val="447D65EE"/>
    <w:rsid w:val="4488746D"/>
    <w:rsid w:val="44C549B1"/>
    <w:rsid w:val="44DA6522"/>
    <w:rsid w:val="44E346A3"/>
    <w:rsid w:val="44E97623"/>
    <w:rsid w:val="44F05012"/>
    <w:rsid w:val="44F87A23"/>
    <w:rsid w:val="45036AF3"/>
    <w:rsid w:val="45050ABD"/>
    <w:rsid w:val="45140605"/>
    <w:rsid w:val="45140D01"/>
    <w:rsid w:val="45357EA7"/>
    <w:rsid w:val="45381F6A"/>
    <w:rsid w:val="453E579E"/>
    <w:rsid w:val="45470B7B"/>
    <w:rsid w:val="45742F73"/>
    <w:rsid w:val="457B0D80"/>
    <w:rsid w:val="457C56D2"/>
    <w:rsid w:val="45863281"/>
    <w:rsid w:val="458D2861"/>
    <w:rsid w:val="45930FD8"/>
    <w:rsid w:val="45C53DA9"/>
    <w:rsid w:val="460D6DBB"/>
    <w:rsid w:val="46210503"/>
    <w:rsid w:val="464473C4"/>
    <w:rsid w:val="464718FA"/>
    <w:rsid w:val="464D7C37"/>
    <w:rsid w:val="465B295F"/>
    <w:rsid w:val="466054DD"/>
    <w:rsid w:val="46630BE5"/>
    <w:rsid w:val="46647A66"/>
    <w:rsid w:val="4665558C"/>
    <w:rsid w:val="46767799"/>
    <w:rsid w:val="46831360"/>
    <w:rsid w:val="468D4D64"/>
    <w:rsid w:val="469320F9"/>
    <w:rsid w:val="46B10A69"/>
    <w:rsid w:val="46CE00E2"/>
    <w:rsid w:val="46DF533E"/>
    <w:rsid w:val="46F72221"/>
    <w:rsid w:val="470131A0"/>
    <w:rsid w:val="47017063"/>
    <w:rsid w:val="4731733A"/>
    <w:rsid w:val="474F4756"/>
    <w:rsid w:val="4750610E"/>
    <w:rsid w:val="475073D7"/>
    <w:rsid w:val="47523D62"/>
    <w:rsid w:val="47577409"/>
    <w:rsid w:val="475C698F"/>
    <w:rsid w:val="475E6263"/>
    <w:rsid w:val="47635AD3"/>
    <w:rsid w:val="47714285"/>
    <w:rsid w:val="4790481A"/>
    <w:rsid w:val="47924226"/>
    <w:rsid w:val="479E6FA7"/>
    <w:rsid w:val="47B7562E"/>
    <w:rsid w:val="47C12F04"/>
    <w:rsid w:val="47CA56A6"/>
    <w:rsid w:val="480F1EC9"/>
    <w:rsid w:val="481B0684"/>
    <w:rsid w:val="481D7ECC"/>
    <w:rsid w:val="481E3C44"/>
    <w:rsid w:val="482254E2"/>
    <w:rsid w:val="4828061F"/>
    <w:rsid w:val="48496975"/>
    <w:rsid w:val="484C6A03"/>
    <w:rsid w:val="48544469"/>
    <w:rsid w:val="48643D4D"/>
    <w:rsid w:val="4893018E"/>
    <w:rsid w:val="48A524D6"/>
    <w:rsid w:val="48AE6D76"/>
    <w:rsid w:val="48B107FE"/>
    <w:rsid w:val="48B55B04"/>
    <w:rsid w:val="48BE3A78"/>
    <w:rsid w:val="48D31CFC"/>
    <w:rsid w:val="48E3079F"/>
    <w:rsid w:val="48FA4DDF"/>
    <w:rsid w:val="490A3D86"/>
    <w:rsid w:val="490C7F41"/>
    <w:rsid w:val="491C4628"/>
    <w:rsid w:val="4923197F"/>
    <w:rsid w:val="49253E0D"/>
    <w:rsid w:val="49261002"/>
    <w:rsid w:val="49757894"/>
    <w:rsid w:val="497B21FD"/>
    <w:rsid w:val="49845D29"/>
    <w:rsid w:val="498A5FA0"/>
    <w:rsid w:val="49900E4D"/>
    <w:rsid w:val="499235A7"/>
    <w:rsid w:val="499D55DA"/>
    <w:rsid w:val="49B74350"/>
    <w:rsid w:val="49BA174B"/>
    <w:rsid w:val="49BF787B"/>
    <w:rsid w:val="49C34AA3"/>
    <w:rsid w:val="49E8254F"/>
    <w:rsid w:val="49F106EA"/>
    <w:rsid w:val="4A113A61"/>
    <w:rsid w:val="4A1505F1"/>
    <w:rsid w:val="4A235542"/>
    <w:rsid w:val="4A2914F0"/>
    <w:rsid w:val="4A4C6847"/>
    <w:rsid w:val="4A51799A"/>
    <w:rsid w:val="4A5676C5"/>
    <w:rsid w:val="4A6F2535"/>
    <w:rsid w:val="4A7624AE"/>
    <w:rsid w:val="4A8F2B15"/>
    <w:rsid w:val="4ABD7744"/>
    <w:rsid w:val="4AD26874"/>
    <w:rsid w:val="4AD2726D"/>
    <w:rsid w:val="4AD37E33"/>
    <w:rsid w:val="4AE90539"/>
    <w:rsid w:val="4AEE6C7F"/>
    <w:rsid w:val="4AF02A1A"/>
    <w:rsid w:val="4AFF3C9F"/>
    <w:rsid w:val="4B180E1F"/>
    <w:rsid w:val="4B1A277C"/>
    <w:rsid w:val="4B456126"/>
    <w:rsid w:val="4B486B70"/>
    <w:rsid w:val="4B590614"/>
    <w:rsid w:val="4B5E7FC8"/>
    <w:rsid w:val="4B6127C6"/>
    <w:rsid w:val="4B7047B7"/>
    <w:rsid w:val="4B7517C6"/>
    <w:rsid w:val="4B773D97"/>
    <w:rsid w:val="4B871B00"/>
    <w:rsid w:val="4BBA1ED6"/>
    <w:rsid w:val="4BED333F"/>
    <w:rsid w:val="4C243FFB"/>
    <w:rsid w:val="4C340840"/>
    <w:rsid w:val="4C4023DB"/>
    <w:rsid w:val="4C60248D"/>
    <w:rsid w:val="4C6D519A"/>
    <w:rsid w:val="4C757275"/>
    <w:rsid w:val="4C8B5A37"/>
    <w:rsid w:val="4C934C01"/>
    <w:rsid w:val="4CB3795B"/>
    <w:rsid w:val="4CB90A69"/>
    <w:rsid w:val="4CCE170B"/>
    <w:rsid w:val="4CCE651D"/>
    <w:rsid w:val="4CD051E4"/>
    <w:rsid w:val="4CE216E4"/>
    <w:rsid w:val="4CE77282"/>
    <w:rsid w:val="4CEF5BAF"/>
    <w:rsid w:val="4CF55DDD"/>
    <w:rsid w:val="4CF6653F"/>
    <w:rsid w:val="4CF66F3E"/>
    <w:rsid w:val="4D21197D"/>
    <w:rsid w:val="4D3A507C"/>
    <w:rsid w:val="4D674478"/>
    <w:rsid w:val="4D6D5452"/>
    <w:rsid w:val="4D7467B7"/>
    <w:rsid w:val="4D897DB2"/>
    <w:rsid w:val="4D8E76F0"/>
    <w:rsid w:val="4D902EEE"/>
    <w:rsid w:val="4D941AB6"/>
    <w:rsid w:val="4D950505"/>
    <w:rsid w:val="4DE35714"/>
    <w:rsid w:val="4E0845BC"/>
    <w:rsid w:val="4E140649"/>
    <w:rsid w:val="4E1E674C"/>
    <w:rsid w:val="4E4D0DDF"/>
    <w:rsid w:val="4E677F11"/>
    <w:rsid w:val="4E6860D1"/>
    <w:rsid w:val="4E6A1991"/>
    <w:rsid w:val="4E7B2218"/>
    <w:rsid w:val="4E8A1358"/>
    <w:rsid w:val="4EBD41B7"/>
    <w:rsid w:val="4ED137BE"/>
    <w:rsid w:val="4ED41501"/>
    <w:rsid w:val="4EE05A78"/>
    <w:rsid w:val="4EF922EB"/>
    <w:rsid w:val="4F1E507C"/>
    <w:rsid w:val="4F2E0C11"/>
    <w:rsid w:val="4F5569E7"/>
    <w:rsid w:val="4F61663F"/>
    <w:rsid w:val="4F624D5E"/>
    <w:rsid w:val="4F665BF0"/>
    <w:rsid w:val="4F7F4C1F"/>
    <w:rsid w:val="4F97191D"/>
    <w:rsid w:val="4F9B5916"/>
    <w:rsid w:val="4F9C19A5"/>
    <w:rsid w:val="4FC85097"/>
    <w:rsid w:val="4FC91C15"/>
    <w:rsid w:val="4FE20C84"/>
    <w:rsid w:val="4FE453DF"/>
    <w:rsid w:val="4FF25D0D"/>
    <w:rsid w:val="4FF64F2D"/>
    <w:rsid w:val="4FFE1D44"/>
    <w:rsid w:val="50021977"/>
    <w:rsid w:val="50041972"/>
    <w:rsid w:val="50055E16"/>
    <w:rsid w:val="50142147"/>
    <w:rsid w:val="50223F1C"/>
    <w:rsid w:val="50245B70"/>
    <w:rsid w:val="50402C22"/>
    <w:rsid w:val="50447FC0"/>
    <w:rsid w:val="50772E93"/>
    <w:rsid w:val="508D38B6"/>
    <w:rsid w:val="50AD7D73"/>
    <w:rsid w:val="50D457E8"/>
    <w:rsid w:val="50E05F3B"/>
    <w:rsid w:val="51047380"/>
    <w:rsid w:val="51124B2F"/>
    <w:rsid w:val="5118337F"/>
    <w:rsid w:val="511A2CB0"/>
    <w:rsid w:val="511C3C88"/>
    <w:rsid w:val="51273B6A"/>
    <w:rsid w:val="51334A27"/>
    <w:rsid w:val="513C773E"/>
    <w:rsid w:val="51414079"/>
    <w:rsid w:val="5144296E"/>
    <w:rsid w:val="5153495F"/>
    <w:rsid w:val="515B3813"/>
    <w:rsid w:val="51613C29"/>
    <w:rsid w:val="516C5A20"/>
    <w:rsid w:val="519311FF"/>
    <w:rsid w:val="51982002"/>
    <w:rsid w:val="519A07DF"/>
    <w:rsid w:val="519C66E5"/>
    <w:rsid w:val="519D0246"/>
    <w:rsid w:val="51A55F47"/>
    <w:rsid w:val="51A927D1"/>
    <w:rsid w:val="51AF7918"/>
    <w:rsid w:val="51B1634B"/>
    <w:rsid w:val="51B3364F"/>
    <w:rsid w:val="51B955D7"/>
    <w:rsid w:val="51BE0B1B"/>
    <w:rsid w:val="51C8534D"/>
    <w:rsid w:val="51D33CF1"/>
    <w:rsid w:val="51DE1E78"/>
    <w:rsid w:val="51F355B1"/>
    <w:rsid w:val="51F53C68"/>
    <w:rsid w:val="51F55A16"/>
    <w:rsid w:val="51F84318"/>
    <w:rsid w:val="52004EB2"/>
    <w:rsid w:val="5208025E"/>
    <w:rsid w:val="520A0528"/>
    <w:rsid w:val="521C7446"/>
    <w:rsid w:val="52270592"/>
    <w:rsid w:val="52302EF2"/>
    <w:rsid w:val="52354064"/>
    <w:rsid w:val="52521CF7"/>
    <w:rsid w:val="52564BD9"/>
    <w:rsid w:val="526669A8"/>
    <w:rsid w:val="52675B8D"/>
    <w:rsid w:val="52720E14"/>
    <w:rsid w:val="527241AD"/>
    <w:rsid w:val="528B0206"/>
    <w:rsid w:val="52912185"/>
    <w:rsid w:val="529B6AB0"/>
    <w:rsid w:val="52AA4A52"/>
    <w:rsid w:val="52B71E63"/>
    <w:rsid w:val="52CD6993"/>
    <w:rsid w:val="52D54110"/>
    <w:rsid w:val="52DD67AD"/>
    <w:rsid w:val="52EB3254"/>
    <w:rsid w:val="52F0216A"/>
    <w:rsid w:val="52F57B6D"/>
    <w:rsid w:val="530D4FE1"/>
    <w:rsid w:val="53146370"/>
    <w:rsid w:val="534B4B65"/>
    <w:rsid w:val="534F73A8"/>
    <w:rsid w:val="537E71F5"/>
    <w:rsid w:val="539A6875"/>
    <w:rsid w:val="53A94D0A"/>
    <w:rsid w:val="53B13BBE"/>
    <w:rsid w:val="53CE4211"/>
    <w:rsid w:val="53D02297"/>
    <w:rsid w:val="53D87852"/>
    <w:rsid w:val="53E775E0"/>
    <w:rsid w:val="53E9082C"/>
    <w:rsid w:val="53EC7FFD"/>
    <w:rsid w:val="53FE630D"/>
    <w:rsid w:val="540B32CF"/>
    <w:rsid w:val="544833A9"/>
    <w:rsid w:val="5478258E"/>
    <w:rsid w:val="54880235"/>
    <w:rsid w:val="54A974FB"/>
    <w:rsid w:val="54B351DD"/>
    <w:rsid w:val="54CF07A0"/>
    <w:rsid w:val="54D20290"/>
    <w:rsid w:val="54D6063B"/>
    <w:rsid w:val="54DD4F41"/>
    <w:rsid w:val="54E50F2B"/>
    <w:rsid w:val="54F46E96"/>
    <w:rsid w:val="55006861"/>
    <w:rsid w:val="55036ED6"/>
    <w:rsid w:val="550F6DEF"/>
    <w:rsid w:val="555107F4"/>
    <w:rsid w:val="555D5DAC"/>
    <w:rsid w:val="55701B80"/>
    <w:rsid w:val="557B0928"/>
    <w:rsid w:val="55833339"/>
    <w:rsid w:val="55AF5AA4"/>
    <w:rsid w:val="55B300C2"/>
    <w:rsid w:val="55BA446A"/>
    <w:rsid w:val="55D83373"/>
    <w:rsid w:val="55DC74FE"/>
    <w:rsid w:val="55E93AE3"/>
    <w:rsid w:val="55EC6DB5"/>
    <w:rsid w:val="55F313CB"/>
    <w:rsid w:val="55FB7373"/>
    <w:rsid w:val="55FF6024"/>
    <w:rsid w:val="560A6E01"/>
    <w:rsid w:val="56194AE8"/>
    <w:rsid w:val="56222B52"/>
    <w:rsid w:val="56503B63"/>
    <w:rsid w:val="56585942"/>
    <w:rsid w:val="567F4314"/>
    <w:rsid w:val="56811F6E"/>
    <w:rsid w:val="56835CE6"/>
    <w:rsid w:val="56892BD1"/>
    <w:rsid w:val="568E5C3E"/>
    <w:rsid w:val="56AE2637"/>
    <w:rsid w:val="56B0015D"/>
    <w:rsid w:val="56B93A91"/>
    <w:rsid w:val="56CF056A"/>
    <w:rsid w:val="56E60DBD"/>
    <w:rsid w:val="56E86E32"/>
    <w:rsid w:val="56EB24D4"/>
    <w:rsid w:val="56FA762A"/>
    <w:rsid w:val="5760451C"/>
    <w:rsid w:val="57801E13"/>
    <w:rsid w:val="57882E88"/>
    <w:rsid w:val="57895F76"/>
    <w:rsid w:val="57945CD1"/>
    <w:rsid w:val="57A35F14"/>
    <w:rsid w:val="57B1418D"/>
    <w:rsid w:val="57BB500C"/>
    <w:rsid w:val="57C04C42"/>
    <w:rsid w:val="57C05BB6"/>
    <w:rsid w:val="57FD67FD"/>
    <w:rsid w:val="58020E8D"/>
    <w:rsid w:val="58107E5B"/>
    <w:rsid w:val="58136BF6"/>
    <w:rsid w:val="582155A3"/>
    <w:rsid w:val="58313520"/>
    <w:rsid w:val="58541A16"/>
    <w:rsid w:val="5875340D"/>
    <w:rsid w:val="5891404B"/>
    <w:rsid w:val="58AB6E2E"/>
    <w:rsid w:val="58B73A25"/>
    <w:rsid w:val="58C3061C"/>
    <w:rsid w:val="58DA7713"/>
    <w:rsid w:val="58DF2F7C"/>
    <w:rsid w:val="58E37F7D"/>
    <w:rsid w:val="58E95BA9"/>
    <w:rsid w:val="59046067"/>
    <w:rsid w:val="591E60D4"/>
    <w:rsid w:val="59280550"/>
    <w:rsid w:val="593911D9"/>
    <w:rsid w:val="593C3F2A"/>
    <w:rsid w:val="59402DF8"/>
    <w:rsid w:val="59467416"/>
    <w:rsid w:val="59494873"/>
    <w:rsid w:val="594A6647"/>
    <w:rsid w:val="5954396A"/>
    <w:rsid w:val="59583803"/>
    <w:rsid w:val="5989485A"/>
    <w:rsid w:val="598A738C"/>
    <w:rsid w:val="599975CF"/>
    <w:rsid w:val="59B63CDD"/>
    <w:rsid w:val="59B83EF9"/>
    <w:rsid w:val="59C07DE9"/>
    <w:rsid w:val="59DD395F"/>
    <w:rsid w:val="59E62C66"/>
    <w:rsid w:val="59ED3476"/>
    <w:rsid w:val="5A032C9A"/>
    <w:rsid w:val="5A19592A"/>
    <w:rsid w:val="5A1E4797"/>
    <w:rsid w:val="5A511C57"/>
    <w:rsid w:val="5A5135DB"/>
    <w:rsid w:val="5A54256A"/>
    <w:rsid w:val="5A551748"/>
    <w:rsid w:val="5A56726E"/>
    <w:rsid w:val="5A6E2809"/>
    <w:rsid w:val="5A81166F"/>
    <w:rsid w:val="5ABA3CA0"/>
    <w:rsid w:val="5AE64834"/>
    <w:rsid w:val="5AEF1794"/>
    <w:rsid w:val="5AF244C1"/>
    <w:rsid w:val="5AF70A51"/>
    <w:rsid w:val="5AFF3461"/>
    <w:rsid w:val="5B0872C1"/>
    <w:rsid w:val="5B0942E0"/>
    <w:rsid w:val="5B1F58B2"/>
    <w:rsid w:val="5B322018"/>
    <w:rsid w:val="5B3823B7"/>
    <w:rsid w:val="5B3E3803"/>
    <w:rsid w:val="5B635A41"/>
    <w:rsid w:val="5B842E95"/>
    <w:rsid w:val="5B916BCE"/>
    <w:rsid w:val="5BD91F04"/>
    <w:rsid w:val="5BE82147"/>
    <w:rsid w:val="5BEC60DC"/>
    <w:rsid w:val="5C0576C3"/>
    <w:rsid w:val="5C0A074F"/>
    <w:rsid w:val="5C301505"/>
    <w:rsid w:val="5C501215"/>
    <w:rsid w:val="5C50666A"/>
    <w:rsid w:val="5C5E240A"/>
    <w:rsid w:val="5C684390"/>
    <w:rsid w:val="5C9B5DFF"/>
    <w:rsid w:val="5CA02A22"/>
    <w:rsid w:val="5CA91F7D"/>
    <w:rsid w:val="5CC26E3C"/>
    <w:rsid w:val="5CCB5CF1"/>
    <w:rsid w:val="5CD66E65"/>
    <w:rsid w:val="5CF254AC"/>
    <w:rsid w:val="5CFC3B45"/>
    <w:rsid w:val="5D0362F6"/>
    <w:rsid w:val="5D435D1D"/>
    <w:rsid w:val="5D516452"/>
    <w:rsid w:val="5D526F36"/>
    <w:rsid w:val="5D5E6B65"/>
    <w:rsid w:val="5D6259C1"/>
    <w:rsid w:val="5D632EFA"/>
    <w:rsid w:val="5D690E75"/>
    <w:rsid w:val="5D7063C4"/>
    <w:rsid w:val="5D9B42F2"/>
    <w:rsid w:val="5D9C0081"/>
    <w:rsid w:val="5DAB08CE"/>
    <w:rsid w:val="5DB04EE7"/>
    <w:rsid w:val="5DCA7D57"/>
    <w:rsid w:val="5DD75C21"/>
    <w:rsid w:val="5DE11544"/>
    <w:rsid w:val="5E117EE7"/>
    <w:rsid w:val="5E1B0E78"/>
    <w:rsid w:val="5E2762C8"/>
    <w:rsid w:val="5E302281"/>
    <w:rsid w:val="5E40270F"/>
    <w:rsid w:val="5E4C006B"/>
    <w:rsid w:val="5E547B8C"/>
    <w:rsid w:val="5E76340E"/>
    <w:rsid w:val="5E940988"/>
    <w:rsid w:val="5E960581"/>
    <w:rsid w:val="5E961EBA"/>
    <w:rsid w:val="5E9B7945"/>
    <w:rsid w:val="5EAB402C"/>
    <w:rsid w:val="5EC452BA"/>
    <w:rsid w:val="5ECB256E"/>
    <w:rsid w:val="5EF07C91"/>
    <w:rsid w:val="5EF77271"/>
    <w:rsid w:val="5EFA2901"/>
    <w:rsid w:val="5F042F2A"/>
    <w:rsid w:val="5F047298"/>
    <w:rsid w:val="5F083D22"/>
    <w:rsid w:val="5F1A4D0E"/>
    <w:rsid w:val="5F3A53B0"/>
    <w:rsid w:val="5F48187B"/>
    <w:rsid w:val="5F50013D"/>
    <w:rsid w:val="5F812FDF"/>
    <w:rsid w:val="5FB52C88"/>
    <w:rsid w:val="5FE5531C"/>
    <w:rsid w:val="60011A2A"/>
    <w:rsid w:val="601817BC"/>
    <w:rsid w:val="60232682"/>
    <w:rsid w:val="60245373"/>
    <w:rsid w:val="60255718"/>
    <w:rsid w:val="60663A3F"/>
    <w:rsid w:val="60677969"/>
    <w:rsid w:val="608B572B"/>
    <w:rsid w:val="60C96466"/>
    <w:rsid w:val="60CC7E86"/>
    <w:rsid w:val="60F15F42"/>
    <w:rsid w:val="6118702B"/>
    <w:rsid w:val="612A65A7"/>
    <w:rsid w:val="61310D3F"/>
    <w:rsid w:val="615C7B9A"/>
    <w:rsid w:val="615E15D5"/>
    <w:rsid w:val="615F2EAC"/>
    <w:rsid w:val="61641B17"/>
    <w:rsid w:val="61730705"/>
    <w:rsid w:val="6188055B"/>
    <w:rsid w:val="618B5A4F"/>
    <w:rsid w:val="61A66D2D"/>
    <w:rsid w:val="61A80DBC"/>
    <w:rsid w:val="61C26A62"/>
    <w:rsid w:val="61C27CFA"/>
    <w:rsid w:val="61E6537B"/>
    <w:rsid w:val="61EF6237"/>
    <w:rsid w:val="61FC06FB"/>
    <w:rsid w:val="620A1069"/>
    <w:rsid w:val="62635BBE"/>
    <w:rsid w:val="626A5FAC"/>
    <w:rsid w:val="62A212A9"/>
    <w:rsid w:val="62B44E59"/>
    <w:rsid w:val="62CA25A7"/>
    <w:rsid w:val="62DD64D1"/>
    <w:rsid w:val="62F84A04"/>
    <w:rsid w:val="62FB2665"/>
    <w:rsid w:val="632E2B36"/>
    <w:rsid w:val="633560EC"/>
    <w:rsid w:val="633A096E"/>
    <w:rsid w:val="633F7151"/>
    <w:rsid w:val="637C7D45"/>
    <w:rsid w:val="63BF6D95"/>
    <w:rsid w:val="63D23E09"/>
    <w:rsid w:val="63D74F7B"/>
    <w:rsid w:val="63E7596B"/>
    <w:rsid w:val="64106C79"/>
    <w:rsid w:val="642312EE"/>
    <w:rsid w:val="645647B2"/>
    <w:rsid w:val="645962D8"/>
    <w:rsid w:val="6463038A"/>
    <w:rsid w:val="64713622"/>
    <w:rsid w:val="64B55A0B"/>
    <w:rsid w:val="64D15E6F"/>
    <w:rsid w:val="64DD0CB7"/>
    <w:rsid w:val="64F20433"/>
    <w:rsid w:val="64F87BAD"/>
    <w:rsid w:val="65023F39"/>
    <w:rsid w:val="650F6997"/>
    <w:rsid w:val="65273CE0"/>
    <w:rsid w:val="653F6E81"/>
    <w:rsid w:val="6554084E"/>
    <w:rsid w:val="65622CB8"/>
    <w:rsid w:val="65953340"/>
    <w:rsid w:val="65B14310"/>
    <w:rsid w:val="65CF2D67"/>
    <w:rsid w:val="65DC6546"/>
    <w:rsid w:val="65F8742B"/>
    <w:rsid w:val="66232F4B"/>
    <w:rsid w:val="66244873"/>
    <w:rsid w:val="663C37BC"/>
    <w:rsid w:val="6646288C"/>
    <w:rsid w:val="66480B51"/>
    <w:rsid w:val="665925BF"/>
    <w:rsid w:val="667B0788"/>
    <w:rsid w:val="66996E60"/>
    <w:rsid w:val="66A650D9"/>
    <w:rsid w:val="66CA69AA"/>
    <w:rsid w:val="66E25E96"/>
    <w:rsid w:val="66F03D00"/>
    <w:rsid w:val="66F0420C"/>
    <w:rsid w:val="66F10E76"/>
    <w:rsid w:val="670C13E0"/>
    <w:rsid w:val="671320F4"/>
    <w:rsid w:val="67136C12"/>
    <w:rsid w:val="67236729"/>
    <w:rsid w:val="672A6F03"/>
    <w:rsid w:val="67432343"/>
    <w:rsid w:val="6744015F"/>
    <w:rsid w:val="674F332C"/>
    <w:rsid w:val="677B2349"/>
    <w:rsid w:val="678D4320"/>
    <w:rsid w:val="67AB7F2B"/>
    <w:rsid w:val="67B53825"/>
    <w:rsid w:val="67C1041C"/>
    <w:rsid w:val="67C779FD"/>
    <w:rsid w:val="67D16185"/>
    <w:rsid w:val="67D2228D"/>
    <w:rsid w:val="67D37DB1"/>
    <w:rsid w:val="67E04216"/>
    <w:rsid w:val="67EB673F"/>
    <w:rsid w:val="680A6878"/>
    <w:rsid w:val="6813679E"/>
    <w:rsid w:val="681B1547"/>
    <w:rsid w:val="683D381B"/>
    <w:rsid w:val="68531D93"/>
    <w:rsid w:val="68703BF0"/>
    <w:rsid w:val="68712388"/>
    <w:rsid w:val="687E630D"/>
    <w:rsid w:val="688C6D2B"/>
    <w:rsid w:val="68A005A3"/>
    <w:rsid w:val="68AC5DC4"/>
    <w:rsid w:val="68BF2DA5"/>
    <w:rsid w:val="68CA1544"/>
    <w:rsid w:val="68D17B24"/>
    <w:rsid w:val="68DC4DE2"/>
    <w:rsid w:val="68DE1FDB"/>
    <w:rsid w:val="68F04E42"/>
    <w:rsid w:val="68F44821"/>
    <w:rsid w:val="69004F74"/>
    <w:rsid w:val="69006D1A"/>
    <w:rsid w:val="69145F46"/>
    <w:rsid w:val="692E1A82"/>
    <w:rsid w:val="6938470E"/>
    <w:rsid w:val="693A2F24"/>
    <w:rsid w:val="69567DE6"/>
    <w:rsid w:val="6959639C"/>
    <w:rsid w:val="69711DBA"/>
    <w:rsid w:val="6981553F"/>
    <w:rsid w:val="699072CB"/>
    <w:rsid w:val="699F0F33"/>
    <w:rsid w:val="69C30066"/>
    <w:rsid w:val="69FA5E67"/>
    <w:rsid w:val="6A024730"/>
    <w:rsid w:val="6A026ACA"/>
    <w:rsid w:val="6A29714A"/>
    <w:rsid w:val="6A3053E5"/>
    <w:rsid w:val="6A331379"/>
    <w:rsid w:val="6A4F3BAC"/>
    <w:rsid w:val="6A5D1ACA"/>
    <w:rsid w:val="6A5E2899"/>
    <w:rsid w:val="6A6131FB"/>
    <w:rsid w:val="6A6D488B"/>
    <w:rsid w:val="6A6E23B2"/>
    <w:rsid w:val="6A99722F"/>
    <w:rsid w:val="6AA30BEA"/>
    <w:rsid w:val="6AB75A8A"/>
    <w:rsid w:val="6AC00E5F"/>
    <w:rsid w:val="6ADE0BE1"/>
    <w:rsid w:val="6AE306AA"/>
    <w:rsid w:val="6AEB70B9"/>
    <w:rsid w:val="6AF1554A"/>
    <w:rsid w:val="6AF96151"/>
    <w:rsid w:val="6B121D07"/>
    <w:rsid w:val="6B230FCF"/>
    <w:rsid w:val="6B420424"/>
    <w:rsid w:val="6B431CCB"/>
    <w:rsid w:val="6B514BE8"/>
    <w:rsid w:val="6B6F0C5E"/>
    <w:rsid w:val="6B851F3D"/>
    <w:rsid w:val="6B8D3935"/>
    <w:rsid w:val="6B8E4AB3"/>
    <w:rsid w:val="6B8F25DF"/>
    <w:rsid w:val="6B964FAF"/>
    <w:rsid w:val="6B99345E"/>
    <w:rsid w:val="6B9B0F84"/>
    <w:rsid w:val="6BAD2A66"/>
    <w:rsid w:val="6BD230C3"/>
    <w:rsid w:val="6BE50451"/>
    <w:rsid w:val="6BEC358E"/>
    <w:rsid w:val="6BF323FE"/>
    <w:rsid w:val="6C090C91"/>
    <w:rsid w:val="6C0C59DE"/>
    <w:rsid w:val="6C1256EA"/>
    <w:rsid w:val="6C194694"/>
    <w:rsid w:val="6C1F082A"/>
    <w:rsid w:val="6C292A34"/>
    <w:rsid w:val="6C3500F4"/>
    <w:rsid w:val="6C3513D9"/>
    <w:rsid w:val="6C3F3EB3"/>
    <w:rsid w:val="6C4A7498"/>
    <w:rsid w:val="6C63355F"/>
    <w:rsid w:val="6C6677E4"/>
    <w:rsid w:val="6C7A12F1"/>
    <w:rsid w:val="6C81188B"/>
    <w:rsid w:val="6C8E2897"/>
    <w:rsid w:val="6CEB1A97"/>
    <w:rsid w:val="6CF40EC1"/>
    <w:rsid w:val="6D093C1F"/>
    <w:rsid w:val="6D0D1A0E"/>
    <w:rsid w:val="6D301BA0"/>
    <w:rsid w:val="6D4A2C62"/>
    <w:rsid w:val="6D556BD6"/>
    <w:rsid w:val="6D8B60AB"/>
    <w:rsid w:val="6D9D3836"/>
    <w:rsid w:val="6DB54666"/>
    <w:rsid w:val="6DBC41B5"/>
    <w:rsid w:val="6DC24A00"/>
    <w:rsid w:val="6DE035C6"/>
    <w:rsid w:val="6DE8485D"/>
    <w:rsid w:val="6E2C56E3"/>
    <w:rsid w:val="6E34121C"/>
    <w:rsid w:val="6E3B7248"/>
    <w:rsid w:val="6E576610"/>
    <w:rsid w:val="6E610EC9"/>
    <w:rsid w:val="6E6C4E5A"/>
    <w:rsid w:val="6E6F10A8"/>
    <w:rsid w:val="6E7361E8"/>
    <w:rsid w:val="6E8E3022"/>
    <w:rsid w:val="6E967982"/>
    <w:rsid w:val="6ED162B4"/>
    <w:rsid w:val="6ED36C87"/>
    <w:rsid w:val="6EDC224F"/>
    <w:rsid w:val="6EFC61DE"/>
    <w:rsid w:val="6F543924"/>
    <w:rsid w:val="6F5C359D"/>
    <w:rsid w:val="6F6A1399"/>
    <w:rsid w:val="6F834209"/>
    <w:rsid w:val="6F871A46"/>
    <w:rsid w:val="6F8A080E"/>
    <w:rsid w:val="6F9667EC"/>
    <w:rsid w:val="6FC751D3"/>
    <w:rsid w:val="6FEA4288"/>
    <w:rsid w:val="702C48A1"/>
    <w:rsid w:val="70583B73"/>
    <w:rsid w:val="706A1E47"/>
    <w:rsid w:val="707438A2"/>
    <w:rsid w:val="70893AA1"/>
    <w:rsid w:val="70964B8A"/>
    <w:rsid w:val="70A95655"/>
    <w:rsid w:val="70AC7790"/>
    <w:rsid w:val="70D00087"/>
    <w:rsid w:val="70D23D12"/>
    <w:rsid w:val="70D4565A"/>
    <w:rsid w:val="70DE2800"/>
    <w:rsid w:val="70F413AC"/>
    <w:rsid w:val="7104137A"/>
    <w:rsid w:val="710A7B35"/>
    <w:rsid w:val="710B095A"/>
    <w:rsid w:val="7127799B"/>
    <w:rsid w:val="712E63F7"/>
    <w:rsid w:val="714F6A99"/>
    <w:rsid w:val="715246D0"/>
    <w:rsid w:val="716B6153"/>
    <w:rsid w:val="716F3D9D"/>
    <w:rsid w:val="719025AC"/>
    <w:rsid w:val="719853F9"/>
    <w:rsid w:val="71B14B9E"/>
    <w:rsid w:val="71BD14D5"/>
    <w:rsid w:val="71F31B1A"/>
    <w:rsid w:val="72057DE2"/>
    <w:rsid w:val="72240A52"/>
    <w:rsid w:val="724A54B2"/>
    <w:rsid w:val="725F5FDD"/>
    <w:rsid w:val="72620A4E"/>
    <w:rsid w:val="72643038"/>
    <w:rsid w:val="726A023C"/>
    <w:rsid w:val="72785B7B"/>
    <w:rsid w:val="72822E9E"/>
    <w:rsid w:val="72834520"/>
    <w:rsid w:val="72936E68"/>
    <w:rsid w:val="729B4E2C"/>
    <w:rsid w:val="729C7F7F"/>
    <w:rsid w:val="72A15258"/>
    <w:rsid w:val="72A93F87"/>
    <w:rsid w:val="72AC3A77"/>
    <w:rsid w:val="72B86275"/>
    <w:rsid w:val="72CA79C6"/>
    <w:rsid w:val="72CF21F8"/>
    <w:rsid w:val="72D9462C"/>
    <w:rsid w:val="72FD42D3"/>
    <w:rsid w:val="730310CB"/>
    <w:rsid w:val="730438B3"/>
    <w:rsid w:val="73092C77"/>
    <w:rsid w:val="73125FD0"/>
    <w:rsid w:val="73203E18"/>
    <w:rsid w:val="73326672"/>
    <w:rsid w:val="73463ECB"/>
    <w:rsid w:val="735062C9"/>
    <w:rsid w:val="73535179"/>
    <w:rsid w:val="736D76AA"/>
    <w:rsid w:val="73774085"/>
    <w:rsid w:val="738B7B30"/>
    <w:rsid w:val="739D5C0B"/>
    <w:rsid w:val="73AB3D2F"/>
    <w:rsid w:val="73C117A4"/>
    <w:rsid w:val="73C1441C"/>
    <w:rsid w:val="73D95384"/>
    <w:rsid w:val="73FC72A6"/>
    <w:rsid w:val="74054C49"/>
    <w:rsid w:val="74143FCA"/>
    <w:rsid w:val="74153E19"/>
    <w:rsid w:val="7416564C"/>
    <w:rsid w:val="742A26DD"/>
    <w:rsid w:val="742D5398"/>
    <w:rsid w:val="74444475"/>
    <w:rsid w:val="744724CD"/>
    <w:rsid w:val="744A5760"/>
    <w:rsid w:val="748A603A"/>
    <w:rsid w:val="7494020B"/>
    <w:rsid w:val="749E3893"/>
    <w:rsid w:val="74A54E21"/>
    <w:rsid w:val="74CA64F2"/>
    <w:rsid w:val="74E76961"/>
    <w:rsid w:val="74EE23C0"/>
    <w:rsid w:val="75021E06"/>
    <w:rsid w:val="751C40DC"/>
    <w:rsid w:val="753A5D56"/>
    <w:rsid w:val="754A765F"/>
    <w:rsid w:val="75595132"/>
    <w:rsid w:val="755A5A0C"/>
    <w:rsid w:val="75614FED"/>
    <w:rsid w:val="75840CDB"/>
    <w:rsid w:val="758F17DD"/>
    <w:rsid w:val="75986535"/>
    <w:rsid w:val="75A629FF"/>
    <w:rsid w:val="75BA46FD"/>
    <w:rsid w:val="75DA2568"/>
    <w:rsid w:val="75EB0D5A"/>
    <w:rsid w:val="75EE302C"/>
    <w:rsid w:val="75EF25F8"/>
    <w:rsid w:val="75F55735"/>
    <w:rsid w:val="7601057E"/>
    <w:rsid w:val="76017DE7"/>
    <w:rsid w:val="7603307C"/>
    <w:rsid w:val="76085468"/>
    <w:rsid w:val="760D6D52"/>
    <w:rsid w:val="76112F5D"/>
    <w:rsid w:val="761D3A6A"/>
    <w:rsid w:val="76277FE4"/>
    <w:rsid w:val="7634159E"/>
    <w:rsid w:val="76472434"/>
    <w:rsid w:val="76481D09"/>
    <w:rsid w:val="7681189A"/>
    <w:rsid w:val="7682346D"/>
    <w:rsid w:val="76CC46E8"/>
    <w:rsid w:val="76EF03D6"/>
    <w:rsid w:val="771816DB"/>
    <w:rsid w:val="7718792D"/>
    <w:rsid w:val="77200891"/>
    <w:rsid w:val="77242776"/>
    <w:rsid w:val="772A2D24"/>
    <w:rsid w:val="7754614B"/>
    <w:rsid w:val="775912C9"/>
    <w:rsid w:val="777E6D8B"/>
    <w:rsid w:val="77872565"/>
    <w:rsid w:val="77896368"/>
    <w:rsid w:val="779C67B0"/>
    <w:rsid w:val="77A84181"/>
    <w:rsid w:val="77BA09E4"/>
    <w:rsid w:val="77C8728B"/>
    <w:rsid w:val="77CB2BF1"/>
    <w:rsid w:val="77D82736"/>
    <w:rsid w:val="77E41285"/>
    <w:rsid w:val="77F61467"/>
    <w:rsid w:val="7820785D"/>
    <w:rsid w:val="782642CC"/>
    <w:rsid w:val="78283BA0"/>
    <w:rsid w:val="785E0557"/>
    <w:rsid w:val="786F3A93"/>
    <w:rsid w:val="788C04C4"/>
    <w:rsid w:val="788D6005"/>
    <w:rsid w:val="789D748E"/>
    <w:rsid w:val="789F3998"/>
    <w:rsid w:val="78AA0A59"/>
    <w:rsid w:val="78B2336B"/>
    <w:rsid w:val="78CF3F6F"/>
    <w:rsid w:val="78D05E9D"/>
    <w:rsid w:val="78D6184E"/>
    <w:rsid w:val="78DE11E3"/>
    <w:rsid w:val="78E0447A"/>
    <w:rsid w:val="79057F72"/>
    <w:rsid w:val="79110AD8"/>
    <w:rsid w:val="79313D19"/>
    <w:rsid w:val="79316AFC"/>
    <w:rsid w:val="794762A8"/>
    <w:rsid w:val="79490272"/>
    <w:rsid w:val="794C5FB4"/>
    <w:rsid w:val="795A432C"/>
    <w:rsid w:val="796F1558"/>
    <w:rsid w:val="797F2719"/>
    <w:rsid w:val="79907C4E"/>
    <w:rsid w:val="79B80649"/>
    <w:rsid w:val="79BE7CBF"/>
    <w:rsid w:val="79D77A8E"/>
    <w:rsid w:val="79E32474"/>
    <w:rsid w:val="79E85CDC"/>
    <w:rsid w:val="79E9739A"/>
    <w:rsid w:val="79F92D1C"/>
    <w:rsid w:val="7A371CF6"/>
    <w:rsid w:val="7A3F7733"/>
    <w:rsid w:val="7A4B0019"/>
    <w:rsid w:val="7A534C58"/>
    <w:rsid w:val="7A546ECE"/>
    <w:rsid w:val="7A9B7BE3"/>
    <w:rsid w:val="7AA65250"/>
    <w:rsid w:val="7AB61088"/>
    <w:rsid w:val="7AC409DF"/>
    <w:rsid w:val="7AC455C0"/>
    <w:rsid w:val="7AC758F2"/>
    <w:rsid w:val="7AD54EB9"/>
    <w:rsid w:val="7AD9148D"/>
    <w:rsid w:val="7AD9480A"/>
    <w:rsid w:val="7AE30252"/>
    <w:rsid w:val="7AEE7323"/>
    <w:rsid w:val="7B0E4B1D"/>
    <w:rsid w:val="7B185334"/>
    <w:rsid w:val="7B2636F6"/>
    <w:rsid w:val="7B333DEB"/>
    <w:rsid w:val="7B3470AC"/>
    <w:rsid w:val="7B424AF3"/>
    <w:rsid w:val="7B5E6BA8"/>
    <w:rsid w:val="7B812A4B"/>
    <w:rsid w:val="7B871525"/>
    <w:rsid w:val="7B924FA9"/>
    <w:rsid w:val="7BAB6FC2"/>
    <w:rsid w:val="7BBA1080"/>
    <w:rsid w:val="7BD72DE9"/>
    <w:rsid w:val="7BDF6C6B"/>
    <w:rsid w:val="7BEB5610"/>
    <w:rsid w:val="7BED2B25"/>
    <w:rsid w:val="7BF525FE"/>
    <w:rsid w:val="7C0105B4"/>
    <w:rsid w:val="7C013085"/>
    <w:rsid w:val="7C0E3995"/>
    <w:rsid w:val="7C10151B"/>
    <w:rsid w:val="7C192179"/>
    <w:rsid w:val="7C1E59E5"/>
    <w:rsid w:val="7C36649C"/>
    <w:rsid w:val="7C3C40BE"/>
    <w:rsid w:val="7C5B09E8"/>
    <w:rsid w:val="7C705B15"/>
    <w:rsid w:val="7C7575D0"/>
    <w:rsid w:val="7C7E3E3A"/>
    <w:rsid w:val="7C8152D7"/>
    <w:rsid w:val="7CB40E8D"/>
    <w:rsid w:val="7CB63E70"/>
    <w:rsid w:val="7CB658B6"/>
    <w:rsid w:val="7CB94352"/>
    <w:rsid w:val="7CB974BC"/>
    <w:rsid w:val="7CC024DE"/>
    <w:rsid w:val="7CC145C3"/>
    <w:rsid w:val="7CC55E61"/>
    <w:rsid w:val="7CC660BA"/>
    <w:rsid w:val="7CC974E3"/>
    <w:rsid w:val="7CD50824"/>
    <w:rsid w:val="7CD51E1C"/>
    <w:rsid w:val="7D000C82"/>
    <w:rsid w:val="7D0C6202"/>
    <w:rsid w:val="7D113C66"/>
    <w:rsid w:val="7D1608E0"/>
    <w:rsid w:val="7D1A7BF6"/>
    <w:rsid w:val="7D2770F1"/>
    <w:rsid w:val="7D311748"/>
    <w:rsid w:val="7D364FB1"/>
    <w:rsid w:val="7D4551F4"/>
    <w:rsid w:val="7D4E275F"/>
    <w:rsid w:val="7D515947"/>
    <w:rsid w:val="7D542219"/>
    <w:rsid w:val="7D545437"/>
    <w:rsid w:val="7D5D4A48"/>
    <w:rsid w:val="7D6438CC"/>
    <w:rsid w:val="7D6A5F20"/>
    <w:rsid w:val="7D6F463D"/>
    <w:rsid w:val="7D7358BD"/>
    <w:rsid w:val="7D88777A"/>
    <w:rsid w:val="7D891584"/>
    <w:rsid w:val="7D8F646F"/>
    <w:rsid w:val="7D9046C1"/>
    <w:rsid w:val="7D9F5084"/>
    <w:rsid w:val="7DA55C93"/>
    <w:rsid w:val="7DD00F61"/>
    <w:rsid w:val="7DDC3527"/>
    <w:rsid w:val="7DE7465C"/>
    <w:rsid w:val="7DE8209C"/>
    <w:rsid w:val="7E024E93"/>
    <w:rsid w:val="7E13277D"/>
    <w:rsid w:val="7E260B81"/>
    <w:rsid w:val="7E3A2B7C"/>
    <w:rsid w:val="7E413C0D"/>
    <w:rsid w:val="7E47099D"/>
    <w:rsid w:val="7E595A4C"/>
    <w:rsid w:val="7E5C6DED"/>
    <w:rsid w:val="7E6F0414"/>
    <w:rsid w:val="7E823A55"/>
    <w:rsid w:val="7E843AFA"/>
    <w:rsid w:val="7E9F4263"/>
    <w:rsid w:val="7EBE0CCB"/>
    <w:rsid w:val="7ED947BF"/>
    <w:rsid w:val="7EE618CE"/>
    <w:rsid w:val="7EF56908"/>
    <w:rsid w:val="7F24120F"/>
    <w:rsid w:val="7F241427"/>
    <w:rsid w:val="7F4058E8"/>
    <w:rsid w:val="7F482D79"/>
    <w:rsid w:val="7F5A4E76"/>
    <w:rsid w:val="7F5C05D3"/>
    <w:rsid w:val="7F7A10FC"/>
    <w:rsid w:val="7F8903C9"/>
    <w:rsid w:val="7F89761A"/>
    <w:rsid w:val="7F8B3BC5"/>
    <w:rsid w:val="7FB64187"/>
    <w:rsid w:val="7FD42946"/>
    <w:rsid w:val="7FEC5DFB"/>
    <w:rsid w:val="7FF56A5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宋体" w:eastAsia="宋体" w:cs="Times New Roman"/>
      <w:kern w:val="2"/>
      <w:sz w:val="21"/>
      <w:szCs w:val="24"/>
      <w:lang w:val="en-US" w:eastAsia="zh-CN" w:bidi="ar-SA"/>
    </w:rPr>
  </w:style>
  <w:style w:type="paragraph" w:styleId="2">
    <w:name w:val="heading 1"/>
    <w:basedOn w:val="1"/>
    <w:next w:val="1"/>
    <w:link w:val="265"/>
    <w:qFormat/>
    <w:uiPriority w:val="9"/>
    <w:pPr>
      <w:keepNext/>
      <w:keepLines/>
      <w:numPr>
        <w:ilvl w:val="0"/>
        <w:numId w:val="0"/>
      </w:numPr>
      <w:adjustRightInd w:val="0"/>
      <w:spacing w:before="120" w:after="120"/>
      <w:jc w:val="center"/>
      <w:textAlignment w:val="baseline"/>
      <w:outlineLvl w:val="0"/>
    </w:pPr>
    <w:rPr>
      <w:rFonts w:ascii="宋体" w:hAnsi="宋体" w:eastAsia="宋体"/>
      <w:b/>
      <w:kern w:val="44"/>
      <w:sz w:val="32"/>
      <w:szCs w:val="20"/>
    </w:rPr>
  </w:style>
  <w:style w:type="paragraph" w:styleId="3">
    <w:name w:val="heading 2"/>
    <w:basedOn w:val="1"/>
    <w:next w:val="1"/>
    <w:link w:val="270"/>
    <w:qFormat/>
    <w:uiPriority w:val="0"/>
    <w:pPr>
      <w:keepNext/>
      <w:numPr>
        <w:ilvl w:val="1"/>
        <w:numId w:val="0"/>
      </w:numPr>
      <w:tabs>
        <w:tab w:val="left" w:pos="360"/>
      </w:tabs>
      <w:adjustRightInd w:val="0"/>
      <w:spacing w:before="120" w:after="120"/>
      <w:jc w:val="center"/>
      <w:textAlignment w:val="baseline"/>
      <w:outlineLvl w:val="1"/>
    </w:pPr>
    <w:rPr>
      <w:rFonts w:ascii="宋体" w:hAnsi="宋体" w:eastAsia="宋体"/>
      <w:b/>
      <w:kern w:val="0"/>
      <w:sz w:val="30"/>
      <w:szCs w:val="20"/>
    </w:rPr>
  </w:style>
  <w:style w:type="paragraph" w:styleId="4">
    <w:name w:val="heading 3"/>
    <w:basedOn w:val="1"/>
    <w:next w:val="1"/>
    <w:link w:val="253"/>
    <w:qFormat/>
    <w:uiPriority w:val="9"/>
    <w:pPr>
      <w:numPr>
        <w:ilvl w:val="2"/>
        <w:numId w:val="0"/>
      </w:numPr>
      <w:tabs>
        <w:tab w:val="left" w:pos="360"/>
        <w:tab w:val="left" w:pos="900"/>
      </w:tabs>
      <w:adjustRightInd w:val="0"/>
      <w:spacing w:before="120" w:after="120"/>
      <w:jc w:val="center"/>
      <w:textAlignment w:val="baseline"/>
      <w:outlineLvl w:val="2"/>
    </w:pPr>
    <w:rPr>
      <w:rFonts w:ascii="宋体" w:hAnsi="宋体" w:eastAsia="宋体"/>
      <w:b/>
      <w:kern w:val="0"/>
      <w:sz w:val="28"/>
      <w:szCs w:val="20"/>
    </w:rPr>
  </w:style>
  <w:style w:type="paragraph" w:styleId="5">
    <w:name w:val="heading 4"/>
    <w:basedOn w:val="1"/>
    <w:next w:val="1"/>
    <w:link w:val="267"/>
    <w:qFormat/>
    <w:uiPriority w:val="9"/>
    <w:pPr>
      <w:numPr>
        <w:ilvl w:val="3"/>
        <w:numId w:val="0"/>
      </w:numPr>
      <w:adjustRightInd w:val="0"/>
      <w:spacing w:before="120" w:after="120"/>
      <w:jc w:val="left"/>
      <w:textAlignment w:val="baseline"/>
      <w:outlineLvl w:val="3"/>
    </w:pPr>
    <w:rPr>
      <w:rFonts w:ascii="Arial" w:hAnsi="Arial" w:eastAsia="宋体"/>
      <w:b/>
      <w:kern w:val="0"/>
      <w:sz w:val="24"/>
      <w:szCs w:val="20"/>
    </w:rPr>
  </w:style>
  <w:style w:type="paragraph" w:styleId="6">
    <w:name w:val="heading 5"/>
    <w:basedOn w:val="1"/>
    <w:next w:val="1"/>
    <w:link w:val="290"/>
    <w:qFormat/>
    <w:uiPriority w:val="9"/>
    <w:pPr>
      <w:keepNext/>
      <w:keepLines/>
      <w:numPr>
        <w:ilvl w:val="4"/>
        <w:numId w:val="1"/>
      </w:numPr>
      <w:adjustRightInd w:val="0"/>
      <w:spacing w:before="280" w:after="290" w:line="376" w:lineRule="atLeast"/>
      <w:textAlignment w:val="baseline"/>
      <w:outlineLvl w:val="4"/>
    </w:pPr>
    <w:rPr>
      <w:b/>
      <w:kern w:val="0"/>
      <w:sz w:val="28"/>
    </w:rPr>
  </w:style>
  <w:style w:type="paragraph" w:styleId="7">
    <w:name w:val="heading 6"/>
    <w:basedOn w:val="1"/>
    <w:next w:val="1"/>
    <w:link w:val="322"/>
    <w:qFormat/>
    <w:uiPriority w:val="9"/>
    <w:pPr>
      <w:keepNext/>
      <w:keepLines/>
      <w:tabs>
        <w:tab w:val="left" w:pos="1152"/>
      </w:tabs>
      <w:spacing w:before="240" w:after="64" w:line="320" w:lineRule="auto"/>
      <w:ind w:left="1152" w:hanging="1152"/>
      <w:outlineLvl w:val="5"/>
    </w:pPr>
    <w:rPr>
      <w:rFonts w:ascii="Cambria" w:hAnsi="Cambria" w:cs="Cambria"/>
      <w:b/>
      <w:bCs/>
      <w:sz w:val="24"/>
    </w:rPr>
  </w:style>
  <w:style w:type="paragraph" w:styleId="8">
    <w:name w:val="heading 7"/>
    <w:basedOn w:val="1"/>
    <w:next w:val="1"/>
    <w:link w:val="323"/>
    <w:qFormat/>
    <w:uiPriority w:val="9"/>
    <w:pPr>
      <w:keepNext/>
      <w:keepLines/>
      <w:tabs>
        <w:tab w:val="left" w:pos="1296"/>
      </w:tabs>
      <w:spacing w:before="240" w:after="64" w:line="320" w:lineRule="auto"/>
      <w:ind w:left="1296" w:hanging="1296"/>
      <w:outlineLvl w:val="6"/>
    </w:pPr>
    <w:rPr>
      <w:rFonts w:ascii="Calibri" w:hAnsi="Calibri" w:cs="Calibri"/>
      <w:b/>
      <w:bCs/>
      <w:sz w:val="24"/>
    </w:rPr>
  </w:style>
  <w:style w:type="paragraph" w:styleId="9">
    <w:name w:val="heading 8"/>
    <w:basedOn w:val="1"/>
    <w:next w:val="1"/>
    <w:link w:val="324"/>
    <w:qFormat/>
    <w:uiPriority w:val="9"/>
    <w:pPr>
      <w:keepNext/>
      <w:keepLines/>
      <w:tabs>
        <w:tab w:val="left" w:pos="1440"/>
      </w:tabs>
      <w:spacing w:before="240" w:after="64" w:line="320" w:lineRule="auto"/>
      <w:ind w:left="1440" w:hanging="1440"/>
      <w:outlineLvl w:val="7"/>
    </w:pPr>
    <w:rPr>
      <w:rFonts w:ascii="Cambria" w:hAnsi="Cambria" w:cs="Cambria"/>
      <w:sz w:val="24"/>
    </w:rPr>
  </w:style>
  <w:style w:type="paragraph" w:styleId="10">
    <w:name w:val="heading 9"/>
    <w:basedOn w:val="1"/>
    <w:next w:val="1"/>
    <w:link w:val="325"/>
    <w:qFormat/>
    <w:uiPriority w:val="9"/>
    <w:pPr>
      <w:keepNext/>
      <w:keepLines/>
      <w:tabs>
        <w:tab w:val="left" w:pos="1584"/>
      </w:tabs>
      <w:spacing w:before="240" w:after="64" w:line="320" w:lineRule="auto"/>
      <w:ind w:left="1584" w:hanging="1584"/>
      <w:outlineLvl w:val="8"/>
    </w:pPr>
    <w:rPr>
      <w:rFonts w:ascii="Cambria" w:hAnsi="Cambria" w:cs="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sz w:val="18"/>
      <w:szCs w:val="18"/>
    </w:rPr>
  </w:style>
  <w:style w:type="paragraph" w:styleId="12">
    <w:name w:val="List Number 2"/>
    <w:basedOn w:val="1"/>
    <w:qFormat/>
    <w:uiPriority w:val="0"/>
    <w:pPr>
      <w:numPr>
        <w:ilvl w:val="0"/>
        <w:numId w:val="2"/>
      </w:numPr>
      <w:tabs>
        <w:tab w:val="left" w:pos="780"/>
      </w:tabs>
    </w:pPr>
    <w:rPr>
      <w:rFonts w:ascii="Times New Roman" w:hAnsi="Times New Roman"/>
      <w:szCs w:val="20"/>
    </w:rPr>
  </w:style>
  <w:style w:type="paragraph" w:styleId="13">
    <w:name w:val="Normal Indent"/>
    <w:basedOn w:val="1"/>
    <w:next w:val="1"/>
    <w:link w:val="294"/>
    <w:qFormat/>
    <w:uiPriority w:val="0"/>
    <w:pPr>
      <w:ind w:firstLine="420"/>
    </w:pPr>
    <w:rPr>
      <w:szCs w:val="21"/>
    </w:rPr>
  </w:style>
  <w:style w:type="paragraph" w:styleId="14">
    <w:name w:val="Document Map"/>
    <w:basedOn w:val="1"/>
    <w:link w:val="279"/>
    <w:qFormat/>
    <w:uiPriority w:val="0"/>
    <w:pPr>
      <w:shd w:val="clear" w:color="auto" w:fill="000080"/>
    </w:pPr>
  </w:style>
  <w:style w:type="paragraph" w:styleId="15">
    <w:name w:val="annotation text"/>
    <w:basedOn w:val="1"/>
    <w:link w:val="263"/>
    <w:qFormat/>
    <w:uiPriority w:val="0"/>
    <w:pPr>
      <w:jc w:val="left"/>
    </w:pPr>
  </w:style>
  <w:style w:type="paragraph" w:styleId="16">
    <w:name w:val="Body Text 3"/>
    <w:basedOn w:val="1"/>
    <w:link w:val="298"/>
    <w:qFormat/>
    <w:uiPriority w:val="0"/>
    <w:rPr>
      <w:sz w:val="24"/>
    </w:rPr>
  </w:style>
  <w:style w:type="paragraph" w:styleId="17">
    <w:name w:val="Body Text"/>
    <w:basedOn w:val="1"/>
    <w:next w:val="1"/>
    <w:link w:val="289"/>
    <w:qFormat/>
    <w:uiPriority w:val="0"/>
    <w:rPr>
      <w:rFonts w:ascii="金山简黑体" w:hAnsi="金山简黑体" w:eastAsia="金山简黑体"/>
      <w:b/>
      <w:spacing w:val="-8"/>
      <w:sz w:val="44"/>
      <w:szCs w:val="20"/>
    </w:rPr>
  </w:style>
  <w:style w:type="paragraph" w:styleId="18">
    <w:name w:val="Body Text Indent"/>
    <w:basedOn w:val="1"/>
    <w:next w:val="19"/>
    <w:link w:val="261"/>
    <w:qFormat/>
    <w:uiPriority w:val="0"/>
    <w:pPr>
      <w:spacing w:line="200" w:lineRule="exact"/>
      <w:ind w:firstLine="301"/>
    </w:pPr>
    <w:rPr>
      <w:spacing w:val="-4"/>
      <w:sz w:val="18"/>
      <w:szCs w:val="20"/>
    </w:rPr>
  </w:style>
  <w:style w:type="paragraph" w:styleId="19">
    <w:name w:val="Body Text First Indent 2"/>
    <w:basedOn w:val="18"/>
    <w:link w:val="333"/>
    <w:qFormat/>
    <w:uiPriority w:val="0"/>
    <w:pPr>
      <w:ind w:firstLine="420"/>
    </w:pPr>
  </w:style>
  <w:style w:type="paragraph" w:styleId="20">
    <w:name w:val="index 4"/>
    <w:basedOn w:val="1"/>
    <w:next w:val="1"/>
    <w:unhideWhenUsed/>
    <w:qFormat/>
    <w:uiPriority w:val="0"/>
    <w:pPr>
      <w:ind w:left="600" w:leftChars="600"/>
    </w:pPr>
    <w:rPr>
      <w:rFonts w:ascii="Times New Roman" w:hAnsi="Times New Roman" w:cs="Calibri"/>
    </w:rPr>
  </w:style>
  <w:style w:type="paragraph" w:styleId="21">
    <w:name w:val="toc 5"/>
    <w:basedOn w:val="1"/>
    <w:next w:val="1"/>
    <w:qFormat/>
    <w:uiPriority w:val="39"/>
    <w:pPr>
      <w:ind w:left="840"/>
      <w:jc w:val="left"/>
    </w:pPr>
    <w:rPr>
      <w:sz w:val="18"/>
      <w:szCs w:val="18"/>
    </w:rPr>
  </w:style>
  <w:style w:type="paragraph" w:styleId="22">
    <w:name w:val="toc 3"/>
    <w:basedOn w:val="1"/>
    <w:next w:val="1"/>
    <w:qFormat/>
    <w:uiPriority w:val="39"/>
    <w:pPr>
      <w:ind w:firstLine="400" w:firstLineChars="400"/>
      <w:jc w:val="left"/>
    </w:pPr>
    <w:rPr>
      <w:i/>
      <w:iCs/>
      <w:sz w:val="20"/>
      <w:szCs w:val="20"/>
    </w:rPr>
  </w:style>
  <w:style w:type="paragraph" w:styleId="23">
    <w:name w:val="Plain Text"/>
    <w:basedOn w:val="1"/>
    <w:link w:val="258"/>
    <w:qFormat/>
    <w:uiPriority w:val="0"/>
    <w:rPr>
      <w:szCs w:val="20"/>
    </w:rPr>
  </w:style>
  <w:style w:type="paragraph" w:styleId="24">
    <w:name w:val="toc 8"/>
    <w:basedOn w:val="1"/>
    <w:next w:val="1"/>
    <w:qFormat/>
    <w:uiPriority w:val="39"/>
    <w:pPr>
      <w:ind w:left="1470"/>
      <w:jc w:val="left"/>
    </w:pPr>
    <w:rPr>
      <w:sz w:val="18"/>
      <w:szCs w:val="18"/>
    </w:rPr>
  </w:style>
  <w:style w:type="paragraph" w:styleId="25">
    <w:name w:val="Date"/>
    <w:basedOn w:val="1"/>
    <w:next w:val="1"/>
    <w:link w:val="277"/>
    <w:qFormat/>
    <w:uiPriority w:val="0"/>
    <w:pPr>
      <w:ind w:left="100" w:leftChars="2500"/>
    </w:pPr>
  </w:style>
  <w:style w:type="paragraph" w:styleId="26">
    <w:name w:val="Body Text Indent 2"/>
    <w:basedOn w:val="1"/>
    <w:link w:val="283"/>
    <w:qFormat/>
    <w:uiPriority w:val="0"/>
    <w:pPr>
      <w:spacing w:after="120" w:line="480" w:lineRule="auto"/>
      <w:ind w:left="200" w:leftChars="200"/>
    </w:pPr>
  </w:style>
  <w:style w:type="paragraph" w:styleId="27">
    <w:name w:val="Balloon Text"/>
    <w:basedOn w:val="1"/>
    <w:link w:val="248"/>
    <w:qFormat/>
    <w:uiPriority w:val="0"/>
    <w:rPr>
      <w:sz w:val="18"/>
      <w:szCs w:val="18"/>
    </w:rPr>
  </w:style>
  <w:style w:type="paragraph" w:styleId="28">
    <w:name w:val="footer"/>
    <w:basedOn w:val="1"/>
    <w:next w:val="1"/>
    <w:link w:val="281"/>
    <w:qFormat/>
    <w:uiPriority w:val="0"/>
    <w:pPr>
      <w:tabs>
        <w:tab w:val="center" w:pos="4153"/>
        <w:tab w:val="right" w:pos="8306"/>
      </w:tabs>
      <w:snapToGrid w:val="0"/>
      <w:jc w:val="left"/>
    </w:pPr>
    <w:rPr>
      <w:sz w:val="18"/>
      <w:szCs w:val="20"/>
    </w:rPr>
  </w:style>
  <w:style w:type="paragraph" w:styleId="29">
    <w:name w:val="header"/>
    <w:basedOn w:val="1"/>
    <w:link w:val="25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9072"/>
      </w:tabs>
      <w:ind w:firstLine="74" w:firstLineChars="74"/>
      <w:jc w:val="left"/>
    </w:pPr>
    <w:rPr>
      <w:b/>
      <w:bCs/>
      <w:caps/>
      <w:sz w:val="20"/>
      <w:szCs w:val="20"/>
    </w:rPr>
  </w:style>
  <w:style w:type="paragraph" w:styleId="31">
    <w:name w:val="toc 4"/>
    <w:basedOn w:val="1"/>
    <w:next w:val="1"/>
    <w:qFormat/>
    <w:uiPriority w:val="39"/>
    <w:pPr>
      <w:ind w:left="630"/>
      <w:jc w:val="left"/>
    </w:pPr>
    <w:rPr>
      <w:sz w:val="18"/>
      <w:szCs w:val="18"/>
    </w:rPr>
  </w:style>
  <w:style w:type="paragraph" w:styleId="32">
    <w:name w:val="Subtitle"/>
    <w:basedOn w:val="1"/>
    <w:next w:val="1"/>
    <w:link w:val="278"/>
    <w:qFormat/>
    <w:uiPriority w:val="0"/>
    <w:pPr>
      <w:tabs>
        <w:tab w:val="left" w:pos="360"/>
      </w:tabs>
      <w:ind w:left="284" w:hanging="284"/>
      <w:jc w:val="left"/>
      <w:outlineLvl w:val="1"/>
    </w:pPr>
    <w:rPr>
      <w:rFonts w:ascii="Century Gothic" w:hAnsi="Century Gothic"/>
      <w:kern w:val="28"/>
      <w:szCs w:val="21"/>
    </w:rPr>
  </w:style>
  <w:style w:type="paragraph" w:styleId="33">
    <w:name w:val="toc 6"/>
    <w:basedOn w:val="1"/>
    <w:next w:val="1"/>
    <w:qFormat/>
    <w:uiPriority w:val="39"/>
    <w:pPr>
      <w:ind w:left="1050"/>
      <w:jc w:val="left"/>
    </w:pPr>
    <w:rPr>
      <w:sz w:val="18"/>
      <w:szCs w:val="18"/>
    </w:rPr>
  </w:style>
  <w:style w:type="paragraph" w:styleId="34">
    <w:name w:val="Body Text Indent 3"/>
    <w:basedOn w:val="1"/>
    <w:link w:val="338"/>
    <w:qFormat/>
    <w:uiPriority w:val="0"/>
    <w:pPr>
      <w:spacing w:line="400" w:lineRule="exact"/>
      <w:ind w:left="360"/>
    </w:pPr>
    <w:rPr>
      <w:sz w:val="24"/>
    </w:rPr>
  </w:style>
  <w:style w:type="paragraph" w:styleId="35">
    <w:name w:val="toc 2"/>
    <w:basedOn w:val="1"/>
    <w:next w:val="1"/>
    <w:qFormat/>
    <w:uiPriority w:val="39"/>
    <w:pPr>
      <w:tabs>
        <w:tab w:val="right" w:leader="dot" w:pos="9072"/>
      </w:tabs>
      <w:ind w:firstLine="200" w:firstLineChars="200"/>
      <w:jc w:val="left"/>
    </w:pPr>
    <w:rPr>
      <w:smallCaps/>
      <w:sz w:val="20"/>
      <w:szCs w:val="20"/>
    </w:rPr>
  </w:style>
  <w:style w:type="paragraph" w:styleId="36">
    <w:name w:val="toc 9"/>
    <w:basedOn w:val="1"/>
    <w:next w:val="1"/>
    <w:qFormat/>
    <w:uiPriority w:val="39"/>
    <w:pPr>
      <w:ind w:left="1680"/>
      <w:jc w:val="left"/>
    </w:pPr>
    <w:rPr>
      <w:sz w:val="18"/>
      <w:szCs w:val="18"/>
    </w:rPr>
  </w:style>
  <w:style w:type="paragraph" w:styleId="37">
    <w:name w:val="Body Text 2"/>
    <w:basedOn w:val="1"/>
    <w:link w:val="297"/>
    <w:qFormat/>
    <w:uiPriority w:val="0"/>
    <w:rPr>
      <w:sz w:val="13"/>
      <w:szCs w:val="20"/>
    </w:rPr>
  </w:style>
  <w:style w:type="paragraph" w:styleId="38">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宋体"/>
      <w:kern w:val="0"/>
      <w:sz w:val="24"/>
    </w:rPr>
  </w:style>
  <w:style w:type="paragraph" w:styleId="39">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40">
    <w:name w:val="index 1"/>
    <w:basedOn w:val="1"/>
    <w:next w:val="1"/>
    <w:qFormat/>
    <w:uiPriority w:val="0"/>
    <w:pPr>
      <w:tabs>
        <w:tab w:val="left" w:pos="780"/>
      </w:tabs>
      <w:ind w:left="780" w:hanging="360"/>
    </w:pPr>
    <w:rPr>
      <w:szCs w:val="20"/>
    </w:rPr>
  </w:style>
  <w:style w:type="paragraph" w:styleId="41">
    <w:name w:val="Title"/>
    <w:basedOn w:val="1"/>
    <w:next w:val="1"/>
    <w:link w:val="269"/>
    <w:qFormat/>
    <w:uiPriority w:val="0"/>
    <w:pPr>
      <w:spacing w:before="240" w:after="60"/>
      <w:jc w:val="center"/>
      <w:outlineLvl w:val="0"/>
    </w:pPr>
    <w:rPr>
      <w:rFonts w:ascii="Cambria" w:hAnsi="Cambria"/>
      <w:b/>
      <w:bCs/>
      <w:kern w:val="0"/>
      <w:sz w:val="32"/>
      <w:szCs w:val="32"/>
    </w:rPr>
  </w:style>
  <w:style w:type="paragraph" w:styleId="42">
    <w:name w:val="annotation subject"/>
    <w:basedOn w:val="15"/>
    <w:next w:val="15"/>
    <w:link w:val="254"/>
    <w:qFormat/>
    <w:uiPriority w:val="0"/>
    <w:rPr>
      <w:b/>
      <w:bCs/>
    </w:rPr>
  </w:style>
  <w:style w:type="paragraph" w:styleId="43">
    <w:name w:val="Body Text First Indent"/>
    <w:basedOn w:val="17"/>
    <w:qFormat/>
    <w:uiPriority w:val="0"/>
    <w:pPr>
      <w:ind w:firstLine="420" w:firstLineChars="10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22"/>
    <w:rPr>
      <w:b/>
      <w:bCs/>
    </w:rPr>
  </w:style>
  <w:style w:type="character" w:styleId="48">
    <w:name w:val="page number"/>
    <w:qFormat/>
    <w:uiPriority w:val="0"/>
  </w:style>
  <w:style w:type="character" w:styleId="49">
    <w:name w:val="FollowedHyperlink"/>
    <w:qFormat/>
    <w:uiPriority w:val="99"/>
    <w:rPr>
      <w:color w:val="800080"/>
      <w:u w:val="single"/>
    </w:rPr>
  </w:style>
  <w:style w:type="character" w:styleId="50">
    <w:name w:val="Emphasis"/>
    <w:qFormat/>
    <w:uiPriority w:val="0"/>
    <w:rPr>
      <w:color w:val="CC0033"/>
    </w:rPr>
  </w:style>
  <w:style w:type="character" w:styleId="51">
    <w:name w:val="Hyperlink"/>
    <w:basedOn w:val="46"/>
    <w:qFormat/>
    <w:uiPriority w:val="99"/>
    <w:rPr>
      <w:color w:val="0000FF"/>
      <w:u w:val="single"/>
    </w:rPr>
  </w:style>
  <w:style w:type="character" w:styleId="52">
    <w:name w:val="annotation reference"/>
    <w:qFormat/>
    <w:uiPriority w:val="0"/>
    <w:rPr>
      <w:sz w:val="21"/>
      <w:szCs w:val="21"/>
    </w:rPr>
  </w:style>
  <w:style w:type="paragraph" w:customStyle="1" w:styleId="53">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54">
    <w:name w:val="表格"/>
    <w:basedOn w:val="1"/>
    <w:qFormat/>
    <w:uiPriority w:val="0"/>
    <w:pPr>
      <w:tabs>
        <w:tab w:val="left" w:pos="1200"/>
      </w:tabs>
      <w:spacing w:line="500" w:lineRule="exact"/>
      <w:jc w:val="center"/>
    </w:pPr>
    <w:rPr>
      <w:sz w:val="24"/>
      <w:szCs w:val="18"/>
    </w:rPr>
  </w:style>
  <w:style w:type="paragraph" w:customStyle="1" w:styleId="55">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56">
    <w:name w:val="样式4"/>
    <w:basedOn w:val="29"/>
    <w:link w:val="272"/>
    <w:qFormat/>
    <w:uiPriority w:val="0"/>
    <w:pPr>
      <w:pBdr>
        <w:bottom w:val="thickThinSmallGap" w:color="auto" w:sz="12" w:space="1"/>
      </w:pBdr>
      <w:jc w:val="both"/>
    </w:pPr>
    <w:rPr>
      <w:bCs/>
    </w:rPr>
  </w:style>
  <w:style w:type="paragraph" w:customStyle="1" w:styleId="57">
    <w:name w:val="xl140"/>
    <w:basedOn w:val="1"/>
    <w:qFormat/>
    <w:uiPriority w:val="0"/>
    <w:pPr>
      <w:widowControl/>
      <w:spacing w:before="100" w:beforeAutospacing="1" w:after="100" w:afterAutospacing="1"/>
      <w:jc w:val="center"/>
    </w:pPr>
    <w:rPr>
      <w:rFonts w:cs="宋体"/>
      <w:kern w:val="0"/>
      <w:sz w:val="22"/>
      <w:szCs w:val="22"/>
    </w:rPr>
  </w:style>
  <w:style w:type="paragraph" w:customStyle="1" w:styleId="58">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59">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60">
    <w:name w:val="xl23"/>
    <w:next w:val="36"/>
    <w:qFormat/>
    <w:uiPriority w:val="0"/>
    <w:pPr>
      <w:spacing w:before="100" w:beforeAutospacing="1" w:after="100" w:afterAutospacing="1"/>
      <w:jc w:val="center"/>
    </w:pPr>
    <w:rPr>
      <w:rFonts w:ascii="Arial Unicode MS" w:hAnsi="Arial Unicode MS" w:eastAsia="Arial Unicode MS" w:cs="Times New Roman"/>
      <w:kern w:val="2"/>
      <w:sz w:val="24"/>
      <w:szCs w:val="21"/>
      <w:lang w:val="en-US" w:eastAsia="zh-CN" w:bidi="ar-SA"/>
    </w:rPr>
  </w:style>
  <w:style w:type="paragraph" w:customStyle="1" w:styleId="61">
    <w:name w:val="Char"/>
    <w:basedOn w:val="1"/>
    <w:qFormat/>
    <w:uiPriority w:val="0"/>
    <w:rPr>
      <w:rFonts w:ascii="Tahoma" w:hAnsi="Tahoma"/>
      <w:sz w:val="24"/>
      <w:szCs w:val="20"/>
    </w:rPr>
  </w:style>
  <w:style w:type="paragraph" w:customStyle="1" w:styleId="62">
    <w:name w:val="副标题 New"/>
    <w:basedOn w:val="1"/>
    <w:next w:val="1"/>
    <w:qFormat/>
    <w:uiPriority w:val="0"/>
    <w:pPr>
      <w:numPr>
        <w:ilvl w:val="0"/>
        <w:numId w:val="3"/>
      </w:numPr>
      <w:jc w:val="left"/>
      <w:outlineLvl w:val="1"/>
    </w:pPr>
    <w:rPr>
      <w:rFonts w:ascii="Century Gothic" w:hAnsi="Century Gothic" w:cs="Century Gothic"/>
      <w:kern w:val="28"/>
      <w:szCs w:val="21"/>
    </w:rPr>
  </w:style>
  <w:style w:type="paragraph" w:customStyle="1" w:styleId="63">
    <w:name w:val="纯文本 New"/>
    <w:basedOn w:val="64"/>
    <w:qFormat/>
    <w:uiPriority w:val="0"/>
    <w:pPr>
      <w:widowControl/>
      <w:spacing w:before="100" w:beforeAutospacing="1" w:after="100" w:afterAutospacing="1"/>
      <w:jc w:val="left"/>
    </w:pPr>
    <w:rPr>
      <w:rFonts w:cs="宋体"/>
      <w:sz w:val="24"/>
      <w:szCs w:val="24"/>
    </w:rPr>
  </w:style>
  <w:style w:type="paragraph" w:customStyle="1" w:styleId="64">
    <w:name w:val="正文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65">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66">
    <w:name w:val="普通(网站) New"/>
    <w:basedOn w:val="58"/>
    <w:qFormat/>
    <w:uiPriority w:val="0"/>
    <w:pPr>
      <w:widowControl/>
      <w:spacing w:before="100" w:beforeAutospacing="1" w:after="100" w:afterAutospacing="1"/>
      <w:jc w:val="left"/>
    </w:pPr>
    <w:rPr>
      <w:kern w:val="0"/>
      <w:sz w:val="24"/>
      <w:szCs w:val="24"/>
    </w:rPr>
  </w:style>
  <w:style w:type="paragraph" w:customStyle="1" w:styleId="67">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68">
    <w:name w:val="xl141"/>
    <w:basedOn w:val="1"/>
    <w:qFormat/>
    <w:uiPriority w:val="0"/>
    <w:pPr>
      <w:widowControl/>
      <w:shd w:val="clear" w:color="000000" w:fill="FFFFFF"/>
      <w:spacing w:before="100" w:beforeAutospacing="1" w:after="100" w:afterAutospacing="1"/>
      <w:jc w:val="center"/>
    </w:pPr>
    <w:rPr>
      <w:rFonts w:cs="宋体"/>
      <w:kern w:val="0"/>
      <w:sz w:val="22"/>
      <w:szCs w:val="22"/>
    </w:rPr>
  </w:style>
  <w:style w:type="paragraph" w:customStyle="1" w:styleId="69">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70">
    <w:name w:val="xl138"/>
    <w:basedOn w:val="1"/>
    <w:qFormat/>
    <w:uiPriority w:val="0"/>
    <w:pPr>
      <w:widowControl/>
      <w:spacing w:before="100" w:beforeAutospacing="1" w:after="100" w:afterAutospacing="1"/>
      <w:jc w:val="center"/>
    </w:pPr>
    <w:rPr>
      <w:rFonts w:cs="宋体"/>
      <w:b/>
      <w:bCs/>
      <w:kern w:val="0"/>
      <w:sz w:val="22"/>
      <w:szCs w:val="22"/>
    </w:rPr>
  </w:style>
  <w:style w:type="paragraph" w:customStyle="1" w:styleId="71">
    <w:name w:val="列出段落1"/>
    <w:basedOn w:val="1"/>
    <w:qFormat/>
    <w:uiPriority w:val="0"/>
    <w:pPr>
      <w:ind w:firstLine="420" w:firstLineChars="200"/>
    </w:pPr>
    <w:rPr>
      <w:szCs w:val="20"/>
    </w:rPr>
  </w:style>
  <w:style w:type="paragraph" w:customStyle="1" w:styleId="72">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73">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74">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24"/>
    </w:rPr>
  </w:style>
  <w:style w:type="paragraph" w:customStyle="1" w:styleId="75">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76">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77">
    <w:name w:val="xl143"/>
    <w:basedOn w:val="1"/>
    <w:qFormat/>
    <w:uiPriority w:val="0"/>
    <w:pPr>
      <w:widowControl/>
      <w:spacing w:before="100" w:beforeAutospacing="1" w:after="100" w:afterAutospacing="1"/>
      <w:jc w:val="center"/>
    </w:pPr>
    <w:rPr>
      <w:rFonts w:cs="宋体"/>
      <w:color w:val="FF0000"/>
      <w:kern w:val="0"/>
      <w:sz w:val="22"/>
      <w:szCs w:val="22"/>
    </w:rPr>
  </w:style>
  <w:style w:type="paragraph" w:customStyle="1" w:styleId="78">
    <w:name w:val="样式1"/>
    <w:basedOn w:val="3"/>
    <w:qFormat/>
    <w:uiPriority w:val="0"/>
    <w:pPr>
      <w:tabs>
        <w:tab w:val="left" w:pos="596"/>
      </w:tabs>
    </w:pPr>
  </w:style>
  <w:style w:type="paragraph" w:customStyle="1" w:styleId="79">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80">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81">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82">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83">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84">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85">
    <w:name w:val="Absatz2AL"/>
    <w:basedOn w:val="17"/>
    <w:next w:val="1"/>
    <w:qFormat/>
    <w:uiPriority w:val="0"/>
    <w:pPr>
      <w:widowControl/>
      <w:overflowPunct w:val="0"/>
      <w:autoSpaceDE w:val="0"/>
      <w:autoSpaceDN w:val="0"/>
      <w:adjustRightInd w:val="0"/>
      <w:textAlignment w:val="baseline"/>
    </w:pPr>
    <w:rPr>
      <w:rFonts w:ascii="Times New Roman" w:hAnsi="Times New Roman" w:eastAsia="宋体"/>
      <w:b w:val="0"/>
      <w:spacing w:val="0"/>
      <w:kern w:val="0"/>
      <w:sz w:val="21"/>
      <w:lang w:val="de-DE" w:eastAsia="de-DE"/>
    </w:rPr>
  </w:style>
  <w:style w:type="paragraph" w:customStyle="1" w:styleId="86">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87">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88">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b/>
      <w:bCs/>
      <w:kern w:val="0"/>
      <w:sz w:val="20"/>
      <w:szCs w:val="20"/>
    </w:rPr>
  </w:style>
  <w:style w:type="paragraph" w:customStyle="1" w:styleId="89">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90">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kern w:val="0"/>
      <w:sz w:val="24"/>
    </w:rPr>
  </w:style>
  <w:style w:type="paragraph" w:customStyle="1" w:styleId="91">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92">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93">
    <w:name w:val="抬头"/>
    <w:basedOn w:val="1"/>
    <w:qFormat/>
    <w:uiPriority w:val="0"/>
    <w:pPr>
      <w:spacing w:beforeLines="50"/>
    </w:pPr>
    <w:rPr>
      <w:sz w:val="24"/>
    </w:rPr>
  </w:style>
  <w:style w:type="paragraph" w:customStyle="1" w:styleId="94">
    <w:name w:val="样式5"/>
    <w:basedOn w:val="23"/>
    <w:link w:val="244"/>
    <w:qFormat/>
    <w:uiPriority w:val="0"/>
    <w:pPr>
      <w:pBdr>
        <w:bottom w:val="thickThinSmallGap" w:color="auto" w:sz="12" w:space="1"/>
      </w:pBdr>
      <w:tabs>
        <w:tab w:val="center" w:pos="4535"/>
      </w:tabs>
      <w:jc w:val="center"/>
    </w:pPr>
    <w:rPr>
      <w:u w:val="single"/>
    </w:rPr>
  </w:style>
  <w:style w:type="paragraph" w:customStyle="1" w:styleId="95">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96">
    <w:name w:val="注"/>
    <w:basedOn w:val="1"/>
    <w:qFormat/>
    <w:uiPriority w:val="0"/>
    <w:pPr>
      <w:ind w:left="200" w:hanging="200" w:hangingChars="200"/>
    </w:pPr>
    <w:rPr>
      <w:b/>
    </w:rPr>
  </w:style>
  <w:style w:type="paragraph" w:customStyle="1" w:styleId="97">
    <w:name w:val="Default"/>
    <w:qFormat/>
    <w:uiPriority w:val="0"/>
    <w:pPr>
      <w:widowControl w:val="0"/>
      <w:autoSpaceDE w:val="0"/>
      <w:autoSpaceDN w:val="0"/>
      <w:adjustRightInd w:val="0"/>
    </w:pPr>
    <w:rPr>
      <w:rFonts w:ascii="宋体" w:hAnsi="宋体" w:eastAsia="宋体" w:cs="Times New Roman"/>
      <w:color w:val="000000"/>
      <w:kern w:val="2"/>
      <w:sz w:val="24"/>
      <w:szCs w:val="24"/>
      <w:lang w:val="en-US" w:eastAsia="zh-CN" w:bidi="ar-SA"/>
    </w:rPr>
  </w:style>
  <w:style w:type="paragraph" w:customStyle="1" w:styleId="98">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99">
    <w:name w:val="para"/>
    <w:basedOn w:val="1"/>
    <w:qFormat/>
    <w:uiPriority w:val="0"/>
    <w:pPr>
      <w:widowControl/>
      <w:adjustRightInd w:val="0"/>
      <w:spacing w:before="160"/>
      <w:ind w:firstLine="425"/>
      <w:textAlignment w:val="baseline"/>
    </w:pPr>
    <w:rPr>
      <w:kern w:val="0"/>
      <w:sz w:val="24"/>
      <w:szCs w:val="20"/>
      <w:lang w:eastAsia="en-US"/>
    </w:rPr>
  </w:style>
  <w:style w:type="paragraph" w:customStyle="1" w:styleId="100">
    <w:name w:val="Char Char Char Char Char Char Char Char Char Char"/>
    <w:basedOn w:val="1"/>
    <w:qFormat/>
    <w:uiPriority w:val="0"/>
    <w:pPr>
      <w:tabs>
        <w:tab w:val="left" w:pos="360"/>
      </w:tabs>
      <w:ind w:left="360" w:hanging="360" w:hangingChars="200"/>
    </w:pPr>
    <w:rPr>
      <w:szCs w:val="20"/>
    </w:rPr>
  </w:style>
  <w:style w:type="paragraph" w:customStyle="1" w:styleId="101">
    <w:name w:val="xl139"/>
    <w:basedOn w:val="1"/>
    <w:qFormat/>
    <w:uiPriority w:val="0"/>
    <w:pPr>
      <w:widowControl/>
      <w:shd w:val="clear" w:color="000000" w:fill="FFFFFF"/>
      <w:spacing w:before="100" w:beforeAutospacing="1" w:after="100" w:afterAutospacing="1"/>
      <w:jc w:val="center"/>
    </w:pPr>
    <w:rPr>
      <w:rFonts w:cs="宋体"/>
      <w:b/>
      <w:bCs/>
      <w:kern w:val="0"/>
      <w:sz w:val="22"/>
      <w:szCs w:val="22"/>
    </w:rPr>
  </w:style>
  <w:style w:type="paragraph" w:customStyle="1" w:styleId="102">
    <w:name w:val="xl145"/>
    <w:basedOn w:val="1"/>
    <w:qFormat/>
    <w:uiPriority w:val="0"/>
    <w:pPr>
      <w:widowControl/>
      <w:spacing w:before="100" w:beforeAutospacing="1" w:after="100" w:afterAutospacing="1"/>
      <w:jc w:val="left"/>
    </w:pPr>
    <w:rPr>
      <w:rFonts w:cs="宋体"/>
      <w:kern w:val="0"/>
      <w:sz w:val="24"/>
    </w:rPr>
  </w:style>
  <w:style w:type="paragraph" w:customStyle="1" w:styleId="103">
    <w:name w:val="Char Char Char"/>
    <w:basedOn w:val="1"/>
    <w:qFormat/>
    <w:uiPriority w:val="0"/>
    <w:pPr>
      <w:ind w:firstLine="200" w:firstLineChars="200"/>
    </w:pPr>
    <w:rPr>
      <w:sz w:val="24"/>
    </w:rPr>
  </w:style>
  <w:style w:type="paragraph" w:customStyle="1" w:styleId="10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05">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06">
    <w:name w:val="题目"/>
    <w:basedOn w:val="1"/>
    <w:qFormat/>
    <w:uiPriority w:val="0"/>
    <w:pPr>
      <w:snapToGrid w:val="0"/>
      <w:spacing w:line="480" w:lineRule="auto"/>
      <w:jc w:val="center"/>
    </w:pPr>
    <w:rPr>
      <w:rFonts w:ascii="方正小标宋_GBK" w:eastAsia="方正小标宋_GBK"/>
      <w:sz w:val="44"/>
      <w:szCs w:val="44"/>
    </w:rPr>
  </w:style>
  <w:style w:type="paragraph" w:customStyle="1" w:styleId="107">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08">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09">
    <w:name w:val="Char1"/>
    <w:basedOn w:val="1"/>
    <w:qFormat/>
    <w:uiPriority w:val="0"/>
    <w:rPr>
      <w:szCs w:val="20"/>
    </w:rPr>
  </w:style>
  <w:style w:type="paragraph" w:customStyle="1" w:styleId="110">
    <w:name w:val="xl146"/>
    <w:basedOn w:val="1"/>
    <w:qFormat/>
    <w:uiPriority w:val="0"/>
    <w:pPr>
      <w:widowControl/>
      <w:spacing w:before="100" w:beforeAutospacing="1" w:after="100" w:afterAutospacing="1"/>
      <w:jc w:val="center"/>
    </w:pPr>
    <w:rPr>
      <w:rFonts w:cs="宋体"/>
      <w:kern w:val="0"/>
      <w:sz w:val="24"/>
    </w:rPr>
  </w:style>
  <w:style w:type="paragraph" w:customStyle="1" w:styleId="111">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2">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113">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114">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5">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6">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cs="宋体"/>
      <w:kern w:val="0"/>
      <w:sz w:val="20"/>
      <w:szCs w:val="20"/>
    </w:rPr>
  </w:style>
  <w:style w:type="paragraph" w:customStyle="1" w:styleId="117">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18">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cs="宋体"/>
      <w:kern w:val="0"/>
      <w:sz w:val="24"/>
    </w:rPr>
  </w:style>
  <w:style w:type="paragraph" w:customStyle="1" w:styleId="119">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21">
    <w:name w:val="样式2"/>
    <w:basedOn w:val="3"/>
    <w:qFormat/>
    <w:uiPriority w:val="0"/>
    <w:pPr>
      <w:tabs>
        <w:tab w:val="left" w:pos="596"/>
      </w:tabs>
      <w:spacing w:line="440" w:lineRule="exact"/>
      <w:jc w:val="center"/>
    </w:pPr>
    <w:rPr>
      <w:b w:val="0"/>
      <w:sz w:val="32"/>
    </w:rPr>
  </w:style>
  <w:style w:type="paragraph" w:customStyle="1" w:styleId="122">
    <w:name w:val="样式7"/>
    <w:basedOn w:val="29"/>
    <w:link w:val="245"/>
    <w:qFormat/>
    <w:uiPriority w:val="0"/>
    <w:pPr>
      <w:pBdr>
        <w:top w:val="single" w:color="auto" w:sz="6" w:space="1"/>
        <w:left w:val="single" w:color="auto" w:sz="6" w:space="4"/>
        <w:bottom w:val="thickThinSmallGap" w:color="auto" w:sz="12" w:space="1"/>
        <w:right w:val="single" w:color="auto" w:sz="6" w:space="4"/>
      </w:pBdr>
    </w:pPr>
  </w:style>
  <w:style w:type="paragraph" w:customStyle="1" w:styleId="123">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4">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25">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32"/>
      <w:szCs w:val="32"/>
    </w:rPr>
  </w:style>
  <w:style w:type="paragraph" w:customStyle="1" w:styleId="126">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127">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29">
    <w:name w:val="font5"/>
    <w:basedOn w:val="1"/>
    <w:qFormat/>
    <w:uiPriority w:val="0"/>
    <w:pPr>
      <w:widowControl/>
      <w:spacing w:before="100" w:beforeAutospacing="1" w:after="100" w:afterAutospacing="1"/>
      <w:jc w:val="left"/>
    </w:pPr>
    <w:rPr>
      <w:rFonts w:cs="宋体"/>
      <w:color w:val="000000"/>
      <w:kern w:val="0"/>
      <w:sz w:val="24"/>
    </w:rPr>
  </w:style>
  <w:style w:type="paragraph" w:customStyle="1" w:styleId="130">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color w:val="000000"/>
      <w:kern w:val="0"/>
      <w:sz w:val="24"/>
    </w:rPr>
  </w:style>
  <w:style w:type="paragraph" w:customStyle="1" w:styleId="131">
    <w:name w:val="Char2"/>
    <w:basedOn w:val="1"/>
    <w:qFormat/>
    <w:uiPriority w:val="0"/>
    <w:pPr>
      <w:widowControl/>
      <w:spacing w:after="160" w:line="240" w:lineRule="exact"/>
      <w:jc w:val="left"/>
    </w:pPr>
    <w:rPr>
      <w:szCs w:val="20"/>
    </w:rPr>
  </w:style>
  <w:style w:type="paragraph" w:customStyle="1" w:styleId="132">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3">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4">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35">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36">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7">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8">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9">
    <w:name w:val="xl142"/>
    <w:basedOn w:val="1"/>
    <w:qFormat/>
    <w:uiPriority w:val="0"/>
    <w:pPr>
      <w:widowControl/>
      <w:shd w:val="clear" w:color="000000" w:fill="FFFFFF"/>
      <w:spacing w:before="100" w:beforeAutospacing="1" w:after="100" w:afterAutospacing="1"/>
      <w:jc w:val="left"/>
    </w:pPr>
    <w:rPr>
      <w:rFonts w:cs="宋体"/>
      <w:kern w:val="0"/>
      <w:sz w:val="22"/>
      <w:szCs w:val="22"/>
    </w:rPr>
  </w:style>
  <w:style w:type="paragraph" w:customStyle="1" w:styleId="140">
    <w:name w:val="样式3"/>
    <w:basedOn w:val="29"/>
    <w:link w:val="252"/>
    <w:qFormat/>
    <w:uiPriority w:val="0"/>
    <w:pPr>
      <w:pBdr>
        <w:bottom w:val="thickThinSmallGap" w:color="auto" w:sz="12" w:space="1"/>
      </w:pBdr>
      <w:jc w:val="left"/>
    </w:pPr>
    <w:rPr>
      <w:rFonts w:ascii="黑体" w:hAnsi="黑体" w:eastAsia="黑体"/>
      <w:bCs/>
    </w:rPr>
  </w:style>
  <w:style w:type="paragraph" w:customStyle="1" w:styleId="141">
    <w:name w:val="正文五号"/>
    <w:basedOn w:val="1"/>
    <w:qFormat/>
    <w:uiPriority w:val="0"/>
    <w:rPr>
      <w:rFonts w:hint="eastAsia" w:eastAsia="仿宋_GB2312"/>
      <w:szCs w:val="20"/>
    </w:rPr>
  </w:style>
  <w:style w:type="paragraph" w:customStyle="1" w:styleId="142">
    <w:name w:val="xl144"/>
    <w:basedOn w:val="1"/>
    <w:qFormat/>
    <w:uiPriority w:val="0"/>
    <w:pPr>
      <w:widowControl/>
      <w:spacing w:before="100" w:beforeAutospacing="1" w:after="100" w:afterAutospacing="1"/>
      <w:jc w:val="left"/>
      <w:textAlignment w:val="top"/>
    </w:pPr>
    <w:rPr>
      <w:rFonts w:cs="宋体"/>
      <w:kern w:val="0"/>
      <w:sz w:val="24"/>
    </w:rPr>
  </w:style>
  <w:style w:type="paragraph" w:customStyle="1" w:styleId="143">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4">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5">
    <w:name w:val="说明"/>
    <w:basedOn w:val="1"/>
    <w:qFormat/>
    <w:uiPriority w:val="0"/>
    <w:pPr>
      <w:ind w:left="1" w:leftChars="-52" w:hanging="110" w:hangingChars="61"/>
      <w:jc w:val="center"/>
    </w:pPr>
    <w:rPr>
      <w:szCs w:val="20"/>
    </w:rPr>
  </w:style>
  <w:style w:type="paragraph" w:customStyle="1" w:styleId="146">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47">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8">
    <w:name w:val="副标题 New New New"/>
    <w:basedOn w:val="149"/>
    <w:next w:val="149"/>
    <w:qFormat/>
    <w:uiPriority w:val="0"/>
    <w:pPr>
      <w:numPr>
        <w:ilvl w:val="0"/>
        <w:numId w:val="4"/>
      </w:numPr>
      <w:jc w:val="left"/>
      <w:outlineLvl w:val="1"/>
    </w:pPr>
    <w:rPr>
      <w:rFonts w:ascii="Century Gothic" w:hAnsi="Century Gothic"/>
      <w:bCs/>
      <w:kern w:val="28"/>
      <w:szCs w:val="32"/>
    </w:rPr>
  </w:style>
  <w:style w:type="paragraph" w:customStyle="1" w:styleId="149">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50">
    <w:name w:val="xl147"/>
    <w:basedOn w:val="1"/>
    <w:qFormat/>
    <w:uiPriority w:val="0"/>
    <w:pPr>
      <w:widowControl/>
      <w:spacing w:before="100" w:beforeAutospacing="1" w:after="100" w:afterAutospacing="1"/>
      <w:jc w:val="left"/>
    </w:pPr>
    <w:rPr>
      <w:rFonts w:cs="宋体"/>
      <w:kern w:val="0"/>
      <w:sz w:val="20"/>
      <w:szCs w:val="20"/>
    </w:rPr>
  </w:style>
  <w:style w:type="paragraph" w:customStyle="1" w:styleId="151">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52">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53">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kern w:val="0"/>
      <w:sz w:val="24"/>
    </w:rPr>
  </w:style>
  <w:style w:type="paragraph" w:customStyle="1" w:styleId="154">
    <w:name w:val="font6"/>
    <w:basedOn w:val="1"/>
    <w:qFormat/>
    <w:uiPriority w:val="0"/>
    <w:pPr>
      <w:widowControl/>
      <w:spacing w:before="100" w:beforeAutospacing="1" w:after="100" w:afterAutospacing="1"/>
      <w:jc w:val="left"/>
    </w:pPr>
    <w:rPr>
      <w:rFonts w:cs="宋体"/>
      <w:kern w:val="0"/>
      <w:sz w:val="20"/>
      <w:szCs w:val="20"/>
    </w:rPr>
  </w:style>
  <w:style w:type="paragraph" w:customStyle="1" w:styleId="155">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4"/>
    </w:rPr>
  </w:style>
  <w:style w:type="paragraph" w:customStyle="1" w:styleId="156">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157">
    <w:name w:val="样式6"/>
    <w:basedOn w:val="29"/>
    <w:link w:val="268"/>
    <w:qFormat/>
    <w:uiPriority w:val="0"/>
    <w:pPr>
      <w:pBdr>
        <w:bottom w:val="thickThinSmallGap" w:color="auto" w:sz="12" w:space="1"/>
      </w:pBdr>
      <w:jc w:val="both"/>
    </w:pPr>
  </w:style>
  <w:style w:type="paragraph" w:customStyle="1" w:styleId="158">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1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60">
    <w:name w:val="纯文本 New New New"/>
    <w:basedOn w:val="123"/>
    <w:qFormat/>
    <w:uiPriority w:val="0"/>
  </w:style>
  <w:style w:type="paragraph" w:customStyle="1" w:styleId="161">
    <w:name w:val="纯文本 New New"/>
    <w:basedOn w:val="162"/>
    <w:qFormat/>
    <w:uiPriority w:val="0"/>
    <w:pPr>
      <w:widowControl/>
      <w:spacing w:before="100" w:beforeAutospacing="1" w:after="100" w:afterAutospacing="1"/>
      <w:jc w:val="left"/>
    </w:pPr>
    <w:rPr>
      <w:rFonts w:cs="宋体"/>
      <w:sz w:val="24"/>
      <w:szCs w:val="24"/>
    </w:rPr>
  </w:style>
  <w:style w:type="paragraph" w:customStyle="1" w:styleId="162">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63">
    <w:name w:val="文档正文"/>
    <w:basedOn w:val="1"/>
    <w:qFormat/>
    <w:uiPriority w:val="0"/>
    <w:pPr>
      <w:adjustRightInd w:val="0"/>
      <w:snapToGrid w:val="0"/>
      <w:ind w:left="13" w:leftChars="-45" w:hanging="107" w:hangingChars="51"/>
    </w:pPr>
    <w:rPr>
      <w:color w:val="FF0000"/>
      <w:kern w:val="0"/>
      <w:szCs w:val="20"/>
    </w:rPr>
  </w:style>
  <w:style w:type="paragraph" w:customStyle="1" w:styleId="164">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styleId="165">
    <w:name w:val="List Paragraph"/>
    <w:basedOn w:val="1"/>
    <w:link w:val="292"/>
    <w:qFormat/>
    <w:uiPriority w:val="34"/>
    <w:pPr>
      <w:ind w:firstLine="420" w:firstLineChars="200"/>
    </w:pPr>
    <w:rPr>
      <w:szCs w:val="21"/>
    </w:rPr>
  </w:style>
  <w:style w:type="paragraph" w:customStyle="1" w:styleId="166">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167">
    <w:name w:val="正文1"/>
    <w:basedOn w:val="1"/>
    <w:next w:val="1"/>
    <w:qFormat/>
    <w:uiPriority w:val="0"/>
    <w:pPr>
      <w:ind w:firstLine="200" w:firstLineChars="200"/>
    </w:pPr>
    <w:rPr>
      <w:rFonts w:cs="宋体"/>
      <w:kern w:val="0"/>
      <w:szCs w:val="20"/>
      <w:lang w:eastAsia="en-US"/>
    </w:rPr>
  </w:style>
  <w:style w:type="paragraph" w:customStyle="1" w:styleId="168">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2"/>
      <w:szCs w:val="22"/>
    </w:rPr>
  </w:style>
  <w:style w:type="paragraph" w:customStyle="1" w:styleId="169">
    <w:name w:val="样式8"/>
    <w:basedOn w:val="122"/>
    <w:link w:val="249"/>
    <w:qFormat/>
    <w:uiPriority w:val="0"/>
    <w:pPr>
      <w:pBdr>
        <w:top w:val="none" w:color="auto" w:sz="0" w:space="0"/>
        <w:left w:val="none" w:color="auto" w:sz="0" w:space="0"/>
        <w:right w:val="none" w:color="auto" w:sz="0" w:space="0"/>
      </w:pBdr>
    </w:pPr>
  </w:style>
  <w:style w:type="paragraph" w:customStyle="1" w:styleId="170">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1">
    <w:name w:val="default"/>
    <w:basedOn w:val="1"/>
    <w:qFormat/>
    <w:uiPriority w:val="0"/>
    <w:pPr>
      <w:widowControl/>
      <w:spacing w:before="100" w:beforeAutospacing="1" w:after="100" w:afterAutospacing="1"/>
      <w:jc w:val="left"/>
    </w:pPr>
    <w:rPr>
      <w:rFonts w:cs="宋体"/>
      <w:kern w:val="0"/>
      <w:sz w:val="24"/>
    </w:rPr>
  </w:style>
  <w:style w:type="paragraph" w:customStyle="1" w:styleId="172">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3">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4">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5">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rPr>
  </w:style>
  <w:style w:type="paragraph" w:customStyle="1" w:styleId="176">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77">
    <w:name w:val="font7"/>
    <w:basedOn w:val="1"/>
    <w:qFormat/>
    <w:uiPriority w:val="0"/>
    <w:pPr>
      <w:widowControl/>
      <w:spacing w:before="100" w:beforeAutospacing="1" w:after="100" w:afterAutospacing="1"/>
      <w:jc w:val="left"/>
    </w:pPr>
    <w:rPr>
      <w:rFonts w:cs="宋体"/>
      <w:kern w:val="0"/>
      <w:sz w:val="18"/>
      <w:szCs w:val="18"/>
    </w:rPr>
  </w:style>
  <w:style w:type="paragraph" w:customStyle="1" w:styleId="178">
    <w:name w:val="xl65"/>
    <w:basedOn w:val="1"/>
    <w:qFormat/>
    <w:uiPriority w:val="0"/>
    <w:pPr>
      <w:widowControl/>
      <w:spacing w:before="100" w:beforeAutospacing="1" w:after="100" w:afterAutospacing="1"/>
      <w:jc w:val="left"/>
      <w:textAlignment w:val="center"/>
    </w:pPr>
    <w:rPr>
      <w:rFonts w:cs="宋体"/>
      <w:kern w:val="0"/>
      <w:sz w:val="24"/>
    </w:rPr>
  </w:style>
  <w:style w:type="paragraph" w:customStyle="1" w:styleId="17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18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18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8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84">
    <w:name w:val="xl71"/>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18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8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8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b/>
      <w:bCs/>
      <w:kern w:val="0"/>
      <w:sz w:val="20"/>
      <w:szCs w:val="20"/>
    </w:rPr>
  </w:style>
  <w:style w:type="paragraph" w:customStyle="1" w:styleId="19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193">
    <w:name w:val="xl80"/>
    <w:basedOn w:val="1"/>
    <w:qFormat/>
    <w:uiPriority w:val="0"/>
    <w:pPr>
      <w:widowControl/>
      <w:spacing w:before="100" w:beforeAutospacing="1" w:after="100" w:afterAutospacing="1"/>
      <w:jc w:val="center"/>
      <w:textAlignment w:val="center"/>
    </w:pPr>
    <w:rPr>
      <w:rFonts w:cs="宋体"/>
      <w:kern w:val="0"/>
      <w:sz w:val="20"/>
      <w:szCs w:val="20"/>
    </w:rPr>
  </w:style>
  <w:style w:type="paragraph" w:customStyle="1" w:styleId="19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19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19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0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01">
    <w:name w:val="xl8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0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04">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0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7">
    <w:name w:val="xl94"/>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0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0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10">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11">
    <w:name w:val="xl9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1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1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b/>
      <w:bCs/>
      <w:kern w:val="0"/>
      <w:sz w:val="20"/>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1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1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17">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kern w:val="0"/>
      <w:sz w:val="20"/>
      <w:szCs w:val="20"/>
    </w:rPr>
  </w:style>
  <w:style w:type="paragraph" w:customStyle="1" w:styleId="2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1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2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2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22">
    <w:name w:val="xl109"/>
    <w:basedOn w:val="1"/>
    <w:qFormat/>
    <w:uiPriority w:val="0"/>
    <w:pPr>
      <w:widowControl/>
      <w:spacing w:before="100" w:beforeAutospacing="1" w:after="100" w:afterAutospacing="1"/>
      <w:jc w:val="left"/>
      <w:textAlignment w:val="center"/>
    </w:pPr>
    <w:rPr>
      <w:rFonts w:cs="宋体"/>
      <w:color w:val="FF0000"/>
      <w:kern w:val="0"/>
      <w:sz w:val="20"/>
      <w:szCs w:val="20"/>
    </w:rPr>
  </w:style>
  <w:style w:type="paragraph" w:customStyle="1" w:styleId="223">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224">
    <w:name w:val="Char Char1 Char Char"/>
    <w:basedOn w:val="1"/>
    <w:qFormat/>
    <w:uiPriority w:val="0"/>
    <w:pPr>
      <w:tabs>
        <w:tab w:val="left" w:pos="360"/>
      </w:tabs>
    </w:pPr>
    <w:rPr>
      <w:szCs w:val="20"/>
    </w:rPr>
  </w:style>
  <w:style w:type="paragraph" w:customStyle="1" w:styleId="225">
    <w:name w:val="列出段落11"/>
    <w:basedOn w:val="1"/>
    <w:qFormat/>
    <w:uiPriority w:val="0"/>
    <w:pPr>
      <w:ind w:firstLine="420" w:firstLineChars="200"/>
    </w:pPr>
    <w:rPr>
      <w:szCs w:val="21"/>
    </w:rPr>
  </w:style>
  <w:style w:type="paragraph" w:customStyle="1" w:styleId="226">
    <w:name w:val="缺省文本"/>
    <w:basedOn w:val="1"/>
    <w:qFormat/>
    <w:uiPriority w:val="0"/>
    <w:pPr>
      <w:autoSpaceDE w:val="0"/>
      <w:autoSpaceDN w:val="0"/>
      <w:adjustRightInd w:val="0"/>
      <w:jc w:val="left"/>
    </w:pPr>
    <w:rPr>
      <w:kern w:val="0"/>
      <w:sz w:val="24"/>
      <w:szCs w:val="20"/>
    </w:rPr>
  </w:style>
  <w:style w:type="paragraph" w:customStyle="1" w:styleId="227">
    <w:name w:val="Char Char Char1"/>
    <w:basedOn w:val="1"/>
    <w:qFormat/>
    <w:uiPriority w:val="0"/>
    <w:pPr>
      <w:ind w:firstLine="200" w:firstLineChars="200"/>
    </w:pPr>
    <w:rPr>
      <w:sz w:val="24"/>
    </w:rPr>
  </w:style>
  <w:style w:type="paragraph" w:customStyle="1" w:styleId="228">
    <w:name w:val="Char13"/>
    <w:basedOn w:val="1"/>
    <w:qFormat/>
    <w:uiPriority w:val="0"/>
  </w:style>
  <w:style w:type="paragraph" w:customStyle="1" w:styleId="229">
    <w:name w:val="p0"/>
    <w:basedOn w:val="1"/>
    <w:qFormat/>
    <w:uiPriority w:val="0"/>
    <w:pPr>
      <w:widowControl/>
    </w:pPr>
    <w:rPr>
      <w:kern w:val="0"/>
      <w:szCs w:val="21"/>
    </w:rPr>
  </w:style>
  <w:style w:type="paragraph" w:customStyle="1" w:styleId="230">
    <w:name w:val="5"/>
    <w:basedOn w:val="1"/>
    <w:qFormat/>
    <w:uiPriority w:val="0"/>
    <w:pPr>
      <w:tabs>
        <w:tab w:val="right" w:pos="-2120"/>
      </w:tabs>
      <w:snapToGrid w:val="0"/>
    </w:pPr>
    <w:rPr>
      <w:rFonts w:ascii="Tahoma" w:hAnsi="Tahoma"/>
      <w:spacing w:val="6"/>
      <w:sz w:val="24"/>
      <w:szCs w:val="20"/>
    </w:rPr>
  </w:style>
  <w:style w:type="paragraph" w:customStyle="1" w:styleId="231">
    <w:name w:val="Char2 Char Char Char Char Char Char"/>
    <w:basedOn w:val="14"/>
    <w:qFormat/>
    <w:uiPriority w:val="0"/>
    <w:rPr>
      <w:rFonts w:ascii="Tahoma" w:hAnsi="Tahoma"/>
      <w:sz w:val="24"/>
    </w:rPr>
  </w:style>
  <w:style w:type="paragraph" w:customStyle="1" w:styleId="232">
    <w:name w:val="日期1"/>
    <w:basedOn w:val="1"/>
    <w:next w:val="1"/>
    <w:link w:val="295"/>
    <w:qFormat/>
    <w:uiPriority w:val="0"/>
    <w:rPr>
      <w:szCs w:val="20"/>
    </w:rPr>
  </w:style>
  <w:style w:type="paragraph" w:customStyle="1" w:styleId="233">
    <w:name w:val="Char Char Char Char Char Char"/>
    <w:basedOn w:val="1"/>
    <w:qFormat/>
    <w:uiPriority w:val="0"/>
    <w:rPr>
      <w:rFonts w:ascii="Tahoma" w:hAnsi="Tahoma"/>
      <w:sz w:val="24"/>
      <w:szCs w:val="20"/>
    </w:rPr>
  </w:style>
  <w:style w:type="paragraph" w:styleId="234">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235">
    <w:name w:val="承康医疗"/>
    <w:basedOn w:val="1"/>
    <w:link w:val="299"/>
    <w:qFormat/>
    <w:uiPriority w:val="0"/>
    <w:pPr>
      <w:widowControl/>
      <w:jc w:val="left"/>
    </w:pPr>
    <w:rPr>
      <w:rFonts w:ascii="微软雅黑" w:hAnsi="微软雅黑" w:eastAsia="微软雅黑"/>
      <w:kern w:val="0"/>
      <w:szCs w:val="21"/>
    </w:rPr>
  </w:style>
  <w:style w:type="paragraph" w:customStyle="1" w:styleId="236">
    <w:name w:val="无间隔11"/>
    <w:basedOn w:val="1"/>
    <w:qFormat/>
    <w:uiPriority w:val="0"/>
    <w:pPr>
      <w:widowControl/>
      <w:jc w:val="left"/>
    </w:pPr>
    <w:rPr>
      <w:kern w:val="0"/>
      <w:sz w:val="22"/>
      <w:szCs w:val="20"/>
      <w:lang w:eastAsia="en-US" w:bidi="en-US"/>
    </w:rPr>
  </w:style>
  <w:style w:type="paragraph" w:customStyle="1" w:styleId="237">
    <w:name w:val="彩色列表 - 强调文字颜色 11"/>
    <w:basedOn w:val="1"/>
    <w:qFormat/>
    <w:uiPriority w:val="34"/>
    <w:pPr>
      <w:ind w:firstLine="420" w:firstLineChars="200"/>
    </w:pPr>
    <w:rPr>
      <w:rFonts w:ascii="Cambria" w:hAnsi="Cambria"/>
      <w:sz w:val="24"/>
    </w:rPr>
  </w:style>
  <w:style w:type="paragraph" w:customStyle="1" w:styleId="238">
    <w:name w:val="清單段落"/>
    <w:basedOn w:val="1"/>
    <w:qFormat/>
    <w:uiPriority w:val="99"/>
    <w:pPr>
      <w:ind w:left="480" w:leftChars="200"/>
    </w:pPr>
  </w:style>
  <w:style w:type="paragraph" w:customStyle="1" w:styleId="239">
    <w:name w:val="清單段落1"/>
    <w:basedOn w:val="1"/>
    <w:qFormat/>
    <w:uiPriority w:val="34"/>
    <w:pPr>
      <w:ind w:left="720"/>
      <w:contextualSpacing/>
    </w:pPr>
  </w:style>
  <w:style w:type="paragraph" w:customStyle="1" w:styleId="240">
    <w:name w:val="列出段落2"/>
    <w:basedOn w:val="1"/>
    <w:qFormat/>
    <w:uiPriority w:val="0"/>
    <w:pPr>
      <w:ind w:firstLine="420" w:firstLineChars="200"/>
    </w:pPr>
    <w:rPr>
      <w:rFonts w:ascii="Calibri" w:hAnsi="Calibri"/>
      <w:szCs w:val="22"/>
    </w:rPr>
  </w:style>
  <w:style w:type="paragraph" w:customStyle="1" w:styleId="241">
    <w:name w:val="列表段落1"/>
    <w:basedOn w:val="1"/>
    <w:link w:val="331"/>
    <w:qFormat/>
    <w:uiPriority w:val="34"/>
    <w:pPr>
      <w:ind w:firstLine="420" w:firstLineChars="200"/>
    </w:pPr>
  </w:style>
  <w:style w:type="paragraph" w:customStyle="1" w:styleId="242">
    <w:name w:val="列表段落2"/>
    <w:basedOn w:val="1"/>
    <w:qFormat/>
    <w:uiPriority w:val="0"/>
    <w:pPr>
      <w:ind w:firstLine="420" w:firstLineChars="200"/>
    </w:pPr>
    <w:rPr>
      <w:rFonts w:ascii="Calibri" w:hAnsi="Calibri"/>
      <w:szCs w:val="22"/>
    </w:rPr>
  </w:style>
  <w:style w:type="paragraph" w:customStyle="1" w:styleId="243">
    <w:name w:val="Table Paragraph"/>
    <w:basedOn w:val="1"/>
    <w:qFormat/>
    <w:uiPriority w:val="1"/>
    <w:pPr>
      <w:widowControl/>
      <w:spacing w:before="40"/>
      <w:ind w:left="327"/>
      <w:jc w:val="left"/>
    </w:pPr>
    <w:rPr>
      <w:rFonts w:cs="宋体"/>
      <w:kern w:val="0"/>
      <w:sz w:val="24"/>
      <w:szCs w:val="20"/>
      <w:lang w:val="zh-CN" w:bidi="zh-CN"/>
    </w:rPr>
  </w:style>
  <w:style w:type="character" w:customStyle="1" w:styleId="244">
    <w:name w:val="样式5 Char"/>
    <w:link w:val="94"/>
    <w:qFormat/>
    <w:uiPriority w:val="0"/>
    <w:rPr>
      <w:rFonts w:ascii="宋体"/>
      <w:kern w:val="2"/>
      <w:sz w:val="21"/>
      <w:u w:val="single"/>
    </w:rPr>
  </w:style>
  <w:style w:type="character" w:customStyle="1" w:styleId="245">
    <w:name w:val="样式7 Char"/>
    <w:link w:val="122"/>
    <w:qFormat/>
    <w:uiPriority w:val="0"/>
    <w:rPr>
      <w:kern w:val="2"/>
      <w:sz w:val="18"/>
      <w:szCs w:val="18"/>
    </w:rPr>
  </w:style>
  <w:style w:type="character" w:customStyle="1" w:styleId="246">
    <w:name w:val="Char Char2"/>
    <w:qFormat/>
    <w:uiPriority w:val="0"/>
    <w:rPr>
      <w:rFonts w:eastAsia="宋体"/>
      <w:kern w:val="2"/>
      <w:sz w:val="18"/>
      <w:szCs w:val="18"/>
      <w:lang w:val="en-US" w:eastAsia="zh-CN" w:bidi="ar-SA"/>
    </w:rPr>
  </w:style>
  <w:style w:type="character" w:customStyle="1" w:styleId="247">
    <w:name w:val="标题 Char1"/>
    <w:qFormat/>
    <w:uiPriority w:val="0"/>
    <w:rPr>
      <w:rFonts w:ascii="Calibri Light" w:hAnsi="Calibri Light" w:cs="Times New Roman"/>
      <w:b/>
      <w:bCs/>
      <w:kern w:val="2"/>
      <w:sz w:val="32"/>
      <w:szCs w:val="32"/>
    </w:rPr>
  </w:style>
  <w:style w:type="character" w:customStyle="1" w:styleId="248">
    <w:name w:val="批注框文本 字符"/>
    <w:link w:val="27"/>
    <w:qFormat/>
    <w:uiPriority w:val="99"/>
    <w:rPr>
      <w:kern w:val="2"/>
      <w:sz w:val="18"/>
      <w:szCs w:val="18"/>
    </w:rPr>
  </w:style>
  <w:style w:type="character" w:customStyle="1" w:styleId="249">
    <w:name w:val="样式8 Char"/>
    <w:link w:val="169"/>
    <w:qFormat/>
    <w:uiPriority w:val="0"/>
    <w:rPr>
      <w:kern w:val="2"/>
      <w:sz w:val="18"/>
      <w:szCs w:val="18"/>
    </w:rPr>
  </w:style>
  <w:style w:type="character" w:customStyle="1" w:styleId="250">
    <w:name w:val="grame"/>
    <w:qFormat/>
    <w:uiPriority w:val="0"/>
  </w:style>
  <w:style w:type="character" w:customStyle="1" w:styleId="251">
    <w:name w:val="Char Char"/>
    <w:qFormat/>
    <w:uiPriority w:val="0"/>
    <w:rPr>
      <w:rFonts w:ascii="Century Gothic" w:hAnsi="Century Gothic"/>
      <w:bCs/>
      <w:kern w:val="28"/>
      <w:sz w:val="21"/>
      <w:szCs w:val="32"/>
    </w:rPr>
  </w:style>
  <w:style w:type="character" w:customStyle="1" w:styleId="252">
    <w:name w:val="样式3 Char"/>
    <w:link w:val="140"/>
    <w:qFormat/>
    <w:uiPriority w:val="0"/>
    <w:rPr>
      <w:rFonts w:ascii="黑体" w:hAnsi="黑体" w:eastAsia="黑体"/>
      <w:bCs/>
      <w:kern w:val="2"/>
      <w:sz w:val="18"/>
      <w:szCs w:val="18"/>
    </w:rPr>
  </w:style>
  <w:style w:type="character" w:customStyle="1" w:styleId="253">
    <w:name w:val="标题 3 字符"/>
    <w:link w:val="4"/>
    <w:qFormat/>
    <w:uiPriority w:val="9"/>
    <w:rPr>
      <w:rFonts w:ascii="宋体" w:hAnsi="宋体" w:eastAsia="宋体"/>
      <w:b/>
      <w:sz w:val="28"/>
    </w:rPr>
  </w:style>
  <w:style w:type="character" w:customStyle="1" w:styleId="254">
    <w:name w:val="批注主题 字符"/>
    <w:link w:val="42"/>
    <w:qFormat/>
    <w:uiPriority w:val="99"/>
    <w:rPr>
      <w:b/>
      <w:bCs/>
      <w:kern w:val="2"/>
      <w:sz w:val="21"/>
      <w:szCs w:val="24"/>
    </w:rPr>
  </w:style>
  <w:style w:type="character" w:customStyle="1" w:styleId="255">
    <w:name w:val="页眉 字符"/>
    <w:link w:val="29"/>
    <w:qFormat/>
    <w:uiPriority w:val="99"/>
    <w:rPr>
      <w:kern w:val="2"/>
      <w:sz w:val="18"/>
      <w:szCs w:val="18"/>
    </w:rPr>
  </w:style>
  <w:style w:type="character" w:customStyle="1" w:styleId="256">
    <w:name w:val="font51"/>
    <w:qFormat/>
    <w:uiPriority w:val="0"/>
    <w:rPr>
      <w:rFonts w:hint="eastAsia" w:ascii="宋体" w:hAnsi="宋体" w:eastAsia="宋体"/>
      <w:b/>
      <w:bCs/>
      <w:color w:val="000000"/>
      <w:sz w:val="20"/>
      <w:szCs w:val="20"/>
      <w:u w:val="none"/>
    </w:rPr>
  </w:style>
  <w:style w:type="character" w:customStyle="1" w:styleId="257">
    <w:name w:val="font21"/>
    <w:qFormat/>
    <w:uiPriority w:val="0"/>
    <w:rPr>
      <w:rFonts w:hint="default" w:ascii="Times New Roman" w:hAnsi="Times New Roman" w:cs="Times New Roman"/>
      <w:color w:val="000000"/>
      <w:sz w:val="20"/>
      <w:szCs w:val="20"/>
      <w:u w:val="none"/>
    </w:rPr>
  </w:style>
  <w:style w:type="character" w:customStyle="1" w:styleId="258">
    <w:name w:val="纯文本 字符2"/>
    <w:link w:val="23"/>
    <w:qFormat/>
    <w:uiPriority w:val="0"/>
    <w:rPr>
      <w:rFonts w:ascii="宋体"/>
      <w:kern w:val="2"/>
      <w:sz w:val="21"/>
    </w:rPr>
  </w:style>
  <w:style w:type="character" w:customStyle="1" w:styleId="259">
    <w:name w:val="样式3 Char Char"/>
    <w:qFormat/>
    <w:uiPriority w:val="0"/>
    <w:rPr>
      <w:rFonts w:ascii="Century Gothic" w:hAnsi="Century Gothic" w:eastAsia="宋体"/>
      <w:kern w:val="2"/>
      <w:sz w:val="21"/>
      <w:szCs w:val="21"/>
      <w:lang w:val="en-US" w:eastAsia="zh-CN" w:bidi="ar-SA"/>
    </w:rPr>
  </w:style>
  <w:style w:type="character" w:customStyle="1" w:styleId="260">
    <w:name w:val="font61"/>
    <w:qFormat/>
    <w:uiPriority w:val="0"/>
    <w:rPr>
      <w:rFonts w:hint="default" w:ascii="宋体" w:hAnsi="宋体"/>
      <w:color w:val="000000"/>
      <w:sz w:val="18"/>
      <w:szCs w:val="18"/>
      <w:u w:val="none"/>
    </w:rPr>
  </w:style>
  <w:style w:type="character" w:customStyle="1" w:styleId="261">
    <w:name w:val="正文文本缩进 字符"/>
    <w:link w:val="18"/>
    <w:qFormat/>
    <w:uiPriority w:val="99"/>
    <w:rPr>
      <w:rFonts w:ascii="宋体"/>
      <w:spacing w:val="-4"/>
      <w:kern w:val="2"/>
      <w:sz w:val="18"/>
    </w:rPr>
  </w:style>
  <w:style w:type="character" w:customStyle="1" w:styleId="262">
    <w:name w:val="font81"/>
    <w:qFormat/>
    <w:uiPriority w:val="0"/>
    <w:rPr>
      <w:rFonts w:hint="default" w:ascii="宋体" w:hAnsi="宋体"/>
      <w:color w:val="000000"/>
      <w:sz w:val="24"/>
      <w:szCs w:val="24"/>
      <w:u w:val="none"/>
    </w:rPr>
  </w:style>
  <w:style w:type="character" w:customStyle="1" w:styleId="263">
    <w:name w:val="批注文字 字符"/>
    <w:link w:val="15"/>
    <w:qFormat/>
    <w:uiPriority w:val="0"/>
    <w:rPr>
      <w:kern w:val="2"/>
      <w:sz w:val="21"/>
      <w:szCs w:val="24"/>
    </w:rPr>
  </w:style>
  <w:style w:type="character" w:customStyle="1" w:styleId="264">
    <w:name w:val="font01"/>
    <w:qFormat/>
    <w:uiPriority w:val="0"/>
    <w:rPr>
      <w:rFonts w:hint="eastAsia" w:ascii="宋体" w:hAnsi="宋体" w:eastAsia="宋体"/>
      <w:color w:val="000000"/>
      <w:sz w:val="20"/>
      <w:szCs w:val="20"/>
      <w:u w:val="none"/>
    </w:rPr>
  </w:style>
  <w:style w:type="character" w:customStyle="1" w:styleId="265">
    <w:name w:val="标题 1 字符"/>
    <w:link w:val="2"/>
    <w:qFormat/>
    <w:uiPriority w:val="9"/>
    <w:rPr>
      <w:rFonts w:ascii="宋体" w:hAnsi="宋体" w:eastAsia="宋体"/>
      <w:b/>
      <w:kern w:val="44"/>
      <w:sz w:val="32"/>
    </w:rPr>
  </w:style>
  <w:style w:type="character" w:customStyle="1" w:styleId="266">
    <w:name w:val="font91"/>
    <w:qFormat/>
    <w:uiPriority w:val="0"/>
    <w:rPr>
      <w:rFonts w:hint="eastAsia" w:ascii="华文楷体" w:eastAsia="华文楷体"/>
      <w:color w:val="000000"/>
      <w:sz w:val="20"/>
      <w:szCs w:val="20"/>
      <w:u w:val="none"/>
    </w:rPr>
  </w:style>
  <w:style w:type="character" w:customStyle="1" w:styleId="267">
    <w:name w:val="标题 4 字符"/>
    <w:link w:val="5"/>
    <w:qFormat/>
    <w:uiPriority w:val="9"/>
    <w:rPr>
      <w:rFonts w:ascii="Arial" w:hAnsi="Arial" w:eastAsia="宋体"/>
      <w:b/>
      <w:sz w:val="24"/>
    </w:rPr>
  </w:style>
  <w:style w:type="character" w:customStyle="1" w:styleId="268">
    <w:name w:val="样式6 Char"/>
    <w:link w:val="157"/>
    <w:qFormat/>
    <w:uiPriority w:val="0"/>
    <w:rPr>
      <w:kern w:val="2"/>
      <w:sz w:val="18"/>
      <w:szCs w:val="18"/>
    </w:rPr>
  </w:style>
  <w:style w:type="character" w:customStyle="1" w:styleId="269">
    <w:name w:val="标题 字符"/>
    <w:link w:val="41"/>
    <w:qFormat/>
    <w:uiPriority w:val="0"/>
    <w:rPr>
      <w:rFonts w:ascii="Cambria" w:hAnsi="Cambria" w:cs="黑体"/>
      <w:b/>
      <w:bCs/>
      <w:sz w:val="32"/>
      <w:szCs w:val="32"/>
    </w:rPr>
  </w:style>
  <w:style w:type="character" w:customStyle="1" w:styleId="270">
    <w:name w:val="标题 2 字符"/>
    <w:link w:val="3"/>
    <w:qFormat/>
    <w:uiPriority w:val="0"/>
    <w:rPr>
      <w:rFonts w:ascii="宋体" w:hAnsi="宋体" w:eastAsia="宋体"/>
      <w:b/>
      <w:sz w:val="30"/>
    </w:rPr>
  </w:style>
  <w:style w:type="character" w:customStyle="1" w:styleId="271">
    <w:name w:val="px12h161"/>
    <w:qFormat/>
    <w:uiPriority w:val="0"/>
    <w:rPr>
      <w:sz w:val="14"/>
      <w:szCs w:val="14"/>
    </w:rPr>
  </w:style>
  <w:style w:type="character" w:customStyle="1" w:styleId="272">
    <w:name w:val="样式4 Char"/>
    <w:link w:val="56"/>
    <w:qFormat/>
    <w:uiPriority w:val="0"/>
    <w:rPr>
      <w:bCs/>
      <w:kern w:val="2"/>
      <w:sz w:val="18"/>
      <w:szCs w:val="18"/>
    </w:rPr>
  </w:style>
  <w:style w:type="character" w:customStyle="1" w:styleId="273">
    <w:name w:val="font41"/>
    <w:basedOn w:val="46"/>
    <w:qFormat/>
    <w:uiPriority w:val="0"/>
    <w:rPr>
      <w:rFonts w:hint="default" w:ascii="Times New Roman" w:hAnsi="Times New Roman" w:cs="Times New Roman"/>
      <w:b/>
      <w:bCs/>
      <w:color w:val="000000"/>
      <w:sz w:val="20"/>
      <w:szCs w:val="20"/>
      <w:u w:val="none"/>
    </w:rPr>
  </w:style>
  <w:style w:type="character" w:customStyle="1" w:styleId="274">
    <w:name w:val="_Style 265"/>
    <w:qFormat/>
    <w:uiPriority w:val="0"/>
    <w:rPr>
      <w:rFonts w:eastAsia="仿宋_GB2312"/>
      <w:iCs/>
      <w:color w:val="auto"/>
      <w:sz w:val="24"/>
    </w:rPr>
  </w:style>
  <w:style w:type="character" w:customStyle="1" w:styleId="275">
    <w:name w:val="副标题 Char1"/>
    <w:qFormat/>
    <w:uiPriority w:val="0"/>
    <w:rPr>
      <w:rFonts w:ascii="Cambria" w:hAnsi="Cambria" w:cs="Times New Roman"/>
      <w:b/>
      <w:bCs/>
      <w:kern w:val="28"/>
      <w:sz w:val="32"/>
      <w:szCs w:val="32"/>
    </w:rPr>
  </w:style>
  <w:style w:type="character" w:customStyle="1" w:styleId="276">
    <w:name w:val="font71"/>
    <w:qFormat/>
    <w:uiPriority w:val="0"/>
    <w:rPr>
      <w:rFonts w:hint="eastAsia" w:ascii="宋体" w:hAnsi="宋体" w:eastAsia="宋体"/>
      <w:b/>
      <w:bCs/>
      <w:color w:val="000000"/>
      <w:sz w:val="24"/>
      <w:szCs w:val="24"/>
      <w:u w:val="none"/>
    </w:rPr>
  </w:style>
  <w:style w:type="character" w:customStyle="1" w:styleId="277">
    <w:name w:val="日期 字符"/>
    <w:link w:val="25"/>
    <w:qFormat/>
    <w:uiPriority w:val="0"/>
    <w:rPr>
      <w:kern w:val="2"/>
      <w:sz w:val="21"/>
      <w:szCs w:val="24"/>
    </w:rPr>
  </w:style>
  <w:style w:type="character" w:customStyle="1" w:styleId="278">
    <w:name w:val="副标题 字符"/>
    <w:link w:val="32"/>
    <w:qFormat/>
    <w:uiPriority w:val="0"/>
    <w:rPr>
      <w:rFonts w:ascii="Century Gothic" w:hAnsi="Century Gothic" w:cs="Century Gothic"/>
      <w:kern w:val="28"/>
      <w:sz w:val="21"/>
      <w:szCs w:val="21"/>
    </w:rPr>
  </w:style>
  <w:style w:type="character" w:customStyle="1" w:styleId="279">
    <w:name w:val="文档结构图 字符"/>
    <w:link w:val="14"/>
    <w:qFormat/>
    <w:uiPriority w:val="99"/>
    <w:rPr>
      <w:kern w:val="2"/>
      <w:sz w:val="21"/>
      <w:szCs w:val="24"/>
      <w:shd w:val="clear" w:color="auto" w:fill="000080"/>
    </w:rPr>
  </w:style>
  <w:style w:type="character" w:customStyle="1" w:styleId="280">
    <w:name w:val="普通文字1 Char1"/>
    <w:qFormat/>
    <w:uiPriority w:val="0"/>
    <w:rPr>
      <w:rFonts w:ascii="宋体" w:eastAsia="宋体"/>
      <w:kern w:val="2"/>
      <w:sz w:val="21"/>
      <w:lang w:val="en-US" w:eastAsia="zh-CN" w:bidi="ar-SA"/>
    </w:rPr>
  </w:style>
  <w:style w:type="character" w:customStyle="1" w:styleId="281">
    <w:name w:val="页脚 字符1"/>
    <w:link w:val="28"/>
    <w:qFormat/>
    <w:uiPriority w:val="0"/>
    <w:rPr>
      <w:rFonts w:ascii="宋体"/>
      <w:kern w:val="2"/>
      <w:sz w:val="18"/>
    </w:rPr>
  </w:style>
  <w:style w:type="character" w:customStyle="1" w:styleId="282">
    <w:name w:val="_Style 273"/>
    <w:qFormat/>
    <w:uiPriority w:val="32"/>
    <w:rPr>
      <w:b/>
      <w:bCs/>
      <w:smallCaps/>
      <w:color w:val="C0504D"/>
      <w:spacing w:val="5"/>
      <w:u w:val="single"/>
    </w:rPr>
  </w:style>
  <w:style w:type="character" w:customStyle="1" w:styleId="283">
    <w:name w:val="正文文本缩进 2 字符"/>
    <w:link w:val="26"/>
    <w:qFormat/>
    <w:uiPriority w:val="99"/>
    <w:rPr>
      <w:kern w:val="2"/>
      <w:sz w:val="21"/>
      <w:szCs w:val="24"/>
    </w:rPr>
  </w:style>
  <w:style w:type="character" w:customStyle="1" w:styleId="284">
    <w:name w:val="纯文本 字符"/>
    <w:qFormat/>
    <w:uiPriority w:val="99"/>
    <w:rPr>
      <w:rFonts w:ascii="宋体"/>
      <w:kern w:val="2"/>
      <w:sz w:val="21"/>
    </w:rPr>
  </w:style>
  <w:style w:type="character" w:customStyle="1" w:styleId="285">
    <w:name w:val="纯文本 Char2"/>
    <w:qFormat/>
    <w:uiPriority w:val="0"/>
    <w:rPr>
      <w:rFonts w:ascii="宋体" w:hAnsi="Times New Roman" w:eastAsia="宋体" w:cs="Times New Roman"/>
      <w:kern w:val="2"/>
      <w:sz w:val="21"/>
      <w:lang w:val="en-US" w:eastAsia="zh-CN" w:bidi="ar-SA"/>
    </w:rPr>
  </w:style>
  <w:style w:type="character" w:customStyle="1" w:styleId="286">
    <w:name w:val="标题 5 字符"/>
    <w:qFormat/>
    <w:uiPriority w:val="9"/>
    <w:rPr>
      <w:b/>
      <w:bCs/>
      <w:kern w:val="2"/>
      <w:sz w:val="28"/>
      <w:szCs w:val="28"/>
    </w:rPr>
  </w:style>
  <w:style w:type="character" w:customStyle="1" w:styleId="287">
    <w:name w:val="标题 3 Char2"/>
    <w:qFormat/>
    <w:uiPriority w:val="0"/>
    <w:rPr>
      <w:rFonts w:eastAsia="黑体"/>
      <w:b/>
      <w:sz w:val="28"/>
    </w:rPr>
  </w:style>
  <w:style w:type="character" w:customStyle="1" w:styleId="288">
    <w:name w:val="纯文本 Char1"/>
    <w:qFormat/>
    <w:uiPriority w:val="0"/>
    <w:rPr>
      <w:rFonts w:ascii="宋体" w:eastAsia="宋体"/>
      <w:kern w:val="2"/>
      <w:sz w:val="21"/>
      <w:lang w:val="en-US" w:eastAsia="zh-CN" w:bidi="ar-SA"/>
    </w:rPr>
  </w:style>
  <w:style w:type="character" w:customStyle="1" w:styleId="289">
    <w:name w:val="正文文本 字符"/>
    <w:link w:val="17"/>
    <w:qFormat/>
    <w:uiPriority w:val="0"/>
    <w:rPr>
      <w:rFonts w:ascii="金山简黑体" w:hAnsi="金山简黑体" w:eastAsia="金山简黑体"/>
      <w:b/>
      <w:spacing w:val="-8"/>
      <w:kern w:val="2"/>
      <w:sz w:val="44"/>
    </w:rPr>
  </w:style>
  <w:style w:type="character" w:customStyle="1" w:styleId="290">
    <w:name w:val="标题 5 字符1"/>
    <w:link w:val="6"/>
    <w:qFormat/>
    <w:uiPriority w:val="9"/>
    <w:rPr>
      <w:rFonts w:ascii="宋体" w:hAnsi="宋体"/>
      <w:b/>
      <w:sz w:val="28"/>
      <w:szCs w:val="24"/>
    </w:rPr>
  </w:style>
  <w:style w:type="character" w:customStyle="1" w:styleId="291">
    <w:name w:val="标题 3 Char1"/>
    <w:qFormat/>
    <w:uiPriority w:val="0"/>
    <w:rPr>
      <w:rFonts w:eastAsia="宋体"/>
      <w:b/>
      <w:bCs/>
      <w:kern w:val="2"/>
      <w:sz w:val="32"/>
      <w:szCs w:val="32"/>
      <w:lang w:val="en-US" w:eastAsia="zh-CN" w:bidi="ar-SA"/>
    </w:rPr>
  </w:style>
  <w:style w:type="character" w:customStyle="1" w:styleId="292">
    <w:name w:val="列表段落 字符"/>
    <w:link w:val="165"/>
    <w:qFormat/>
    <w:uiPriority w:val="34"/>
    <w:rPr>
      <w:kern w:val="2"/>
      <w:sz w:val="21"/>
      <w:szCs w:val="21"/>
    </w:rPr>
  </w:style>
  <w:style w:type="character" w:customStyle="1" w:styleId="293">
    <w:name w:val="dy_biao_content1"/>
    <w:qFormat/>
    <w:uiPriority w:val="0"/>
    <w:rPr>
      <w:rFonts w:hint="eastAsia" w:ascii="宋体" w:hAnsi="宋体" w:eastAsia="宋体"/>
      <w:sz w:val="24"/>
      <w:szCs w:val="24"/>
    </w:rPr>
  </w:style>
  <w:style w:type="character" w:customStyle="1" w:styleId="294">
    <w:name w:val="正文缩进 字符"/>
    <w:link w:val="13"/>
    <w:qFormat/>
    <w:uiPriority w:val="0"/>
    <w:rPr>
      <w:kern w:val="2"/>
      <w:sz w:val="21"/>
      <w:szCs w:val="21"/>
    </w:rPr>
  </w:style>
  <w:style w:type="character" w:customStyle="1" w:styleId="295">
    <w:name w:val="Date Char Char"/>
    <w:link w:val="232"/>
    <w:qFormat/>
    <w:uiPriority w:val="0"/>
    <w:rPr>
      <w:kern w:val="2"/>
      <w:sz w:val="21"/>
    </w:rPr>
  </w:style>
  <w:style w:type="character" w:customStyle="1" w:styleId="296">
    <w:name w:val="页脚 字符"/>
    <w:qFormat/>
    <w:uiPriority w:val="99"/>
    <w:rPr>
      <w:kern w:val="2"/>
      <w:sz w:val="18"/>
      <w:szCs w:val="18"/>
    </w:rPr>
  </w:style>
  <w:style w:type="character" w:customStyle="1" w:styleId="297">
    <w:name w:val="正文文本 2 字符1"/>
    <w:link w:val="37"/>
    <w:qFormat/>
    <w:uiPriority w:val="0"/>
    <w:rPr>
      <w:rFonts w:ascii="宋体"/>
      <w:kern w:val="2"/>
      <w:sz w:val="13"/>
    </w:rPr>
  </w:style>
  <w:style w:type="character" w:customStyle="1" w:styleId="298">
    <w:name w:val="正文文本 3 字符1"/>
    <w:link w:val="16"/>
    <w:qFormat/>
    <w:uiPriority w:val="0"/>
    <w:rPr>
      <w:kern w:val="2"/>
      <w:sz w:val="24"/>
      <w:szCs w:val="24"/>
    </w:rPr>
  </w:style>
  <w:style w:type="character" w:customStyle="1" w:styleId="299">
    <w:name w:val="承康医疗 Char"/>
    <w:link w:val="235"/>
    <w:qFormat/>
    <w:uiPriority w:val="0"/>
    <w:rPr>
      <w:rFonts w:ascii="微软雅黑" w:hAnsi="微软雅黑" w:eastAsia="微软雅黑"/>
      <w:sz w:val="21"/>
      <w:szCs w:val="21"/>
    </w:rPr>
  </w:style>
  <w:style w:type="character" w:customStyle="1" w:styleId="300">
    <w:name w:val="纯文本 字符1"/>
    <w:qFormat/>
    <w:uiPriority w:val="0"/>
    <w:rPr>
      <w:rFonts w:ascii="宋体" w:eastAsia="宋体"/>
      <w:kern w:val="2"/>
      <w:sz w:val="21"/>
      <w:lang w:val="en-US" w:eastAsia="zh-CN" w:bidi="ar-SA"/>
    </w:rPr>
  </w:style>
  <w:style w:type="character" w:customStyle="1" w:styleId="301">
    <w:name w:val="列出段落 字符"/>
    <w:qFormat/>
    <w:uiPriority w:val="0"/>
    <w:rPr>
      <w:rFonts w:ascii="Times New Roman" w:hAnsi="Times New Roman" w:eastAsia="宋体" w:cs="Times New Roman"/>
      <w:kern w:val="2"/>
      <w:sz w:val="21"/>
      <w:szCs w:val="24"/>
    </w:rPr>
  </w:style>
  <w:style w:type="character" w:customStyle="1" w:styleId="302">
    <w:name w:val="正文文本 2 字符"/>
    <w:qFormat/>
    <w:uiPriority w:val="0"/>
    <w:rPr>
      <w:kern w:val="2"/>
      <w:sz w:val="21"/>
      <w:szCs w:val="24"/>
    </w:rPr>
  </w:style>
  <w:style w:type="character" w:customStyle="1" w:styleId="303">
    <w:name w:val="正文文本 3 字符"/>
    <w:qFormat/>
    <w:uiPriority w:val="0"/>
    <w:rPr>
      <w:kern w:val="2"/>
      <w:sz w:val="16"/>
      <w:szCs w:val="16"/>
    </w:rPr>
  </w:style>
  <w:style w:type="character" w:customStyle="1" w:styleId="304">
    <w:name w:val="未处理的提及1"/>
    <w:basedOn w:val="46"/>
    <w:semiHidden/>
    <w:unhideWhenUsed/>
    <w:qFormat/>
    <w:uiPriority w:val="99"/>
    <w:rPr>
      <w:color w:val="605E5C"/>
      <w:shd w:val="clear" w:color="auto" w:fill="E1DFDD"/>
    </w:rPr>
  </w:style>
  <w:style w:type="paragraph" w:customStyle="1" w:styleId="305">
    <w:name w:val="修订1"/>
    <w:hidden/>
    <w:semiHidden/>
    <w:qFormat/>
    <w:uiPriority w:val="99"/>
    <w:rPr>
      <w:rFonts w:ascii="宋体" w:hAnsi="宋体" w:eastAsia="宋体" w:cs="Times New Roman"/>
      <w:kern w:val="2"/>
      <w:sz w:val="21"/>
      <w:szCs w:val="24"/>
      <w:lang w:val="en-US" w:eastAsia="zh-CN" w:bidi="ar-SA"/>
    </w:rPr>
  </w:style>
  <w:style w:type="character" w:customStyle="1" w:styleId="306">
    <w:name w:val="未处理的提及2"/>
    <w:basedOn w:val="46"/>
    <w:semiHidden/>
    <w:unhideWhenUsed/>
    <w:qFormat/>
    <w:uiPriority w:val="99"/>
    <w:rPr>
      <w:color w:val="605E5C"/>
      <w:shd w:val="clear" w:color="auto" w:fill="E1DFDD"/>
    </w:rPr>
  </w:style>
  <w:style w:type="character" w:customStyle="1" w:styleId="307">
    <w:name w:val="纯文本 字符4"/>
    <w:qFormat/>
    <w:uiPriority w:val="0"/>
    <w:rPr>
      <w:rFonts w:ascii="宋体"/>
      <w:kern w:val="2"/>
      <w:sz w:val="21"/>
    </w:rPr>
  </w:style>
  <w:style w:type="character" w:customStyle="1" w:styleId="308">
    <w:name w:val="font31"/>
    <w:basedOn w:val="46"/>
    <w:qFormat/>
    <w:uiPriority w:val="0"/>
    <w:rPr>
      <w:rFonts w:hint="eastAsia" w:ascii="宋体" w:hAnsi="宋体" w:eastAsia="宋体" w:cs="宋体"/>
      <w:color w:val="000000"/>
      <w:sz w:val="18"/>
      <w:szCs w:val="18"/>
      <w:u w:val="none"/>
    </w:rPr>
  </w:style>
  <w:style w:type="character" w:customStyle="1" w:styleId="309">
    <w:name w:val="font112"/>
    <w:basedOn w:val="46"/>
    <w:qFormat/>
    <w:uiPriority w:val="0"/>
    <w:rPr>
      <w:rFonts w:ascii="Wingdings" w:hAnsi="Wingdings" w:cs="Wingdings"/>
      <w:color w:val="000000"/>
      <w:sz w:val="18"/>
      <w:szCs w:val="18"/>
      <w:u w:val="none"/>
    </w:rPr>
  </w:style>
  <w:style w:type="character" w:customStyle="1" w:styleId="310">
    <w:name w:val="font121"/>
    <w:basedOn w:val="46"/>
    <w:qFormat/>
    <w:uiPriority w:val="0"/>
    <w:rPr>
      <w:rFonts w:hint="default" w:ascii="Arial" w:hAnsi="Arial" w:cs="Arial"/>
      <w:color w:val="000000"/>
      <w:sz w:val="18"/>
      <w:szCs w:val="18"/>
      <w:u w:val="none"/>
    </w:rPr>
  </w:style>
  <w:style w:type="character" w:customStyle="1" w:styleId="311">
    <w:name w:val="font151"/>
    <w:basedOn w:val="46"/>
    <w:qFormat/>
    <w:uiPriority w:val="0"/>
    <w:rPr>
      <w:rFonts w:ascii="Calibri" w:hAnsi="Calibri" w:cs="Calibri"/>
      <w:color w:val="000000"/>
      <w:sz w:val="18"/>
      <w:szCs w:val="18"/>
      <w:u w:val="none"/>
    </w:rPr>
  </w:style>
  <w:style w:type="character" w:customStyle="1" w:styleId="312">
    <w:name w:val="font141"/>
    <w:basedOn w:val="46"/>
    <w:qFormat/>
    <w:uiPriority w:val="0"/>
    <w:rPr>
      <w:rFonts w:ascii="Cambria Math" w:hAnsi="Cambria Math" w:eastAsia="Cambria Math" w:cs="Cambria Math"/>
      <w:color w:val="000000"/>
      <w:sz w:val="18"/>
      <w:szCs w:val="18"/>
      <w:u w:val="none"/>
    </w:rPr>
  </w:style>
  <w:style w:type="character" w:customStyle="1" w:styleId="313">
    <w:name w:val="font131"/>
    <w:basedOn w:val="46"/>
    <w:qFormat/>
    <w:uiPriority w:val="0"/>
    <w:rPr>
      <w:rFonts w:ascii="Tahoma" w:hAnsi="Tahoma" w:eastAsia="Tahoma" w:cs="Tahoma"/>
      <w:color w:val="000000"/>
      <w:sz w:val="18"/>
      <w:szCs w:val="18"/>
      <w:u w:val="none"/>
    </w:rPr>
  </w:style>
  <w:style w:type="paragraph" w:customStyle="1" w:styleId="314">
    <w:name w:val="列出段落3"/>
    <w:basedOn w:val="1"/>
    <w:qFormat/>
    <w:uiPriority w:val="34"/>
    <w:pPr>
      <w:ind w:firstLine="420" w:firstLineChars="200"/>
    </w:pPr>
    <w:rPr>
      <w:rFonts w:ascii="Calibri" w:hAnsi="Calibri"/>
      <w:szCs w:val="22"/>
    </w:rPr>
  </w:style>
  <w:style w:type="paragraph" w:customStyle="1" w:styleId="315">
    <w:name w:val="列表段落3"/>
    <w:basedOn w:val="1"/>
    <w:qFormat/>
    <w:uiPriority w:val="0"/>
    <w:pPr>
      <w:ind w:firstLine="420" w:firstLineChars="200"/>
    </w:pPr>
    <w:rPr>
      <w:rFonts w:ascii="Calibri" w:hAnsi="Calibri"/>
      <w:szCs w:val="22"/>
    </w:rPr>
  </w:style>
  <w:style w:type="character" w:customStyle="1" w:styleId="316">
    <w:name w:val="未处理的提及3"/>
    <w:basedOn w:val="46"/>
    <w:semiHidden/>
    <w:unhideWhenUsed/>
    <w:qFormat/>
    <w:uiPriority w:val="99"/>
    <w:rPr>
      <w:color w:val="605E5C"/>
      <w:shd w:val="clear" w:color="auto" w:fill="E1DFDD"/>
    </w:rPr>
  </w:style>
  <w:style w:type="paragraph" w:customStyle="1" w:styleId="317">
    <w:name w:val="彩色列表 - 强调文字颜色 12"/>
    <w:basedOn w:val="1"/>
    <w:qFormat/>
    <w:uiPriority w:val="34"/>
    <w:pPr>
      <w:ind w:firstLine="420" w:firstLineChars="200"/>
    </w:pPr>
    <w:rPr>
      <w:rFonts w:ascii="Calibri" w:hAnsi="Calibri"/>
      <w:szCs w:val="22"/>
    </w:rPr>
  </w:style>
  <w:style w:type="paragraph" w:customStyle="1" w:styleId="318">
    <w:name w:val="纯文本1"/>
    <w:basedOn w:val="1"/>
    <w:qFormat/>
    <w:uiPriority w:val="0"/>
    <w:rPr>
      <w:rFonts w:hAnsi="Courier New"/>
      <w:szCs w:val="22"/>
    </w:rPr>
  </w:style>
  <w:style w:type="paragraph" w:customStyle="1" w:styleId="319">
    <w:name w:val="正文缩进1"/>
    <w:basedOn w:val="1"/>
    <w:qFormat/>
    <w:uiPriority w:val="0"/>
    <w:pPr>
      <w:autoSpaceDE w:val="0"/>
      <w:autoSpaceDN w:val="0"/>
      <w:adjustRightInd w:val="0"/>
      <w:ind w:firstLine="420"/>
      <w:jc w:val="left"/>
    </w:pPr>
    <w:rPr>
      <w:rFonts w:hAnsi="Calibri"/>
      <w:sz w:val="24"/>
      <w:szCs w:val="22"/>
    </w:rPr>
  </w:style>
  <w:style w:type="paragraph" w:customStyle="1" w:styleId="320">
    <w:name w:val="TOC 标题1"/>
    <w:basedOn w:val="2"/>
    <w:next w:val="1"/>
    <w:unhideWhenUsed/>
    <w:qFormat/>
    <w:uiPriority w:val="39"/>
    <w:pPr>
      <w:widowControl/>
      <w:numPr>
        <w:numId w:val="0"/>
      </w:numPr>
      <w:tabs>
        <w:tab w:val="left" w:pos="360"/>
      </w:tabs>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321">
    <w:name w:val="未处理的提及4"/>
    <w:basedOn w:val="46"/>
    <w:semiHidden/>
    <w:unhideWhenUsed/>
    <w:qFormat/>
    <w:uiPriority w:val="99"/>
    <w:rPr>
      <w:color w:val="605E5C"/>
      <w:shd w:val="clear" w:color="auto" w:fill="E1DFDD"/>
    </w:rPr>
  </w:style>
  <w:style w:type="character" w:customStyle="1" w:styleId="322">
    <w:name w:val="标题 6 字符"/>
    <w:basedOn w:val="46"/>
    <w:link w:val="7"/>
    <w:qFormat/>
    <w:uiPriority w:val="9"/>
    <w:rPr>
      <w:rFonts w:ascii="Cambria" w:hAnsi="Cambria" w:cs="Cambria"/>
      <w:b/>
      <w:bCs/>
      <w:kern w:val="2"/>
      <w:sz w:val="24"/>
      <w:szCs w:val="24"/>
    </w:rPr>
  </w:style>
  <w:style w:type="character" w:customStyle="1" w:styleId="323">
    <w:name w:val="标题 7 字符"/>
    <w:basedOn w:val="46"/>
    <w:link w:val="8"/>
    <w:qFormat/>
    <w:uiPriority w:val="9"/>
    <w:rPr>
      <w:rFonts w:ascii="Calibri" w:hAnsi="Calibri" w:cs="Calibri"/>
      <w:b/>
      <w:bCs/>
      <w:kern w:val="2"/>
      <w:sz w:val="24"/>
      <w:szCs w:val="24"/>
    </w:rPr>
  </w:style>
  <w:style w:type="character" w:customStyle="1" w:styleId="324">
    <w:name w:val="标题 8 字符"/>
    <w:basedOn w:val="46"/>
    <w:link w:val="9"/>
    <w:qFormat/>
    <w:uiPriority w:val="9"/>
    <w:rPr>
      <w:rFonts w:ascii="Cambria" w:hAnsi="Cambria" w:cs="Cambria"/>
      <w:kern w:val="2"/>
      <w:sz w:val="24"/>
      <w:szCs w:val="24"/>
    </w:rPr>
  </w:style>
  <w:style w:type="character" w:customStyle="1" w:styleId="325">
    <w:name w:val="标题 9 字符"/>
    <w:basedOn w:val="46"/>
    <w:link w:val="10"/>
    <w:qFormat/>
    <w:uiPriority w:val="9"/>
    <w:rPr>
      <w:rFonts w:ascii="Cambria" w:hAnsi="Cambria" w:cs="Cambria"/>
      <w:kern w:val="2"/>
      <w:sz w:val="21"/>
      <w:szCs w:val="21"/>
    </w:rPr>
  </w:style>
  <w:style w:type="character" w:customStyle="1" w:styleId="326">
    <w:name w:val="标题 1 字符1"/>
    <w:qFormat/>
    <w:locked/>
    <w:uiPriority w:val="9"/>
    <w:rPr>
      <w:rFonts w:ascii="Calibri" w:hAnsi="Calibri" w:cs="Calibri"/>
      <w:b/>
      <w:bCs/>
      <w:kern w:val="44"/>
      <w:sz w:val="44"/>
      <w:szCs w:val="44"/>
    </w:rPr>
  </w:style>
  <w:style w:type="character" w:customStyle="1" w:styleId="327">
    <w:name w:val="批注文字 字符1"/>
    <w:qFormat/>
    <w:uiPriority w:val="0"/>
    <w:rPr>
      <w:rFonts w:ascii="Calibri" w:hAnsi="Calibri" w:cs="Calibri"/>
      <w:kern w:val="2"/>
      <w:sz w:val="21"/>
      <w:szCs w:val="21"/>
    </w:rPr>
  </w:style>
  <w:style w:type="character" w:customStyle="1" w:styleId="328">
    <w:name w:val="正文首行缩进1(Crlf+Shift+M) Char"/>
    <w:link w:val="329"/>
    <w:qFormat/>
    <w:uiPriority w:val="0"/>
    <w:rPr>
      <w:rFonts w:ascii="Arial" w:hAnsi="Arial"/>
      <w:kern w:val="2"/>
      <w:sz w:val="21"/>
      <w:szCs w:val="24"/>
    </w:rPr>
  </w:style>
  <w:style w:type="paragraph" w:customStyle="1" w:styleId="329">
    <w:name w:val="正文首行缩进1(Crlf+Shift+M)"/>
    <w:link w:val="328"/>
    <w:qFormat/>
    <w:uiPriority w:val="0"/>
    <w:pPr>
      <w:spacing w:before="120" w:after="120" w:line="360" w:lineRule="auto"/>
      <w:ind w:firstLine="420" w:firstLineChars="200"/>
    </w:pPr>
    <w:rPr>
      <w:rFonts w:ascii="Arial" w:hAnsi="Arial" w:eastAsia="宋体" w:cs="Times New Roman"/>
      <w:kern w:val="2"/>
      <w:sz w:val="21"/>
      <w:szCs w:val="24"/>
      <w:lang w:val="en-US" w:eastAsia="zh-CN" w:bidi="ar-SA"/>
    </w:rPr>
  </w:style>
  <w:style w:type="character" w:customStyle="1" w:styleId="330">
    <w:name w:val="正文文本 字符1"/>
    <w:qFormat/>
    <w:uiPriority w:val="0"/>
    <w:rPr>
      <w:kern w:val="2"/>
      <w:sz w:val="21"/>
      <w:szCs w:val="24"/>
    </w:rPr>
  </w:style>
  <w:style w:type="character" w:customStyle="1" w:styleId="331">
    <w:name w:val="列表段落 字符1"/>
    <w:link w:val="241"/>
    <w:qFormat/>
    <w:locked/>
    <w:uiPriority w:val="34"/>
    <w:rPr>
      <w:rFonts w:ascii="宋体" w:hAnsi="宋体"/>
      <w:kern w:val="2"/>
      <w:sz w:val="21"/>
      <w:szCs w:val="24"/>
    </w:rPr>
  </w:style>
  <w:style w:type="character" w:customStyle="1" w:styleId="332">
    <w:name w:val="正文文本缩进 字符1"/>
    <w:qFormat/>
    <w:uiPriority w:val="0"/>
    <w:rPr>
      <w:rFonts w:ascii="Calibri" w:hAnsi="Calibri" w:cs="Calibri"/>
      <w:kern w:val="2"/>
      <w:sz w:val="21"/>
      <w:szCs w:val="21"/>
    </w:rPr>
  </w:style>
  <w:style w:type="character" w:customStyle="1" w:styleId="333">
    <w:name w:val="正文文本首行缩进 2 字符2"/>
    <w:link w:val="19"/>
    <w:qFormat/>
    <w:uiPriority w:val="0"/>
    <w:rPr>
      <w:rFonts w:ascii="宋体" w:hAnsi="宋体"/>
      <w:spacing w:val="-4"/>
      <w:kern w:val="2"/>
      <w:sz w:val="18"/>
    </w:rPr>
  </w:style>
  <w:style w:type="character" w:customStyle="1" w:styleId="334">
    <w:name w:val="标题 3 字符2"/>
    <w:qFormat/>
    <w:locked/>
    <w:uiPriority w:val="9"/>
    <w:rPr>
      <w:rFonts w:ascii="Calibri" w:hAnsi="Calibri" w:cs="Calibri"/>
      <w:b/>
      <w:bCs/>
      <w:kern w:val="2"/>
      <w:sz w:val="32"/>
      <w:szCs w:val="32"/>
    </w:rPr>
  </w:style>
  <w:style w:type="character" w:customStyle="1" w:styleId="335">
    <w:name w:val="Bid_正文 Char"/>
    <w:link w:val="336"/>
    <w:qFormat/>
    <w:locked/>
    <w:uiPriority w:val="0"/>
    <w:rPr>
      <w:kern w:val="2"/>
      <w:sz w:val="24"/>
    </w:rPr>
  </w:style>
  <w:style w:type="paragraph" w:customStyle="1" w:styleId="336">
    <w:name w:val="Bid_正文"/>
    <w:basedOn w:val="13"/>
    <w:link w:val="335"/>
    <w:qFormat/>
    <w:uiPriority w:val="0"/>
    <w:pPr>
      <w:ind w:firstLine="480" w:firstLineChars="200"/>
    </w:pPr>
    <w:rPr>
      <w:rFonts w:ascii="Times New Roman" w:hAnsi="Times New Roman"/>
      <w:sz w:val="24"/>
      <w:szCs w:val="20"/>
    </w:rPr>
  </w:style>
  <w:style w:type="character" w:customStyle="1" w:styleId="337">
    <w:name w:val="文档结构图 字符1"/>
    <w:qFormat/>
    <w:uiPriority w:val="0"/>
    <w:rPr>
      <w:rFonts w:ascii="Heiti SC Light" w:hAnsi="Calibri" w:eastAsia="Heiti SC Light" w:cs="Calibri"/>
      <w:kern w:val="2"/>
      <w:sz w:val="24"/>
      <w:szCs w:val="24"/>
    </w:rPr>
  </w:style>
  <w:style w:type="character" w:customStyle="1" w:styleId="338">
    <w:name w:val="正文文本缩进 3 字符1"/>
    <w:link w:val="34"/>
    <w:qFormat/>
    <w:uiPriority w:val="0"/>
    <w:rPr>
      <w:rFonts w:ascii="宋体" w:hAnsi="宋体"/>
      <w:kern w:val="2"/>
      <w:sz w:val="24"/>
      <w:szCs w:val="24"/>
    </w:rPr>
  </w:style>
  <w:style w:type="character" w:customStyle="1" w:styleId="339">
    <w:name w:val="正文文本缩进 3 字符"/>
    <w:semiHidden/>
    <w:qFormat/>
    <w:uiPriority w:val="99"/>
    <w:rPr>
      <w:rFonts w:ascii="Calibri" w:hAnsi="Calibri" w:cs="Calibri"/>
      <w:kern w:val="2"/>
      <w:sz w:val="16"/>
      <w:szCs w:val="16"/>
    </w:rPr>
  </w:style>
  <w:style w:type="character" w:customStyle="1" w:styleId="340">
    <w:name w:val="批注框文本 字符1"/>
    <w:qFormat/>
    <w:uiPriority w:val="0"/>
    <w:rPr>
      <w:rFonts w:ascii="Calibri" w:hAnsi="Calibri" w:cs="Calibri"/>
      <w:kern w:val="2"/>
      <w:sz w:val="18"/>
      <w:szCs w:val="18"/>
    </w:rPr>
  </w:style>
  <w:style w:type="character" w:customStyle="1" w:styleId="341">
    <w:name w:val="正文文本缩进 2 字符1"/>
    <w:qFormat/>
    <w:uiPriority w:val="0"/>
    <w:rPr>
      <w:kern w:val="2"/>
      <w:sz w:val="21"/>
      <w:szCs w:val="24"/>
    </w:rPr>
  </w:style>
  <w:style w:type="character" w:customStyle="1" w:styleId="342">
    <w:name w:val="标题 2 字符1"/>
    <w:qFormat/>
    <w:locked/>
    <w:uiPriority w:val="0"/>
    <w:rPr>
      <w:rFonts w:ascii="Cambria" w:hAnsi="Cambria" w:cs="Cambria"/>
      <w:kern w:val="2"/>
      <w:sz w:val="32"/>
      <w:szCs w:val="32"/>
    </w:rPr>
  </w:style>
  <w:style w:type="character" w:customStyle="1" w:styleId="343">
    <w:name w:val="页眉 字符1"/>
    <w:qFormat/>
    <w:uiPriority w:val="0"/>
    <w:rPr>
      <w:rFonts w:ascii="Calibri" w:hAnsi="Calibri" w:cs="Calibri"/>
      <w:kern w:val="2"/>
      <w:sz w:val="18"/>
      <w:szCs w:val="18"/>
    </w:rPr>
  </w:style>
  <w:style w:type="character" w:customStyle="1" w:styleId="344">
    <w:name w:val="标题 3 字符1"/>
    <w:qFormat/>
    <w:locked/>
    <w:uiPriority w:val="9"/>
    <w:rPr>
      <w:rFonts w:ascii="Calibri" w:hAnsi="Calibri" w:cs="Calibri"/>
      <w:kern w:val="2"/>
      <w:sz w:val="32"/>
      <w:szCs w:val="32"/>
    </w:rPr>
  </w:style>
  <w:style w:type="character" w:customStyle="1" w:styleId="345">
    <w:name w:val="批注主题 字符1"/>
    <w:qFormat/>
    <w:uiPriority w:val="0"/>
    <w:rPr>
      <w:rFonts w:ascii="Calibri" w:hAnsi="Calibri" w:cs="Calibri"/>
      <w:kern w:val="2"/>
      <w:sz w:val="21"/>
      <w:szCs w:val="21"/>
    </w:rPr>
  </w:style>
  <w:style w:type="character" w:customStyle="1" w:styleId="346">
    <w:name w:val="副标题 字符1"/>
    <w:qFormat/>
    <w:uiPriority w:val="0"/>
    <w:rPr>
      <w:rFonts w:ascii="Calibri Light" w:hAnsi="Calibri Light"/>
      <w:kern w:val="28"/>
      <w:sz w:val="32"/>
      <w:szCs w:val="32"/>
    </w:rPr>
  </w:style>
  <w:style w:type="character" w:customStyle="1" w:styleId="347">
    <w:name w:val="正文文本首行缩进 2 字符"/>
    <w:semiHidden/>
    <w:qFormat/>
    <w:uiPriority w:val="99"/>
    <w:rPr>
      <w:rFonts w:ascii="Calibri" w:hAnsi="Calibri" w:cs="Calibri"/>
      <w:kern w:val="2"/>
      <w:sz w:val="21"/>
      <w:szCs w:val="21"/>
    </w:rPr>
  </w:style>
  <w:style w:type="character" w:customStyle="1" w:styleId="348">
    <w:name w:val="正文文本首行缩进 2 字符1"/>
    <w:semiHidden/>
    <w:qFormat/>
    <w:uiPriority w:val="99"/>
  </w:style>
  <w:style w:type="character" w:customStyle="1" w:styleId="349">
    <w:name w:val="批注文字 Char"/>
    <w:qFormat/>
    <w:uiPriority w:val="0"/>
    <w:rPr>
      <w:rFonts w:ascii="Calibri" w:hAnsi="Calibri" w:cs="Calibri"/>
      <w:kern w:val="2"/>
      <w:sz w:val="21"/>
      <w:szCs w:val="21"/>
    </w:rPr>
  </w:style>
  <w:style w:type="paragraph" w:customStyle="1" w:styleId="35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51">
    <w:name w:val="自标02"/>
    <w:basedOn w:val="3"/>
    <w:next w:val="1"/>
    <w:qFormat/>
    <w:uiPriority w:val="0"/>
    <w:pPr>
      <w:keepLines/>
      <w:numPr>
        <w:numId w:val="5"/>
      </w:numPr>
      <w:adjustRightInd/>
      <w:spacing w:before="50" w:beforeLines="50" w:after="50" w:afterLines="50"/>
      <w:textAlignment w:val="auto"/>
    </w:pPr>
    <w:rPr>
      <w:rFonts w:eastAsia="宋体" w:cs="Times New Roman (标题 CS)"/>
      <w:bCs/>
      <w:kern w:val="2"/>
      <w:sz w:val="30"/>
      <w:szCs w:val="32"/>
    </w:rPr>
  </w:style>
  <w:style w:type="paragraph" w:customStyle="1" w:styleId="352">
    <w:name w:val="彩色列表 - 着色 11"/>
    <w:basedOn w:val="1"/>
    <w:qFormat/>
    <w:uiPriority w:val="34"/>
    <w:pPr>
      <w:spacing w:line="240" w:lineRule="auto"/>
      <w:ind w:firstLine="420" w:firstLineChars="200"/>
    </w:pPr>
    <w:rPr>
      <w:rFonts w:ascii="Calibri" w:hAnsi="Calibri" w:cs="Calibri"/>
      <w:szCs w:val="21"/>
    </w:rPr>
  </w:style>
  <w:style w:type="paragraph" w:customStyle="1" w:styleId="353">
    <w:name w:val="中等深浅网格 1 - 着色 21"/>
    <w:basedOn w:val="1"/>
    <w:qFormat/>
    <w:uiPriority w:val="34"/>
    <w:pPr>
      <w:widowControl/>
      <w:spacing w:before="200" w:after="200" w:line="276" w:lineRule="auto"/>
      <w:ind w:left="720"/>
      <w:contextualSpacing/>
      <w:jc w:val="left"/>
    </w:pPr>
    <w:rPr>
      <w:rFonts w:ascii="Calibri" w:hAnsi="Calibri"/>
      <w:kern w:val="0"/>
      <w:sz w:val="20"/>
      <w:szCs w:val="20"/>
    </w:rPr>
  </w:style>
  <w:style w:type="paragraph" w:customStyle="1" w:styleId="354">
    <w:name w:val="列表段落11"/>
    <w:basedOn w:val="1"/>
    <w:qFormat/>
    <w:uiPriority w:val="0"/>
    <w:pPr>
      <w:spacing w:line="240" w:lineRule="auto"/>
      <w:ind w:firstLine="420" w:firstLineChars="200"/>
    </w:pPr>
    <w:rPr>
      <w:rFonts w:ascii="Calibri" w:hAnsi="Calibri" w:cs="Calibri"/>
      <w:szCs w:val="21"/>
    </w:rPr>
  </w:style>
  <w:style w:type="paragraph" w:customStyle="1" w:styleId="355">
    <w:name w:val="自标01"/>
    <w:basedOn w:val="2"/>
    <w:next w:val="1"/>
    <w:qFormat/>
    <w:uiPriority w:val="0"/>
    <w:pPr>
      <w:numPr>
        <w:ilvl w:val="0"/>
        <w:numId w:val="5"/>
      </w:numPr>
      <w:tabs>
        <w:tab w:val="left" w:pos="360"/>
        <w:tab w:val="left" w:pos="432"/>
      </w:tabs>
      <w:adjustRightInd/>
      <w:spacing w:before="211" w:beforeLines="50" w:after="211" w:afterLines="50"/>
      <w:ind w:left="0" w:firstLine="0"/>
      <w:textAlignment w:val="auto"/>
    </w:pPr>
    <w:rPr>
      <w:rFonts w:eastAsia="宋体" w:cs="Times New Roman (正文 CS 字体)"/>
      <w:bCs/>
      <w:sz w:val="32"/>
      <w:szCs w:val="44"/>
    </w:rPr>
  </w:style>
  <w:style w:type="paragraph" w:customStyle="1" w:styleId="356">
    <w:name w:val="正文首行缩进两字符"/>
    <w:basedOn w:val="1"/>
    <w:qFormat/>
    <w:uiPriority w:val="99"/>
    <w:pPr>
      <w:ind w:firstLine="200" w:firstLineChars="200"/>
    </w:pPr>
    <w:rPr>
      <w:rFonts w:ascii="Times New Roman" w:hAnsi="Times New Roman"/>
    </w:rPr>
  </w:style>
  <w:style w:type="paragraph" w:customStyle="1" w:styleId="357">
    <w:name w:val="自标03"/>
    <w:basedOn w:val="4"/>
    <w:next w:val="1"/>
    <w:qFormat/>
    <w:uiPriority w:val="0"/>
    <w:pPr>
      <w:keepNext/>
      <w:keepLines/>
      <w:numPr>
        <w:numId w:val="5"/>
      </w:numPr>
      <w:tabs>
        <w:tab w:val="clear" w:pos="900"/>
      </w:tabs>
      <w:adjustRightInd/>
      <w:spacing w:before="50" w:beforeLines="50" w:after="50" w:afterLines="50"/>
      <w:textAlignment w:val="auto"/>
    </w:pPr>
    <w:rPr>
      <w:rFonts w:eastAsia="宋体" w:cs="Times New Roman (正文 CS 字体)"/>
      <w:bCs/>
      <w:kern w:val="2"/>
      <w:szCs w:val="32"/>
    </w:rPr>
  </w:style>
  <w:style w:type="paragraph" w:customStyle="1" w:styleId="358">
    <w:name w:val="自标07"/>
    <w:basedOn w:val="359"/>
    <w:next w:val="1"/>
    <w:qFormat/>
    <w:uiPriority w:val="0"/>
    <w:pPr>
      <w:numPr>
        <w:ilvl w:val="6"/>
      </w:numPr>
      <w:tabs>
        <w:tab w:val="left" w:pos="360"/>
        <w:tab w:val="left" w:pos="1152"/>
      </w:tabs>
      <w:ind w:left="0" w:firstLine="0"/>
      <w:outlineLvl w:val="6"/>
    </w:pPr>
  </w:style>
  <w:style w:type="paragraph" w:customStyle="1" w:styleId="359">
    <w:name w:val="自标06"/>
    <w:basedOn w:val="7"/>
    <w:next w:val="1"/>
    <w:qFormat/>
    <w:uiPriority w:val="0"/>
    <w:pPr>
      <w:numPr>
        <w:ilvl w:val="5"/>
        <w:numId w:val="5"/>
      </w:numPr>
      <w:tabs>
        <w:tab w:val="left" w:pos="360"/>
      </w:tabs>
      <w:spacing w:before="50" w:beforeLines="50" w:after="50" w:afterLines="50" w:line="240" w:lineRule="auto"/>
    </w:pPr>
    <w:rPr>
      <w:rFonts w:ascii="宋体" w:hAnsi="等线 Light" w:cs="Times New Roman (标题 CS)"/>
    </w:rPr>
  </w:style>
  <w:style w:type="paragraph" w:customStyle="1" w:styleId="360">
    <w:name w:val="自标04"/>
    <w:basedOn w:val="5"/>
    <w:next w:val="1"/>
    <w:qFormat/>
    <w:uiPriority w:val="0"/>
    <w:pPr>
      <w:keepNext/>
      <w:keepLines/>
      <w:numPr>
        <w:numId w:val="5"/>
      </w:numPr>
      <w:tabs>
        <w:tab w:val="left" w:pos="360"/>
        <w:tab w:val="left" w:pos="432"/>
        <w:tab w:val="left" w:pos="864"/>
      </w:tabs>
      <w:adjustRightInd/>
      <w:spacing w:before="50" w:beforeLines="50" w:after="50" w:afterLines="50" w:line="240" w:lineRule="auto"/>
      <w:textAlignment w:val="auto"/>
    </w:pPr>
    <w:rPr>
      <w:rFonts w:ascii="宋体" w:hAnsi="等线 Light" w:eastAsia="宋体" w:cs="Times New Roman (标题 CS)"/>
      <w:bCs/>
      <w:kern w:val="2"/>
      <w:szCs w:val="28"/>
    </w:rPr>
  </w:style>
  <w:style w:type="paragraph" w:customStyle="1" w:styleId="361">
    <w:name w:val="自标05"/>
    <w:basedOn w:val="6"/>
    <w:next w:val="1"/>
    <w:qFormat/>
    <w:uiPriority w:val="0"/>
    <w:pPr>
      <w:numPr>
        <w:numId w:val="5"/>
      </w:numPr>
      <w:tabs>
        <w:tab w:val="left" w:pos="360"/>
        <w:tab w:val="left" w:pos="432"/>
        <w:tab w:val="left" w:pos="1008"/>
      </w:tabs>
      <w:adjustRightInd/>
      <w:spacing w:before="50" w:beforeLines="50" w:after="50" w:afterLines="50" w:line="240" w:lineRule="auto"/>
      <w:textAlignment w:val="auto"/>
    </w:pPr>
    <w:rPr>
      <w:rFonts w:hAnsi="等线" w:cs="Times New Roman (正文 CS 字体)"/>
      <w:bCs/>
      <w:kern w:val="2"/>
      <w:sz w:val="24"/>
      <w:szCs w:val="28"/>
    </w:rPr>
  </w:style>
  <w:style w:type="paragraph" w:customStyle="1" w:styleId="362">
    <w:name w:val="自正01"/>
    <w:basedOn w:val="1"/>
    <w:qFormat/>
    <w:uiPriority w:val="0"/>
    <w:pPr>
      <w:ind w:firstLine="200" w:firstLineChars="200"/>
    </w:pPr>
    <w:rPr>
      <w:rFonts w:cs="微软雅黑"/>
      <w:sz w:val="24"/>
    </w:rPr>
  </w:style>
  <w:style w:type="paragraph" w:customStyle="1" w:styleId="363">
    <w:name w:val="_正文"/>
    <w:next w:val="167"/>
    <w:qFormat/>
    <w:uiPriority w:val="0"/>
    <w:pPr>
      <w:widowControl w:val="0"/>
      <w:spacing w:line="360" w:lineRule="auto"/>
      <w:jc w:val="both"/>
    </w:pPr>
    <w:rPr>
      <w:rFonts w:ascii="宋体" w:hAnsi="宋体" w:eastAsia="宋体" w:cs="宋体"/>
      <w:bCs/>
      <w:kern w:val="2"/>
      <w:sz w:val="21"/>
      <w:szCs w:val="36"/>
      <w:lang w:val="en-US" w:eastAsia="zh-CN" w:bidi="ar-SA"/>
    </w:rPr>
  </w:style>
  <w:style w:type="paragraph" w:customStyle="1" w:styleId="364">
    <w:name w:val="WPSOffice手动目录 1"/>
    <w:qFormat/>
    <w:uiPriority w:val="0"/>
    <w:rPr>
      <w:rFonts w:ascii="Times New Roman" w:hAnsi="Times New Roman" w:eastAsia="宋体" w:cs="Times New Roman"/>
      <w:lang w:val="en-US" w:eastAsia="zh-CN" w:bidi="ar-SA"/>
    </w:rPr>
  </w:style>
  <w:style w:type="table" w:customStyle="1" w:styleId="365">
    <w:name w:val="Table Normal"/>
    <w:unhideWhenUsed/>
    <w:qFormat/>
    <w:uiPriority w:val="0"/>
    <w:tblPr>
      <w:tblCellMar>
        <w:top w:w="0" w:type="dxa"/>
        <w:left w:w="0" w:type="dxa"/>
        <w:bottom w:w="0" w:type="dxa"/>
        <w:right w:w="0" w:type="dxa"/>
      </w:tblCellMar>
    </w:tblPr>
  </w:style>
  <w:style w:type="table" w:customStyle="1" w:styleId="366">
    <w:name w:val="_Style 32"/>
    <w:basedOn w:val="44"/>
    <w:qFormat/>
    <w:uiPriority w:val="0"/>
    <w:rPr>
      <w:rFonts w:ascii="Calibri" w:hAnsi="Calibri" w:eastAsia="等线" w:cs="Calibri"/>
    </w:rPr>
    <w:tblPr>
      <w:tblCellMar>
        <w:left w:w="115" w:type="dxa"/>
        <w:right w:w="115" w:type="dxa"/>
      </w:tblCellMar>
    </w:tblPr>
  </w:style>
  <w:style w:type="table" w:customStyle="1" w:styleId="367">
    <w:name w:val="网格型1"/>
    <w:basedOn w:val="44"/>
    <w:qFormat/>
    <w:uiPriority w:val="0"/>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8">
    <w:name w:val="font11"/>
    <w:basedOn w:val="46"/>
    <w:qFormat/>
    <w:uiPriority w:val="0"/>
    <w:rPr>
      <w:rFonts w:hint="eastAsia" w:ascii="宋体" w:hAnsi="宋体" w:eastAsia="宋体" w:cs="宋体"/>
      <w:color w:val="000000"/>
      <w:sz w:val="22"/>
      <w:szCs w:val="22"/>
      <w:u w:val="none"/>
    </w:rPr>
  </w:style>
  <w:style w:type="character" w:customStyle="1" w:styleId="369">
    <w:name w:val="Unresolved Mention"/>
    <w:basedOn w:val="46"/>
    <w:semiHidden/>
    <w:unhideWhenUsed/>
    <w:qFormat/>
    <w:uiPriority w:val="99"/>
    <w:rPr>
      <w:color w:val="605E5C"/>
      <w:shd w:val="clear" w:color="auto" w:fill="E1DFDD"/>
    </w:rPr>
  </w:style>
  <w:style w:type="paragraph" w:customStyle="1" w:styleId="370">
    <w:name w:val="[Normal]"/>
    <w:qFormat/>
    <w:uiPriority w:val="0"/>
    <w:rPr>
      <w:rFonts w:ascii="宋体" w:hAnsi="宋体" w:eastAsia="宋体" w:cs="Times New Roman"/>
      <w:sz w:val="24"/>
      <w:szCs w:val="22"/>
      <w:lang w:val="en-US" w:eastAsia="en-US" w:bidi="ar-SA"/>
    </w:rPr>
  </w:style>
  <w:style w:type="paragraph" w:customStyle="1" w:styleId="3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云南招标股份有限公司</Company>
  <Pages>101</Pages>
  <Words>18524</Words>
  <Characters>20140</Characters>
  <Lines>364</Lines>
  <Paragraphs>102</Paragraphs>
  <TotalTime>2</TotalTime>
  <ScaleCrop>false</ScaleCrop>
  <LinksUpToDate>false</LinksUpToDate>
  <CharactersWithSpaces>20988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2023-04-28T03:19:00Z</dcterms:created>
  <dc:creator>云南招标股份有限公司</dc:creator>
  <cp:lastModifiedBy>Mr.J</cp:lastModifiedBy>
  <cp:lastPrinted>2022-07-11T03:36:00Z</cp:lastPrinted>
  <dcterms:modified xsi:type="dcterms:W3CDTF">2025-08-29T00:45:17Z</dcterms:modified>
  <dc:title>政府采购招标文件</dc:title>
  <cp:revision>1481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21E8A79720814973B3FE18B76EC18619_13</vt:lpwstr>
  </property>
  <property fmtid="{D5CDD505-2E9C-101B-9397-08002B2CF9AE}" pid="3" name="KSOProductBuildVer">
    <vt:lpwstr>2052-12.1.0.22529</vt:lpwstr>
  </property>
  <property fmtid="{D5CDD505-2E9C-101B-9397-08002B2CF9AE}" pid="4" name="commondata">
    <vt:lpwstr>eyJoZGlkIjoiOTRlZDU2NDdjZWE2ZTM4NmE3NjY0YWUzM2NhMzVhOGMifQ==</vt:lpwstr>
  </property>
  <property fmtid="{D5CDD505-2E9C-101B-9397-08002B2CF9AE}" pid="5" name="KSOTemplateDocerSaveRecord">
    <vt:lpwstr>eyJoZGlkIjoiYmZjODE2MDAxZjdlYTkzZjc0OTMxNWY2NTVjMzZhMjYiLCJ1c2VySWQiOiI1ODk3OTI3NDAifQ==</vt:lpwstr>
  </property>
</Properties>
</file>