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rPr>
          <w:rFonts w:hint="default"/>
        </w:rPr>
      </w:pPr>
    </w:p>
    <w:p>
      <w:pPr>
        <w:pStyle w:val="18"/>
        <w:ind w:firstLine="480"/>
        <w:rPr>
          <w:rFonts w:hint="default"/>
        </w:rPr>
      </w:pPr>
      <w:r>
        <w:t xml:space="preserve">  </w:t>
      </w:r>
    </w:p>
    <w:p>
      <w:pPr>
        <w:pStyle w:val="18"/>
        <w:jc w:val="center"/>
        <w:outlineLvl w:val="1"/>
        <w:rPr>
          <w:rFonts w:hint="default"/>
        </w:rPr>
      </w:pPr>
      <w:r>
        <w:rPr>
          <w:b/>
          <w:sz w:val="36"/>
        </w:rPr>
        <w:t>第二章 采购需求</w:t>
      </w:r>
    </w:p>
    <w:p>
      <w:pPr>
        <w:pStyle w:val="18"/>
        <w:outlineLvl w:val="2"/>
        <w:rPr>
          <w:rFonts w:hint="default"/>
        </w:rPr>
      </w:pPr>
      <w:r>
        <w:rPr>
          <w:b/>
          <w:sz w:val="28"/>
        </w:rPr>
        <w:t>一、项目概况：</w:t>
      </w:r>
    </w:p>
    <w:p>
      <w:pPr>
        <w:pStyle w:val="19"/>
        <w:spacing w:line="400" w:lineRule="exact"/>
        <w:ind w:firstLine="480"/>
        <w:rPr>
          <w:rFonts w:hint="eastAsia" w:hAnsi="宋体" w:eastAsia="宋体" w:cs="宋体"/>
          <w:sz w:val="24"/>
          <w:szCs w:val="24"/>
        </w:rPr>
      </w:pPr>
      <w:r>
        <w:rPr>
          <w:rFonts w:hint="eastAsia" w:hAnsi="宋体" w:eastAsia="宋体" w:cs="宋体"/>
          <w:sz w:val="24"/>
          <w:szCs w:val="24"/>
        </w:rPr>
        <w:t>（一）项目名称：AI赋能中心专业教育区建设项目</w:t>
      </w:r>
    </w:p>
    <w:p>
      <w:pPr>
        <w:pStyle w:val="19"/>
        <w:numPr>
          <w:ilvl w:val="255"/>
          <w:numId w:val="0"/>
        </w:numPr>
        <w:spacing w:line="400" w:lineRule="exact"/>
        <w:ind w:firstLine="480" w:firstLineChars="200"/>
        <w:rPr>
          <w:rFonts w:hint="eastAsia" w:hAnsi="宋体" w:eastAsia="宋体" w:cs="宋体"/>
          <w:sz w:val="24"/>
          <w:szCs w:val="24"/>
        </w:rPr>
      </w:pPr>
      <w:r>
        <w:rPr>
          <w:rFonts w:hint="eastAsia" w:hAnsi="宋体" w:eastAsia="宋体" w:cs="宋体"/>
          <w:sz w:val="24"/>
          <w:szCs w:val="24"/>
        </w:rPr>
        <w:t>（二）项目属性：服务类</w:t>
      </w:r>
    </w:p>
    <w:p>
      <w:pPr>
        <w:pStyle w:val="19"/>
        <w:numPr>
          <w:ilvl w:val="255"/>
          <w:numId w:val="0"/>
        </w:numPr>
        <w:spacing w:line="400" w:lineRule="exact"/>
        <w:ind w:firstLine="480" w:firstLineChars="200"/>
        <w:rPr>
          <w:rFonts w:hint="eastAsia" w:hAnsi="宋体" w:eastAsia="宋体" w:cs="宋体"/>
          <w:sz w:val="24"/>
          <w:szCs w:val="24"/>
        </w:rPr>
      </w:pPr>
      <w:r>
        <w:rPr>
          <w:rFonts w:hint="eastAsia" w:hAnsi="宋体" w:eastAsia="宋体" w:cs="宋体"/>
          <w:sz w:val="24"/>
          <w:szCs w:val="24"/>
        </w:rPr>
        <w:t xml:space="preserve">（三）最高限价：404500.00元   </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（四）标有“★”的条款为必须完全满足的实质性要求，投标人如有一项带“★”的条款未响应或不满足，将按无效投标处理。</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（五）标有“▲”的条款为重要性要求，投标人如有“▲”的条款未响应或负偏离的将被严重扣分。</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（六）投标人需提供厂商原装、全新的、符合国家及用户提出的有关质量标准的设备。</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（七）投标人应对采购需求中的设备性能和技术指标在响应详细内容中列出具体数值。如果投标人只注明“正偏离”或“无偏离”，将可能被视为“负偏离”，从而可能导致严重影响评标结果。</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投标人所投产品除项目采购文件中明确规定要求提供彩页或相应检测报告等证明材料以外，所有技术参数描述均以投标文件为准（投标文件内厂家提供的技术参数描述与投标人投标技术参数描述不一致时，以厂家提供的技术参数描述为准）。投标人须对所投产品技术参数的真实性承担法律责任。</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（九）★凡属于《中华人民共和国实施强制性产品认证的产品目录》的产品，请投标人在投标文件中承诺在交货时提供该产品的“中国强制性产品认证”（CCC认证）证书。</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（十）涉及软件产品的，必须采购和使用正版软件，项目中涉及计算机办公产品的，必须预装正版操作系统软件。</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（十一）投标人应保证，采购人在中华人民共和国使用该货物或货物的任何一部分时，免受第三方提出的侵犯其专利权、商标权、著作权或其它知识产权的起诉。</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（十二）不允许中标供应商转包、分包项目（中标采购包的）内容。</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（十三）★本次采购不接受进口产品（进口产品指通过中国海关报关验放进入中国境内且产自关境外的产品）。 </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（十四）投标人所投货物属于本国产品的，投标人需填写《关于符合本国产品标准的声明函》《关于本国产品比例的声明函》（见“第六章 投标文件格式与要求”格式五中附件2、附件3）作为价格评审的依据。因本项目采购标的的中国境内生产的组件成本占比相关要求、关键组件要求及关键工序要求暂未实施，因此《关于符合本国产品标准的声明函》中的“规定比例”栏、“关键组件”栏、“关键工序”栏无需填写。</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（十五）</w:t>
      </w:r>
      <w:r>
        <w:rPr>
          <w:rFonts w:hint="eastAsia" w:ascii="宋体" w:hAnsi="宋体" w:eastAsia="宋体" w:cs="宋体"/>
          <w:b/>
          <w:bCs/>
          <w:sz w:val="24"/>
          <w:szCs w:val="24"/>
        </w:rPr>
        <w:t>依据财政部《政府采购促进中小企业发展政策问答》，服务类采购项目以服务承接商作为中小企业认定主体，无需对项目所涉货物的制造商提出中小企业资质要求。本项目属于服务类采购，对应行业为其他未列明行业</w:t>
      </w:r>
      <w:r>
        <w:rPr>
          <w:rFonts w:hint="eastAsia" w:ascii="宋体" w:hAnsi="宋体" w:eastAsia="宋体" w:cs="宋体"/>
          <w:sz w:val="24"/>
          <w:szCs w:val="24"/>
        </w:rPr>
        <w:t>。</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（十六）设计要素</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广州市工贸技师学院在人工智能专业人才培养、产教融合创新与技能教育赋能领域积淀深厚，是区域内技工院校探索 AI 职业教育的先行标杆。但目前缺乏专属的实体展示平台，难以系统呈现人工智能专业办学成果、技术脉络与育人成效。专业教育区的打造，可集中呈现学院 AI 专业发展历程、教学成果、核心技术与人才培养成效，既能强化新生专业启蒙与在校生通识教育，增强师生的专业认同感与创新自信，更能向社会各界传递学院 AI 领域的办学实力，吸引优质生源与行业合作资源，进一步提升学院在人工智能职业教育领域的品牌影响力。</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人工智能作为新一轮科技革命与产业变革的核心驱动力，承载着 “创新驱动、智创未来” 的科技精神，是现代职业教育对接前沿产业的重要载体。当前，我国正大力推进数字中国与技能强国建设，广州市工贸技师学院作为高素质技能人才培养的核心院校，亟需一个集中展示人工智能发展历程、技术应用与育人成果的实体空间。通过专业教育区的建设，打造集专业启蒙、教学展示、通识教育于一体的专业教育区阵地，集中呈现人工智能专业办学成果与技术发展脉络，满足新生始业教育及校内各专业学生AI通识课教学需求，提升AI赋能中心育人服务的实体化功能</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通过人工智能专业教育区的空间设计与展品布局，全面、系统地展示人工智能的发展历程、核心工具、技术场景，以及广州市工贸技师学院在专业建设中取得的教学成果、育人经验、优秀人才与实践作品。借助科技化的展示手段，让师生与参观者直观、生动地了解人工智能的核心价值与学院的办学成果，打造兼具专业性、教学性与观赏性的 AI 专业教育 “活课堂”。</w:t>
      </w:r>
    </w:p>
    <w:p>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本项目建设地点为广州市工贸技师学院科教城校区，面积约163.2平方米、梁下高4.5米。平面图图纸如下：</w:t>
      </w:r>
    </w:p>
    <w:p>
      <w:pPr>
        <w:jc w:val="center"/>
        <w:rPr>
          <w:rFonts w:hint="eastAsia" w:asciiTheme="minorEastAsia" w:hAnsiTheme="minorEastAsia"/>
        </w:rPr>
      </w:pPr>
      <w:r>
        <w:rPr>
          <w:rFonts w:asciiTheme="minorEastAsia" w:hAnsiTheme="minorEastAsia"/>
        </w:rPr>
        <w:drawing>
          <wp:inline distT="0" distB="0" distL="0" distR="0">
            <wp:extent cx="4448810" cy="3020060"/>
            <wp:effectExtent l="0" t="0" r="8890" b="8890"/>
            <wp:docPr id="10735145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514562" name="图片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48810" cy="3020060"/>
                    </a:xfrm>
                    <a:prstGeom prst="rect">
                      <a:avLst/>
                    </a:prstGeom>
                  </pic:spPr>
                </pic:pic>
              </a:graphicData>
            </a:graphic>
          </wp:inline>
        </w:drawing>
      </w:r>
    </w:p>
    <w:p>
      <w:pPr>
        <w:rPr>
          <w:rFonts w:hint="eastAsia" w:asciiTheme="minorEastAsia" w:hAnsiTheme="minorEastAsia"/>
        </w:rPr>
      </w:pPr>
    </w:p>
    <w:p>
      <w:pPr>
        <w:pStyle w:val="18"/>
        <w:outlineLvl w:val="2"/>
        <w:rPr>
          <w:rFonts w:hint="default"/>
          <w:b/>
          <w:sz w:val="28"/>
        </w:rPr>
      </w:pPr>
      <w:bookmarkStart w:id="0" w:name="OLE_LINK2"/>
      <w:r>
        <w:rPr>
          <w:b/>
          <w:sz w:val="28"/>
          <w:lang w:eastAsia="zh-CN"/>
        </w:rPr>
        <w:t>二、</w:t>
      </w:r>
      <w:r>
        <w:rPr>
          <w:b/>
          <w:sz w:val="28"/>
        </w:rPr>
        <w:t>采购需求清单</w:t>
      </w:r>
      <w:bookmarkEnd w:id="0"/>
    </w:p>
    <w:p>
      <w:pPr>
        <w:rPr>
          <w:rFonts w:hint="eastAsia" w:asciiTheme="minorEastAsia" w:hAnsiTheme="minorEastAsia"/>
          <w:lang w:val="zh-CN"/>
        </w:rPr>
      </w:pPr>
    </w:p>
    <w:tbl>
      <w:tblPr>
        <w:tblStyle w:val="12"/>
        <w:tblW w:w="8655" w:type="dxa"/>
        <w:tblInd w:w="113" w:type="dxa"/>
        <w:tblLayout w:type="autofit"/>
        <w:tblCellMar>
          <w:top w:w="0" w:type="dxa"/>
          <w:left w:w="108" w:type="dxa"/>
          <w:bottom w:w="0" w:type="dxa"/>
          <w:right w:w="108" w:type="dxa"/>
        </w:tblCellMar>
      </w:tblPr>
      <w:tblGrid>
        <w:gridCol w:w="451"/>
        <w:gridCol w:w="966"/>
        <w:gridCol w:w="3994"/>
        <w:gridCol w:w="515"/>
        <w:gridCol w:w="591"/>
        <w:gridCol w:w="1050"/>
        <w:gridCol w:w="1088"/>
      </w:tblGrid>
      <w:tr>
        <w:tblPrEx>
          <w:tblCellMar>
            <w:top w:w="0" w:type="dxa"/>
            <w:left w:w="108" w:type="dxa"/>
            <w:bottom w:w="0" w:type="dxa"/>
            <w:right w:w="108" w:type="dxa"/>
          </w:tblCellMar>
        </w:tblPrEx>
        <w:tc>
          <w:tcPr>
            <w:tcW w:w="45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序号</w:t>
            </w:r>
          </w:p>
        </w:tc>
        <w:tc>
          <w:tcPr>
            <w:tcW w:w="966"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采购</w:t>
            </w:r>
          </w:p>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名称</w:t>
            </w:r>
          </w:p>
        </w:tc>
        <w:tc>
          <w:tcPr>
            <w:tcW w:w="3994"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技术参数</w:t>
            </w:r>
          </w:p>
        </w:tc>
        <w:tc>
          <w:tcPr>
            <w:tcW w:w="515"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单位</w:t>
            </w:r>
          </w:p>
        </w:tc>
        <w:tc>
          <w:tcPr>
            <w:tcW w:w="591"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数量</w:t>
            </w:r>
          </w:p>
        </w:tc>
        <w:tc>
          <w:tcPr>
            <w:tcW w:w="105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单价限价（元）</w:t>
            </w:r>
          </w:p>
        </w:tc>
        <w:tc>
          <w:tcPr>
            <w:tcW w:w="1088"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bCs/>
                <w:kern w:val="0"/>
                <w:szCs w:val="21"/>
              </w:rPr>
            </w:pPr>
            <w:r>
              <w:rPr>
                <w:rFonts w:hint="eastAsia" w:ascii="宋体" w:hAnsi="宋体" w:eastAsia="宋体" w:cs="宋体"/>
                <w:b/>
                <w:bCs/>
                <w:kern w:val="0"/>
                <w:szCs w:val="21"/>
              </w:rPr>
              <w:t>总价限价（元）</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LED可视化显示设备</w:t>
            </w:r>
          </w:p>
        </w:tc>
        <w:tc>
          <w:tcPr>
            <w:tcW w:w="3994" w:type="dxa"/>
            <w:tcBorders>
              <w:top w:val="nil"/>
              <w:left w:val="nil"/>
              <w:bottom w:val="single" w:color="auto" w:sz="4" w:space="0"/>
              <w:right w:val="single" w:color="auto" w:sz="4" w:space="0"/>
            </w:tcBorders>
          </w:tcPr>
          <w:p>
            <w:pPr>
              <w:widowControl/>
              <w:wordWrap w:val="0"/>
              <w:jc w:val="both"/>
              <w:rPr>
                <w:rFonts w:hint="eastAsia" w:ascii="宋体" w:hAnsi="宋体" w:eastAsia="宋体" w:cs="宋体"/>
                <w:kern w:val="0"/>
                <w:szCs w:val="21"/>
              </w:rPr>
            </w:pPr>
            <w:r>
              <w:rPr>
                <w:rFonts w:hint="eastAsia" w:ascii="宋体" w:hAnsi="宋体" w:eastAsia="宋体" w:cs="宋体"/>
                <w:kern w:val="0"/>
                <w:szCs w:val="21"/>
              </w:rPr>
              <w:t>★1.点间距：≤1.53mm、屏体尺寸：≥480mm*1600mm（提供承诺函，格式自拟）；</w:t>
            </w:r>
            <w:r>
              <w:rPr>
                <w:rFonts w:hint="eastAsia" w:ascii="宋体" w:hAnsi="宋体" w:eastAsia="宋体" w:cs="宋体"/>
                <w:kern w:val="0"/>
                <w:szCs w:val="21"/>
              </w:rPr>
              <w:br w:type="textWrapping"/>
            </w:r>
            <w:r>
              <w:rPr>
                <w:rFonts w:hint="eastAsia" w:ascii="宋体" w:hAnsi="宋体" w:eastAsia="宋体" w:cs="宋体"/>
                <w:kern w:val="0"/>
                <w:szCs w:val="21"/>
              </w:rPr>
              <w:t>2.安全要求，加强绝缘，绝缘穿透距离≥0.4mm，外部爬电距离＞7.0mm，通过热循环试验。</w:t>
            </w:r>
            <w:r>
              <w:rPr>
                <w:rFonts w:hint="eastAsia" w:ascii="宋体" w:hAnsi="宋体" w:eastAsia="宋体" w:cs="宋体"/>
                <w:kern w:val="0"/>
                <w:szCs w:val="21"/>
              </w:rPr>
              <w:br w:type="textWrapping"/>
            </w:r>
            <w:r>
              <w:rPr>
                <w:rFonts w:hint="eastAsia" w:ascii="宋体" w:hAnsi="宋体" w:eastAsia="宋体" w:cs="宋体"/>
                <w:kern w:val="0"/>
                <w:szCs w:val="21"/>
              </w:rPr>
              <w:t>3.外壳坚固性要求：符合国家标准要求，一定冲击力下，外壳金属框架不变形。</w:t>
            </w:r>
            <w:r>
              <w:rPr>
                <w:rFonts w:hint="eastAsia" w:ascii="宋体" w:hAnsi="宋体" w:eastAsia="宋体" w:cs="宋体"/>
                <w:kern w:val="0"/>
                <w:szCs w:val="21"/>
              </w:rPr>
              <w:br w:type="textWrapping"/>
            </w:r>
            <w:r>
              <w:rPr>
                <w:rFonts w:hint="eastAsia" w:ascii="宋体" w:hAnsi="宋体" w:eastAsia="宋体" w:cs="宋体"/>
                <w:kern w:val="0"/>
                <w:szCs w:val="21"/>
              </w:rPr>
              <w:t>4.防止电击要求：使用基本绝缘作为基本安全防护，同时使用保护连接和保护接地作为附加安全防护，达到防电击保护 I 类设备。</w:t>
            </w:r>
            <w:r>
              <w:rPr>
                <w:rFonts w:hint="eastAsia" w:ascii="宋体" w:hAnsi="宋体" w:eastAsia="宋体" w:cs="宋体"/>
                <w:kern w:val="0"/>
                <w:szCs w:val="21"/>
              </w:rPr>
              <w:br w:type="textWrapping"/>
            </w:r>
            <w:r>
              <w:rPr>
                <w:rFonts w:hint="eastAsia" w:ascii="宋体" w:hAnsi="宋体" w:eastAsia="宋体" w:cs="宋体"/>
                <w:kern w:val="0"/>
                <w:szCs w:val="21"/>
              </w:rPr>
              <w:t>5.电磁兼容的需求：30MHz～1000MHz符合 Class A 限值要求。</w:t>
            </w:r>
            <w:r>
              <w:rPr>
                <w:rFonts w:hint="eastAsia" w:ascii="宋体" w:hAnsi="宋体" w:eastAsia="宋体" w:cs="宋体"/>
                <w:kern w:val="0"/>
                <w:szCs w:val="21"/>
              </w:rPr>
              <w:br w:type="textWrapping"/>
            </w:r>
            <w:r>
              <w:rPr>
                <w:rFonts w:hint="eastAsia" w:ascii="宋体" w:hAnsi="宋体" w:eastAsia="宋体" w:cs="宋体"/>
                <w:kern w:val="0"/>
                <w:szCs w:val="21"/>
              </w:rPr>
              <w:t>6.静电放电，满足国标要求，至少取 4 个点进行静电放电，正负极各 100 次，接触放电±4kV，空气放电±8kV。</w:t>
            </w:r>
            <w:r>
              <w:rPr>
                <w:rFonts w:hint="eastAsia" w:ascii="宋体" w:hAnsi="宋体" w:eastAsia="宋体" w:cs="宋体"/>
                <w:kern w:val="0"/>
                <w:szCs w:val="21"/>
              </w:rPr>
              <w:br w:type="textWrapping"/>
            </w:r>
            <w:r>
              <w:rPr>
                <w:rFonts w:hint="eastAsia" w:ascii="宋体" w:hAnsi="宋体" w:eastAsia="宋体" w:cs="宋体"/>
                <w:kern w:val="0"/>
                <w:szCs w:val="21"/>
              </w:rPr>
              <w:t>7.保证产品屏幕光柔和不刺眼，符合国标要求，无蓝光危害。长时间使用不会造成对视网膜热危害及光化学紫外危害。</w:t>
            </w:r>
            <w:r>
              <w:rPr>
                <w:rFonts w:hint="eastAsia" w:ascii="宋体" w:hAnsi="宋体" w:eastAsia="宋体" w:cs="宋体"/>
                <w:kern w:val="0"/>
                <w:szCs w:val="21"/>
              </w:rPr>
              <w:br w:type="textWrapping"/>
            </w:r>
            <w:r>
              <w:rPr>
                <w:rFonts w:hint="eastAsia" w:ascii="宋体" w:hAnsi="宋体" w:eastAsia="宋体" w:cs="宋体"/>
                <w:kern w:val="0"/>
                <w:szCs w:val="21"/>
              </w:rPr>
              <w:t>8.IP防护等级的要求，产品正面要求≥IP3X，并与带电部分留有安全距离。</w:t>
            </w:r>
            <w:r>
              <w:rPr>
                <w:rFonts w:hint="eastAsia" w:ascii="宋体" w:hAnsi="宋体" w:eastAsia="宋体" w:cs="宋体"/>
                <w:kern w:val="0"/>
                <w:szCs w:val="21"/>
              </w:rPr>
              <w:br w:type="textWrapping"/>
            </w:r>
            <w:r>
              <w:rPr>
                <w:rFonts w:hint="eastAsia" w:ascii="宋体" w:hAnsi="宋体" w:eastAsia="宋体" w:cs="宋体"/>
                <w:kern w:val="0"/>
                <w:szCs w:val="21"/>
              </w:rPr>
              <w:t>9.支持模组级LED灯防撞灯保护装置，具备防碰撞焊盘技术。</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16430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16430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2</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教学麦克风</w:t>
            </w:r>
          </w:p>
        </w:tc>
        <w:tc>
          <w:tcPr>
            <w:tcW w:w="3994"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1.产品规格：可调频无线话筒</w:t>
            </w:r>
            <w:r>
              <w:rPr>
                <w:rFonts w:hint="eastAsia" w:ascii="宋体" w:hAnsi="宋体" w:eastAsia="宋体" w:cs="宋体"/>
                <w:kern w:val="0"/>
                <w:szCs w:val="21"/>
              </w:rPr>
              <w:br w:type="textWrapping"/>
            </w:r>
            <w:r>
              <w:rPr>
                <w:rFonts w:hint="eastAsia" w:ascii="宋体" w:hAnsi="宋体" w:eastAsia="宋体" w:cs="宋体"/>
                <w:kern w:val="0"/>
                <w:szCs w:val="21"/>
              </w:rPr>
              <w:t>2.数量：麦克风数量1个</w:t>
            </w:r>
            <w:r>
              <w:rPr>
                <w:rFonts w:ascii="宋体" w:hAnsi="宋体" w:eastAsia="宋体" w:cs="宋体"/>
                <w:kern w:val="0"/>
                <w:szCs w:val="21"/>
              </w:rPr>
              <w:br w:type="textWrapping"/>
            </w:r>
            <w:r>
              <w:rPr>
                <w:rFonts w:hint="eastAsia" w:ascii="宋体" w:hAnsi="宋体" w:eastAsia="宋体" w:cs="宋体"/>
                <w:kern w:val="0"/>
                <w:szCs w:val="21"/>
              </w:rPr>
              <w:t xml:space="preserve">3.无线频段：UHF超高频频段，频率可调，规避信号干扰，支持单/双话筒同时使用，与 TB6L有源壁挂扬声器内置接收模块匹配兼容，开机自动对频连接，无需额外外接接收机。 </w:t>
            </w:r>
          </w:p>
          <w:p>
            <w:pPr>
              <w:widowControl/>
              <w:rPr>
                <w:rFonts w:hint="eastAsia" w:ascii="宋体" w:hAnsi="宋体" w:eastAsia="宋体" w:cs="宋体"/>
                <w:kern w:val="0"/>
                <w:szCs w:val="21"/>
              </w:rPr>
            </w:pPr>
            <w:r>
              <w:rPr>
                <w:rFonts w:hint="eastAsia" w:ascii="宋体" w:hAnsi="宋体" w:eastAsia="宋体" w:cs="宋体"/>
                <w:kern w:val="0"/>
                <w:szCs w:val="21"/>
              </w:rPr>
              <w:t xml:space="preserve">4.适配机型：完全适配TB6L 6.5英寸有源蓝牙壁挂扬声器，支持红外遥控联动音量调节，话筒音量独立调节不干扰背景音乐输入（蓝牙/USB/AUX 音源）。 </w:t>
            </w:r>
          </w:p>
          <w:p>
            <w:pPr>
              <w:widowControl/>
              <w:rPr>
                <w:rFonts w:hint="eastAsia" w:ascii="宋体" w:hAnsi="宋体" w:eastAsia="宋体" w:cs="宋体"/>
                <w:kern w:val="0"/>
                <w:szCs w:val="21"/>
              </w:rPr>
            </w:pPr>
            <w:r>
              <w:rPr>
                <w:rFonts w:hint="eastAsia" w:ascii="宋体" w:hAnsi="宋体" w:eastAsia="宋体" w:cs="宋体"/>
                <w:kern w:val="0"/>
                <w:szCs w:val="21"/>
              </w:rPr>
              <w:t>5.使用场景：满足教室授课人声扩声，室内稳定传输无断音、无杂音。</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套</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400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400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3</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数字AI赋能中心功能简介设计及制作</w:t>
            </w:r>
          </w:p>
        </w:tc>
        <w:tc>
          <w:tcPr>
            <w:tcW w:w="3994" w:type="dxa"/>
            <w:tcBorders>
              <w:top w:val="nil"/>
              <w:left w:val="nil"/>
              <w:bottom w:val="single" w:color="auto" w:sz="4" w:space="0"/>
              <w:right w:val="single" w:color="auto" w:sz="4" w:space="0"/>
            </w:tcBorders>
            <w:vAlign w:val="center"/>
          </w:tcPr>
          <w:p>
            <w:pPr>
              <w:widowControl/>
              <w:numPr>
                <w:ilvl w:val="0"/>
                <w:numId w:val="2"/>
              </w:numPr>
              <w:rPr>
                <w:rFonts w:hint="eastAsia" w:ascii="宋体" w:hAnsi="宋体" w:eastAsia="宋体" w:cs="宋体"/>
                <w:kern w:val="0"/>
                <w:szCs w:val="21"/>
              </w:rPr>
            </w:pPr>
            <w:r>
              <w:rPr>
                <w:rFonts w:hint="eastAsia" w:ascii="宋体" w:hAnsi="宋体" w:eastAsia="宋体" w:cs="宋体"/>
                <w:kern w:val="0"/>
                <w:szCs w:val="21"/>
              </w:rPr>
              <w:t>展示内容:</w:t>
            </w:r>
            <w:r>
              <w:rPr>
                <w:rFonts w:hint="eastAsia" w:ascii="宋体" w:hAnsi="宋体" w:eastAsia="宋体" w:cs="宋体"/>
                <w:kern w:val="0"/>
                <w:szCs w:val="21"/>
              </w:rPr>
              <w:br w:type="textWrapping"/>
            </w:r>
            <w:r>
              <w:rPr>
                <w:rFonts w:hint="eastAsia" w:ascii="宋体" w:hAnsi="宋体" w:eastAsia="宋体" w:cs="宋体"/>
                <w:kern w:val="0"/>
                <w:szCs w:val="21"/>
              </w:rPr>
              <w:t>(1)设计定制功能简介展区，根据校方提供的数字AI赋能中心功能简介资料进行视觉设计排版。</w:t>
            </w:r>
            <w:r>
              <w:rPr>
                <w:rFonts w:hint="eastAsia" w:ascii="宋体" w:hAnsi="宋体" w:eastAsia="宋体" w:cs="宋体"/>
                <w:kern w:val="0"/>
                <w:szCs w:val="21"/>
              </w:rPr>
              <w:br w:type="textWrapping"/>
            </w:r>
            <w:r>
              <w:rPr>
                <w:rFonts w:hint="eastAsia" w:ascii="宋体" w:hAnsi="宋体" w:eastAsia="宋体" w:cs="宋体"/>
                <w:kern w:val="0"/>
                <w:szCs w:val="21"/>
              </w:rPr>
              <w:t>(2)采用模块化排列组合，增加整体空间视觉层次，营造空间整体文化氛围。</w:t>
            </w:r>
            <w:r>
              <w:rPr>
                <w:rFonts w:hint="eastAsia" w:ascii="宋体" w:hAnsi="宋体" w:eastAsia="宋体" w:cs="宋体"/>
                <w:kern w:val="0"/>
                <w:szCs w:val="21"/>
              </w:rPr>
              <w:br w:type="textWrapping"/>
            </w:r>
            <w:r>
              <w:rPr>
                <w:rFonts w:hint="eastAsia" w:ascii="宋体" w:hAnsi="宋体" w:eastAsia="宋体" w:cs="宋体"/>
                <w:kern w:val="0"/>
                <w:szCs w:val="21"/>
              </w:rPr>
              <w:t>(3)展示面积≥36平方米</w:t>
            </w:r>
          </w:p>
          <w:p>
            <w:pPr>
              <w:widowControl/>
              <w:numPr>
                <w:ilvl w:val="0"/>
                <w:numId w:val="2"/>
              </w:numPr>
              <w:rPr>
                <w:rFonts w:hint="eastAsia" w:ascii="宋体" w:hAnsi="宋体" w:eastAsia="宋体" w:cs="宋体"/>
                <w:kern w:val="0"/>
                <w:szCs w:val="21"/>
              </w:rPr>
            </w:pPr>
            <w:r>
              <w:rPr>
                <w:rFonts w:hint="eastAsia" w:ascii="宋体" w:hAnsi="宋体" w:eastAsia="宋体" w:cs="宋体"/>
                <w:kern w:val="0"/>
                <w:szCs w:val="21"/>
              </w:rPr>
              <w:t>展示内容需求：</w:t>
            </w:r>
          </w:p>
          <w:p>
            <w:pPr>
              <w:widowControl/>
              <w:rPr>
                <w:rFonts w:hint="eastAsia" w:ascii="宋体" w:hAnsi="宋体" w:eastAsia="宋体" w:cs="宋体"/>
                <w:kern w:val="0"/>
                <w:szCs w:val="21"/>
              </w:rPr>
            </w:pPr>
            <w:r>
              <w:rPr>
                <w:rFonts w:hint="eastAsia" w:ascii="宋体" w:hAnsi="宋体" w:eastAsia="宋体" w:cs="宋体"/>
                <w:kern w:val="0"/>
                <w:szCs w:val="21"/>
              </w:rPr>
              <w:t>（1）能源与动力：AI优化能源调度、智能监测运维，赋能新能源高效利用，实现产供储销能耗管控与提质增效。</w:t>
            </w:r>
          </w:p>
          <w:p>
            <w:pPr>
              <w:widowControl/>
              <w:rPr>
                <w:rFonts w:hint="eastAsia" w:ascii="宋体" w:hAnsi="宋体" w:eastAsia="宋体" w:cs="宋体"/>
                <w:kern w:val="0"/>
                <w:szCs w:val="21"/>
              </w:rPr>
            </w:pPr>
            <w:r>
              <w:rPr>
                <w:rFonts w:hint="eastAsia" w:ascii="宋体" w:hAnsi="宋体" w:eastAsia="宋体" w:cs="宋体"/>
                <w:kern w:val="0"/>
                <w:szCs w:val="21"/>
              </w:rPr>
              <w:t>（2）高端装备：赋能智能制造、工艺规划与故障预警，通过视觉检测与预测性维护，提升生产精度与设备可靠性。</w:t>
            </w:r>
          </w:p>
          <w:p>
            <w:pPr>
              <w:widowControl/>
              <w:rPr>
                <w:rFonts w:hint="eastAsia" w:ascii="宋体" w:hAnsi="宋体" w:eastAsia="宋体" w:cs="宋体"/>
                <w:kern w:val="0"/>
                <w:szCs w:val="21"/>
              </w:rPr>
            </w:pPr>
            <w:r>
              <w:rPr>
                <w:rFonts w:hint="eastAsia" w:ascii="宋体" w:hAnsi="宋体" w:eastAsia="宋体" w:cs="宋体"/>
                <w:kern w:val="0"/>
                <w:szCs w:val="21"/>
              </w:rPr>
              <w:t>（3）现代商贸：精准需求预测+智能供应链管理，优化库存、精准营销，提升订单履约效率与客户服务体验。</w:t>
            </w:r>
          </w:p>
          <w:p>
            <w:pPr>
              <w:widowControl/>
              <w:rPr>
                <w:rFonts w:hint="eastAsia" w:ascii="宋体" w:hAnsi="宋体" w:eastAsia="宋体" w:cs="宋体"/>
                <w:kern w:val="0"/>
                <w:szCs w:val="21"/>
              </w:rPr>
            </w:pPr>
            <w:r>
              <w:rPr>
                <w:rFonts w:hint="eastAsia" w:ascii="宋体" w:hAnsi="宋体" w:eastAsia="宋体" w:cs="宋体"/>
                <w:kern w:val="0"/>
                <w:szCs w:val="21"/>
              </w:rPr>
              <w:t>（4）智能应用：深化场景化智能解决方案，赋能设备互联、数据驱动决策，提升跨领域应用适配性与服务效能。</w:t>
            </w:r>
          </w:p>
          <w:p>
            <w:pPr>
              <w:widowControl/>
              <w:rPr>
                <w:rFonts w:hint="eastAsia" w:ascii="宋体" w:hAnsi="宋体" w:eastAsia="宋体" w:cs="宋体"/>
                <w:kern w:val="0"/>
                <w:szCs w:val="21"/>
              </w:rPr>
            </w:pPr>
            <w:r>
              <w:rPr>
                <w:rFonts w:hint="eastAsia" w:ascii="宋体" w:hAnsi="宋体" w:eastAsia="宋体" w:cs="宋体"/>
                <w:kern w:val="0"/>
                <w:szCs w:val="21"/>
              </w:rPr>
              <w:t>（5）数字创意：AI辅助内容生成、沉浸式交互设计，优化创意生产流程，丰富传播形式并提升内容变现能力。</w:t>
            </w:r>
          </w:p>
          <w:p>
            <w:pPr>
              <w:widowControl/>
              <w:rPr>
                <w:rFonts w:hint="eastAsia" w:ascii="宋体" w:hAnsi="宋体" w:eastAsia="宋体" w:cs="宋体"/>
                <w:kern w:val="0"/>
                <w:szCs w:val="21"/>
              </w:rPr>
            </w:pPr>
            <w:r>
              <w:rPr>
                <w:rFonts w:hint="eastAsia" w:ascii="宋体" w:hAnsi="宋体" w:eastAsia="宋体" w:cs="宋体"/>
                <w:kern w:val="0"/>
                <w:szCs w:val="21"/>
              </w:rPr>
              <w:t>（6）人工智能：搭建行业A</w:t>
            </w:r>
            <w:r>
              <w:rPr>
                <w:rFonts w:hint="eastAsia" w:ascii="宋体" w:hAnsi="宋体" w:eastAsia="宋体" w:cs="宋体"/>
                <w:kern w:val="0"/>
                <w:szCs w:val="21"/>
                <w:lang w:val="en-US" w:eastAsia="zh-CN"/>
              </w:rPr>
              <w:t>I</w:t>
            </w:r>
            <w:r>
              <w:rPr>
                <w:rFonts w:hint="eastAsia" w:ascii="宋体" w:hAnsi="宋体" w:eastAsia="宋体" w:cs="宋体"/>
                <w:kern w:val="0"/>
                <w:szCs w:val="21"/>
              </w:rPr>
              <w:t>应用平台，推动技术跨领域融合应用落地。</w:t>
            </w:r>
            <w:r>
              <w:rPr>
                <w:rFonts w:hint="eastAsia" w:ascii="宋体" w:hAnsi="宋体" w:eastAsia="宋体" w:cs="宋体"/>
                <w:kern w:val="0"/>
                <w:szCs w:val="21"/>
              </w:rPr>
              <w:br w:type="textWrapping"/>
            </w:r>
            <w:r>
              <w:rPr>
                <w:rFonts w:hint="eastAsia" w:ascii="宋体" w:hAnsi="宋体" w:eastAsia="宋体" w:cs="宋体"/>
                <w:kern w:val="0"/>
                <w:szCs w:val="21"/>
              </w:rPr>
              <w:t>3.展示形式:</w:t>
            </w:r>
            <w:r>
              <w:rPr>
                <w:rFonts w:hint="eastAsia" w:ascii="宋体" w:hAnsi="宋体" w:eastAsia="宋体" w:cs="宋体"/>
                <w:kern w:val="0"/>
                <w:szCs w:val="21"/>
              </w:rPr>
              <w:br w:type="textWrapping"/>
            </w:r>
            <w:r>
              <w:rPr>
                <w:rFonts w:hint="eastAsia" w:ascii="宋体" w:hAnsi="宋体" w:eastAsia="宋体" w:cs="宋体"/>
                <w:kern w:val="0"/>
                <w:szCs w:val="21"/>
              </w:rPr>
              <w:t>(1)采用定制轻钢龙骨框架展示面，搭配亚克力立体发光字以及定制展板。</w:t>
            </w:r>
            <w:r>
              <w:rPr>
                <w:rFonts w:hint="eastAsia" w:ascii="宋体" w:hAnsi="宋体" w:eastAsia="宋体" w:cs="宋体"/>
                <w:kern w:val="0"/>
                <w:szCs w:val="21"/>
              </w:rPr>
              <w:br w:type="textWrapping"/>
            </w:r>
            <w:r>
              <w:rPr>
                <w:rFonts w:hint="eastAsia" w:ascii="宋体" w:hAnsi="宋体" w:eastAsia="宋体" w:cs="宋体"/>
                <w:kern w:val="0"/>
                <w:szCs w:val="21"/>
              </w:rPr>
              <w:t>(2)通过灯光效果方式呈现。</w:t>
            </w:r>
            <w:r>
              <w:rPr>
                <w:rFonts w:hint="eastAsia" w:ascii="宋体" w:hAnsi="宋体" w:eastAsia="宋体" w:cs="宋体"/>
                <w:kern w:val="0"/>
                <w:szCs w:val="21"/>
              </w:rPr>
              <w:br w:type="textWrapping"/>
            </w:r>
            <w:r>
              <w:rPr>
                <w:rFonts w:hint="eastAsia" w:ascii="宋体" w:hAnsi="宋体" w:eastAsia="宋体" w:cs="宋体"/>
                <w:kern w:val="0"/>
                <w:szCs w:val="21"/>
              </w:rPr>
              <w:t>4.设计图：提供不少于2张的体现本区域效果的设计图。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5.制作要求:</w:t>
            </w:r>
            <w:r>
              <w:rPr>
                <w:rFonts w:hint="eastAsia" w:ascii="宋体" w:hAnsi="宋体" w:eastAsia="宋体" w:cs="宋体"/>
                <w:kern w:val="0"/>
                <w:szCs w:val="21"/>
              </w:rPr>
              <w:br w:type="textWrapping"/>
            </w:r>
            <w:r>
              <w:rPr>
                <w:rFonts w:hint="eastAsia" w:ascii="宋体" w:hAnsi="宋体" w:eastAsia="宋体" w:cs="宋体"/>
                <w:kern w:val="0"/>
                <w:szCs w:val="21"/>
              </w:rPr>
              <w:t>（1）在本展区搭建定制轻钢龙骨框架展示面板,整体立体框架厚&gt;100mm，在面板上辅以3D立体发光字，PVC立体展示面，对展示面层进行水性漆面处理，根据设计要求选择合适亚克力文化主题字体，制作工艺必须符合相关规定。</w:t>
            </w:r>
            <w:r>
              <w:rPr>
                <w:rFonts w:hint="eastAsia" w:ascii="宋体" w:hAnsi="宋体" w:eastAsia="宋体" w:cs="宋体"/>
                <w:kern w:val="0"/>
                <w:szCs w:val="21"/>
              </w:rPr>
              <w:br w:type="textWrapping"/>
            </w:r>
            <w:r>
              <w:rPr>
                <w:rFonts w:hint="eastAsia" w:ascii="宋体" w:hAnsi="宋体" w:eastAsia="宋体" w:cs="宋体"/>
                <w:kern w:val="0"/>
                <w:szCs w:val="21"/>
              </w:rPr>
              <w:t>（2）对造型进行整体一致色彩水性漆饰面处理，使表面颜色鲜艳、均匀，整体色彩搭配合理。在造型四周内藏LED灯带，安装灯带时注意线路隐藏和固定。底部安装铝合金踢脚线。</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46570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46570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教学成果展示区设计及制作</w:t>
            </w:r>
          </w:p>
        </w:tc>
        <w:tc>
          <w:tcPr>
            <w:tcW w:w="3994" w:type="dxa"/>
            <w:tcBorders>
              <w:top w:val="nil"/>
              <w:left w:val="nil"/>
              <w:bottom w:val="single" w:color="auto" w:sz="4" w:space="0"/>
              <w:right w:val="single" w:color="auto" w:sz="4" w:space="0"/>
            </w:tcBorders>
            <w:vAlign w:val="center"/>
          </w:tcPr>
          <w:p>
            <w:pPr>
              <w:widowControl/>
              <w:numPr>
                <w:ilvl w:val="0"/>
                <w:numId w:val="3"/>
              </w:numPr>
              <w:rPr>
                <w:rFonts w:hint="eastAsia" w:ascii="宋体" w:hAnsi="宋体" w:eastAsia="宋体" w:cs="宋体"/>
                <w:kern w:val="0"/>
                <w:szCs w:val="21"/>
              </w:rPr>
            </w:pPr>
            <w:r>
              <w:rPr>
                <w:rFonts w:hint="eastAsia" w:ascii="宋体" w:hAnsi="宋体" w:eastAsia="宋体" w:cs="宋体"/>
                <w:kern w:val="0"/>
                <w:szCs w:val="21"/>
              </w:rPr>
              <w:t>展示内容:</w:t>
            </w:r>
            <w:r>
              <w:rPr>
                <w:rFonts w:hint="eastAsia" w:ascii="宋体" w:hAnsi="宋体" w:eastAsia="宋体" w:cs="宋体"/>
                <w:kern w:val="0"/>
                <w:szCs w:val="21"/>
              </w:rPr>
              <w:br w:type="textWrapping"/>
            </w:r>
            <w:r>
              <w:rPr>
                <w:rFonts w:hint="eastAsia" w:ascii="宋体" w:hAnsi="宋体" w:eastAsia="宋体" w:cs="宋体"/>
                <w:kern w:val="0"/>
                <w:szCs w:val="21"/>
              </w:rPr>
              <w:t>(1)设计定制成果展区，根据校方提供的教学成果资料进行视觉设计排版。</w:t>
            </w:r>
            <w:r>
              <w:rPr>
                <w:rFonts w:hint="eastAsia" w:ascii="宋体" w:hAnsi="宋体" w:eastAsia="宋体" w:cs="宋体"/>
                <w:kern w:val="0"/>
                <w:szCs w:val="21"/>
              </w:rPr>
              <w:br w:type="textWrapping"/>
            </w:r>
            <w:r>
              <w:rPr>
                <w:rFonts w:hint="eastAsia" w:ascii="宋体" w:hAnsi="宋体" w:eastAsia="宋体" w:cs="宋体"/>
                <w:kern w:val="0"/>
                <w:szCs w:val="21"/>
              </w:rPr>
              <w:t>(2)采用模块化排列组合，增加整体空间视觉层次，营造空间整体文化氛围。</w:t>
            </w:r>
            <w:r>
              <w:rPr>
                <w:rFonts w:hint="eastAsia" w:ascii="宋体" w:hAnsi="宋体" w:eastAsia="宋体" w:cs="宋体"/>
                <w:kern w:val="0"/>
                <w:szCs w:val="21"/>
              </w:rPr>
              <w:br w:type="textWrapping"/>
            </w:r>
            <w:r>
              <w:rPr>
                <w:rFonts w:hint="eastAsia" w:ascii="宋体" w:hAnsi="宋体" w:eastAsia="宋体" w:cs="宋体"/>
                <w:kern w:val="0"/>
                <w:szCs w:val="21"/>
              </w:rPr>
              <w:t>(3)展示面积≥72平方米</w:t>
            </w:r>
          </w:p>
          <w:p>
            <w:pPr>
              <w:widowControl/>
              <w:numPr>
                <w:ilvl w:val="0"/>
                <w:numId w:val="3"/>
              </w:numPr>
              <w:rPr>
                <w:rFonts w:hint="eastAsia" w:ascii="宋体" w:hAnsi="宋体" w:eastAsia="宋体" w:cs="宋体"/>
                <w:kern w:val="0"/>
                <w:szCs w:val="21"/>
              </w:rPr>
            </w:pPr>
            <w:r>
              <w:rPr>
                <w:rFonts w:hint="eastAsia" w:ascii="宋体" w:hAnsi="宋体" w:eastAsia="宋体" w:cs="宋体"/>
                <w:kern w:val="0"/>
                <w:szCs w:val="21"/>
              </w:rPr>
              <w:t>展示内容需求：</w:t>
            </w:r>
          </w:p>
          <w:p>
            <w:pPr>
              <w:widowControl/>
              <w:rPr>
                <w:rFonts w:hint="eastAsia" w:ascii="宋体" w:hAnsi="宋体" w:eastAsia="宋体" w:cs="宋体"/>
                <w:kern w:val="0"/>
                <w:szCs w:val="21"/>
              </w:rPr>
            </w:pPr>
            <w:r>
              <w:rPr>
                <w:rFonts w:hint="eastAsia" w:ascii="宋体" w:hAnsi="宋体" w:eastAsia="宋体" w:cs="宋体"/>
                <w:kern w:val="0"/>
                <w:szCs w:val="21"/>
              </w:rPr>
              <w:t>广州工贸信息系深耕数字技术人才培养，以产教融合为核心。技能竞赛为抓手、创新研发为支撑，构建起“教、学、赛、研、创"一体化发展生态，累计斩获国家级、省级成果68项，成为粤港澳大湾区数字技能人才培育的重要基地。</w:t>
            </w:r>
            <w:r>
              <w:rPr>
                <w:rFonts w:hint="eastAsia" w:ascii="宋体" w:hAnsi="宋体" w:eastAsia="宋体" w:cs="宋体"/>
                <w:kern w:val="0"/>
                <w:szCs w:val="21"/>
              </w:rPr>
              <w:br w:type="textWrapping"/>
            </w:r>
            <w:r>
              <w:rPr>
                <w:rFonts w:hint="eastAsia" w:ascii="宋体" w:hAnsi="宋体" w:eastAsia="宋体" w:cs="宋体"/>
                <w:kern w:val="0"/>
                <w:szCs w:val="21"/>
              </w:rPr>
              <w:t>3.展示形式:</w:t>
            </w:r>
            <w:r>
              <w:rPr>
                <w:rFonts w:hint="eastAsia" w:ascii="宋体" w:hAnsi="宋体" w:eastAsia="宋体" w:cs="宋体"/>
                <w:kern w:val="0"/>
                <w:szCs w:val="21"/>
              </w:rPr>
              <w:br w:type="textWrapping"/>
            </w:r>
            <w:r>
              <w:rPr>
                <w:rFonts w:hint="eastAsia" w:ascii="宋体" w:hAnsi="宋体" w:eastAsia="宋体" w:cs="宋体"/>
                <w:kern w:val="0"/>
                <w:szCs w:val="21"/>
              </w:rPr>
              <w:t>(1)采用定制轻钢龙骨框架展示面，搭配亚克力立体发光字以及定制展板。</w:t>
            </w:r>
            <w:r>
              <w:rPr>
                <w:rFonts w:hint="eastAsia" w:ascii="宋体" w:hAnsi="宋体" w:eastAsia="宋体" w:cs="宋体"/>
                <w:kern w:val="0"/>
                <w:szCs w:val="21"/>
              </w:rPr>
              <w:br w:type="textWrapping"/>
            </w:r>
            <w:r>
              <w:rPr>
                <w:rFonts w:hint="eastAsia" w:ascii="宋体" w:hAnsi="宋体" w:eastAsia="宋体" w:cs="宋体"/>
                <w:kern w:val="0"/>
                <w:szCs w:val="21"/>
              </w:rPr>
              <w:t>(2)通过灯光效果方式呈现。</w:t>
            </w:r>
            <w:r>
              <w:rPr>
                <w:rFonts w:hint="eastAsia" w:ascii="宋体" w:hAnsi="宋体" w:eastAsia="宋体" w:cs="宋体"/>
                <w:kern w:val="0"/>
                <w:szCs w:val="21"/>
              </w:rPr>
              <w:br w:type="textWrapping"/>
            </w:r>
            <w:r>
              <w:rPr>
                <w:rFonts w:hint="eastAsia" w:ascii="宋体" w:hAnsi="宋体" w:eastAsia="宋体" w:cs="宋体"/>
                <w:kern w:val="0"/>
                <w:szCs w:val="21"/>
              </w:rPr>
              <w:t>4.设计图：</w:t>
            </w:r>
            <w:r>
              <w:rPr>
                <w:rFonts w:hint="eastAsia" w:ascii="宋体" w:hAnsi="宋体" w:eastAsia="宋体" w:cs="宋体"/>
                <w:kern w:val="0"/>
                <w:szCs w:val="21"/>
              </w:rPr>
              <w:br w:type="textWrapping"/>
            </w:r>
            <w:r>
              <w:rPr>
                <w:rFonts w:hint="eastAsia" w:ascii="宋体" w:hAnsi="宋体" w:eastAsia="宋体" w:cs="宋体"/>
                <w:kern w:val="0"/>
                <w:szCs w:val="21"/>
              </w:rPr>
              <w:t>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5.制作要求:</w:t>
            </w:r>
            <w:r>
              <w:rPr>
                <w:rFonts w:hint="eastAsia" w:ascii="宋体" w:hAnsi="宋体" w:eastAsia="宋体" w:cs="宋体"/>
                <w:kern w:val="0"/>
                <w:szCs w:val="21"/>
              </w:rPr>
              <w:br w:type="textWrapping"/>
            </w:r>
            <w:r>
              <w:rPr>
                <w:rFonts w:hint="eastAsia" w:ascii="宋体" w:hAnsi="宋体" w:eastAsia="宋体" w:cs="宋体"/>
                <w:kern w:val="0"/>
                <w:szCs w:val="21"/>
              </w:rPr>
              <w:t>（1）在本展区搭建定制轻钢龙骨框架展示面板,整体立体框架厚≥100mm，对展示面层进行水性漆面处理，在面板上辅以3D立体发光字，根据设计要求选择合适亚克力文化主题字体，制作工艺必须符合相关规定。</w:t>
            </w:r>
            <w:r>
              <w:rPr>
                <w:rFonts w:hint="eastAsia" w:ascii="宋体" w:hAnsi="宋体" w:eastAsia="宋体" w:cs="宋体"/>
                <w:kern w:val="0"/>
                <w:szCs w:val="21"/>
              </w:rPr>
              <w:br w:type="textWrapping"/>
            </w:r>
            <w:r>
              <w:rPr>
                <w:rFonts w:hint="eastAsia" w:ascii="宋体" w:hAnsi="宋体" w:eastAsia="宋体" w:cs="宋体"/>
                <w:kern w:val="0"/>
                <w:szCs w:val="21"/>
              </w:rPr>
              <w:t>（2）顶部空间使用金属龙骨搭建框架，根据实际需求设计要求确定框架间距和形状，保证框架牢固稳定。定制铝板饰面造型，搭配LED灯带对造型进行氛围营造。</w:t>
            </w:r>
            <w:r>
              <w:rPr>
                <w:rFonts w:hint="eastAsia" w:ascii="宋体" w:hAnsi="宋体" w:eastAsia="宋体" w:cs="宋体"/>
                <w:kern w:val="0"/>
                <w:szCs w:val="21"/>
              </w:rPr>
              <w:br w:type="textWrapping"/>
            </w:r>
            <w:r>
              <w:rPr>
                <w:rFonts w:hint="eastAsia" w:ascii="宋体" w:hAnsi="宋体" w:eastAsia="宋体" w:cs="宋体"/>
                <w:kern w:val="0"/>
                <w:szCs w:val="21"/>
              </w:rPr>
              <w:t>（3）对造型进行整体一致色彩水性漆饰面处理，使表面颜色鲜艳、均匀，整体色彩搭配合理。在造型四周内藏LED灯带，安装灯带时注意线路隐藏和固定。底部安装铝合金踢脚线。</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93150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93150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5</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人工智能专业教育区建设一：入门造型设计及制作</w:t>
            </w:r>
          </w:p>
        </w:tc>
        <w:tc>
          <w:tcPr>
            <w:tcW w:w="3994"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打造入门造型，通过多样化展示形式与定制展具，营造美观且实用的展示空间，凸显数字AI赋能中心亮点。</w:t>
            </w:r>
            <w:r>
              <w:rPr>
                <w:rFonts w:hint="eastAsia" w:ascii="宋体" w:hAnsi="宋体" w:eastAsia="宋体" w:cs="宋体"/>
                <w:kern w:val="0"/>
                <w:szCs w:val="21"/>
              </w:rPr>
              <w:br w:type="textWrapping"/>
            </w:r>
            <w:r>
              <w:rPr>
                <w:rFonts w:hint="eastAsia" w:ascii="宋体" w:hAnsi="宋体" w:eastAsia="宋体" w:cs="宋体"/>
                <w:kern w:val="0"/>
                <w:szCs w:val="21"/>
              </w:rPr>
              <w:t>1.尺寸：</w:t>
            </w:r>
            <w:r>
              <w:rPr>
                <w:rFonts w:hint="eastAsia" w:ascii="宋体" w:hAnsi="宋体" w:eastAsia="宋体" w:cs="宋体"/>
                <w:kern w:val="0"/>
                <w:szCs w:val="21"/>
              </w:rPr>
              <w:br w:type="textWrapping"/>
            </w:r>
            <w:r>
              <w:rPr>
                <w:rFonts w:hint="eastAsia" w:ascii="宋体" w:hAnsi="宋体" w:eastAsia="宋体" w:cs="宋体"/>
                <w:kern w:val="0"/>
                <w:szCs w:val="21"/>
              </w:rPr>
              <w:t>尺寸≥宽3300mm*高3200mm（按实际落地实施尺寸为准）</w:t>
            </w:r>
            <w:r>
              <w:rPr>
                <w:rFonts w:hint="eastAsia" w:ascii="宋体" w:hAnsi="宋体" w:eastAsia="宋体" w:cs="宋体"/>
                <w:kern w:val="0"/>
                <w:szCs w:val="21"/>
              </w:rPr>
              <w:br w:type="textWrapping"/>
            </w:r>
            <w:r>
              <w:rPr>
                <w:rFonts w:hint="eastAsia" w:ascii="宋体" w:hAnsi="宋体" w:eastAsia="宋体" w:cs="宋体"/>
                <w:kern w:val="0"/>
                <w:szCs w:val="21"/>
              </w:rPr>
              <w:t>2.展示内容:</w:t>
            </w:r>
            <w:r>
              <w:rPr>
                <w:rFonts w:hint="eastAsia" w:ascii="宋体" w:hAnsi="宋体" w:eastAsia="宋体" w:cs="宋体"/>
                <w:kern w:val="0"/>
                <w:szCs w:val="21"/>
              </w:rPr>
              <w:br w:type="textWrapping"/>
            </w:r>
            <w:r>
              <w:rPr>
                <w:rFonts w:hint="eastAsia" w:ascii="宋体" w:hAnsi="宋体" w:eastAsia="宋体" w:cs="宋体"/>
                <w:kern w:val="0"/>
                <w:szCs w:val="21"/>
              </w:rPr>
              <w:t>依据实际布展设计需求，展示数字AI赋能文化，设计并制作门头造型，注重色彩搭配与字体选择。</w:t>
            </w:r>
            <w:r>
              <w:rPr>
                <w:rFonts w:hint="eastAsia" w:ascii="宋体" w:hAnsi="宋体" w:eastAsia="宋体" w:cs="宋体"/>
                <w:kern w:val="0"/>
                <w:szCs w:val="21"/>
              </w:rPr>
              <w:br w:type="textWrapping"/>
            </w:r>
            <w:r>
              <w:rPr>
                <w:rFonts w:hint="eastAsia" w:ascii="宋体" w:hAnsi="宋体" w:eastAsia="宋体" w:cs="宋体"/>
                <w:kern w:val="0"/>
                <w:szCs w:val="21"/>
              </w:rPr>
              <w:t>3.展示形式:</w:t>
            </w:r>
            <w:r>
              <w:rPr>
                <w:rFonts w:hint="eastAsia" w:ascii="宋体" w:hAnsi="宋体" w:eastAsia="宋体" w:cs="宋体"/>
                <w:kern w:val="0"/>
                <w:szCs w:val="21"/>
              </w:rPr>
              <w:br w:type="textWrapping"/>
            </w:r>
            <w:r>
              <w:rPr>
                <w:rFonts w:hint="eastAsia" w:ascii="宋体" w:hAnsi="宋体" w:eastAsia="宋体" w:cs="宋体"/>
                <w:kern w:val="0"/>
                <w:szCs w:val="21"/>
              </w:rPr>
              <w:t>依据实际布展设计需求尺寸，展示数字AI赋能，设计并制作牌匾上的图文信息，注重色彩搭配与字体选择。</w:t>
            </w:r>
            <w:r>
              <w:rPr>
                <w:rFonts w:hint="eastAsia" w:ascii="宋体" w:hAnsi="宋体" w:eastAsia="宋体" w:cs="宋体"/>
                <w:kern w:val="0"/>
                <w:szCs w:val="21"/>
              </w:rPr>
              <w:br w:type="textWrapping"/>
            </w:r>
            <w:r>
              <w:rPr>
                <w:rFonts w:hint="eastAsia" w:ascii="宋体" w:hAnsi="宋体" w:eastAsia="宋体" w:cs="宋体"/>
                <w:kern w:val="0"/>
                <w:szCs w:val="21"/>
              </w:rPr>
              <w:t>4.设计图：</w:t>
            </w:r>
            <w:r>
              <w:rPr>
                <w:rFonts w:hint="eastAsia" w:ascii="宋体" w:hAnsi="宋体" w:eastAsia="宋体" w:cs="宋体"/>
                <w:kern w:val="0"/>
                <w:szCs w:val="21"/>
              </w:rPr>
              <w:br w:type="textWrapping"/>
            </w:r>
            <w:r>
              <w:rPr>
                <w:rFonts w:hint="eastAsia" w:ascii="宋体" w:hAnsi="宋体" w:eastAsia="宋体" w:cs="宋体"/>
                <w:kern w:val="0"/>
                <w:szCs w:val="21"/>
              </w:rPr>
              <w:t>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5.制作要求:</w:t>
            </w:r>
            <w:r>
              <w:rPr>
                <w:rFonts w:hint="eastAsia" w:ascii="宋体" w:hAnsi="宋体" w:eastAsia="宋体" w:cs="宋体"/>
                <w:kern w:val="0"/>
                <w:szCs w:val="21"/>
              </w:rPr>
              <w:br w:type="textWrapping"/>
            </w:r>
            <w:r>
              <w:rPr>
                <w:rFonts w:hint="eastAsia" w:ascii="宋体" w:hAnsi="宋体" w:eastAsia="宋体" w:cs="宋体"/>
                <w:kern w:val="0"/>
                <w:szCs w:val="21"/>
              </w:rPr>
              <w:t>(1)展具整体风格需与主题文化保持一致，位置布局合理，不显突兀。</w:t>
            </w:r>
            <w:r>
              <w:rPr>
                <w:rFonts w:hint="eastAsia" w:ascii="宋体" w:hAnsi="宋体" w:eastAsia="宋体" w:cs="宋体"/>
                <w:kern w:val="0"/>
                <w:szCs w:val="21"/>
              </w:rPr>
              <w:br w:type="textWrapping"/>
            </w:r>
            <w:r>
              <w:rPr>
                <w:rFonts w:hint="eastAsia" w:ascii="宋体" w:hAnsi="宋体" w:eastAsia="宋体" w:cs="宋体"/>
                <w:kern w:val="0"/>
                <w:szCs w:val="21"/>
              </w:rPr>
              <w:t>(2)为满足结构稳定性要求，需要利用镀锌角铁或者方管固定造型，发光线条。</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2</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15800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31600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6</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人工智能专业教育区建设二：支持工具区设计及制作</w:t>
            </w:r>
          </w:p>
        </w:tc>
        <w:tc>
          <w:tcPr>
            <w:tcW w:w="3994"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1.展示内容:</w:t>
            </w:r>
            <w:r>
              <w:rPr>
                <w:rFonts w:hint="eastAsia" w:ascii="宋体" w:hAnsi="宋体" w:eastAsia="宋体" w:cs="宋体"/>
                <w:kern w:val="0"/>
                <w:szCs w:val="21"/>
              </w:rPr>
              <w:br w:type="textWrapping"/>
            </w:r>
            <w:r>
              <w:rPr>
                <w:rFonts w:hint="eastAsia" w:ascii="宋体" w:hAnsi="宋体" w:eastAsia="宋体" w:cs="宋体"/>
                <w:kern w:val="0"/>
                <w:szCs w:val="21"/>
              </w:rPr>
              <w:t>(1)设计定制支持工具展区，根据校方提供的支持工具资料进行视觉设计排版。</w:t>
            </w:r>
            <w:r>
              <w:rPr>
                <w:rFonts w:hint="eastAsia" w:ascii="宋体" w:hAnsi="宋体" w:eastAsia="宋体" w:cs="宋体"/>
                <w:kern w:val="0"/>
                <w:szCs w:val="21"/>
              </w:rPr>
              <w:br w:type="textWrapping"/>
            </w:r>
            <w:r>
              <w:rPr>
                <w:rFonts w:hint="eastAsia" w:ascii="宋体" w:hAnsi="宋体" w:eastAsia="宋体" w:cs="宋体"/>
                <w:kern w:val="0"/>
                <w:szCs w:val="21"/>
              </w:rPr>
              <w:t>(2)采用模块化排列组合，增加整体空间视觉层次，营造空间整体文化氛围。</w:t>
            </w:r>
            <w:r>
              <w:rPr>
                <w:rFonts w:hint="eastAsia" w:ascii="宋体" w:hAnsi="宋体" w:eastAsia="宋体" w:cs="宋体"/>
                <w:kern w:val="0"/>
                <w:szCs w:val="21"/>
              </w:rPr>
              <w:br w:type="textWrapping"/>
            </w:r>
            <w:r>
              <w:rPr>
                <w:rFonts w:hint="eastAsia" w:ascii="宋体" w:hAnsi="宋体" w:eastAsia="宋体" w:cs="宋体"/>
                <w:kern w:val="0"/>
                <w:szCs w:val="21"/>
              </w:rPr>
              <w:t>(3)展示面积≥36平方米</w:t>
            </w:r>
            <w:r>
              <w:rPr>
                <w:rFonts w:hint="eastAsia" w:ascii="宋体" w:hAnsi="宋体" w:eastAsia="宋体" w:cs="宋体"/>
                <w:kern w:val="0"/>
                <w:szCs w:val="21"/>
              </w:rPr>
              <w:br w:type="textWrapping"/>
            </w:r>
            <w:r>
              <w:rPr>
                <w:rFonts w:hint="eastAsia" w:ascii="宋体" w:hAnsi="宋体" w:eastAsia="宋体" w:cs="宋体"/>
                <w:kern w:val="0"/>
                <w:szCs w:val="21"/>
              </w:rPr>
              <w:t>2.展示内容需求：</w:t>
            </w:r>
          </w:p>
          <w:p>
            <w:pPr>
              <w:widowControl/>
              <w:rPr>
                <w:rFonts w:hint="eastAsia" w:ascii="宋体" w:hAnsi="宋体" w:eastAsia="宋体" w:cs="宋体"/>
                <w:kern w:val="0"/>
                <w:szCs w:val="21"/>
              </w:rPr>
            </w:pPr>
            <w:r>
              <w:rPr>
                <w:rFonts w:hint="eastAsia" w:ascii="宋体" w:hAnsi="宋体" w:eastAsia="宋体" w:cs="宋体"/>
                <w:kern w:val="0"/>
                <w:szCs w:val="21"/>
              </w:rPr>
              <w:t>视频制作工具、音频制作工具、文本生成工具、图像处理工具、综合性平台</w:t>
            </w:r>
          </w:p>
          <w:p>
            <w:pPr>
              <w:widowControl/>
              <w:rPr>
                <w:rFonts w:hint="eastAsia" w:ascii="宋体" w:hAnsi="宋体" w:eastAsia="宋体" w:cs="宋体"/>
                <w:kern w:val="0"/>
                <w:szCs w:val="21"/>
              </w:rPr>
            </w:pPr>
            <w:r>
              <w:rPr>
                <w:rFonts w:hint="eastAsia" w:ascii="宋体" w:hAnsi="宋体" w:eastAsia="宋体" w:cs="宋体"/>
                <w:kern w:val="0"/>
                <w:szCs w:val="21"/>
              </w:rPr>
              <w:t>3.展示形式:</w:t>
            </w:r>
            <w:r>
              <w:rPr>
                <w:rFonts w:hint="eastAsia" w:ascii="宋体" w:hAnsi="宋体" w:eastAsia="宋体" w:cs="宋体"/>
                <w:kern w:val="0"/>
                <w:szCs w:val="21"/>
              </w:rPr>
              <w:br w:type="textWrapping"/>
            </w:r>
            <w:r>
              <w:rPr>
                <w:rFonts w:hint="eastAsia" w:ascii="宋体" w:hAnsi="宋体" w:eastAsia="宋体" w:cs="宋体"/>
                <w:kern w:val="0"/>
                <w:szCs w:val="21"/>
              </w:rPr>
              <w:t>(1)采用定制UV宣绒布展示面，搭配定制激光雕刻亚克力造型UV喷绘展板。</w:t>
            </w:r>
            <w:r>
              <w:rPr>
                <w:rFonts w:hint="eastAsia" w:ascii="宋体" w:hAnsi="宋体" w:eastAsia="宋体" w:cs="宋体"/>
                <w:kern w:val="0"/>
                <w:szCs w:val="21"/>
              </w:rPr>
              <w:br w:type="textWrapping"/>
            </w:r>
            <w:r>
              <w:rPr>
                <w:rFonts w:hint="eastAsia" w:ascii="宋体" w:hAnsi="宋体" w:eastAsia="宋体" w:cs="宋体"/>
                <w:kern w:val="0"/>
                <w:szCs w:val="21"/>
              </w:rPr>
              <w:t>(2)配置发光标识牌、亚克力国旗、亚克力标语立体字。</w:t>
            </w:r>
            <w:r>
              <w:rPr>
                <w:rFonts w:hint="eastAsia" w:ascii="宋体" w:hAnsi="宋体" w:eastAsia="宋体" w:cs="宋体"/>
                <w:kern w:val="0"/>
                <w:szCs w:val="21"/>
              </w:rPr>
              <w:br w:type="textWrapping"/>
            </w:r>
            <w:r>
              <w:rPr>
                <w:rFonts w:hint="eastAsia" w:ascii="宋体" w:hAnsi="宋体" w:eastAsia="宋体" w:cs="宋体"/>
                <w:kern w:val="0"/>
                <w:szCs w:val="21"/>
              </w:rPr>
              <w:t>4.设计图：</w:t>
            </w:r>
            <w:r>
              <w:rPr>
                <w:rFonts w:hint="eastAsia" w:ascii="宋体" w:hAnsi="宋体" w:eastAsia="宋体" w:cs="宋体"/>
                <w:kern w:val="0"/>
                <w:szCs w:val="21"/>
              </w:rPr>
              <w:br w:type="textWrapping"/>
            </w:r>
            <w:r>
              <w:rPr>
                <w:rFonts w:hint="eastAsia" w:ascii="宋体" w:hAnsi="宋体" w:eastAsia="宋体" w:cs="宋体"/>
                <w:kern w:val="0"/>
                <w:szCs w:val="21"/>
              </w:rPr>
              <w:t>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5.制作要求:</w:t>
            </w:r>
            <w:r>
              <w:rPr>
                <w:rFonts w:hint="eastAsia" w:ascii="宋体" w:hAnsi="宋体" w:eastAsia="宋体" w:cs="宋体"/>
                <w:kern w:val="0"/>
                <w:szCs w:val="21"/>
              </w:rPr>
              <w:br w:type="textWrapping"/>
            </w:r>
            <w:r>
              <w:rPr>
                <w:rFonts w:hint="eastAsia" w:ascii="宋体" w:hAnsi="宋体" w:eastAsia="宋体" w:cs="宋体"/>
                <w:kern w:val="0"/>
                <w:szCs w:val="21"/>
              </w:rPr>
              <w:t xml:space="preserve"> （1）在本展区裱贴定制UV宣绒布，在其表面辅以定制激光雕刻亚克力造型UV喷绘展板展示面，根据设计要求选择合适亚克力文化主题字体，制作工艺必须符合相关规定。</w:t>
            </w:r>
            <w:r>
              <w:rPr>
                <w:rFonts w:hint="eastAsia" w:ascii="宋体" w:hAnsi="宋体" w:eastAsia="宋体" w:cs="宋体"/>
                <w:kern w:val="0"/>
                <w:szCs w:val="21"/>
              </w:rPr>
              <w:br w:type="textWrapping"/>
            </w:r>
            <w:r>
              <w:rPr>
                <w:rFonts w:hint="eastAsia" w:ascii="宋体" w:hAnsi="宋体" w:eastAsia="宋体" w:cs="宋体"/>
                <w:kern w:val="0"/>
                <w:szCs w:val="21"/>
              </w:rPr>
              <w:t>（2）定制±5mm厚亚克力国旗、±5mm亚克力导光板标识。</w:t>
            </w:r>
            <w:r>
              <w:rPr>
                <w:rFonts w:hint="eastAsia" w:ascii="宋体" w:hAnsi="宋体" w:eastAsia="宋体" w:cs="宋体"/>
                <w:kern w:val="0"/>
                <w:szCs w:val="21"/>
              </w:rPr>
              <w:br w:type="textWrapping"/>
            </w:r>
            <w:r>
              <w:rPr>
                <w:rFonts w:hint="eastAsia" w:ascii="宋体" w:hAnsi="宋体" w:eastAsia="宋体" w:cs="宋体"/>
                <w:kern w:val="0"/>
                <w:szCs w:val="21"/>
              </w:rPr>
              <w:t>（3）底部安装铝合金踢脚线。</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29350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29350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7</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人工智能专业教育区建设三：人工智能发展史设计及制作</w:t>
            </w:r>
          </w:p>
        </w:tc>
        <w:tc>
          <w:tcPr>
            <w:tcW w:w="399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kern w:val="0"/>
                <w:szCs w:val="21"/>
              </w:rPr>
            </w:pPr>
            <w:r>
              <w:rPr>
                <w:rFonts w:hint="eastAsia" w:ascii="宋体" w:hAnsi="宋体" w:eastAsia="宋体" w:cs="宋体"/>
                <w:kern w:val="0"/>
                <w:szCs w:val="21"/>
              </w:rPr>
              <w:t>1.展示内容:</w:t>
            </w:r>
            <w:r>
              <w:rPr>
                <w:rFonts w:hint="eastAsia" w:ascii="宋体" w:hAnsi="宋体" w:eastAsia="宋体" w:cs="宋体"/>
                <w:kern w:val="0"/>
                <w:szCs w:val="21"/>
              </w:rPr>
              <w:br w:type="textWrapping"/>
            </w:r>
            <w:r>
              <w:rPr>
                <w:rFonts w:hint="eastAsia" w:ascii="宋体" w:hAnsi="宋体" w:eastAsia="宋体" w:cs="宋体"/>
                <w:kern w:val="0"/>
                <w:szCs w:val="21"/>
              </w:rPr>
              <w:t>(1)设计定制战略演进展区，根据校方提供的人工智能发展史资料进行视觉设计排版。</w:t>
            </w:r>
            <w:r>
              <w:rPr>
                <w:rFonts w:hint="eastAsia" w:ascii="宋体" w:hAnsi="宋体" w:eastAsia="宋体" w:cs="宋体"/>
                <w:kern w:val="0"/>
                <w:szCs w:val="21"/>
              </w:rPr>
              <w:br w:type="textWrapping"/>
            </w:r>
            <w:r>
              <w:rPr>
                <w:rFonts w:hint="eastAsia" w:ascii="宋体" w:hAnsi="宋体" w:eastAsia="宋体" w:cs="宋体"/>
                <w:kern w:val="0"/>
                <w:szCs w:val="21"/>
              </w:rPr>
              <w:t>(2)采用模块化排列组合，增加整体空间视觉层次，营造空间整体文化氛围。</w:t>
            </w:r>
            <w:r>
              <w:rPr>
                <w:rFonts w:hint="eastAsia" w:ascii="宋体" w:hAnsi="宋体" w:eastAsia="宋体" w:cs="宋体"/>
                <w:kern w:val="0"/>
                <w:szCs w:val="21"/>
              </w:rPr>
              <w:br w:type="textWrapping"/>
            </w:r>
            <w:r>
              <w:rPr>
                <w:rFonts w:hint="eastAsia" w:ascii="宋体" w:hAnsi="宋体" w:eastAsia="宋体" w:cs="宋体"/>
                <w:kern w:val="0"/>
                <w:szCs w:val="21"/>
              </w:rPr>
              <w:t>(3)展示面积&gt;72平方米</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kern w:val="0"/>
                <w:szCs w:val="21"/>
              </w:rPr>
            </w:pPr>
            <w:r>
              <w:rPr>
                <w:rFonts w:hint="eastAsia" w:ascii="宋体" w:hAnsi="宋体" w:eastAsia="宋体" w:cs="宋体"/>
                <w:kern w:val="0"/>
                <w:szCs w:val="21"/>
              </w:rPr>
              <w:t>2.展示内容需求：</w:t>
            </w:r>
          </w:p>
          <w:p>
            <w:pPr>
              <w:keepNext w:val="0"/>
              <w:keepLines w:val="0"/>
              <w:pageBreakBefore w:val="0"/>
              <w:kinsoku/>
              <w:wordWrap/>
              <w:overflowPunct/>
              <w:topLinePunct w:val="0"/>
              <w:autoSpaceDE/>
              <w:autoSpaceDN/>
              <w:bidi w:val="0"/>
              <w:adjustRightInd/>
              <w:snapToGrid/>
              <w:spacing w:line="360" w:lineRule="exact"/>
              <w:textAlignment w:val="auto"/>
            </w:pPr>
            <w:r>
              <w:rPr>
                <w:rFonts w:hint="eastAsia"/>
              </w:rPr>
              <w:t>第一阶段：战略布局起步期（2015-2016）——纳入国家发展框架</w:t>
            </w:r>
          </w:p>
          <w:p>
            <w:pPr>
              <w:keepNext w:val="0"/>
              <w:keepLines w:val="0"/>
              <w:pageBreakBefore w:val="0"/>
              <w:kinsoku/>
              <w:wordWrap/>
              <w:overflowPunct/>
              <w:topLinePunct w:val="0"/>
              <w:autoSpaceDE/>
              <w:autoSpaceDN/>
              <w:bidi w:val="0"/>
              <w:adjustRightInd/>
              <w:snapToGrid/>
              <w:spacing w:line="360" w:lineRule="exact"/>
              <w:textAlignment w:val="auto"/>
            </w:pPr>
            <w:r>
              <w:rPr>
                <w:rFonts w:hint="eastAsia"/>
              </w:rPr>
              <w:t>第二阶段：系统部署攻坚期（2017-2020）——顶层设计全面落地</w:t>
            </w:r>
          </w:p>
          <w:p>
            <w:pPr>
              <w:keepNext w:val="0"/>
              <w:keepLines w:val="0"/>
              <w:pageBreakBefore w:val="0"/>
              <w:kinsoku/>
              <w:wordWrap/>
              <w:overflowPunct/>
              <w:topLinePunct w:val="0"/>
              <w:autoSpaceDE/>
              <w:autoSpaceDN/>
              <w:bidi w:val="0"/>
              <w:adjustRightInd/>
              <w:snapToGrid/>
              <w:spacing w:line="360" w:lineRule="exact"/>
              <w:textAlignment w:val="auto"/>
            </w:pPr>
            <w:r>
              <w:rPr>
                <w:rFonts w:hint="eastAsia"/>
              </w:rPr>
              <w:t>第三阶段：制度保障深化期（2021-2023）——合规治理与技术突破并行</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kern w:val="0"/>
                <w:szCs w:val="21"/>
              </w:rPr>
            </w:pPr>
            <w:r>
              <w:rPr>
                <w:rFonts w:hint="eastAsia"/>
              </w:rPr>
              <w:t>第四阶段：全面赋能跃升期（2024-至今）——“人工智能+”引领全域融合</w:t>
            </w:r>
            <w:r>
              <w:rPr>
                <w:rFonts w:hint="eastAsia" w:ascii="宋体" w:hAnsi="宋体" w:eastAsia="宋体" w:cs="宋体"/>
                <w:kern w:val="0"/>
                <w:szCs w:val="21"/>
              </w:rPr>
              <w:br w:type="textWrapping"/>
            </w:r>
            <w:r>
              <w:rPr>
                <w:rFonts w:hint="eastAsia" w:ascii="宋体" w:hAnsi="宋体" w:eastAsia="宋体" w:cs="宋体"/>
                <w:kern w:val="0"/>
                <w:szCs w:val="21"/>
              </w:rPr>
              <w:t>3.展示形式:</w:t>
            </w:r>
            <w:r>
              <w:rPr>
                <w:rFonts w:hint="eastAsia" w:ascii="宋体" w:hAnsi="宋体" w:eastAsia="宋体" w:cs="宋体"/>
                <w:kern w:val="0"/>
                <w:szCs w:val="21"/>
              </w:rPr>
              <w:br w:type="textWrapping"/>
            </w:r>
            <w:r>
              <w:rPr>
                <w:rFonts w:hint="eastAsia" w:ascii="宋体" w:hAnsi="宋体" w:eastAsia="宋体" w:cs="宋体"/>
                <w:kern w:val="0"/>
                <w:szCs w:val="21"/>
              </w:rPr>
              <w:t>(1)局部采用定制轻钢龙骨框架展示面，搭配亚克力立体发光字以及定制展板。</w:t>
            </w:r>
            <w:r>
              <w:rPr>
                <w:rFonts w:hint="eastAsia" w:ascii="宋体" w:hAnsi="宋体" w:eastAsia="宋体" w:cs="宋体"/>
                <w:kern w:val="0"/>
                <w:szCs w:val="21"/>
              </w:rPr>
              <w:br w:type="textWrapping"/>
            </w:r>
            <w:r>
              <w:rPr>
                <w:rFonts w:hint="eastAsia" w:ascii="宋体" w:hAnsi="宋体" w:eastAsia="宋体" w:cs="宋体"/>
                <w:kern w:val="0"/>
                <w:szCs w:val="21"/>
              </w:rPr>
              <w:t>(2)定制亚克力导光板战略演进时间轴展板。</w:t>
            </w:r>
            <w:r>
              <w:rPr>
                <w:rFonts w:hint="eastAsia" w:ascii="宋体" w:hAnsi="宋体" w:eastAsia="宋体" w:cs="宋体"/>
                <w:kern w:val="0"/>
                <w:szCs w:val="21"/>
              </w:rPr>
              <w:br w:type="textWrapping"/>
            </w:r>
            <w:r>
              <w:rPr>
                <w:rFonts w:hint="eastAsia" w:ascii="宋体" w:hAnsi="宋体" w:eastAsia="宋体" w:cs="宋体"/>
                <w:kern w:val="0"/>
                <w:szCs w:val="21"/>
              </w:rPr>
              <w:t>4.设计图：</w:t>
            </w:r>
            <w:r>
              <w:rPr>
                <w:rFonts w:hint="eastAsia" w:ascii="宋体" w:hAnsi="宋体" w:eastAsia="宋体" w:cs="宋体"/>
                <w:kern w:val="0"/>
                <w:szCs w:val="21"/>
              </w:rPr>
              <w:br w:type="textWrapping"/>
            </w:r>
            <w:r>
              <w:rPr>
                <w:rFonts w:hint="eastAsia" w:ascii="宋体" w:hAnsi="宋体" w:eastAsia="宋体" w:cs="宋体"/>
                <w:kern w:val="0"/>
                <w:szCs w:val="21"/>
              </w:rPr>
              <w:t>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5.制作要求:</w:t>
            </w:r>
            <w:r>
              <w:rPr>
                <w:rFonts w:hint="eastAsia" w:ascii="宋体" w:hAnsi="宋体" w:eastAsia="宋体" w:cs="宋体"/>
                <w:kern w:val="0"/>
                <w:szCs w:val="21"/>
              </w:rPr>
              <w:br w:type="textWrapping"/>
            </w:r>
            <w:r>
              <w:rPr>
                <w:rFonts w:hint="eastAsia" w:ascii="宋体" w:hAnsi="宋体" w:eastAsia="宋体" w:cs="宋体"/>
                <w:kern w:val="0"/>
                <w:szCs w:val="21"/>
              </w:rPr>
              <w:t>（1）在本展区局部搭建定制轻钢龙骨框架展示面板,整体立体框架厚≥100mm，对展示面层进行水性漆面处理，在面板上辅以3D立体发光字，根据设计要求选择合适亚克力文化主题字体，制作工艺必须符合相关规定。</w:t>
            </w:r>
            <w:r>
              <w:rPr>
                <w:rFonts w:hint="eastAsia" w:ascii="宋体" w:hAnsi="宋体" w:eastAsia="宋体" w:cs="宋体"/>
                <w:kern w:val="0"/>
                <w:szCs w:val="21"/>
              </w:rPr>
              <w:br w:type="textWrapping"/>
            </w:r>
            <w:r>
              <w:rPr>
                <w:rFonts w:hint="eastAsia" w:ascii="宋体" w:hAnsi="宋体" w:eastAsia="宋体" w:cs="宋体"/>
                <w:kern w:val="0"/>
                <w:szCs w:val="21"/>
              </w:rPr>
              <w:t>（2）顶部空间使用金属龙骨搭建框架，根据实际需求设计要求确定框架间距和形状，保证框架牢固稳定。定制铝板饰面造型，搭配LED灯带对造型进行氛围营造。</w:t>
            </w:r>
            <w:r>
              <w:rPr>
                <w:rFonts w:hint="eastAsia" w:ascii="宋体" w:hAnsi="宋体" w:eastAsia="宋体" w:cs="宋体"/>
                <w:kern w:val="0"/>
                <w:szCs w:val="21"/>
              </w:rPr>
              <w:br w:type="textWrapping"/>
            </w:r>
            <w:r>
              <w:rPr>
                <w:rFonts w:hint="eastAsia" w:ascii="宋体" w:hAnsi="宋体" w:eastAsia="宋体" w:cs="宋体"/>
                <w:kern w:val="0"/>
                <w:szCs w:val="21"/>
              </w:rPr>
              <w:t>（3）定制亚克力导光板战略演进时间轴展板。</w:t>
            </w:r>
            <w:r>
              <w:rPr>
                <w:rFonts w:hint="eastAsia" w:ascii="宋体" w:hAnsi="宋体" w:eastAsia="宋体" w:cs="宋体"/>
                <w:kern w:val="0"/>
                <w:szCs w:val="21"/>
              </w:rPr>
              <w:br w:type="textWrapping"/>
            </w:r>
            <w:r>
              <w:rPr>
                <w:rFonts w:hint="eastAsia" w:ascii="宋体" w:hAnsi="宋体" w:eastAsia="宋体" w:cs="宋体"/>
                <w:kern w:val="0"/>
                <w:szCs w:val="21"/>
              </w:rPr>
              <w:t>（4）局部裱贴定制UV宣绒布。</w:t>
            </w:r>
            <w:r>
              <w:rPr>
                <w:rFonts w:hint="eastAsia" w:ascii="宋体" w:hAnsi="宋体" w:eastAsia="宋体" w:cs="宋体"/>
                <w:kern w:val="0"/>
                <w:szCs w:val="21"/>
              </w:rPr>
              <w:br w:type="textWrapping"/>
            </w:r>
            <w:r>
              <w:rPr>
                <w:rFonts w:hint="eastAsia" w:ascii="宋体" w:hAnsi="宋体" w:eastAsia="宋体" w:cs="宋体"/>
                <w:kern w:val="0"/>
                <w:szCs w:val="21"/>
              </w:rPr>
              <w:t>（5）底部安装铝合金踢脚线。</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65650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65650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8</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人工智能专业教育区建设四：数字AI穹顶展区设计及制作</w:t>
            </w:r>
          </w:p>
        </w:tc>
        <w:tc>
          <w:tcPr>
            <w:tcW w:w="399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kern w:val="0"/>
                <w:szCs w:val="21"/>
              </w:rPr>
            </w:pPr>
            <w:r>
              <w:rPr>
                <w:rFonts w:hint="eastAsia" w:ascii="宋体" w:hAnsi="宋体" w:eastAsia="宋体" w:cs="宋体"/>
                <w:kern w:val="0"/>
                <w:szCs w:val="21"/>
              </w:rPr>
              <w:t>1.展示内容:</w:t>
            </w:r>
            <w:r>
              <w:rPr>
                <w:rFonts w:hint="eastAsia" w:ascii="宋体" w:hAnsi="宋体" w:eastAsia="宋体" w:cs="宋体"/>
                <w:kern w:val="0"/>
                <w:szCs w:val="21"/>
              </w:rPr>
              <w:br w:type="textWrapping"/>
            </w:r>
            <w:r>
              <w:rPr>
                <w:rFonts w:hint="eastAsia" w:ascii="宋体" w:hAnsi="宋体" w:eastAsia="宋体" w:cs="宋体"/>
                <w:kern w:val="0"/>
                <w:szCs w:val="21"/>
              </w:rPr>
              <w:t>（1)二进制数字代码流，配合主题关键词。</w:t>
            </w:r>
            <w:r>
              <w:rPr>
                <w:rFonts w:hint="eastAsia" w:ascii="宋体" w:hAnsi="宋体" w:eastAsia="宋体" w:cs="宋体"/>
                <w:kern w:val="0"/>
                <w:szCs w:val="21"/>
              </w:rPr>
              <w:br w:type="textWrapping"/>
            </w:r>
            <w:r>
              <w:rPr>
                <w:rFonts w:hint="eastAsia" w:ascii="宋体" w:hAnsi="宋体" w:eastAsia="宋体" w:cs="宋体"/>
                <w:kern w:val="0"/>
                <w:szCs w:val="21"/>
              </w:rPr>
              <w:t>（2）科技蓝调的光效渐变，强化数字AI赋能中心的空间主题调性，与整体展区风格形成统一视觉体系。</w:t>
            </w:r>
            <w:r>
              <w:rPr>
                <w:rFonts w:hint="eastAsia" w:ascii="宋体" w:hAnsi="宋体" w:eastAsia="宋体" w:cs="宋体"/>
                <w:kern w:val="0"/>
                <w:szCs w:val="21"/>
              </w:rPr>
              <w:br w:type="textWrapping"/>
            </w:r>
            <w:r>
              <w:rPr>
                <w:rFonts w:hint="eastAsia" w:ascii="宋体" w:hAnsi="宋体" w:eastAsia="宋体" w:cs="宋体"/>
                <w:kern w:val="0"/>
                <w:szCs w:val="21"/>
              </w:rPr>
              <w:t>(3)展示面积≥112平方米</w:t>
            </w:r>
            <w:r>
              <w:rPr>
                <w:rFonts w:hint="eastAsia" w:ascii="宋体" w:hAnsi="宋体" w:eastAsia="宋体" w:cs="宋体"/>
                <w:kern w:val="0"/>
                <w:szCs w:val="21"/>
              </w:rPr>
              <w:br w:type="textWrapping"/>
            </w:r>
            <w:r>
              <w:rPr>
                <w:rFonts w:hint="eastAsia" w:ascii="宋体" w:hAnsi="宋体" w:eastAsia="宋体" w:cs="宋体"/>
                <w:kern w:val="0"/>
                <w:szCs w:val="21"/>
              </w:rPr>
              <w:t>2.展示形式:</w:t>
            </w:r>
            <w:r>
              <w:rPr>
                <w:rFonts w:hint="eastAsia" w:ascii="宋体" w:hAnsi="宋体" w:eastAsia="宋体" w:cs="宋体"/>
                <w:kern w:val="0"/>
                <w:szCs w:val="21"/>
              </w:rPr>
              <w:br w:type="textWrapping"/>
            </w:r>
            <w:r>
              <w:rPr>
                <w:rFonts w:hint="eastAsia" w:ascii="宋体" w:hAnsi="宋体" w:eastAsia="宋体" w:cs="宋体"/>
                <w:kern w:val="0"/>
                <w:szCs w:val="21"/>
              </w:rPr>
              <w:t>(1)借助穹顶的空间包围感，打造顶部“数字天幕”效果，让参观者进入区域即感知AI的科技沉浸感；</w:t>
            </w:r>
            <w:r>
              <w:rPr>
                <w:rFonts w:hint="eastAsia" w:ascii="宋体" w:hAnsi="宋体" w:eastAsia="宋体" w:cs="宋体"/>
                <w:kern w:val="0"/>
                <w:szCs w:val="21"/>
              </w:rPr>
              <w:br w:type="textWrapping"/>
            </w:r>
            <w:r>
              <w:rPr>
                <w:rFonts w:hint="eastAsia" w:ascii="宋体" w:hAnsi="宋体" w:eastAsia="宋体" w:cs="宋体"/>
                <w:kern w:val="0"/>
                <w:szCs w:val="21"/>
              </w:rPr>
              <w:t>(2)定制灯具、反光板。</w:t>
            </w:r>
            <w:r>
              <w:rPr>
                <w:rFonts w:hint="eastAsia" w:ascii="宋体" w:hAnsi="宋体" w:eastAsia="宋体" w:cs="宋体"/>
                <w:kern w:val="0"/>
                <w:szCs w:val="21"/>
              </w:rPr>
              <w:br w:type="textWrapping"/>
            </w:r>
            <w:r>
              <w:rPr>
                <w:rFonts w:hint="eastAsia" w:ascii="宋体" w:hAnsi="宋体" w:eastAsia="宋体" w:cs="宋体"/>
                <w:kern w:val="0"/>
                <w:szCs w:val="21"/>
              </w:rPr>
              <w:t>3.设计图：</w:t>
            </w:r>
            <w:r>
              <w:rPr>
                <w:rFonts w:hint="eastAsia" w:ascii="宋体" w:hAnsi="宋体" w:eastAsia="宋体" w:cs="宋体"/>
                <w:kern w:val="0"/>
                <w:szCs w:val="21"/>
              </w:rPr>
              <w:br w:type="textWrapping"/>
            </w:r>
            <w:r>
              <w:rPr>
                <w:rFonts w:hint="eastAsia" w:ascii="宋体" w:hAnsi="宋体" w:eastAsia="宋体" w:cs="宋体"/>
                <w:kern w:val="0"/>
                <w:szCs w:val="21"/>
              </w:rPr>
              <w:t>提供不少于2张的体现本区域效果的设计图。</w:t>
            </w:r>
            <w:r>
              <w:rPr>
                <w:rFonts w:hint="eastAsia" w:ascii="宋体" w:hAnsi="宋体" w:eastAsia="宋体" w:cs="宋体"/>
                <w:kern w:val="0"/>
                <w:szCs w:val="21"/>
              </w:rPr>
              <w:br w:type="textWrapping"/>
            </w:r>
            <w:r>
              <w:rPr>
                <w:rFonts w:hint="eastAsia" w:ascii="宋体" w:hAnsi="宋体" w:eastAsia="宋体" w:cs="宋体"/>
                <w:kern w:val="0"/>
                <w:szCs w:val="21"/>
              </w:rPr>
              <w:t>4.制作要求:</w:t>
            </w:r>
            <w:r>
              <w:rPr>
                <w:rFonts w:hint="eastAsia" w:ascii="宋体" w:hAnsi="宋体" w:eastAsia="宋体" w:cs="宋体"/>
                <w:kern w:val="0"/>
                <w:szCs w:val="21"/>
              </w:rPr>
              <w:br w:type="textWrapping"/>
            </w:r>
            <w:r>
              <w:rPr>
                <w:rFonts w:hint="eastAsia" w:ascii="宋体" w:hAnsi="宋体" w:eastAsia="宋体" w:cs="宋体"/>
                <w:kern w:val="0"/>
                <w:szCs w:val="21"/>
              </w:rPr>
              <w:t>（1）顶部采用金属龙骨框架，采用无缝拼接高清 背光软膜，表面融合科技蓝渐变底色，配合点阵光效工艺模拟二进制数字代码的纹理质感，实现视觉无断点的沉浸式覆盖。</w:t>
            </w:r>
            <w:r>
              <w:rPr>
                <w:rFonts w:hint="eastAsia" w:ascii="宋体" w:hAnsi="宋体" w:eastAsia="宋体" w:cs="宋体"/>
                <w:kern w:val="0"/>
                <w:szCs w:val="21"/>
              </w:rPr>
              <w:br w:type="textWrapping"/>
            </w:r>
            <w:r>
              <w:rPr>
                <w:rFonts w:hint="eastAsia" w:ascii="宋体" w:hAnsi="宋体" w:eastAsia="宋体" w:cs="宋体"/>
                <w:kern w:val="0"/>
                <w:szCs w:val="21"/>
              </w:rPr>
              <w:t>（2）定制反光板铝板饰面造型，搭配定制LED灯具对造型进行氛围营造。</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112700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112700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9</w:t>
            </w:r>
          </w:p>
        </w:tc>
        <w:tc>
          <w:tcPr>
            <w:tcW w:w="966" w:type="dxa"/>
            <w:tcBorders>
              <w:top w:val="nil"/>
              <w:left w:val="nil"/>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地面静音缓冲层</w:t>
            </w:r>
          </w:p>
        </w:tc>
        <w:tc>
          <w:tcPr>
            <w:tcW w:w="399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kern w:val="0"/>
                <w:szCs w:val="21"/>
              </w:rPr>
            </w:pPr>
            <w:r>
              <w:rPr>
                <w:rFonts w:hint="eastAsia" w:ascii="宋体" w:hAnsi="宋体" w:eastAsia="宋体" w:cs="宋体"/>
                <w:kern w:val="0"/>
                <w:szCs w:val="21"/>
              </w:rPr>
              <w:t>1.材质：不小于6mm厚，材质丙纶，环保0甲醛。</w:t>
            </w:r>
            <w:r>
              <w:rPr>
                <w:rFonts w:hint="eastAsia" w:ascii="宋体" w:hAnsi="宋体" w:eastAsia="宋体" w:cs="宋体"/>
                <w:kern w:val="0"/>
                <w:szCs w:val="21"/>
              </w:rPr>
              <w:br w:type="textWrapping"/>
            </w:r>
            <w:r>
              <w:rPr>
                <w:rFonts w:hint="eastAsia" w:ascii="宋体" w:hAnsi="宋体" w:eastAsia="宋体" w:cs="宋体"/>
                <w:kern w:val="0"/>
                <w:szCs w:val="21"/>
              </w:rPr>
              <w:t xml:space="preserve">2.尺寸： </w:t>
            </w:r>
            <w:r>
              <w:t>供货总面积不少于</w:t>
            </w:r>
            <w:r>
              <w:rPr>
                <w:rFonts w:hint="eastAsia"/>
              </w:rPr>
              <w:t>1</w:t>
            </w:r>
            <w:r>
              <w:t>50㎡，全部用于本招标项目对应</w:t>
            </w:r>
            <w:r>
              <w:rPr>
                <w:rFonts w:hint="eastAsia"/>
              </w:rPr>
              <w:t>的</w:t>
            </w:r>
            <w:r>
              <w:t>铺装区域，仅限本项目场地铺设，不得拆分用于其他场地。</w:t>
            </w:r>
          </w:p>
        </w:tc>
        <w:tc>
          <w:tcPr>
            <w:tcW w:w="515"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项</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050"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8650</w:t>
            </w:r>
          </w:p>
        </w:tc>
        <w:tc>
          <w:tcPr>
            <w:tcW w:w="1088"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8650</w:t>
            </w:r>
          </w:p>
        </w:tc>
      </w:tr>
      <w:tr>
        <w:tblPrEx>
          <w:tblCellMar>
            <w:top w:w="0" w:type="dxa"/>
            <w:left w:w="108" w:type="dxa"/>
            <w:bottom w:w="0" w:type="dxa"/>
            <w:right w:w="108" w:type="dxa"/>
          </w:tblCellMar>
        </w:tblPrEx>
        <w:tc>
          <w:tcPr>
            <w:tcW w:w="451" w:type="dxa"/>
            <w:tcBorders>
              <w:top w:val="nil"/>
              <w:left w:val="single" w:color="auto" w:sz="4" w:space="0"/>
              <w:bottom w:val="single" w:color="auto" w:sz="4" w:space="0"/>
              <w:right w:val="single" w:color="auto" w:sz="4" w:space="0"/>
            </w:tcBorders>
            <w:vAlign w:val="center"/>
          </w:tcPr>
          <w:p>
            <w:pPr>
              <w:widowControl/>
              <w:rPr>
                <w:rFonts w:hint="eastAsia" w:ascii="宋体" w:hAnsi="宋体" w:eastAsia="宋体" w:cs="宋体"/>
                <w:kern w:val="0"/>
                <w:szCs w:val="21"/>
              </w:rPr>
            </w:pPr>
            <w:r>
              <w:rPr>
                <w:rFonts w:hint="eastAsia" w:ascii="宋体" w:hAnsi="宋体" w:eastAsia="宋体" w:cs="宋体"/>
                <w:kern w:val="0"/>
                <w:szCs w:val="21"/>
              </w:rPr>
              <w:t>合计</w:t>
            </w:r>
          </w:p>
        </w:tc>
        <w:tc>
          <w:tcPr>
            <w:tcW w:w="8204" w:type="dxa"/>
            <w:gridSpan w:val="6"/>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¥ 404500.00元（大写：人民币 肆拾万零肆仟伍佰元整）</w:t>
            </w:r>
          </w:p>
        </w:tc>
      </w:tr>
    </w:tbl>
    <w:p>
      <w:pPr>
        <w:jc w:val="center"/>
        <w:rPr>
          <w:rFonts w:hint="eastAsia" w:asciiTheme="minorEastAsia" w:hAnsiTheme="minorEastAsia"/>
        </w:rPr>
      </w:pPr>
    </w:p>
    <w:p>
      <w:pPr>
        <w:rPr>
          <w:rFonts w:hint="eastAsia" w:asciiTheme="minorEastAsia" w:hAnsiTheme="minorEastAsia"/>
          <w:lang w:val="zh-CN"/>
        </w:rPr>
      </w:pPr>
    </w:p>
    <w:p>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投标报价包括：货款、设计、安装、随机零配件、标配工具、运输保险、调试、验收、培训、质量保证期服务、各项税费及合同实施过程中不可预见费用等履行本项目所需的一切费用。</w:t>
      </w:r>
    </w:p>
    <w:p>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★供应商在《开标一览表》中报出投标总价，并在《分项报价表》中列出项目采购清单中所有标的的单价报价,单价报价不得高于对应标的的分项预算单价，否则投标无效。</w:t>
      </w:r>
    </w:p>
    <w:p>
      <w:pPr>
        <w:spacing w:line="360" w:lineRule="auto"/>
        <w:ind w:firstLine="480" w:firstLineChars="200"/>
        <w:rPr>
          <w:rFonts w:hint="eastAsia" w:ascii="宋体" w:hAnsi="宋体" w:eastAsia="宋体" w:cs="宋体"/>
          <w:sz w:val="24"/>
          <w:szCs w:val="24"/>
          <w:lang w:val="zh-CN"/>
        </w:rPr>
      </w:pPr>
    </w:p>
    <w:p>
      <w:pPr>
        <w:pStyle w:val="11"/>
        <w:spacing w:line="360" w:lineRule="auto"/>
        <w:ind w:left="0" w:leftChars="0" w:firstLine="482"/>
        <w:rPr>
          <w:rFonts w:hint="eastAsia" w:ascii="宋体" w:hAnsi="宋体" w:cs="宋体"/>
          <w:b/>
          <w:bCs/>
          <w:sz w:val="24"/>
          <w:szCs w:val="24"/>
        </w:rPr>
      </w:pPr>
      <w:r>
        <w:rPr>
          <w:rStyle w:val="17"/>
          <w:rFonts w:hint="eastAsia" w:ascii="宋体" w:hAnsi="宋体" w:cs="宋体"/>
          <w:b/>
          <w:bCs/>
          <w:sz w:val="24"/>
          <w:szCs w:val="24"/>
        </w:rPr>
        <w:t>注：1</w:t>
      </w:r>
      <w:r>
        <w:rPr>
          <w:rFonts w:hint="eastAsia" w:ascii="宋体" w:hAnsi="宋体" w:cs="宋体"/>
          <w:b/>
          <w:bCs/>
          <w:sz w:val="24"/>
          <w:szCs w:val="24"/>
        </w:rPr>
        <w:t>.</w:t>
      </w:r>
      <w:r>
        <w:rPr>
          <w:rFonts w:hint="eastAsia" w:ascii="宋体" w:hAnsi="宋体" w:cs="宋体"/>
          <w:sz w:val="24"/>
          <w:szCs w:val="24"/>
        </w:rPr>
        <w:t xml:space="preserve"> </w:t>
      </w:r>
      <w:r>
        <w:rPr>
          <w:rFonts w:hint="eastAsia" w:ascii="宋体" w:hAnsi="宋体" w:cs="宋体"/>
          <w:b/>
          <w:bCs/>
          <w:sz w:val="24"/>
          <w:szCs w:val="24"/>
        </w:rPr>
        <w:t>服务团队主要人员配置：</w:t>
      </w:r>
    </w:p>
    <w:p>
      <w:pPr>
        <w:pStyle w:val="11"/>
        <w:spacing w:line="360" w:lineRule="auto"/>
        <w:ind w:left="0" w:leftChars="0" w:firstLine="480"/>
        <w:rPr>
          <w:rFonts w:hint="eastAsia" w:ascii="宋体" w:hAnsi="宋体" w:cs="宋体"/>
          <w:sz w:val="24"/>
          <w:szCs w:val="24"/>
        </w:rPr>
      </w:pPr>
      <w:r>
        <w:rPr>
          <w:rFonts w:hint="eastAsia" w:ascii="宋体" w:hAnsi="宋体" w:cs="宋体"/>
          <w:sz w:val="24"/>
          <w:szCs w:val="24"/>
        </w:rPr>
        <w:t>（1）项目负责人1人：</w:t>
      </w:r>
      <w:bookmarkStart w:id="1" w:name="OLE_LINK21"/>
      <w:r>
        <w:rPr>
          <w:rFonts w:hint="eastAsia" w:ascii="宋体" w:hAnsi="宋体" w:cs="宋体"/>
          <w:sz w:val="24"/>
          <w:szCs w:val="24"/>
        </w:rPr>
        <w:t>5年或以上与</w:t>
      </w:r>
      <w:bookmarkStart w:id="2" w:name="OLE_LINK3"/>
      <w:r>
        <w:rPr>
          <w:rFonts w:hint="eastAsia" w:ascii="宋体" w:hAnsi="宋体" w:cs="宋体"/>
          <w:sz w:val="24"/>
          <w:szCs w:val="24"/>
        </w:rPr>
        <w:t>展览或装饰装修</w:t>
      </w:r>
      <w:bookmarkEnd w:id="2"/>
      <w:r>
        <w:rPr>
          <w:rFonts w:hint="eastAsia" w:ascii="宋体" w:hAnsi="宋体" w:cs="宋体"/>
          <w:sz w:val="24"/>
          <w:szCs w:val="24"/>
        </w:rPr>
        <w:t>相关的工作经验</w:t>
      </w:r>
      <w:bookmarkEnd w:id="1"/>
      <w:r>
        <w:rPr>
          <w:rFonts w:hint="eastAsia" w:ascii="宋体" w:hAnsi="宋体" w:cs="宋体"/>
          <w:sz w:val="24"/>
          <w:szCs w:val="24"/>
        </w:rPr>
        <w:t>，</w:t>
      </w:r>
      <w:bookmarkStart w:id="3" w:name="OLE_LINK22"/>
      <w:r>
        <w:rPr>
          <w:rFonts w:hint="eastAsia" w:ascii="宋体" w:hAnsi="宋体" w:cs="宋体"/>
          <w:sz w:val="24"/>
          <w:szCs w:val="24"/>
        </w:rPr>
        <w:t>工程或展览或广告或电气</w:t>
      </w:r>
      <w:r>
        <w:rPr>
          <w:rFonts w:hint="eastAsia" w:ascii="宋体" w:hAnsi="宋体" w:cs="宋体"/>
          <w:sz w:val="24"/>
          <w:szCs w:val="24"/>
          <w:lang w:val="en-US" w:eastAsia="zh-CN"/>
        </w:rPr>
        <w:t>类</w:t>
      </w:r>
      <w:r>
        <w:rPr>
          <w:rFonts w:hint="eastAsia" w:ascii="宋体" w:hAnsi="宋体" w:cs="宋体"/>
          <w:sz w:val="24"/>
          <w:szCs w:val="24"/>
        </w:rPr>
        <w:t>相关专业本科或以上学历</w:t>
      </w:r>
      <w:bookmarkEnd w:id="3"/>
      <w:r>
        <w:rPr>
          <w:rFonts w:hint="eastAsia" w:ascii="宋体" w:hAnsi="宋体" w:cs="宋体"/>
          <w:sz w:val="24"/>
          <w:szCs w:val="24"/>
        </w:rPr>
        <w:t>。主要职责：全面负责项目的整体统筹、方案落地、团队管理、资源协调、进度把控、质量监督及成果交付，确保项目高效推进并达成预期目标。</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（2）展陈设计师1人：5年或以上展览或装饰装修设计相关的工作经验，</w:t>
      </w:r>
      <w:bookmarkStart w:id="4" w:name="OLE_LINK23"/>
      <w:r>
        <w:rPr>
          <w:rFonts w:hint="eastAsia" w:ascii="宋体" w:hAnsi="宋体" w:cs="宋体"/>
          <w:sz w:val="24"/>
          <w:szCs w:val="24"/>
        </w:rPr>
        <w:t>设计类相关专业本科或以上学历</w:t>
      </w:r>
      <w:bookmarkEnd w:id="4"/>
      <w:r>
        <w:rPr>
          <w:rFonts w:hint="eastAsia" w:ascii="宋体" w:hAnsi="宋体" w:cs="宋体"/>
          <w:sz w:val="24"/>
          <w:szCs w:val="24"/>
        </w:rPr>
        <w:t>。主要职责：负责数项目的整体展陈创意设计、空间布局、视觉呈现、设计方案输出、效果把控及落地。</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（3）视觉设计师1人：</w:t>
      </w:r>
      <w:bookmarkStart w:id="5" w:name="OLE_LINK24"/>
      <w:r>
        <w:rPr>
          <w:rFonts w:hint="eastAsia" w:ascii="宋体" w:hAnsi="宋体" w:cs="宋体"/>
          <w:sz w:val="24"/>
          <w:szCs w:val="24"/>
        </w:rPr>
        <w:t>5年或以上视觉设计相关的工作经验</w:t>
      </w:r>
      <w:bookmarkEnd w:id="5"/>
      <w:r>
        <w:rPr>
          <w:rFonts w:hint="eastAsia" w:ascii="宋体" w:hAnsi="宋体" w:cs="宋体"/>
          <w:sz w:val="24"/>
          <w:szCs w:val="24"/>
        </w:rPr>
        <w:t>，设计类相关专业本科或以上学历，</w:t>
      </w:r>
      <w:bookmarkStart w:id="6" w:name="OLE_LINK5"/>
      <w:r>
        <w:rPr>
          <w:rFonts w:hint="eastAsia" w:ascii="宋体" w:hAnsi="宋体" w:cs="宋体"/>
          <w:sz w:val="24"/>
          <w:szCs w:val="24"/>
        </w:rPr>
        <w:t>主要职责：</w:t>
      </w:r>
      <w:bookmarkEnd w:id="6"/>
      <w:r>
        <w:rPr>
          <w:rFonts w:hint="eastAsia" w:ascii="宋体" w:hAnsi="宋体" w:cs="宋体"/>
          <w:sz w:val="24"/>
          <w:szCs w:val="24"/>
        </w:rPr>
        <w:t>负责数项目的视觉体系设计、画面规范、图文排版呈现，保障整体视觉风格统一、美观且贴合展陈主题。</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（4）电工1人：★①持有有效期内特种作业操作证（低压电工作业），提供证书扫描件。</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②5年或以上电工的工作经验，</w:t>
      </w:r>
      <w:bookmarkStart w:id="7" w:name="OLE_LINK6"/>
      <w:bookmarkStart w:id="8" w:name="OLE_LINK25"/>
      <w:r>
        <w:rPr>
          <w:rFonts w:hint="eastAsia" w:ascii="宋体" w:hAnsi="宋体" w:cs="宋体"/>
          <w:sz w:val="24"/>
          <w:szCs w:val="24"/>
        </w:rPr>
        <w:t>主要职责：</w:t>
      </w:r>
      <w:bookmarkEnd w:id="7"/>
      <w:r>
        <w:rPr>
          <w:rFonts w:hint="eastAsia" w:ascii="宋体" w:hAnsi="宋体" w:cs="宋体"/>
          <w:sz w:val="24"/>
          <w:szCs w:val="24"/>
        </w:rPr>
        <w:t>负责项目的强电、弱电及设备供电施工，负责电路安全、布线规范、用电调试与现场电气安全管理，保障展陈设备稳定供电与运行安全。</w:t>
      </w:r>
    </w:p>
    <w:bookmarkEnd w:id="8"/>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（5）美工1人： 5年以上美工相关的工作经验，</w:t>
      </w:r>
      <w:r>
        <w:rPr>
          <w:rFonts w:hint="eastAsia" w:ascii="宋体" w:hAnsi="宋体" w:cs="宋体"/>
          <w:kern w:val="0"/>
          <w:sz w:val="24"/>
          <w:szCs w:val="24"/>
        </w:rPr>
        <w:t>设计类相关专业本科或以上学历，</w:t>
      </w:r>
      <w:r>
        <w:rPr>
          <w:rFonts w:hint="eastAsia" w:ascii="宋体" w:hAnsi="宋体" w:cs="宋体"/>
          <w:sz w:val="24"/>
          <w:szCs w:val="24"/>
        </w:rPr>
        <w:t>主要职责：负责项目的美工制作、物料落地、画面安装与现场美工细节优化，保障展陈视觉效果统一精美、安装规范到位。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2.投标人需提供相关方案，至少包含以下内容：</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（1）进度计划与保证措施；</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（2）质量保证措施；</w:t>
      </w:r>
    </w:p>
    <w:p>
      <w:pPr>
        <w:pStyle w:val="11"/>
        <w:spacing w:after="0" w:line="360" w:lineRule="auto"/>
        <w:ind w:left="0" w:leftChars="0" w:firstLine="480"/>
        <w:rPr>
          <w:rFonts w:hint="eastAsia" w:ascii="宋体" w:hAnsi="宋体" w:cs="宋体"/>
          <w:sz w:val="24"/>
          <w:szCs w:val="24"/>
        </w:rPr>
      </w:pPr>
      <w:r>
        <w:rPr>
          <w:rFonts w:hint="eastAsia" w:ascii="宋体" w:hAnsi="宋体" w:cs="宋体"/>
          <w:sz w:val="24"/>
          <w:szCs w:val="24"/>
        </w:rPr>
        <w:t>（3）售后服务和培训方案。</w:t>
      </w:r>
    </w:p>
    <w:p>
      <w:pPr>
        <w:pStyle w:val="18"/>
        <w:spacing w:line="360" w:lineRule="auto"/>
        <w:ind w:firstLine="562" w:firstLineChars="200"/>
        <w:outlineLvl w:val="2"/>
        <w:rPr>
          <w:rFonts w:hint="default"/>
          <w:b/>
          <w:sz w:val="28"/>
          <w:lang w:eastAsia="zh-CN"/>
        </w:rPr>
      </w:pPr>
      <w:r>
        <w:rPr>
          <w:b/>
          <w:sz w:val="28"/>
          <w:lang w:eastAsia="zh-CN"/>
        </w:rPr>
        <w:t>三、商务要求</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w:t>
      </w:r>
      <w:bookmarkStart w:id="9" w:name="OLE_LINK4"/>
      <w:r>
        <w:rPr>
          <w:rFonts w:hint="eastAsia" w:ascii="宋体" w:hAnsi="宋体" w:eastAsia="宋体" w:cs="宋体"/>
          <w:sz w:val="24"/>
          <w:szCs w:val="24"/>
        </w:rPr>
        <w:t>交付时间</w:t>
      </w:r>
      <w:bookmarkEnd w:id="9"/>
      <w:r>
        <w:rPr>
          <w:rFonts w:hint="eastAsia" w:ascii="宋体" w:hAnsi="宋体" w:eastAsia="宋体" w:cs="宋体"/>
          <w:sz w:val="24"/>
          <w:szCs w:val="24"/>
        </w:rPr>
        <w:t>、地点及条件</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1.交付时间：合同签订后60天内完成。  </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2.交付地点：</w:t>
      </w:r>
      <w:r>
        <w:rPr>
          <w:rFonts w:hint="eastAsia" w:ascii="宋体" w:hAnsi="宋体" w:eastAsia="宋体" w:cs="宋体"/>
          <w:sz w:val="24"/>
          <w:szCs w:val="24"/>
          <w:u w:val="single"/>
        </w:rPr>
        <w:t>广东省，广州市，广州市工贸技师学院科教城校区</w:t>
      </w:r>
      <w:r>
        <w:rPr>
          <w:rFonts w:hint="eastAsia" w:ascii="宋体" w:hAnsi="宋体" w:eastAsia="宋体" w:cs="宋体"/>
          <w:sz w:val="24"/>
          <w:szCs w:val="24"/>
        </w:rPr>
        <w:t xml:space="preserve">                                        </w:t>
      </w:r>
    </w:p>
    <w:p>
      <w:pPr>
        <w:pStyle w:val="3"/>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3.交付条件：投标人应保证提供的货物质量指标达到相应的国家标准，行业标准及投标人在本招标活动中提交并确定遵照的有关标准及技术要求，项目验收通过。</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由采购人按下列程序、方式付款：</w:t>
      </w:r>
    </w:p>
    <w:p>
      <w:pPr>
        <w:pStyle w:val="20"/>
        <w:spacing w:line="360" w:lineRule="auto"/>
        <w:ind w:firstLine="480"/>
        <w:rPr>
          <w:rFonts w:hint="eastAsia" w:ascii="宋体" w:hAnsi="宋体" w:cs="宋体"/>
          <w:sz w:val="24"/>
          <w:szCs w:val="24"/>
        </w:rPr>
      </w:pPr>
      <w:r>
        <w:rPr>
          <w:rFonts w:hint="eastAsia" w:ascii="宋体" w:hAnsi="宋体" w:cs="宋体"/>
          <w:sz w:val="24"/>
          <w:szCs w:val="24"/>
        </w:rPr>
        <w:t>1.合同生效之日起，且收到中标供应商开具的正式发票后5个工作日内，采购人办理合同总价50%预付款的支付手续。</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2.中标供应商全部交付合同标的并通过采购人验收合格后，采购人于收到中标供应商开具的正式发票后</w:t>
      </w:r>
      <w:r>
        <w:rPr>
          <w:rFonts w:hint="eastAsia" w:ascii="宋体" w:hAnsi="宋体" w:eastAsia="宋体" w:cs="宋体"/>
          <w:sz w:val="24"/>
          <w:szCs w:val="24"/>
          <w:u w:val="single"/>
        </w:rPr>
        <w:t>5</w:t>
      </w:r>
      <w:r>
        <w:rPr>
          <w:rFonts w:hint="eastAsia" w:ascii="宋体" w:hAnsi="宋体" w:eastAsia="宋体" w:cs="宋体"/>
          <w:sz w:val="24"/>
          <w:szCs w:val="24"/>
        </w:rPr>
        <w:t>个工作日内办理合同总价</w:t>
      </w:r>
      <w:r>
        <w:rPr>
          <w:rFonts w:hint="eastAsia" w:ascii="宋体" w:hAnsi="宋体" w:eastAsia="宋体" w:cs="宋体"/>
          <w:sz w:val="24"/>
          <w:szCs w:val="24"/>
          <w:u w:val="single"/>
        </w:rPr>
        <w:t>50%</w:t>
      </w:r>
      <w:r>
        <w:rPr>
          <w:rFonts w:hint="eastAsia" w:ascii="宋体" w:hAnsi="宋体" w:eastAsia="宋体" w:cs="宋体"/>
          <w:sz w:val="24"/>
          <w:szCs w:val="24"/>
        </w:rPr>
        <w:t>尾款的支付手续，</w:t>
      </w:r>
      <w:r>
        <w:rPr>
          <w:rFonts w:hint="eastAsia" w:ascii="宋体" w:hAnsi="宋体" w:eastAsia="宋体" w:cs="宋体"/>
          <w:sz w:val="24"/>
          <w:szCs w:val="24"/>
          <w:u w:val="single"/>
        </w:rPr>
        <w:t>10</w:t>
      </w:r>
      <w:r>
        <w:rPr>
          <w:rFonts w:hint="eastAsia" w:ascii="宋体" w:hAnsi="宋体" w:eastAsia="宋体" w:cs="宋体"/>
          <w:sz w:val="24"/>
          <w:szCs w:val="24"/>
        </w:rPr>
        <w:t>个工作日内完成资金支付。</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3.付款方式：采用支票、银行汇票、银行转账、电汇等形式。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对于满足合同约定支付条件的，中标供应商应向采购人提供与支付金额相符的合法有效完整的完税发票及凭证资料，且收款方、出具发票方均必须与中标供应商名称一致。采购人应当自收到正规发票（发票信息，名称：</w:t>
      </w:r>
      <w:r>
        <w:rPr>
          <w:rFonts w:hint="eastAsia" w:ascii="宋体" w:hAnsi="宋体" w:eastAsia="宋体" w:cs="宋体"/>
          <w:kern w:val="0"/>
          <w:sz w:val="24"/>
          <w:szCs w:val="24"/>
          <w:u w:val="single"/>
        </w:rPr>
        <w:t xml:space="preserve"> </w:t>
      </w:r>
      <w:r>
        <w:rPr>
          <w:rFonts w:hint="eastAsia" w:ascii="宋体" w:hAnsi="宋体" w:eastAsia="宋体" w:cs="宋体"/>
          <w:sz w:val="24"/>
          <w:szCs w:val="24"/>
          <w:u w:val="single"/>
        </w:rPr>
        <w:t>广州市工贸技师学院</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纳税人识别号：</w:t>
      </w:r>
      <w:r>
        <w:rPr>
          <w:rFonts w:hint="eastAsia" w:ascii="宋体" w:hAnsi="宋体" w:eastAsia="宋体" w:cs="宋体"/>
          <w:sz w:val="24"/>
          <w:szCs w:val="24"/>
          <w:u w:val="single"/>
        </w:rPr>
        <w:t>12440100455347326Y</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）后将资金支付到合同约定的中标供应商账户（开户名称：</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中标供应商银行账号：</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中标供应商开户行：</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纳税人识别号：</w:t>
      </w:r>
      <w:r>
        <w:rPr>
          <w:rFonts w:hint="eastAsia" w:ascii="宋体" w:hAnsi="宋体" w:eastAsia="宋体" w:cs="宋体"/>
          <w:kern w:val="0"/>
          <w:sz w:val="24"/>
          <w:szCs w:val="24"/>
          <w:u w:val="single"/>
        </w:rPr>
        <w:t xml:space="preserve">             </w:t>
      </w:r>
      <w:r>
        <w:rPr>
          <w:rFonts w:hint="eastAsia" w:ascii="宋体" w:hAnsi="宋体" w:eastAsia="宋体" w:cs="宋体"/>
          <w:sz w:val="24"/>
          <w:szCs w:val="24"/>
        </w:rPr>
        <w:t>），不得以机构变动、人员更替等为由延迟付款，不得将采购文件和合同中未规定的义务作为向中标供应商付款的条件。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上述付款时间为采购人向采购支付部门提出支付申请的时间，项目所有款项相关经费如受采购支付部门审查、支付管理流程、预算下达及拨款进度导致支付延期，支付期限自动顺延，采购人无须向中标供应商承担任何责任，中标供应商不得以此为由延迟履行或不履行合同义务。如本项目涉及工程部分的，按工程造价行业标准和规范组织审查评审，项目评审结果作为本项目价款结算的依据。</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（三）验收</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1.中标供应商必须依照招标文件的要求和投标文件的承诺，将设备、系统安装并调试至正常运行的最佳状态。</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2.交付验收标准依次序对照适用标准为：①符合中华人民共和国国家安全质量标准、环保标准或行业标准；②符合招标文件和响应承诺中采购人认可的合理最佳配置、参数及各项要求；③货物来源国官方标准。</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.货物为原厂商未启封全新包装，具出厂合格证，序列号、包装箱号与出厂批号一致，并可追溯查阅。所有随设备的附件必须齐全。</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.中标供应商应将关键设备的用户手册、保修手册、有关单证资料及配备件、随机工具等交付给采购人，使用操作及安全须知等重要资料应附有中文说明。</w:t>
      </w:r>
    </w:p>
    <w:p>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.验收工作由采购人组织，必要时邀请相关的专业人员或机构参与验收。采购人收到中标供应商项目验收申请之日起</w:t>
      </w:r>
      <w:r>
        <w:rPr>
          <w:rFonts w:hint="eastAsia" w:ascii="宋体" w:hAnsi="宋体" w:eastAsia="宋体" w:cs="宋体"/>
          <w:sz w:val="24"/>
          <w:szCs w:val="24"/>
          <w:u w:val="single"/>
        </w:rPr>
        <w:t xml:space="preserve"> 7 </w:t>
      </w:r>
      <w:r>
        <w:rPr>
          <w:rFonts w:hint="eastAsia" w:ascii="宋体" w:hAnsi="宋体" w:eastAsia="宋体" w:cs="宋体"/>
          <w:sz w:val="24"/>
          <w:szCs w:val="24"/>
        </w:rPr>
        <w:t>日内按照合同的约定组织履约验收，对每一项技术、服务、安全标准的履约情况进行确认。因货物质量问题发生争议时，由本地质量技术监督部门鉴定。货物符合质量技术标准的，鉴定费由采购人承担；否则鉴定费由中标供应商承担。</w:t>
      </w:r>
    </w:p>
    <w:p>
      <w:pPr>
        <w:pStyle w:val="4"/>
        <w:spacing w:line="360" w:lineRule="auto"/>
        <w:ind w:firstLine="480" w:firstLineChars="200"/>
        <w:rPr>
          <w:rFonts w:hint="eastAsia" w:ascii="宋体" w:hAnsi="宋体" w:eastAsia="宋体" w:cs="宋体"/>
          <w:snapToGrid w:val="0"/>
          <w:sz w:val="24"/>
          <w:szCs w:val="24"/>
        </w:rPr>
      </w:pPr>
      <w:r>
        <w:rPr>
          <w:rFonts w:hint="eastAsia" w:ascii="宋体" w:hAnsi="宋体" w:eastAsia="宋体" w:cs="宋体"/>
          <w:snapToGrid w:val="0"/>
          <w:sz w:val="24"/>
          <w:szCs w:val="24"/>
          <w:lang w:val="en-US" w:eastAsia="zh-CN"/>
        </w:rPr>
        <w:t>6</w:t>
      </w:r>
      <w:r>
        <w:rPr>
          <w:rFonts w:hint="eastAsia" w:ascii="宋体" w:hAnsi="宋体" w:eastAsia="宋体" w:cs="宋体"/>
          <w:snapToGrid w:val="0"/>
          <w:sz w:val="24"/>
          <w:szCs w:val="24"/>
        </w:rPr>
        <w:t>.验收时采购人将核对中标成交供应商实际供货与其《关于符合本国产品标准的声明函》的一致性，必要时可抽查《声明函》承诺。</w:t>
      </w:r>
    </w:p>
    <w:p>
      <w:pPr>
        <w:pStyle w:val="3"/>
        <w:rPr>
          <w:rFonts w:hint="eastAsia" w:ascii="宋体" w:hAnsi="宋体" w:eastAsia="宋体" w:cs="宋体"/>
          <w:sz w:val="24"/>
          <w:szCs w:val="24"/>
        </w:rPr>
      </w:pPr>
      <w:r>
        <w:rPr>
          <w:rFonts w:hint="eastAsia" w:ascii="宋体" w:hAnsi="宋体" w:eastAsia="宋体" w:cs="宋体"/>
          <w:sz w:val="24"/>
          <w:szCs w:val="24"/>
        </w:rPr>
        <w:t>（四）其他信息</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7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93" w:type="pct"/>
            <w:vAlign w:val="center"/>
          </w:tcPr>
          <w:p>
            <w:pPr>
              <w:rPr>
                <w:rFonts w:hint="eastAsia" w:ascii="宋体" w:hAnsi="宋体" w:eastAsia="宋体" w:cs="宋体"/>
                <w:sz w:val="24"/>
                <w:szCs w:val="24"/>
              </w:rPr>
            </w:pPr>
            <w:r>
              <w:rPr>
                <w:rFonts w:hint="eastAsia" w:ascii="宋体" w:hAnsi="宋体" w:eastAsia="宋体" w:cs="宋体"/>
                <w:sz w:val="24"/>
                <w:szCs w:val="24"/>
              </w:rPr>
              <w:t>内容明细</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r>
              <w:rPr>
                <w:rFonts w:hint="eastAsia" w:ascii="宋体" w:hAnsi="宋体" w:eastAsia="宋体" w:cs="宋体"/>
                <w:sz w:val="24"/>
                <w:szCs w:val="24"/>
              </w:rPr>
              <w:t>包装与</w:t>
            </w:r>
          </w:p>
          <w:p>
            <w:pPr>
              <w:rPr>
                <w:rFonts w:hint="eastAsia" w:ascii="宋体" w:hAnsi="宋体" w:eastAsia="宋体" w:cs="宋体"/>
                <w:sz w:val="24"/>
                <w:szCs w:val="24"/>
              </w:rPr>
            </w:pPr>
            <w:r>
              <w:rPr>
                <w:rFonts w:hint="eastAsia" w:ascii="宋体" w:hAnsi="宋体" w:eastAsia="宋体" w:cs="宋体"/>
                <w:sz w:val="24"/>
                <w:szCs w:val="24"/>
              </w:rPr>
              <w:t>运输</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包装箱应用坚固的材料制造，适用长途运输、防潮、防锈、防震、防粗暴装卸，适于空运和整体吊装，并注明起吊位置，起吊重量及重心位置。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r>
              <w:rPr>
                <w:rFonts w:hint="eastAsia" w:ascii="宋体" w:hAnsi="宋体" w:eastAsia="宋体" w:cs="宋体"/>
                <w:sz w:val="24"/>
                <w:szCs w:val="24"/>
              </w:rPr>
              <w:t>保险</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货物从出厂运至采购人指定地点的保险费用须包含在投标报价中。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bookmarkStart w:id="10" w:name="_Hlk230099318"/>
            <w:r>
              <w:rPr>
                <w:rFonts w:hint="eastAsia" w:ascii="宋体" w:hAnsi="宋体" w:eastAsia="宋体" w:cs="宋体"/>
                <w:sz w:val="24"/>
                <w:szCs w:val="24"/>
              </w:rPr>
              <w:t>安装与</w:t>
            </w:r>
          </w:p>
          <w:p>
            <w:pPr>
              <w:rPr>
                <w:rFonts w:hint="eastAsia" w:ascii="宋体" w:hAnsi="宋体" w:eastAsia="宋体" w:cs="宋体"/>
                <w:sz w:val="24"/>
                <w:szCs w:val="24"/>
              </w:rPr>
            </w:pPr>
            <w:r>
              <w:rPr>
                <w:rFonts w:hint="eastAsia" w:ascii="宋体" w:hAnsi="宋体" w:eastAsia="宋体" w:cs="宋体"/>
                <w:sz w:val="24"/>
                <w:szCs w:val="24"/>
              </w:rPr>
              <w:t>调试</w:t>
            </w:r>
            <w:bookmarkEnd w:id="10"/>
          </w:p>
        </w:tc>
        <w:tc>
          <w:tcPr>
            <w:tcW w:w="4307" w:type="pct"/>
            <w:vAlign w:val="center"/>
          </w:tcPr>
          <w:p>
            <w:pPr>
              <w:rPr>
                <w:rFonts w:hint="eastAsia" w:ascii="宋体" w:hAnsi="宋体" w:eastAsia="宋体" w:cs="宋体"/>
                <w:sz w:val="24"/>
                <w:szCs w:val="24"/>
              </w:rPr>
            </w:pPr>
            <w:bookmarkStart w:id="11" w:name="_Hlk230099330"/>
            <w:r>
              <w:rPr>
                <w:rFonts w:hint="eastAsia" w:ascii="宋体" w:hAnsi="宋体" w:eastAsia="宋体" w:cs="宋体"/>
                <w:sz w:val="24"/>
                <w:szCs w:val="24"/>
              </w:rPr>
              <w:t>1.中标供应商必须按项目进度安排计划，派出适当的技术人员到安装现场负责安装和调试工作。在安装施工期间，严格遵守采购人的有关规定。</w:t>
            </w:r>
          </w:p>
          <w:p>
            <w:pPr>
              <w:rPr>
                <w:rFonts w:hint="eastAsia" w:ascii="宋体" w:hAnsi="宋体" w:eastAsia="宋体" w:cs="宋体"/>
                <w:sz w:val="24"/>
                <w:szCs w:val="24"/>
              </w:rPr>
            </w:pPr>
            <w:r>
              <w:rPr>
                <w:rFonts w:hint="eastAsia" w:ascii="宋体" w:hAnsi="宋体" w:eastAsia="宋体" w:cs="宋体"/>
                <w:sz w:val="24"/>
                <w:szCs w:val="24"/>
              </w:rPr>
              <w:t>2.中标供应商必须依照项目采购文件的要求和投标文件的承诺，将设备、系统安装并调试至正常运行的最佳状态。</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r>
              <w:rPr>
                <w:rFonts w:hint="eastAsia" w:ascii="宋体" w:hAnsi="宋体" w:eastAsia="宋体" w:cs="宋体"/>
                <w:sz w:val="24"/>
                <w:szCs w:val="24"/>
              </w:rPr>
              <w:t>质量保</w:t>
            </w:r>
          </w:p>
          <w:p>
            <w:pPr>
              <w:rPr>
                <w:rFonts w:hint="eastAsia" w:ascii="宋体" w:hAnsi="宋体" w:eastAsia="宋体" w:cs="宋体"/>
                <w:sz w:val="24"/>
                <w:szCs w:val="24"/>
              </w:rPr>
            </w:pPr>
            <w:r>
              <w:rPr>
                <w:rFonts w:hint="eastAsia" w:ascii="宋体" w:hAnsi="宋体" w:eastAsia="宋体" w:cs="宋体"/>
                <w:sz w:val="24"/>
                <w:szCs w:val="24"/>
              </w:rPr>
              <w:t>证期</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1.质量保证期2年。并提供终身维修服务。保修期内，所有服务及配件全部包含在报价中。“技术标准与要求”中另有要求的，以其中的要求为准。</w:t>
            </w:r>
          </w:p>
          <w:p>
            <w:pPr>
              <w:rPr>
                <w:rFonts w:hint="eastAsia" w:ascii="宋体" w:hAnsi="宋体" w:eastAsia="宋体" w:cs="宋体"/>
                <w:sz w:val="24"/>
                <w:szCs w:val="24"/>
              </w:rPr>
            </w:pPr>
            <w:r>
              <w:rPr>
                <w:rFonts w:hint="eastAsia" w:ascii="宋体" w:hAnsi="宋体" w:eastAsia="宋体" w:cs="宋体"/>
                <w:sz w:val="24"/>
                <w:szCs w:val="24"/>
              </w:rPr>
              <w:t>2.质量保证期自采购人和中标供应商代表在货物安装调试验收后的验收书上签字之日起计算。质量保证期内中标供应商对所供货物实行包修、包换、包退、包维护保养，保修期后设备维修配件更换只收取成本费用。</w:t>
            </w:r>
          </w:p>
          <w:p>
            <w:pPr>
              <w:rPr>
                <w:rFonts w:hint="eastAsia" w:ascii="宋体" w:hAnsi="宋体" w:eastAsia="宋体" w:cs="宋体"/>
                <w:sz w:val="24"/>
                <w:szCs w:val="24"/>
              </w:rPr>
            </w:pPr>
            <w:r>
              <w:rPr>
                <w:rFonts w:hint="eastAsia" w:ascii="宋体" w:hAnsi="宋体" w:eastAsia="宋体" w:cs="宋体"/>
                <w:sz w:val="24"/>
                <w:szCs w:val="24"/>
              </w:rPr>
              <w:t>3.质量保证期内，如设备或零部件因非人为因素出现故障而造成短期停用时，则质量保证期相应顺延。如停用时间累计超过60天则质量保证期重新计算。</w:t>
            </w:r>
          </w:p>
          <w:p>
            <w:pPr>
              <w:rPr>
                <w:rFonts w:hint="eastAsia" w:ascii="宋体" w:hAnsi="宋体" w:eastAsia="宋体" w:cs="宋体"/>
                <w:sz w:val="24"/>
                <w:szCs w:val="24"/>
              </w:rPr>
            </w:pPr>
            <w:r>
              <w:rPr>
                <w:rFonts w:hint="eastAsia" w:ascii="宋体" w:hAnsi="宋体" w:eastAsia="宋体" w:cs="宋体"/>
                <w:sz w:val="24"/>
                <w:szCs w:val="24"/>
              </w:rPr>
              <w:t>4.在质量保证期内，如货品非因采购人的人为原因而出现的问题由中标供应商负责保修、包换或包退，并承担修理、调换或退货的实际费用。</w:t>
            </w:r>
          </w:p>
          <w:p>
            <w:pPr>
              <w:rPr>
                <w:rFonts w:hint="eastAsia" w:ascii="宋体" w:hAnsi="宋体" w:eastAsia="宋体" w:cs="宋体"/>
                <w:sz w:val="24"/>
                <w:szCs w:val="24"/>
              </w:rPr>
            </w:pPr>
            <w:r>
              <w:rPr>
                <w:rFonts w:hint="eastAsia" w:ascii="宋体" w:hAnsi="宋体" w:eastAsia="宋体" w:cs="宋体"/>
                <w:sz w:val="24"/>
                <w:szCs w:val="24"/>
              </w:rPr>
              <w:t>5.质量保证期内，中标供应商负责对其提供的货物整机进行维修和系统维护，不再收取任何费用，但非中标供应商责任的人为因素、自然因素（如火灾、雷击等）造成的故障除外。</w:t>
            </w:r>
          </w:p>
          <w:p>
            <w:pPr>
              <w:rPr>
                <w:rFonts w:hint="eastAsia" w:ascii="宋体" w:hAnsi="宋体" w:eastAsia="宋体" w:cs="宋体"/>
                <w:sz w:val="24"/>
                <w:szCs w:val="24"/>
              </w:rPr>
            </w:pPr>
            <w:r>
              <w:rPr>
                <w:rFonts w:hint="eastAsia" w:ascii="宋体" w:hAnsi="宋体" w:eastAsia="宋体" w:cs="宋体"/>
                <w:sz w:val="24"/>
                <w:szCs w:val="24"/>
              </w:rPr>
              <w:t>质量保证期间，同一硬件一个月内连续2次出现同一故障，中标供应商须无偿更换同一档次货物。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693" w:type="pct"/>
            <w:vAlign w:val="center"/>
          </w:tcPr>
          <w:p>
            <w:pPr>
              <w:rPr>
                <w:rFonts w:hint="eastAsia" w:ascii="宋体" w:hAnsi="宋体" w:eastAsia="宋体" w:cs="宋体"/>
                <w:sz w:val="24"/>
                <w:szCs w:val="24"/>
              </w:rPr>
            </w:pPr>
            <w:bookmarkStart w:id="12" w:name="_Hlk233033006"/>
            <w:r>
              <w:rPr>
                <w:rFonts w:hint="eastAsia" w:ascii="宋体" w:hAnsi="宋体" w:eastAsia="宋体" w:cs="宋体"/>
                <w:sz w:val="24"/>
                <w:szCs w:val="24"/>
              </w:rPr>
              <w:t>进度计划与保证措施</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1.总体工期目标与计划安排。中标供应商须自合同签订之日起60天内完成全部实施工作。</w:t>
            </w:r>
          </w:p>
          <w:p>
            <w:pPr>
              <w:rPr>
                <w:rFonts w:hint="eastAsia" w:ascii="宋体" w:hAnsi="宋体" w:eastAsia="宋体" w:cs="宋体"/>
                <w:sz w:val="24"/>
                <w:szCs w:val="24"/>
              </w:rPr>
            </w:pPr>
            <w:r>
              <w:rPr>
                <w:rFonts w:hint="eastAsia" w:ascii="宋体" w:hAnsi="宋体" w:eastAsia="宋体" w:cs="宋体"/>
                <w:sz w:val="24"/>
                <w:szCs w:val="24"/>
              </w:rPr>
              <w:t>2.进度动态控制。每周提交书面《项目实施进度周报》，包括完成情况、进度偏差、原因分析及纠偏措施。发现可能影响总工期的偏差时，须24小时内书面报告并启动纠偏。</w:t>
            </w:r>
          </w:p>
          <w:p>
            <w:pPr>
              <w:rPr>
                <w:rFonts w:hint="eastAsia" w:ascii="宋体" w:hAnsi="宋体" w:eastAsia="宋体" w:cs="宋体"/>
                <w:sz w:val="24"/>
                <w:szCs w:val="24"/>
              </w:rPr>
            </w:pPr>
            <w:r>
              <w:rPr>
                <w:rFonts w:hint="eastAsia" w:ascii="宋体" w:hAnsi="宋体" w:eastAsia="宋体" w:cs="宋体"/>
                <w:sz w:val="24"/>
                <w:szCs w:val="24"/>
              </w:rPr>
              <w:t>3.工期保证措施。配备专职项目负责人1名，项目负责人不得随意更换。设备到场后及时完成安装调试。须针对物流延误、开箱不合格、安装故障等风险制定预案，出现影响工期事件时须采取增派人员、延长作业时间等方式抢回工期。</w:t>
            </w:r>
          </w:p>
          <w:p>
            <w:pPr>
              <w:rPr>
                <w:rFonts w:hint="eastAsia" w:ascii="宋体" w:hAnsi="宋体" w:eastAsia="宋体" w:cs="宋体"/>
                <w:sz w:val="24"/>
                <w:szCs w:val="24"/>
              </w:rPr>
            </w:pPr>
            <w:r>
              <w:rPr>
                <w:rFonts w:hint="eastAsia" w:ascii="宋体" w:hAnsi="宋体" w:eastAsia="宋体" w:cs="宋体"/>
                <w:sz w:val="24"/>
                <w:szCs w:val="24"/>
              </w:rPr>
              <w:t>4.</w:t>
            </w:r>
            <w:bookmarkStart w:id="13" w:name="_Hlk233293130"/>
            <w:r>
              <w:rPr>
                <w:rFonts w:hint="eastAsia" w:ascii="宋体" w:hAnsi="宋体" w:eastAsia="宋体" w:cs="宋体"/>
                <w:sz w:val="24"/>
                <w:szCs w:val="24"/>
              </w:rPr>
              <w:t>履约进度计划表</w:t>
            </w:r>
            <w:bookmarkEnd w:id="13"/>
            <w:r>
              <w:rPr>
                <w:rFonts w:hint="eastAsia" w:ascii="宋体" w:hAnsi="宋体" w:eastAsia="宋体" w:cs="宋体"/>
                <w:sz w:val="24"/>
                <w:szCs w:val="24"/>
              </w:rPr>
              <w:t>。投标文件中须提供履约进度计划表，包括但不限于排产发货、到货验收、现场安装、调试试运行、培训与最终验收五大阶段，该表将作为履约依据。</w:t>
            </w:r>
          </w:p>
        </w:tc>
      </w:tr>
      <w:bookmarkEnd w:id="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bookmarkStart w:id="14" w:name="_Hlk233034000"/>
            <w:r>
              <w:rPr>
                <w:rFonts w:hint="eastAsia" w:ascii="宋体" w:hAnsi="宋体" w:eastAsia="宋体" w:cs="宋体"/>
                <w:sz w:val="24"/>
                <w:szCs w:val="24"/>
              </w:rPr>
              <w:t>质量保证措施</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1.质量目标：要求质量目标为合格，项目验收一次性通过率100%，保修期内设备及施工质量故障率≤3%。</w:t>
            </w:r>
          </w:p>
          <w:p>
            <w:pPr>
              <w:rPr>
                <w:rFonts w:hint="eastAsia" w:ascii="宋体" w:hAnsi="宋体" w:eastAsia="宋体" w:cs="宋体"/>
                <w:sz w:val="24"/>
                <w:szCs w:val="24"/>
              </w:rPr>
            </w:pPr>
            <w:r>
              <w:rPr>
                <w:rFonts w:hint="eastAsia" w:ascii="宋体" w:hAnsi="宋体" w:eastAsia="宋体" w:cs="宋体"/>
                <w:sz w:val="24"/>
                <w:szCs w:val="24"/>
              </w:rPr>
              <w:t>2.技术工艺保障：投标人须提交详细的安装调试技术方案，明确安装工艺标准及测试方法，严格按方案执行。各工序实行自检、互检、专检三检制度，上一道工序不合格不得转入下道工序，每道工序操作及检验人员须留存书面记录，实现质量可追溯。</w:t>
            </w:r>
          </w:p>
          <w:p>
            <w:pPr>
              <w:rPr>
                <w:rFonts w:hint="eastAsia" w:ascii="宋体" w:hAnsi="宋体" w:eastAsia="宋体" w:cs="宋体"/>
                <w:sz w:val="24"/>
                <w:szCs w:val="24"/>
              </w:rPr>
            </w:pPr>
            <w:r>
              <w:rPr>
                <w:rFonts w:hint="eastAsia" w:ascii="宋体" w:hAnsi="宋体" w:eastAsia="宋体" w:cs="宋体"/>
                <w:sz w:val="24"/>
                <w:szCs w:val="24"/>
              </w:rPr>
              <w:t>3.材料质量控制：所供设备须为全新原厂合格产品，附有出厂合格证明及质量检验报告。设备到货后配合采购人进行开箱检验，核对型号、规格、数量及技术资料，检验不合格的无条件退换，费用及工期延误由供应商承担。安装辅材须选用国家标准合格产品，进场前经采购人确认后方可使用。</w:t>
            </w:r>
          </w:p>
        </w:tc>
      </w:tr>
      <w:bookmark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bookmarkStart w:id="15" w:name="_Hlk233034140"/>
            <w:r>
              <w:rPr>
                <w:rFonts w:hint="eastAsia" w:ascii="宋体" w:hAnsi="宋体" w:eastAsia="宋体" w:cs="宋体"/>
                <w:sz w:val="24"/>
                <w:szCs w:val="24"/>
              </w:rPr>
              <w:t>技术培训</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1.中标供应商每台设备提供现场安装调试和培训。</w:t>
            </w:r>
          </w:p>
          <w:p>
            <w:pPr>
              <w:rPr>
                <w:rFonts w:hint="eastAsia" w:ascii="宋体" w:hAnsi="宋体" w:eastAsia="宋体" w:cs="宋体"/>
                <w:sz w:val="24"/>
                <w:szCs w:val="24"/>
              </w:rPr>
            </w:pPr>
            <w:r>
              <w:rPr>
                <w:rFonts w:hint="eastAsia" w:ascii="宋体" w:hAnsi="宋体" w:eastAsia="宋体" w:cs="宋体"/>
                <w:sz w:val="24"/>
                <w:szCs w:val="24"/>
              </w:rPr>
              <w:t>2.采购人培训硬性量化要求：培训需组织采购人管理人员参训，单次参训人员不少于2人；采用理论授课+真机实操相结合模式，整体培训总时长不少于4课时，培训地点为本项目设备使用现场；培训完成后组织实操考核，设置明确合格判定标准，参训人员需具备独立操作设备能力。</w:t>
            </w:r>
          </w:p>
          <w:p>
            <w:pPr>
              <w:rPr>
                <w:rFonts w:hint="eastAsia" w:ascii="宋体" w:hAnsi="宋体" w:eastAsia="宋体" w:cs="宋体"/>
                <w:sz w:val="24"/>
                <w:szCs w:val="24"/>
              </w:rPr>
            </w:pPr>
            <w:r>
              <w:rPr>
                <w:rFonts w:hint="eastAsia" w:ascii="宋体" w:hAnsi="宋体" w:eastAsia="宋体" w:cs="宋体"/>
                <w:sz w:val="24"/>
                <w:szCs w:val="24"/>
              </w:rPr>
              <w:t>3.采购人课程硬性要求：培训必须覆盖设备标准操作、日常保养、常见故障识别处置、设备安全操作四大模块，讲解不少于10项典型故障处理方法，保证参训人员可自主完成常规操作、基础养护及简单故障排查。</w:t>
            </w:r>
          </w:p>
          <w:p>
            <w:pPr>
              <w:rPr>
                <w:rFonts w:hint="eastAsia" w:ascii="宋体" w:hAnsi="宋体" w:eastAsia="宋体" w:cs="宋体"/>
                <w:sz w:val="24"/>
                <w:szCs w:val="24"/>
              </w:rPr>
            </w:pPr>
            <w:r>
              <w:rPr>
                <w:rFonts w:hint="eastAsia" w:ascii="宋体" w:hAnsi="宋体" w:eastAsia="宋体" w:cs="宋体"/>
                <w:sz w:val="24"/>
                <w:szCs w:val="24"/>
              </w:rPr>
              <w:t>4. 培训所需的全部费用（包括但不限于讲师费、教材费、场地费、耗材费等）均已包含在投标总价中，由中标供应商全额承担，采购人无需额外支付任何费用。</w:t>
            </w:r>
          </w:p>
        </w:tc>
      </w:tr>
      <w:bookmarkEnd w:id="1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3" w:type="pct"/>
            <w:vAlign w:val="center"/>
          </w:tcPr>
          <w:p>
            <w:pPr>
              <w:rPr>
                <w:rFonts w:hint="eastAsia" w:ascii="宋体" w:hAnsi="宋体" w:eastAsia="宋体" w:cs="宋体"/>
                <w:sz w:val="24"/>
                <w:szCs w:val="24"/>
              </w:rPr>
            </w:pPr>
            <w:r>
              <w:rPr>
                <w:rFonts w:hint="eastAsia" w:ascii="宋体" w:hAnsi="宋体" w:eastAsia="宋体" w:cs="宋体"/>
                <w:sz w:val="24"/>
                <w:szCs w:val="24"/>
              </w:rPr>
              <w:t>售后服务</w:t>
            </w:r>
          </w:p>
        </w:tc>
        <w:tc>
          <w:tcPr>
            <w:tcW w:w="4307" w:type="pct"/>
            <w:vAlign w:val="center"/>
          </w:tcPr>
          <w:p>
            <w:pPr>
              <w:rPr>
                <w:rFonts w:hint="eastAsia" w:ascii="宋体" w:hAnsi="宋体" w:eastAsia="宋体" w:cs="宋体"/>
                <w:sz w:val="24"/>
                <w:szCs w:val="24"/>
              </w:rPr>
            </w:pPr>
            <w:r>
              <w:rPr>
                <w:rFonts w:hint="eastAsia" w:ascii="宋体" w:hAnsi="宋体" w:eastAsia="宋体" w:cs="宋体"/>
                <w:sz w:val="24"/>
                <w:szCs w:val="24"/>
              </w:rPr>
              <w:t>对采购人的服务通知，中标供应商在接报后</w:t>
            </w:r>
            <w:r>
              <w:rPr>
                <w:rFonts w:hint="eastAsia" w:ascii="宋体" w:hAnsi="宋体" w:eastAsia="宋体" w:cs="宋体"/>
                <w:sz w:val="24"/>
                <w:szCs w:val="24"/>
                <w:u w:val="single"/>
              </w:rPr>
              <w:t xml:space="preserve"> 2</w:t>
            </w:r>
            <w:r>
              <w:rPr>
                <w:rFonts w:hint="eastAsia" w:ascii="宋体" w:hAnsi="宋体" w:eastAsia="宋体" w:cs="宋体"/>
                <w:sz w:val="24"/>
                <w:szCs w:val="24"/>
              </w:rPr>
              <w:t>小时内响应，</w:t>
            </w:r>
            <w:r>
              <w:rPr>
                <w:rFonts w:hint="eastAsia" w:ascii="宋体" w:hAnsi="宋体" w:eastAsia="宋体" w:cs="宋体"/>
                <w:sz w:val="24"/>
                <w:szCs w:val="24"/>
                <w:u w:val="single"/>
              </w:rPr>
              <w:t>24</w:t>
            </w:r>
            <w:r>
              <w:rPr>
                <w:rFonts w:hint="eastAsia" w:ascii="宋体" w:hAnsi="宋体" w:eastAsia="宋体" w:cs="宋体"/>
                <w:sz w:val="24"/>
                <w:szCs w:val="24"/>
              </w:rPr>
              <w:t>小时内到达现场，</w:t>
            </w:r>
            <w:r>
              <w:rPr>
                <w:rFonts w:hint="eastAsia" w:ascii="宋体" w:hAnsi="宋体" w:eastAsia="宋体" w:cs="宋体"/>
                <w:sz w:val="24"/>
                <w:szCs w:val="24"/>
                <w:u w:val="single"/>
              </w:rPr>
              <w:t>48</w:t>
            </w:r>
            <w:r>
              <w:rPr>
                <w:rFonts w:hint="eastAsia" w:ascii="宋体" w:hAnsi="宋体" w:eastAsia="宋体" w:cs="宋体"/>
                <w:sz w:val="24"/>
                <w:szCs w:val="24"/>
              </w:rPr>
              <w:t>小时内处理完毕。若在</w:t>
            </w:r>
            <w:r>
              <w:rPr>
                <w:rFonts w:hint="eastAsia" w:ascii="宋体" w:hAnsi="宋体" w:eastAsia="宋体" w:cs="宋体"/>
                <w:sz w:val="24"/>
                <w:szCs w:val="24"/>
                <w:u w:val="single"/>
              </w:rPr>
              <w:t>48</w:t>
            </w:r>
            <w:r>
              <w:rPr>
                <w:rFonts w:hint="eastAsia" w:ascii="宋体" w:hAnsi="宋体" w:eastAsia="宋体" w:cs="宋体"/>
                <w:sz w:val="24"/>
                <w:szCs w:val="24"/>
              </w:rPr>
              <w:t>小时内仍未能有效解决，中标供应商须提供同一档次的设备予采购人临时使用。</w:t>
            </w:r>
          </w:p>
        </w:tc>
      </w:tr>
    </w:tbl>
    <w:p>
      <w:pPr>
        <w:pStyle w:val="18"/>
        <w:jc w:val="center"/>
        <w:rPr>
          <w:rFonts w:ascii="宋体" w:hAnsi="宋体" w:eastAsia="宋体" w:cs="宋体"/>
          <w:sz w:val="30"/>
          <w:szCs w:val="30"/>
        </w:rPr>
      </w:pPr>
      <w:r>
        <w:rPr>
          <w:rFonts w:ascii="宋体" w:hAnsi="宋体" w:eastAsia="宋体" w:cs="宋体"/>
          <w:sz w:val="30"/>
          <w:szCs w:val="30"/>
        </w:rPr>
        <w:t>附件：异常低价审查要求</w:t>
      </w:r>
    </w:p>
    <w:p>
      <w:pPr>
        <w:pStyle w:val="18"/>
        <w:rPr>
          <w:rFonts w:ascii="宋体" w:hAnsi="宋体" w:eastAsia="宋体" w:cs="宋体"/>
          <w:sz w:val="24"/>
          <w:szCs w:val="24"/>
        </w:rPr>
      </w:pPr>
      <w:r>
        <w:rPr>
          <w:rFonts w:ascii="宋体" w:hAnsi="宋体" w:eastAsia="宋体" w:cs="宋体"/>
          <w:sz w:val="24"/>
          <w:szCs w:val="24"/>
        </w:rPr>
        <w:t>异常低价审查说明</w:t>
      </w:r>
    </w:p>
    <w:p>
      <w:pPr>
        <w:pStyle w:val="18"/>
        <w:spacing w:line="360" w:lineRule="auto"/>
        <w:rPr>
          <w:rFonts w:ascii="宋体" w:hAnsi="宋体" w:eastAsia="宋体" w:cs="宋体"/>
          <w:sz w:val="24"/>
          <w:szCs w:val="24"/>
        </w:rPr>
      </w:pPr>
      <w:r>
        <w:rPr>
          <w:rFonts w:ascii="宋体" w:hAnsi="宋体" w:eastAsia="宋体" w:cs="宋体"/>
          <w:sz w:val="24"/>
          <w:szCs w:val="24"/>
        </w:rPr>
        <w:t>根据财政部2026年1月14日发布的《关于推动解决政府采购异常低价问题的通知》规定，本项目将对投标人的异常低价进行审查。</w:t>
      </w:r>
    </w:p>
    <w:p>
      <w:pPr>
        <w:pStyle w:val="18"/>
        <w:spacing w:line="360" w:lineRule="auto"/>
        <w:rPr>
          <w:rFonts w:ascii="宋体" w:hAnsi="宋体" w:eastAsia="宋体" w:cs="宋体"/>
          <w:sz w:val="24"/>
          <w:szCs w:val="24"/>
        </w:rPr>
      </w:pPr>
      <w:r>
        <w:rPr>
          <w:rFonts w:ascii="宋体" w:hAnsi="宋体" w:eastAsia="宋体" w:cs="宋体"/>
          <w:sz w:val="24"/>
          <w:szCs w:val="24"/>
        </w:rPr>
        <w:t>（一）如投标人报价中出现下列情形之一的，评审委员会应当启动异常低价投标（响应）审查程序：</w:t>
      </w:r>
    </w:p>
    <w:p>
      <w:pPr>
        <w:pStyle w:val="18"/>
        <w:spacing w:line="360" w:lineRule="auto"/>
        <w:rPr>
          <w:rFonts w:ascii="宋体" w:hAnsi="宋体" w:eastAsia="宋体" w:cs="宋体"/>
          <w:sz w:val="24"/>
          <w:szCs w:val="24"/>
        </w:rPr>
      </w:pPr>
      <w:r>
        <w:rPr>
          <w:rFonts w:ascii="宋体" w:hAnsi="宋体" w:eastAsia="宋体" w:cs="宋体"/>
          <w:sz w:val="24"/>
          <w:szCs w:val="24"/>
        </w:rPr>
        <w:t>1.投标（响应）报价低于全部通过符合性审查供应商投标（响应）报价平均值50%的，即投标（响应）报价&lt;全部通过符合性审查供应商投标（响应）报价平均值×50%；</w:t>
      </w:r>
    </w:p>
    <w:p>
      <w:pPr>
        <w:pStyle w:val="18"/>
        <w:spacing w:line="360" w:lineRule="auto"/>
        <w:rPr>
          <w:rFonts w:ascii="宋体" w:hAnsi="宋体" w:eastAsia="宋体" w:cs="宋体"/>
          <w:sz w:val="24"/>
          <w:szCs w:val="24"/>
        </w:rPr>
      </w:pPr>
      <w:r>
        <w:rPr>
          <w:rFonts w:ascii="宋体" w:hAnsi="宋体" w:eastAsia="宋体" w:cs="宋体"/>
          <w:sz w:val="24"/>
          <w:szCs w:val="24"/>
        </w:rPr>
        <w:t>2.投标（响应）报价低于通过符合性审查的次低报价供应商投标（响应）报价50%的，即投标（响应）报价&lt;通过符合性审查的次低报价供应商投标（响应）报价×50%；</w:t>
      </w:r>
    </w:p>
    <w:p>
      <w:pPr>
        <w:pStyle w:val="18"/>
        <w:spacing w:line="360" w:lineRule="auto"/>
        <w:rPr>
          <w:rFonts w:ascii="宋体" w:hAnsi="宋体" w:eastAsia="宋体" w:cs="宋体"/>
          <w:sz w:val="24"/>
          <w:szCs w:val="24"/>
        </w:rPr>
      </w:pPr>
      <w:r>
        <w:rPr>
          <w:rFonts w:ascii="宋体" w:hAnsi="宋体" w:eastAsia="宋体" w:cs="宋体"/>
          <w:sz w:val="24"/>
          <w:szCs w:val="24"/>
        </w:rPr>
        <w:t>3.投标（响应）报价低于采购项目最高限价45%的，即投标（响应）报价&lt;采购项目最高限价×45%；</w:t>
      </w:r>
    </w:p>
    <w:p>
      <w:pPr>
        <w:pStyle w:val="18"/>
        <w:spacing w:line="360" w:lineRule="auto"/>
        <w:rPr>
          <w:rFonts w:ascii="宋体" w:hAnsi="宋体" w:eastAsia="宋体" w:cs="宋体"/>
          <w:sz w:val="24"/>
          <w:szCs w:val="24"/>
        </w:rPr>
      </w:pPr>
      <w:r>
        <w:rPr>
          <w:rFonts w:ascii="宋体" w:hAnsi="宋体" w:eastAsia="宋体" w:cs="宋体"/>
          <w:sz w:val="24"/>
          <w:szCs w:val="24"/>
        </w:rPr>
        <w:t>4.评审委员会基于专业判断，认为供应商报价过低，有可能影响产品质量或者不能诚信履约的其他情形。</w:t>
      </w:r>
    </w:p>
    <w:p>
      <w:pPr>
        <w:pStyle w:val="18"/>
        <w:spacing w:line="360" w:lineRule="auto"/>
        <w:rPr>
          <w:rFonts w:ascii="宋体" w:hAnsi="宋体" w:eastAsia="宋体" w:cs="宋体"/>
          <w:sz w:val="24"/>
          <w:szCs w:val="24"/>
        </w:rPr>
      </w:pPr>
      <w:r>
        <w:rPr>
          <w:rFonts w:ascii="宋体" w:hAnsi="宋体" w:eastAsia="宋体" w:cs="宋体"/>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18"/>
        <w:spacing w:line="360" w:lineRule="auto"/>
        <w:rPr>
          <w:rFonts w:ascii="宋体" w:hAnsi="宋体" w:eastAsia="宋体" w:cs="宋体"/>
          <w:sz w:val="24"/>
          <w:szCs w:val="24"/>
        </w:rPr>
      </w:pPr>
      <w:r>
        <w:rPr>
          <w:rFonts w:ascii="宋体" w:hAnsi="宋体" w:eastAsia="宋体" w:cs="宋体"/>
          <w:sz w:val="24"/>
          <w:szCs w:val="24"/>
        </w:rPr>
        <w:t>异常低价投标(响应)审查的启动原因、审查意见和审查结果应当在评审报告中记录，并随供应商提供的相关书面说明及证明材料，以及评审委员会有关互联网浏览、查询历史一并归档。</w:t>
      </w:r>
    </w:p>
    <w:p>
      <w:pPr>
        <w:pStyle w:val="18"/>
        <w:rPr>
          <w:rFonts w:ascii="宋体" w:hAnsi="宋体" w:eastAsia="宋体" w:cs="宋体"/>
          <w:sz w:val="24"/>
          <w:szCs w:val="24"/>
        </w:rPr>
      </w:pPr>
    </w:p>
    <w:p>
      <w:pPr>
        <w:pStyle w:val="18"/>
        <w:rPr>
          <w:rFonts w:hint="default"/>
        </w:rPr>
      </w:pPr>
    </w:p>
    <w:p>
      <w:pPr>
        <w:pStyle w:val="18"/>
        <w:rPr>
          <w:rFonts w:hint="default"/>
        </w:rPr>
      </w:pPr>
      <w:bookmarkStart w:id="16" w:name="_GoBack"/>
      <w:bookmarkEnd w:id="16"/>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宋体"/>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宋体">
    <w:panose1 w:val="02010600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F1B2EC"/>
    <w:multiLevelType w:val="singleLevel"/>
    <w:tmpl w:val="ACF1B2EC"/>
    <w:lvl w:ilvl="0" w:tentative="0">
      <w:start w:val="1"/>
      <w:numFmt w:val="decimal"/>
      <w:lvlText w:val="%1."/>
      <w:lvlJc w:val="left"/>
      <w:pPr>
        <w:tabs>
          <w:tab w:val="left" w:pos="312"/>
        </w:tabs>
      </w:pPr>
    </w:lvl>
  </w:abstractNum>
  <w:abstractNum w:abstractNumId="1">
    <w:nsid w:val="75A34CFE"/>
    <w:multiLevelType w:val="multilevel"/>
    <w:tmpl w:val="75A34CFE"/>
    <w:lvl w:ilvl="0" w:tentative="0">
      <w:start w:val="1"/>
      <w:numFmt w:val="chineseCountingThousand"/>
      <w:pStyle w:val="2"/>
      <w:suff w:val="nothing"/>
      <w:lvlText w:val="%1、"/>
      <w:lvlJc w:val="left"/>
      <w:pPr>
        <w:ind w:left="420" w:hanging="420"/>
      </w:pPr>
      <w:rPr>
        <w:rFonts w:hint="eastAsia" w:ascii="黑体" w:hAnsi="黑体" w:eastAsia="黑体" w:cs="黑体"/>
        <w:b w:val="0"/>
        <w:bCs w:val="0"/>
      </w:rPr>
    </w:lvl>
    <w:lvl w:ilvl="1" w:tentative="0">
      <w:start w:val="1"/>
      <w:numFmt w:val="decimal"/>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9A57871"/>
    <w:multiLevelType w:val="singleLevel"/>
    <w:tmpl w:val="79A57871"/>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kZDUyOGY5MzUyOTg0NzNlOWRkZWNlZjA3OWIyZjQifQ=="/>
  </w:docVars>
  <w:rsids>
    <w:rsidRoot w:val="53B52B8D"/>
    <w:rsid w:val="000246AC"/>
    <w:rsid w:val="00052A18"/>
    <w:rsid w:val="00065986"/>
    <w:rsid w:val="001078B5"/>
    <w:rsid w:val="001A73A8"/>
    <w:rsid w:val="001F71D7"/>
    <w:rsid w:val="00270820"/>
    <w:rsid w:val="003C7E72"/>
    <w:rsid w:val="00487862"/>
    <w:rsid w:val="004F4D9A"/>
    <w:rsid w:val="005405E3"/>
    <w:rsid w:val="0056005D"/>
    <w:rsid w:val="005C2F8D"/>
    <w:rsid w:val="006016CA"/>
    <w:rsid w:val="006031CA"/>
    <w:rsid w:val="00606196"/>
    <w:rsid w:val="00622C35"/>
    <w:rsid w:val="00626E55"/>
    <w:rsid w:val="006D74E7"/>
    <w:rsid w:val="006F3F71"/>
    <w:rsid w:val="00751B65"/>
    <w:rsid w:val="00753139"/>
    <w:rsid w:val="00787229"/>
    <w:rsid w:val="00815709"/>
    <w:rsid w:val="0088156D"/>
    <w:rsid w:val="008E1ADE"/>
    <w:rsid w:val="009102F8"/>
    <w:rsid w:val="00926D1B"/>
    <w:rsid w:val="00943F3C"/>
    <w:rsid w:val="00970E8C"/>
    <w:rsid w:val="00972223"/>
    <w:rsid w:val="00A3647A"/>
    <w:rsid w:val="00AD1F9D"/>
    <w:rsid w:val="00B016D6"/>
    <w:rsid w:val="00B34045"/>
    <w:rsid w:val="00B61D5B"/>
    <w:rsid w:val="00CB1EB4"/>
    <w:rsid w:val="00D63E20"/>
    <w:rsid w:val="00D96A18"/>
    <w:rsid w:val="00E61DC1"/>
    <w:rsid w:val="00E87A8F"/>
    <w:rsid w:val="00E935CC"/>
    <w:rsid w:val="00ED5986"/>
    <w:rsid w:val="00EF7950"/>
    <w:rsid w:val="00F27441"/>
    <w:rsid w:val="00F36BEA"/>
    <w:rsid w:val="00F62FD4"/>
    <w:rsid w:val="00FC5B5A"/>
    <w:rsid w:val="00FF61E6"/>
    <w:rsid w:val="02160F0D"/>
    <w:rsid w:val="0264502E"/>
    <w:rsid w:val="0264611C"/>
    <w:rsid w:val="02705085"/>
    <w:rsid w:val="03125B78"/>
    <w:rsid w:val="038D7BEC"/>
    <w:rsid w:val="0438160E"/>
    <w:rsid w:val="04EF43C3"/>
    <w:rsid w:val="058D7738"/>
    <w:rsid w:val="05B2719F"/>
    <w:rsid w:val="05CA44E8"/>
    <w:rsid w:val="061F604C"/>
    <w:rsid w:val="063D4CBA"/>
    <w:rsid w:val="067674C1"/>
    <w:rsid w:val="06E15F8D"/>
    <w:rsid w:val="074A3B33"/>
    <w:rsid w:val="07AB0349"/>
    <w:rsid w:val="07E04497"/>
    <w:rsid w:val="09685FD4"/>
    <w:rsid w:val="0ABA2DC9"/>
    <w:rsid w:val="0AEB73DB"/>
    <w:rsid w:val="0B4F057A"/>
    <w:rsid w:val="0BD87233"/>
    <w:rsid w:val="0C175924"/>
    <w:rsid w:val="0CC81F20"/>
    <w:rsid w:val="0CE045F1"/>
    <w:rsid w:val="0D447276"/>
    <w:rsid w:val="0DA63FCF"/>
    <w:rsid w:val="0E71409B"/>
    <w:rsid w:val="0E8536A2"/>
    <w:rsid w:val="0E8D601A"/>
    <w:rsid w:val="0F452E31"/>
    <w:rsid w:val="10352EA6"/>
    <w:rsid w:val="10765998"/>
    <w:rsid w:val="108D4A90"/>
    <w:rsid w:val="10F90377"/>
    <w:rsid w:val="110A7E8F"/>
    <w:rsid w:val="11162CD7"/>
    <w:rsid w:val="113076DB"/>
    <w:rsid w:val="11336355"/>
    <w:rsid w:val="119D0D03"/>
    <w:rsid w:val="126161D4"/>
    <w:rsid w:val="12A8795F"/>
    <w:rsid w:val="14474ED7"/>
    <w:rsid w:val="144B2C98"/>
    <w:rsid w:val="14CF38C9"/>
    <w:rsid w:val="152754B3"/>
    <w:rsid w:val="155362A8"/>
    <w:rsid w:val="15D32F45"/>
    <w:rsid w:val="177F50ED"/>
    <w:rsid w:val="18890233"/>
    <w:rsid w:val="18A24E51"/>
    <w:rsid w:val="18B973AA"/>
    <w:rsid w:val="18F25DD8"/>
    <w:rsid w:val="198527A8"/>
    <w:rsid w:val="19B25D9C"/>
    <w:rsid w:val="19F4792E"/>
    <w:rsid w:val="1A4408B5"/>
    <w:rsid w:val="1A786D0C"/>
    <w:rsid w:val="1AA656C7"/>
    <w:rsid w:val="1B0818E3"/>
    <w:rsid w:val="1B5A1A13"/>
    <w:rsid w:val="1BF335AC"/>
    <w:rsid w:val="1CCC06EE"/>
    <w:rsid w:val="1D0C4F8F"/>
    <w:rsid w:val="1D102CD1"/>
    <w:rsid w:val="1D181B85"/>
    <w:rsid w:val="1D4921C2"/>
    <w:rsid w:val="1D5F1562"/>
    <w:rsid w:val="1DAD49C3"/>
    <w:rsid w:val="1DBE38E1"/>
    <w:rsid w:val="1DBE44DB"/>
    <w:rsid w:val="1E71751C"/>
    <w:rsid w:val="1FA449D2"/>
    <w:rsid w:val="1FC87893"/>
    <w:rsid w:val="203C5B8B"/>
    <w:rsid w:val="205C4D4B"/>
    <w:rsid w:val="21004E0A"/>
    <w:rsid w:val="21076199"/>
    <w:rsid w:val="21C249F0"/>
    <w:rsid w:val="223C00C4"/>
    <w:rsid w:val="22743D02"/>
    <w:rsid w:val="22FD6785"/>
    <w:rsid w:val="235F406A"/>
    <w:rsid w:val="236D75CE"/>
    <w:rsid w:val="23FB55E8"/>
    <w:rsid w:val="242552B4"/>
    <w:rsid w:val="267C312E"/>
    <w:rsid w:val="269E30FB"/>
    <w:rsid w:val="27167136"/>
    <w:rsid w:val="27764078"/>
    <w:rsid w:val="28221B0A"/>
    <w:rsid w:val="28773C04"/>
    <w:rsid w:val="28DE1ED5"/>
    <w:rsid w:val="29143B49"/>
    <w:rsid w:val="294E0E09"/>
    <w:rsid w:val="29C333EA"/>
    <w:rsid w:val="2A622692"/>
    <w:rsid w:val="2A677CA8"/>
    <w:rsid w:val="2B3C521A"/>
    <w:rsid w:val="2B7F799F"/>
    <w:rsid w:val="2D0B650A"/>
    <w:rsid w:val="2D6A3D37"/>
    <w:rsid w:val="2DED36AF"/>
    <w:rsid w:val="2E073C7C"/>
    <w:rsid w:val="2E5D564A"/>
    <w:rsid w:val="2F603644"/>
    <w:rsid w:val="2FAC2855"/>
    <w:rsid w:val="2FF87331"/>
    <w:rsid w:val="302C5C1C"/>
    <w:rsid w:val="30536D05"/>
    <w:rsid w:val="30FC55EE"/>
    <w:rsid w:val="312B7C81"/>
    <w:rsid w:val="312E32CE"/>
    <w:rsid w:val="315947EF"/>
    <w:rsid w:val="31B934DF"/>
    <w:rsid w:val="3355548A"/>
    <w:rsid w:val="33775400"/>
    <w:rsid w:val="33B34F14"/>
    <w:rsid w:val="33F56325"/>
    <w:rsid w:val="34563267"/>
    <w:rsid w:val="34AE3E0A"/>
    <w:rsid w:val="34CE1050"/>
    <w:rsid w:val="34DA5C46"/>
    <w:rsid w:val="354B26A0"/>
    <w:rsid w:val="359247F0"/>
    <w:rsid w:val="35ED19A9"/>
    <w:rsid w:val="36714388"/>
    <w:rsid w:val="3688660A"/>
    <w:rsid w:val="37B67B3B"/>
    <w:rsid w:val="37BA6EDB"/>
    <w:rsid w:val="388D2FD0"/>
    <w:rsid w:val="38D93538"/>
    <w:rsid w:val="3A0B3BF5"/>
    <w:rsid w:val="3B27770B"/>
    <w:rsid w:val="3B3F4A55"/>
    <w:rsid w:val="3B81506E"/>
    <w:rsid w:val="3BB15227"/>
    <w:rsid w:val="3C5938F5"/>
    <w:rsid w:val="3CF03B2D"/>
    <w:rsid w:val="3D8449A1"/>
    <w:rsid w:val="3E330175"/>
    <w:rsid w:val="3EB56DDC"/>
    <w:rsid w:val="3F833082"/>
    <w:rsid w:val="40FE4A6B"/>
    <w:rsid w:val="40FE5245"/>
    <w:rsid w:val="41032081"/>
    <w:rsid w:val="410773DF"/>
    <w:rsid w:val="414601C0"/>
    <w:rsid w:val="41EC21FB"/>
    <w:rsid w:val="42365BD4"/>
    <w:rsid w:val="42507548"/>
    <w:rsid w:val="447F5EC2"/>
    <w:rsid w:val="44A27E03"/>
    <w:rsid w:val="44DC50C3"/>
    <w:rsid w:val="4521341D"/>
    <w:rsid w:val="45603F46"/>
    <w:rsid w:val="469B0FAE"/>
    <w:rsid w:val="46B207D1"/>
    <w:rsid w:val="4769717C"/>
    <w:rsid w:val="478F28C0"/>
    <w:rsid w:val="479779C7"/>
    <w:rsid w:val="47EA3F9B"/>
    <w:rsid w:val="48547666"/>
    <w:rsid w:val="48A64365"/>
    <w:rsid w:val="48C42A3E"/>
    <w:rsid w:val="49DE7B2F"/>
    <w:rsid w:val="4A37493E"/>
    <w:rsid w:val="4A56307D"/>
    <w:rsid w:val="4B4B5A94"/>
    <w:rsid w:val="4BBA3C84"/>
    <w:rsid w:val="4C0C0D76"/>
    <w:rsid w:val="4C4A5008"/>
    <w:rsid w:val="4C5D0DA4"/>
    <w:rsid w:val="4CF84A64"/>
    <w:rsid w:val="4DA16EA9"/>
    <w:rsid w:val="4DB841F3"/>
    <w:rsid w:val="4E7E5B06"/>
    <w:rsid w:val="4ED61BF7"/>
    <w:rsid w:val="4EFC263C"/>
    <w:rsid w:val="4F674123"/>
    <w:rsid w:val="4F6C1739"/>
    <w:rsid w:val="4F6F4D85"/>
    <w:rsid w:val="50E13A61"/>
    <w:rsid w:val="519E1C1E"/>
    <w:rsid w:val="51A96C75"/>
    <w:rsid w:val="523C53F3"/>
    <w:rsid w:val="524939F1"/>
    <w:rsid w:val="537D5CC3"/>
    <w:rsid w:val="53B52B8D"/>
    <w:rsid w:val="53E61ABA"/>
    <w:rsid w:val="54B15CDE"/>
    <w:rsid w:val="54C811C0"/>
    <w:rsid w:val="55610B02"/>
    <w:rsid w:val="567F1D52"/>
    <w:rsid w:val="568A7075"/>
    <w:rsid w:val="569F0221"/>
    <w:rsid w:val="571050A0"/>
    <w:rsid w:val="575970C5"/>
    <w:rsid w:val="576C0528"/>
    <w:rsid w:val="57C80C4D"/>
    <w:rsid w:val="580C1D0B"/>
    <w:rsid w:val="583A6878"/>
    <w:rsid w:val="5850329F"/>
    <w:rsid w:val="58AB1524"/>
    <w:rsid w:val="59262959"/>
    <w:rsid w:val="5932754F"/>
    <w:rsid w:val="5A7E2464"/>
    <w:rsid w:val="5B3752F1"/>
    <w:rsid w:val="5C601760"/>
    <w:rsid w:val="5CE15514"/>
    <w:rsid w:val="5D8B5480"/>
    <w:rsid w:val="5D902A97"/>
    <w:rsid w:val="5E6A09F9"/>
    <w:rsid w:val="5E6A153A"/>
    <w:rsid w:val="5EBB1D95"/>
    <w:rsid w:val="5EC96260"/>
    <w:rsid w:val="5ECC3FA2"/>
    <w:rsid w:val="5F0059FA"/>
    <w:rsid w:val="600357A2"/>
    <w:rsid w:val="60A725D1"/>
    <w:rsid w:val="60E5134B"/>
    <w:rsid w:val="6189617B"/>
    <w:rsid w:val="62A212A2"/>
    <w:rsid w:val="6371671E"/>
    <w:rsid w:val="63B868A3"/>
    <w:rsid w:val="63C562C2"/>
    <w:rsid w:val="64191A38"/>
    <w:rsid w:val="64A05CB5"/>
    <w:rsid w:val="6529742C"/>
    <w:rsid w:val="65534AD5"/>
    <w:rsid w:val="65C47781"/>
    <w:rsid w:val="6612673F"/>
    <w:rsid w:val="6639016F"/>
    <w:rsid w:val="678E44EB"/>
    <w:rsid w:val="67D74268"/>
    <w:rsid w:val="67E4235D"/>
    <w:rsid w:val="684D7F02"/>
    <w:rsid w:val="689478DF"/>
    <w:rsid w:val="697A2F79"/>
    <w:rsid w:val="69831701"/>
    <w:rsid w:val="69CC30A8"/>
    <w:rsid w:val="6BF6440D"/>
    <w:rsid w:val="6C953C26"/>
    <w:rsid w:val="6CA976D1"/>
    <w:rsid w:val="6CD504C6"/>
    <w:rsid w:val="6DDF784E"/>
    <w:rsid w:val="6E0F1C19"/>
    <w:rsid w:val="6E9F2B3A"/>
    <w:rsid w:val="6F1E6154"/>
    <w:rsid w:val="6F9208F0"/>
    <w:rsid w:val="6FD11419"/>
    <w:rsid w:val="71557E27"/>
    <w:rsid w:val="716A24A8"/>
    <w:rsid w:val="71777D9E"/>
    <w:rsid w:val="722B3D2B"/>
    <w:rsid w:val="72955527"/>
    <w:rsid w:val="72C2773E"/>
    <w:rsid w:val="72FA2A34"/>
    <w:rsid w:val="73E53C82"/>
    <w:rsid w:val="74FA4F6E"/>
    <w:rsid w:val="7514415C"/>
    <w:rsid w:val="759C4277"/>
    <w:rsid w:val="75A95BC1"/>
    <w:rsid w:val="76AE6010"/>
    <w:rsid w:val="76C92E49"/>
    <w:rsid w:val="77F79321"/>
    <w:rsid w:val="790B1F11"/>
    <w:rsid w:val="79627585"/>
    <w:rsid w:val="79EB37FE"/>
    <w:rsid w:val="7A1563A6"/>
    <w:rsid w:val="7A4D3D91"/>
    <w:rsid w:val="7A574C10"/>
    <w:rsid w:val="7AF0377E"/>
    <w:rsid w:val="7AF03879"/>
    <w:rsid w:val="7BD227A0"/>
    <w:rsid w:val="7BE6624C"/>
    <w:rsid w:val="7C012B7B"/>
    <w:rsid w:val="7C55517F"/>
    <w:rsid w:val="7CF706D0"/>
    <w:rsid w:val="7D16399B"/>
    <w:rsid w:val="7D3B1D11"/>
    <w:rsid w:val="7E8E4BE9"/>
    <w:rsid w:val="7F01514B"/>
    <w:rsid w:val="7F2F1CB8"/>
    <w:rsid w:val="7F7C4879"/>
    <w:rsid w:val="7FB23853"/>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numPr>
        <w:ilvl w:val="0"/>
        <w:numId w:val="1"/>
      </w:numPr>
      <w:spacing w:line="360" w:lineRule="auto"/>
      <w:outlineLvl w:val="0"/>
    </w:pPr>
    <w:rPr>
      <w:rFonts w:ascii="黑体" w:hAnsi="黑体" w:eastAsia="黑体" w:cs="黑体"/>
      <w:kern w:val="44"/>
      <w:szCs w:val="21"/>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annotation text"/>
    <w:basedOn w:val="1"/>
    <w:link w:val="23"/>
    <w:unhideWhenUsed/>
    <w:qFormat/>
    <w:uiPriority w:val="99"/>
  </w:style>
  <w:style w:type="paragraph" w:styleId="5">
    <w:name w:val="Body Text"/>
    <w:basedOn w:val="1"/>
    <w:next w:val="1"/>
    <w:qFormat/>
    <w:uiPriority w:val="0"/>
    <w:pPr>
      <w:spacing w:after="120"/>
    </w:pPr>
    <w:rPr>
      <w:rFonts w:ascii="Times New Roman" w:hAnsi="Times New Roman"/>
      <w:szCs w:val="20"/>
    </w:rPr>
  </w:style>
  <w:style w:type="paragraph" w:styleId="6">
    <w:name w:val="Body Text Indent"/>
    <w:basedOn w:val="1"/>
    <w:qFormat/>
    <w:uiPriority w:val="99"/>
    <w:pPr>
      <w:spacing w:after="120"/>
      <w:ind w:left="420" w:leftChars="200"/>
    </w:pPr>
    <w:rPr>
      <w:rFonts w:ascii="Times New Roman" w:hAnsi="Times New Roman" w:eastAsia="宋体" w:cs="Times New Roman"/>
    </w:rPr>
  </w:style>
  <w:style w:type="paragraph" w:styleId="7">
    <w:name w:val="footer"/>
    <w:basedOn w:val="1"/>
    <w:unhideWhenUsed/>
    <w:qFormat/>
    <w:uiPriority w:val="99"/>
    <w:pPr>
      <w:tabs>
        <w:tab w:val="center" w:pos="4153"/>
        <w:tab w:val="right" w:pos="8306"/>
      </w:tabs>
      <w:snapToGrid w:val="0"/>
    </w:pPr>
    <w:rPr>
      <w:sz w:val="18"/>
      <w:szCs w:val="18"/>
    </w:rPr>
  </w:style>
  <w:style w:type="paragraph" w:styleId="8">
    <w:name w:val="header"/>
    <w:basedOn w:val="1"/>
    <w:link w:val="22"/>
    <w:qFormat/>
    <w:uiPriority w:val="0"/>
    <w:pPr>
      <w:tabs>
        <w:tab w:val="center" w:pos="4153"/>
        <w:tab w:val="right" w:pos="8306"/>
      </w:tabs>
      <w:snapToGrid w:val="0"/>
      <w:jc w:val="center"/>
    </w:pPr>
    <w:rPr>
      <w:sz w:val="18"/>
      <w:szCs w:val="18"/>
    </w:rPr>
  </w:style>
  <w:style w:type="paragraph" w:styleId="9">
    <w:name w:val="annotation subject"/>
    <w:basedOn w:val="4"/>
    <w:next w:val="4"/>
    <w:link w:val="24"/>
    <w:qFormat/>
    <w:uiPriority w:val="0"/>
    <w:rPr>
      <w:b/>
      <w:bCs/>
    </w:rPr>
  </w:style>
  <w:style w:type="paragraph" w:styleId="10">
    <w:name w:val="Body Text First Indent"/>
    <w:basedOn w:val="5"/>
    <w:unhideWhenUsed/>
    <w:qFormat/>
    <w:uiPriority w:val="99"/>
    <w:pPr>
      <w:ind w:firstLine="420" w:firstLineChars="100"/>
    </w:pPr>
  </w:style>
  <w:style w:type="paragraph" w:styleId="11">
    <w:name w:val="Body Text First Indent 2"/>
    <w:basedOn w:val="6"/>
    <w:next w:val="10"/>
    <w:qFormat/>
    <w:uiPriority w:val="99"/>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FollowedHyperlink"/>
    <w:basedOn w:val="14"/>
    <w:qFormat/>
    <w:uiPriority w:val="0"/>
    <w:rPr>
      <w:color w:val="954F72" w:themeColor="followedHyperlink"/>
      <w:u w:val="single"/>
      <w14:textFill>
        <w14:solidFill>
          <w14:schemeClr w14:val="folHlink"/>
        </w14:solidFill>
      </w14:textFill>
    </w:rPr>
  </w:style>
  <w:style w:type="character" w:styleId="16">
    <w:name w:val="Hyperlink"/>
    <w:basedOn w:val="14"/>
    <w:qFormat/>
    <w:uiPriority w:val="0"/>
    <w:rPr>
      <w:color w:val="0000FF"/>
      <w:u w:val="single"/>
    </w:rPr>
  </w:style>
  <w:style w:type="character" w:styleId="17">
    <w:name w:val="annotation reference"/>
    <w:basedOn w:val="14"/>
    <w:unhideWhenUsed/>
    <w:qFormat/>
    <w:uiPriority w:val="99"/>
    <w:rPr>
      <w:sz w:val="21"/>
      <w:szCs w:val="21"/>
    </w:rPr>
  </w:style>
  <w:style w:type="paragraph" w:customStyle="1" w:styleId="18">
    <w:name w:val="null3"/>
    <w:hidden/>
    <w:qFormat/>
    <w:uiPriority w:val="0"/>
    <w:rPr>
      <w:rFonts w:hint="eastAsia" w:asciiTheme="minorHAnsi" w:hAnsiTheme="minorHAnsi" w:eastAsiaTheme="minorEastAsia" w:cstheme="minorBidi"/>
      <w:lang w:val="en-US" w:eastAsia="zh-Hans" w:bidi="ar-SA"/>
    </w:rPr>
  </w:style>
  <w:style w:type="paragraph" w:customStyle="1" w:styleId="19">
    <w:name w:val="段"/>
    <w:qFormat/>
    <w:uiPriority w:val="0"/>
    <w:pPr>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paragraph" w:styleId="20">
    <w:name w:val="List Paragraph"/>
    <w:basedOn w:val="1"/>
    <w:qFormat/>
    <w:uiPriority w:val="99"/>
    <w:pPr>
      <w:ind w:firstLine="420" w:firstLineChars="200"/>
    </w:pPr>
    <w:rPr>
      <w:rFonts w:ascii="Times New Roman" w:hAnsi="Times New Roman" w:eastAsia="宋体" w:cs="Times New Roman"/>
      <w:szCs w:val="20"/>
    </w:rPr>
  </w:style>
  <w:style w:type="paragraph" w:customStyle="1" w:styleId="21">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2">
    <w:name w:val="页眉 字符"/>
    <w:basedOn w:val="14"/>
    <w:link w:val="8"/>
    <w:qFormat/>
    <w:uiPriority w:val="0"/>
    <w:rPr>
      <w:rFonts w:asciiTheme="minorHAnsi" w:hAnsiTheme="minorHAnsi" w:eastAsiaTheme="minorEastAsia" w:cstheme="minorBidi"/>
      <w:kern w:val="2"/>
      <w:sz w:val="18"/>
      <w:szCs w:val="18"/>
    </w:rPr>
  </w:style>
  <w:style w:type="character" w:customStyle="1" w:styleId="23">
    <w:name w:val="批注文字 字符"/>
    <w:basedOn w:val="14"/>
    <w:link w:val="4"/>
    <w:qFormat/>
    <w:uiPriority w:val="99"/>
    <w:rPr>
      <w:rFonts w:asciiTheme="minorHAnsi" w:hAnsiTheme="minorHAnsi" w:eastAsiaTheme="minorEastAsia" w:cstheme="minorBidi"/>
      <w:kern w:val="2"/>
      <w:sz w:val="21"/>
      <w:szCs w:val="22"/>
    </w:rPr>
  </w:style>
  <w:style w:type="character" w:customStyle="1" w:styleId="24">
    <w:name w:val="批注主题 字符"/>
    <w:basedOn w:val="23"/>
    <w:link w:val="9"/>
    <w:qFormat/>
    <w:uiPriority w:val="0"/>
    <w:rPr>
      <w:rFonts w:asciiTheme="minorHAnsi" w:hAnsiTheme="minorHAnsi" w:eastAsiaTheme="minorEastAsia" w:cstheme="minorBidi"/>
      <w:b/>
      <w:bCs/>
      <w:kern w:val="2"/>
      <w:sz w:val="21"/>
      <w:szCs w:val="22"/>
    </w:rPr>
  </w:style>
  <w:style w:type="paragraph" w:customStyle="1" w:styleId="25">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6">
    <w:name w:val="修订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7">
    <w:name w:val="普通正文"/>
    <w:basedOn w:val="28"/>
    <w:qFormat/>
    <w:uiPriority w:val="99"/>
    <w:pPr>
      <w:ind w:firstLine="425"/>
    </w:pPr>
    <w:rPr>
      <w:kern w:val="21"/>
    </w:rPr>
  </w:style>
  <w:style w:type="paragraph" w:customStyle="1" w:styleId="28">
    <w:name w:val="正文1"/>
    <w:basedOn w:val="29"/>
    <w:qFormat/>
    <w:uiPriority w:val="0"/>
    <w:pPr>
      <w:adjustRightInd w:val="0"/>
      <w:spacing w:line="360" w:lineRule="atLeast"/>
      <w:textAlignment w:val="baseline"/>
    </w:pPr>
    <w:rPr>
      <w:rFonts w:hint="eastAsia" w:ascii="Times New Roman" w:hAnsi="Times New Roman" w:eastAsia="宋体" w:cs="Times New Roman"/>
    </w:rPr>
  </w:style>
  <w:style w:type="paragraph" w:customStyle="1" w:styleId="29">
    <w:name w:val="正文_1"/>
    <w:next w:val="11"/>
    <w:qFormat/>
    <w:uiPriority w:val="0"/>
    <w:pPr>
      <w:widowControl w:val="0"/>
      <w:jc w:val="both"/>
    </w:pPr>
    <w:rPr>
      <w:rFonts w:ascii="@楷体_GB2312" w:hAnsi="@楷体_GB2312" w:eastAsia="仿宋_GB2312" w:cs="华文琥珀"/>
      <w:kern w:val="2"/>
      <w:lang w:val="en-US" w:eastAsia="zh-CN" w:bidi="ar-SA"/>
    </w:rPr>
  </w:style>
  <w:style w:type="paragraph" w:customStyle="1" w:styleId="3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64</Pages>
  <Words>5059</Words>
  <Characters>5605</Characters>
  <Lines>440</Lines>
  <Paragraphs>124</Paragraphs>
  <TotalTime>168</TotalTime>
  <ScaleCrop>false</ScaleCrop>
  <LinksUpToDate>false</LinksUpToDate>
  <CharactersWithSpaces>5667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2026-06-17T04:49:00Z</dcterms:created>
  <dc:creator>广东政府采购智慧云平台</dc:creator>
  <cp:lastModifiedBy>李静春</cp:lastModifiedBy>
  <dcterms:modified xsi:type="dcterms:W3CDTF">2026-07-06T02:48:31Z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896FA8B386F8403C8258E7D0AD70079C_13</vt:lpwstr>
  </property>
  <property fmtid="{D5CDD505-2E9C-101B-9397-08002B2CF9AE}" pid="4" name="KSOTemplateDocerSaveRecord">
    <vt:lpwstr>eyJoZGlkIjoiMzU0ZTJlNjY2ZjU1OTRiMGVlYzMwZmViNWU4MWMxNDAiLCJ1c2VySWQiOiIxNjg4NDkzMTM5In0=</vt:lpwstr>
  </property>
</Properties>
</file>