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47EF4">
      <w:pPr>
        <w:jc w:val="both"/>
        <w:rPr>
          <w:rFonts w:hint="eastAsia" w:asciiTheme="majorEastAsia" w:hAnsiTheme="majorEastAsia" w:eastAsiaTheme="majorEastAsia"/>
          <w:b/>
          <w:bCs/>
          <w:color w:val="auto"/>
          <w:sz w:val="36"/>
          <w:szCs w:val="44"/>
          <w:highlight w:val="none"/>
          <w:lang w:eastAsia="zh-CN"/>
        </w:rPr>
      </w:pPr>
    </w:p>
    <w:p w14:paraId="0AC62BAF">
      <w:pPr>
        <w:pStyle w:val="27"/>
        <w:spacing w:line="360" w:lineRule="auto"/>
        <w:jc w:val="center"/>
        <w:rPr>
          <w:rFonts w:asciiTheme="majorEastAsia" w:hAnsiTheme="majorEastAsia" w:eastAsiaTheme="majorEastAsia"/>
          <w:b/>
          <w:bCs/>
          <w:color w:val="auto"/>
          <w:sz w:val="60"/>
          <w:szCs w:val="72"/>
          <w:highlight w:val="none"/>
        </w:rPr>
      </w:pPr>
      <w:r>
        <w:rPr>
          <w:rFonts w:hint="eastAsia" w:asciiTheme="majorEastAsia" w:hAnsiTheme="majorEastAsia" w:eastAsiaTheme="majorEastAsia"/>
          <w:b/>
          <w:bCs/>
          <w:color w:val="auto"/>
          <w:sz w:val="44"/>
          <w:szCs w:val="44"/>
          <w:highlight w:val="none"/>
          <w:lang w:eastAsia="zh-CN"/>
        </w:rPr>
        <w:drawing>
          <wp:anchor distT="0" distB="0" distL="114300" distR="114300" simplePos="0" relativeHeight="251659264" behindDoc="0" locked="0" layoutInCell="1" allowOverlap="1">
            <wp:simplePos x="0" y="0"/>
            <wp:positionH relativeFrom="column">
              <wp:posOffset>-570865</wp:posOffset>
            </wp:positionH>
            <wp:positionV relativeFrom="paragraph">
              <wp:posOffset>-532765</wp:posOffset>
            </wp:positionV>
            <wp:extent cx="6914515" cy="9777730"/>
            <wp:effectExtent l="0" t="0" r="635" b="13970"/>
            <wp:wrapNone/>
            <wp:docPr id="1" name="图片 1"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_01"/>
                    <pic:cNvPicPr>
                      <a:picLocks noChangeAspect="1"/>
                    </pic:cNvPicPr>
                  </pic:nvPicPr>
                  <pic:blipFill>
                    <a:blip r:embed="rId11"/>
                    <a:stretch>
                      <a:fillRect/>
                    </a:stretch>
                  </pic:blipFill>
                  <pic:spPr>
                    <a:xfrm>
                      <a:off x="0" y="0"/>
                      <a:ext cx="6914515" cy="9777730"/>
                    </a:xfrm>
                    <a:prstGeom prst="rect">
                      <a:avLst/>
                    </a:prstGeom>
                  </pic:spPr>
                </pic:pic>
              </a:graphicData>
            </a:graphic>
          </wp:anchor>
        </w:drawing>
      </w:r>
      <w:r>
        <w:rPr>
          <w:rFonts w:hint="eastAsia" w:asciiTheme="majorEastAsia" w:hAnsiTheme="majorEastAsia" w:eastAsiaTheme="majorEastAsia"/>
          <w:b/>
          <w:bCs/>
          <w:color w:val="auto"/>
          <w:sz w:val="44"/>
          <w:szCs w:val="44"/>
          <w:highlight w:val="none"/>
          <w:lang w:eastAsia="zh-CN"/>
        </w:rPr>
        <w:t>碧寨乡水库垭口至庙房垭口农村公路建设项目</w:t>
      </w:r>
    </w:p>
    <w:p w14:paraId="7CDC98DC">
      <w:pPr>
        <w:pStyle w:val="27"/>
        <w:spacing w:line="360" w:lineRule="auto"/>
        <w:jc w:val="center"/>
        <w:rPr>
          <w:rFonts w:hint="eastAsia" w:asciiTheme="majorEastAsia" w:hAnsiTheme="majorEastAsia" w:eastAsiaTheme="majorEastAsia"/>
          <w:b/>
          <w:bCs/>
          <w:color w:val="auto"/>
          <w:sz w:val="56"/>
          <w:szCs w:val="72"/>
          <w:highlight w:val="none"/>
        </w:rPr>
      </w:pPr>
    </w:p>
    <w:p w14:paraId="46EF4B56">
      <w:pPr>
        <w:pStyle w:val="27"/>
        <w:spacing w:line="360" w:lineRule="auto"/>
        <w:jc w:val="center"/>
        <w:rPr>
          <w:rFonts w:hint="eastAsia" w:asciiTheme="majorEastAsia" w:hAnsiTheme="majorEastAsia" w:eastAsiaTheme="majorEastAsia"/>
          <w:b/>
          <w:bCs/>
          <w:color w:val="auto"/>
          <w:sz w:val="56"/>
          <w:szCs w:val="72"/>
          <w:highlight w:val="none"/>
        </w:rPr>
      </w:pPr>
    </w:p>
    <w:p w14:paraId="56230EE1">
      <w:pPr>
        <w:pStyle w:val="27"/>
        <w:spacing w:line="360" w:lineRule="auto"/>
        <w:jc w:val="center"/>
        <w:rPr>
          <w:rFonts w:hint="eastAsia" w:asciiTheme="majorEastAsia" w:hAnsiTheme="majorEastAsia" w:eastAsiaTheme="majorEastAsia"/>
          <w:b/>
          <w:bCs/>
          <w:color w:val="auto"/>
          <w:sz w:val="56"/>
          <w:szCs w:val="72"/>
          <w:highlight w:val="none"/>
        </w:rPr>
      </w:pPr>
      <w:bookmarkStart w:id="343" w:name="_GoBack"/>
      <w:bookmarkEnd w:id="343"/>
    </w:p>
    <w:p w14:paraId="2D413C2F">
      <w:pPr>
        <w:pStyle w:val="27"/>
        <w:spacing w:line="360" w:lineRule="auto"/>
        <w:jc w:val="center"/>
        <w:rPr>
          <w:rFonts w:asciiTheme="majorEastAsia" w:hAnsiTheme="majorEastAsia" w:eastAsiaTheme="majorEastAsia"/>
          <w:b/>
          <w:bCs/>
          <w:color w:val="auto"/>
          <w:sz w:val="56"/>
          <w:szCs w:val="72"/>
          <w:highlight w:val="none"/>
        </w:rPr>
      </w:pPr>
      <w:r>
        <w:rPr>
          <w:rFonts w:hint="eastAsia" w:asciiTheme="majorEastAsia" w:hAnsiTheme="majorEastAsia" w:eastAsiaTheme="majorEastAsia"/>
          <w:b/>
          <w:bCs/>
          <w:color w:val="auto"/>
          <w:sz w:val="56"/>
          <w:szCs w:val="72"/>
          <w:highlight w:val="none"/>
        </w:rPr>
        <w:t>竞争性磋商文件</w:t>
      </w:r>
    </w:p>
    <w:p w14:paraId="196A114D">
      <w:pPr>
        <w:pStyle w:val="27"/>
        <w:spacing w:line="360" w:lineRule="auto"/>
        <w:rPr>
          <w:rFonts w:asciiTheme="majorEastAsia" w:hAnsiTheme="majorEastAsia" w:eastAsiaTheme="majorEastAsia"/>
          <w:color w:val="auto"/>
          <w:highlight w:val="none"/>
        </w:rPr>
      </w:pPr>
    </w:p>
    <w:p w14:paraId="7F17774E">
      <w:pPr>
        <w:pStyle w:val="27"/>
        <w:spacing w:line="360" w:lineRule="auto"/>
        <w:jc w:val="center"/>
        <w:rPr>
          <w:rFonts w:hint="eastAsia" w:asciiTheme="majorEastAsia" w:hAnsiTheme="majorEastAsia" w:eastAsiaTheme="majorEastAsia"/>
          <w:b/>
          <w:bCs/>
          <w:color w:val="auto"/>
          <w:sz w:val="32"/>
          <w:szCs w:val="32"/>
          <w:highlight w:val="none"/>
          <w:u w:val="single"/>
          <w:lang w:eastAsia="zh-CN"/>
        </w:rPr>
      </w:pPr>
      <w:r>
        <w:rPr>
          <w:rFonts w:hint="eastAsia" w:asciiTheme="majorEastAsia" w:hAnsiTheme="majorEastAsia" w:eastAsiaTheme="majorEastAsia"/>
          <w:b/>
          <w:bCs/>
          <w:color w:val="auto"/>
          <w:sz w:val="32"/>
          <w:szCs w:val="32"/>
          <w:highlight w:val="none"/>
        </w:rPr>
        <w:t>采购编号：</w:t>
      </w:r>
      <w:r>
        <w:rPr>
          <w:rFonts w:hint="eastAsia" w:asciiTheme="majorEastAsia" w:hAnsiTheme="majorEastAsia" w:eastAsiaTheme="majorEastAsia"/>
          <w:b/>
          <w:bCs/>
          <w:color w:val="auto"/>
          <w:sz w:val="32"/>
          <w:szCs w:val="32"/>
          <w:highlight w:val="none"/>
          <w:lang w:eastAsia="zh-CN"/>
        </w:rPr>
        <w:t>BSGCZB-2026LL-070C</w:t>
      </w:r>
    </w:p>
    <w:p w14:paraId="413BCC6F">
      <w:pPr>
        <w:pStyle w:val="27"/>
        <w:spacing w:line="360" w:lineRule="auto"/>
        <w:jc w:val="center"/>
        <w:rPr>
          <w:rFonts w:hint="eastAsia" w:asciiTheme="majorEastAsia" w:hAnsiTheme="majorEastAsia" w:eastAsiaTheme="majorEastAsia"/>
          <w:b/>
          <w:bCs/>
          <w:color w:val="auto"/>
          <w:sz w:val="32"/>
          <w:szCs w:val="32"/>
          <w:highlight w:val="none"/>
        </w:rPr>
      </w:pPr>
      <w:r>
        <w:rPr>
          <w:rFonts w:hint="eastAsia" w:asciiTheme="majorEastAsia" w:hAnsiTheme="majorEastAsia" w:eastAsiaTheme="majorEastAsia"/>
          <w:b/>
          <w:bCs/>
          <w:color w:val="auto"/>
          <w:sz w:val="32"/>
          <w:szCs w:val="32"/>
          <w:highlight w:val="none"/>
          <w:lang w:eastAsia="zh-CN"/>
        </w:rPr>
        <w:t>（政采云项目编号：BSZC2026-C2-00995-BSGC-0040）</w:t>
      </w:r>
    </w:p>
    <w:p w14:paraId="606ED35A">
      <w:pPr>
        <w:rPr>
          <w:rFonts w:asciiTheme="majorEastAsia" w:hAnsiTheme="majorEastAsia" w:eastAsiaTheme="majorEastAsia"/>
          <w:color w:val="auto"/>
          <w:highlight w:val="none"/>
        </w:rPr>
      </w:pPr>
    </w:p>
    <w:p w14:paraId="109AB558">
      <w:pPr>
        <w:rPr>
          <w:rFonts w:asciiTheme="majorEastAsia" w:hAnsiTheme="majorEastAsia" w:eastAsiaTheme="majorEastAsia"/>
          <w:color w:val="auto"/>
          <w:highlight w:val="none"/>
        </w:rPr>
      </w:pPr>
    </w:p>
    <w:p w14:paraId="7F74F705">
      <w:pPr>
        <w:rPr>
          <w:rFonts w:asciiTheme="majorEastAsia" w:hAnsiTheme="majorEastAsia" w:eastAsiaTheme="majorEastAsia"/>
          <w:color w:val="auto"/>
          <w:highlight w:val="none"/>
        </w:rPr>
      </w:pPr>
    </w:p>
    <w:p w14:paraId="38E19794">
      <w:pPr>
        <w:rPr>
          <w:rFonts w:asciiTheme="majorEastAsia" w:hAnsiTheme="majorEastAsia" w:eastAsiaTheme="majorEastAsia"/>
          <w:color w:val="auto"/>
          <w:highlight w:val="none"/>
        </w:rPr>
      </w:pPr>
    </w:p>
    <w:p w14:paraId="507A020D">
      <w:pPr>
        <w:rPr>
          <w:rFonts w:asciiTheme="majorEastAsia" w:hAnsiTheme="majorEastAsia" w:eastAsiaTheme="majorEastAsia"/>
          <w:color w:val="auto"/>
          <w:highlight w:val="none"/>
        </w:rPr>
      </w:pPr>
    </w:p>
    <w:p w14:paraId="64E4AE3D">
      <w:pPr>
        <w:rPr>
          <w:rFonts w:asciiTheme="majorEastAsia" w:hAnsiTheme="majorEastAsia" w:eastAsiaTheme="majorEastAsia"/>
          <w:color w:val="auto"/>
          <w:highlight w:val="none"/>
        </w:rPr>
      </w:pPr>
    </w:p>
    <w:p w14:paraId="448A5E87">
      <w:pPr>
        <w:rPr>
          <w:rFonts w:asciiTheme="majorEastAsia" w:hAnsiTheme="majorEastAsia" w:eastAsiaTheme="majorEastAsia"/>
          <w:color w:val="auto"/>
          <w:highlight w:val="none"/>
        </w:rPr>
      </w:pPr>
    </w:p>
    <w:p w14:paraId="0044EF1A">
      <w:pPr>
        <w:rPr>
          <w:rFonts w:asciiTheme="majorEastAsia" w:hAnsiTheme="majorEastAsia" w:eastAsiaTheme="majorEastAsia"/>
          <w:color w:val="auto"/>
          <w:highlight w:val="none"/>
        </w:rPr>
      </w:pPr>
    </w:p>
    <w:p w14:paraId="30C2FF62">
      <w:pPr>
        <w:pStyle w:val="27"/>
        <w:spacing w:line="360" w:lineRule="auto"/>
        <w:ind w:left="1260" w:leftChars="0" w:firstLine="420" w:firstLineChars="0"/>
        <w:jc w:val="both"/>
        <w:rPr>
          <w:rFonts w:hint="eastAsia" w:asciiTheme="majorEastAsia" w:hAnsiTheme="majorEastAsia" w:eastAsiaTheme="majorEastAsia"/>
          <w:b/>
          <w:bCs/>
          <w:color w:val="auto"/>
          <w:sz w:val="32"/>
          <w:szCs w:val="32"/>
          <w:highlight w:val="none"/>
          <w:lang w:eastAsia="zh-CN"/>
        </w:rPr>
      </w:pPr>
      <w:r>
        <w:rPr>
          <w:rFonts w:hint="eastAsia" w:asciiTheme="majorEastAsia" w:hAnsiTheme="majorEastAsia" w:eastAsiaTheme="majorEastAsia"/>
          <w:b/>
          <w:bCs/>
          <w:color w:val="auto"/>
          <w:sz w:val="32"/>
          <w:szCs w:val="32"/>
          <w:highlight w:val="none"/>
        </w:rPr>
        <w:t>采购人：</w:t>
      </w:r>
      <w:r>
        <w:rPr>
          <w:rFonts w:hint="eastAsia" w:asciiTheme="majorEastAsia" w:hAnsiTheme="majorEastAsia" w:eastAsiaTheme="majorEastAsia"/>
          <w:b/>
          <w:bCs/>
          <w:color w:val="auto"/>
          <w:sz w:val="32"/>
          <w:szCs w:val="32"/>
          <w:highlight w:val="none"/>
          <w:lang w:eastAsia="zh-CN"/>
        </w:rPr>
        <w:t>龙陵县交通运输局</w:t>
      </w:r>
    </w:p>
    <w:p w14:paraId="46D6585E">
      <w:pPr>
        <w:pStyle w:val="27"/>
        <w:spacing w:line="360" w:lineRule="auto"/>
        <w:ind w:left="1260" w:leftChars="0" w:firstLine="420" w:firstLineChars="0"/>
        <w:jc w:val="both"/>
        <w:rPr>
          <w:rFonts w:hint="eastAsia" w:asciiTheme="majorEastAsia" w:hAnsiTheme="majorEastAsia" w:eastAsiaTheme="majorEastAsia"/>
          <w:b/>
          <w:bCs/>
          <w:color w:val="auto"/>
          <w:sz w:val="32"/>
          <w:szCs w:val="32"/>
          <w:highlight w:val="none"/>
          <w:lang w:eastAsia="zh-CN"/>
        </w:rPr>
      </w:pPr>
      <w:r>
        <w:rPr>
          <w:rFonts w:hint="eastAsia" w:asciiTheme="majorEastAsia" w:hAnsiTheme="majorEastAsia" w:eastAsiaTheme="majorEastAsia"/>
          <w:b/>
          <w:bCs/>
          <w:color w:val="auto"/>
          <w:sz w:val="32"/>
          <w:szCs w:val="32"/>
          <w:highlight w:val="none"/>
        </w:rPr>
        <w:t>采购代理机构：</w:t>
      </w:r>
      <w:r>
        <w:rPr>
          <w:rFonts w:hint="eastAsia" w:asciiTheme="majorEastAsia" w:hAnsiTheme="majorEastAsia" w:eastAsiaTheme="majorEastAsia"/>
          <w:b/>
          <w:bCs/>
          <w:color w:val="auto"/>
          <w:sz w:val="32"/>
          <w:szCs w:val="32"/>
          <w:highlight w:val="none"/>
          <w:lang w:eastAsia="zh-CN"/>
        </w:rPr>
        <w:t>保山广驰招标代理有限公司</w:t>
      </w:r>
    </w:p>
    <w:p w14:paraId="0E747C6D">
      <w:pPr>
        <w:pStyle w:val="27"/>
        <w:spacing w:line="360" w:lineRule="auto"/>
        <w:ind w:firstLine="1606" w:firstLineChars="500"/>
        <w:jc w:val="both"/>
        <w:rPr>
          <w:rFonts w:asciiTheme="majorEastAsia" w:hAnsiTheme="majorEastAsia" w:eastAsiaTheme="majorEastAsia"/>
          <w:b/>
          <w:color w:val="auto"/>
          <w:sz w:val="24"/>
          <w:highlight w:val="none"/>
        </w:rPr>
        <w:sectPr>
          <w:headerReference r:id="rId3" w:type="default"/>
          <w:footerReference r:id="rId4" w:type="default"/>
          <w:pgSz w:w="11906" w:h="16838"/>
          <w:pgMar w:top="935" w:right="1052" w:bottom="935" w:left="1407" w:header="567" w:footer="567" w:gutter="0"/>
          <w:pgNumType w:fmt="decimal" w:start="1"/>
          <w:cols w:space="720" w:num="1"/>
          <w:docGrid w:type="lines" w:linePitch="312" w:charSpace="200"/>
        </w:sectPr>
      </w:pPr>
      <w:r>
        <w:rPr>
          <w:rFonts w:hint="eastAsia" w:asciiTheme="majorEastAsia" w:hAnsiTheme="majorEastAsia" w:eastAsiaTheme="majorEastAsia"/>
          <w:b/>
          <w:bCs/>
          <w:color w:val="auto"/>
          <w:sz w:val="32"/>
          <w:szCs w:val="32"/>
          <w:highlight w:val="none"/>
          <w:lang w:val="en-US" w:eastAsia="zh-CN"/>
        </w:rPr>
        <w:t>日期：2026年08月</w:t>
      </w:r>
    </w:p>
    <w:p w14:paraId="08B421A8">
      <w:pPr>
        <w:rPr>
          <w:color w:val="auto"/>
          <w:highlight w:val="none"/>
        </w:rPr>
      </w:pPr>
    </w:p>
    <w:p w14:paraId="475038A2">
      <w:pPr>
        <w:pStyle w:val="21"/>
        <w:spacing w:line="360" w:lineRule="auto"/>
        <w:ind w:firstLine="0" w:firstLineChars="0"/>
        <w:jc w:val="center"/>
        <w:rPr>
          <w:b/>
          <w:bCs/>
          <w:color w:val="auto"/>
          <w:sz w:val="44"/>
          <w:szCs w:val="44"/>
          <w:highlight w:val="none"/>
        </w:rPr>
      </w:pPr>
      <w:r>
        <w:rPr>
          <w:rFonts w:hint="eastAsia"/>
          <w:b/>
          <w:bCs/>
          <w:color w:val="auto"/>
          <w:sz w:val="44"/>
          <w:szCs w:val="44"/>
          <w:highlight w:val="none"/>
        </w:rPr>
        <w:t>目</w:t>
      </w:r>
      <w:r>
        <w:rPr>
          <w:b/>
          <w:bCs/>
          <w:color w:val="auto"/>
          <w:sz w:val="44"/>
          <w:szCs w:val="44"/>
          <w:highlight w:val="none"/>
        </w:rPr>
        <w:t xml:space="preserve"> </w:t>
      </w:r>
      <w:r>
        <w:rPr>
          <w:rFonts w:hint="eastAsia"/>
          <w:b/>
          <w:bCs/>
          <w:color w:val="auto"/>
          <w:sz w:val="44"/>
          <w:szCs w:val="44"/>
          <w:highlight w:val="none"/>
        </w:rPr>
        <w:t>录</w:t>
      </w:r>
    </w:p>
    <w:p w14:paraId="4474C8DE">
      <w:pPr>
        <w:pStyle w:val="35"/>
        <w:tabs>
          <w:tab w:val="right" w:leader="dot" w:pos="9450"/>
          <w:tab w:val="clear" w:pos="9628"/>
        </w:tabs>
        <w:rPr>
          <w:color w:val="auto"/>
          <w:sz w:val="21"/>
          <w:szCs w:val="21"/>
          <w:highlight w:val="none"/>
        </w:rPr>
      </w:pPr>
      <w:r>
        <w:rPr>
          <w:color w:val="auto"/>
          <w:highlight w:val="none"/>
        </w:rPr>
        <w:fldChar w:fldCharType="begin"/>
      </w:r>
      <w:r>
        <w:rPr>
          <w:color w:val="auto"/>
          <w:highlight w:val="none"/>
        </w:rPr>
        <w:instrText xml:space="preserve"> TOC \o "1-3" \h \z </w:instrText>
      </w:r>
      <w:r>
        <w:rPr>
          <w:color w:val="auto"/>
          <w:highlight w:val="none"/>
        </w:rPr>
        <w:fldChar w:fldCharType="separate"/>
      </w:r>
      <w:r>
        <w:rPr>
          <w:color w:val="auto"/>
          <w:highlight w:val="none"/>
        </w:rPr>
        <w:fldChar w:fldCharType="begin"/>
      </w:r>
      <w:r>
        <w:rPr>
          <w:color w:val="auto"/>
          <w:highlight w:val="none"/>
        </w:rPr>
        <w:instrText xml:space="preserve"> HYPERLINK \l "_Toc383175464" </w:instrText>
      </w:r>
      <w:r>
        <w:rPr>
          <w:color w:val="auto"/>
          <w:highlight w:val="none"/>
        </w:rPr>
        <w:fldChar w:fldCharType="separate"/>
      </w:r>
      <w:r>
        <w:rPr>
          <w:rStyle w:val="61"/>
          <w:rFonts w:hint="eastAsia"/>
          <w:color w:val="auto"/>
          <w:sz w:val="21"/>
          <w:szCs w:val="21"/>
          <w:highlight w:val="none"/>
        </w:rPr>
        <w:t>第一章</w:t>
      </w:r>
      <w:r>
        <w:rPr>
          <w:rStyle w:val="61"/>
          <w:color w:val="auto"/>
          <w:sz w:val="21"/>
          <w:szCs w:val="21"/>
          <w:highlight w:val="none"/>
        </w:rPr>
        <w:t xml:space="preserve">  </w:t>
      </w:r>
      <w:r>
        <w:rPr>
          <w:rStyle w:val="61"/>
          <w:rFonts w:hint="eastAsia"/>
          <w:color w:val="auto"/>
          <w:sz w:val="21"/>
          <w:szCs w:val="21"/>
          <w:highlight w:val="none"/>
        </w:rPr>
        <w:t>竞争性磋商公告</w:t>
      </w:r>
      <w:r>
        <w:rPr>
          <w:color w:val="auto"/>
          <w:sz w:val="21"/>
          <w:szCs w:val="21"/>
          <w:highlight w:val="none"/>
        </w:rPr>
        <w:tab/>
      </w:r>
      <w:r>
        <w:rPr>
          <w:rFonts w:hint="eastAsia"/>
          <w:color w:val="auto"/>
          <w:sz w:val="21"/>
          <w:szCs w:val="21"/>
          <w:highlight w:val="none"/>
          <w:lang w:val="en-US" w:eastAsia="zh-CN"/>
        </w:rPr>
        <w:t>1</w:t>
      </w:r>
      <w:r>
        <w:rPr>
          <w:color w:val="auto"/>
          <w:highlight w:val="none"/>
        </w:rPr>
        <w:fldChar w:fldCharType="end"/>
      </w:r>
    </w:p>
    <w:p w14:paraId="716E639E">
      <w:pPr>
        <w:pStyle w:val="35"/>
        <w:tabs>
          <w:tab w:val="right" w:leader="dot" w:pos="9450"/>
          <w:tab w:val="clear" w:pos="9628"/>
        </w:tabs>
        <w:rPr>
          <w:color w:val="auto"/>
          <w:sz w:val="21"/>
          <w:szCs w:val="21"/>
          <w:highlight w:val="none"/>
        </w:rPr>
      </w:pPr>
      <w:r>
        <w:rPr>
          <w:color w:val="auto"/>
          <w:highlight w:val="none"/>
        </w:rPr>
        <w:fldChar w:fldCharType="begin"/>
      </w:r>
      <w:r>
        <w:rPr>
          <w:color w:val="auto"/>
          <w:highlight w:val="none"/>
        </w:rPr>
        <w:instrText xml:space="preserve"> HYPERLINK \l "_Toc383175471" </w:instrText>
      </w:r>
      <w:r>
        <w:rPr>
          <w:color w:val="auto"/>
          <w:highlight w:val="none"/>
        </w:rPr>
        <w:fldChar w:fldCharType="separate"/>
      </w:r>
      <w:r>
        <w:rPr>
          <w:rStyle w:val="61"/>
          <w:rFonts w:hint="eastAsia"/>
          <w:color w:val="auto"/>
          <w:sz w:val="21"/>
          <w:szCs w:val="21"/>
          <w:highlight w:val="none"/>
        </w:rPr>
        <w:t>第二章</w:t>
      </w:r>
      <w:r>
        <w:rPr>
          <w:rStyle w:val="61"/>
          <w:color w:val="auto"/>
          <w:sz w:val="21"/>
          <w:szCs w:val="21"/>
          <w:highlight w:val="none"/>
        </w:rPr>
        <w:t xml:space="preserve">  </w:t>
      </w:r>
      <w:r>
        <w:rPr>
          <w:rStyle w:val="61"/>
          <w:rFonts w:hint="eastAsia"/>
          <w:color w:val="auto"/>
          <w:sz w:val="21"/>
          <w:szCs w:val="21"/>
          <w:highlight w:val="none"/>
        </w:rPr>
        <w:t>磋商申请人须知</w:t>
      </w:r>
      <w:r>
        <w:rPr>
          <w:color w:val="auto"/>
          <w:sz w:val="21"/>
          <w:szCs w:val="21"/>
          <w:highlight w:val="none"/>
        </w:rPr>
        <w:tab/>
      </w:r>
      <w:r>
        <w:rPr>
          <w:rFonts w:hint="eastAsia"/>
          <w:color w:val="auto"/>
          <w:sz w:val="21"/>
          <w:szCs w:val="21"/>
          <w:highlight w:val="none"/>
          <w:lang w:val="en-US" w:eastAsia="zh-CN"/>
        </w:rPr>
        <w:t>5</w:t>
      </w:r>
      <w:r>
        <w:rPr>
          <w:color w:val="auto"/>
          <w:highlight w:val="none"/>
        </w:rPr>
        <w:fldChar w:fldCharType="end"/>
      </w:r>
    </w:p>
    <w:p w14:paraId="73B5C227">
      <w:pPr>
        <w:pStyle w:val="41"/>
        <w:tabs>
          <w:tab w:val="right" w:leader="dot" w:pos="9450"/>
          <w:tab w:val="clear" w:pos="9515"/>
        </w:tabs>
        <w:spacing w:line="360" w:lineRule="auto"/>
        <w:ind w:right="210"/>
        <w:rPr>
          <w:b/>
          <w:color w:val="auto"/>
          <w:szCs w:val="21"/>
          <w:highlight w:val="none"/>
        </w:rPr>
      </w:pPr>
      <w:r>
        <w:rPr>
          <w:color w:val="auto"/>
          <w:highlight w:val="none"/>
        </w:rPr>
        <w:fldChar w:fldCharType="begin"/>
      </w:r>
      <w:r>
        <w:rPr>
          <w:color w:val="auto"/>
          <w:highlight w:val="none"/>
        </w:rPr>
        <w:instrText xml:space="preserve"> HYPERLINK \l "_Toc383175472" </w:instrText>
      </w:r>
      <w:r>
        <w:rPr>
          <w:color w:val="auto"/>
          <w:highlight w:val="none"/>
        </w:rPr>
        <w:fldChar w:fldCharType="separate"/>
      </w:r>
      <w:r>
        <w:rPr>
          <w:rStyle w:val="61"/>
          <w:rFonts w:hint="eastAsia"/>
          <w:b/>
          <w:color w:val="auto"/>
          <w:szCs w:val="21"/>
          <w:highlight w:val="none"/>
        </w:rPr>
        <w:t>磋商申请人须知前附表</w:t>
      </w:r>
      <w:r>
        <w:rPr>
          <w:b/>
          <w:color w:val="auto"/>
          <w:szCs w:val="21"/>
          <w:highlight w:val="none"/>
        </w:rPr>
        <w:tab/>
      </w:r>
      <w:r>
        <w:rPr>
          <w:rFonts w:hint="eastAsia"/>
          <w:b/>
          <w:color w:val="auto"/>
          <w:szCs w:val="21"/>
          <w:highlight w:val="none"/>
          <w:lang w:val="en-US" w:eastAsia="zh-CN"/>
        </w:rPr>
        <w:t>5</w:t>
      </w:r>
      <w:r>
        <w:rPr>
          <w:color w:val="auto"/>
          <w:highlight w:val="none"/>
        </w:rPr>
        <w:fldChar w:fldCharType="end"/>
      </w:r>
    </w:p>
    <w:p w14:paraId="55488584">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"_Toc383175473" </w:instrText>
      </w:r>
      <w:r>
        <w:rPr>
          <w:color w:val="auto"/>
          <w:highlight w:val="none"/>
        </w:rPr>
        <w:fldChar w:fldCharType="separate"/>
      </w:r>
      <w:r>
        <w:rPr>
          <w:rStyle w:val="61"/>
          <w:rFonts w:hint="eastAsia"/>
          <w:b/>
          <w:color w:val="auto"/>
          <w:szCs w:val="21"/>
          <w:highlight w:val="none"/>
        </w:rPr>
        <w:t>一、总</w:t>
      </w:r>
      <w:r>
        <w:rPr>
          <w:rStyle w:val="61"/>
          <w:b/>
          <w:color w:val="auto"/>
          <w:szCs w:val="21"/>
          <w:highlight w:val="none"/>
        </w:rPr>
        <w:t xml:space="preserve">  </w:t>
      </w:r>
      <w:r>
        <w:rPr>
          <w:rStyle w:val="61"/>
          <w:rFonts w:hint="eastAsia"/>
          <w:b/>
          <w:color w:val="auto"/>
          <w:szCs w:val="21"/>
          <w:highlight w:val="none"/>
        </w:rPr>
        <w:t>则</w:t>
      </w:r>
      <w:r>
        <w:rPr>
          <w:b/>
          <w:color w:val="auto"/>
          <w:szCs w:val="21"/>
          <w:highlight w:val="none"/>
        </w:rPr>
        <w:tab/>
      </w:r>
      <w:r>
        <w:rPr>
          <w:rFonts w:hint="eastAsia"/>
          <w:b/>
          <w:color w:val="auto"/>
          <w:szCs w:val="21"/>
          <w:highlight w:val="none"/>
          <w:lang w:val="en-US" w:eastAsia="zh-CN"/>
        </w:rPr>
        <w:t>1</w:t>
      </w:r>
      <w:r>
        <w:rPr>
          <w:color w:val="auto"/>
          <w:highlight w:val="none"/>
        </w:rPr>
        <w:fldChar w:fldCharType="end"/>
      </w:r>
      <w:r>
        <w:rPr>
          <w:rFonts w:hint="eastAsia"/>
          <w:color w:val="auto"/>
          <w:highlight w:val="none"/>
          <w:lang w:val="en-US" w:eastAsia="zh-CN"/>
        </w:rPr>
        <w:t>0</w:t>
      </w:r>
    </w:p>
    <w:p w14:paraId="70168527">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"_Toc383175479" </w:instrText>
      </w:r>
      <w:r>
        <w:rPr>
          <w:color w:val="auto"/>
          <w:highlight w:val="none"/>
        </w:rPr>
        <w:fldChar w:fldCharType="separate"/>
      </w:r>
      <w:r>
        <w:rPr>
          <w:rStyle w:val="61"/>
          <w:rFonts w:hint="eastAsia"/>
          <w:b/>
          <w:color w:val="auto"/>
          <w:szCs w:val="21"/>
          <w:highlight w:val="none"/>
        </w:rPr>
        <w:t>二、磋商文件</w:t>
      </w:r>
      <w:r>
        <w:rPr>
          <w:b/>
          <w:color w:val="auto"/>
          <w:szCs w:val="21"/>
          <w:highlight w:val="none"/>
        </w:rPr>
        <w:tab/>
      </w:r>
      <w:r>
        <w:rPr>
          <w:rFonts w:hint="eastAsia"/>
          <w:b/>
          <w:color w:val="auto"/>
          <w:szCs w:val="21"/>
          <w:highlight w:val="none"/>
          <w:lang w:val="en-US" w:eastAsia="zh-CN"/>
        </w:rPr>
        <w:t>1</w:t>
      </w:r>
      <w:r>
        <w:rPr>
          <w:color w:val="auto"/>
          <w:highlight w:val="none"/>
        </w:rPr>
        <w:fldChar w:fldCharType="end"/>
      </w:r>
      <w:r>
        <w:rPr>
          <w:rFonts w:hint="eastAsia"/>
          <w:color w:val="auto"/>
          <w:highlight w:val="none"/>
          <w:lang w:val="en-US" w:eastAsia="zh-CN"/>
        </w:rPr>
        <w:t>0</w:t>
      </w:r>
    </w:p>
    <w:p w14:paraId="475D5BCE">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"_Toc383175482" </w:instrText>
      </w:r>
      <w:r>
        <w:rPr>
          <w:color w:val="auto"/>
          <w:highlight w:val="none"/>
        </w:rPr>
        <w:fldChar w:fldCharType="separate"/>
      </w:r>
      <w:r>
        <w:rPr>
          <w:rStyle w:val="61"/>
          <w:rFonts w:hint="eastAsia" w:ascii="宋体" w:hAnsi="宋体"/>
          <w:b/>
          <w:color w:val="auto"/>
          <w:szCs w:val="21"/>
          <w:highlight w:val="none"/>
        </w:rPr>
        <w:t>三、响应文件</w:t>
      </w:r>
      <w:r>
        <w:rPr>
          <w:b/>
          <w:color w:val="auto"/>
          <w:szCs w:val="21"/>
          <w:highlight w:val="none"/>
        </w:rPr>
        <w:tab/>
      </w:r>
      <w:r>
        <w:rPr>
          <w:rFonts w:hint="eastAsia"/>
          <w:b/>
          <w:color w:val="auto"/>
          <w:szCs w:val="21"/>
          <w:highlight w:val="none"/>
          <w:lang w:val="en-US" w:eastAsia="zh-CN"/>
        </w:rPr>
        <w:t>1</w:t>
      </w:r>
      <w:r>
        <w:rPr>
          <w:color w:val="auto"/>
          <w:highlight w:val="none"/>
        </w:rPr>
        <w:fldChar w:fldCharType="end"/>
      </w:r>
      <w:r>
        <w:rPr>
          <w:rFonts w:hint="eastAsia" w:hAnsi="宋体" w:cs="Times New Roman"/>
          <w:b/>
          <w:color w:val="auto"/>
          <w:kern w:val="2"/>
          <w:sz w:val="21"/>
          <w:szCs w:val="21"/>
          <w:highlight w:val="none"/>
          <w:lang w:val="en-US" w:eastAsia="zh-CN" w:bidi="ar-SA"/>
        </w:rPr>
        <w:t>1</w:t>
      </w:r>
    </w:p>
    <w:p w14:paraId="7267A0D2">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"_Toc383175489" </w:instrText>
      </w:r>
      <w:r>
        <w:rPr>
          <w:color w:val="auto"/>
          <w:highlight w:val="none"/>
        </w:rPr>
        <w:fldChar w:fldCharType="separate"/>
      </w:r>
      <w:r>
        <w:rPr>
          <w:rStyle w:val="61"/>
          <w:rFonts w:hint="eastAsia"/>
          <w:b/>
          <w:color w:val="auto"/>
          <w:szCs w:val="21"/>
          <w:highlight w:val="none"/>
        </w:rPr>
        <w:t>四、响应文件的提交</w:t>
      </w:r>
      <w:r>
        <w:rPr>
          <w:b/>
          <w:color w:val="auto"/>
          <w:szCs w:val="21"/>
          <w:highlight w:val="none"/>
        </w:rPr>
        <w:tab/>
      </w:r>
      <w:r>
        <w:rPr>
          <w:rFonts w:hint="eastAsia" w:ascii="Times New Roman" w:hAnsi="宋体" w:eastAsia="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5</w:t>
      </w:r>
    </w:p>
    <w:p w14:paraId="2A8D8996">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"_Toc383175492" </w:instrText>
      </w:r>
      <w:r>
        <w:rPr>
          <w:color w:val="auto"/>
          <w:highlight w:val="none"/>
        </w:rPr>
        <w:fldChar w:fldCharType="separate"/>
      </w:r>
      <w:r>
        <w:rPr>
          <w:rStyle w:val="61"/>
          <w:rFonts w:hint="eastAsia"/>
          <w:b/>
          <w:color w:val="auto"/>
          <w:szCs w:val="21"/>
          <w:highlight w:val="none"/>
        </w:rPr>
        <w:t>五、磋商</w:t>
      </w:r>
      <w:r>
        <w:rPr>
          <w:b/>
          <w:color w:val="auto"/>
          <w:szCs w:val="21"/>
          <w:highlight w:val="none"/>
        </w:rPr>
        <w:tab/>
      </w:r>
      <w:r>
        <w:rPr>
          <w:rFonts w:hint="eastAsia" w:ascii="Times New Roman" w:hAnsi="宋体" w:eastAsia="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5</w:t>
      </w:r>
    </w:p>
    <w:p w14:paraId="74557142">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"_Toc383175496" </w:instrText>
      </w:r>
      <w:r>
        <w:rPr>
          <w:color w:val="auto"/>
          <w:highlight w:val="none"/>
        </w:rPr>
        <w:fldChar w:fldCharType="separate"/>
      </w:r>
      <w:r>
        <w:rPr>
          <w:rStyle w:val="61"/>
          <w:rFonts w:hint="eastAsia"/>
          <w:b/>
          <w:color w:val="auto"/>
          <w:szCs w:val="21"/>
          <w:highlight w:val="none"/>
        </w:rPr>
        <w:t>六、成交结果</w:t>
      </w:r>
      <w:r>
        <w:rPr>
          <w:b/>
          <w:color w:val="auto"/>
          <w:szCs w:val="21"/>
          <w:highlight w:val="none"/>
        </w:rPr>
        <w:tab/>
      </w:r>
      <w:r>
        <w:rPr>
          <w:rFonts w:hint="eastAsia" w:ascii="Times New Roman" w:hAnsi="宋体" w:eastAsia="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6</w:t>
      </w:r>
    </w:p>
    <w:p w14:paraId="6AA071AF">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"_Toc383175501" </w:instrText>
      </w:r>
      <w:r>
        <w:rPr>
          <w:color w:val="auto"/>
          <w:highlight w:val="none"/>
        </w:rPr>
        <w:fldChar w:fldCharType="separate"/>
      </w:r>
      <w:r>
        <w:rPr>
          <w:rStyle w:val="61"/>
          <w:rFonts w:hint="eastAsia"/>
          <w:b/>
          <w:color w:val="auto"/>
          <w:szCs w:val="21"/>
          <w:highlight w:val="none"/>
        </w:rPr>
        <w:t>七、其他事项</w:t>
      </w:r>
      <w:r>
        <w:rPr>
          <w:b/>
          <w:color w:val="auto"/>
          <w:szCs w:val="21"/>
          <w:highlight w:val="none"/>
        </w:rPr>
        <w:tab/>
      </w:r>
      <w:r>
        <w:rPr>
          <w:rFonts w:hint="eastAsia" w:hAnsi="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7</w:t>
      </w:r>
    </w:p>
    <w:p w14:paraId="70EC2334">
      <w:pPr>
        <w:pStyle w:val="35"/>
        <w:tabs>
          <w:tab w:val="right" w:leader="dot" w:pos="9450"/>
          <w:tab w:val="clear" w:pos="9628"/>
        </w:tabs>
        <w:rPr>
          <w:rFonts w:hint="eastAsia"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"_Toc383175506" </w:instrText>
      </w:r>
      <w:r>
        <w:rPr>
          <w:color w:val="auto"/>
          <w:highlight w:val="none"/>
        </w:rPr>
        <w:fldChar w:fldCharType="separate"/>
      </w:r>
      <w:r>
        <w:rPr>
          <w:rStyle w:val="61"/>
          <w:rFonts w:hint="eastAsia"/>
          <w:color w:val="auto"/>
          <w:sz w:val="21"/>
          <w:szCs w:val="21"/>
          <w:highlight w:val="none"/>
        </w:rPr>
        <w:t>第三章</w:t>
      </w:r>
      <w:r>
        <w:rPr>
          <w:rStyle w:val="61"/>
          <w:color w:val="auto"/>
          <w:sz w:val="21"/>
          <w:szCs w:val="21"/>
          <w:highlight w:val="none"/>
        </w:rPr>
        <w:t xml:space="preserve">  </w:t>
      </w:r>
      <w:r>
        <w:rPr>
          <w:rStyle w:val="61"/>
          <w:rFonts w:hint="eastAsia"/>
          <w:color w:val="auto"/>
          <w:sz w:val="21"/>
          <w:szCs w:val="21"/>
          <w:highlight w:val="none"/>
        </w:rPr>
        <w:t>合同书</w:t>
      </w:r>
      <w:bookmarkStart w:id="0" w:name="_Hlt390257557"/>
      <w:bookmarkStart w:id="1" w:name="_Hlt390257556"/>
      <w:r>
        <w:rPr>
          <w:rStyle w:val="61"/>
          <w:rFonts w:hint="eastAsia"/>
          <w:color w:val="auto"/>
          <w:sz w:val="21"/>
          <w:szCs w:val="21"/>
          <w:highlight w:val="none"/>
        </w:rPr>
        <w:t>样</w:t>
      </w:r>
      <w:bookmarkEnd w:id="0"/>
      <w:bookmarkEnd w:id="1"/>
      <w:r>
        <w:rPr>
          <w:rStyle w:val="61"/>
          <w:rFonts w:hint="eastAsia"/>
          <w:color w:val="auto"/>
          <w:sz w:val="21"/>
          <w:szCs w:val="21"/>
          <w:highlight w:val="none"/>
        </w:rPr>
        <w:t>式及主要条款</w:t>
      </w:r>
      <w:r>
        <w:rPr>
          <w:color w:val="auto"/>
          <w:sz w:val="21"/>
          <w:szCs w:val="21"/>
          <w:highlight w:val="none"/>
        </w:rPr>
        <w:tab/>
      </w:r>
      <w:r>
        <w:rPr>
          <w:rFonts w:hint="eastAsia"/>
          <w:color w:val="auto"/>
          <w:sz w:val="21"/>
          <w:szCs w:val="21"/>
          <w:highlight w:val="none"/>
          <w:lang w:val="en-US" w:eastAsia="zh-CN"/>
        </w:rPr>
        <w:t>1</w:t>
      </w:r>
      <w:r>
        <w:rPr>
          <w:color w:val="auto"/>
          <w:highlight w:val="none"/>
        </w:rPr>
        <w:fldChar w:fldCharType="end"/>
      </w:r>
      <w:r>
        <w:rPr>
          <w:rFonts w:hint="eastAsia"/>
          <w:color w:val="auto"/>
          <w:sz w:val="21"/>
          <w:szCs w:val="21"/>
          <w:highlight w:val="none"/>
          <w:lang w:val="en-US" w:eastAsia="zh-CN"/>
        </w:rPr>
        <w:t>9</w:t>
      </w:r>
    </w:p>
    <w:p w14:paraId="76B3B420">
      <w:pPr>
        <w:pStyle w:val="35"/>
        <w:tabs>
          <w:tab w:val="right" w:leader="dot" w:pos="9450"/>
          <w:tab w:val="clear" w:pos="9628"/>
        </w:tabs>
        <w:rPr>
          <w:rFonts w:hint="eastAsia"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"_Toc383175507" </w:instrText>
      </w:r>
      <w:r>
        <w:rPr>
          <w:color w:val="auto"/>
          <w:highlight w:val="none"/>
        </w:rPr>
        <w:fldChar w:fldCharType="separate"/>
      </w:r>
      <w:r>
        <w:rPr>
          <w:rStyle w:val="61"/>
          <w:rFonts w:hint="eastAsia"/>
          <w:color w:val="auto"/>
          <w:sz w:val="21"/>
          <w:szCs w:val="21"/>
          <w:highlight w:val="none"/>
        </w:rPr>
        <w:t>第四章</w:t>
      </w:r>
      <w:r>
        <w:rPr>
          <w:rStyle w:val="61"/>
          <w:color w:val="auto"/>
          <w:sz w:val="21"/>
          <w:szCs w:val="21"/>
          <w:highlight w:val="none"/>
        </w:rPr>
        <w:t xml:space="preserve">  </w:t>
      </w:r>
      <w:r>
        <w:rPr>
          <w:rStyle w:val="61"/>
          <w:rFonts w:hint="eastAsia"/>
          <w:color w:val="auto"/>
          <w:sz w:val="21"/>
          <w:szCs w:val="21"/>
          <w:highlight w:val="none"/>
        </w:rPr>
        <w:t>响应文件格式</w:t>
      </w:r>
      <w:r>
        <w:rPr>
          <w:color w:val="auto"/>
          <w:sz w:val="21"/>
          <w:szCs w:val="21"/>
          <w:highlight w:val="none"/>
        </w:rPr>
        <w:tab/>
      </w:r>
      <w:r>
        <w:rPr>
          <w:rFonts w:hint="eastAsia"/>
          <w:color w:val="auto"/>
          <w:sz w:val="21"/>
          <w:szCs w:val="21"/>
          <w:highlight w:val="none"/>
          <w:lang w:val="en-US" w:eastAsia="zh-CN"/>
        </w:rPr>
        <w:t>4</w:t>
      </w:r>
      <w:r>
        <w:rPr>
          <w:color w:val="auto"/>
          <w:highlight w:val="none"/>
        </w:rPr>
        <w:fldChar w:fldCharType="end"/>
      </w:r>
      <w:r>
        <w:rPr>
          <w:rFonts w:hint="eastAsia"/>
          <w:color w:val="auto"/>
          <w:sz w:val="21"/>
          <w:szCs w:val="21"/>
          <w:highlight w:val="none"/>
          <w:lang w:val="en-US" w:eastAsia="zh-CN"/>
        </w:rPr>
        <w:t>7</w:t>
      </w:r>
    </w:p>
    <w:p w14:paraId="0682EFCD">
      <w:pPr>
        <w:pStyle w:val="35"/>
        <w:tabs>
          <w:tab w:val="right" w:leader="dot" w:pos="9450"/>
          <w:tab w:val="clear" w:pos="9628"/>
        </w:tabs>
        <w:rPr>
          <w:rFonts w:hint="eastAsia"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"_Toc383175528" </w:instrText>
      </w:r>
      <w:r>
        <w:rPr>
          <w:color w:val="auto"/>
          <w:highlight w:val="none"/>
        </w:rPr>
        <w:fldChar w:fldCharType="separate"/>
      </w:r>
      <w:r>
        <w:rPr>
          <w:rStyle w:val="61"/>
          <w:rFonts w:hint="eastAsia"/>
          <w:color w:val="auto"/>
          <w:sz w:val="21"/>
          <w:szCs w:val="21"/>
          <w:highlight w:val="none"/>
        </w:rPr>
        <w:t>第五章</w:t>
      </w:r>
      <w:r>
        <w:rPr>
          <w:rStyle w:val="61"/>
          <w:color w:val="auto"/>
          <w:sz w:val="21"/>
          <w:szCs w:val="21"/>
          <w:highlight w:val="none"/>
        </w:rPr>
        <w:t xml:space="preserve">  </w:t>
      </w:r>
      <w:r>
        <w:rPr>
          <w:rStyle w:val="61"/>
          <w:rFonts w:hint="eastAsia"/>
          <w:color w:val="auto"/>
          <w:sz w:val="21"/>
          <w:szCs w:val="21"/>
          <w:highlight w:val="none"/>
        </w:rPr>
        <w:t>项目需求</w:t>
      </w:r>
      <w:r>
        <w:rPr>
          <w:color w:val="auto"/>
          <w:sz w:val="21"/>
          <w:szCs w:val="21"/>
          <w:highlight w:val="none"/>
        </w:rPr>
        <w:tab/>
      </w:r>
      <w:r>
        <w:rPr>
          <w:rFonts w:hint="eastAsia"/>
          <w:color w:val="auto"/>
          <w:sz w:val="21"/>
          <w:szCs w:val="21"/>
          <w:highlight w:val="none"/>
          <w:lang w:val="en-US" w:eastAsia="zh-CN"/>
        </w:rPr>
        <w:t>8</w:t>
      </w:r>
      <w:r>
        <w:rPr>
          <w:color w:val="auto"/>
          <w:highlight w:val="none"/>
        </w:rPr>
        <w:fldChar w:fldCharType="end"/>
      </w:r>
      <w:r>
        <w:rPr>
          <w:rFonts w:hint="eastAsia"/>
          <w:color w:val="auto"/>
          <w:sz w:val="21"/>
          <w:szCs w:val="21"/>
          <w:highlight w:val="none"/>
          <w:lang w:val="en-US" w:eastAsia="zh-CN"/>
        </w:rPr>
        <w:t>4</w:t>
      </w:r>
    </w:p>
    <w:p w14:paraId="5C753831">
      <w:pPr>
        <w:pStyle w:val="35"/>
        <w:tabs>
          <w:tab w:val="right" w:leader="dot" w:pos="9450"/>
          <w:tab w:val="clear" w:pos="9628"/>
        </w:tabs>
        <w:rPr>
          <w:rFonts w:hint="default"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"_Toc383175529" </w:instrText>
      </w:r>
      <w:r>
        <w:rPr>
          <w:color w:val="auto"/>
          <w:highlight w:val="none"/>
        </w:rPr>
        <w:fldChar w:fldCharType="separate"/>
      </w:r>
      <w:r>
        <w:rPr>
          <w:rStyle w:val="61"/>
          <w:rFonts w:hint="eastAsia"/>
          <w:color w:val="auto"/>
          <w:sz w:val="21"/>
          <w:szCs w:val="21"/>
          <w:highlight w:val="none"/>
        </w:rPr>
        <w:t>第六章</w:t>
      </w:r>
      <w:r>
        <w:rPr>
          <w:rStyle w:val="61"/>
          <w:color w:val="auto"/>
          <w:sz w:val="21"/>
          <w:szCs w:val="21"/>
          <w:highlight w:val="none"/>
        </w:rPr>
        <w:t xml:space="preserve">  </w:t>
      </w:r>
      <w:r>
        <w:rPr>
          <w:rStyle w:val="61"/>
          <w:rFonts w:hint="eastAsia"/>
          <w:color w:val="auto"/>
          <w:sz w:val="21"/>
          <w:szCs w:val="21"/>
          <w:highlight w:val="none"/>
        </w:rPr>
        <w:t>磋商程</w:t>
      </w:r>
      <w:bookmarkStart w:id="2" w:name="_Hlt418244007"/>
      <w:bookmarkStart w:id="3" w:name="_Hlt418244006"/>
      <w:r>
        <w:rPr>
          <w:rStyle w:val="61"/>
          <w:rFonts w:hint="eastAsia"/>
          <w:color w:val="auto"/>
          <w:sz w:val="21"/>
          <w:szCs w:val="21"/>
          <w:highlight w:val="none"/>
        </w:rPr>
        <w:t>序</w:t>
      </w:r>
      <w:bookmarkEnd w:id="2"/>
      <w:bookmarkEnd w:id="3"/>
      <w:r>
        <w:rPr>
          <w:rStyle w:val="61"/>
          <w:rFonts w:hint="eastAsia"/>
          <w:color w:val="auto"/>
          <w:sz w:val="21"/>
          <w:szCs w:val="21"/>
          <w:highlight w:val="none"/>
        </w:rPr>
        <w:t>和方法</w:t>
      </w:r>
      <w:bookmarkStart w:id="4" w:name="_Hlt390980439"/>
      <w:r>
        <w:rPr>
          <w:color w:val="auto"/>
          <w:sz w:val="21"/>
          <w:szCs w:val="21"/>
          <w:highlight w:val="none"/>
        </w:rPr>
        <w:tab/>
      </w:r>
      <w:bookmarkEnd w:id="4"/>
      <w:r>
        <w:rPr>
          <w:rFonts w:hint="eastAsia"/>
          <w:color w:val="auto"/>
          <w:sz w:val="21"/>
          <w:szCs w:val="21"/>
          <w:highlight w:val="none"/>
          <w:lang w:val="en-US" w:eastAsia="zh-CN"/>
        </w:rPr>
        <w:t>8</w:t>
      </w:r>
      <w:r>
        <w:rPr>
          <w:color w:val="auto"/>
          <w:highlight w:val="none"/>
        </w:rPr>
        <w:fldChar w:fldCharType="end"/>
      </w:r>
      <w:r>
        <w:rPr>
          <w:rFonts w:hint="eastAsia"/>
          <w:color w:val="auto"/>
          <w:sz w:val="21"/>
          <w:szCs w:val="21"/>
          <w:highlight w:val="none"/>
          <w:lang w:val="en-US" w:eastAsia="zh-CN"/>
        </w:rPr>
        <w:t>6</w:t>
      </w:r>
    </w:p>
    <w:p w14:paraId="4489F9CE">
      <w:pPr>
        <w:pStyle w:val="41"/>
        <w:tabs>
          <w:tab w:val="right" w:leader="dot" w:pos="9450"/>
          <w:tab w:val="clear" w:pos="9515"/>
        </w:tabs>
        <w:spacing w:line="360" w:lineRule="auto"/>
        <w:ind w:left="0" w:leftChars="0" w:right="210" w:firstLine="0"/>
        <w:rPr>
          <w:b/>
          <w:color w:val="auto"/>
          <w:szCs w:val="21"/>
          <w:highlight w:val="none"/>
        </w:rPr>
      </w:pPr>
      <w:r>
        <w:rPr>
          <w:color w:val="auto"/>
          <w:highlight w:val="none"/>
        </w:rPr>
        <w:fldChar w:fldCharType="begin"/>
      </w:r>
      <w:r>
        <w:rPr>
          <w:color w:val="auto"/>
          <w:highlight w:val="none"/>
        </w:rPr>
        <w:instrText xml:space="preserve"> HYPERLINK \l "_Toc383175530" </w:instrText>
      </w:r>
      <w:r>
        <w:rPr>
          <w:color w:val="auto"/>
          <w:highlight w:val="none"/>
        </w:rPr>
        <w:fldChar w:fldCharType="separate"/>
      </w:r>
      <w:r>
        <w:rPr>
          <w:rStyle w:val="61"/>
          <w:rFonts w:hint="eastAsia"/>
          <w:b/>
          <w:color w:val="auto"/>
          <w:szCs w:val="21"/>
          <w:highlight w:val="none"/>
        </w:rPr>
        <w:t>磋商程序和方法前附表</w:t>
      </w:r>
      <w:r>
        <w:rPr>
          <w:b/>
          <w:color w:val="auto"/>
          <w:szCs w:val="21"/>
          <w:highlight w:val="none"/>
        </w:rPr>
        <w:tab/>
      </w:r>
      <w:r>
        <w:rPr>
          <w:rFonts w:hint="eastAsia"/>
          <w:b/>
          <w:color w:val="auto"/>
          <w:szCs w:val="21"/>
          <w:highlight w:val="none"/>
        </w:rPr>
        <w:t>...</w:t>
      </w:r>
      <w:r>
        <w:rPr>
          <w:b/>
          <w:color w:val="auto"/>
          <w:szCs w:val="21"/>
          <w:highlight w:val="none"/>
        </w:rPr>
        <w:fldChar w:fldCharType="begin"/>
      </w:r>
      <w:r>
        <w:rPr>
          <w:b/>
          <w:color w:val="auto"/>
          <w:szCs w:val="21"/>
          <w:highlight w:val="none"/>
        </w:rPr>
        <w:instrText xml:space="preserve"> PAGEREF _Toc383175530 \h </w:instrText>
      </w:r>
      <w:r>
        <w:rPr>
          <w:b/>
          <w:color w:val="auto"/>
          <w:szCs w:val="21"/>
          <w:highlight w:val="none"/>
        </w:rPr>
        <w:fldChar w:fldCharType="separate"/>
      </w:r>
      <w:r>
        <w:rPr>
          <w:b/>
          <w:color w:val="auto"/>
          <w:szCs w:val="21"/>
          <w:highlight w:val="none"/>
        </w:rPr>
        <w:t>8</w:t>
      </w:r>
      <w:r>
        <w:rPr>
          <w:rFonts w:hint="eastAsia"/>
          <w:b/>
          <w:color w:val="auto"/>
          <w:szCs w:val="21"/>
          <w:highlight w:val="none"/>
          <w:lang w:val="en-US" w:eastAsia="zh-CN"/>
        </w:rPr>
        <w:t>6</w:t>
      </w:r>
      <w:r>
        <w:rPr>
          <w:b/>
          <w:color w:val="auto"/>
          <w:szCs w:val="21"/>
          <w:highlight w:val="none"/>
        </w:rPr>
        <w:fldChar w:fldCharType="end"/>
      </w:r>
      <w:r>
        <w:rPr>
          <w:color w:val="auto"/>
          <w:highlight w:val="none"/>
        </w:rPr>
        <w:fldChar w:fldCharType="end"/>
      </w:r>
    </w:p>
    <w:p w14:paraId="5E5C2A90">
      <w:pPr>
        <w:pStyle w:val="26"/>
        <w:spacing w:line="360" w:lineRule="auto"/>
        <w:ind w:left="840"/>
        <w:rPr>
          <w:color w:val="auto"/>
          <w:sz w:val="24"/>
          <w:highlight w:val="none"/>
        </w:rPr>
      </w:pPr>
    </w:p>
    <w:p w14:paraId="3E32AE67">
      <w:pPr>
        <w:pStyle w:val="26"/>
        <w:tabs>
          <w:tab w:val="right" w:leader="dot" w:pos="9525"/>
          <w:tab w:val="clear" w:pos="9515"/>
        </w:tabs>
        <w:spacing w:line="360" w:lineRule="auto"/>
        <w:ind w:left="840"/>
        <w:rPr>
          <w:color w:val="auto"/>
          <w:highlight w:val="none"/>
        </w:rPr>
      </w:pPr>
      <w:r>
        <w:rPr>
          <w:color w:val="auto"/>
          <w:highlight w:val="none"/>
        </w:rPr>
        <w:fldChar w:fldCharType="end"/>
      </w:r>
    </w:p>
    <w:p w14:paraId="40FED1C2">
      <w:pPr>
        <w:widowControl/>
        <w:spacing w:line="440" w:lineRule="exact"/>
        <w:jc w:val="center"/>
        <w:rPr>
          <w:rFonts w:hint="eastAsia"/>
          <w:color w:val="auto"/>
          <w:highlight w:val="none"/>
          <w:lang w:val="en-US" w:eastAsia="zh-CN"/>
        </w:rPr>
        <w:sectPr>
          <w:headerReference r:id="rId5" w:type="default"/>
          <w:footerReference r:id="rId6" w:type="default"/>
          <w:pgSz w:w="11906" w:h="16838"/>
          <w:pgMar w:top="935" w:right="1052" w:bottom="935" w:left="1407" w:header="567" w:footer="567" w:gutter="0"/>
          <w:pgNumType w:fmt="decimal" w:start="1"/>
          <w:cols w:space="720" w:num="1"/>
          <w:docGrid w:type="lines" w:linePitch="312" w:charSpace="200"/>
        </w:sectPr>
      </w:pPr>
      <w:bookmarkStart w:id="5" w:name="_Toc383175464"/>
    </w:p>
    <w:p w14:paraId="39EE00E1">
      <w:pPr>
        <w:widowControl/>
        <w:spacing w:line="440" w:lineRule="exact"/>
        <w:jc w:val="center"/>
        <w:rPr>
          <w:rFonts w:hAnsi="宋体" w:cs="宋体"/>
          <w:b/>
          <w:bCs/>
          <w:color w:val="auto"/>
          <w:kern w:val="0"/>
          <w:sz w:val="28"/>
          <w:szCs w:val="28"/>
          <w:highlight w:val="none"/>
        </w:rPr>
      </w:pPr>
      <w:r>
        <w:rPr>
          <w:rFonts w:hint="eastAsia" w:hAnsi="宋体" w:cs="宋体"/>
          <w:b/>
          <w:bCs/>
          <w:color w:val="auto"/>
          <w:kern w:val="0"/>
          <w:sz w:val="28"/>
          <w:szCs w:val="28"/>
          <w:highlight w:val="none"/>
        </w:rPr>
        <w:t>第一章</w:t>
      </w:r>
      <w:r>
        <w:rPr>
          <w:rFonts w:hAnsi="宋体" w:cs="宋体"/>
          <w:b/>
          <w:bCs/>
          <w:color w:val="auto"/>
          <w:kern w:val="0"/>
          <w:sz w:val="28"/>
          <w:szCs w:val="28"/>
          <w:highlight w:val="none"/>
        </w:rPr>
        <w:t xml:space="preserve">  </w:t>
      </w:r>
      <w:bookmarkEnd w:id="5"/>
      <w:bookmarkStart w:id="6" w:name="_Toc383175471"/>
      <w:r>
        <w:rPr>
          <w:rFonts w:hint="eastAsia" w:hAnsi="宋体" w:cs="宋体"/>
          <w:b/>
          <w:bCs/>
          <w:color w:val="auto"/>
          <w:kern w:val="0"/>
          <w:sz w:val="28"/>
          <w:szCs w:val="28"/>
          <w:highlight w:val="none"/>
        </w:rPr>
        <w:t>竞争性磋商公告</w:t>
      </w:r>
    </w:p>
    <w:p w14:paraId="0C68D780">
      <w:pPr>
        <w:widowControl/>
        <w:spacing w:line="360" w:lineRule="auto"/>
        <w:jc w:val="center"/>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碧寨乡水库垭口至庙房垭口农村公路建设项目</w:t>
      </w:r>
    </w:p>
    <w:p w14:paraId="19B3CA28">
      <w:pPr>
        <w:widowControl/>
        <w:spacing w:line="360" w:lineRule="auto"/>
        <w:jc w:val="center"/>
        <w:rPr>
          <w:rFonts w:ascii="宋体" w:hAnsi="宋体"/>
          <w:b/>
          <w:bCs/>
          <w:color w:val="auto"/>
          <w:kern w:val="0"/>
          <w:sz w:val="32"/>
          <w:szCs w:val="32"/>
          <w:highlight w:val="none"/>
        </w:rPr>
      </w:pPr>
      <w:r>
        <w:rPr>
          <w:rFonts w:hint="eastAsia" w:ascii="宋体" w:hAnsi="宋体" w:cs="宋体"/>
          <w:b/>
          <w:bCs/>
          <w:color w:val="auto"/>
          <w:kern w:val="0"/>
          <w:sz w:val="32"/>
          <w:szCs w:val="32"/>
          <w:highlight w:val="none"/>
        </w:rPr>
        <w:t>竞争性磋商公告</w:t>
      </w:r>
    </w:p>
    <w:p w14:paraId="11BA01AA">
      <w:pPr>
        <w:pBdr>
          <w:top w:val="single" w:color="auto" w:sz="4" w:space="1"/>
          <w:left w:val="single" w:color="auto" w:sz="4" w:space="4"/>
          <w:bottom w:val="single" w:color="auto" w:sz="4" w:space="1"/>
          <w:right w:val="single" w:color="auto" w:sz="4" w:space="4"/>
        </w:pBdr>
        <w:spacing w:line="460" w:lineRule="exact"/>
        <w:ind w:firstLine="422" w:firstLineChars="200"/>
        <w:rPr>
          <w:rFonts w:ascii="宋体" w:hAnsi="宋体"/>
          <w:b/>
          <w:color w:val="auto"/>
          <w:szCs w:val="21"/>
          <w:highlight w:val="none"/>
        </w:rPr>
      </w:pPr>
      <w:r>
        <w:rPr>
          <w:rFonts w:hint="eastAsia" w:ascii="宋体" w:hAnsi="宋体"/>
          <w:b/>
          <w:color w:val="auto"/>
          <w:szCs w:val="21"/>
          <w:highlight w:val="none"/>
        </w:rPr>
        <w:t>项目概况</w:t>
      </w:r>
    </w:p>
    <w:p w14:paraId="5132347B">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hAnsi="宋体"/>
          <w:color w:val="auto"/>
          <w:szCs w:val="21"/>
          <w:highlight w:val="none"/>
        </w:rPr>
      </w:pPr>
      <w:r>
        <w:rPr>
          <w:rFonts w:hint="eastAsia" w:ascii="宋体" w:hAnsi="宋体"/>
          <w:color w:val="auto"/>
          <w:szCs w:val="21"/>
          <w:highlight w:val="none"/>
          <w:u w:val="single"/>
          <w:lang w:eastAsia="zh-CN"/>
        </w:rPr>
        <w:t>碧寨乡水库垭口至庙房垭口农村公路建设项目</w:t>
      </w:r>
      <w:r>
        <w:rPr>
          <w:rFonts w:hint="eastAsia" w:ascii="宋体" w:hAnsi="宋体"/>
          <w:color w:val="auto"/>
          <w:szCs w:val="21"/>
          <w:highlight w:val="none"/>
          <w:u w:val="single"/>
        </w:rPr>
        <w:t xml:space="preserve"> </w:t>
      </w:r>
      <w:r>
        <w:rPr>
          <w:rFonts w:hint="eastAsia" w:ascii="宋体" w:hAnsi="宋体"/>
          <w:color w:val="auto"/>
          <w:szCs w:val="21"/>
          <w:highlight w:val="none"/>
        </w:rPr>
        <w:t>采购项目的潜在磋商申请人应</w:t>
      </w:r>
      <w:r>
        <w:rPr>
          <w:rFonts w:hint="eastAsia" w:ascii="宋体" w:hAnsi="宋体"/>
          <w:color w:val="auto"/>
          <w:szCs w:val="21"/>
          <w:highlight w:val="none"/>
          <w:lang w:eastAsia="zh-CN"/>
        </w:rPr>
        <w:t>在</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lang w:eastAsia="zh-CN"/>
        </w:rPr>
        <w:t>云南省政府采购电子交易平台（政采云https://www.zcygov.cn/）</w:t>
      </w:r>
      <w:r>
        <w:rPr>
          <w:rFonts w:hint="eastAsia" w:ascii="宋体" w:hAnsi="宋体"/>
          <w:color w:val="auto"/>
          <w:szCs w:val="21"/>
          <w:highlight w:val="none"/>
        </w:rPr>
        <w:t>获取采购文件，并于</w:t>
      </w:r>
      <w:r>
        <w:rPr>
          <w:rFonts w:hint="eastAsia" w:ascii="宋体" w:hAnsi="宋体"/>
          <w:color w:val="auto"/>
          <w:szCs w:val="21"/>
          <w:highlight w:val="none"/>
          <w:u w:val="single"/>
          <w:lang w:eastAsia="zh-CN"/>
        </w:rPr>
        <w:t>2026年09月10日15时00分</w:t>
      </w:r>
      <w:r>
        <w:rPr>
          <w:rFonts w:hint="eastAsia" w:ascii="宋体" w:hAnsi="宋体"/>
          <w:bCs/>
          <w:color w:val="auto"/>
          <w:szCs w:val="21"/>
          <w:highlight w:val="none"/>
        </w:rPr>
        <w:t>（北京时间）前提交响应</w:t>
      </w:r>
      <w:r>
        <w:rPr>
          <w:rFonts w:ascii="宋体" w:hAnsi="宋体"/>
          <w:bCs/>
          <w:color w:val="auto"/>
          <w:szCs w:val="21"/>
          <w:highlight w:val="none"/>
        </w:rPr>
        <w:t>文件</w:t>
      </w:r>
      <w:r>
        <w:rPr>
          <w:rFonts w:hint="eastAsia" w:ascii="宋体" w:hAnsi="宋体"/>
          <w:color w:val="auto"/>
          <w:szCs w:val="21"/>
          <w:highlight w:val="none"/>
        </w:rPr>
        <w:t>。</w:t>
      </w:r>
    </w:p>
    <w:p w14:paraId="47EAE38F">
      <w:pPr>
        <w:widowControl/>
        <w:spacing w:line="432" w:lineRule="exact"/>
        <w:rPr>
          <w:rFonts w:ascii="宋体" w:hAnsi="宋体" w:cs="宋体"/>
          <w:b/>
          <w:color w:val="auto"/>
          <w:kern w:val="0"/>
          <w:highlight w:val="none"/>
        </w:rPr>
      </w:pPr>
      <w:r>
        <w:rPr>
          <w:rFonts w:hint="eastAsia" w:ascii="宋体" w:hAnsi="宋体" w:cs="宋体"/>
          <w:b/>
          <w:color w:val="auto"/>
          <w:kern w:val="0"/>
          <w:highlight w:val="none"/>
        </w:rPr>
        <w:t>一、项目基本情况</w:t>
      </w:r>
    </w:p>
    <w:p w14:paraId="607CB3D4">
      <w:pPr>
        <w:widowControl/>
        <w:tabs>
          <w:tab w:val="left" w:pos="5063"/>
        </w:tabs>
        <w:spacing w:line="510" w:lineRule="exact"/>
        <w:ind w:firstLine="424" w:firstLineChars="202"/>
        <w:rPr>
          <w:rFonts w:hint="eastAsia" w:ascii="宋体" w:hAnsi="宋体" w:eastAsia="宋体" w:cs="宋体"/>
          <w:color w:val="auto"/>
          <w:kern w:val="0"/>
          <w:highlight w:val="none"/>
          <w:lang w:eastAsia="zh-CN"/>
        </w:rPr>
      </w:pPr>
      <w:r>
        <w:rPr>
          <w:rFonts w:ascii="宋体" w:hAnsi="宋体" w:cs="宋体"/>
          <w:color w:val="auto"/>
          <w:kern w:val="0"/>
          <w:highlight w:val="none"/>
        </w:rPr>
        <w:t>1.项目编号：</w:t>
      </w:r>
      <w:r>
        <w:rPr>
          <w:rFonts w:hint="eastAsia" w:ascii="宋体" w:hAnsi="宋体" w:cs="宋体"/>
          <w:color w:val="auto"/>
          <w:kern w:val="0"/>
          <w:highlight w:val="none"/>
          <w:lang w:eastAsia="zh-CN"/>
        </w:rPr>
        <w:t>BSGCZB-2026LL-070C（政采云项目编号：BSZC2026-C2-00995-BSGC-0040）</w:t>
      </w:r>
    </w:p>
    <w:p w14:paraId="48721F79">
      <w:pPr>
        <w:widowControl/>
        <w:spacing w:line="510" w:lineRule="exact"/>
        <w:ind w:firstLine="424" w:firstLineChars="202"/>
        <w:rPr>
          <w:rFonts w:hint="eastAsia" w:ascii="宋体" w:hAnsi="宋体" w:cs="宋体"/>
          <w:color w:val="auto"/>
          <w:kern w:val="0"/>
          <w:highlight w:val="none"/>
          <w:lang w:eastAsia="zh-CN"/>
        </w:rPr>
      </w:pPr>
      <w:r>
        <w:rPr>
          <w:rFonts w:ascii="宋体" w:hAnsi="宋体" w:cs="宋体"/>
          <w:color w:val="auto"/>
          <w:kern w:val="0"/>
          <w:highlight w:val="none"/>
        </w:rPr>
        <w:t>2.项目名称：</w:t>
      </w:r>
      <w:r>
        <w:rPr>
          <w:rFonts w:hint="eastAsia" w:ascii="宋体" w:hAnsi="宋体" w:cs="宋体"/>
          <w:color w:val="auto"/>
          <w:kern w:val="0"/>
          <w:highlight w:val="none"/>
          <w:lang w:eastAsia="zh-CN"/>
        </w:rPr>
        <w:t>碧寨乡水库垭口至庙房垭口农村公路建设项目</w:t>
      </w:r>
    </w:p>
    <w:p w14:paraId="091859C8">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3.采购方式：竞争性磋商</w:t>
      </w:r>
    </w:p>
    <w:p w14:paraId="2D84094F">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.预算金额：</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3200000.00</w:t>
      </w:r>
      <w:r>
        <w:rPr>
          <w:rFonts w:ascii="宋体" w:hAnsi="宋体" w:cs="宋体"/>
          <w:color w:val="auto"/>
          <w:kern w:val="0"/>
          <w:highlight w:val="none"/>
        </w:rPr>
        <w:t>元</w:t>
      </w:r>
    </w:p>
    <w:p w14:paraId="18341395">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5.最高限价：¥</w:t>
      </w:r>
      <w:r>
        <w:rPr>
          <w:rFonts w:hint="eastAsia" w:ascii="宋体" w:hAnsi="宋体" w:cs="宋体"/>
          <w:color w:val="auto"/>
          <w:kern w:val="0"/>
          <w:highlight w:val="none"/>
          <w:lang w:eastAsia="zh-CN"/>
        </w:rPr>
        <w:t>3144204.51</w:t>
      </w:r>
      <w:r>
        <w:rPr>
          <w:rFonts w:ascii="宋体" w:hAnsi="宋体" w:cs="宋体"/>
          <w:color w:val="auto"/>
          <w:kern w:val="0"/>
          <w:highlight w:val="none"/>
        </w:rPr>
        <w:t>元</w:t>
      </w:r>
    </w:p>
    <w:p w14:paraId="667B3180">
      <w:pPr>
        <w:widowControl/>
        <w:spacing w:line="510" w:lineRule="exact"/>
        <w:ind w:firstLine="424" w:firstLineChars="202"/>
        <w:rPr>
          <w:rFonts w:hint="eastAsia" w:ascii="宋体" w:hAnsi="宋体"/>
          <w:color w:val="auto"/>
          <w:szCs w:val="21"/>
          <w:highlight w:val="none"/>
          <w:lang w:val="en-US" w:eastAsia="zh-CN"/>
        </w:rPr>
      </w:pPr>
      <w:r>
        <w:rPr>
          <w:rFonts w:hint="eastAsia" w:ascii="宋体" w:hAnsi="宋体" w:cs="宋体"/>
          <w:color w:val="auto"/>
          <w:kern w:val="0"/>
          <w:highlight w:val="none"/>
        </w:rPr>
        <w:t>6</w:t>
      </w:r>
      <w:r>
        <w:rPr>
          <w:rFonts w:ascii="宋体" w:hAnsi="宋体" w:cs="宋体"/>
          <w:color w:val="auto"/>
          <w:kern w:val="0"/>
          <w:highlight w:val="none"/>
        </w:rPr>
        <w:t>.</w:t>
      </w:r>
      <w:r>
        <w:rPr>
          <w:rFonts w:hint="eastAsia" w:ascii="宋体" w:hAnsi="宋体"/>
          <w:color w:val="auto"/>
          <w:szCs w:val="21"/>
          <w:highlight w:val="none"/>
        </w:rPr>
        <w:t>项目采购内容：</w:t>
      </w:r>
      <w:r>
        <w:rPr>
          <w:rFonts w:hint="eastAsia" w:ascii="宋体" w:hAnsi="宋体"/>
          <w:color w:val="auto"/>
          <w:szCs w:val="21"/>
          <w:highlight w:val="none"/>
          <w:lang w:val="en-US" w:eastAsia="zh-CN"/>
        </w:rPr>
        <w:t>规划新建道路1条，总长3.58公里，拟建路基宽度 6.0米，路面宽度 4.5米，路面结构采用 20cm厚级配碎石基层+20cm厚 C30混凝土面层，配套完善路基排水、边坡防护等附属工程。具体建设内容以设计图纸（如有）及工程量清单公布内容为准（另有说明的除外）。</w:t>
      </w:r>
    </w:p>
    <w:p w14:paraId="28F56705">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7.</w:t>
      </w:r>
      <w:r>
        <w:rPr>
          <w:rFonts w:hint="eastAsia" w:ascii="宋体" w:hAnsi="宋体"/>
          <w:bCs/>
          <w:color w:val="auto"/>
          <w:szCs w:val="21"/>
          <w:highlight w:val="none"/>
        </w:rPr>
        <w:t>项目实施地点：</w:t>
      </w:r>
      <w:r>
        <w:rPr>
          <w:rFonts w:hint="eastAsia" w:ascii="宋体" w:hAnsi="宋体"/>
          <w:bCs/>
          <w:color w:val="auto"/>
          <w:szCs w:val="21"/>
          <w:highlight w:val="none"/>
          <w:lang w:val="en-US" w:eastAsia="zh-CN"/>
        </w:rPr>
        <w:t>龙陵县碧寨乡</w:t>
      </w:r>
      <w:r>
        <w:rPr>
          <w:rFonts w:hint="eastAsia" w:ascii="宋体" w:hAnsi="宋体"/>
          <w:bCs/>
          <w:color w:val="auto"/>
          <w:szCs w:val="21"/>
          <w:highlight w:val="none"/>
        </w:rPr>
        <w:t>。</w:t>
      </w:r>
    </w:p>
    <w:p w14:paraId="161812C9">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8.</w:t>
      </w:r>
      <w:r>
        <w:rPr>
          <w:rFonts w:hint="eastAsia" w:ascii="宋体" w:hAnsi="宋体"/>
          <w:bCs/>
          <w:color w:val="auto"/>
          <w:szCs w:val="21"/>
          <w:highlight w:val="none"/>
        </w:rPr>
        <w:t>质量要求：</w:t>
      </w:r>
      <w:r>
        <w:rPr>
          <w:rFonts w:hint="eastAsia" w:ascii="宋体" w:hAnsi="宋体" w:cs="宋体"/>
          <w:bCs/>
          <w:color w:val="auto"/>
          <w:kern w:val="0"/>
          <w:szCs w:val="21"/>
          <w:highlight w:val="none"/>
          <w:lang w:eastAsia="zh-CN"/>
        </w:rPr>
        <w:t>符合国家及行业现行验收规范及标准，一次性验收合格</w:t>
      </w:r>
      <w:r>
        <w:rPr>
          <w:rFonts w:ascii="宋体" w:hAnsi="宋体" w:cs="宋体"/>
          <w:bCs/>
          <w:color w:val="auto"/>
          <w:kern w:val="0"/>
          <w:szCs w:val="21"/>
          <w:highlight w:val="none"/>
        </w:rPr>
        <w:t>。</w:t>
      </w:r>
    </w:p>
    <w:p w14:paraId="7D6400B2">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9.</w:t>
      </w:r>
      <w:r>
        <w:rPr>
          <w:rFonts w:hint="eastAsia" w:ascii="宋体" w:hAnsi="宋体"/>
          <w:bCs/>
          <w:color w:val="auto"/>
          <w:szCs w:val="21"/>
          <w:highlight w:val="none"/>
        </w:rPr>
        <w:t>现场踏勘：拟磋商申请人</w:t>
      </w:r>
      <w:r>
        <w:rPr>
          <w:rFonts w:hint="eastAsia" w:ascii="宋体" w:hAnsi="宋体"/>
          <w:bCs/>
          <w:color w:val="auto"/>
          <w:szCs w:val="21"/>
          <w:highlight w:val="none"/>
          <w:lang w:eastAsia="zh-CN"/>
        </w:rPr>
        <w:t>可根据自身情况</w:t>
      </w:r>
      <w:r>
        <w:rPr>
          <w:rFonts w:hint="eastAsia" w:ascii="宋体" w:hAnsi="宋体"/>
          <w:bCs/>
          <w:color w:val="auto"/>
          <w:szCs w:val="21"/>
          <w:highlight w:val="none"/>
        </w:rPr>
        <w:t>进行现场踏勘，以便获取有关编制磋商响应文件所涉及的现场资料，现场踏勘产生的风险及相关费用由拟磋商申请人自行承担；踏勘地点为：项目实施地点。</w:t>
      </w:r>
    </w:p>
    <w:p w14:paraId="5091839B">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10.</w:t>
      </w:r>
      <w:r>
        <w:rPr>
          <w:rFonts w:hint="eastAsia" w:ascii="宋体" w:hAnsi="宋体"/>
          <w:bCs/>
          <w:color w:val="auto"/>
          <w:szCs w:val="21"/>
          <w:highlight w:val="none"/>
        </w:rPr>
        <w:t>付款方式：</w:t>
      </w:r>
      <w:r>
        <w:rPr>
          <w:rFonts w:hint="eastAsia" w:ascii="宋体" w:hAnsi="宋体"/>
          <w:bCs/>
          <w:szCs w:val="21"/>
          <w:highlight w:val="none"/>
          <w:lang w:eastAsia="zh-CN"/>
        </w:rPr>
        <w:t>本项目不支付预付款，根据实际完成工程量支付进度款，</w:t>
      </w:r>
      <w:r>
        <w:rPr>
          <w:rFonts w:hint="eastAsia" w:ascii="宋体" w:hAnsi="宋体"/>
          <w:bCs/>
          <w:szCs w:val="21"/>
          <w:highlight w:val="none"/>
        </w:rPr>
        <w:t>进度款付款时间及比例根据资金到位、施工进度等情况确定，</w:t>
      </w:r>
      <w:r>
        <w:rPr>
          <w:rFonts w:hint="eastAsia" w:ascii="宋体" w:hAnsi="宋体"/>
          <w:bCs/>
          <w:szCs w:val="21"/>
          <w:highlight w:val="none"/>
          <w:lang w:eastAsia="zh-CN"/>
        </w:rPr>
        <w:t>具体签订合同时双方另行约定</w:t>
      </w:r>
      <w:r>
        <w:rPr>
          <w:rFonts w:hint="eastAsia" w:ascii="宋体" w:hAnsi="宋体"/>
          <w:bCs/>
          <w:szCs w:val="21"/>
          <w:highlight w:val="none"/>
        </w:rPr>
        <w:t>。</w:t>
      </w:r>
    </w:p>
    <w:p w14:paraId="7251ED14">
      <w:pPr>
        <w:spacing w:line="510" w:lineRule="exact"/>
        <w:ind w:firstLine="420" w:firstLineChars="200"/>
        <w:rPr>
          <w:rFonts w:ascii="宋体" w:hAnsi="宋体"/>
          <w:color w:val="auto"/>
          <w:szCs w:val="21"/>
          <w:highlight w:val="none"/>
          <w:u w:val="single"/>
        </w:rPr>
      </w:pPr>
      <w:r>
        <w:rPr>
          <w:rFonts w:hint="eastAsia" w:ascii="宋体" w:hAnsi="宋体"/>
          <w:color w:val="auto"/>
          <w:szCs w:val="21"/>
          <w:highlight w:val="none"/>
          <w:lang w:val="en-US" w:eastAsia="zh-CN"/>
        </w:rPr>
        <w:t>11.</w:t>
      </w:r>
      <w:r>
        <w:rPr>
          <w:rFonts w:hint="eastAsia" w:ascii="宋体" w:hAnsi="宋体"/>
          <w:color w:val="auto"/>
          <w:szCs w:val="21"/>
          <w:highlight w:val="none"/>
        </w:rPr>
        <w:t>合同履行期限（项目完成期限）：</w:t>
      </w:r>
      <w:r>
        <w:rPr>
          <w:rFonts w:hint="eastAsia" w:ascii="宋体" w:hAnsi="宋体"/>
          <w:color w:val="auto"/>
          <w:szCs w:val="21"/>
          <w:highlight w:val="none"/>
          <w:lang w:eastAsia="zh-CN"/>
        </w:rPr>
        <w:t>合同签订后180个日历天内通过竣工验收交付使用。</w:t>
      </w:r>
    </w:p>
    <w:p w14:paraId="1273B26C">
      <w:pPr>
        <w:widowControl/>
        <w:spacing w:line="510" w:lineRule="exact"/>
        <w:ind w:firstLine="424" w:firstLineChars="202"/>
        <w:rPr>
          <w:rFonts w:ascii="宋体" w:hAnsi="宋体" w:cs="宋体"/>
          <w:color w:val="auto"/>
          <w:kern w:val="0"/>
          <w:highlight w:val="none"/>
        </w:rPr>
      </w:pPr>
      <w:r>
        <w:rPr>
          <w:rFonts w:hint="eastAsia" w:ascii="宋体" w:hAnsi="宋体"/>
          <w:color w:val="auto"/>
          <w:szCs w:val="21"/>
          <w:highlight w:val="none"/>
          <w:lang w:val="en-US" w:eastAsia="zh-CN"/>
        </w:rPr>
        <w:t>12.</w:t>
      </w:r>
      <w:r>
        <w:rPr>
          <w:rFonts w:hint="eastAsia" w:ascii="宋体" w:hAnsi="宋体"/>
          <w:color w:val="auto"/>
          <w:szCs w:val="21"/>
          <w:highlight w:val="none"/>
        </w:rPr>
        <w:t>本项目不接受联合体</w:t>
      </w:r>
      <w:r>
        <w:rPr>
          <w:rFonts w:hint="eastAsia" w:ascii="宋体" w:hAnsi="宋体"/>
          <w:color w:val="auto"/>
          <w:szCs w:val="21"/>
          <w:highlight w:val="none"/>
          <w:lang w:eastAsia="zh-CN"/>
        </w:rPr>
        <w:t>磋商</w:t>
      </w:r>
      <w:r>
        <w:rPr>
          <w:rFonts w:hint="eastAsia" w:ascii="宋体" w:hAnsi="宋体"/>
          <w:color w:val="auto"/>
          <w:szCs w:val="21"/>
          <w:highlight w:val="none"/>
        </w:rPr>
        <w:t>。</w:t>
      </w:r>
    </w:p>
    <w:p w14:paraId="2A7492BE">
      <w:pPr>
        <w:widowControl/>
        <w:spacing w:line="510" w:lineRule="exact"/>
        <w:rPr>
          <w:rFonts w:ascii="宋体" w:hAnsi="宋体" w:cs="宋体"/>
          <w:b/>
          <w:color w:val="auto"/>
          <w:kern w:val="0"/>
          <w:highlight w:val="none"/>
        </w:rPr>
      </w:pPr>
      <w:r>
        <w:rPr>
          <w:rFonts w:hint="eastAsia" w:ascii="宋体" w:hAnsi="宋体" w:cs="宋体"/>
          <w:b/>
          <w:color w:val="auto"/>
          <w:kern w:val="0"/>
          <w:highlight w:val="none"/>
        </w:rPr>
        <w:t>二、申请人资格要求：</w:t>
      </w:r>
    </w:p>
    <w:p w14:paraId="66E44CCA">
      <w:pPr>
        <w:spacing w:line="510" w:lineRule="exact"/>
        <w:ind w:firstLine="420" w:firstLineChars="200"/>
        <w:rPr>
          <w:rFonts w:hint="default"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rPr>
        <w:t xml:space="preserve">1.满足《中华人民共和国政府采购法》第二十二条规定；符合《中华人民共和国政府采购法实施条例》第十八条规定； </w:t>
      </w:r>
    </w:p>
    <w:p w14:paraId="3A9D952B">
      <w:pPr>
        <w:spacing w:line="510" w:lineRule="exact"/>
        <w:ind w:firstLine="420" w:firstLineChars="200"/>
        <w:rPr>
          <w:rFonts w:hint="default"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rPr>
        <w:t>2.落实政府采购政策需满足的资格要求：</w:t>
      </w:r>
      <w:r>
        <w:rPr>
          <w:rFonts w:hint="eastAsia" w:ascii="宋体" w:hAnsi="宋体" w:eastAsia="宋体" w:cs="Times New Roman"/>
          <w:b/>
          <w:bCs/>
          <w:color w:val="auto"/>
          <w:szCs w:val="21"/>
          <w:highlight w:val="none"/>
          <w:u w:val="none"/>
        </w:rPr>
        <w:t>标段（包）1：本项目专门面向中小微企业采购,必须提供中小企业声明函。（符合划型标准的个体工商户、监狱企业、残疾人福利性单位在政府采购活动中视同中小企业，监狱企业、残疾人福利性单位提供对应声明函即可）。</w:t>
      </w:r>
    </w:p>
    <w:p w14:paraId="18D26E27">
      <w:pPr>
        <w:spacing w:line="510" w:lineRule="exact"/>
        <w:ind w:left="420" w:leftChars="200" w:firstLine="0" w:firstLineChars="0"/>
        <w:rPr>
          <w:rFonts w:hint="eastAsia" w:ascii="宋体" w:hAnsi="宋体" w:eastAsia="宋体" w:cs="Times New Roman"/>
          <w:color w:val="auto"/>
          <w:szCs w:val="21"/>
          <w:highlight w:val="none"/>
          <w:u w:val="none"/>
          <w:lang w:eastAsia="zh-CN"/>
        </w:rPr>
      </w:pPr>
      <w:r>
        <w:rPr>
          <w:rFonts w:hint="eastAsia" w:ascii="宋体" w:hAnsi="宋体" w:eastAsia="宋体" w:cs="Times New Roman"/>
          <w:color w:val="auto"/>
          <w:szCs w:val="21"/>
          <w:highlight w:val="none"/>
          <w:u w:val="none"/>
        </w:rPr>
        <w:t>3.本项目的特定资格要求：</w:t>
      </w:r>
      <w:r>
        <w:rPr>
          <w:rFonts w:hint="eastAsia" w:ascii="宋体" w:hAnsi="宋体" w:eastAsia="宋体" w:cs="Times New Roman"/>
          <w:color w:val="auto"/>
          <w:szCs w:val="21"/>
          <w:highlight w:val="none"/>
          <w:u w:val="none"/>
        </w:rPr>
        <w:br w:type="textWrapping"/>
      </w:r>
      <w:r>
        <w:rPr>
          <w:rFonts w:hint="eastAsia" w:ascii="宋体" w:hAnsi="宋体" w:eastAsia="宋体" w:cs="Times New Roman"/>
          <w:color w:val="auto"/>
          <w:szCs w:val="21"/>
          <w:highlight w:val="none"/>
          <w:u w:val="none"/>
          <w:lang w:eastAsia="zh-CN"/>
        </w:rPr>
        <w:t>【标段（包）1】</w:t>
      </w:r>
    </w:p>
    <w:p w14:paraId="4BBD187C">
      <w:pPr>
        <w:spacing w:line="510" w:lineRule="exact"/>
        <w:ind w:firstLine="420" w:firstLineChars="200"/>
        <w:rPr>
          <w:rFonts w:hint="eastAsia" w:ascii="宋体" w:hAnsi="宋体" w:eastAsia="宋体" w:cs="Times New Roman"/>
          <w:color w:val="auto"/>
          <w:szCs w:val="21"/>
          <w:highlight w:val="none"/>
          <w:u w:val="none"/>
          <w:lang w:eastAsia="zh-CN"/>
        </w:rPr>
      </w:pPr>
      <w:r>
        <w:rPr>
          <w:rFonts w:hint="eastAsia" w:ascii="宋体" w:hAnsi="宋体" w:cs="Times New Roman"/>
          <w:color w:val="auto"/>
          <w:szCs w:val="21"/>
          <w:highlight w:val="none"/>
          <w:u w:val="none"/>
          <w:lang w:val="en-US" w:eastAsia="zh-CN"/>
        </w:rPr>
        <w:t>3.</w:t>
      </w:r>
      <w:r>
        <w:rPr>
          <w:rFonts w:hint="eastAsia" w:ascii="宋体" w:hAnsi="宋体" w:eastAsia="宋体" w:cs="Times New Roman"/>
          <w:color w:val="auto"/>
          <w:szCs w:val="21"/>
          <w:highlight w:val="none"/>
          <w:u w:val="none"/>
          <w:lang w:eastAsia="zh-CN"/>
        </w:rPr>
        <w:t>1拟参与本项目的磋商申请人必须具备建设主管部门颁发的公路工程施工总承包叁级及以上资质证书，并提供合法有效的安全生产许可证书（有效期内）。</w:t>
      </w:r>
    </w:p>
    <w:p w14:paraId="0A6AF8FE">
      <w:pPr>
        <w:spacing w:line="510" w:lineRule="exact"/>
        <w:ind w:firstLine="420" w:firstLineChars="200"/>
        <w:rPr>
          <w:rFonts w:hint="eastAsia" w:ascii="宋体" w:hAnsi="宋体" w:eastAsia="宋体" w:cs="Times New Roman"/>
          <w:color w:val="auto"/>
          <w:szCs w:val="21"/>
          <w:highlight w:val="none"/>
          <w:u w:val="none"/>
          <w:lang w:eastAsia="zh-CN"/>
        </w:rPr>
      </w:pPr>
      <w:r>
        <w:rPr>
          <w:rFonts w:hint="eastAsia" w:ascii="宋体" w:hAnsi="宋体" w:cs="Times New Roman"/>
          <w:color w:val="auto"/>
          <w:szCs w:val="21"/>
          <w:highlight w:val="none"/>
          <w:u w:val="none"/>
          <w:lang w:val="en-US" w:eastAsia="zh-CN"/>
        </w:rPr>
        <w:t>3.</w:t>
      </w:r>
      <w:r>
        <w:rPr>
          <w:rFonts w:hint="eastAsia" w:ascii="宋体" w:hAnsi="宋体" w:eastAsia="宋体" w:cs="Times New Roman"/>
          <w:color w:val="auto"/>
          <w:szCs w:val="21"/>
          <w:highlight w:val="none"/>
          <w:u w:val="none"/>
          <w:lang w:eastAsia="zh-CN"/>
        </w:rPr>
        <w:t>2拟派往本工程的项目经理须具备公路工程专业二级注册建造师及以上资格等级证书及建造师安全生产考核合格证书B证（有效期内），项目经理不得存在在建（待建）工程的情况（提供书面声明）；拟投入本工程的项目总工必须具备工程师及以上职称。</w:t>
      </w:r>
    </w:p>
    <w:p w14:paraId="66F680A4">
      <w:pPr>
        <w:spacing w:line="510" w:lineRule="exact"/>
        <w:ind w:firstLine="420" w:firstLineChars="200"/>
        <w:rPr>
          <w:rFonts w:hint="eastAsia" w:ascii="宋体" w:hAnsi="宋体" w:eastAsia="宋体" w:cs="Times New Roman"/>
          <w:color w:val="auto"/>
          <w:szCs w:val="21"/>
          <w:highlight w:val="none"/>
          <w:u w:val="none"/>
          <w:lang w:eastAsia="zh-CN"/>
        </w:rPr>
      </w:pPr>
      <w:r>
        <w:rPr>
          <w:rFonts w:hint="eastAsia" w:ascii="宋体" w:hAnsi="宋体" w:cs="Times New Roman"/>
          <w:color w:val="auto"/>
          <w:szCs w:val="21"/>
          <w:highlight w:val="none"/>
          <w:u w:val="none"/>
          <w:lang w:val="en-US" w:eastAsia="zh-CN"/>
        </w:rPr>
        <w:t>3.</w:t>
      </w:r>
      <w:r>
        <w:rPr>
          <w:rFonts w:hint="eastAsia" w:ascii="宋体" w:hAnsi="宋体" w:eastAsia="宋体" w:cs="Times New Roman"/>
          <w:color w:val="auto"/>
          <w:szCs w:val="21"/>
          <w:highlight w:val="none"/>
          <w:u w:val="none"/>
          <w:lang w:eastAsia="zh-CN"/>
        </w:rPr>
        <w:t>3</w:t>
      </w:r>
      <w:r>
        <w:rPr>
          <w:rFonts w:hint="eastAsia" w:ascii="宋体" w:hAnsi="宋体"/>
          <w:color w:val="auto"/>
          <w:szCs w:val="21"/>
          <w:highlight w:val="none"/>
          <w:lang w:eastAsia="zh-CN"/>
        </w:rPr>
        <w:t>业绩要求：</w:t>
      </w:r>
      <w:r>
        <w:rPr>
          <w:rFonts w:hint="eastAsia" w:ascii="宋体" w:hAnsi="宋体"/>
          <w:color w:val="auto"/>
          <w:szCs w:val="21"/>
          <w:highlight w:val="none"/>
        </w:rPr>
        <w:t>磋商申请人近三年内</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2023年1月1日至今</w:t>
      </w:r>
      <w:r>
        <w:rPr>
          <w:rFonts w:hint="eastAsia" w:ascii="宋体" w:hAnsi="宋体"/>
          <w:color w:val="auto"/>
          <w:szCs w:val="21"/>
          <w:highlight w:val="none"/>
          <w:lang w:eastAsia="zh-CN"/>
        </w:rPr>
        <w:t>）具有至少</w:t>
      </w:r>
      <w:r>
        <w:rPr>
          <w:rFonts w:hint="eastAsia" w:ascii="宋体" w:hAnsi="宋体"/>
          <w:color w:val="auto"/>
          <w:szCs w:val="21"/>
          <w:highlight w:val="none"/>
          <w:lang w:val="en-US" w:eastAsia="zh-CN"/>
        </w:rPr>
        <w:t>1项公路工程施工项目业绩，类似项目业绩证明材料须提供中标通知书或合同协议书等，新成立不足1年的企业业绩不做要求（如企业新增公路工程施工总承包资质不足1年，可视为新成立企业，但必须提供相关资质增项的证明材料）。（公路工程包括：公路工程、桥梁工程、公路与桥梁工程、交通土建、隧道（地下结构）工程、交通工程等。）</w:t>
      </w:r>
    </w:p>
    <w:p w14:paraId="2EB81559">
      <w:pPr>
        <w:spacing w:line="510" w:lineRule="exact"/>
        <w:ind w:firstLine="420" w:firstLineChars="200"/>
        <w:rPr>
          <w:rFonts w:hint="eastAsia" w:ascii="宋体" w:hAnsi="宋体" w:eastAsia="宋体" w:cs="Times New Roman"/>
          <w:color w:val="auto"/>
          <w:szCs w:val="21"/>
          <w:highlight w:val="none"/>
          <w:u w:val="none"/>
          <w:lang w:eastAsia="zh-CN"/>
        </w:rPr>
      </w:pPr>
      <w:r>
        <w:rPr>
          <w:rFonts w:hint="eastAsia" w:ascii="宋体" w:hAnsi="宋体" w:cs="Times New Roman"/>
          <w:color w:val="auto"/>
          <w:szCs w:val="21"/>
          <w:highlight w:val="none"/>
          <w:u w:val="none"/>
          <w:lang w:val="en-US" w:eastAsia="zh-CN"/>
        </w:rPr>
        <w:t>3.4</w:t>
      </w:r>
      <w:r>
        <w:rPr>
          <w:rFonts w:hint="eastAsia" w:ascii="宋体" w:hAnsi="宋体" w:eastAsia="宋体" w:cs="Times New Roman"/>
          <w:color w:val="auto"/>
          <w:szCs w:val="21"/>
          <w:highlight w:val="none"/>
          <w:u w:val="none"/>
          <w:lang w:eastAsia="zh-CN"/>
        </w:rPr>
        <w:t>磋商申请人在磋商响应截止日期前未被列入“信用中国”网站“失信被执行人”（中国执行信息公开网）、“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6AD33423">
      <w:pPr>
        <w:spacing w:line="510" w:lineRule="exact"/>
        <w:ind w:firstLine="420" w:firstLineChars="200"/>
        <w:rPr>
          <w:rFonts w:hint="default"/>
          <w:highlight w:val="none"/>
          <w:lang w:val="en-US" w:eastAsia="zh-CN"/>
        </w:rPr>
      </w:pPr>
      <w:r>
        <w:rPr>
          <w:rFonts w:hint="eastAsia" w:ascii="宋体" w:hAnsi="宋体" w:cs="Times New Roman"/>
          <w:color w:val="auto"/>
          <w:szCs w:val="21"/>
          <w:highlight w:val="none"/>
          <w:u w:val="none"/>
          <w:lang w:val="en-US" w:eastAsia="zh-CN"/>
        </w:rPr>
        <w:t>3.5</w:t>
      </w:r>
      <w:r>
        <w:rPr>
          <w:rFonts w:hint="eastAsia" w:ascii="宋体" w:hAnsi="宋体" w:eastAsia="宋体" w:cs="Times New Roman"/>
          <w:color w:val="auto"/>
          <w:szCs w:val="21"/>
          <w:highlight w:val="none"/>
          <w:u w:val="none"/>
          <w:lang w:eastAsia="zh-CN"/>
        </w:rPr>
        <w:t>.单位负责人为同一人或者存在直接控股、管理关系的不同磋商申请人，不得参加同一合同项下的政府采购活动。（提供书面声明）</w:t>
      </w:r>
    </w:p>
    <w:p w14:paraId="6E085A04">
      <w:pPr>
        <w:widowControl/>
        <w:spacing w:line="510" w:lineRule="exact"/>
        <w:rPr>
          <w:rFonts w:ascii="宋体" w:hAnsi="宋体" w:cs="宋体"/>
          <w:b/>
          <w:color w:val="auto"/>
          <w:kern w:val="0"/>
          <w:highlight w:val="none"/>
        </w:rPr>
      </w:pPr>
      <w:r>
        <w:rPr>
          <w:rFonts w:hint="eastAsia" w:ascii="宋体" w:hAnsi="宋体" w:cs="宋体"/>
          <w:b/>
          <w:color w:val="auto"/>
          <w:kern w:val="0"/>
          <w:highlight w:val="none"/>
        </w:rPr>
        <w:t>三、获取采购文件：</w:t>
      </w:r>
    </w:p>
    <w:p w14:paraId="497B0B4C">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default" w:ascii="宋体" w:hAnsi="宋体" w:eastAsia="宋体" w:cs="宋体"/>
          <w:color w:val="auto"/>
          <w:kern w:val="0"/>
          <w:szCs w:val="24"/>
          <w:highlight w:val="none"/>
          <w:u w:val="none"/>
          <w:lang w:val="en-US" w:eastAsia="zh-CN"/>
        </w:rPr>
      </w:pPr>
      <w:r>
        <w:rPr>
          <w:rFonts w:hint="eastAsia" w:ascii="宋体" w:hAnsi="宋体" w:cs="宋体"/>
          <w:color w:val="auto"/>
          <w:kern w:val="0"/>
          <w:szCs w:val="24"/>
          <w:highlight w:val="none"/>
          <w:u w:val="none"/>
          <w:lang w:val="en-US" w:eastAsia="zh-CN"/>
        </w:rPr>
        <w:t>1.</w:t>
      </w:r>
      <w:r>
        <w:rPr>
          <w:rFonts w:hint="eastAsia" w:ascii="宋体" w:hAnsi="宋体" w:eastAsia="宋体" w:cs="宋体"/>
          <w:color w:val="auto"/>
          <w:kern w:val="0"/>
          <w:szCs w:val="24"/>
          <w:highlight w:val="none"/>
          <w:u w:val="none"/>
          <w:lang w:val="en-US" w:eastAsia="zh-CN"/>
        </w:rPr>
        <w:t>时间：2026年</w:t>
      </w:r>
      <w:r>
        <w:rPr>
          <w:rFonts w:hint="eastAsia" w:ascii="宋体" w:hAnsi="宋体" w:cs="宋体"/>
          <w:color w:val="auto"/>
          <w:kern w:val="0"/>
          <w:szCs w:val="24"/>
          <w:highlight w:val="none"/>
          <w:u w:val="none"/>
          <w:lang w:val="en-US" w:eastAsia="zh-CN"/>
        </w:rPr>
        <w:t>08</w:t>
      </w:r>
      <w:r>
        <w:rPr>
          <w:rFonts w:hint="eastAsia" w:ascii="宋体" w:hAnsi="宋体" w:eastAsia="宋体" w:cs="宋体"/>
          <w:color w:val="auto"/>
          <w:kern w:val="0"/>
          <w:szCs w:val="24"/>
          <w:highlight w:val="none"/>
          <w:u w:val="none"/>
          <w:lang w:val="en-US" w:eastAsia="zh-CN"/>
        </w:rPr>
        <w:t>月</w:t>
      </w:r>
      <w:r>
        <w:rPr>
          <w:rFonts w:hint="eastAsia" w:ascii="宋体" w:hAnsi="宋体" w:cs="宋体"/>
          <w:color w:val="auto"/>
          <w:kern w:val="0"/>
          <w:szCs w:val="24"/>
          <w:highlight w:val="none"/>
          <w:u w:val="none"/>
          <w:lang w:val="en-US" w:eastAsia="zh-CN"/>
        </w:rPr>
        <w:t>27</w:t>
      </w:r>
      <w:r>
        <w:rPr>
          <w:rFonts w:hint="eastAsia" w:ascii="宋体" w:hAnsi="宋体" w:eastAsia="宋体" w:cs="宋体"/>
          <w:color w:val="auto"/>
          <w:kern w:val="0"/>
          <w:szCs w:val="24"/>
          <w:highlight w:val="none"/>
          <w:u w:val="none"/>
          <w:lang w:val="en-US" w:eastAsia="zh-CN"/>
        </w:rPr>
        <w:t>日至2026年0</w:t>
      </w:r>
      <w:r>
        <w:rPr>
          <w:rFonts w:hint="eastAsia" w:ascii="宋体" w:hAnsi="宋体" w:cs="宋体"/>
          <w:color w:val="auto"/>
          <w:kern w:val="0"/>
          <w:szCs w:val="24"/>
          <w:highlight w:val="none"/>
          <w:u w:val="none"/>
          <w:lang w:val="en-US" w:eastAsia="zh-CN"/>
        </w:rPr>
        <w:t>9</w:t>
      </w:r>
      <w:r>
        <w:rPr>
          <w:rFonts w:hint="eastAsia" w:ascii="宋体" w:hAnsi="宋体" w:eastAsia="宋体" w:cs="宋体"/>
          <w:color w:val="auto"/>
          <w:kern w:val="0"/>
          <w:szCs w:val="24"/>
          <w:highlight w:val="none"/>
          <w:u w:val="none"/>
          <w:lang w:val="en-US" w:eastAsia="zh-CN"/>
        </w:rPr>
        <w:t>月</w:t>
      </w:r>
      <w:r>
        <w:rPr>
          <w:rFonts w:hint="eastAsia" w:ascii="宋体" w:hAnsi="宋体" w:cs="宋体"/>
          <w:color w:val="auto"/>
          <w:kern w:val="0"/>
          <w:szCs w:val="24"/>
          <w:highlight w:val="none"/>
          <w:u w:val="none"/>
          <w:lang w:val="en-US" w:eastAsia="zh-CN"/>
        </w:rPr>
        <w:t>03</w:t>
      </w:r>
      <w:r>
        <w:rPr>
          <w:rFonts w:hint="eastAsia" w:ascii="宋体" w:hAnsi="宋体" w:eastAsia="宋体" w:cs="宋体"/>
          <w:color w:val="auto"/>
          <w:kern w:val="0"/>
          <w:szCs w:val="24"/>
          <w:highlight w:val="none"/>
          <w:u w:val="none"/>
          <w:lang w:val="en-US" w:eastAsia="zh-CN"/>
        </w:rPr>
        <w:t xml:space="preserve">日，每天上午06:00至12:00，下午12:00至23:59（北京时间，法定节假日除外） </w:t>
      </w:r>
    </w:p>
    <w:p w14:paraId="567AD5DB">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default" w:ascii="宋体" w:hAnsi="宋体" w:eastAsia="宋体" w:cs="宋体"/>
          <w:color w:val="auto"/>
          <w:kern w:val="0"/>
          <w:szCs w:val="24"/>
          <w:highlight w:val="none"/>
          <w:u w:val="none"/>
          <w:lang w:val="en-US" w:eastAsia="zh-CN"/>
        </w:rPr>
      </w:pPr>
      <w:r>
        <w:rPr>
          <w:rFonts w:hint="eastAsia" w:ascii="宋体" w:hAnsi="宋体" w:cs="宋体"/>
          <w:color w:val="auto"/>
          <w:kern w:val="0"/>
          <w:szCs w:val="24"/>
          <w:highlight w:val="none"/>
          <w:u w:val="none"/>
          <w:lang w:val="en-US" w:eastAsia="zh-CN"/>
        </w:rPr>
        <w:t>2.</w:t>
      </w:r>
      <w:r>
        <w:rPr>
          <w:rFonts w:hint="eastAsia" w:ascii="宋体" w:hAnsi="宋体" w:eastAsia="宋体" w:cs="宋体"/>
          <w:color w:val="auto"/>
          <w:kern w:val="0"/>
          <w:szCs w:val="24"/>
          <w:highlight w:val="none"/>
          <w:u w:val="none"/>
          <w:lang w:val="en-US" w:eastAsia="zh-CN"/>
        </w:rPr>
        <w:t xml:space="preserve">地点：云南省政府采购电子交易平台（政采云https://www.zcygov.cn/） </w:t>
      </w:r>
    </w:p>
    <w:p w14:paraId="690B2523">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eastAsia" w:ascii="宋体" w:hAnsi="宋体" w:eastAsia="宋体" w:cs="宋体"/>
          <w:color w:val="auto"/>
          <w:kern w:val="0"/>
          <w:szCs w:val="24"/>
          <w:highlight w:val="none"/>
          <w:u w:val="none"/>
          <w:lang w:val="en-US" w:eastAsia="zh-CN"/>
        </w:rPr>
      </w:pPr>
      <w:r>
        <w:rPr>
          <w:rFonts w:hint="eastAsia" w:ascii="宋体" w:hAnsi="宋体" w:cs="宋体"/>
          <w:color w:val="auto"/>
          <w:kern w:val="0"/>
          <w:szCs w:val="24"/>
          <w:highlight w:val="none"/>
          <w:u w:val="none"/>
          <w:lang w:val="en-US" w:eastAsia="zh-CN"/>
        </w:rPr>
        <w:t>3.</w:t>
      </w:r>
      <w:r>
        <w:rPr>
          <w:rFonts w:hint="eastAsia" w:ascii="宋体" w:hAnsi="宋体" w:eastAsia="宋体" w:cs="宋体"/>
          <w:color w:val="auto"/>
          <w:kern w:val="0"/>
          <w:szCs w:val="24"/>
          <w:highlight w:val="none"/>
          <w:u w:val="none"/>
          <w:lang w:val="en-US" w:eastAsia="zh-CN"/>
        </w:rPr>
        <w:t>方式：（1）凡有意参加投标者，须持与云南省政府采购电子交易平台（政采云）兼容的数字证书（CA），在平台绑定后，线上获取采购文件及其它采购资料。CA申领链接：https://middle.zcygov.cn/ca/apply/list?_app_=zcy.sys</w:t>
      </w:r>
      <w:r>
        <w:rPr>
          <w:rFonts w:hint="eastAsia" w:ascii="宋体" w:hAnsi="宋体" w:cs="宋体"/>
          <w:color w:val="auto"/>
          <w:kern w:val="0"/>
          <w:szCs w:val="24"/>
          <w:highlight w:val="none"/>
          <w:u w:val="none"/>
          <w:lang w:val="en-US" w:eastAsia="zh-CN"/>
        </w:rPr>
        <w:t>。</w:t>
      </w:r>
    </w:p>
    <w:p w14:paraId="64F6C8C7">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eastAsia" w:ascii="宋体" w:hAnsi="宋体" w:eastAsia="宋体" w:cs="宋体"/>
          <w:color w:val="auto"/>
          <w:kern w:val="0"/>
          <w:szCs w:val="24"/>
          <w:highlight w:val="none"/>
          <w:u w:val="none"/>
          <w:lang w:val="en-US" w:eastAsia="zh-CN"/>
        </w:rPr>
      </w:pPr>
      <w:r>
        <w:rPr>
          <w:rFonts w:hint="eastAsia" w:ascii="宋体" w:hAnsi="宋体" w:eastAsia="宋体" w:cs="宋体"/>
          <w:color w:val="auto"/>
          <w:kern w:val="0"/>
          <w:szCs w:val="24"/>
          <w:highlight w:val="none"/>
          <w:u w:val="none"/>
          <w:lang w:val="en-US" w:eastAsia="zh-CN"/>
        </w:rPr>
        <w:t>（2）按上述要求获取文件的供应商视为合法获取了本项目采购文件，具备本项目的投标资格。</w:t>
      </w:r>
    </w:p>
    <w:p w14:paraId="47BBCEBA">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eastAsia" w:ascii="宋体" w:hAnsi="宋体" w:eastAsia="宋体" w:cs="宋体"/>
          <w:color w:val="auto"/>
          <w:kern w:val="0"/>
          <w:szCs w:val="24"/>
          <w:highlight w:val="none"/>
          <w:u w:val="none"/>
          <w:lang w:val="en-US" w:eastAsia="zh-CN"/>
        </w:rPr>
      </w:pPr>
      <w:r>
        <w:rPr>
          <w:rFonts w:hint="eastAsia" w:ascii="宋体" w:hAnsi="宋体" w:eastAsia="宋体" w:cs="宋体"/>
          <w:color w:val="auto"/>
          <w:kern w:val="0"/>
          <w:szCs w:val="24"/>
          <w:highlight w:val="none"/>
          <w:u w:val="none"/>
          <w:lang w:val="en-US" w:eastAsia="zh-CN"/>
        </w:rPr>
        <w:t>注：云南壹证通CA申领链接：http://yzt.ynsmartcert.cn/cms/yztyzt0011.html云南壹证通CA 可支持线上、线下办理方式，并提供7*24小时全天候客户服务支持，紧急CA办理电话：19987563037。</w:t>
      </w:r>
    </w:p>
    <w:p w14:paraId="3F730AD9">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default" w:ascii="宋体" w:hAnsi="宋体" w:eastAsia="宋体" w:cs="宋体"/>
          <w:color w:val="auto"/>
          <w:kern w:val="0"/>
          <w:szCs w:val="24"/>
          <w:highlight w:val="none"/>
          <w:u w:val="none"/>
          <w:lang w:val="en-US" w:eastAsia="zh-CN"/>
        </w:rPr>
      </w:pPr>
      <w:r>
        <w:rPr>
          <w:rFonts w:hint="eastAsia" w:ascii="宋体" w:hAnsi="宋体" w:eastAsia="宋体" w:cs="宋体"/>
          <w:color w:val="auto"/>
          <w:kern w:val="0"/>
          <w:szCs w:val="24"/>
          <w:highlight w:val="none"/>
          <w:u w:val="none"/>
          <w:lang w:val="en-US" w:eastAsia="zh-CN"/>
        </w:rPr>
        <w:t>供应商如已在云南 CA办理过企业数字证书（CA）的，直接绑定即可，无需重复办理。云南省外供应商在政采云平台办理的其他CA可直接使用，无需重复办理。</w:t>
      </w:r>
    </w:p>
    <w:p w14:paraId="77AE58A4">
      <w:pPr>
        <w:widowControl/>
        <w:spacing w:line="510" w:lineRule="exact"/>
        <w:ind w:firstLine="424" w:firstLineChars="202"/>
        <w:rPr>
          <w:rFonts w:ascii="宋体" w:hAnsi="宋体" w:cs="宋体"/>
          <w:color w:val="auto"/>
          <w:kern w:val="0"/>
          <w:highlight w:val="none"/>
        </w:rPr>
      </w:pPr>
      <w:r>
        <w:rPr>
          <w:rFonts w:hint="eastAsia" w:ascii="宋体" w:hAnsi="宋体"/>
          <w:color w:val="auto"/>
          <w:szCs w:val="21"/>
          <w:highlight w:val="none"/>
          <w:u w:val="none"/>
          <w:lang w:val="en-US" w:eastAsia="zh-CN"/>
        </w:rPr>
        <w:t xml:space="preserve">4.售价（元）：0 </w:t>
      </w:r>
    </w:p>
    <w:p w14:paraId="37C3E989">
      <w:pPr>
        <w:widowControl/>
        <w:spacing w:line="510" w:lineRule="exact"/>
        <w:rPr>
          <w:rFonts w:hint="default" w:ascii="宋体" w:hAnsi="宋体"/>
          <w:b/>
          <w:bCs/>
          <w:color w:val="auto"/>
          <w:szCs w:val="21"/>
          <w:highlight w:val="none"/>
          <w:u w:val="none"/>
          <w:lang w:val="en-US" w:eastAsia="zh-CN"/>
        </w:rPr>
      </w:pPr>
      <w:r>
        <w:rPr>
          <w:rFonts w:hint="eastAsia" w:ascii="宋体" w:hAnsi="宋体"/>
          <w:b/>
          <w:bCs/>
          <w:color w:val="auto"/>
          <w:szCs w:val="21"/>
          <w:highlight w:val="none"/>
          <w:u w:val="none"/>
          <w:lang w:val="en-US" w:eastAsia="zh-CN"/>
        </w:rPr>
        <w:t xml:space="preserve">四、响应文件提交 </w:t>
      </w:r>
    </w:p>
    <w:p w14:paraId="5FAA2E95">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rPr>
          <w:rFonts w:hint="default" w:ascii="宋体" w:hAnsi="宋体" w:eastAsia="宋体" w:cs="宋体"/>
          <w:color w:val="auto"/>
          <w:kern w:val="0"/>
          <w:szCs w:val="24"/>
          <w:highlight w:val="none"/>
          <w:u w:val="none"/>
          <w:lang w:val="en-US" w:eastAsia="zh-CN"/>
        </w:rPr>
      </w:pPr>
      <w:r>
        <w:rPr>
          <w:rFonts w:hint="eastAsia" w:ascii="宋体" w:hAnsi="宋体" w:eastAsia="宋体" w:cs="宋体"/>
          <w:color w:val="auto"/>
          <w:kern w:val="0"/>
          <w:szCs w:val="24"/>
          <w:highlight w:val="none"/>
          <w:u w:val="none"/>
          <w:lang w:val="en-US" w:eastAsia="zh-CN"/>
        </w:rPr>
        <w:t>截止时间：</w:t>
      </w:r>
      <w:r>
        <w:rPr>
          <w:rFonts w:hint="eastAsia" w:ascii="宋体" w:hAnsi="宋体" w:cs="宋体"/>
          <w:color w:val="auto"/>
          <w:kern w:val="0"/>
          <w:szCs w:val="24"/>
          <w:highlight w:val="none"/>
          <w:u w:val="none"/>
          <w:lang w:val="en-US" w:eastAsia="zh-CN"/>
        </w:rPr>
        <w:t>2026年09月10日15:00</w:t>
      </w:r>
      <w:r>
        <w:rPr>
          <w:rFonts w:hint="eastAsia" w:ascii="宋体" w:hAnsi="宋体" w:eastAsia="宋体" w:cs="宋体"/>
          <w:color w:val="auto"/>
          <w:kern w:val="0"/>
          <w:szCs w:val="24"/>
          <w:highlight w:val="none"/>
          <w:u w:val="none"/>
          <w:lang w:val="en-US" w:eastAsia="zh-CN"/>
        </w:rPr>
        <w:t xml:space="preserve">（北京时间） </w:t>
      </w:r>
    </w:p>
    <w:p w14:paraId="7E4D0C66">
      <w:pPr>
        <w:widowControl/>
        <w:spacing w:line="510" w:lineRule="exact"/>
        <w:ind w:firstLine="424" w:firstLineChars="202"/>
        <w:rPr>
          <w:rFonts w:hint="default"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 xml:space="preserve">地点：请登录云南省政府采购电子交易平台（政采云）投标客户端投标 </w:t>
      </w:r>
    </w:p>
    <w:p w14:paraId="4D459F15">
      <w:pPr>
        <w:widowControl/>
        <w:spacing w:line="510" w:lineRule="exact"/>
        <w:rPr>
          <w:rFonts w:hint="eastAsia" w:ascii="宋体" w:hAnsi="宋体" w:cs="宋体"/>
          <w:b/>
          <w:color w:val="auto"/>
          <w:kern w:val="0"/>
          <w:highlight w:val="none"/>
        </w:rPr>
      </w:pPr>
      <w:r>
        <w:rPr>
          <w:rFonts w:hint="eastAsia" w:ascii="宋体" w:hAnsi="宋体" w:cs="宋体"/>
          <w:b/>
          <w:color w:val="auto"/>
          <w:kern w:val="0"/>
          <w:highlight w:val="none"/>
        </w:rPr>
        <w:t xml:space="preserve">五、响应文件开启 </w:t>
      </w:r>
    </w:p>
    <w:p w14:paraId="64317C02">
      <w:pPr>
        <w:widowControl/>
        <w:spacing w:line="510" w:lineRule="exact"/>
        <w:ind w:firstLine="424" w:firstLineChars="202"/>
        <w:rPr>
          <w:rFonts w:hint="eastAsia" w:ascii="宋体" w:hAnsi="宋体" w:cs="宋体"/>
          <w:b w:val="0"/>
          <w:bCs/>
          <w:color w:val="auto"/>
          <w:kern w:val="0"/>
          <w:highlight w:val="none"/>
        </w:rPr>
      </w:pPr>
      <w:r>
        <w:rPr>
          <w:rFonts w:hint="eastAsia" w:ascii="宋体" w:hAnsi="宋体" w:cs="宋体"/>
          <w:b w:val="0"/>
          <w:bCs/>
          <w:color w:val="auto"/>
          <w:kern w:val="0"/>
          <w:highlight w:val="none"/>
        </w:rPr>
        <w:t>开启时间：</w:t>
      </w:r>
      <w:r>
        <w:rPr>
          <w:rFonts w:hint="eastAsia" w:ascii="宋体" w:hAnsi="宋体" w:cs="宋体"/>
          <w:b w:val="0"/>
          <w:bCs/>
          <w:color w:val="auto"/>
          <w:kern w:val="0"/>
          <w:highlight w:val="none"/>
          <w:lang w:eastAsia="zh-CN"/>
        </w:rPr>
        <w:t>2026年09月</w:t>
      </w:r>
      <w:r>
        <w:rPr>
          <w:rFonts w:hint="eastAsia" w:ascii="宋体" w:hAnsi="宋体" w:cs="宋体"/>
          <w:b w:val="0"/>
          <w:bCs/>
          <w:color w:val="auto"/>
          <w:kern w:val="0"/>
          <w:highlight w:val="none"/>
          <w:lang w:val="en-US" w:eastAsia="zh-CN"/>
        </w:rPr>
        <w:t>10</w:t>
      </w:r>
      <w:r>
        <w:rPr>
          <w:rFonts w:hint="eastAsia" w:ascii="宋体" w:hAnsi="宋体" w:cs="宋体"/>
          <w:b w:val="0"/>
          <w:bCs/>
          <w:color w:val="auto"/>
          <w:kern w:val="0"/>
          <w:highlight w:val="none"/>
          <w:lang w:eastAsia="zh-CN"/>
        </w:rPr>
        <w:t>日</w:t>
      </w:r>
      <w:r>
        <w:rPr>
          <w:rFonts w:hint="eastAsia" w:ascii="宋体" w:hAnsi="宋体" w:cs="宋体"/>
          <w:b w:val="0"/>
          <w:bCs/>
          <w:color w:val="auto"/>
          <w:kern w:val="0"/>
          <w:highlight w:val="none"/>
          <w:lang w:val="en-US" w:eastAsia="zh-CN"/>
        </w:rPr>
        <w:t>15</w:t>
      </w:r>
      <w:r>
        <w:rPr>
          <w:rFonts w:hint="eastAsia" w:ascii="宋体" w:hAnsi="宋体" w:cs="宋体"/>
          <w:b w:val="0"/>
          <w:bCs/>
          <w:color w:val="auto"/>
          <w:kern w:val="0"/>
          <w:highlight w:val="none"/>
          <w:lang w:eastAsia="zh-CN"/>
        </w:rPr>
        <w:t>:00</w:t>
      </w:r>
      <w:r>
        <w:rPr>
          <w:rFonts w:hint="eastAsia" w:ascii="宋体" w:hAnsi="宋体" w:cs="宋体"/>
          <w:b w:val="0"/>
          <w:bCs/>
          <w:color w:val="auto"/>
          <w:kern w:val="0"/>
          <w:highlight w:val="none"/>
        </w:rPr>
        <w:t xml:space="preserve">（北京时间） </w:t>
      </w:r>
    </w:p>
    <w:p w14:paraId="4DA44907">
      <w:pPr>
        <w:widowControl/>
        <w:spacing w:line="510" w:lineRule="exact"/>
        <w:ind w:firstLine="424" w:firstLineChars="202"/>
        <w:rPr>
          <w:rFonts w:hint="eastAsia" w:ascii="宋体" w:hAnsi="宋体" w:cs="宋体"/>
          <w:b w:val="0"/>
          <w:bCs/>
          <w:color w:val="auto"/>
          <w:kern w:val="0"/>
          <w:highlight w:val="none"/>
        </w:rPr>
      </w:pPr>
      <w:r>
        <w:rPr>
          <w:rFonts w:hint="eastAsia" w:ascii="宋体" w:hAnsi="宋体" w:cs="宋体"/>
          <w:b w:val="0"/>
          <w:bCs/>
          <w:color w:val="auto"/>
          <w:kern w:val="0"/>
          <w:highlight w:val="none"/>
        </w:rPr>
        <w:t xml:space="preserve">地点：云南省保山市龙陵县龙山镇龙华社区龙御江山小区第五组23幢S1室开评标室 </w:t>
      </w:r>
    </w:p>
    <w:p w14:paraId="5A970A5D">
      <w:pPr>
        <w:widowControl/>
        <w:spacing w:line="510" w:lineRule="exact"/>
        <w:rPr>
          <w:rFonts w:hint="default" w:ascii="宋体" w:hAnsi="宋体"/>
          <w:b/>
          <w:bCs/>
          <w:color w:val="auto"/>
          <w:szCs w:val="21"/>
          <w:highlight w:val="none"/>
          <w:u w:val="none"/>
          <w:lang w:val="en-US" w:eastAsia="zh-CN"/>
        </w:rPr>
      </w:pPr>
      <w:r>
        <w:rPr>
          <w:rFonts w:hint="eastAsia" w:ascii="宋体" w:hAnsi="宋体"/>
          <w:b/>
          <w:bCs/>
          <w:color w:val="auto"/>
          <w:szCs w:val="21"/>
          <w:highlight w:val="none"/>
          <w:u w:val="none"/>
          <w:lang w:val="en-US" w:eastAsia="zh-CN"/>
        </w:rPr>
        <w:t>六、投标保证金信息</w:t>
      </w:r>
    </w:p>
    <w:p w14:paraId="030767A1">
      <w:pPr>
        <w:widowControl/>
        <w:spacing w:line="510" w:lineRule="exact"/>
        <w:ind w:firstLine="424" w:firstLineChars="202"/>
        <w:rPr>
          <w:rFonts w:hint="default"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是否需要缴纳磋商保证金：否</w:t>
      </w:r>
    </w:p>
    <w:p w14:paraId="4605006C">
      <w:pPr>
        <w:widowControl/>
        <w:spacing w:line="510" w:lineRule="exact"/>
        <w:rPr>
          <w:rFonts w:hint="default" w:ascii="宋体" w:hAnsi="宋体"/>
          <w:b/>
          <w:bCs/>
          <w:color w:val="auto"/>
          <w:szCs w:val="21"/>
          <w:highlight w:val="none"/>
          <w:u w:val="none"/>
          <w:lang w:val="en-US" w:eastAsia="zh-CN"/>
        </w:rPr>
      </w:pPr>
      <w:r>
        <w:rPr>
          <w:rFonts w:hint="eastAsia" w:ascii="宋体" w:hAnsi="宋体"/>
          <w:b/>
          <w:bCs/>
          <w:color w:val="auto"/>
          <w:szCs w:val="21"/>
          <w:highlight w:val="none"/>
          <w:u w:val="none"/>
          <w:lang w:val="en-US" w:eastAsia="zh-CN"/>
        </w:rPr>
        <w:t xml:space="preserve">七、公告期限 </w:t>
      </w:r>
    </w:p>
    <w:p w14:paraId="5B6A1C57">
      <w:pPr>
        <w:widowControl/>
        <w:spacing w:line="510" w:lineRule="exact"/>
        <w:ind w:firstLine="420" w:firstLineChars="200"/>
        <w:rPr>
          <w:rFonts w:hint="default"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 xml:space="preserve">自本公告发布之日起3个工作日。 </w:t>
      </w:r>
    </w:p>
    <w:p w14:paraId="30715A32">
      <w:pPr>
        <w:widowControl/>
        <w:spacing w:line="510" w:lineRule="exact"/>
        <w:rPr>
          <w:rFonts w:hint="default" w:ascii="宋体" w:hAnsi="宋体"/>
          <w:b/>
          <w:bCs/>
          <w:color w:val="auto"/>
          <w:szCs w:val="21"/>
          <w:highlight w:val="none"/>
          <w:u w:val="none"/>
          <w:lang w:val="en-US" w:eastAsia="zh-CN"/>
        </w:rPr>
      </w:pPr>
      <w:r>
        <w:rPr>
          <w:rFonts w:hint="eastAsia" w:ascii="宋体" w:hAnsi="宋体"/>
          <w:b/>
          <w:bCs/>
          <w:color w:val="auto"/>
          <w:szCs w:val="21"/>
          <w:highlight w:val="none"/>
          <w:u w:val="none"/>
          <w:lang w:val="en-US" w:eastAsia="zh-CN"/>
        </w:rPr>
        <w:t xml:space="preserve">八、其他补充事宜 </w:t>
      </w:r>
    </w:p>
    <w:p w14:paraId="2D3AF2E7">
      <w:pPr>
        <w:keepNext w:val="0"/>
        <w:keepLines w:val="0"/>
        <w:pageBreakBefore w:val="0"/>
        <w:widowControl/>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1.开标方式：智能开标</w:t>
      </w:r>
    </w:p>
    <w:p w14:paraId="75135BE9">
      <w:pPr>
        <w:keepNext w:val="0"/>
        <w:keepLines w:val="0"/>
        <w:pageBreakBefore w:val="0"/>
        <w:widowControl/>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2.其他：</w:t>
      </w:r>
    </w:p>
    <w:p w14:paraId="044FA23C">
      <w:pPr>
        <w:keepNext w:val="0"/>
        <w:keepLines w:val="0"/>
        <w:pageBreakBefore w:val="0"/>
        <w:widowControl/>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2.</w:t>
      </w:r>
      <w:r>
        <w:rPr>
          <w:rFonts w:hint="eastAsia" w:ascii="宋体" w:hAnsi="宋体" w:cs="Times New Roman"/>
          <w:b w:val="0"/>
          <w:bCs w:val="0"/>
          <w:color w:val="auto"/>
          <w:szCs w:val="21"/>
          <w:highlight w:val="none"/>
          <w:u w:val="none"/>
          <w:lang w:val="en-US" w:eastAsia="zh-CN"/>
        </w:rPr>
        <w:t>1</w:t>
      </w:r>
      <w:r>
        <w:rPr>
          <w:rFonts w:hint="eastAsia" w:ascii="宋体" w:hAnsi="宋体" w:eastAsia="宋体" w:cs="Times New Roman"/>
          <w:b w:val="0"/>
          <w:bCs w:val="0"/>
          <w:color w:val="auto"/>
          <w:szCs w:val="21"/>
          <w:highlight w:val="none"/>
          <w:u w:val="none"/>
          <w:lang w:val="en-US" w:eastAsia="zh-CN"/>
        </w:rPr>
        <w:t>采购意向公开情况：根据《财政部关于开展政府采购意向公开工作的通知》（财库〔2020〕10号）等有关规定，2026年</w:t>
      </w:r>
      <w:r>
        <w:rPr>
          <w:rFonts w:hint="eastAsia" w:ascii="宋体" w:hAnsi="宋体" w:cs="Times New Roman"/>
          <w:b w:val="0"/>
          <w:bCs w:val="0"/>
          <w:color w:val="auto"/>
          <w:szCs w:val="21"/>
          <w:highlight w:val="none"/>
          <w:u w:val="none"/>
          <w:lang w:val="en-US" w:eastAsia="zh-CN"/>
        </w:rPr>
        <w:t>07</w:t>
      </w:r>
      <w:r>
        <w:rPr>
          <w:rFonts w:hint="eastAsia" w:ascii="宋体" w:hAnsi="宋体" w:eastAsia="宋体" w:cs="Times New Roman"/>
          <w:b w:val="0"/>
          <w:bCs w:val="0"/>
          <w:color w:val="auto"/>
          <w:szCs w:val="21"/>
          <w:highlight w:val="none"/>
          <w:u w:val="none"/>
          <w:lang w:val="en-US" w:eastAsia="zh-CN"/>
        </w:rPr>
        <w:t>月</w:t>
      </w:r>
      <w:r>
        <w:rPr>
          <w:rFonts w:hint="eastAsia" w:ascii="宋体" w:hAnsi="宋体" w:cs="Times New Roman"/>
          <w:b w:val="0"/>
          <w:bCs w:val="0"/>
          <w:color w:val="auto"/>
          <w:szCs w:val="21"/>
          <w:highlight w:val="none"/>
          <w:u w:val="none"/>
          <w:lang w:val="en-US" w:eastAsia="zh-CN"/>
        </w:rPr>
        <w:t>09</w:t>
      </w:r>
      <w:r>
        <w:rPr>
          <w:rFonts w:hint="eastAsia" w:ascii="宋体" w:hAnsi="宋体" w:eastAsia="宋体" w:cs="Times New Roman"/>
          <w:b w:val="0"/>
          <w:bCs w:val="0"/>
          <w:color w:val="auto"/>
          <w:szCs w:val="21"/>
          <w:highlight w:val="none"/>
          <w:u w:val="none"/>
          <w:lang w:val="en-US" w:eastAsia="zh-CN"/>
        </w:rPr>
        <w:t>日本项目采购意向公开信息在云南省政府采购网发布，网址“http://www.yngp.com/viewPurchaseInfo.html?sys_purchaseintention_id=-5a1e7d29.19f36ec9d47.-17ee”。</w:t>
      </w:r>
    </w:p>
    <w:p w14:paraId="081706F8">
      <w:pPr>
        <w:keepNext w:val="0"/>
        <w:keepLines w:val="0"/>
        <w:pageBreakBefore w:val="0"/>
        <w:widowControl/>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2.</w:t>
      </w:r>
      <w:r>
        <w:rPr>
          <w:rFonts w:hint="eastAsia" w:ascii="宋体" w:hAnsi="宋体" w:cs="Times New Roman"/>
          <w:b w:val="0"/>
          <w:bCs w:val="0"/>
          <w:color w:val="auto"/>
          <w:szCs w:val="21"/>
          <w:highlight w:val="none"/>
          <w:u w:val="none"/>
          <w:lang w:val="en-US" w:eastAsia="zh-CN"/>
        </w:rPr>
        <w:t>2</w:t>
      </w:r>
      <w:r>
        <w:rPr>
          <w:rFonts w:hint="eastAsia" w:ascii="宋体" w:hAnsi="宋体" w:eastAsia="宋体" w:cs="Times New Roman"/>
          <w:b w:val="0"/>
          <w:bCs w:val="0"/>
          <w:color w:val="auto"/>
          <w:szCs w:val="21"/>
          <w:highlight w:val="none"/>
          <w:u w:val="none"/>
          <w:lang w:val="en-US" w:eastAsia="zh-CN"/>
        </w:rPr>
        <w:t>采购代理服务费：招标人与代理机构本着市场定价的原则，在平等、自愿的基础上达成一致，约定服务费由招标代理机构参照《云南省建设工程及政府采购代理服务收费参考意见》（云建招协〔2026〕11号）文中</w:t>
      </w:r>
      <w:r>
        <w:rPr>
          <w:rFonts w:hint="eastAsia" w:ascii="宋体" w:hAnsi="宋体" w:cs="Times New Roman"/>
          <w:b w:val="0"/>
          <w:bCs w:val="0"/>
          <w:color w:val="auto"/>
          <w:szCs w:val="21"/>
          <w:highlight w:val="none"/>
          <w:u w:val="none"/>
          <w:lang w:val="en-US" w:eastAsia="zh-CN"/>
        </w:rPr>
        <w:t>工程</w:t>
      </w:r>
      <w:r>
        <w:rPr>
          <w:rFonts w:hint="eastAsia" w:ascii="宋体" w:hAnsi="宋体" w:eastAsia="宋体" w:cs="Times New Roman"/>
          <w:b w:val="0"/>
          <w:bCs w:val="0"/>
          <w:color w:val="auto"/>
          <w:szCs w:val="21"/>
          <w:highlight w:val="none"/>
          <w:u w:val="none"/>
          <w:lang w:val="en-US" w:eastAsia="zh-CN"/>
        </w:rPr>
        <w:t>类标准计算后</w:t>
      </w:r>
      <w:r>
        <w:rPr>
          <w:rFonts w:hint="eastAsia" w:ascii="宋体" w:hAnsi="宋体" w:cs="宋体"/>
          <w:color w:val="auto"/>
          <w:kern w:val="0"/>
          <w:highlight w:val="none"/>
          <w:lang w:eastAsia="zh-CN"/>
        </w:rPr>
        <w:t>下浮20%收取</w:t>
      </w:r>
      <w:r>
        <w:rPr>
          <w:rFonts w:hint="eastAsia" w:ascii="宋体" w:hAnsi="宋体" w:eastAsia="宋体" w:cs="Times New Roman"/>
          <w:b w:val="0"/>
          <w:bCs w:val="0"/>
          <w:color w:val="auto"/>
          <w:szCs w:val="21"/>
          <w:highlight w:val="none"/>
          <w:u w:val="none"/>
          <w:lang w:val="en-US" w:eastAsia="zh-CN"/>
        </w:rPr>
        <w:t>，由中标人领取中标通知书时向招标代理机构一次性支付。</w:t>
      </w:r>
    </w:p>
    <w:p w14:paraId="06CB8B47">
      <w:pPr>
        <w:keepNext w:val="0"/>
        <w:keepLines w:val="0"/>
        <w:pageBreakBefore w:val="0"/>
        <w:widowControl/>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2.</w:t>
      </w:r>
      <w:r>
        <w:rPr>
          <w:rFonts w:hint="eastAsia" w:ascii="宋体" w:hAnsi="宋体" w:cs="Times New Roman"/>
          <w:b w:val="0"/>
          <w:bCs w:val="0"/>
          <w:color w:val="auto"/>
          <w:szCs w:val="21"/>
          <w:highlight w:val="none"/>
          <w:u w:val="none"/>
          <w:lang w:val="en-US" w:eastAsia="zh-CN"/>
        </w:rPr>
        <w:t>3</w:t>
      </w:r>
      <w:r>
        <w:rPr>
          <w:rFonts w:hint="eastAsia" w:ascii="宋体" w:hAnsi="宋体" w:eastAsia="宋体" w:cs="Times New Roman"/>
          <w:b w:val="0"/>
          <w:bCs w:val="0"/>
          <w:color w:val="auto"/>
          <w:szCs w:val="21"/>
          <w:highlight w:val="none"/>
          <w:u w:val="none"/>
          <w:lang w:val="en-US" w:eastAsia="zh-CN"/>
        </w:rPr>
        <w:t>本项目招标公告发布媒体：云南省政府采购电子交易平台（政采云https://www.zcygov.cn/）、云南省政府采购网（网址：www.yngp.com）。请各位供应商在递交投标（响应）文件前随时查看，以获取最新的消息。</w:t>
      </w:r>
    </w:p>
    <w:p w14:paraId="6BCF8AFA">
      <w:pPr>
        <w:keepNext w:val="0"/>
        <w:keepLines w:val="0"/>
        <w:pageBreakBefore w:val="0"/>
        <w:widowControl/>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2.</w:t>
      </w:r>
      <w:r>
        <w:rPr>
          <w:rFonts w:hint="eastAsia" w:ascii="宋体" w:hAnsi="宋体" w:cs="Times New Roman"/>
          <w:b w:val="0"/>
          <w:bCs w:val="0"/>
          <w:color w:val="auto"/>
          <w:szCs w:val="21"/>
          <w:highlight w:val="none"/>
          <w:u w:val="none"/>
          <w:lang w:val="en-US" w:eastAsia="zh-CN"/>
        </w:rPr>
        <w:t>4</w:t>
      </w:r>
      <w:r>
        <w:rPr>
          <w:rFonts w:hint="eastAsia" w:ascii="宋体" w:hAnsi="宋体" w:eastAsia="宋体" w:cs="Times New Roman"/>
          <w:b w:val="0"/>
          <w:bCs w:val="0"/>
          <w:color w:val="auto"/>
          <w:szCs w:val="21"/>
          <w:highlight w:val="none"/>
          <w:u w:val="none"/>
          <w:lang w:val="en-US" w:eastAsia="zh-CN"/>
        </w:rPr>
        <w:t>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761410AE">
      <w:pPr>
        <w:keepNext w:val="0"/>
        <w:keepLines w:val="0"/>
        <w:pageBreakBefore w:val="0"/>
        <w:widowControl/>
        <w:kinsoku/>
        <w:wordWrap/>
        <w:overflowPunct/>
        <w:topLinePunct w:val="0"/>
        <w:autoSpaceDE/>
        <w:autoSpaceDN/>
        <w:bidi w:val="0"/>
        <w:adjustRightInd/>
        <w:snapToGrid/>
        <w:spacing w:line="510" w:lineRule="exact"/>
        <w:ind w:firstLine="420" w:firstLineChars="200"/>
        <w:textAlignment w:val="auto"/>
        <w:rPr>
          <w:rFonts w:hint="eastAsia" w:ascii="宋体" w:hAnsi="宋体" w:eastAsia="宋体" w:cs="Times New Roman"/>
          <w:b w:val="0"/>
          <w:bCs w:val="0"/>
          <w:color w:val="auto"/>
          <w:szCs w:val="21"/>
          <w:highlight w:val="none"/>
          <w:u w:val="none"/>
          <w:lang w:val="en-US" w:eastAsia="zh-CN"/>
        </w:rPr>
      </w:pPr>
      <w:r>
        <w:rPr>
          <w:rFonts w:hint="eastAsia" w:ascii="宋体" w:hAnsi="宋体" w:eastAsia="宋体" w:cs="Times New Roman"/>
          <w:b w:val="0"/>
          <w:bCs w:val="0"/>
          <w:color w:val="auto"/>
          <w:szCs w:val="21"/>
          <w:highlight w:val="none"/>
          <w:u w:val="none"/>
          <w:lang w:val="en-US" w:eastAsia="zh-CN"/>
        </w:rPr>
        <w:t>2.</w:t>
      </w:r>
      <w:r>
        <w:rPr>
          <w:rFonts w:hint="eastAsia" w:ascii="宋体" w:hAnsi="宋体" w:cs="Times New Roman"/>
          <w:b w:val="0"/>
          <w:bCs w:val="0"/>
          <w:color w:val="auto"/>
          <w:szCs w:val="21"/>
          <w:highlight w:val="none"/>
          <w:u w:val="none"/>
          <w:lang w:val="en-US" w:eastAsia="zh-CN"/>
        </w:rPr>
        <w:t>5</w:t>
      </w:r>
      <w:r>
        <w:rPr>
          <w:rFonts w:hint="eastAsia" w:ascii="宋体" w:hAnsi="宋体" w:eastAsia="宋体" w:cs="Times New Roman"/>
          <w:b w:val="0"/>
          <w:bCs w:val="0"/>
          <w:color w:val="auto"/>
          <w:szCs w:val="21"/>
          <w:highlight w:val="none"/>
          <w:u w:val="none"/>
          <w:lang w:val="en-US" w:eastAsia="zh-CN"/>
        </w:rPr>
        <w:t>监督电话：龙陵县财政局0875-3126792</w:t>
      </w:r>
    </w:p>
    <w:p w14:paraId="0AD7F15F">
      <w:pPr>
        <w:widowControl/>
        <w:spacing w:line="510" w:lineRule="exact"/>
        <w:rPr>
          <w:rFonts w:ascii="宋体" w:hAnsi="宋体" w:cs="宋体"/>
          <w:b/>
          <w:color w:val="auto"/>
          <w:kern w:val="0"/>
          <w:highlight w:val="none"/>
        </w:rPr>
      </w:pPr>
      <w:r>
        <w:rPr>
          <w:rFonts w:hint="eastAsia" w:ascii="宋体" w:hAnsi="宋体" w:cs="宋体"/>
          <w:b/>
          <w:color w:val="auto"/>
          <w:kern w:val="0"/>
          <w:highlight w:val="none"/>
          <w:lang w:val="en-US" w:eastAsia="zh-CN"/>
        </w:rPr>
        <w:t>九</w:t>
      </w:r>
      <w:r>
        <w:rPr>
          <w:rFonts w:hint="eastAsia" w:ascii="宋体" w:hAnsi="宋体" w:cs="宋体"/>
          <w:b/>
          <w:color w:val="auto"/>
          <w:kern w:val="0"/>
          <w:highlight w:val="none"/>
        </w:rPr>
        <w:t>、凡对本次采购提出询问，请按以下方式联系：</w:t>
      </w:r>
    </w:p>
    <w:p w14:paraId="04B246DB">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1.采购人信息</w:t>
      </w:r>
    </w:p>
    <w:p w14:paraId="7B6BDA33">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龙陵县交通运输局</w:t>
      </w:r>
      <w:r>
        <w:rPr>
          <w:rFonts w:hint="eastAsia" w:ascii="宋体" w:hAnsi="宋体" w:cs="宋体"/>
          <w:color w:val="auto"/>
          <w:kern w:val="0"/>
          <w:highlight w:val="none"/>
        </w:rPr>
        <w:t>　</w:t>
      </w:r>
    </w:p>
    <w:p w14:paraId="356F0ADB">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云南省保山市龙陵县兴农路1号</w:t>
      </w:r>
    </w:p>
    <w:p w14:paraId="0E458570">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联系方式：</w:t>
      </w:r>
      <w:r>
        <w:rPr>
          <w:rFonts w:hint="eastAsia" w:ascii="宋体" w:hAnsi="宋体" w:cs="宋体"/>
          <w:color w:val="auto"/>
          <w:kern w:val="0"/>
          <w:highlight w:val="none"/>
          <w:lang w:val="en-US" w:eastAsia="zh-CN"/>
        </w:rPr>
        <w:t>0875-6123085</w:t>
      </w:r>
      <w:r>
        <w:rPr>
          <w:rFonts w:hint="eastAsia" w:ascii="宋体" w:hAnsi="宋体" w:cs="宋体"/>
          <w:color w:val="auto"/>
          <w:kern w:val="0"/>
          <w:highlight w:val="none"/>
          <w:lang w:eastAsia="zh-CN"/>
        </w:rPr>
        <w:t>　</w:t>
      </w:r>
      <w:r>
        <w:rPr>
          <w:rFonts w:hint="eastAsia" w:ascii="宋体" w:hAnsi="宋体" w:cs="宋体"/>
          <w:color w:val="auto"/>
          <w:kern w:val="0"/>
          <w:highlight w:val="none"/>
        </w:rPr>
        <w:t xml:space="preserve"> </w:t>
      </w:r>
    </w:p>
    <w:p w14:paraId="07D197DA">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2.采购代理机构信息</w:t>
      </w:r>
    </w:p>
    <w:p w14:paraId="6414CB56">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保山广驰招标代理有限公司</w:t>
      </w:r>
      <w:r>
        <w:rPr>
          <w:rFonts w:hint="eastAsia" w:ascii="宋体" w:hAnsi="宋体" w:cs="宋体"/>
          <w:color w:val="auto"/>
          <w:kern w:val="0"/>
          <w:highlight w:val="none"/>
        </w:rPr>
        <w:t>　</w:t>
      </w:r>
    </w:p>
    <w:p w14:paraId="2BB652BF">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龙陵县龙山镇龙御江山23-S1</w:t>
      </w:r>
      <w:r>
        <w:rPr>
          <w:rFonts w:hint="eastAsia" w:ascii="宋体" w:hAnsi="宋体" w:cs="宋体"/>
          <w:color w:val="auto"/>
          <w:kern w:val="0"/>
          <w:highlight w:val="none"/>
        </w:rPr>
        <w:t>　</w:t>
      </w:r>
    </w:p>
    <w:p w14:paraId="44E7B364">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联系方式：</w:t>
      </w:r>
      <w:r>
        <w:rPr>
          <w:rFonts w:hint="eastAsia" w:ascii="宋体" w:hAnsi="宋体" w:cs="宋体"/>
          <w:color w:val="auto"/>
          <w:kern w:val="0"/>
          <w:highlight w:val="none"/>
          <w:lang w:eastAsia="zh-CN"/>
        </w:rPr>
        <w:t>0875-6126699、17708755942</w:t>
      </w:r>
      <w:r>
        <w:rPr>
          <w:rFonts w:hint="eastAsia" w:ascii="宋体" w:hAnsi="宋体" w:cs="宋体"/>
          <w:color w:val="auto"/>
          <w:kern w:val="0"/>
          <w:highlight w:val="none"/>
        </w:rPr>
        <w:t xml:space="preserve">  　</w:t>
      </w:r>
    </w:p>
    <w:p w14:paraId="20AB07AC">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3.项目联系方式</w:t>
      </w:r>
    </w:p>
    <w:p w14:paraId="0B442AEF">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hint="eastAsia" w:ascii="宋体" w:hAnsi="宋体" w:cs="宋体"/>
          <w:color w:val="auto"/>
          <w:kern w:val="0"/>
          <w:highlight w:val="none"/>
        </w:rPr>
      </w:pPr>
      <w:r>
        <w:rPr>
          <w:rFonts w:hint="eastAsia" w:ascii="宋体" w:hAnsi="宋体" w:cs="宋体"/>
          <w:color w:val="auto"/>
          <w:kern w:val="0"/>
          <w:highlight w:val="none"/>
        </w:rPr>
        <w:t>采购人项目联系人：</w:t>
      </w:r>
      <w:r>
        <w:rPr>
          <w:rFonts w:hint="eastAsia" w:ascii="宋体" w:hAnsi="宋体" w:cs="宋体"/>
          <w:color w:val="auto"/>
          <w:kern w:val="0"/>
          <w:highlight w:val="none"/>
          <w:lang w:eastAsia="zh-CN"/>
        </w:rPr>
        <w:t>闫先生</w:t>
      </w:r>
      <w:r>
        <w:rPr>
          <w:rFonts w:hint="eastAsia" w:ascii="宋体" w:hAnsi="宋体" w:cs="宋体"/>
          <w:color w:val="auto"/>
          <w:kern w:val="0"/>
          <w:highlight w:val="none"/>
        </w:rPr>
        <w:t xml:space="preserve"> </w:t>
      </w:r>
    </w:p>
    <w:p w14:paraId="468DAC8A">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电　　 话：</w:t>
      </w:r>
      <w:r>
        <w:rPr>
          <w:rFonts w:hint="eastAsia" w:ascii="宋体" w:hAnsi="宋体" w:cs="宋体"/>
          <w:color w:val="auto"/>
          <w:kern w:val="0"/>
          <w:highlight w:val="none"/>
          <w:lang w:val="en-US" w:eastAsia="zh-CN"/>
        </w:rPr>
        <w:t>0875-6123085</w:t>
      </w:r>
      <w:r>
        <w:rPr>
          <w:rFonts w:hint="eastAsia" w:ascii="宋体" w:hAnsi="宋体" w:cs="宋体"/>
          <w:color w:val="auto"/>
          <w:kern w:val="0"/>
          <w:highlight w:val="none"/>
          <w:lang w:eastAsia="zh-CN"/>
        </w:rPr>
        <w:t>　</w:t>
      </w:r>
      <w:r>
        <w:rPr>
          <w:rFonts w:hint="eastAsia" w:ascii="宋体" w:hAnsi="宋体" w:cs="宋体"/>
          <w:color w:val="auto"/>
          <w:kern w:val="0"/>
          <w:highlight w:val="none"/>
        </w:rPr>
        <w:t>　　</w:t>
      </w:r>
    </w:p>
    <w:p w14:paraId="5A690EFA">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采购代理机构项目联系人：</w:t>
      </w:r>
      <w:r>
        <w:rPr>
          <w:rFonts w:hint="eastAsia" w:ascii="宋体" w:hAnsi="宋体" w:cs="宋体"/>
          <w:color w:val="auto"/>
          <w:kern w:val="0"/>
          <w:highlight w:val="none"/>
          <w:lang w:eastAsia="zh-CN"/>
        </w:rPr>
        <w:t>姚先生、童女士</w:t>
      </w:r>
      <w:r>
        <w:rPr>
          <w:rFonts w:hint="eastAsia" w:ascii="宋体" w:hAnsi="宋体" w:cs="宋体"/>
          <w:color w:val="auto"/>
          <w:kern w:val="0"/>
          <w:highlight w:val="none"/>
        </w:rPr>
        <w:t xml:space="preserve">  </w:t>
      </w:r>
    </w:p>
    <w:p w14:paraId="27553CB2">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Courier New"/>
          <w:color w:val="auto"/>
          <w:kern w:val="0"/>
          <w:szCs w:val="21"/>
          <w:highlight w:val="none"/>
        </w:rPr>
      </w:pPr>
      <w:r>
        <w:rPr>
          <w:rFonts w:hint="eastAsia" w:ascii="宋体" w:hAnsi="宋体" w:cs="宋体"/>
          <w:color w:val="auto"/>
          <w:kern w:val="0"/>
          <w:highlight w:val="none"/>
        </w:rPr>
        <w:t>电　　 话：</w:t>
      </w:r>
      <w:r>
        <w:rPr>
          <w:rFonts w:hint="eastAsia" w:ascii="宋体" w:hAnsi="宋体" w:cs="宋体"/>
          <w:color w:val="auto"/>
          <w:kern w:val="0"/>
          <w:highlight w:val="none"/>
          <w:lang w:eastAsia="zh-CN"/>
        </w:rPr>
        <w:t>0875-6126699、17708755942</w:t>
      </w:r>
      <w:r>
        <w:rPr>
          <w:rFonts w:hint="eastAsia" w:ascii="宋体" w:hAnsi="宋体" w:cs="宋体"/>
          <w:color w:val="auto"/>
          <w:kern w:val="0"/>
          <w:highlight w:val="none"/>
        </w:rPr>
        <w:t>　　　　　</w:t>
      </w:r>
    </w:p>
    <w:p w14:paraId="6B9314C7">
      <w:pPr>
        <w:widowControl/>
        <w:spacing w:line="260" w:lineRule="exact"/>
        <w:jc w:val="left"/>
        <w:rPr>
          <w:rFonts w:ascii="宋体" w:hAnsi="Courier New"/>
          <w:color w:val="auto"/>
          <w:kern w:val="0"/>
          <w:szCs w:val="21"/>
          <w:highlight w:val="none"/>
        </w:rPr>
        <w:sectPr>
          <w:footerReference r:id="rId7" w:type="default"/>
          <w:pgSz w:w="11906" w:h="16838"/>
          <w:pgMar w:top="935" w:right="1052" w:bottom="935" w:left="1407" w:header="567" w:footer="567" w:gutter="0"/>
          <w:pgNumType w:fmt="decimal" w:start="1"/>
          <w:cols w:space="720" w:num="1"/>
          <w:docGrid w:type="lines" w:linePitch="312" w:charSpace="200"/>
        </w:sectPr>
      </w:pPr>
    </w:p>
    <w:p w14:paraId="084B9A0D">
      <w:pPr>
        <w:pStyle w:val="2"/>
        <w:jc w:val="center"/>
        <w:rPr>
          <w:rFonts w:ascii="宋体" w:hAnsi="Courier New" w:eastAsia="宋体"/>
          <w:bCs w:val="0"/>
          <w:color w:val="auto"/>
          <w:sz w:val="28"/>
          <w:szCs w:val="28"/>
          <w:highlight w:val="none"/>
        </w:rPr>
      </w:pPr>
      <w:r>
        <w:rPr>
          <w:rFonts w:hint="eastAsia" w:ascii="宋体" w:hAnsi="Courier New" w:eastAsia="宋体"/>
          <w:bCs w:val="0"/>
          <w:color w:val="auto"/>
          <w:sz w:val="28"/>
          <w:szCs w:val="28"/>
          <w:highlight w:val="none"/>
        </w:rPr>
        <w:t>第二章</w:t>
      </w:r>
      <w:r>
        <w:rPr>
          <w:rFonts w:ascii="宋体" w:hAnsi="Courier New" w:eastAsia="宋体"/>
          <w:bCs w:val="0"/>
          <w:color w:val="auto"/>
          <w:sz w:val="28"/>
          <w:szCs w:val="28"/>
          <w:highlight w:val="none"/>
        </w:rPr>
        <w:t xml:space="preserve">  </w:t>
      </w:r>
      <w:r>
        <w:rPr>
          <w:rFonts w:hint="eastAsia" w:ascii="宋体" w:hAnsi="Courier New" w:eastAsia="宋体"/>
          <w:bCs w:val="0"/>
          <w:color w:val="auto"/>
          <w:sz w:val="28"/>
          <w:szCs w:val="28"/>
          <w:highlight w:val="none"/>
        </w:rPr>
        <w:t>磋商申请人须知</w:t>
      </w:r>
      <w:bookmarkEnd w:id="6"/>
    </w:p>
    <w:p w14:paraId="234D0445">
      <w:pPr>
        <w:pStyle w:val="3"/>
        <w:spacing w:before="0"/>
        <w:rPr>
          <w:rFonts w:ascii="宋体" w:hAnsi="Courier New"/>
          <w:bCs w:val="0"/>
          <w:color w:val="auto"/>
          <w:sz w:val="24"/>
          <w:szCs w:val="24"/>
          <w:highlight w:val="none"/>
        </w:rPr>
      </w:pPr>
      <w:bookmarkStart w:id="7" w:name="_Toc383175472"/>
      <w:bookmarkStart w:id="8" w:name="_Toc86124039"/>
      <w:r>
        <w:rPr>
          <w:rFonts w:hint="eastAsia" w:ascii="宋体" w:hAnsi="Courier New"/>
          <w:bCs w:val="0"/>
          <w:color w:val="auto"/>
          <w:sz w:val="24"/>
          <w:szCs w:val="24"/>
          <w:highlight w:val="none"/>
        </w:rPr>
        <w:t>磋商申请人须知前附表</w:t>
      </w:r>
      <w:bookmarkEnd w:id="7"/>
      <w:bookmarkEnd w:id="8"/>
    </w:p>
    <w:tbl>
      <w:tblPr>
        <w:tblStyle w:val="51"/>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2410"/>
        <w:gridCol w:w="6545"/>
      </w:tblGrid>
      <w:tr w14:paraId="0278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36" w:type="dxa"/>
            <w:vAlign w:val="center"/>
          </w:tcPr>
          <w:p w14:paraId="7D1997A5">
            <w:pPr>
              <w:pStyle w:val="27"/>
              <w:spacing w:line="440" w:lineRule="exact"/>
              <w:ind w:left="-79" w:leftChars="-38" w:right="-153" w:rightChars="-73" w:firstLine="79" w:firstLineChars="38"/>
              <w:jc w:val="center"/>
              <w:rPr>
                <w:color w:val="auto"/>
                <w:kern w:val="0"/>
                <w:highlight w:val="none"/>
              </w:rPr>
            </w:pPr>
            <w:r>
              <w:rPr>
                <w:rFonts w:hint="eastAsia"/>
                <w:color w:val="auto"/>
                <w:kern w:val="0"/>
                <w:highlight w:val="none"/>
              </w:rPr>
              <w:t>条款号</w:t>
            </w:r>
          </w:p>
        </w:tc>
        <w:tc>
          <w:tcPr>
            <w:tcW w:w="2410" w:type="dxa"/>
            <w:vAlign w:val="center"/>
          </w:tcPr>
          <w:p w14:paraId="5DC4F42A">
            <w:pPr>
              <w:pStyle w:val="27"/>
              <w:spacing w:line="440" w:lineRule="exact"/>
              <w:jc w:val="center"/>
              <w:rPr>
                <w:color w:val="auto"/>
                <w:kern w:val="0"/>
                <w:highlight w:val="none"/>
              </w:rPr>
            </w:pPr>
            <w:r>
              <w:rPr>
                <w:rFonts w:hint="eastAsia"/>
                <w:color w:val="auto"/>
                <w:kern w:val="0"/>
                <w:highlight w:val="none"/>
              </w:rPr>
              <w:t>条</w:t>
            </w:r>
            <w:r>
              <w:rPr>
                <w:color w:val="auto"/>
                <w:kern w:val="0"/>
                <w:highlight w:val="none"/>
              </w:rPr>
              <w:t xml:space="preserve"> </w:t>
            </w:r>
            <w:r>
              <w:rPr>
                <w:rFonts w:hint="eastAsia"/>
                <w:color w:val="auto"/>
                <w:kern w:val="0"/>
                <w:highlight w:val="none"/>
              </w:rPr>
              <w:t>款</w:t>
            </w:r>
            <w:r>
              <w:rPr>
                <w:color w:val="auto"/>
                <w:kern w:val="0"/>
                <w:highlight w:val="none"/>
              </w:rPr>
              <w:t xml:space="preserve"> </w:t>
            </w:r>
            <w:r>
              <w:rPr>
                <w:rFonts w:hint="eastAsia"/>
                <w:color w:val="auto"/>
                <w:kern w:val="0"/>
                <w:highlight w:val="none"/>
              </w:rPr>
              <w:t>名</w:t>
            </w:r>
            <w:r>
              <w:rPr>
                <w:color w:val="auto"/>
                <w:kern w:val="0"/>
                <w:highlight w:val="none"/>
              </w:rPr>
              <w:t xml:space="preserve"> </w:t>
            </w:r>
            <w:r>
              <w:rPr>
                <w:rFonts w:hint="eastAsia"/>
                <w:color w:val="auto"/>
                <w:kern w:val="0"/>
                <w:highlight w:val="none"/>
              </w:rPr>
              <w:t>称</w:t>
            </w:r>
          </w:p>
        </w:tc>
        <w:tc>
          <w:tcPr>
            <w:tcW w:w="6545" w:type="dxa"/>
            <w:vAlign w:val="center"/>
          </w:tcPr>
          <w:p w14:paraId="3B4CA9B0">
            <w:pPr>
              <w:pStyle w:val="27"/>
              <w:spacing w:line="440" w:lineRule="exact"/>
              <w:jc w:val="center"/>
              <w:rPr>
                <w:color w:val="auto"/>
                <w:kern w:val="0"/>
                <w:highlight w:val="none"/>
              </w:rPr>
            </w:pPr>
            <w:r>
              <w:rPr>
                <w:rFonts w:hint="eastAsia"/>
                <w:color w:val="auto"/>
                <w:kern w:val="0"/>
                <w:highlight w:val="none"/>
              </w:rPr>
              <w:t>编</w:t>
            </w:r>
            <w:r>
              <w:rPr>
                <w:color w:val="auto"/>
                <w:kern w:val="0"/>
                <w:highlight w:val="none"/>
              </w:rPr>
              <w:t xml:space="preserve"> </w:t>
            </w:r>
            <w:r>
              <w:rPr>
                <w:rFonts w:hint="eastAsia"/>
                <w:color w:val="auto"/>
                <w:kern w:val="0"/>
                <w:highlight w:val="none"/>
              </w:rPr>
              <w:t>列</w:t>
            </w:r>
            <w:r>
              <w:rPr>
                <w:color w:val="auto"/>
                <w:kern w:val="0"/>
                <w:highlight w:val="none"/>
              </w:rPr>
              <w:t xml:space="preserve"> </w:t>
            </w:r>
            <w:r>
              <w:rPr>
                <w:rFonts w:hint="eastAsia"/>
                <w:color w:val="auto"/>
                <w:kern w:val="0"/>
                <w:highlight w:val="none"/>
              </w:rPr>
              <w:t>内</w:t>
            </w:r>
            <w:r>
              <w:rPr>
                <w:color w:val="auto"/>
                <w:kern w:val="0"/>
                <w:highlight w:val="none"/>
              </w:rPr>
              <w:t xml:space="preserve"> </w:t>
            </w:r>
            <w:r>
              <w:rPr>
                <w:rFonts w:hint="eastAsia"/>
                <w:color w:val="auto"/>
                <w:kern w:val="0"/>
                <w:highlight w:val="none"/>
              </w:rPr>
              <w:t>容</w:t>
            </w:r>
          </w:p>
        </w:tc>
      </w:tr>
      <w:tr w14:paraId="349F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1B847C18">
            <w:pPr>
              <w:pStyle w:val="27"/>
              <w:spacing w:line="440" w:lineRule="exact"/>
              <w:jc w:val="center"/>
              <w:rPr>
                <w:color w:val="auto"/>
                <w:kern w:val="0"/>
                <w:highlight w:val="none"/>
              </w:rPr>
            </w:pPr>
            <w:r>
              <w:rPr>
                <w:color w:val="auto"/>
                <w:kern w:val="0"/>
                <w:highlight w:val="none"/>
              </w:rPr>
              <w:t>1.2</w:t>
            </w:r>
          </w:p>
        </w:tc>
        <w:tc>
          <w:tcPr>
            <w:tcW w:w="2410" w:type="dxa"/>
            <w:vAlign w:val="center"/>
          </w:tcPr>
          <w:p w14:paraId="3C43926C">
            <w:pPr>
              <w:pStyle w:val="27"/>
              <w:spacing w:line="440" w:lineRule="exact"/>
              <w:rPr>
                <w:color w:val="auto"/>
                <w:kern w:val="0"/>
                <w:highlight w:val="none"/>
              </w:rPr>
            </w:pPr>
            <w:r>
              <w:rPr>
                <w:rFonts w:hint="eastAsia"/>
                <w:color w:val="auto"/>
                <w:kern w:val="0"/>
                <w:highlight w:val="none"/>
              </w:rPr>
              <w:t>采购人</w:t>
            </w:r>
          </w:p>
        </w:tc>
        <w:tc>
          <w:tcPr>
            <w:tcW w:w="6545" w:type="dxa"/>
            <w:vAlign w:val="center"/>
          </w:tcPr>
          <w:p w14:paraId="60117A1D">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龙陵县交通运输局</w:t>
            </w:r>
          </w:p>
        </w:tc>
      </w:tr>
      <w:tr w14:paraId="37CE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36" w:type="dxa"/>
            <w:vMerge w:val="continue"/>
            <w:vAlign w:val="center"/>
          </w:tcPr>
          <w:p w14:paraId="311543AE">
            <w:pPr>
              <w:spacing w:line="440" w:lineRule="exact"/>
              <w:rPr>
                <w:rFonts w:ascii="宋体" w:hAnsi="Courier New"/>
                <w:color w:val="auto"/>
                <w:kern w:val="0"/>
                <w:szCs w:val="21"/>
                <w:highlight w:val="none"/>
              </w:rPr>
            </w:pPr>
          </w:p>
        </w:tc>
        <w:tc>
          <w:tcPr>
            <w:tcW w:w="2410" w:type="dxa"/>
            <w:vAlign w:val="center"/>
          </w:tcPr>
          <w:p w14:paraId="22BDE559">
            <w:pPr>
              <w:pStyle w:val="27"/>
              <w:spacing w:line="440" w:lineRule="exact"/>
              <w:rPr>
                <w:color w:val="auto"/>
                <w:kern w:val="0"/>
                <w:highlight w:val="none"/>
              </w:rPr>
            </w:pPr>
            <w:r>
              <w:rPr>
                <w:rFonts w:hint="eastAsia"/>
                <w:color w:val="auto"/>
                <w:kern w:val="0"/>
                <w:highlight w:val="none"/>
              </w:rPr>
              <w:t>采购代理机构</w:t>
            </w:r>
          </w:p>
        </w:tc>
        <w:tc>
          <w:tcPr>
            <w:tcW w:w="6545" w:type="dxa"/>
            <w:vAlign w:val="center"/>
          </w:tcPr>
          <w:p w14:paraId="430BA509">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保山广驰招标代理有限公司</w:t>
            </w:r>
          </w:p>
        </w:tc>
      </w:tr>
      <w:tr w14:paraId="481D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392C434F">
            <w:pPr>
              <w:spacing w:line="440" w:lineRule="exact"/>
              <w:rPr>
                <w:rFonts w:ascii="宋体" w:hAnsi="Courier New"/>
                <w:color w:val="auto"/>
                <w:kern w:val="0"/>
                <w:szCs w:val="21"/>
                <w:highlight w:val="none"/>
              </w:rPr>
            </w:pPr>
          </w:p>
        </w:tc>
        <w:tc>
          <w:tcPr>
            <w:tcW w:w="2410" w:type="dxa"/>
            <w:vAlign w:val="center"/>
          </w:tcPr>
          <w:p w14:paraId="70A549FF">
            <w:pPr>
              <w:pStyle w:val="27"/>
              <w:spacing w:line="440" w:lineRule="exact"/>
              <w:rPr>
                <w:color w:val="auto"/>
                <w:kern w:val="0"/>
                <w:highlight w:val="none"/>
              </w:rPr>
            </w:pPr>
            <w:r>
              <w:rPr>
                <w:rFonts w:hint="eastAsia"/>
                <w:color w:val="auto"/>
                <w:kern w:val="0"/>
                <w:highlight w:val="none"/>
              </w:rPr>
              <w:t>项目名称</w:t>
            </w:r>
          </w:p>
        </w:tc>
        <w:tc>
          <w:tcPr>
            <w:tcW w:w="6545" w:type="dxa"/>
            <w:vAlign w:val="center"/>
          </w:tcPr>
          <w:p w14:paraId="3A559FD2">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碧寨乡水库垭口至庙房垭口农村公路建设项目</w:t>
            </w:r>
          </w:p>
        </w:tc>
      </w:tr>
      <w:tr w14:paraId="12BB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1676AB06">
            <w:pPr>
              <w:spacing w:line="440" w:lineRule="exact"/>
              <w:rPr>
                <w:rFonts w:ascii="宋体" w:hAnsi="Courier New"/>
                <w:color w:val="auto"/>
                <w:kern w:val="0"/>
                <w:szCs w:val="21"/>
                <w:highlight w:val="none"/>
              </w:rPr>
            </w:pPr>
          </w:p>
        </w:tc>
        <w:tc>
          <w:tcPr>
            <w:tcW w:w="2410" w:type="dxa"/>
            <w:vAlign w:val="center"/>
          </w:tcPr>
          <w:p w14:paraId="0F8134FD">
            <w:pPr>
              <w:pStyle w:val="27"/>
              <w:spacing w:line="440" w:lineRule="exact"/>
              <w:rPr>
                <w:color w:val="auto"/>
                <w:kern w:val="0"/>
                <w:highlight w:val="none"/>
              </w:rPr>
            </w:pPr>
            <w:r>
              <w:rPr>
                <w:rFonts w:hint="eastAsia"/>
                <w:color w:val="auto"/>
                <w:kern w:val="0"/>
                <w:highlight w:val="none"/>
              </w:rPr>
              <w:t>采购编号</w:t>
            </w:r>
          </w:p>
        </w:tc>
        <w:tc>
          <w:tcPr>
            <w:tcW w:w="6545" w:type="dxa"/>
            <w:vAlign w:val="center"/>
          </w:tcPr>
          <w:p w14:paraId="64FF72B1">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BSGCZB-2026LL-070C</w:t>
            </w:r>
          </w:p>
        </w:tc>
      </w:tr>
      <w:tr w14:paraId="3C5C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235D9FE">
            <w:pPr>
              <w:pStyle w:val="27"/>
              <w:spacing w:line="440" w:lineRule="exact"/>
              <w:jc w:val="center"/>
              <w:rPr>
                <w:color w:val="auto"/>
                <w:kern w:val="0"/>
                <w:highlight w:val="none"/>
              </w:rPr>
            </w:pPr>
            <w:r>
              <w:rPr>
                <w:color w:val="auto"/>
                <w:kern w:val="0"/>
                <w:highlight w:val="none"/>
              </w:rPr>
              <w:t>3.1</w:t>
            </w:r>
          </w:p>
        </w:tc>
        <w:tc>
          <w:tcPr>
            <w:tcW w:w="2410" w:type="dxa"/>
            <w:vAlign w:val="center"/>
          </w:tcPr>
          <w:p w14:paraId="2869F4DE">
            <w:pPr>
              <w:pStyle w:val="27"/>
              <w:spacing w:line="440" w:lineRule="exact"/>
              <w:rPr>
                <w:color w:val="auto"/>
                <w:kern w:val="0"/>
                <w:highlight w:val="none"/>
              </w:rPr>
            </w:pPr>
            <w:r>
              <w:rPr>
                <w:rFonts w:hint="eastAsia"/>
                <w:color w:val="auto"/>
                <w:kern w:val="0"/>
                <w:highlight w:val="none"/>
              </w:rPr>
              <w:t>采购内容</w:t>
            </w:r>
          </w:p>
        </w:tc>
        <w:tc>
          <w:tcPr>
            <w:tcW w:w="6545" w:type="dxa"/>
            <w:vAlign w:val="center"/>
          </w:tcPr>
          <w:p w14:paraId="29545E04">
            <w:pPr>
              <w:pStyle w:val="27"/>
              <w:spacing w:line="440" w:lineRule="exact"/>
              <w:rPr>
                <w:color w:val="auto"/>
                <w:kern w:val="0"/>
                <w:highlight w:val="none"/>
              </w:rPr>
            </w:pPr>
            <w:r>
              <w:rPr>
                <w:rFonts w:hint="eastAsia"/>
                <w:color w:val="auto"/>
                <w:kern w:val="0"/>
                <w:highlight w:val="none"/>
              </w:rPr>
              <w:t>详见第五章《项目需求》</w:t>
            </w:r>
          </w:p>
        </w:tc>
      </w:tr>
      <w:tr w14:paraId="20D6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C7A70EF">
            <w:pPr>
              <w:pStyle w:val="27"/>
              <w:spacing w:line="440" w:lineRule="exact"/>
              <w:jc w:val="center"/>
              <w:rPr>
                <w:color w:val="auto"/>
                <w:kern w:val="0"/>
                <w:highlight w:val="none"/>
              </w:rPr>
            </w:pPr>
            <w:r>
              <w:rPr>
                <w:rFonts w:hint="eastAsia"/>
                <w:color w:val="auto"/>
                <w:kern w:val="0"/>
                <w:highlight w:val="none"/>
                <w:lang w:val="en-US" w:eastAsia="zh-CN"/>
              </w:rPr>
              <w:t>3.2</w:t>
            </w:r>
          </w:p>
        </w:tc>
        <w:tc>
          <w:tcPr>
            <w:tcW w:w="2410" w:type="dxa"/>
            <w:vAlign w:val="center"/>
          </w:tcPr>
          <w:p w14:paraId="4E52C2BE">
            <w:pPr>
              <w:pStyle w:val="27"/>
              <w:spacing w:line="440" w:lineRule="exact"/>
              <w:rPr>
                <w:rFonts w:hint="eastAsia"/>
                <w:color w:val="auto"/>
                <w:kern w:val="0"/>
                <w:highlight w:val="none"/>
              </w:rPr>
            </w:pPr>
            <w:r>
              <w:rPr>
                <w:rFonts w:hint="eastAsia"/>
                <w:color w:val="auto"/>
                <w:kern w:val="0"/>
                <w:highlight w:val="none"/>
                <w:lang w:eastAsia="zh-CN"/>
              </w:rPr>
              <w:t>服务期限及实施地点</w:t>
            </w:r>
          </w:p>
        </w:tc>
        <w:tc>
          <w:tcPr>
            <w:tcW w:w="6545" w:type="dxa"/>
            <w:vAlign w:val="center"/>
          </w:tcPr>
          <w:p w14:paraId="6F8B6A03">
            <w:pPr>
              <w:pStyle w:val="27"/>
              <w:spacing w:line="440" w:lineRule="exact"/>
              <w:rPr>
                <w:rFonts w:hint="eastAsia"/>
                <w:color w:val="auto"/>
                <w:kern w:val="0"/>
                <w:highlight w:val="none"/>
                <w:lang w:eastAsia="zh-CN"/>
              </w:rPr>
            </w:pPr>
            <w:r>
              <w:rPr>
                <w:rFonts w:hint="eastAsia"/>
                <w:color w:val="auto"/>
                <w:kern w:val="0"/>
                <w:highlight w:val="none"/>
                <w:lang w:eastAsia="zh-CN"/>
              </w:rPr>
              <w:t>服务期限：合同签订后180个日历天内通过竣工验收交付使用；</w:t>
            </w:r>
          </w:p>
          <w:p w14:paraId="3A8DCB39">
            <w:pPr>
              <w:pStyle w:val="27"/>
              <w:spacing w:line="440" w:lineRule="exact"/>
              <w:rPr>
                <w:rFonts w:hint="eastAsia"/>
                <w:color w:val="auto"/>
                <w:kern w:val="0"/>
                <w:highlight w:val="none"/>
              </w:rPr>
            </w:pPr>
            <w:r>
              <w:rPr>
                <w:rFonts w:hint="eastAsia"/>
                <w:color w:val="auto"/>
                <w:kern w:val="0"/>
                <w:highlight w:val="none"/>
                <w:lang w:eastAsia="zh-CN"/>
              </w:rPr>
              <w:t>实施地点：</w:t>
            </w:r>
            <w:r>
              <w:rPr>
                <w:rFonts w:hint="eastAsia" w:hAnsi="宋体"/>
                <w:bCs/>
                <w:color w:val="auto"/>
                <w:szCs w:val="21"/>
                <w:highlight w:val="none"/>
                <w:lang w:val="en-US" w:eastAsia="zh-CN"/>
              </w:rPr>
              <w:t>龙陵县碧寨乡</w:t>
            </w:r>
            <w:r>
              <w:rPr>
                <w:rFonts w:hint="eastAsia" w:ascii="宋体" w:hAnsi="宋体"/>
                <w:bCs/>
                <w:color w:val="auto"/>
                <w:szCs w:val="21"/>
                <w:highlight w:val="none"/>
                <w:lang w:eastAsia="zh-CN"/>
              </w:rPr>
              <w:t>。</w:t>
            </w:r>
          </w:p>
        </w:tc>
      </w:tr>
      <w:tr w14:paraId="79B8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6D8D758D">
            <w:pPr>
              <w:pStyle w:val="27"/>
              <w:spacing w:line="440" w:lineRule="exact"/>
              <w:jc w:val="center"/>
              <w:rPr>
                <w:color w:val="auto"/>
                <w:kern w:val="0"/>
                <w:highlight w:val="none"/>
              </w:rPr>
            </w:pPr>
            <w:r>
              <w:rPr>
                <w:color w:val="auto"/>
                <w:kern w:val="0"/>
                <w:highlight w:val="none"/>
              </w:rPr>
              <w:t>4</w:t>
            </w:r>
          </w:p>
        </w:tc>
        <w:tc>
          <w:tcPr>
            <w:tcW w:w="2410" w:type="dxa"/>
            <w:vAlign w:val="center"/>
          </w:tcPr>
          <w:p w14:paraId="48820239">
            <w:pPr>
              <w:pStyle w:val="27"/>
              <w:spacing w:line="440" w:lineRule="exact"/>
              <w:rPr>
                <w:color w:val="auto"/>
                <w:kern w:val="0"/>
                <w:highlight w:val="none"/>
              </w:rPr>
            </w:pPr>
            <w:r>
              <w:rPr>
                <w:rFonts w:hint="eastAsia"/>
                <w:color w:val="auto"/>
                <w:kern w:val="0"/>
                <w:highlight w:val="none"/>
              </w:rPr>
              <w:t>磋商申请人资格要求</w:t>
            </w:r>
          </w:p>
        </w:tc>
        <w:tc>
          <w:tcPr>
            <w:tcW w:w="6545" w:type="dxa"/>
            <w:vAlign w:val="center"/>
          </w:tcPr>
          <w:p w14:paraId="7B25AA2E">
            <w:pPr>
              <w:spacing w:line="440" w:lineRule="exact"/>
              <w:rPr>
                <w:rFonts w:ascii="宋体" w:hAnsi="Courier New"/>
                <w:color w:val="auto"/>
                <w:kern w:val="0"/>
                <w:szCs w:val="21"/>
                <w:highlight w:val="none"/>
              </w:rPr>
            </w:pPr>
            <w:r>
              <w:rPr>
                <w:rFonts w:hint="eastAsia" w:ascii="宋体" w:hAnsi="Courier New"/>
                <w:color w:val="auto"/>
                <w:kern w:val="0"/>
                <w:szCs w:val="21"/>
                <w:highlight w:val="none"/>
              </w:rPr>
              <w:t>见第一章“竞争性磋商公告”</w:t>
            </w:r>
          </w:p>
        </w:tc>
      </w:tr>
      <w:tr w14:paraId="737D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8C39F23">
            <w:pPr>
              <w:pStyle w:val="27"/>
              <w:spacing w:line="440" w:lineRule="exact"/>
              <w:jc w:val="center"/>
              <w:rPr>
                <w:color w:val="auto"/>
                <w:kern w:val="0"/>
                <w:highlight w:val="none"/>
              </w:rPr>
            </w:pPr>
            <w:r>
              <w:rPr>
                <w:color w:val="auto"/>
                <w:kern w:val="0"/>
                <w:highlight w:val="none"/>
              </w:rPr>
              <w:t>7.1</w:t>
            </w:r>
          </w:p>
        </w:tc>
        <w:tc>
          <w:tcPr>
            <w:tcW w:w="2410" w:type="dxa"/>
            <w:vAlign w:val="center"/>
          </w:tcPr>
          <w:p w14:paraId="53A38684">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磋商文件澄清截止时间</w:t>
            </w:r>
          </w:p>
        </w:tc>
        <w:tc>
          <w:tcPr>
            <w:tcW w:w="6545" w:type="dxa"/>
            <w:vAlign w:val="center"/>
          </w:tcPr>
          <w:p w14:paraId="11D2D278">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提交响应文件截止时间5日前。</w:t>
            </w:r>
          </w:p>
        </w:tc>
      </w:tr>
      <w:tr w14:paraId="5E0A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63F3274">
            <w:pPr>
              <w:pStyle w:val="27"/>
              <w:spacing w:line="440" w:lineRule="exact"/>
              <w:jc w:val="center"/>
              <w:rPr>
                <w:color w:val="auto"/>
                <w:kern w:val="0"/>
                <w:highlight w:val="none"/>
              </w:rPr>
            </w:pPr>
            <w:r>
              <w:rPr>
                <w:color w:val="auto"/>
                <w:kern w:val="0"/>
                <w:highlight w:val="none"/>
              </w:rPr>
              <w:t>7.5</w:t>
            </w:r>
          </w:p>
        </w:tc>
        <w:tc>
          <w:tcPr>
            <w:tcW w:w="2410" w:type="dxa"/>
            <w:vAlign w:val="center"/>
          </w:tcPr>
          <w:p w14:paraId="2F245B25">
            <w:pPr>
              <w:autoSpaceDE w:val="0"/>
              <w:autoSpaceDN w:val="0"/>
              <w:snapToGrid w:val="0"/>
              <w:spacing w:line="40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本项目磋商小组根据与磋商申请人磋商情况可能实质性变动的内容</w:t>
            </w:r>
          </w:p>
        </w:tc>
        <w:tc>
          <w:tcPr>
            <w:tcW w:w="6545" w:type="dxa"/>
            <w:vAlign w:val="center"/>
          </w:tcPr>
          <w:p w14:paraId="56404826">
            <w:pPr>
              <w:autoSpaceDE w:val="0"/>
              <w:autoSpaceDN w:val="0"/>
              <w:snapToGrid w:val="0"/>
              <w:spacing w:line="40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第五章</w:t>
            </w:r>
            <w:r>
              <w:rPr>
                <w:rFonts w:ascii="宋体" w:hAnsi="Courier New"/>
                <w:color w:val="auto"/>
                <w:kern w:val="0"/>
                <w:szCs w:val="21"/>
                <w:highlight w:val="none"/>
              </w:rPr>
              <w:t xml:space="preserve">  </w:t>
            </w:r>
            <w:r>
              <w:rPr>
                <w:rFonts w:hint="eastAsia" w:ascii="宋体" w:hAnsi="Courier New"/>
                <w:color w:val="auto"/>
                <w:kern w:val="0"/>
                <w:szCs w:val="21"/>
                <w:highlight w:val="none"/>
              </w:rPr>
              <w:t>项目需求等</w:t>
            </w:r>
          </w:p>
        </w:tc>
      </w:tr>
      <w:tr w14:paraId="2F4C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A8914ED">
            <w:pPr>
              <w:pStyle w:val="27"/>
              <w:spacing w:line="440" w:lineRule="exact"/>
              <w:jc w:val="center"/>
              <w:rPr>
                <w:color w:val="auto"/>
                <w:kern w:val="0"/>
                <w:highlight w:val="none"/>
              </w:rPr>
            </w:pPr>
            <w:r>
              <w:rPr>
                <w:color w:val="auto"/>
                <w:kern w:val="0"/>
                <w:highlight w:val="none"/>
              </w:rPr>
              <w:t>9.1</w:t>
            </w:r>
            <w:r>
              <w:rPr>
                <w:rFonts w:hint="eastAsia"/>
                <w:color w:val="auto"/>
                <w:kern w:val="0"/>
                <w:highlight w:val="none"/>
              </w:rPr>
              <w:t xml:space="preserve"> </w:t>
            </w:r>
          </w:p>
        </w:tc>
        <w:tc>
          <w:tcPr>
            <w:tcW w:w="2410" w:type="dxa"/>
            <w:vAlign w:val="center"/>
          </w:tcPr>
          <w:p w14:paraId="558506DA">
            <w:pPr>
              <w:autoSpaceDE w:val="0"/>
              <w:autoSpaceDN w:val="0"/>
              <w:snapToGrid w:val="0"/>
              <w:spacing w:line="400" w:lineRule="exact"/>
              <w:textAlignment w:val="bottom"/>
              <w:rPr>
                <w:rFonts w:ascii="宋体" w:hAnsi="Courier New"/>
                <w:color w:val="auto"/>
                <w:kern w:val="0"/>
                <w:szCs w:val="21"/>
                <w:highlight w:val="none"/>
              </w:rPr>
            </w:pPr>
            <w:r>
              <w:rPr>
                <w:rFonts w:hint="eastAsia"/>
                <w:color w:val="auto"/>
                <w:kern w:val="0"/>
                <w:highlight w:val="none"/>
              </w:rPr>
              <w:t>构成响应文件的其他资料</w:t>
            </w:r>
          </w:p>
        </w:tc>
        <w:tc>
          <w:tcPr>
            <w:tcW w:w="6545" w:type="dxa"/>
            <w:vAlign w:val="center"/>
          </w:tcPr>
          <w:p w14:paraId="696EEA04">
            <w:pPr>
              <w:spacing w:line="400" w:lineRule="exact"/>
              <w:ind w:left="37" w:leftChars="18"/>
              <w:rPr>
                <w:rFonts w:ascii="宋体" w:hAnsi="Courier New"/>
                <w:color w:val="auto"/>
                <w:kern w:val="0"/>
                <w:szCs w:val="21"/>
                <w:highlight w:val="none"/>
              </w:rPr>
            </w:pPr>
            <w:r>
              <w:rPr>
                <w:rFonts w:hint="eastAsia" w:ascii="宋体" w:hAnsi="Courier New"/>
                <w:color w:val="auto"/>
                <w:kern w:val="0"/>
                <w:szCs w:val="21"/>
                <w:highlight w:val="none"/>
              </w:rPr>
              <w:t>1.具备履行合同所必需的设备和专业技术能力的证明材料；</w:t>
            </w:r>
          </w:p>
          <w:p w14:paraId="053AB4E7">
            <w:pPr>
              <w:spacing w:line="400" w:lineRule="exact"/>
              <w:ind w:left="37" w:leftChars="18"/>
              <w:rPr>
                <w:rFonts w:hint="eastAsia" w:ascii="宋体" w:hAnsi="Courier New"/>
                <w:color w:val="auto"/>
                <w:kern w:val="0"/>
                <w:szCs w:val="21"/>
                <w:highlight w:val="none"/>
                <w:lang w:eastAsia="zh-CN"/>
              </w:rPr>
            </w:pPr>
            <w:r>
              <w:rPr>
                <w:rFonts w:hint="eastAsia" w:ascii="宋体" w:hAnsi="Courier New"/>
                <w:color w:val="auto"/>
                <w:kern w:val="0"/>
                <w:szCs w:val="21"/>
                <w:highlight w:val="none"/>
                <w:lang w:val="en-US" w:eastAsia="zh-CN"/>
              </w:rPr>
              <w:t>2.</w:t>
            </w:r>
            <w:r>
              <w:rPr>
                <w:rFonts w:hint="eastAsia" w:ascii="宋体" w:hAnsi="Courier New"/>
                <w:color w:val="auto"/>
                <w:kern w:val="0"/>
                <w:szCs w:val="21"/>
                <w:highlight w:val="none"/>
              </w:rPr>
              <w:t>若磋商文件中另有要求的，则还应满足其他要求中的相关资质要求</w:t>
            </w:r>
            <w:r>
              <w:rPr>
                <w:rFonts w:hint="eastAsia" w:ascii="宋体" w:hAnsi="Courier New"/>
                <w:color w:val="auto"/>
                <w:kern w:val="0"/>
                <w:szCs w:val="21"/>
                <w:highlight w:val="none"/>
                <w:lang w:eastAsia="zh-CN"/>
              </w:rPr>
              <w:t>；</w:t>
            </w:r>
          </w:p>
          <w:p w14:paraId="6036E480">
            <w:pPr>
              <w:spacing w:line="400" w:lineRule="exact"/>
              <w:ind w:left="37" w:leftChars="18"/>
              <w:rPr>
                <w:color w:val="auto"/>
                <w:kern w:val="0"/>
                <w:highlight w:val="none"/>
              </w:rPr>
            </w:pPr>
            <w:r>
              <w:rPr>
                <w:rFonts w:hint="eastAsia" w:ascii="宋体" w:hAnsi="Courier New"/>
                <w:color w:val="auto"/>
                <w:kern w:val="0"/>
                <w:szCs w:val="21"/>
                <w:highlight w:val="none"/>
              </w:rPr>
              <w:t>3.磋商申请人资格要求中要求提供的资料以及磋商申请人认为需要</w:t>
            </w:r>
            <w:r>
              <w:rPr>
                <w:rFonts w:hint="eastAsia"/>
                <w:color w:val="auto"/>
                <w:kern w:val="0"/>
                <w:highlight w:val="none"/>
              </w:rPr>
              <w:t>提供的其他资料。</w:t>
            </w:r>
          </w:p>
        </w:tc>
      </w:tr>
      <w:tr w14:paraId="7C27F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vAlign w:val="center"/>
          </w:tcPr>
          <w:p w14:paraId="6AB519F1">
            <w:pPr>
              <w:pStyle w:val="27"/>
              <w:spacing w:line="440" w:lineRule="exact"/>
              <w:jc w:val="center"/>
              <w:rPr>
                <w:color w:val="auto"/>
                <w:kern w:val="0"/>
                <w:highlight w:val="none"/>
              </w:rPr>
            </w:pPr>
            <w:r>
              <w:rPr>
                <w:color w:val="auto"/>
                <w:kern w:val="0"/>
                <w:highlight w:val="none"/>
              </w:rPr>
              <w:t>10.1</w:t>
            </w:r>
          </w:p>
        </w:tc>
        <w:tc>
          <w:tcPr>
            <w:tcW w:w="2410" w:type="dxa"/>
            <w:vAlign w:val="center"/>
          </w:tcPr>
          <w:p w14:paraId="77A623AF">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采购预算及最高限价（人民币）</w:t>
            </w:r>
          </w:p>
        </w:tc>
        <w:tc>
          <w:tcPr>
            <w:tcW w:w="6545" w:type="dxa"/>
            <w:vAlign w:val="center"/>
          </w:tcPr>
          <w:p w14:paraId="74B528BE">
            <w:pPr>
              <w:autoSpaceDE w:val="0"/>
              <w:autoSpaceDN w:val="0"/>
              <w:snapToGrid w:val="0"/>
              <w:spacing w:line="440" w:lineRule="exact"/>
              <w:textAlignment w:val="bottom"/>
              <w:rPr>
                <w:rFonts w:hint="eastAsia" w:ascii="宋体" w:hAnsi="Courier New" w:eastAsia="宋体"/>
                <w:color w:val="auto"/>
                <w:kern w:val="0"/>
                <w:szCs w:val="21"/>
                <w:highlight w:val="none"/>
                <w:lang w:eastAsia="zh-CN"/>
              </w:rPr>
            </w:pPr>
            <w:r>
              <w:rPr>
                <w:rFonts w:hint="eastAsia" w:ascii="宋体" w:hAnsi="Courier New"/>
                <w:color w:val="auto"/>
                <w:kern w:val="0"/>
                <w:szCs w:val="21"/>
                <w:highlight w:val="none"/>
              </w:rPr>
              <w:t>采购预算</w:t>
            </w:r>
            <w:r>
              <w:rPr>
                <w:rFonts w:hint="eastAsia" w:ascii="宋体" w:hAnsi="Courier New"/>
                <w:color w:val="auto"/>
                <w:kern w:val="0"/>
                <w:szCs w:val="21"/>
                <w:highlight w:val="none"/>
                <w:lang w:eastAsia="zh-CN"/>
              </w:rPr>
              <w:t>：</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3200000.00</w:t>
            </w:r>
            <w:r>
              <w:rPr>
                <w:rFonts w:hint="eastAsia" w:ascii="宋体" w:hAnsi="宋体" w:cs="宋体"/>
                <w:color w:val="auto"/>
                <w:kern w:val="0"/>
                <w:highlight w:val="none"/>
              </w:rPr>
              <w:t>元</w:t>
            </w:r>
          </w:p>
          <w:p w14:paraId="4213BDAF">
            <w:pPr>
              <w:autoSpaceDE w:val="0"/>
              <w:autoSpaceDN w:val="0"/>
              <w:snapToGrid w:val="0"/>
              <w:spacing w:line="440" w:lineRule="exact"/>
              <w:textAlignment w:val="bottom"/>
              <w:rPr>
                <w:rFonts w:hint="eastAsia" w:ascii="宋体" w:hAnsi="宋体" w:eastAsia="宋体" w:cs="宋体"/>
                <w:b/>
                <w:bCs/>
                <w:color w:val="auto"/>
                <w:kern w:val="0"/>
                <w:highlight w:val="none"/>
                <w:lang w:eastAsia="zh-CN"/>
              </w:rPr>
            </w:pPr>
            <w:r>
              <w:rPr>
                <w:rFonts w:hint="eastAsia" w:ascii="宋体" w:hAnsi="Courier New"/>
                <w:b/>
                <w:bCs/>
                <w:color w:val="auto"/>
                <w:kern w:val="0"/>
                <w:szCs w:val="21"/>
                <w:highlight w:val="none"/>
              </w:rPr>
              <w:t>最高限价：</w:t>
            </w:r>
            <w:r>
              <w:rPr>
                <w:rFonts w:hint="eastAsia" w:ascii="宋体" w:hAnsi="宋体" w:cs="宋体"/>
                <w:b/>
                <w:bCs/>
                <w:color w:val="auto"/>
                <w:kern w:val="0"/>
                <w:highlight w:val="none"/>
              </w:rPr>
              <w:t>¥</w:t>
            </w:r>
            <w:r>
              <w:rPr>
                <w:rFonts w:hint="eastAsia" w:ascii="宋体" w:hAnsi="宋体" w:cs="宋体"/>
                <w:b/>
                <w:bCs/>
                <w:color w:val="auto"/>
                <w:kern w:val="0"/>
                <w:highlight w:val="none"/>
                <w:lang w:eastAsia="zh-CN"/>
              </w:rPr>
              <w:t>3144204.51</w:t>
            </w:r>
            <w:r>
              <w:rPr>
                <w:rFonts w:hint="eastAsia" w:ascii="宋体" w:hAnsi="宋体" w:cs="宋体"/>
                <w:b/>
                <w:bCs/>
                <w:color w:val="auto"/>
                <w:kern w:val="0"/>
                <w:highlight w:val="none"/>
              </w:rPr>
              <w:t>元</w:t>
            </w:r>
          </w:p>
          <w:p w14:paraId="502D457E">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lang w:eastAsia="zh-CN"/>
              </w:rPr>
              <w:t>本项目招标人设有最高投标限价，投标人的投标报价不得超过最高投标限价（指不得超过各合同段的总限价；如果一个合同段由多个建设项目（路线）合并而成，则每个建设项目（路线）的投标报价也不能超过相应建设项目（路线）的最高投标限价，否则其响应文件将视为无效）</w:t>
            </w:r>
            <w:r>
              <w:rPr>
                <w:rFonts w:hint="eastAsia" w:ascii="宋体" w:hAnsi="Courier New"/>
                <w:color w:val="auto"/>
                <w:kern w:val="0"/>
                <w:szCs w:val="21"/>
                <w:highlight w:val="none"/>
              </w:rPr>
              <w:t>。</w:t>
            </w:r>
          </w:p>
        </w:tc>
      </w:tr>
      <w:tr w14:paraId="324B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FC4E408">
            <w:pPr>
              <w:pStyle w:val="27"/>
              <w:spacing w:line="440" w:lineRule="exact"/>
              <w:jc w:val="center"/>
              <w:rPr>
                <w:color w:val="auto"/>
                <w:kern w:val="0"/>
                <w:highlight w:val="none"/>
              </w:rPr>
            </w:pPr>
            <w:r>
              <w:rPr>
                <w:rFonts w:hint="eastAsia"/>
                <w:color w:val="auto"/>
                <w:kern w:val="0"/>
                <w:highlight w:val="none"/>
              </w:rPr>
              <w:t>12.1</w:t>
            </w:r>
          </w:p>
        </w:tc>
        <w:tc>
          <w:tcPr>
            <w:tcW w:w="2410" w:type="dxa"/>
            <w:vAlign w:val="center"/>
          </w:tcPr>
          <w:p w14:paraId="33CC2DDD">
            <w:pPr>
              <w:pStyle w:val="27"/>
              <w:spacing w:line="440" w:lineRule="exact"/>
              <w:rPr>
                <w:color w:val="auto"/>
                <w:kern w:val="0"/>
                <w:highlight w:val="none"/>
              </w:rPr>
            </w:pPr>
            <w:r>
              <w:rPr>
                <w:rFonts w:hint="eastAsia"/>
                <w:color w:val="auto"/>
                <w:kern w:val="0"/>
                <w:highlight w:val="none"/>
              </w:rPr>
              <w:t>有效期</w:t>
            </w:r>
          </w:p>
        </w:tc>
        <w:tc>
          <w:tcPr>
            <w:tcW w:w="6545" w:type="dxa"/>
            <w:vAlign w:val="center"/>
          </w:tcPr>
          <w:p w14:paraId="245C7D64">
            <w:pPr>
              <w:pStyle w:val="27"/>
              <w:spacing w:line="440" w:lineRule="exact"/>
              <w:rPr>
                <w:rFonts w:hint="eastAsia" w:eastAsia="宋体"/>
                <w:color w:val="auto"/>
                <w:kern w:val="0"/>
                <w:highlight w:val="none"/>
                <w:lang w:eastAsia="zh-CN"/>
              </w:rPr>
            </w:pPr>
            <w:r>
              <w:rPr>
                <w:rFonts w:hint="eastAsia"/>
                <w:color w:val="auto"/>
                <w:kern w:val="0"/>
                <w:highlight w:val="none"/>
              </w:rPr>
              <w:t>递交响应文件的截止日期后</w:t>
            </w:r>
            <w:r>
              <w:rPr>
                <w:rFonts w:hint="eastAsia"/>
                <w:color w:val="auto"/>
                <w:kern w:val="0"/>
                <w:highlight w:val="none"/>
                <w:lang w:eastAsia="zh-CN"/>
              </w:rPr>
              <w:t>60天</w:t>
            </w:r>
          </w:p>
        </w:tc>
      </w:tr>
      <w:tr w14:paraId="2C06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06AC7137">
            <w:pPr>
              <w:pStyle w:val="27"/>
              <w:spacing w:line="440" w:lineRule="exact"/>
              <w:jc w:val="center"/>
              <w:rPr>
                <w:color w:val="auto"/>
                <w:kern w:val="0"/>
                <w:highlight w:val="none"/>
              </w:rPr>
            </w:pPr>
            <w:r>
              <w:rPr>
                <w:rFonts w:hint="eastAsia"/>
                <w:color w:val="auto"/>
                <w:kern w:val="0"/>
                <w:highlight w:val="none"/>
                <w:lang w:val="en-US" w:eastAsia="zh-CN"/>
              </w:rPr>
              <w:t>13.7</w:t>
            </w:r>
          </w:p>
        </w:tc>
        <w:tc>
          <w:tcPr>
            <w:tcW w:w="2410" w:type="dxa"/>
            <w:vAlign w:val="center"/>
          </w:tcPr>
          <w:p w14:paraId="1B9CDC89">
            <w:pPr>
              <w:pStyle w:val="27"/>
              <w:spacing w:line="440" w:lineRule="exact"/>
              <w:rPr>
                <w:rFonts w:hint="eastAsia" w:eastAsia="宋体"/>
                <w:color w:val="auto"/>
                <w:kern w:val="0"/>
                <w:highlight w:val="none"/>
                <w:lang w:eastAsia="zh-CN"/>
              </w:rPr>
            </w:pPr>
            <w:r>
              <w:rPr>
                <w:rFonts w:hint="eastAsia"/>
                <w:color w:val="auto"/>
                <w:kern w:val="0"/>
                <w:highlight w:val="none"/>
              </w:rPr>
              <w:t>响应文件</w:t>
            </w:r>
            <w:r>
              <w:rPr>
                <w:rFonts w:hint="eastAsia"/>
                <w:color w:val="auto"/>
                <w:kern w:val="0"/>
                <w:highlight w:val="none"/>
                <w:lang w:eastAsia="zh-CN"/>
              </w:rPr>
              <w:t>上传相关要求</w:t>
            </w:r>
          </w:p>
        </w:tc>
        <w:tc>
          <w:tcPr>
            <w:tcW w:w="6545" w:type="dxa"/>
            <w:vAlign w:val="center"/>
          </w:tcPr>
          <w:p w14:paraId="0FF153C2">
            <w:pPr>
              <w:pStyle w:val="27"/>
              <w:spacing w:line="44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t>本次采购采用在</w:t>
            </w:r>
            <w:r>
              <w:rPr>
                <w:rFonts w:hint="eastAsia" w:asciiTheme="minorEastAsia" w:hAnsiTheme="minorEastAsia" w:eastAsiaTheme="minorEastAsia"/>
                <w:b w:val="0"/>
                <w:bCs/>
                <w:color w:val="auto"/>
                <w:szCs w:val="21"/>
                <w:highlight w:val="none"/>
                <w:lang w:eastAsia="zh-CN"/>
              </w:rPr>
              <w:t>云南省政府采购电子交易平台（网址https://www.zcygov.cn/）</w:t>
            </w:r>
            <w:r>
              <w:rPr>
                <w:rFonts w:hint="eastAsia" w:asciiTheme="minorEastAsia" w:hAnsiTheme="minorEastAsia" w:eastAsiaTheme="minorEastAsia"/>
                <w:b w:val="0"/>
                <w:bCs/>
                <w:color w:val="auto"/>
                <w:szCs w:val="21"/>
                <w:highlight w:val="none"/>
              </w:rPr>
              <w:t>上进行采购与递交响应文件，磋商响应文件递交要求如下：</w:t>
            </w:r>
          </w:p>
          <w:p w14:paraId="41665BEF">
            <w:pPr>
              <w:pStyle w:val="27"/>
              <w:spacing w:line="44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t>（1）网上递交：投标申请人网上递交需登录</w:t>
            </w:r>
            <w:r>
              <w:rPr>
                <w:rFonts w:hint="eastAsia" w:asciiTheme="minorEastAsia" w:hAnsiTheme="minorEastAsia" w:eastAsiaTheme="minorEastAsia"/>
                <w:b w:val="0"/>
                <w:bCs/>
                <w:color w:val="auto"/>
                <w:szCs w:val="21"/>
                <w:highlight w:val="none"/>
                <w:lang w:eastAsia="zh-CN"/>
              </w:rPr>
              <w:t>云南省政府采购电子交易平台（网址https://www.zcygov.cn/）</w:t>
            </w:r>
            <w:r>
              <w:rPr>
                <w:rFonts w:hint="eastAsia" w:asciiTheme="minorEastAsia" w:hAnsiTheme="minorEastAsia" w:eastAsiaTheme="minorEastAsia"/>
                <w:b w:val="0"/>
                <w:bCs/>
                <w:color w:val="auto"/>
                <w:szCs w:val="21"/>
                <w:highlight w:val="none"/>
              </w:rPr>
              <w:t>，须在</w:t>
            </w:r>
            <w:r>
              <w:rPr>
                <w:rFonts w:hint="eastAsia" w:asciiTheme="minorEastAsia" w:hAnsiTheme="minorEastAsia" w:eastAsiaTheme="minorEastAsia"/>
                <w:b w:val="0"/>
                <w:bCs/>
                <w:color w:val="auto"/>
                <w:szCs w:val="21"/>
                <w:highlight w:val="none"/>
                <w:lang w:eastAsia="zh-CN"/>
              </w:rPr>
              <w:t>响应文件</w:t>
            </w:r>
            <w:r>
              <w:rPr>
                <w:rFonts w:hint="eastAsia" w:asciiTheme="minorEastAsia" w:hAnsiTheme="minorEastAsia" w:eastAsiaTheme="minorEastAsia"/>
                <w:b w:val="0"/>
                <w:bCs/>
                <w:color w:val="auto"/>
                <w:szCs w:val="21"/>
                <w:highlight w:val="none"/>
              </w:rPr>
              <w:t>提交截止时间前完成所有电子</w:t>
            </w:r>
            <w:r>
              <w:rPr>
                <w:rFonts w:hint="eastAsia" w:asciiTheme="minorEastAsia" w:hAnsiTheme="minorEastAsia" w:eastAsiaTheme="minorEastAsia"/>
                <w:b w:val="0"/>
                <w:bCs/>
                <w:color w:val="auto"/>
                <w:szCs w:val="21"/>
                <w:highlight w:val="none"/>
                <w:lang w:eastAsia="zh-CN"/>
              </w:rPr>
              <w:t>响应文件</w:t>
            </w:r>
            <w:r>
              <w:rPr>
                <w:rFonts w:hint="eastAsia" w:asciiTheme="minorEastAsia" w:hAnsiTheme="minorEastAsia" w:eastAsiaTheme="minorEastAsia"/>
                <w:b w:val="0"/>
                <w:bCs/>
                <w:color w:val="auto"/>
                <w:szCs w:val="21"/>
                <w:highlight w:val="none"/>
              </w:rPr>
              <w:t>的上传，</w:t>
            </w:r>
            <w:r>
              <w:rPr>
                <w:rFonts w:hint="eastAsia" w:asciiTheme="minorEastAsia" w:hAnsiTheme="minorEastAsia" w:eastAsiaTheme="minorEastAsia"/>
                <w:b w:val="0"/>
                <w:bCs/>
                <w:color w:val="auto"/>
                <w:szCs w:val="21"/>
                <w:highlight w:val="none"/>
                <w:lang w:eastAsia="zh-CN"/>
              </w:rPr>
              <w:t>响应文件</w:t>
            </w:r>
            <w:r>
              <w:rPr>
                <w:rFonts w:hint="eastAsia" w:asciiTheme="minorEastAsia" w:hAnsiTheme="minorEastAsia" w:eastAsiaTheme="minorEastAsia"/>
                <w:b w:val="0"/>
                <w:bCs/>
                <w:color w:val="auto"/>
                <w:szCs w:val="21"/>
                <w:highlight w:val="none"/>
              </w:rPr>
              <w:t>递交截止时间前未完成文件上传的，视为撤回</w:t>
            </w:r>
            <w:r>
              <w:rPr>
                <w:rFonts w:hint="eastAsia" w:asciiTheme="minorEastAsia" w:hAnsiTheme="minorEastAsia" w:eastAsiaTheme="minorEastAsia"/>
                <w:b w:val="0"/>
                <w:bCs/>
                <w:color w:val="auto"/>
                <w:szCs w:val="21"/>
                <w:highlight w:val="none"/>
                <w:lang w:eastAsia="zh-CN"/>
              </w:rPr>
              <w:t>响应文件</w:t>
            </w:r>
            <w:r>
              <w:rPr>
                <w:rFonts w:hint="eastAsia" w:asciiTheme="minorEastAsia" w:hAnsiTheme="minorEastAsia" w:eastAsiaTheme="minorEastAsia"/>
                <w:b w:val="0"/>
                <w:bCs/>
                <w:color w:val="auto"/>
                <w:szCs w:val="21"/>
                <w:highlight w:val="none"/>
              </w:rPr>
              <w:t>。</w:t>
            </w:r>
          </w:p>
          <w:p w14:paraId="5EF9ED48">
            <w:pPr>
              <w:pStyle w:val="27"/>
              <w:spacing w:line="44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t>（2）本项目采用在</w:t>
            </w:r>
            <w:r>
              <w:rPr>
                <w:rFonts w:hint="eastAsia" w:asciiTheme="minorEastAsia" w:hAnsiTheme="minorEastAsia" w:eastAsiaTheme="minorEastAsia"/>
                <w:b w:val="0"/>
                <w:bCs/>
                <w:color w:val="auto"/>
                <w:szCs w:val="21"/>
                <w:highlight w:val="none"/>
                <w:lang w:eastAsia="zh-CN"/>
              </w:rPr>
              <w:t>云南省政府采购电子交易平台（网址https://www.zcygov.cn/）</w:t>
            </w:r>
            <w:r>
              <w:rPr>
                <w:rFonts w:hint="eastAsia" w:asciiTheme="minorEastAsia" w:hAnsiTheme="minorEastAsia" w:eastAsiaTheme="minorEastAsia"/>
                <w:b w:val="0"/>
                <w:bCs/>
                <w:color w:val="auto"/>
                <w:szCs w:val="21"/>
                <w:highlight w:val="none"/>
              </w:rPr>
              <w:t>上进行采购与递交</w:t>
            </w:r>
            <w:r>
              <w:rPr>
                <w:rFonts w:hint="eastAsia" w:asciiTheme="minorEastAsia" w:hAnsiTheme="minorEastAsia" w:eastAsiaTheme="minorEastAsia"/>
                <w:b w:val="0"/>
                <w:bCs/>
                <w:color w:val="auto"/>
                <w:szCs w:val="21"/>
                <w:highlight w:val="none"/>
                <w:lang w:eastAsia="zh-CN"/>
              </w:rPr>
              <w:t>响应文件</w:t>
            </w:r>
            <w:r>
              <w:rPr>
                <w:rFonts w:hint="eastAsia" w:asciiTheme="minorEastAsia" w:hAnsiTheme="minorEastAsia" w:eastAsiaTheme="minorEastAsia"/>
                <w:b w:val="0"/>
                <w:bCs/>
                <w:color w:val="auto"/>
                <w:szCs w:val="21"/>
                <w:highlight w:val="none"/>
              </w:rPr>
              <w:t>，无需现场递交纸质文件，但应在文件递交截止时间前登录系统，并根据开标系统的提示操作解密文件。供应商在“政采云”平台提交电子版</w:t>
            </w:r>
            <w:r>
              <w:rPr>
                <w:rFonts w:hint="eastAsia" w:asciiTheme="minorEastAsia" w:hAnsiTheme="minorEastAsia" w:eastAsiaTheme="minorEastAsia"/>
                <w:b w:val="0"/>
                <w:bCs/>
                <w:color w:val="auto"/>
                <w:szCs w:val="21"/>
                <w:highlight w:val="none"/>
                <w:lang w:eastAsia="zh-CN"/>
              </w:rPr>
              <w:t>响应文件</w:t>
            </w:r>
            <w:r>
              <w:rPr>
                <w:rFonts w:hint="eastAsia" w:asciiTheme="minorEastAsia" w:hAnsiTheme="minorEastAsia" w:eastAsiaTheme="minorEastAsia"/>
                <w:b w:val="0"/>
                <w:bCs/>
                <w:color w:val="auto"/>
                <w:szCs w:val="21"/>
                <w:highlight w:val="none"/>
              </w:rPr>
              <w:t>时，请填写参加远程采购活动经办人联系方式。请参与本项目投标人在使用政采云平台时，自行配备需要的音视频等设备，做好系统的调试工作避免出现系统不能正常使用的情况。</w:t>
            </w:r>
          </w:p>
          <w:p w14:paraId="7CE6F2B5">
            <w:pPr>
              <w:pStyle w:val="27"/>
              <w:spacing w:line="440" w:lineRule="exact"/>
              <w:rPr>
                <w:b/>
                <w:color w:val="auto"/>
                <w:kern w:val="0"/>
                <w:highlight w:val="none"/>
              </w:rPr>
            </w:pPr>
            <w:r>
              <w:rPr>
                <w:rFonts w:hint="eastAsia" w:asciiTheme="minorEastAsia" w:hAnsiTheme="minorEastAsia" w:eastAsiaTheme="minorEastAsia"/>
                <w:b w:val="0"/>
                <w:bCs/>
                <w:color w:val="auto"/>
                <w:szCs w:val="21"/>
                <w:highlight w:val="none"/>
              </w:rPr>
              <w:t>（3）</w:t>
            </w:r>
            <w:r>
              <w:rPr>
                <w:rFonts w:hint="eastAsia" w:asciiTheme="minorEastAsia" w:hAnsiTheme="minorEastAsia" w:eastAsiaTheme="minorEastAsia"/>
                <w:b/>
                <w:bCs w:val="0"/>
                <w:color w:val="auto"/>
                <w:szCs w:val="21"/>
                <w:highlight w:val="none"/>
              </w:rPr>
              <w:t>磋商申请人若有幸成交，须在</w:t>
            </w:r>
            <w:r>
              <w:rPr>
                <w:rFonts w:hint="eastAsia" w:asciiTheme="minorEastAsia" w:hAnsiTheme="minorEastAsia" w:eastAsiaTheme="minorEastAsia"/>
                <w:b/>
                <w:bCs w:val="0"/>
                <w:color w:val="auto"/>
                <w:szCs w:val="21"/>
                <w:highlight w:val="none"/>
                <w:lang w:eastAsia="zh-CN"/>
              </w:rPr>
              <w:t>领取成交通知书</w:t>
            </w:r>
            <w:r>
              <w:rPr>
                <w:rFonts w:hint="eastAsia" w:asciiTheme="minorEastAsia" w:hAnsiTheme="minorEastAsia" w:eastAsiaTheme="minorEastAsia"/>
                <w:b/>
                <w:bCs w:val="0"/>
                <w:color w:val="auto"/>
                <w:szCs w:val="21"/>
                <w:highlight w:val="none"/>
              </w:rPr>
              <w:t>前向采购</w:t>
            </w:r>
            <w:r>
              <w:rPr>
                <w:rFonts w:hint="eastAsia" w:asciiTheme="minorEastAsia" w:hAnsiTheme="minorEastAsia" w:eastAsiaTheme="minorEastAsia"/>
                <w:b/>
                <w:bCs w:val="0"/>
                <w:color w:val="auto"/>
                <w:szCs w:val="21"/>
                <w:highlight w:val="none"/>
                <w:lang w:eastAsia="zh-CN"/>
              </w:rPr>
              <w:t>代理机构</w:t>
            </w:r>
            <w:r>
              <w:rPr>
                <w:rFonts w:hint="eastAsia" w:asciiTheme="minorEastAsia" w:hAnsiTheme="minorEastAsia" w:eastAsiaTheme="minorEastAsia"/>
                <w:b/>
                <w:bCs w:val="0"/>
                <w:color w:val="auto"/>
                <w:szCs w:val="21"/>
                <w:highlight w:val="none"/>
              </w:rPr>
              <w:t>提交纸质磋商响应文件3份</w:t>
            </w:r>
            <w:r>
              <w:rPr>
                <w:rFonts w:hint="eastAsia" w:asciiTheme="minorEastAsia" w:hAnsiTheme="minorEastAsia" w:eastAsiaTheme="minorEastAsia"/>
                <w:b w:val="0"/>
                <w:bCs/>
                <w:color w:val="auto"/>
                <w:szCs w:val="21"/>
                <w:highlight w:val="none"/>
              </w:rPr>
              <w:t>。</w:t>
            </w:r>
          </w:p>
        </w:tc>
      </w:tr>
      <w:tr w14:paraId="7DB4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86D640A">
            <w:pPr>
              <w:pStyle w:val="27"/>
              <w:spacing w:line="440" w:lineRule="exact"/>
              <w:jc w:val="center"/>
              <w:rPr>
                <w:rFonts w:hint="default" w:eastAsia="宋体"/>
                <w:color w:val="auto"/>
                <w:kern w:val="0"/>
                <w:highlight w:val="none"/>
                <w:lang w:val="en-US" w:eastAsia="zh-CN"/>
              </w:rPr>
            </w:pPr>
            <w:r>
              <w:rPr>
                <w:rFonts w:hint="eastAsia"/>
                <w:color w:val="auto"/>
                <w:kern w:val="0"/>
                <w:highlight w:val="none"/>
                <w:lang w:val="en-US" w:eastAsia="zh-CN"/>
              </w:rPr>
              <w:t>14</w:t>
            </w:r>
          </w:p>
        </w:tc>
        <w:tc>
          <w:tcPr>
            <w:tcW w:w="2410" w:type="dxa"/>
            <w:vAlign w:val="center"/>
          </w:tcPr>
          <w:p w14:paraId="76F40E63">
            <w:pPr>
              <w:pStyle w:val="27"/>
              <w:spacing w:line="440" w:lineRule="exact"/>
              <w:ind w:firstLine="420" w:firstLineChars="200"/>
              <w:rPr>
                <w:color w:val="auto"/>
                <w:kern w:val="0"/>
                <w:highlight w:val="none"/>
              </w:rPr>
            </w:pPr>
            <w:r>
              <w:rPr>
                <w:rFonts w:hint="eastAsia"/>
                <w:color w:val="auto"/>
                <w:kern w:val="0"/>
                <w:highlight w:val="none"/>
              </w:rPr>
              <w:t>磋商保证金</w:t>
            </w:r>
          </w:p>
        </w:tc>
        <w:tc>
          <w:tcPr>
            <w:tcW w:w="6545" w:type="dxa"/>
            <w:vAlign w:val="center"/>
          </w:tcPr>
          <w:p w14:paraId="0CEE58CD">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本项目不适用</w:t>
            </w:r>
          </w:p>
        </w:tc>
      </w:tr>
      <w:tr w14:paraId="6D27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B9C2704">
            <w:pPr>
              <w:pStyle w:val="20"/>
              <w:spacing w:line="440" w:lineRule="exact"/>
              <w:jc w:val="center"/>
              <w:rPr>
                <w:rFonts w:hint="default" w:hAnsi="Courier New" w:eastAsia="宋体"/>
                <w:color w:val="auto"/>
                <w:sz w:val="21"/>
                <w:szCs w:val="21"/>
                <w:highlight w:val="none"/>
                <w:lang w:val="en-US" w:eastAsia="zh-CN"/>
              </w:rPr>
            </w:pPr>
            <w:r>
              <w:rPr>
                <w:rFonts w:hint="eastAsia" w:hAnsi="Courier New"/>
                <w:color w:val="auto"/>
                <w:sz w:val="21"/>
                <w:szCs w:val="21"/>
                <w:highlight w:val="none"/>
                <w:lang w:val="en-US" w:eastAsia="zh-CN"/>
              </w:rPr>
              <w:t>16.1</w:t>
            </w:r>
          </w:p>
        </w:tc>
        <w:tc>
          <w:tcPr>
            <w:tcW w:w="2410" w:type="dxa"/>
            <w:vAlign w:val="center"/>
          </w:tcPr>
          <w:p w14:paraId="0464F97A">
            <w:pPr>
              <w:pStyle w:val="27"/>
              <w:spacing w:line="440" w:lineRule="exact"/>
              <w:rPr>
                <w:color w:val="auto"/>
                <w:kern w:val="0"/>
                <w:highlight w:val="none"/>
              </w:rPr>
            </w:pPr>
            <w:r>
              <w:rPr>
                <w:rFonts w:hint="eastAsia"/>
                <w:color w:val="auto"/>
                <w:kern w:val="0"/>
                <w:highlight w:val="none"/>
              </w:rPr>
              <w:t>递交响应文件的截止时间</w:t>
            </w:r>
          </w:p>
        </w:tc>
        <w:tc>
          <w:tcPr>
            <w:tcW w:w="6545" w:type="dxa"/>
            <w:vAlign w:val="center"/>
          </w:tcPr>
          <w:p w14:paraId="2E26B642">
            <w:pPr>
              <w:pStyle w:val="27"/>
              <w:spacing w:line="440" w:lineRule="exact"/>
              <w:rPr>
                <w:rFonts w:hint="eastAsia" w:ascii="宋体" w:hAnsi="Courier New"/>
                <w:color w:val="auto"/>
                <w:kern w:val="0"/>
                <w:szCs w:val="21"/>
                <w:highlight w:val="none"/>
              </w:rPr>
            </w:pPr>
            <w:r>
              <w:rPr>
                <w:rFonts w:hint="eastAsia" w:ascii="宋体" w:hAnsi="Courier New"/>
                <w:color w:val="auto"/>
                <w:kern w:val="0"/>
                <w:szCs w:val="21"/>
                <w:highlight w:val="none"/>
              </w:rPr>
              <w:t>递交响应文件的截止时间：</w:t>
            </w:r>
            <w:r>
              <w:rPr>
                <w:rFonts w:hint="eastAsia"/>
                <w:color w:val="auto"/>
                <w:kern w:val="0"/>
                <w:szCs w:val="21"/>
                <w:highlight w:val="none"/>
                <w:u w:val="single"/>
                <w:lang w:eastAsia="zh-CN"/>
              </w:rPr>
              <w:t>2026年09月10日15时00分</w:t>
            </w:r>
            <w:r>
              <w:rPr>
                <w:rFonts w:hint="eastAsia" w:ascii="宋体" w:hAnsi="Courier New"/>
                <w:color w:val="auto"/>
                <w:kern w:val="0"/>
                <w:szCs w:val="21"/>
                <w:highlight w:val="none"/>
              </w:rPr>
              <w:t>（北京时间）；</w:t>
            </w:r>
          </w:p>
          <w:p w14:paraId="6A12216A">
            <w:pPr>
              <w:spacing w:line="440" w:lineRule="exact"/>
              <w:rPr>
                <w:rFonts w:ascii="宋体" w:hAnsi="Courier New"/>
                <w:color w:val="auto"/>
                <w:kern w:val="0"/>
                <w:szCs w:val="21"/>
                <w:highlight w:val="none"/>
              </w:rPr>
            </w:pPr>
            <w:r>
              <w:rPr>
                <w:rFonts w:hint="eastAsia" w:ascii="宋体" w:hAnsi="Courier New"/>
                <w:color w:val="auto"/>
                <w:kern w:val="0"/>
                <w:szCs w:val="21"/>
                <w:highlight w:val="none"/>
              </w:rPr>
              <w:t>注：磋商申请人须在竞争性磋商响应文件提交截止时间以前将电子磋商响应文件上传至</w:t>
            </w:r>
            <w:r>
              <w:rPr>
                <w:rFonts w:hint="eastAsia" w:ascii="宋体" w:hAnsi="宋体"/>
                <w:color w:val="auto"/>
                <w:szCs w:val="21"/>
                <w:highlight w:val="none"/>
                <w:u w:val="single"/>
                <w:lang w:eastAsia="zh-CN"/>
              </w:rPr>
              <w:t>云南省政府采购电子交易平台（网址https://www.zcygov.cn/）</w:t>
            </w:r>
            <w:r>
              <w:rPr>
                <w:rFonts w:hint="eastAsia" w:ascii="宋体" w:hAnsi="Courier New"/>
                <w:color w:val="auto"/>
                <w:kern w:val="0"/>
                <w:szCs w:val="21"/>
                <w:highlight w:val="none"/>
              </w:rPr>
              <w:t>。逾期上传电子响应文件或逾期未能到达指定地点进行磋商响应文件解密的或未能上传电子响应文件的，其磋商响应文件将视为不合格并拒绝。</w:t>
            </w:r>
          </w:p>
        </w:tc>
      </w:tr>
      <w:tr w14:paraId="2EE7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7644376">
            <w:pPr>
              <w:pStyle w:val="20"/>
              <w:spacing w:line="440" w:lineRule="exact"/>
              <w:jc w:val="center"/>
              <w:rPr>
                <w:rFonts w:hAnsi="Courier New"/>
                <w:color w:val="auto"/>
                <w:sz w:val="21"/>
                <w:szCs w:val="21"/>
                <w:highlight w:val="none"/>
              </w:rPr>
            </w:pPr>
            <w:r>
              <w:rPr>
                <w:rFonts w:hAnsi="Courier New"/>
                <w:color w:val="auto"/>
                <w:sz w:val="21"/>
                <w:szCs w:val="21"/>
                <w:highlight w:val="none"/>
              </w:rPr>
              <w:t>1</w:t>
            </w:r>
            <w:r>
              <w:rPr>
                <w:rFonts w:hint="eastAsia" w:hAnsi="Courier New"/>
                <w:color w:val="auto"/>
                <w:sz w:val="21"/>
                <w:szCs w:val="21"/>
                <w:highlight w:val="none"/>
                <w:lang w:val="en-US" w:eastAsia="zh-CN"/>
              </w:rPr>
              <w:t>6</w:t>
            </w:r>
            <w:r>
              <w:rPr>
                <w:rFonts w:hAnsi="Courier New"/>
                <w:color w:val="auto"/>
                <w:sz w:val="21"/>
                <w:szCs w:val="21"/>
                <w:highlight w:val="none"/>
              </w:rPr>
              <w:t>.2</w:t>
            </w:r>
          </w:p>
        </w:tc>
        <w:tc>
          <w:tcPr>
            <w:tcW w:w="2410" w:type="dxa"/>
            <w:vAlign w:val="center"/>
          </w:tcPr>
          <w:p w14:paraId="53BB18B2">
            <w:pPr>
              <w:pStyle w:val="27"/>
              <w:spacing w:line="440" w:lineRule="exact"/>
              <w:rPr>
                <w:color w:val="auto"/>
                <w:kern w:val="0"/>
                <w:highlight w:val="none"/>
              </w:rPr>
            </w:pPr>
            <w:r>
              <w:rPr>
                <w:rFonts w:hint="eastAsia"/>
                <w:color w:val="auto"/>
                <w:kern w:val="0"/>
                <w:highlight w:val="none"/>
              </w:rPr>
              <w:t>递交响应文件地点</w:t>
            </w:r>
          </w:p>
        </w:tc>
        <w:tc>
          <w:tcPr>
            <w:tcW w:w="6545" w:type="dxa"/>
            <w:vAlign w:val="center"/>
          </w:tcPr>
          <w:p w14:paraId="3506F561">
            <w:pPr>
              <w:pStyle w:val="27"/>
              <w:spacing w:line="440" w:lineRule="exact"/>
              <w:jc w:val="both"/>
              <w:rPr>
                <w:rFonts w:hint="eastAsia" w:eastAsia="宋体"/>
                <w:color w:val="auto"/>
                <w:kern w:val="0"/>
                <w:highlight w:val="none"/>
                <w:lang w:eastAsia="zh-CN"/>
              </w:rPr>
            </w:pPr>
            <w:r>
              <w:rPr>
                <w:rFonts w:hint="eastAsia" w:eastAsia="宋体"/>
                <w:color w:val="auto"/>
                <w:kern w:val="0"/>
                <w:highlight w:val="none"/>
                <w:lang w:eastAsia="zh-CN"/>
              </w:rPr>
              <w:t>保山广驰招标代理有限公司开标室（龙陵县龙山镇龙御江山23-S1），请各磋商申请人登录政采云投标客户端参与采购活动并递交磋商响应文件。</w:t>
            </w:r>
          </w:p>
        </w:tc>
      </w:tr>
      <w:tr w14:paraId="5465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9EEE49D">
            <w:pPr>
              <w:pStyle w:val="20"/>
              <w:spacing w:line="440" w:lineRule="exact"/>
              <w:jc w:val="center"/>
              <w:rPr>
                <w:rFonts w:hAnsi="Courier New"/>
                <w:color w:val="auto"/>
                <w:sz w:val="21"/>
                <w:szCs w:val="21"/>
                <w:highlight w:val="none"/>
              </w:rPr>
            </w:pPr>
            <w:r>
              <w:rPr>
                <w:rFonts w:hAnsi="Courier New"/>
                <w:color w:val="auto"/>
                <w:sz w:val="21"/>
                <w:szCs w:val="21"/>
                <w:highlight w:val="none"/>
              </w:rPr>
              <w:t>1</w:t>
            </w:r>
            <w:r>
              <w:rPr>
                <w:rFonts w:hint="eastAsia" w:hAnsi="Courier New"/>
                <w:color w:val="auto"/>
                <w:sz w:val="21"/>
                <w:szCs w:val="21"/>
                <w:highlight w:val="none"/>
                <w:lang w:val="en-US" w:eastAsia="zh-CN"/>
              </w:rPr>
              <w:t>6</w:t>
            </w:r>
            <w:r>
              <w:rPr>
                <w:rFonts w:hAnsi="Courier New"/>
                <w:color w:val="auto"/>
                <w:sz w:val="21"/>
                <w:szCs w:val="21"/>
                <w:highlight w:val="none"/>
              </w:rPr>
              <w:t>.3</w:t>
            </w:r>
          </w:p>
        </w:tc>
        <w:tc>
          <w:tcPr>
            <w:tcW w:w="2410" w:type="dxa"/>
            <w:vAlign w:val="center"/>
          </w:tcPr>
          <w:p w14:paraId="218D8834">
            <w:pPr>
              <w:pStyle w:val="27"/>
              <w:spacing w:line="440" w:lineRule="exact"/>
              <w:rPr>
                <w:color w:val="auto"/>
                <w:kern w:val="0"/>
                <w:highlight w:val="none"/>
              </w:rPr>
            </w:pPr>
            <w:r>
              <w:rPr>
                <w:rFonts w:hint="eastAsia"/>
                <w:color w:val="auto"/>
                <w:kern w:val="0"/>
                <w:highlight w:val="none"/>
              </w:rPr>
              <w:t>是否退还响应文件</w:t>
            </w:r>
          </w:p>
        </w:tc>
        <w:tc>
          <w:tcPr>
            <w:tcW w:w="6545" w:type="dxa"/>
            <w:vAlign w:val="center"/>
          </w:tcPr>
          <w:p w14:paraId="378D4732">
            <w:pPr>
              <w:pStyle w:val="27"/>
              <w:spacing w:line="440" w:lineRule="exact"/>
              <w:rPr>
                <w:color w:val="auto"/>
                <w:kern w:val="0"/>
                <w:highlight w:val="none"/>
              </w:rPr>
            </w:pPr>
            <w:r>
              <w:rPr>
                <w:rFonts w:hint="eastAsia"/>
                <w:color w:val="auto"/>
                <w:kern w:val="0"/>
                <w:highlight w:val="none"/>
              </w:rPr>
              <w:t>否</w:t>
            </w:r>
          </w:p>
        </w:tc>
      </w:tr>
      <w:tr w14:paraId="44B8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B44B853">
            <w:pPr>
              <w:pStyle w:val="27"/>
              <w:spacing w:line="440" w:lineRule="exact"/>
              <w:jc w:val="center"/>
              <w:rPr>
                <w:color w:val="auto"/>
                <w:kern w:val="0"/>
                <w:highlight w:val="none"/>
              </w:rPr>
            </w:pPr>
            <w:r>
              <w:rPr>
                <w:color w:val="auto"/>
                <w:kern w:val="0"/>
                <w:highlight w:val="none"/>
              </w:rPr>
              <w:t>1</w:t>
            </w:r>
            <w:r>
              <w:rPr>
                <w:rFonts w:hint="eastAsia"/>
                <w:color w:val="auto"/>
                <w:kern w:val="0"/>
                <w:highlight w:val="none"/>
                <w:lang w:val="en-US" w:eastAsia="zh-CN"/>
              </w:rPr>
              <w:t>7</w:t>
            </w:r>
            <w:r>
              <w:rPr>
                <w:color w:val="auto"/>
                <w:kern w:val="0"/>
                <w:highlight w:val="none"/>
              </w:rPr>
              <w:t>.1</w:t>
            </w:r>
          </w:p>
        </w:tc>
        <w:tc>
          <w:tcPr>
            <w:tcW w:w="2410" w:type="dxa"/>
            <w:vAlign w:val="center"/>
          </w:tcPr>
          <w:p w14:paraId="34CA9FA4">
            <w:pPr>
              <w:pStyle w:val="27"/>
              <w:spacing w:line="440" w:lineRule="exact"/>
              <w:rPr>
                <w:color w:val="auto"/>
                <w:kern w:val="0"/>
                <w:highlight w:val="none"/>
              </w:rPr>
            </w:pPr>
            <w:r>
              <w:rPr>
                <w:rFonts w:hint="eastAsia"/>
                <w:color w:val="auto"/>
                <w:kern w:val="0"/>
                <w:highlight w:val="none"/>
              </w:rPr>
              <w:t>磋商时间和地点</w:t>
            </w:r>
          </w:p>
        </w:tc>
        <w:tc>
          <w:tcPr>
            <w:tcW w:w="6545" w:type="dxa"/>
            <w:vAlign w:val="center"/>
          </w:tcPr>
          <w:p w14:paraId="17315F3A">
            <w:pPr>
              <w:pStyle w:val="27"/>
              <w:spacing w:line="440" w:lineRule="exact"/>
              <w:jc w:val="both"/>
              <w:rPr>
                <w:color w:val="auto"/>
                <w:kern w:val="0"/>
                <w:highlight w:val="none"/>
              </w:rPr>
            </w:pPr>
            <w:r>
              <w:rPr>
                <w:rFonts w:hint="eastAsia"/>
                <w:color w:val="auto"/>
                <w:kern w:val="0"/>
                <w:highlight w:val="none"/>
              </w:rPr>
              <w:t>磋商响应文件启封时间：</w:t>
            </w:r>
            <w:r>
              <w:rPr>
                <w:rFonts w:hint="eastAsia" w:hAnsi="宋体"/>
                <w:color w:val="auto"/>
                <w:highlight w:val="none"/>
                <w:u w:val="single"/>
                <w:lang w:eastAsia="zh-CN"/>
              </w:rPr>
              <w:t>2026年09月10日15时00分</w:t>
            </w:r>
            <w:r>
              <w:rPr>
                <w:rFonts w:hint="eastAsia"/>
                <w:color w:val="auto"/>
                <w:kern w:val="0"/>
                <w:highlight w:val="none"/>
              </w:rPr>
              <w:t>（北京时间）开始</w:t>
            </w:r>
          </w:p>
          <w:p w14:paraId="2953AA86">
            <w:pPr>
              <w:pStyle w:val="27"/>
              <w:spacing w:line="440" w:lineRule="exact"/>
              <w:rPr>
                <w:rFonts w:hint="eastAsia" w:eastAsia="宋体"/>
                <w:color w:val="auto"/>
                <w:kern w:val="0"/>
                <w:highlight w:val="none"/>
                <w:lang w:eastAsia="zh-CN"/>
              </w:rPr>
            </w:pPr>
            <w:r>
              <w:rPr>
                <w:rFonts w:hint="eastAsia" w:hAnsi="宋体" w:cs="宋体"/>
                <w:bCs/>
                <w:color w:val="auto"/>
                <w:kern w:val="0"/>
                <w:highlight w:val="none"/>
              </w:rPr>
              <w:t>地点：</w:t>
            </w:r>
            <w:r>
              <w:rPr>
                <w:rFonts w:hint="eastAsia" w:hAnsi="宋体" w:cs="宋体"/>
                <w:bCs/>
                <w:color w:val="auto"/>
                <w:kern w:val="0"/>
                <w:highlight w:val="none"/>
                <w:lang w:val="zh-CN" w:eastAsia="zh-CN"/>
              </w:rPr>
              <w:t>保山广驰招标代理有限公司（龙陵县龙山镇龙御江山23-S1）开标室</w:t>
            </w:r>
          </w:p>
        </w:tc>
      </w:tr>
      <w:tr w14:paraId="763C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3BD3328E">
            <w:pPr>
              <w:pStyle w:val="27"/>
              <w:spacing w:line="440" w:lineRule="exact"/>
              <w:jc w:val="center"/>
              <w:rPr>
                <w:color w:val="auto"/>
                <w:kern w:val="0"/>
                <w:highlight w:val="none"/>
              </w:rPr>
            </w:pPr>
            <w:r>
              <w:rPr>
                <w:color w:val="auto"/>
                <w:kern w:val="0"/>
                <w:highlight w:val="none"/>
              </w:rPr>
              <w:t>1</w:t>
            </w:r>
            <w:r>
              <w:rPr>
                <w:rFonts w:hint="eastAsia"/>
                <w:color w:val="auto"/>
                <w:kern w:val="0"/>
                <w:highlight w:val="none"/>
                <w:lang w:val="en-US" w:eastAsia="zh-CN"/>
              </w:rPr>
              <w:t>7</w:t>
            </w:r>
            <w:r>
              <w:rPr>
                <w:color w:val="auto"/>
                <w:kern w:val="0"/>
                <w:highlight w:val="none"/>
              </w:rPr>
              <w:t>.4</w:t>
            </w:r>
          </w:p>
        </w:tc>
        <w:tc>
          <w:tcPr>
            <w:tcW w:w="2410" w:type="dxa"/>
            <w:vAlign w:val="center"/>
          </w:tcPr>
          <w:p w14:paraId="5BD49D84">
            <w:pPr>
              <w:pStyle w:val="27"/>
              <w:spacing w:line="440" w:lineRule="exact"/>
              <w:rPr>
                <w:color w:val="auto"/>
                <w:kern w:val="0"/>
                <w:highlight w:val="none"/>
              </w:rPr>
            </w:pPr>
            <w:r>
              <w:rPr>
                <w:rFonts w:hint="eastAsia"/>
                <w:color w:val="auto"/>
                <w:kern w:val="0"/>
                <w:highlight w:val="none"/>
              </w:rPr>
              <w:t>磋商程序和方法</w:t>
            </w:r>
          </w:p>
        </w:tc>
        <w:tc>
          <w:tcPr>
            <w:tcW w:w="6545" w:type="dxa"/>
            <w:vAlign w:val="center"/>
          </w:tcPr>
          <w:p w14:paraId="1DDE8032">
            <w:pPr>
              <w:pStyle w:val="27"/>
              <w:spacing w:line="440" w:lineRule="exact"/>
              <w:rPr>
                <w:color w:val="auto"/>
                <w:kern w:val="0"/>
                <w:highlight w:val="none"/>
              </w:rPr>
            </w:pPr>
            <w:r>
              <w:rPr>
                <w:rFonts w:hint="eastAsia"/>
                <w:color w:val="auto"/>
                <w:kern w:val="0"/>
                <w:highlight w:val="none"/>
              </w:rPr>
              <w:t>综合评分法</w:t>
            </w:r>
          </w:p>
        </w:tc>
      </w:tr>
      <w:tr w14:paraId="0AFB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6F5981BE">
            <w:pPr>
              <w:pStyle w:val="27"/>
              <w:spacing w:line="440" w:lineRule="exact"/>
              <w:jc w:val="center"/>
              <w:rPr>
                <w:color w:val="auto"/>
                <w:kern w:val="0"/>
                <w:highlight w:val="none"/>
              </w:rPr>
            </w:pPr>
          </w:p>
        </w:tc>
        <w:tc>
          <w:tcPr>
            <w:tcW w:w="8955" w:type="dxa"/>
            <w:gridSpan w:val="2"/>
            <w:vAlign w:val="center"/>
          </w:tcPr>
          <w:p w14:paraId="2A619097">
            <w:pPr>
              <w:pStyle w:val="27"/>
              <w:spacing w:line="440" w:lineRule="exact"/>
              <w:rPr>
                <w:color w:val="auto"/>
                <w:kern w:val="0"/>
                <w:highlight w:val="none"/>
              </w:rPr>
            </w:pPr>
            <w:r>
              <w:rPr>
                <w:rFonts w:hint="eastAsia"/>
                <w:color w:val="auto"/>
                <w:kern w:val="0"/>
                <w:highlight w:val="none"/>
              </w:rPr>
              <w:t>第六章</w:t>
            </w:r>
            <w:r>
              <w:rPr>
                <w:rFonts w:hint="eastAsia"/>
                <w:color w:val="auto"/>
                <w:kern w:val="0"/>
                <w:highlight w:val="none"/>
                <w:lang w:eastAsia="zh-CN"/>
              </w:rPr>
              <w:t>“磋商程序和方法”</w:t>
            </w:r>
            <w:r>
              <w:rPr>
                <w:rFonts w:hint="eastAsia"/>
                <w:color w:val="auto"/>
                <w:kern w:val="0"/>
                <w:highlight w:val="none"/>
              </w:rPr>
              <w:t>第</w:t>
            </w:r>
            <w:r>
              <w:rPr>
                <w:color w:val="auto"/>
                <w:kern w:val="0"/>
                <w:highlight w:val="none"/>
              </w:rPr>
              <w:t>2.1</w:t>
            </w:r>
            <w:r>
              <w:rPr>
                <w:rFonts w:hint="eastAsia"/>
                <w:color w:val="auto"/>
                <w:kern w:val="0"/>
                <w:highlight w:val="none"/>
              </w:rPr>
              <w:t>款资格审查标准规定的内容，为参加磋商的磋商申请人必须具备的资格条件，凡有一条不满足的磋商申请人不再参与磋商。请各参加磋商的磋商申请人仔细阅读资格审查标准。</w:t>
            </w:r>
          </w:p>
        </w:tc>
      </w:tr>
      <w:tr w14:paraId="7D32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36" w:type="dxa"/>
            <w:vAlign w:val="center"/>
          </w:tcPr>
          <w:p w14:paraId="55B9FFAB">
            <w:pPr>
              <w:pStyle w:val="27"/>
              <w:spacing w:line="440" w:lineRule="exact"/>
              <w:jc w:val="center"/>
              <w:rPr>
                <w:color w:val="auto"/>
                <w:kern w:val="0"/>
                <w:highlight w:val="none"/>
              </w:rPr>
            </w:pPr>
            <w:r>
              <w:rPr>
                <w:color w:val="auto"/>
                <w:kern w:val="0"/>
                <w:highlight w:val="none"/>
              </w:rPr>
              <w:t>2</w:t>
            </w:r>
            <w:r>
              <w:rPr>
                <w:rFonts w:hint="eastAsia"/>
                <w:color w:val="auto"/>
                <w:kern w:val="0"/>
                <w:highlight w:val="none"/>
                <w:lang w:val="en-US" w:eastAsia="zh-CN"/>
              </w:rPr>
              <w:t>4</w:t>
            </w:r>
            <w:r>
              <w:rPr>
                <w:color w:val="auto"/>
                <w:kern w:val="0"/>
                <w:highlight w:val="none"/>
              </w:rPr>
              <w:t>.1</w:t>
            </w:r>
          </w:p>
        </w:tc>
        <w:tc>
          <w:tcPr>
            <w:tcW w:w="2410" w:type="dxa"/>
            <w:vAlign w:val="center"/>
          </w:tcPr>
          <w:p w14:paraId="66B9ED45">
            <w:pPr>
              <w:pStyle w:val="27"/>
              <w:spacing w:line="400" w:lineRule="exact"/>
              <w:rPr>
                <w:rFonts w:hint="eastAsia" w:eastAsia="宋体"/>
                <w:color w:val="auto"/>
                <w:kern w:val="0"/>
                <w:highlight w:val="none"/>
                <w:lang w:val="en-US" w:eastAsia="zh-CN"/>
              </w:rPr>
            </w:pPr>
            <w:r>
              <w:rPr>
                <w:rFonts w:hint="eastAsia"/>
                <w:color w:val="auto"/>
                <w:kern w:val="0"/>
                <w:highlight w:val="none"/>
              </w:rPr>
              <w:t>采购代理服务费</w:t>
            </w:r>
            <w:r>
              <w:rPr>
                <w:rFonts w:hint="eastAsia"/>
                <w:color w:val="auto"/>
                <w:kern w:val="0"/>
                <w:highlight w:val="none"/>
                <w:lang w:eastAsia="zh-CN"/>
              </w:rPr>
              <w:t>、相关费用</w:t>
            </w:r>
          </w:p>
        </w:tc>
        <w:tc>
          <w:tcPr>
            <w:tcW w:w="6545" w:type="dxa"/>
            <w:vAlign w:val="center"/>
          </w:tcPr>
          <w:p w14:paraId="2C730074">
            <w:pPr>
              <w:pStyle w:val="27"/>
              <w:spacing w:line="400" w:lineRule="exact"/>
              <w:ind w:right="-81" w:rightChars="-39"/>
              <w:rPr>
                <w:rFonts w:hint="eastAsia"/>
                <w:color w:val="auto"/>
                <w:highlight w:val="none"/>
              </w:rPr>
            </w:pPr>
            <w:r>
              <w:rPr>
                <w:rFonts w:hint="eastAsia"/>
                <w:color w:val="auto"/>
                <w:highlight w:val="none"/>
              </w:rPr>
              <w:t>根据约定，本次</w:t>
            </w:r>
            <w:r>
              <w:rPr>
                <w:rFonts w:hint="eastAsia"/>
                <w:color w:val="auto"/>
                <w:highlight w:val="none"/>
                <w:lang w:eastAsia="zh-CN"/>
              </w:rPr>
              <w:t>采购</w:t>
            </w:r>
            <w:r>
              <w:rPr>
                <w:rFonts w:hint="eastAsia"/>
                <w:color w:val="auto"/>
                <w:highlight w:val="none"/>
              </w:rPr>
              <w:t>产生的</w:t>
            </w:r>
            <w:r>
              <w:rPr>
                <w:rFonts w:hint="eastAsia"/>
                <w:color w:val="auto"/>
                <w:highlight w:val="none"/>
                <w:lang w:eastAsia="zh-CN"/>
              </w:rPr>
              <w:t>采购</w:t>
            </w:r>
            <w:r>
              <w:rPr>
                <w:rFonts w:hint="eastAsia"/>
                <w:color w:val="auto"/>
                <w:highlight w:val="none"/>
              </w:rPr>
              <w:t>代理服务费由中标</w:t>
            </w:r>
            <w:r>
              <w:rPr>
                <w:rFonts w:hint="eastAsia"/>
                <w:color w:val="auto"/>
                <w:highlight w:val="none"/>
                <w:lang w:eastAsia="zh-CN"/>
              </w:rPr>
              <w:t>（成交）</w:t>
            </w:r>
            <w:r>
              <w:rPr>
                <w:rFonts w:hint="eastAsia"/>
                <w:color w:val="auto"/>
                <w:highlight w:val="none"/>
              </w:rPr>
              <w:t>的</w:t>
            </w:r>
            <w:r>
              <w:rPr>
                <w:rFonts w:hint="eastAsia"/>
                <w:color w:val="auto"/>
                <w:highlight w:val="none"/>
                <w:lang w:eastAsia="zh-CN"/>
              </w:rPr>
              <w:t>供应商</w:t>
            </w:r>
            <w:r>
              <w:rPr>
                <w:rFonts w:hint="eastAsia"/>
                <w:color w:val="auto"/>
                <w:highlight w:val="none"/>
              </w:rPr>
              <w:t>支付，</w:t>
            </w:r>
            <w:r>
              <w:rPr>
                <w:rFonts w:hint="eastAsia"/>
                <w:color w:val="auto"/>
                <w:highlight w:val="none"/>
                <w:lang w:eastAsia="zh-CN"/>
              </w:rPr>
              <w:t>供应商</w:t>
            </w:r>
            <w:r>
              <w:rPr>
                <w:rFonts w:hint="eastAsia"/>
                <w:color w:val="auto"/>
                <w:highlight w:val="none"/>
              </w:rPr>
              <w:t>在报价时应充分考虑本次</w:t>
            </w:r>
            <w:r>
              <w:rPr>
                <w:rFonts w:hint="eastAsia"/>
                <w:color w:val="auto"/>
                <w:highlight w:val="none"/>
                <w:lang w:eastAsia="zh-CN"/>
              </w:rPr>
              <w:t>磋商</w:t>
            </w:r>
            <w:r>
              <w:rPr>
                <w:rFonts w:hint="eastAsia"/>
                <w:color w:val="auto"/>
                <w:highlight w:val="none"/>
              </w:rPr>
              <w:t>产生的</w:t>
            </w:r>
            <w:r>
              <w:rPr>
                <w:rFonts w:hint="eastAsia"/>
                <w:color w:val="auto"/>
                <w:highlight w:val="none"/>
                <w:lang w:eastAsia="zh-CN"/>
              </w:rPr>
              <w:t>采购</w:t>
            </w:r>
            <w:r>
              <w:rPr>
                <w:rFonts w:hint="eastAsia"/>
                <w:color w:val="auto"/>
                <w:highlight w:val="none"/>
              </w:rPr>
              <w:t>代理服务费等费用。</w:t>
            </w:r>
          </w:p>
          <w:p w14:paraId="5B98A3F7">
            <w:pPr>
              <w:pStyle w:val="27"/>
              <w:spacing w:line="400" w:lineRule="exact"/>
              <w:ind w:right="-81" w:rightChars="-39"/>
              <w:rPr>
                <w:rFonts w:hint="eastAsia" w:eastAsia="宋体"/>
                <w:color w:val="auto"/>
                <w:highlight w:val="none"/>
                <w:lang w:eastAsia="zh-CN"/>
              </w:rPr>
            </w:pPr>
            <w:r>
              <w:rPr>
                <w:rFonts w:hint="eastAsia"/>
                <w:color w:val="auto"/>
                <w:highlight w:val="none"/>
              </w:rPr>
              <w:t>采购代理服务费</w:t>
            </w:r>
            <w:r>
              <w:rPr>
                <w:rFonts w:hint="eastAsia"/>
                <w:color w:val="auto"/>
                <w:highlight w:val="none"/>
                <w:lang w:eastAsia="zh-CN"/>
              </w:rPr>
              <w:t>：</w:t>
            </w:r>
            <w:r>
              <w:rPr>
                <w:rFonts w:hint="eastAsia" w:ascii="宋体" w:hAnsi="宋体" w:eastAsia="宋体" w:cs="Times New Roman"/>
                <w:b w:val="0"/>
                <w:bCs w:val="0"/>
                <w:color w:val="auto"/>
                <w:szCs w:val="21"/>
                <w:highlight w:val="none"/>
                <w:u w:val="none"/>
                <w:lang w:val="en-US" w:eastAsia="zh-CN"/>
              </w:rPr>
              <w:t>招标人与代理机构本着市场定价的原则，在平等、自愿的基础上达成一致，约定服务费由招标代理机构参照《云南省建设工程及政府采购代理服务收费参考意见》（云建招协〔2026〕11号）文中</w:t>
            </w:r>
            <w:r>
              <w:rPr>
                <w:rFonts w:hint="eastAsia" w:ascii="宋体" w:hAnsi="宋体" w:cs="Times New Roman"/>
                <w:b w:val="0"/>
                <w:bCs w:val="0"/>
                <w:color w:val="auto"/>
                <w:szCs w:val="21"/>
                <w:highlight w:val="none"/>
                <w:u w:val="none"/>
                <w:lang w:val="en-US" w:eastAsia="zh-CN"/>
              </w:rPr>
              <w:t>工程</w:t>
            </w:r>
            <w:r>
              <w:rPr>
                <w:rFonts w:hint="eastAsia" w:ascii="宋体" w:hAnsi="宋体" w:eastAsia="宋体" w:cs="Times New Roman"/>
                <w:b w:val="0"/>
                <w:bCs w:val="0"/>
                <w:color w:val="auto"/>
                <w:szCs w:val="21"/>
                <w:highlight w:val="none"/>
                <w:u w:val="none"/>
                <w:lang w:val="en-US" w:eastAsia="zh-CN"/>
              </w:rPr>
              <w:t>类标准计算后收取，由中标人领取中标通知书时向招标代理机构一次性支付。</w:t>
            </w:r>
          </w:p>
        </w:tc>
      </w:tr>
      <w:tr w14:paraId="09AC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7089F15">
            <w:pPr>
              <w:pStyle w:val="27"/>
              <w:spacing w:line="440" w:lineRule="exact"/>
              <w:jc w:val="center"/>
              <w:rPr>
                <w:color w:val="auto"/>
                <w:kern w:val="0"/>
                <w:highlight w:val="none"/>
              </w:rPr>
            </w:pPr>
            <w:r>
              <w:rPr>
                <w:color w:val="auto"/>
                <w:kern w:val="0"/>
                <w:highlight w:val="none"/>
              </w:rPr>
              <w:t>2</w:t>
            </w:r>
            <w:r>
              <w:rPr>
                <w:rFonts w:hint="eastAsia"/>
                <w:color w:val="auto"/>
                <w:kern w:val="0"/>
                <w:highlight w:val="none"/>
                <w:lang w:val="en-US" w:eastAsia="zh-CN"/>
              </w:rPr>
              <w:t>6</w:t>
            </w:r>
            <w:r>
              <w:rPr>
                <w:color w:val="auto"/>
                <w:kern w:val="0"/>
                <w:highlight w:val="none"/>
              </w:rPr>
              <w:t>.1</w:t>
            </w:r>
          </w:p>
        </w:tc>
        <w:tc>
          <w:tcPr>
            <w:tcW w:w="8955" w:type="dxa"/>
            <w:gridSpan w:val="2"/>
            <w:vAlign w:val="center"/>
          </w:tcPr>
          <w:p w14:paraId="7E687714">
            <w:pPr>
              <w:pStyle w:val="27"/>
              <w:spacing w:line="440" w:lineRule="exact"/>
              <w:rPr>
                <w:color w:val="auto"/>
                <w:kern w:val="0"/>
                <w:highlight w:val="none"/>
              </w:rPr>
            </w:pPr>
            <w:r>
              <w:rPr>
                <w:rFonts w:hint="eastAsia"/>
                <w:color w:val="auto"/>
                <w:kern w:val="0"/>
                <w:highlight w:val="none"/>
              </w:rPr>
              <w:t>需要补充的其他内容</w:t>
            </w:r>
          </w:p>
        </w:tc>
      </w:tr>
      <w:tr w14:paraId="4948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AF41AFE">
            <w:pPr>
              <w:pStyle w:val="27"/>
              <w:spacing w:line="440" w:lineRule="exact"/>
              <w:jc w:val="center"/>
              <w:rPr>
                <w:color w:val="auto"/>
                <w:kern w:val="0"/>
                <w:highlight w:val="none"/>
              </w:rPr>
            </w:pPr>
            <w:r>
              <w:rPr>
                <w:rFonts w:hint="eastAsia"/>
                <w:color w:val="auto"/>
                <w:kern w:val="0"/>
                <w:highlight w:val="none"/>
                <w:lang w:eastAsia="zh-CN"/>
              </w:rPr>
              <w:t>（</w:t>
            </w:r>
            <w:r>
              <w:rPr>
                <w:rFonts w:hint="eastAsia"/>
                <w:color w:val="auto"/>
                <w:kern w:val="0"/>
                <w:highlight w:val="none"/>
                <w:lang w:val="en-US" w:eastAsia="zh-CN"/>
              </w:rPr>
              <w:t>1</w:t>
            </w:r>
            <w:r>
              <w:rPr>
                <w:rFonts w:hint="eastAsia"/>
                <w:color w:val="auto"/>
                <w:kern w:val="0"/>
                <w:highlight w:val="none"/>
                <w:lang w:eastAsia="zh-CN"/>
              </w:rPr>
              <w:t>）</w:t>
            </w:r>
          </w:p>
        </w:tc>
        <w:tc>
          <w:tcPr>
            <w:tcW w:w="8955" w:type="dxa"/>
            <w:gridSpan w:val="2"/>
            <w:vAlign w:val="center"/>
          </w:tcPr>
          <w:p w14:paraId="2B3279EA">
            <w:pPr>
              <w:pStyle w:val="27"/>
              <w:spacing w:line="440" w:lineRule="exact"/>
              <w:rPr>
                <w:rFonts w:hint="eastAsia"/>
                <w:color w:val="auto"/>
                <w:kern w:val="0"/>
                <w:highlight w:val="none"/>
                <w:lang w:eastAsia="zh-CN"/>
              </w:rPr>
            </w:pPr>
            <w:r>
              <w:rPr>
                <w:rFonts w:hint="eastAsia"/>
                <w:color w:val="auto"/>
                <w:kern w:val="0"/>
                <w:highlight w:val="none"/>
                <w:lang w:eastAsia="zh-CN"/>
              </w:rPr>
              <w:t>履约保证金</w:t>
            </w:r>
          </w:p>
          <w:p w14:paraId="3ADB99D1">
            <w:pPr>
              <w:pStyle w:val="27"/>
              <w:spacing w:line="440" w:lineRule="exact"/>
              <w:rPr>
                <w:rFonts w:hint="eastAsia"/>
                <w:color w:val="auto"/>
                <w:kern w:val="0"/>
                <w:highlight w:val="none"/>
                <w:lang w:eastAsia="zh-CN"/>
              </w:rPr>
            </w:pPr>
            <w:r>
              <w:rPr>
                <w:rFonts w:hint="eastAsia"/>
                <w:color w:val="auto"/>
                <w:kern w:val="0"/>
                <w:highlight w:val="none"/>
                <w:lang w:eastAsia="zh-CN"/>
              </w:rPr>
              <w:t>履约保证金的形式：银行转账和银行保函、保证保险等形式。</w:t>
            </w:r>
          </w:p>
          <w:p w14:paraId="075C2300">
            <w:pPr>
              <w:pStyle w:val="27"/>
              <w:spacing w:line="440" w:lineRule="exact"/>
              <w:rPr>
                <w:rFonts w:hint="eastAsia"/>
                <w:color w:val="auto"/>
                <w:kern w:val="0"/>
                <w:highlight w:val="none"/>
              </w:rPr>
            </w:pPr>
            <w:r>
              <w:rPr>
                <w:rFonts w:hint="eastAsia"/>
                <w:color w:val="auto"/>
                <w:kern w:val="0"/>
                <w:highlight w:val="none"/>
                <w:lang w:eastAsia="zh-CN"/>
              </w:rPr>
              <w:t>履约保证金的金额：10%签约合同价（上一年度信用等级AA级的中标人可减少为5%）。</w:t>
            </w:r>
          </w:p>
        </w:tc>
      </w:tr>
      <w:tr w14:paraId="3419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0B17C4AF">
            <w:pPr>
              <w:pStyle w:val="27"/>
              <w:spacing w:line="440" w:lineRule="exact"/>
              <w:jc w:val="center"/>
              <w:rPr>
                <w:color w:val="auto"/>
                <w:kern w:val="0"/>
                <w:highlight w:val="none"/>
              </w:rPr>
            </w:pPr>
            <w:r>
              <w:rPr>
                <w:rFonts w:hint="eastAsia"/>
                <w:color w:val="auto"/>
                <w:kern w:val="0"/>
                <w:highlight w:val="none"/>
              </w:rPr>
              <w:t>（</w:t>
            </w:r>
            <w:r>
              <w:rPr>
                <w:rFonts w:hint="eastAsia"/>
                <w:color w:val="auto"/>
                <w:kern w:val="0"/>
                <w:highlight w:val="none"/>
                <w:lang w:val="en-US" w:eastAsia="zh-CN"/>
              </w:rPr>
              <w:t>2</w:t>
            </w:r>
            <w:r>
              <w:rPr>
                <w:rFonts w:hint="eastAsia"/>
                <w:color w:val="auto"/>
                <w:kern w:val="0"/>
                <w:highlight w:val="none"/>
              </w:rPr>
              <w:t>）</w:t>
            </w:r>
          </w:p>
        </w:tc>
        <w:tc>
          <w:tcPr>
            <w:tcW w:w="8955" w:type="dxa"/>
            <w:gridSpan w:val="2"/>
            <w:vAlign w:val="center"/>
          </w:tcPr>
          <w:p w14:paraId="402EFF7A">
            <w:pPr>
              <w:pStyle w:val="27"/>
              <w:spacing w:line="440" w:lineRule="exact"/>
              <w:rPr>
                <w:color w:val="auto"/>
                <w:kern w:val="0"/>
                <w:highlight w:val="none"/>
              </w:rPr>
            </w:pPr>
            <w:r>
              <w:rPr>
                <w:rFonts w:hint="eastAsia"/>
                <w:color w:val="auto"/>
                <w:kern w:val="0"/>
                <w:highlight w:val="none"/>
              </w:rPr>
              <w:t>竞争性磋商报价：磋商申请人按照采购人提供的工程量清单电子文件内容填写工程量清单报价并</w:t>
            </w:r>
            <w:r>
              <w:rPr>
                <w:rFonts w:hint="eastAsia"/>
                <w:b/>
                <w:color w:val="auto"/>
                <w:kern w:val="0"/>
                <w:highlight w:val="none"/>
              </w:rPr>
              <w:t>提供完整报价预算书</w:t>
            </w:r>
            <w:r>
              <w:rPr>
                <w:rFonts w:hint="eastAsia"/>
                <w:color w:val="auto"/>
                <w:kern w:val="0"/>
                <w:highlight w:val="none"/>
              </w:rPr>
              <w:t>；工程量清单</w:t>
            </w:r>
            <w:r>
              <w:rPr>
                <w:rFonts w:hint="eastAsia"/>
                <w:color w:val="auto"/>
                <w:kern w:val="0"/>
                <w:highlight w:val="none"/>
                <w:lang w:eastAsia="zh-CN"/>
              </w:rPr>
              <w:t>编制依据：交通运输部 2018 年 12 月 17 日发布的《公路工程建设项目概算预算编制办法》（JTG 3830—2018）；交通运输部部颁《公路工程预算定额》（JTG/T 3832-2018）；交通运输部部颁《公路工程机械台班费用定额》(JTG/T3833—2018)；《公路工程工程量清单计量规范》 云南省地方标准（DB53/T 2001.1-2014）；《云南省清单模板2014-1.0.0》 ；云南省交通运输厅发布《公路工程建设项目估算概算预算编制办法补充规定》（云交建设[2019]34 号）； 交通运输部关于调整《公路工程建设项目投资估算编制办法》（JTG 3820-2018） 和《公路工程建设项目概算预算编制办法》（JTG3820-2018）中“税金”有关规定的公告（交通部 2019 年第 26 号公告）；云南省交通运输厅关于印发《云南省公路工程造价监督管理办法》《云南省交通运输工程造价定额管理办法》《云南省公路工程工程量标准清单管理办法》的通知（云交规〔2020〕3号）；依据《财政部税务总局海关总署关于深化增值税改革有关政策公告》（财政部税务总局海关总署公告2019年第39号）等规范及国家、行业现行文件规定。</w:t>
            </w:r>
          </w:p>
        </w:tc>
      </w:tr>
      <w:tr w14:paraId="47DC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DAC7A37">
            <w:pPr>
              <w:pStyle w:val="27"/>
              <w:spacing w:line="440" w:lineRule="exact"/>
              <w:jc w:val="center"/>
              <w:rPr>
                <w:color w:val="auto"/>
                <w:kern w:val="0"/>
                <w:highlight w:val="none"/>
              </w:rPr>
            </w:pPr>
            <w:r>
              <w:rPr>
                <w:rFonts w:hint="eastAsia"/>
                <w:color w:val="auto"/>
                <w:kern w:val="0"/>
                <w:highlight w:val="none"/>
              </w:rPr>
              <w:t>（</w:t>
            </w:r>
            <w:r>
              <w:rPr>
                <w:rFonts w:hint="eastAsia"/>
                <w:color w:val="auto"/>
                <w:kern w:val="0"/>
                <w:highlight w:val="none"/>
                <w:lang w:val="en-US" w:eastAsia="zh-CN"/>
              </w:rPr>
              <w:t>3</w:t>
            </w:r>
            <w:r>
              <w:rPr>
                <w:rFonts w:hint="eastAsia"/>
                <w:color w:val="auto"/>
                <w:kern w:val="0"/>
                <w:highlight w:val="none"/>
              </w:rPr>
              <w:t>）</w:t>
            </w:r>
          </w:p>
        </w:tc>
        <w:tc>
          <w:tcPr>
            <w:tcW w:w="8955" w:type="dxa"/>
            <w:gridSpan w:val="2"/>
            <w:vAlign w:val="center"/>
          </w:tcPr>
          <w:p w14:paraId="6BC04316">
            <w:pPr>
              <w:pStyle w:val="27"/>
              <w:spacing w:line="440" w:lineRule="exact"/>
              <w:rPr>
                <w:color w:val="auto"/>
                <w:kern w:val="0"/>
                <w:highlight w:val="none"/>
              </w:rPr>
            </w:pPr>
            <w:r>
              <w:rPr>
                <w:rFonts w:hint="eastAsia"/>
                <w:color w:val="auto"/>
                <w:kern w:val="0"/>
                <w:highlight w:val="none"/>
              </w:rPr>
              <w:t>评审办法：综合评分法（详见第六章磋商程序和方法）</w:t>
            </w:r>
          </w:p>
        </w:tc>
      </w:tr>
      <w:tr w14:paraId="7438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185BF61">
            <w:pPr>
              <w:pStyle w:val="27"/>
              <w:spacing w:line="440" w:lineRule="exact"/>
              <w:jc w:val="center"/>
              <w:rPr>
                <w:color w:val="auto"/>
                <w:kern w:val="0"/>
                <w:highlight w:val="none"/>
              </w:rPr>
            </w:pPr>
            <w:r>
              <w:rPr>
                <w:rFonts w:hint="eastAsia"/>
                <w:color w:val="auto"/>
                <w:kern w:val="0"/>
                <w:highlight w:val="none"/>
              </w:rPr>
              <w:t>（</w:t>
            </w:r>
            <w:r>
              <w:rPr>
                <w:rFonts w:hint="eastAsia"/>
                <w:color w:val="auto"/>
                <w:kern w:val="0"/>
                <w:highlight w:val="none"/>
                <w:lang w:val="en-US" w:eastAsia="zh-CN"/>
              </w:rPr>
              <w:t>4</w:t>
            </w:r>
            <w:r>
              <w:rPr>
                <w:rFonts w:hint="eastAsia"/>
                <w:color w:val="auto"/>
                <w:kern w:val="0"/>
                <w:highlight w:val="none"/>
              </w:rPr>
              <w:t>）</w:t>
            </w:r>
          </w:p>
        </w:tc>
        <w:tc>
          <w:tcPr>
            <w:tcW w:w="8955" w:type="dxa"/>
            <w:gridSpan w:val="2"/>
            <w:vAlign w:val="center"/>
          </w:tcPr>
          <w:p w14:paraId="7BB52B4C">
            <w:pPr>
              <w:pStyle w:val="27"/>
              <w:spacing w:line="440" w:lineRule="exact"/>
              <w:rPr>
                <w:rFonts w:ascii="Times New Roman" w:hAnsi="Times New Roman"/>
                <w:color w:val="auto"/>
                <w:kern w:val="0"/>
                <w:highlight w:val="none"/>
              </w:rPr>
            </w:pPr>
            <w:r>
              <w:rPr>
                <w:rFonts w:hint="eastAsia" w:ascii="Times New Roman" w:hAnsi="Times New Roman"/>
                <w:color w:val="auto"/>
                <w:kern w:val="0"/>
                <w:highlight w:val="none"/>
              </w:rPr>
              <w:t>所有获取了竞争性磋商文件的潜在磋商申请人</w:t>
            </w:r>
            <w:r>
              <w:rPr>
                <w:rFonts w:hint="eastAsia" w:ascii="Times New Roman" w:hAnsi="Times New Roman"/>
                <w:color w:val="auto"/>
                <w:kern w:val="0"/>
                <w:highlight w:val="none"/>
                <w:lang w:eastAsia="zh-CN"/>
              </w:rPr>
              <w:t>如对采购文件有疑问或认为采购文件存在含糊不清、相互矛盾、多种含义以及歧视性不公正条款或违法违规等内容时，可以</w:t>
            </w:r>
            <w:r>
              <w:rPr>
                <w:rFonts w:hint="eastAsia" w:ascii="Times New Roman" w:hAnsi="Times New Roman"/>
                <w:color w:val="auto"/>
                <w:kern w:val="0"/>
                <w:highlight w:val="none"/>
              </w:rPr>
              <w:t>通过书面形式或政府采购云平台向采购代理机构提问。采购代理机构</w:t>
            </w:r>
            <w:r>
              <w:rPr>
                <w:rFonts w:hint="eastAsia" w:ascii="Times New Roman" w:hAnsi="Times New Roman"/>
                <w:color w:val="auto"/>
                <w:kern w:val="0"/>
                <w:highlight w:val="none"/>
                <w:lang w:eastAsia="zh-CN"/>
              </w:rPr>
              <w:t>将及时在政采云系统答复，或视情况发布补遗澄清公告或变更公告，</w:t>
            </w:r>
            <w:r>
              <w:rPr>
                <w:rFonts w:hint="eastAsia" w:ascii="Times New Roman" w:hAnsi="Times New Roman"/>
                <w:color w:val="auto"/>
                <w:kern w:val="0"/>
                <w:highlight w:val="none"/>
              </w:rPr>
              <w:t>若</w:t>
            </w:r>
            <w:r>
              <w:rPr>
                <w:rFonts w:hint="eastAsia" w:ascii="Times New Roman" w:hAnsi="Times New Roman"/>
                <w:color w:val="auto"/>
                <w:kern w:val="0"/>
                <w:highlight w:val="none"/>
                <w:lang w:eastAsia="zh-CN"/>
              </w:rPr>
              <w:t>采购文件</w:t>
            </w:r>
            <w:r>
              <w:rPr>
                <w:rFonts w:hint="eastAsia" w:ascii="Times New Roman" w:hAnsi="Times New Roman"/>
                <w:color w:val="auto"/>
                <w:kern w:val="0"/>
                <w:highlight w:val="none"/>
              </w:rPr>
              <w:t>发生实质性变更的，磋商时间、磋商响应文件递交时间顺延，顺延时间为自发布实质性变更的更正公告之日起不少于5日历天。</w:t>
            </w:r>
          </w:p>
        </w:tc>
      </w:tr>
      <w:tr w14:paraId="230F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10BAB18">
            <w:pPr>
              <w:pStyle w:val="27"/>
              <w:spacing w:line="440" w:lineRule="exact"/>
              <w:jc w:val="center"/>
              <w:rPr>
                <w:color w:val="auto"/>
                <w:kern w:val="0"/>
                <w:highlight w:val="none"/>
              </w:rPr>
            </w:pPr>
            <w:r>
              <w:rPr>
                <w:rFonts w:hint="eastAsia"/>
                <w:color w:val="auto"/>
                <w:kern w:val="0"/>
                <w:highlight w:val="none"/>
              </w:rPr>
              <w:t>（</w:t>
            </w:r>
            <w:r>
              <w:rPr>
                <w:rFonts w:hint="eastAsia"/>
                <w:color w:val="auto"/>
                <w:kern w:val="0"/>
                <w:highlight w:val="none"/>
                <w:lang w:val="en-US" w:eastAsia="zh-CN"/>
              </w:rPr>
              <w:t>5</w:t>
            </w:r>
            <w:r>
              <w:rPr>
                <w:rFonts w:hint="eastAsia"/>
                <w:color w:val="auto"/>
                <w:kern w:val="0"/>
                <w:highlight w:val="none"/>
              </w:rPr>
              <w:t>）</w:t>
            </w:r>
          </w:p>
        </w:tc>
        <w:tc>
          <w:tcPr>
            <w:tcW w:w="8955" w:type="dxa"/>
            <w:gridSpan w:val="2"/>
            <w:vAlign w:val="center"/>
          </w:tcPr>
          <w:p w14:paraId="056609B7">
            <w:pPr>
              <w:pStyle w:val="27"/>
              <w:spacing w:line="360" w:lineRule="auto"/>
              <w:rPr>
                <w:rFonts w:hAnsi="宋体"/>
                <w:color w:val="auto"/>
                <w:highlight w:val="none"/>
              </w:rPr>
            </w:pPr>
            <w:r>
              <w:rPr>
                <w:rFonts w:hint="eastAsia" w:hAnsi="宋体"/>
                <w:color w:val="auto"/>
                <w:highlight w:val="none"/>
              </w:rPr>
              <w:t>关于实质性不满足采购要求：</w:t>
            </w:r>
          </w:p>
          <w:p w14:paraId="7C101053">
            <w:pPr>
              <w:pStyle w:val="27"/>
              <w:spacing w:line="360" w:lineRule="auto"/>
              <w:rPr>
                <w:rFonts w:hAnsi="宋体"/>
                <w:color w:val="auto"/>
                <w:highlight w:val="none"/>
              </w:rPr>
            </w:pPr>
            <w:r>
              <w:rPr>
                <w:rFonts w:hint="eastAsia" w:hAnsi="宋体"/>
                <w:color w:val="auto"/>
                <w:highlight w:val="none"/>
              </w:rPr>
              <w:t>1.项目实施地点及合同履行期限（项目完成期限）不满足采购要求。</w:t>
            </w:r>
          </w:p>
          <w:p w14:paraId="54A2BBD0">
            <w:pPr>
              <w:pStyle w:val="27"/>
              <w:spacing w:line="360" w:lineRule="auto"/>
              <w:rPr>
                <w:rFonts w:hAnsi="宋体"/>
                <w:color w:val="auto"/>
                <w:highlight w:val="none"/>
              </w:rPr>
            </w:pPr>
            <w:r>
              <w:rPr>
                <w:rFonts w:hint="eastAsia" w:hAnsi="宋体"/>
                <w:color w:val="auto"/>
                <w:highlight w:val="none"/>
              </w:rPr>
              <w:t>2.项目实施方案出现严重不满</w:t>
            </w:r>
            <w:r>
              <w:rPr>
                <w:rFonts w:hint="eastAsia" w:hAnsi="宋体"/>
                <w:color w:val="auto"/>
                <w:highlight w:val="none"/>
                <w:lang w:eastAsia="zh-CN"/>
              </w:rPr>
              <w:t>足</w:t>
            </w:r>
            <w:r>
              <w:rPr>
                <w:rFonts w:hint="eastAsia" w:hAnsi="宋体"/>
                <w:color w:val="auto"/>
                <w:highlight w:val="none"/>
              </w:rPr>
              <w:t>采购需求或不符合实际的。</w:t>
            </w:r>
          </w:p>
          <w:p w14:paraId="4429D0EB">
            <w:pPr>
              <w:pStyle w:val="27"/>
              <w:spacing w:line="360" w:lineRule="auto"/>
              <w:rPr>
                <w:rFonts w:hAnsi="宋体"/>
                <w:color w:val="auto"/>
                <w:highlight w:val="none"/>
              </w:rPr>
            </w:pPr>
            <w:r>
              <w:rPr>
                <w:rFonts w:hint="eastAsia" w:hAnsi="宋体"/>
                <w:color w:val="auto"/>
                <w:highlight w:val="none"/>
              </w:rPr>
              <w:t>3.工程量清单报价内容严重不符合采购需求。</w:t>
            </w:r>
          </w:p>
          <w:p w14:paraId="4A9BA8EB">
            <w:pPr>
              <w:pStyle w:val="27"/>
              <w:spacing w:line="360" w:lineRule="auto"/>
              <w:rPr>
                <w:rFonts w:hAnsi="宋体"/>
                <w:b/>
                <w:color w:val="auto"/>
                <w:highlight w:val="none"/>
              </w:rPr>
            </w:pPr>
            <w:r>
              <w:rPr>
                <w:rFonts w:hint="eastAsia"/>
                <w:b/>
                <w:color w:val="auto"/>
                <w:highlight w:val="none"/>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w:t>
            </w:r>
            <w:r>
              <w:rPr>
                <w:rFonts w:hAnsi="宋体" w:cs="宋体"/>
                <w:b/>
                <w:color w:val="auto"/>
                <w:highlight w:val="none"/>
              </w:rPr>
              <w:t>磋商申请人</w:t>
            </w:r>
            <w:r>
              <w:rPr>
                <w:rFonts w:hint="eastAsia"/>
                <w:b/>
                <w:color w:val="auto"/>
                <w:highlight w:val="none"/>
              </w:rPr>
              <w:t>在磋商报价中不得做随意调整，否则，视其响应文件为无效文件；</w:t>
            </w:r>
          </w:p>
          <w:p w14:paraId="30D16527">
            <w:pPr>
              <w:pStyle w:val="27"/>
              <w:spacing w:line="360" w:lineRule="auto"/>
              <w:rPr>
                <w:rFonts w:hAnsi="宋体"/>
                <w:b/>
                <w:color w:val="auto"/>
                <w:highlight w:val="none"/>
              </w:rPr>
            </w:pPr>
            <w:r>
              <w:rPr>
                <w:rFonts w:hint="eastAsia"/>
                <w:b/>
                <w:color w:val="auto"/>
                <w:highlight w:val="none"/>
              </w:rPr>
              <w:t>b.本工程工程量清单表中公布的工程量清单综合单价上限价的（若有），</w:t>
            </w:r>
            <w:r>
              <w:rPr>
                <w:rFonts w:hAnsi="宋体" w:cs="宋体"/>
                <w:b/>
                <w:color w:val="auto"/>
                <w:highlight w:val="none"/>
              </w:rPr>
              <w:t>磋商申请人</w:t>
            </w:r>
            <w:r>
              <w:rPr>
                <w:rFonts w:hint="eastAsia"/>
                <w:b/>
                <w:color w:val="auto"/>
                <w:highlight w:val="none"/>
              </w:rPr>
              <w:t>报价时不得超过上限价，否则，视其响应文件为无效文件；</w:t>
            </w:r>
          </w:p>
          <w:p w14:paraId="30AF1AF8">
            <w:pPr>
              <w:pStyle w:val="27"/>
              <w:spacing w:line="360" w:lineRule="auto"/>
              <w:rPr>
                <w:rFonts w:hAnsi="宋体"/>
                <w:b/>
                <w:color w:val="auto"/>
                <w:highlight w:val="none"/>
              </w:rPr>
            </w:pPr>
            <w:r>
              <w:rPr>
                <w:rFonts w:hint="eastAsia"/>
                <w:b/>
                <w:color w:val="auto"/>
                <w:highlight w:val="none"/>
              </w:rPr>
              <w:t>c.工程量清单中标注的专业工程暂估价或暂定价材料价（若有）</w:t>
            </w:r>
            <w:r>
              <w:rPr>
                <w:rFonts w:hAnsi="宋体" w:cs="宋体"/>
                <w:b/>
                <w:color w:val="auto"/>
                <w:highlight w:val="none"/>
              </w:rPr>
              <w:t>磋商申请人</w:t>
            </w:r>
            <w:r>
              <w:rPr>
                <w:rFonts w:hint="eastAsia"/>
                <w:b/>
                <w:color w:val="auto"/>
                <w:highlight w:val="none"/>
              </w:rPr>
              <w:t>在磋商报价时不得调整（若有），否则，视其响应文件为无效</w:t>
            </w:r>
            <w:r>
              <w:rPr>
                <w:rFonts w:hint="eastAsia"/>
                <w:b/>
                <w:color w:val="auto"/>
                <w:highlight w:val="none"/>
                <w:lang w:eastAsia="zh-CN"/>
              </w:rPr>
              <w:t>响应文件</w:t>
            </w:r>
            <w:r>
              <w:rPr>
                <w:rFonts w:hint="eastAsia"/>
                <w:b/>
                <w:color w:val="auto"/>
                <w:highlight w:val="none"/>
              </w:rPr>
              <w:t>。</w:t>
            </w:r>
          </w:p>
          <w:p w14:paraId="4D7C77F0">
            <w:pPr>
              <w:pStyle w:val="27"/>
              <w:spacing w:line="360" w:lineRule="auto"/>
              <w:rPr>
                <w:rFonts w:hAnsi="宋体"/>
                <w:color w:val="auto"/>
                <w:highlight w:val="none"/>
              </w:rPr>
            </w:pPr>
            <w:r>
              <w:rPr>
                <w:rFonts w:hint="eastAsia" w:hAnsi="宋体"/>
                <w:color w:val="auto"/>
                <w:highlight w:val="none"/>
              </w:rPr>
              <w:t>4.磋商响应文件中提出采购单位不能接受的条款的。</w:t>
            </w:r>
          </w:p>
        </w:tc>
      </w:tr>
      <w:tr w14:paraId="68F4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1FD1E2F">
            <w:pPr>
              <w:pStyle w:val="27"/>
              <w:spacing w:line="420" w:lineRule="exact"/>
              <w:jc w:val="center"/>
              <w:rPr>
                <w:rFonts w:hAnsi="宋体"/>
                <w:color w:val="auto"/>
                <w:kern w:val="0"/>
                <w:highlight w:val="none"/>
              </w:rPr>
            </w:pPr>
            <w:r>
              <w:rPr>
                <w:rFonts w:hint="eastAsia" w:hAnsi="宋体"/>
                <w:color w:val="auto"/>
                <w:kern w:val="0"/>
                <w:highlight w:val="none"/>
              </w:rPr>
              <w:t>（</w:t>
            </w:r>
            <w:r>
              <w:rPr>
                <w:rFonts w:hint="eastAsia" w:hAnsi="宋体"/>
                <w:color w:val="auto"/>
                <w:kern w:val="0"/>
                <w:highlight w:val="none"/>
                <w:lang w:val="en-US" w:eastAsia="zh-CN"/>
              </w:rPr>
              <w:t>6</w:t>
            </w:r>
            <w:r>
              <w:rPr>
                <w:rFonts w:hint="eastAsia" w:hAnsi="宋体"/>
                <w:color w:val="auto"/>
                <w:kern w:val="0"/>
                <w:highlight w:val="none"/>
              </w:rPr>
              <w:t>）</w:t>
            </w:r>
          </w:p>
        </w:tc>
        <w:tc>
          <w:tcPr>
            <w:tcW w:w="8955" w:type="dxa"/>
            <w:gridSpan w:val="2"/>
            <w:vAlign w:val="center"/>
          </w:tcPr>
          <w:p w14:paraId="561ABDE9">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中小微型企业有关政策</w:t>
            </w:r>
            <w:r>
              <w:rPr>
                <w:rFonts w:hint="eastAsia" w:ascii="宋体" w:hAnsi="宋体" w:cs="宋体"/>
                <w:color w:val="auto"/>
                <w:szCs w:val="21"/>
                <w:highlight w:val="none"/>
                <w:lang w:val="en-US" w:eastAsia="zh-CN"/>
              </w:rPr>
              <w:t>:</w:t>
            </w:r>
            <w:r>
              <w:rPr>
                <w:rFonts w:hint="eastAsia" w:ascii="宋体" w:hAnsi="宋体" w:cs="宋体"/>
                <w:b/>
                <w:bCs/>
                <w:color w:val="auto"/>
                <w:szCs w:val="21"/>
                <w:highlight w:val="none"/>
                <w:lang w:eastAsia="zh-CN"/>
              </w:rPr>
              <w:t>本项目专门面向中小微企业采购。</w:t>
            </w:r>
          </w:p>
          <w:p w14:paraId="584D9E6A">
            <w:pPr>
              <w:widowControl/>
              <w:spacing w:line="460" w:lineRule="exact"/>
              <w:jc w:val="left"/>
              <w:rPr>
                <w:rFonts w:hint="eastAsia" w:ascii="宋体" w:hAnsi="宋体" w:cs="宋体"/>
                <w:b/>
                <w:bCs/>
                <w:color w:val="auto"/>
                <w:szCs w:val="21"/>
                <w:highlight w:val="none"/>
              </w:rPr>
            </w:pPr>
            <w:r>
              <w:rPr>
                <w:rFonts w:hint="eastAsia" w:ascii="宋体" w:hAnsi="宋体" w:cs="宋体"/>
                <w:b/>
                <w:bCs/>
                <w:color w:val="auto"/>
                <w:szCs w:val="21"/>
                <w:highlight w:val="none"/>
              </w:rPr>
              <w:t>采购标的对应的中小企业划分标准所属行业：</w:t>
            </w:r>
            <w:r>
              <w:rPr>
                <w:rFonts w:hint="eastAsia" w:ascii="宋体" w:hAnsi="宋体" w:cs="宋体"/>
                <w:b/>
                <w:bCs/>
                <w:color w:val="auto"/>
                <w:szCs w:val="21"/>
                <w:highlight w:val="none"/>
                <w:lang w:eastAsia="zh-CN"/>
              </w:rPr>
              <w:t>建筑业</w:t>
            </w:r>
            <w:r>
              <w:rPr>
                <w:rFonts w:hint="eastAsia" w:ascii="宋体" w:hAnsi="宋体" w:cs="宋体"/>
                <w:b/>
                <w:bCs/>
                <w:color w:val="auto"/>
                <w:szCs w:val="21"/>
                <w:highlight w:val="none"/>
              </w:rPr>
              <w:t>。</w:t>
            </w:r>
          </w:p>
          <w:p w14:paraId="3B0CBFEB">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1.根据《政府采购促进中小企业发展管理办法》（财库〔2020〕46号）、《关于进一步加大政府采购支持中小企业力度的通知》（财库〔2022〕19号）规定执行；</w:t>
            </w:r>
          </w:p>
          <w:p w14:paraId="2516A08E">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2.根据工信部等部委发布的《关于印发中小企业划型标准规定的通知》（工信部联企业〔2011〕300号）规定执行；</w:t>
            </w:r>
          </w:p>
          <w:p w14:paraId="1B83BFFE">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5F4946DF">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1B3B16A2">
            <w:pPr>
              <w:widowControl/>
              <w:spacing w:line="460" w:lineRule="exact"/>
              <w:jc w:val="left"/>
              <w:rPr>
                <w:rFonts w:hAnsi="宋体"/>
                <w:color w:val="auto"/>
                <w:kern w:val="0"/>
                <w:highlight w:val="none"/>
              </w:rPr>
            </w:pPr>
            <w:r>
              <w:rPr>
                <w:rFonts w:hint="eastAsia" w:hAnsi="宋体"/>
                <w:color w:val="auto"/>
                <w:kern w:val="0"/>
                <w:highlight w:val="none"/>
                <w:lang w:val="en-US" w:eastAsia="zh-CN"/>
              </w:rPr>
              <w:t>5.</w:t>
            </w:r>
            <w:r>
              <w:rPr>
                <w:rFonts w:hint="eastAsia" w:hAnsi="宋体"/>
                <w:color w:val="auto"/>
                <w:kern w:val="0"/>
                <w:highlight w:val="none"/>
              </w:rPr>
              <w:t>依据《政府采购促进中小企业发展管理办法》</w:t>
            </w:r>
            <w:r>
              <w:rPr>
                <w:rFonts w:hint="eastAsia" w:hAnsi="宋体"/>
                <w:color w:val="auto"/>
                <w:kern w:val="0"/>
                <w:highlight w:val="none"/>
                <w:lang w:eastAsia="zh-CN"/>
              </w:rPr>
              <w:t>（</w:t>
            </w:r>
            <w:r>
              <w:rPr>
                <w:rFonts w:hint="eastAsia" w:hAnsi="宋体"/>
                <w:color w:val="auto"/>
                <w:kern w:val="0"/>
                <w:highlight w:val="none"/>
              </w:rPr>
              <w:t>财库〔2020〕46号</w:t>
            </w:r>
            <w:r>
              <w:rPr>
                <w:rFonts w:hint="eastAsia" w:hAnsi="宋体"/>
                <w:color w:val="auto"/>
                <w:kern w:val="0"/>
                <w:highlight w:val="none"/>
                <w:lang w:eastAsia="zh-CN"/>
              </w:rPr>
              <w:t>）</w:t>
            </w:r>
            <w:r>
              <w:rPr>
                <w:rFonts w:hint="eastAsia" w:hAnsi="宋体"/>
                <w:color w:val="auto"/>
                <w:kern w:val="0"/>
                <w:highlight w:val="none"/>
              </w:rPr>
              <w:t>规定享受扶持政策获得政府采购合同的，小微企业不得将合同分包给大中型企业，中型企业不得将合同分包给大型企业。</w:t>
            </w:r>
          </w:p>
        </w:tc>
      </w:tr>
      <w:tr w14:paraId="3C6C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9F8FB2C">
            <w:pPr>
              <w:pStyle w:val="27"/>
              <w:spacing w:line="400" w:lineRule="exact"/>
              <w:jc w:val="center"/>
              <w:rPr>
                <w:rFonts w:hAnsi="宋体"/>
                <w:color w:val="auto"/>
                <w:kern w:val="0"/>
                <w:highlight w:val="none"/>
              </w:rPr>
            </w:pPr>
            <w:r>
              <w:rPr>
                <w:rFonts w:hint="eastAsia" w:hAnsi="宋体"/>
                <w:color w:val="auto"/>
                <w:kern w:val="0"/>
                <w:highlight w:val="none"/>
              </w:rPr>
              <w:t>（</w:t>
            </w:r>
            <w:r>
              <w:rPr>
                <w:rFonts w:hint="eastAsia" w:hAnsi="宋体"/>
                <w:color w:val="auto"/>
                <w:kern w:val="0"/>
                <w:highlight w:val="none"/>
                <w:lang w:val="en-US" w:eastAsia="zh-CN"/>
              </w:rPr>
              <w:t>7</w:t>
            </w:r>
            <w:r>
              <w:rPr>
                <w:rFonts w:hint="eastAsia" w:hAnsi="宋体"/>
                <w:color w:val="auto"/>
                <w:kern w:val="0"/>
                <w:highlight w:val="none"/>
              </w:rPr>
              <w:t>）</w:t>
            </w:r>
          </w:p>
        </w:tc>
        <w:tc>
          <w:tcPr>
            <w:tcW w:w="8955" w:type="dxa"/>
            <w:gridSpan w:val="2"/>
            <w:vAlign w:val="center"/>
          </w:tcPr>
          <w:p w14:paraId="1236FFBE">
            <w:pPr>
              <w:pStyle w:val="27"/>
              <w:spacing w:line="440" w:lineRule="exact"/>
              <w:rPr>
                <w:rFonts w:hAnsi="宋体" w:cs="宋体"/>
                <w:color w:val="auto"/>
                <w:kern w:val="0"/>
                <w:highlight w:val="none"/>
              </w:rPr>
            </w:pPr>
            <w:r>
              <w:rPr>
                <w:rFonts w:hint="eastAsia" w:hAnsi="宋体"/>
                <w:color w:val="auto"/>
                <w:kern w:val="0"/>
                <w:highlight w:val="none"/>
              </w:rPr>
              <w:t>环境标志产品及节能产品有关政策</w:t>
            </w:r>
          </w:p>
          <w:p w14:paraId="1D31F9C9">
            <w:pPr>
              <w:pStyle w:val="27"/>
              <w:spacing w:line="440" w:lineRule="exact"/>
              <w:rPr>
                <w:rFonts w:hAnsi="宋体"/>
                <w:color w:val="auto"/>
                <w:kern w:val="0"/>
                <w:highlight w:val="none"/>
              </w:rPr>
            </w:pPr>
            <w:r>
              <w:rPr>
                <w:rFonts w:hint="eastAsia" w:hAnsi="宋体"/>
                <w:color w:val="auto"/>
                <w:kern w:val="0"/>
                <w:highlight w:val="none"/>
              </w:rPr>
              <w:t xml:space="preserve">本项目对环境标志产品及节能产品的评审：□适用  </w:t>
            </w:r>
            <w:r>
              <w:rPr>
                <w:rFonts w:hint="eastAsia" w:hAnsi="宋体"/>
                <w:color w:val="auto"/>
                <w:kern w:val="0"/>
                <w:highlight w:val="none"/>
              </w:rPr>
              <w:fldChar w:fldCharType="begin"/>
            </w:r>
            <w:r>
              <w:rPr>
                <w:rFonts w:hint="eastAsia" w:hAnsi="宋体"/>
                <w:color w:val="auto"/>
                <w:kern w:val="0"/>
                <w:highlight w:val="none"/>
              </w:rPr>
              <w:instrText xml:space="preserve"> eq \o\ac(□,√)</w:instrText>
            </w:r>
            <w:r>
              <w:rPr>
                <w:rFonts w:hint="eastAsia" w:hAnsi="宋体"/>
                <w:color w:val="auto"/>
                <w:kern w:val="0"/>
                <w:highlight w:val="none"/>
              </w:rPr>
              <w:fldChar w:fldCharType="end"/>
            </w:r>
            <w:r>
              <w:rPr>
                <w:rFonts w:hint="eastAsia" w:hAnsi="宋体"/>
                <w:color w:val="auto"/>
                <w:kern w:val="0"/>
                <w:highlight w:val="none"/>
              </w:rPr>
              <w:t>不适用。</w:t>
            </w:r>
          </w:p>
          <w:p w14:paraId="3726AAF4">
            <w:pPr>
              <w:pStyle w:val="27"/>
              <w:spacing w:line="440" w:lineRule="exact"/>
              <w:rPr>
                <w:rFonts w:hAnsi="宋体"/>
                <w:color w:val="auto"/>
                <w:kern w:val="0"/>
                <w:highlight w:val="none"/>
              </w:rPr>
            </w:pPr>
            <w:r>
              <w:rPr>
                <w:rFonts w:hint="eastAsia" w:hAnsi="宋体"/>
                <w:color w:val="auto"/>
                <w:kern w:val="0"/>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459BFF12">
            <w:pPr>
              <w:pStyle w:val="27"/>
              <w:spacing w:line="440" w:lineRule="exact"/>
              <w:rPr>
                <w:rFonts w:hAnsi="宋体"/>
                <w:color w:val="auto"/>
                <w:kern w:val="0"/>
                <w:highlight w:val="none"/>
              </w:rPr>
            </w:pPr>
            <w:r>
              <w:rPr>
                <w:rFonts w:hint="eastAsia" w:hAnsi="宋体"/>
                <w:color w:val="auto"/>
                <w:kern w:val="0"/>
                <w:highlight w:val="none"/>
              </w:rPr>
              <w:t>2.鼓励环保政策：在技术、服务等指标同等条件下，优先采购国家公布的属于环境标志产品政府采购清单中产品。执行政策文件：《关于环境标志产品政府采购实施的意见》（财库[2006]90号）。</w:t>
            </w:r>
          </w:p>
          <w:p w14:paraId="76671524">
            <w:pPr>
              <w:pStyle w:val="27"/>
              <w:spacing w:line="440" w:lineRule="exact"/>
              <w:rPr>
                <w:rFonts w:hAnsi="宋体"/>
                <w:color w:val="auto"/>
                <w:kern w:val="0"/>
                <w:highlight w:val="none"/>
              </w:rPr>
            </w:pPr>
            <w:r>
              <w:rPr>
                <w:rFonts w:hint="eastAsia" w:hAnsi="宋体"/>
                <w:color w:val="auto"/>
                <w:kern w:val="0"/>
                <w:highlight w:val="none"/>
              </w:rPr>
              <w:t>3. 根据《节能产品政府采购实施意见》（财库[2004]185 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0B0741D1">
            <w:pPr>
              <w:pStyle w:val="27"/>
              <w:spacing w:line="440" w:lineRule="exact"/>
              <w:rPr>
                <w:rFonts w:hAnsi="宋体"/>
                <w:color w:val="auto"/>
                <w:kern w:val="0"/>
                <w:highlight w:val="none"/>
              </w:rPr>
            </w:pPr>
            <w:r>
              <w:rPr>
                <w:rFonts w:hint="eastAsia" w:hAnsi="宋体"/>
                <w:color w:val="auto"/>
                <w:kern w:val="0"/>
                <w:highlight w:val="none"/>
              </w:rPr>
              <w:t>4. 根据《关于环境标志产品政府采购实施的意见》（财库[2006]90 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0193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30DF5E0">
            <w:pPr>
              <w:pStyle w:val="27"/>
              <w:spacing w:line="440" w:lineRule="exact"/>
              <w:jc w:val="center"/>
              <w:rPr>
                <w:color w:val="auto"/>
                <w:kern w:val="0"/>
                <w:highlight w:val="none"/>
              </w:rPr>
            </w:pPr>
            <w:r>
              <w:rPr>
                <w:rFonts w:hint="eastAsia"/>
                <w:color w:val="auto"/>
                <w:kern w:val="0"/>
                <w:highlight w:val="none"/>
              </w:rPr>
              <w:t>（</w:t>
            </w:r>
            <w:r>
              <w:rPr>
                <w:rFonts w:hint="eastAsia"/>
                <w:color w:val="auto"/>
                <w:kern w:val="0"/>
                <w:highlight w:val="none"/>
                <w:lang w:val="en-US" w:eastAsia="zh-CN"/>
              </w:rPr>
              <w:t>8</w:t>
            </w:r>
            <w:r>
              <w:rPr>
                <w:rFonts w:hint="eastAsia"/>
                <w:color w:val="auto"/>
                <w:kern w:val="0"/>
                <w:highlight w:val="none"/>
              </w:rPr>
              <w:t>）</w:t>
            </w:r>
          </w:p>
        </w:tc>
        <w:tc>
          <w:tcPr>
            <w:tcW w:w="8955" w:type="dxa"/>
            <w:gridSpan w:val="2"/>
            <w:vAlign w:val="center"/>
          </w:tcPr>
          <w:p w14:paraId="795B7FF9">
            <w:pPr>
              <w:widowControl/>
              <w:snapToGrid w:val="0"/>
              <w:spacing w:line="420" w:lineRule="exact"/>
              <w:jc w:val="left"/>
              <w:rPr>
                <w:b/>
                <w:color w:val="auto"/>
                <w:highlight w:val="none"/>
              </w:rPr>
            </w:pPr>
            <w:r>
              <w:rPr>
                <w:rFonts w:hint="eastAsia"/>
                <w:b/>
                <w:color w:val="auto"/>
                <w:highlight w:val="none"/>
              </w:rPr>
              <w:t>其   它：</w:t>
            </w:r>
          </w:p>
          <w:p w14:paraId="2F275338">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1.本竞争性磋商文件中所提到的公章：指公安部门备案的行政章；签字：指亲笔签字。</w:t>
            </w:r>
          </w:p>
          <w:p w14:paraId="4672F6D3">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2.串标围标判定依据：</w:t>
            </w:r>
          </w:p>
          <w:p w14:paraId="73433C7E">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2.1不同磋商申请人提交的磋商响应文件中内容错漏之处出现高度一致，或其它内容出现高度一致性（除竞争性磋商文件中规定的内容外）的；</w:t>
            </w:r>
          </w:p>
          <w:p w14:paraId="7B2FDA13">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2.2不同磋商申请人的磋商响应文件相互混装的；</w:t>
            </w:r>
          </w:p>
          <w:p w14:paraId="473BA499">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2.3现行法律法规规定的其它判定依据。</w:t>
            </w:r>
          </w:p>
          <w:p w14:paraId="3AD1BA1F">
            <w:pPr>
              <w:widowControl/>
              <w:numPr>
                <w:ilvl w:val="0"/>
                <w:numId w:val="0"/>
              </w:numPr>
              <w:snapToGrid w:val="0"/>
              <w:spacing w:line="420" w:lineRule="exact"/>
              <w:jc w:val="left"/>
              <w:rPr>
                <w:rFonts w:hint="eastAsia" w:hAnsi="宋体" w:eastAsia="宋体" w:cs="Arial"/>
                <w:bCs/>
                <w:color w:val="auto"/>
                <w:kern w:val="0"/>
                <w:szCs w:val="21"/>
                <w:highlight w:val="none"/>
                <w:lang w:eastAsia="zh-CN"/>
              </w:rPr>
            </w:pPr>
            <w:r>
              <w:rPr>
                <w:rFonts w:hint="eastAsia" w:hAnsi="宋体" w:cs="Arial"/>
                <w:bCs/>
                <w:color w:val="auto"/>
                <w:kern w:val="0"/>
                <w:szCs w:val="21"/>
                <w:highlight w:val="none"/>
                <w:lang w:val="en-US" w:eastAsia="zh-CN"/>
              </w:rPr>
              <w:t>3.</w:t>
            </w:r>
            <w:r>
              <w:rPr>
                <w:rFonts w:hint="eastAsia" w:hAnsi="宋体" w:cs="Arial"/>
                <w:bCs/>
                <w:color w:val="auto"/>
                <w:kern w:val="0"/>
                <w:szCs w:val="21"/>
                <w:highlight w:val="none"/>
              </w:rPr>
              <w:t>采购人有权对被推荐为第一成交候选人的磋商响应文件中不合理的条款在进行合同谈判时要求其进行修正的权力，否则，采购人有权拒绝与之签订合同并选择下一排序的候选人进行合同谈判，以此类推</w:t>
            </w:r>
            <w:r>
              <w:rPr>
                <w:rFonts w:hint="eastAsia" w:hAnsi="宋体" w:cs="Arial"/>
                <w:bCs/>
                <w:color w:val="auto"/>
                <w:kern w:val="0"/>
                <w:szCs w:val="21"/>
                <w:highlight w:val="none"/>
                <w:lang w:eastAsia="zh-CN"/>
              </w:rPr>
              <w:t>。</w:t>
            </w:r>
          </w:p>
          <w:p w14:paraId="21775C16">
            <w:pPr>
              <w:widowControl/>
              <w:numPr>
                <w:ilvl w:val="0"/>
                <w:numId w:val="0"/>
              </w:numPr>
              <w:snapToGrid w:val="0"/>
              <w:spacing w:line="420" w:lineRule="exact"/>
              <w:jc w:val="left"/>
              <w:rPr>
                <w:color w:val="auto"/>
                <w:highlight w:val="none"/>
              </w:rPr>
            </w:pPr>
            <w:r>
              <w:rPr>
                <w:rFonts w:hint="eastAsia" w:hAnsi="宋体" w:cs="Arial"/>
                <w:bCs/>
                <w:color w:val="auto"/>
                <w:kern w:val="0"/>
                <w:szCs w:val="21"/>
                <w:highlight w:val="none"/>
              </w:rPr>
              <w:t>4.</w:t>
            </w:r>
            <w:r>
              <w:rPr>
                <w:rFonts w:hint="eastAsia"/>
                <w:color w:val="auto"/>
                <w:highlight w:val="none"/>
              </w:rPr>
              <w:t>保证金将被没收的情况（出现下列情况之一者其提交的磋商保证金将被没收）：</w:t>
            </w:r>
          </w:p>
          <w:p w14:paraId="57E98FD7">
            <w:pPr>
              <w:widowControl/>
              <w:snapToGrid w:val="0"/>
              <w:spacing w:line="420" w:lineRule="exact"/>
              <w:jc w:val="left"/>
              <w:rPr>
                <w:color w:val="auto"/>
                <w:highlight w:val="none"/>
              </w:rPr>
            </w:pPr>
            <w:r>
              <w:rPr>
                <w:rFonts w:hint="eastAsia"/>
                <w:color w:val="auto"/>
                <w:highlight w:val="none"/>
              </w:rPr>
              <w:t>4.1磋商申请人在提交磋商响应文件截止时间后撤回响应文件的；</w:t>
            </w:r>
          </w:p>
          <w:p w14:paraId="5170817B">
            <w:pPr>
              <w:widowControl/>
              <w:snapToGrid w:val="0"/>
              <w:spacing w:line="420" w:lineRule="exact"/>
              <w:jc w:val="left"/>
              <w:rPr>
                <w:color w:val="auto"/>
                <w:highlight w:val="none"/>
              </w:rPr>
            </w:pPr>
            <w:r>
              <w:rPr>
                <w:rFonts w:hint="eastAsia"/>
                <w:color w:val="auto"/>
                <w:highlight w:val="none"/>
              </w:rPr>
              <w:t>4.2磋商申请人在磋商响应文件中提供虚假材料的；</w:t>
            </w:r>
          </w:p>
          <w:p w14:paraId="5361D7B2">
            <w:pPr>
              <w:widowControl/>
              <w:snapToGrid w:val="0"/>
              <w:spacing w:line="420" w:lineRule="exact"/>
              <w:jc w:val="left"/>
              <w:rPr>
                <w:color w:val="auto"/>
                <w:highlight w:val="none"/>
              </w:rPr>
            </w:pPr>
            <w:r>
              <w:rPr>
                <w:rFonts w:hint="eastAsia"/>
                <w:color w:val="auto"/>
                <w:highlight w:val="none"/>
              </w:rPr>
              <w:t>4.3除因不可抗力或竞争性磋商文件、成交通知书认可的情形以外，成交磋商申请人不与采购人签订合同的；</w:t>
            </w:r>
          </w:p>
          <w:p w14:paraId="17275DA3">
            <w:pPr>
              <w:widowControl/>
              <w:snapToGrid w:val="0"/>
              <w:spacing w:line="420" w:lineRule="exact"/>
              <w:jc w:val="left"/>
              <w:rPr>
                <w:color w:val="auto"/>
                <w:highlight w:val="none"/>
              </w:rPr>
            </w:pPr>
            <w:r>
              <w:rPr>
                <w:rFonts w:hint="eastAsia"/>
                <w:color w:val="auto"/>
                <w:highlight w:val="none"/>
              </w:rPr>
              <w:t>4.4磋商申请人与采购人、其他磋商申请人或者采购代理机构恶意串通的；</w:t>
            </w:r>
          </w:p>
          <w:p w14:paraId="1C930C9E">
            <w:pPr>
              <w:widowControl/>
              <w:snapToGrid w:val="0"/>
              <w:spacing w:line="420" w:lineRule="exact"/>
              <w:jc w:val="left"/>
              <w:rPr>
                <w:rFonts w:ascii="Times New Roman" w:hAnsi="Times New Roman"/>
                <w:color w:val="auto"/>
                <w:kern w:val="0"/>
                <w:highlight w:val="none"/>
              </w:rPr>
            </w:pPr>
            <w:r>
              <w:rPr>
                <w:rFonts w:hint="eastAsia" w:ascii="Times New Roman" w:hAnsi="Times New Roman"/>
                <w:color w:val="auto"/>
                <w:szCs w:val="24"/>
                <w:highlight w:val="none"/>
              </w:rPr>
              <w:t>4.5采购文件、法律法规规定的其它情形。</w:t>
            </w:r>
          </w:p>
        </w:tc>
      </w:tr>
      <w:tr w14:paraId="4CD4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5C4B5CA">
            <w:pPr>
              <w:pStyle w:val="27"/>
              <w:spacing w:line="440" w:lineRule="exact"/>
              <w:jc w:val="center"/>
              <w:rPr>
                <w:rFonts w:hint="eastAsia"/>
                <w:color w:val="auto"/>
                <w:kern w:val="0"/>
                <w:highlight w:val="none"/>
              </w:rPr>
            </w:pPr>
            <w:bookmarkStart w:id="9" w:name="_Toc86124040"/>
            <w:r>
              <w:rPr>
                <w:rFonts w:hint="eastAsia"/>
                <w:color w:val="auto"/>
                <w:kern w:val="0"/>
                <w:highlight w:val="none"/>
                <w:lang w:eastAsia="zh-CN"/>
              </w:rPr>
              <w:t>（</w:t>
            </w:r>
            <w:r>
              <w:rPr>
                <w:rFonts w:hint="eastAsia"/>
                <w:color w:val="auto"/>
                <w:kern w:val="0"/>
                <w:highlight w:val="none"/>
                <w:lang w:val="en-US" w:eastAsia="zh-CN"/>
              </w:rPr>
              <w:t>9</w:t>
            </w:r>
            <w:r>
              <w:rPr>
                <w:rFonts w:hint="eastAsia"/>
                <w:color w:val="auto"/>
                <w:kern w:val="0"/>
                <w:highlight w:val="none"/>
                <w:lang w:eastAsia="zh-CN"/>
              </w:rPr>
              <w:t>）</w:t>
            </w:r>
          </w:p>
        </w:tc>
        <w:tc>
          <w:tcPr>
            <w:tcW w:w="8955" w:type="dxa"/>
            <w:gridSpan w:val="2"/>
            <w:vAlign w:val="center"/>
          </w:tcPr>
          <w:p w14:paraId="73AC3E0D">
            <w:pPr>
              <w:pStyle w:val="27"/>
              <w:spacing w:line="420" w:lineRule="exact"/>
              <w:rPr>
                <w:rFonts w:hint="eastAsia" w:ascii="Times New Roman" w:hAnsi="Times New Roman"/>
                <w:color w:val="auto"/>
                <w:szCs w:val="24"/>
                <w:highlight w:val="none"/>
              </w:rPr>
            </w:pPr>
            <w:r>
              <w:rPr>
                <w:rFonts w:hint="eastAsia" w:ascii="Times New Roman" w:hAnsi="Times New Roman"/>
                <w:color w:val="auto"/>
                <w:szCs w:val="24"/>
                <w:highlight w:val="none"/>
              </w:rPr>
              <w:t>人身意外伤害保险最低限额：</w:t>
            </w:r>
            <w:r>
              <w:rPr>
                <w:rFonts w:hint="eastAsia" w:ascii="宋体" w:hAnsi="宋体" w:eastAsia="宋体" w:cs="Times New Roman"/>
                <w:b w:val="0"/>
                <w:bCs w:val="0"/>
                <w:color w:val="auto"/>
                <w:sz w:val="21"/>
                <w:szCs w:val="21"/>
                <w:highlight w:val="none"/>
                <w:lang w:val="en-US" w:eastAsia="zh-CN"/>
              </w:rPr>
              <w:t>施工单位必须为施工人员购买人身意外伤害保险，个人保险额度不得低于60万元，保险必须覆盖全部施工人员并确保在保险期内。</w:t>
            </w:r>
            <w:r>
              <w:rPr>
                <w:rFonts w:hint="eastAsia" w:ascii="宋体" w:hAnsi="宋体" w:cs="Times New Roman"/>
                <w:b w:val="0"/>
                <w:bCs w:val="0"/>
                <w:color w:val="auto"/>
                <w:sz w:val="21"/>
                <w:szCs w:val="21"/>
                <w:highlight w:val="none"/>
                <w:lang w:val="en-US" w:eastAsia="zh-CN"/>
              </w:rPr>
              <w:t>除购买人身意外伤害保险外，施工单位还应为每一位施工人员购买工伤险（</w:t>
            </w:r>
            <w:r>
              <w:rPr>
                <w:rFonts w:hint="eastAsia" w:ascii="宋体" w:hAnsi="宋体" w:eastAsia="宋体" w:cs="Times New Roman"/>
                <w:b w:val="0"/>
                <w:bCs w:val="0"/>
                <w:color w:val="auto"/>
                <w:sz w:val="21"/>
                <w:szCs w:val="21"/>
                <w:highlight w:val="none"/>
                <w:lang w:val="en-US" w:eastAsia="zh-CN"/>
              </w:rPr>
              <w:t>此费用包含在投标人的投标报价中，发包人不再另行支付</w:t>
            </w:r>
            <w:r>
              <w:rPr>
                <w:rFonts w:hint="eastAsia" w:ascii="宋体" w:hAnsi="宋体" w:cs="Times New Roman"/>
                <w:b w:val="0"/>
                <w:bCs w:val="0"/>
                <w:color w:val="auto"/>
                <w:sz w:val="21"/>
                <w:szCs w:val="21"/>
                <w:highlight w:val="none"/>
                <w:lang w:val="en-US" w:eastAsia="zh-CN"/>
              </w:rPr>
              <w:t>），保险单及相关资料</w:t>
            </w:r>
            <w:r>
              <w:rPr>
                <w:rFonts w:hint="eastAsia" w:hAnsi="宋体" w:cs="Times New Roman"/>
                <w:b w:val="0"/>
                <w:bCs w:val="0"/>
                <w:color w:val="auto"/>
                <w:sz w:val="21"/>
                <w:szCs w:val="21"/>
                <w:highlight w:val="none"/>
                <w:lang w:val="en-US" w:eastAsia="zh-CN"/>
              </w:rPr>
              <w:t>备查</w:t>
            </w:r>
            <w:r>
              <w:rPr>
                <w:rFonts w:hint="eastAsia" w:ascii="宋体" w:hAnsi="宋体" w:eastAsia="宋体" w:cs="Times New Roman"/>
                <w:b w:val="0"/>
                <w:bCs w:val="0"/>
                <w:color w:val="auto"/>
                <w:sz w:val="21"/>
                <w:szCs w:val="21"/>
                <w:highlight w:val="none"/>
                <w:lang w:val="en-US" w:eastAsia="zh-CN"/>
              </w:rPr>
              <w:t>。</w:t>
            </w:r>
          </w:p>
        </w:tc>
      </w:tr>
    </w:tbl>
    <w:p w14:paraId="714875B1">
      <w:pPr>
        <w:pStyle w:val="3"/>
        <w:spacing w:before="0" w:after="0"/>
        <w:rPr>
          <w:color w:val="auto"/>
          <w:highlight w:val="none"/>
        </w:rPr>
      </w:pPr>
      <w:r>
        <w:rPr>
          <w:color w:val="auto"/>
          <w:highlight w:val="none"/>
        </w:rPr>
        <w:br w:type="page"/>
      </w:r>
      <w:bookmarkStart w:id="10" w:name="_Toc383175473"/>
      <w:r>
        <w:rPr>
          <w:rFonts w:hint="eastAsia" w:ascii="Times New Roman" w:hAnsi="Times New Roman"/>
          <w:color w:val="auto"/>
          <w:szCs w:val="28"/>
          <w:highlight w:val="none"/>
        </w:rPr>
        <w:t>一、总</w:t>
      </w:r>
      <w:r>
        <w:rPr>
          <w:rFonts w:ascii="Times New Roman" w:hAnsi="Times New Roman"/>
          <w:color w:val="auto"/>
          <w:szCs w:val="28"/>
          <w:highlight w:val="none"/>
        </w:rPr>
        <w:t xml:space="preserve">  </w:t>
      </w:r>
      <w:r>
        <w:rPr>
          <w:rFonts w:hint="eastAsia" w:ascii="Times New Roman" w:hAnsi="Times New Roman"/>
          <w:color w:val="auto"/>
          <w:szCs w:val="28"/>
          <w:highlight w:val="none"/>
        </w:rPr>
        <w:t>则</w:t>
      </w:r>
      <w:bookmarkEnd w:id="9"/>
      <w:bookmarkEnd w:id="10"/>
    </w:p>
    <w:p w14:paraId="5D5D7743">
      <w:pPr>
        <w:pStyle w:val="4"/>
        <w:numPr>
          <w:ilvl w:val="0"/>
          <w:numId w:val="0"/>
        </w:numPr>
        <w:spacing w:before="0" w:after="0"/>
        <w:jc w:val="both"/>
        <w:rPr>
          <w:rFonts w:ascii="Times New Roman"/>
          <w:color w:val="auto"/>
          <w:sz w:val="28"/>
          <w:szCs w:val="28"/>
          <w:highlight w:val="none"/>
        </w:rPr>
      </w:pPr>
      <w:bookmarkStart w:id="11" w:name="_Toc329810186"/>
      <w:bookmarkStart w:id="12" w:name="_Toc383175052"/>
      <w:bookmarkStart w:id="13" w:name="_Toc383175474"/>
      <w:bookmarkStart w:id="14" w:name="_Toc383175276"/>
      <w:r>
        <w:rPr>
          <w:rFonts w:hint="default" w:ascii="Times New Roman" w:hAnsi="Times New Roman" w:eastAsia="宋体" w:cs="Times New Roman"/>
          <w:b/>
          <w:bCs/>
          <w:color w:val="auto"/>
          <w:kern w:val="0"/>
          <w:sz w:val="28"/>
          <w:szCs w:val="28"/>
          <w:highlight w:val="none"/>
          <w:lang w:val="en-US" w:eastAsia="zh-CN" w:bidi="ar-SA"/>
        </w:rPr>
        <w:t>1.</w:t>
      </w:r>
      <w:r>
        <w:rPr>
          <w:rFonts w:hint="eastAsia" w:ascii="Times New Roman"/>
          <w:color w:val="auto"/>
          <w:sz w:val="28"/>
          <w:szCs w:val="28"/>
          <w:highlight w:val="none"/>
        </w:rPr>
        <w:t>项目概况</w:t>
      </w:r>
      <w:bookmarkEnd w:id="11"/>
      <w:bookmarkEnd w:id="12"/>
      <w:bookmarkEnd w:id="13"/>
      <w:bookmarkEnd w:id="14"/>
    </w:p>
    <w:p w14:paraId="3D1049FF">
      <w:pPr>
        <w:spacing w:line="360" w:lineRule="auto"/>
        <w:ind w:firstLine="420" w:firstLineChars="200"/>
        <w:jc w:val="left"/>
        <w:rPr>
          <w:color w:val="auto"/>
          <w:szCs w:val="21"/>
          <w:highlight w:val="none"/>
        </w:rPr>
      </w:pPr>
      <w:r>
        <w:rPr>
          <w:color w:val="auto"/>
          <w:szCs w:val="21"/>
          <w:highlight w:val="none"/>
        </w:rPr>
        <w:t xml:space="preserve">1.1 </w:t>
      </w:r>
      <w:r>
        <w:rPr>
          <w:rFonts w:hint="eastAsia"/>
          <w:color w:val="auto"/>
          <w:szCs w:val="21"/>
          <w:highlight w:val="none"/>
        </w:rPr>
        <w:t>根据《中华人民共和国政府采购法》、《中华人民共和国政府采购法实施条例》、《财政部令第87号、94号、101号》、《政府采购竞争性磋商采购方式管理暂行办法》等有关法律、法规和规章的规定，本项目已获主管部门批准，现对本次服务采购进行竞争性磋商采购。</w:t>
      </w:r>
    </w:p>
    <w:p w14:paraId="1A51A5E9">
      <w:pPr>
        <w:spacing w:line="360" w:lineRule="auto"/>
        <w:ind w:firstLine="420" w:firstLineChars="200"/>
        <w:jc w:val="left"/>
        <w:rPr>
          <w:color w:val="auto"/>
          <w:szCs w:val="21"/>
          <w:highlight w:val="none"/>
        </w:rPr>
      </w:pPr>
      <w:r>
        <w:rPr>
          <w:color w:val="auto"/>
          <w:szCs w:val="21"/>
          <w:highlight w:val="none"/>
        </w:rPr>
        <w:t xml:space="preserve">1.2 </w:t>
      </w:r>
      <w:r>
        <w:rPr>
          <w:rFonts w:hint="eastAsia"/>
          <w:color w:val="auto"/>
          <w:szCs w:val="21"/>
          <w:highlight w:val="none"/>
        </w:rPr>
        <w:t>本项目采购人、采购代理机构、项目名称及采购编号：见</w:t>
      </w:r>
      <w:r>
        <w:rPr>
          <w:rFonts w:hint="eastAsia"/>
          <w:color w:val="auto"/>
          <w:szCs w:val="21"/>
          <w:highlight w:val="none"/>
          <w:lang w:eastAsia="zh-CN"/>
        </w:rPr>
        <w:t>“磋商申请人须知前附表”</w:t>
      </w:r>
      <w:r>
        <w:rPr>
          <w:rFonts w:hint="eastAsia"/>
          <w:color w:val="auto"/>
          <w:szCs w:val="21"/>
          <w:highlight w:val="none"/>
        </w:rPr>
        <w:t>。</w:t>
      </w:r>
    </w:p>
    <w:p w14:paraId="07DB67F8">
      <w:pPr>
        <w:pStyle w:val="4"/>
        <w:numPr>
          <w:ilvl w:val="0"/>
          <w:numId w:val="0"/>
        </w:numPr>
        <w:spacing w:before="0" w:after="0"/>
        <w:jc w:val="both"/>
        <w:rPr>
          <w:rFonts w:hint="eastAsia" w:ascii="Times New Roman"/>
          <w:color w:val="auto"/>
          <w:sz w:val="28"/>
          <w:szCs w:val="28"/>
          <w:highlight w:val="none"/>
        </w:rPr>
      </w:pPr>
      <w:bookmarkStart w:id="15" w:name="_Toc383175475"/>
      <w:bookmarkStart w:id="16" w:name="_Toc329810187"/>
      <w:bookmarkStart w:id="17" w:name="_Toc383175277"/>
      <w:bookmarkStart w:id="18" w:name="_Toc383175053"/>
      <w:bookmarkStart w:id="19" w:name="_Toc265142411"/>
      <w:r>
        <w:rPr>
          <w:rFonts w:hint="default" w:ascii="Times New Roman"/>
          <w:color w:val="auto"/>
          <w:sz w:val="28"/>
          <w:szCs w:val="28"/>
          <w:highlight w:val="none"/>
          <w:lang w:val="en-US" w:eastAsia="zh-CN"/>
        </w:rPr>
        <w:t>2.</w:t>
      </w:r>
      <w:r>
        <w:rPr>
          <w:rFonts w:hint="eastAsia" w:ascii="Times New Roman"/>
          <w:color w:val="auto"/>
          <w:sz w:val="28"/>
          <w:szCs w:val="28"/>
          <w:highlight w:val="none"/>
        </w:rPr>
        <w:t>资金来源</w:t>
      </w:r>
      <w:bookmarkEnd w:id="15"/>
      <w:bookmarkEnd w:id="16"/>
      <w:bookmarkEnd w:id="17"/>
      <w:bookmarkEnd w:id="18"/>
      <w:bookmarkEnd w:id="19"/>
    </w:p>
    <w:p w14:paraId="68C72E7C">
      <w:pPr>
        <w:spacing w:line="360" w:lineRule="auto"/>
        <w:ind w:firstLine="420" w:firstLineChars="200"/>
        <w:jc w:val="left"/>
        <w:rPr>
          <w:color w:val="auto"/>
          <w:szCs w:val="21"/>
          <w:highlight w:val="none"/>
        </w:rPr>
      </w:pPr>
      <w:r>
        <w:rPr>
          <w:color w:val="auto"/>
          <w:szCs w:val="21"/>
          <w:highlight w:val="none"/>
        </w:rPr>
        <w:t>2.1</w:t>
      </w:r>
      <w:r>
        <w:rPr>
          <w:rFonts w:hint="eastAsia"/>
          <w:color w:val="auto"/>
          <w:szCs w:val="21"/>
          <w:highlight w:val="none"/>
        </w:rPr>
        <w:t>资金来源已落实，用于采购</w:t>
      </w:r>
      <w:r>
        <w:rPr>
          <w:rFonts w:hint="eastAsia"/>
          <w:color w:val="auto"/>
          <w:szCs w:val="21"/>
          <w:highlight w:val="none"/>
          <w:lang w:eastAsia="zh-CN"/>
        </w:rPr>
        <w:t>“</w:t>
      </w:r>
      <w:r>
        <w:rPr>
          <w:rFonts w:hint="eastAsia"/>
          <w:b/>
          <w:bCs/>
          <w:color w:val="auto"/>
          <w:szCs w:val="21"/>
          <w:highlight w:val="none"/>
        </w:rPr>
        <w:t>项目需求</w:t>
      </w:r>
      <w:r>
        <w:rPr>
          <w:rFonts w:hint="eastAsia"/>
          <w:color w:val="auto"/>
          <w:szCs w:val="21"/>
          <w:highlight w:val="none"/>
          <w:lang w:eastAsia="zh-CN"/>
        </w:rPr>
        <w:t>”</w:t>
      </w:r>
      <w:r>
        <w:rPr>
          <w:rFonts w:hint="eastAsia"/>
          <w:color w:val="auto"/>
          <w:szCs w:val="21"/>
          <w:highlight w:val="none"/>
        </w:rPr>
        <w:t>所列</w:t>
      </w:r>
      <w:r>
        <w:rPr>
          <w:rFonts w:hint="eastAsia"/>
          <w:color w:val="auto"/>
          <w:szCs w:val="21"/>
          <w:highlight w:val="none"/>
          <w:lang w:eastAsia="zh-CN"/>
        </w:rPr>
        <w:t>工程</w:t>
      </w:r>
      <w:r>
        <w:rPr>
          <w:rFonts w:hint="eastAsia"/>
          <w:color w:val="auto"/>
          <w:szCs w:val="21"/>
          <w:highlight w:val="none"/>
        </w:rPr>
        <w:t>。</w:t>
      </w:r>
      <w:bookmarkStart w:id="20" w:name="_Toc329810188"/>
      <w:bookmarkStart w:id="21" w:name="_Toc383175054"/>
      <w:bookmarkStart w:id="22" w:name="_Toc265142412"/>
      <w:bookmarkStart w:id="23" w:name="_Toc383175278"/>
      <w:bookmarkStart w:id="24" w:name="_Toc383175476"/>
    </w:p>
    <w:p w14:paraId="68EF8D10">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3.</w:t>
      </w:r>
      <w:r>
        <w:rPr>
          <w:rFonts w:hint="eastAsia" w:ascii="Times New Roman"/>
          <w:color w:val="auto"/>
          <w:sz w:val="28"/>
          <w:szCs w:val="28"/>
          <w:highlight w:val="none"/>
        </w:rPr>
        <w:t>采购范围</w:t>
      </w:r>
      <w:bookmarkEnd w:id="20"/>
      <w:bookmarkEnd w:id="21"/>
      <w:bookmarkEnd w:id="22"/>
      <w:bookmarkEnd w:id="23"/>
      <w:bookmarkEnd w:id="24"/>
    </w:p>
    <w:p w14:paraId="18F00D37">
      <w:pPr>
        <w:spacing w:line="360" w:lineRule="auto"/>
        <w:ind w:firstLine="420" w:firstLineChars="200"/>
        <w:jc w:val="left"/>
        <w:rPr>
          <w:color w:val="auto"/>
          <w:szCs w:val="21"/>
          <w:highlight w:val="none"/>
        </w:rPr>
      </w:pPr>
      <w:r>
        <w:rPr>
          <w:color w:val="auto"/>
          <w:szCs w:val="21"/>
          <w:highlight w:val="none"/>
        </w:rPr>
        <w:t xml:space="preserve">3.1 </w:t>
      </w:r>
      <w:r>
        <w:rPr>
          <w:rFonts w:hint="eastAsia"/>
          <w:color w:val="auto"/>
          <w:szCs w:val="21"/>
          <w:highlight w:val="none"/>
        </w:rPr>
        <w:t>本项目采购内容：见</w:t>
      </w:r>
      <w:r>
        <w:rPr>
          <w:rFonts w:hint="eastAsia"/>
          <w:color w:val="auto"/>
          <w:szCs w:val="21"/>
          <w:highlight w:val="none"/>
          <w:lang w:eastAsia="zh-CN"/>
        </w:rPr>
        <w:t>“磋商申请人须知前附表”</w:t>
      </w:r>
      <w:r>
        <w:rPr>
          <w:rFonts w:hint="eastAsia"/>
          <w:color w:val="auto"/>
          <w:szCs w:val="21"/>
          <w:highlight w:val="none"/>
        </w:rPr>
        <w:t>。</w:t>
      </w:r>
    </w:p>
    <w:p w14:paraId="7D9A1FBC">
      <w:pPr>
        <w:spacing w:line="360" w:lineRule="auto"/>
        <w:ind w:firstLine="420" w:firstLineChars="200"/>
        <w:jc w:val="left"/>
        <w:rPr>
          <w:color w:val="auto"/>
          <w:szCs w:val="21"/>
          <w:highlight w:val="none"/>
        </w:rPr>
      </w:pPr>
      <w:r>
        <w:rPr>
          <w:color w:val="auto"/>
          <w:szCs w:val="21"/>
          <w:highlight w:val="none"/>
        </w:rPr>
        <w:t xml:space="preserve">3.2 </w:t>
      </w:r>
      <w:r>
        <w:rPr>
          <w:rFonts w:hint="eastAsia"/>
          <w:color w:val="auto"/>
          <w:szCs w:val="21"/>
          <w:highlight w:val="none"/>
        </w:rPr>
        <w:t>本项目服务期限及服务地点：见</w:t>
      </w:r>
      <w:r>
        <w:rPr>
          <w:rFonts w:hint="eastAsia"/>
          <w:color w:val="auto"/>
          <w:szCs w:val="21"/>
          <w:highlight w:val="none"/>
          <w:lang w:eastAsia="zh-CN"/>
        </w:rPr>
        <w:t>“磋商申请人须知前附表”</w:t>
      </w:r>
      <w:r>
        <w:rPr>
          <w:rFonts w:hint="eastAsia"/>
          <w:color w:val="auto"/>
          <w:szCs w:val="21"/>
          <w:highlight w:val="none"/>
        </w:rPr>
        <w:t>。</w:t>
      </w:r>
    </w:p>
    <w:p w14:paraId="547923B6">
      <w:pPr>
        <w:pStyle w:val="4"/>
        <w:numPr>
          <w:ilvl w:val="0"/>
          <w:numId w:val="0"/>
        </w:numPr>
        <w:spacing w:before="0" w:after="0"/>
        <w:jc w:val="both"/>
        <w:rPr>
          <w:rFonts w:hint="eastAsia" w:ascii="Times New Roman"/>
          <w:color w:val="auto"/>
          <w:sz w:val="28"/>
          <w:szCs w:val="28"/>
          <w:highlight w:val="none"/>
        </w:rPr>
      </w:pPr>
      <w:bookmarkStart w:id="25" w:name="_Toc383175279"/>
      <w:bookmarkStart w:id="26" w:name="_Toc329810189"/>
      <w:bookmarkStart w:id="27" w:name="_Toc383175477"/>
      <w:bookmarkStart w:id="28" w:name="_Toc383175055"/>
      <w:r>
        <w:rPr>
          <w:rFonts w:hint="default" w:ascii="Times New Roman"/>
          <w:color w:val="auto"/>
          <w:sz w:val="28"/>
          <w:szCs w:val="28"/>
          <w:highlight w:val="none"/>
          <w:lang w:val="en-US" w:eastAsia="zh-CN"/>
        </w:rPr>
        <w:t>4.</w:t>
      </w:r>
      <w:r>
        <w:rPr>
          <w:rFonts w:hint="eastAsia" w:ascii="Times New Roman"/>
          <w:color w:val="auto"/>
          <w:sz w:val="28"/>
          <w:szCs w:val="28"/>
          <w:highlight w:val="none"/>
        </w:rPr>
        <w:t>合格的磋商申请人（以下简称磋商申请人）</w:t>
      </w:r>
      <w:bookmarkEnd w:id="25"/>
      <w:bookmarkEnd w:id="26"/>
      <w:bookmarkEnd w:id="27"/>
      <w:bookmarkEnd w:id="28"/>
    </w:p>
    <w:p w14:paraId="2F221E66">
      <w:pPr>
        <w:spacing w:line="360" w:lineRule="auto"/>
        <w:ind w:firstLine="403" w:firstLineChars="192"/>
        <w:rPr>
          <w:color w:val="auto"/>
          <w:szCs w:val="21"/>
          <w:highlight w:val="none"/>
        </w:rPr>
      </w:pPr>
      <w:r>
        <w:rPr>
          <w:rFonts w:hint="eastAsia"/>
          <w:color w:val="auto"/>
          <w:szCs w:val="21"/>
          <w:highlight w:val="none"/>
        </w:rPr>
        <w:t>4.1详见：“磋商公告”</w:t>
      </w:r>
    </w:p>
    <w:p w14:paraId="7B11D97E">
      <w:pPr>
        <w:pStyle w:val="4"/>
        <w:numPr>
          <w:ilvl w:val="0"/>
          <w:numId w:val="0"/>
        </w:numPr>
        <w:spacing w:before="0" w:after="0"/>
        <w:jc w:val="both"/>
        <w:rPr>
          <w:rFonts w:hint="eastAsia" w:ascii="Times New Roman"/>
          <w:color w:val="auto"/>
          <w:sz w:val="28"/>
          <w:szCs w:val="28"/>
          <w:highlight w:val="none"/>
        </w:rPr>
      </w:pPr>
      <w:bookmarkStart w:id="29" w:name="_Hlt200176664"/>
      <w:bookmarkEnd w:id="29"/>
      <w:bookmarkStart w:id="30" w:name="_Toc329810190"/>
      <w:bookmarkStart w:id="31" w:name="_Toc383175056"/>
      <w:bookmarkStart w:id="32" w:name="_Toc383175280"/>
      <w:bookmarkStart w:id="33" w:name="_Toc383175478"/>
      <w:r>
        <w:rPr>
          <w:rFonts w:hint="default" w:ascii="Times New Roman"/>
          <w:color w:val="auto"/>
          <w:sz w:val="28"/>
          <w:szCs w:val="28"/>
          <w:highlight w:val="none"/>
          <w:lang w:val="en-US" w:eastAsia="zh-CN"/>
        </w:rPr>
        <w:t>5.</w:t>
      </w:r>
      <w:r>
        <w:rPr>
          <w:rFonts w:hint="eastAsia" w:ascii="Times New Roman"/>
          <w:color w:val="auto"/>
          <w:sz w:val="28"/>
          <w:szCs w:val="28"/>
          <w:highlight w:val="none"/>
        </w:rPr>
        <w:t>磋商费用</w:t>
      </w:r>
      <w:bookmarkEnd w:id="30"/>
      <w:bookmarkEnd w:id="31"/>
      <w:bookmarkEnd w:id="32"/>
      <w:bookmarkEnd w:id="33"/>
    </w:p>
    <w:p w14:paraId="4BD28ECF">
      <w:pPr>
        <w:spacing w:line="360" w:lineRule="auto"/>
        <w:ind w:firstLine="420" w:firstLineChars="200"/>
        <w:rPr>
          <w:color w:val="auto"/>
          <w:highlight w:val="none"/>
        </w:rPr>
      </w:pPr>
      <w:r>
        <w:rPr>
          <w:rFonts w:hint="eastAsia"/>
          <w:color w:val="auto"/>
          <w:highlight w:val="none"/>
        </w:rPr>
        <w:t>无论是否成交，磋商申请人自行承担所有与参加磋商有关的全部费用。</w:t>
      </w:r>
    </w:p>
    <w:p w14:paraId="55C375D6">
      <w:pPr>
        <w:spacing w:line="360" w:lineRule="auto"/>
        <w:ind w:firstLine="420" w:firstLineChars="200"/>
        <w:rPr>
          <w:color w:val="auto"/>
          <w:highlight w:val="none"/>
        </w:rPr>
      </w:pPr>
    </w:p>
    <w:p w14:paraId="2AC232C5">
      <w:pPr>
        <w:pStyle w:val="3"/>
        <w:spacing w:before="0" w:after="0"/>
        <w:rPr>
          <w:rFonts w:ascii="Times New Roman" w:hAnsi="Times New Roman"/>
          <w:color w:val="auto"/>
          <w:szCs w:val="28"/>
          <w:highlight w:val="none"/>
        </w:rPr>
      </w:pPr>
      <w:bookmarkStart w:id="34" w:name="_Toc86124047"/>
      <w:bookmarkStart w:id="35" w:name="_Toc383175479"/>
      <w:r>
        <w:rPr>
          <w:rFonts w:hint="eastAsia" w:ascii="Times New Roman" w:hAnsi="Times New Roman"/>
          <w:color w:val="auto"/>
          <w:szCs w:val="28"/>
          <w:highlight w:val="none"/>
        </w:rPr>
        <w:t>二、磋商文件</w:t>
      </w:r>
      <w:bookmarkEnd w:id="34"/>
      <w:bookmarkEnd w:id="35"/>
    </w:p>
    <w:p w14:paraId="7D4B168E">
      <w:pPr>
        <w:pStyle w:val="4"/>
        <w:numPr>
          <w:ilvl w:val="0"/>
          <w:numId w:val="0"/>
        </w:numPr>
        <w:spacing w:before="0" w:after="0"/>
        <w:jc w:val="both"/>
        <w:rPr>
          <w:rFonts w:hint="eastAsia" w:ascii="Times New Roman"/>
          <w:color w:val="auto"/>
          <w:sz w:val="28"/>
          <w:szCs w:val="28"/>
          <w:highlight w:val="none"/>
        </w:rPr>
      </w:pPr>
      <w:bookmarkStart w:id="36" w:name="_Toc329810192"/>
      <w:bookmarkStart w:id="37" w:name="_Toc383175058"/>
      <w:bookmarkStart w:id="38" w:name="_Toc383175480"/>
      <w:bookmarkStart w:id="39" w:name="_Toc383175282"/>
      <w:r>
        <w:rPr>
          <w:rFonts w:hint="default" w:ascii="Times New Roman"/>
          <w:color w:val="auto"/>
          <w:sz w:val="28"/>
          <w:szCs w:val="28"/>
          <w:highlight w:val="none"/>
          <w:lang w:val="en-US" w:eastAsia="zh-CN"/>
        </w:rPr>
        <w:t>6.</w:t>
      </w:r>
      <w:r>
        <w:rPr>
          <w:rFonts w:hint="eastAsia" w:ascii="Times New Roman"/>
          <w:color w:val="auto"/>
          <w:sz w:val="28"/>
          <w:szCs w:val="28"/>
          <w:highlight w:val="none"/>
        </w:rPr>
        <w:t>磋商文件的组成</w:t>
      </w:r>
      <w:bookmarkEnd w:id="36"/>
      <w:bookmarkEnd w:id="37"/>
      <w:bookmarkEnd w:id="38"/>
      <w:bookmarkEnd w:id="39"/>
    </w:p>
    <w:p w14:paraId="41FFD2A5">
      <w:pPr>
        <w:spacing w:line="360" w:lineRule="auto"/>
        <w:ind w:left="502"/>
        <w:jc w:val="left"/>
        <w:rPr>
          <w:color w:val="auto"/>
          <w:szCs w:val="21"/>
          <w:highlight w:val="none"/>
        </w:rPr>
      </w:pPr>
      <w:r>
        <w:rPr>
          <w:rFonts w:hint="eastAsia"/>
          <w:color w:val="auto"/>
          <w:szCs w:val="21"/>
          <w:highlight w:val="none"/>
        </w:rPr>
        <w:t>要求提供的货物、采购过程及合同条款在磋商文件中均有说明，磋商文件共六章，各章的内容如下：</w:t>
      </w:r>
    </w:p>
    <w:p w14:paraId="17A0A2A2">
      <w:pPr>
        <w:spacing w:line="360" w:lineRule="auto"/>
        <w:ind w:left="502"/>
        <w:jc w:val="left"/>
        <w:rPr>
          <w:color w:val="auto"/>
          <w:szCs w:val="21"/>
          <w:highlight w:val="none"/>
        </w:rPr>
      </w:pPr>
      <w:r>
        <w:rPr>
          <w:rFonts w:hint="eastAsia"/>
          <w:color w:val="auto"/>
          <w:szCs w:val="21"/>
          <w:highlight w:val="none"/>
        </w:rPr>
        <w:t>第一章</w:t>
      </w:r>
      <w:r>
        <w:rPr>
          <w:color w:val="auto"/>
          <w:szCs w:val="21"/>
          <w:highlight w:val="none"/>
        </w:rPr>
        <w:t xml:space="preserve">  </w:t>
      </w:r>
      <w:r>
        <w:rPr>
          <w:rFonts w:hint="eastAsia"/>
          <w:color w:val="auto"/>
          <w:szCs w:val="21"/>
          <w:highlight w:val="none"/>
        </w:rPr>
        <w:t>竞争性磋商公告</w:t>
      </w:r>
    </w:p>
    <w:p w14:paraId="063C0FE6">
      <w:pPr>
        <w:spacing w:line="360" w:lineRule="auto"/>
        <w:ind w:left="502"/>
        <w:jc w:val="left"/>
        <w:rPr>
          <w:color w:val="auto"/>
          <w:szCs w:val="21"/>
          <w:highlight w:val="none"/>
        </w:rPr>
      </w:pPr>
      <w:r>
        <w:rPr>
          <w:rFonts w:hint="eastAsia"/>
          <w:color w:val="auto"/>
          <w:szCs w:val="21"/>
          <w:highlight w:val="none"/>
        </w:rPr>
        <w:t>第二章</w:t>
      </w:r>
      <w:r>
        <w:rPr>
          <w:color w:val="auto"/>
          <w:szCs w:val="21"/>
          <w:highlight w:val="none"/>
        </w:rPr>
        <w:t xml:space="preserve">  </w:t>
      </w:r>
      <w:r>
        <w:rPr>
          <w:rFonts w:hint="eastAsia"/>
          <w:color w:val="auto"/>
          <w:szCs w:val="21"/>
          <w:highlight w:val="none"/>
        </w:rPr>
        <w:t>磋商申请人须知</w:t>
      </w:r>
    </w:p>
    <w:p w14:paraId="4E0012B9">
      <w:pPr>
        <w:spacing w:line="360" w:lineRule="auto"/>
        <w:ind w:left="502"/>
        <w:jc w:val="left"/>
        <w:rPr>
          <w:color w:val="auto"/>
          <w:szCs w:val="21"/>
          <w:highlight w:val="none"/>
        </w:rPr>
      </w:pPr>
      <w:r>
        <w:rPr>
          <w:rFonts w:hint="eastAsia"/>
          <w:color w:val="auto"/>
          <w:szCs w:val="21"/>
          <w:highlight w:val="none"/>
        </w:rPr>
        <w:t>第三章</w:t>
      </w:r>
      <w:r>
        <w:rPr>
          <w:color w:val="auto"/>
          <w:szCs w:val="21"/>
          <w:highlight w:val="none"/>
        </w:rPr>
        <w:t xml:space="preserve">  </w:t>
      </w:r>
      <w:r>
        <w:rPr>
          <w:rFonts w:hint="eastAsia"/>
          <w:color w:val="auto"/>
          <w:szCs w:val="21"/>
          <w:highlight w:val="none"/>
        </w:rPr>
        <w:t>合同书样式及主要条款</w:t>
      </w:r>
    </w:p>
    <w:p w14:paraId="4416E4F9">
      <w:pPr>
        <w:spacing w:line="360" w:lineRule="auto"/>
        <w:ind w:left="502"/>
        <w:jc w:val="left"/>
        <w:rPr>
          <w:color w:val="auto"/>
          <w:szCs w:val="21"/>
          <w:highlight w:val="none"/>
        </w:rPr>
      </w:pPr>
      <w:r>
        <w:rPr>
          <w:rFonts w:hint="eastAsia"/>
          <w:color w:val="auto"/>
          <w:szCs w:val="21"/>
          <w:highlight w:val="none"/>
        </w:rPr>
        <w:t>第四章</w:t>
      </w:r>
      <w:r>
        <w:rPr>
          <w:color w:val="auto"/>
          <w:szCs w:val="21"/>
          <w:highlight w:val="none"/>
        </w:rPr>
        <w:t xml:space="preserve">  </w:t>
      </w:r>
      <w:r>
        <w:rPr>
          <w:rFonts w:hint="eastAsia"/>
          <w:color w:val="auto"/>
          <w:szCs w:val="21"/>
          <w:highlight w:val="none"/>
        </w:rPr>
        <w:t>响应文件格式</w:t>
      </w:r>
    </w:p>
    <w:p w14:paraId="452B2669">
      <w:pPr>
        <w:spacing w:line="360" w:lineRule="auto"/>
        <w:ind w:left="502"/>
        <w:jc w:val="left"/>
        <w:rPr>
          <w:color w:val="auto"/>
          <w:szCs w:val="21"/>
          <w:highlight w:val="none"/>
        </w:rPr>
      </w:pPr>
      <w:r>
        <w:rPr>
          <w:rFonts w:hint="eastAsia"/>
          <w:color w:val="auto"/>
          <w:szCs w:val="21"/>
          <w:highlight w:val="none"/>
        </w:rPr>
        <w:t>第五章</w:t>
      </w:r>
      <w:r>
        <w:rPr>
          <w:color w:val="auto"/>
          <w:szCs w:val="21"/>
          <w:highlight w:val="none"/>
        </w:rPr>
        <w:t xml:space="preserve">  </w:t>
      </w:r>
      <w:r>
        <w:rPr>
          <w:rFonts w:hint="eastAsia"/>
          <w:color w:val="auto"/>
          <w:szCs w:val="21"/>
          <w:highlight w:val="none"/>
        </w:rPr>
        <w:t>项目需求</w:t>
      </w:r>
    </w:p>
    <w:p w14:paraId="64ADA528">
      <w:pPr>
        <w:spacing w:line="360" w:lineRule="auto"/>
        <w:ind w:left="502"/>
        <w:jc w:val="left"/>
        <w:rPr>
          <w:color w:val="auto"/>
          <w:szCs w:val="21"/>
          <w:highlight w:val="none"/>
        </w:rPr>
      </w:pPr>
      <w:r>
        <w:rPr>
          <w:rFonts w:hint="eastAsia"/>
          <w:color w:val="auto"/>
          <w:szCs w:val="21"/>
          <w:highlight w:val="none"/>
        </w:rPr>
        <w:t>第六章</w:t>
      </w:r>
      <w:r>
        <w:rPr>
          <w:color w:val="auto"/>
          <w:szCs w:val="21"/>
          <w:highlight w:val="none"/>
        </w:rPr>
        <w:t xml:space="preserve">  </w:t>
      </w:r>
      <w:r>
        <w:rPr>
          <w:rFonts w:hint="eastAsia"/>
          <w:color w:val="auto"/>
          <w:szCs w:val="21"/>
          <w:highlight w:val="none"/>
        </w:rPr>
        <w:t>磋商程序及方法</w:t>
      </w:r>
    </w:p>
    <w:p w14:paraId="718322E2">
      <w:pPr>
        <w:pStyle w:val="4"/>
        <w:numPr>
          <w:ilvl w:val="0"/>
          <w:numId w:val="0"/>
        </w:numPr>
        <w:spacing w:before="0" w:after="0"/>
        <w:jc w:val="both"/>
        <w:rPr>
          <w:rFonts w:hint="eastAsia" w:ascii="Times New Roman"/>
          <w:color w:val="auto"/>
          <w:sz w:val="28"/>
          <w:szCs w:val="28"/>
          <w:highlight w:val="none"/>
        </w:rPr>
      </w:pPr>
      <w:bookmarkStart w:id="40" w:name="_Toc86124049"/>
      <w:bookmarkStart w:id="41" w:name="_Toc383175481"/>
      <w:bookmarkStart w:id="42" w:name="_Toc383175283"/>
      <w:bookmarkStart w:id="43" w:name="_Toc329810193"/>
      <w:bookmarkStart w:id="44" w:name="_Toc383175059"/>
      <w:r>
        <w:rPr>
          <w:rFonts w:hint="default" w:ascii="Times New Roman"/>
          <w:color w:val="auto"/>
          <w:sz w:val="28"/>
          <w:szCs w:val="28"/>
          <w:highlight w:val="none"/>
          <w:lang w:val="en-US" w:eastAsia="zh-CN"/>
        </w:rPr>
        <w:t>7.</w:t>
      </w:r>
      <w:r>
        <w:rPr>
          <w:rFonts w:hint="eastAsia" w:ascii="Times New Roman"/>
          <w:color w:val="auto"/>
          <w:sz w:val="28"/>
          <w:szCs w:val="28"/>
          <w:highlight w:val="none"/>
        </w:rPr>
        <w:t>磋商文件的澄清</w:t>
      </w:r>
      <w:bookmarkEnd w:id="40"/>
      <w:r>
        <w:rPr>
          <w:rFonts w:hint="eastAsia" w:ascii="Times New Roman"/>
          <w:color w:val="auto"/>
          <w:sz w:val="28"/>
          <w:szCs w:val="28"/>
          <w:highlight w:val="none"/>
        </w:rPr>
        <w:t>、修改</w:t>
      </w:r>
      <w:bookmarkEnd w:id="41"/>
      <w:bookmarkEnd w:id="42"/>
      <w:bookmarkEnd w:id="43"/>
      <w:bookmarkEnd w:id="44"/>
    </w:p>
    <w:p w14:paraId="35C1D013">
      <w:pPr>
        <w:spacing w:line="360" w:lineRule="auto"/>
        <w:ind w:firstLine="420" w:firstLineChars="200"/>
        <w:jc w:val="left"/>
        <w:rPr>
          <w:color w:val="auto"/>
          <w:highlight w:val="none"/>
        </w:rPr>
      </w:pPr>
      <w:bookmarkStart w:id="45" w:name="_Toc86124051"/>
      <w:bookmarkStart w:id="46" w:name="_Toc383175482"/>
      <w:r>
        <w:rPr>
          <w:color w:val="auto"/>
          <w:highlight w:val="none"/>
        </w:rPr>
        <w:t xml:space="preserve">7.1 </w:t>
      </w:r>
      <w:r>
        <w:rPr>
          <w:rFonts w:hint="eastAsia"/>
          <w:color w:val="auto"/>
          <w:highlight w:val="none"/>
        </w:rPr>
        <w:t>参加磋商申请人应认真审核磋商文件，如有疑问的，磋商申请人可以在</w:t>
      </w:r>
      <w:r>
        <w:rPr>
          <w:color w:val="auto"/>
          <w:highlight w:val="none"/>
        </w:rPr>
        <w:t xml:space="preserve"> </w:t>
      </w:r>
      <w:r>
        <w:rPr>
          <w:rFonts w:hint="eastAsia"/>
          <w:color w:val="auto"/>
          <w:highlight w:val="none"/>
          <w:lang w:eastAsia="zh-CN"/>
        </w:rPr>
        <w:t>“磋商申请人须知前附表”</w:t>
      </w:r>
      <w:r>
        <w:rPr>
          <w:rFonts w:hint="eastAsia"/>
          <w:color w:val="auto"/>
          <w:highlight w:val="none"/>
        </w:rPr>
        <w:t>规定截止时间前以电子澄清函形式在交易系统中提出要求采购代理机构澄清，截止时间后提交的澄清要求概不接受。</w:t>
      </w:r>
    </w:p>
    <w:p w14:paraId="344BC132">
      <w:pPr>
        <w:spacing w:line="360" w:lineRule="auto"/>
        <w:ind w:firstLine="420" w:firstLineChars="200"/>
        <w:jc w:val="left"/>
        <w:rPr>
          <w:color w:val="auto"/>
          <w:highlight w:val="none"/>
        </w:rPr>
      </w:pPr>
      <w:r>
        <w:rPr>
          <w:color w:val="auto"/>
          <w:highlight w:val="none"/>
        </w:rPr>
        <w:t xml:space="preserve">7.2 </w:t>
      </w:r>
      <w:r>
        <w:rPr>
          <w:rFonts w:hint="eastAsia"/>
          <w:color w:val="auto"/>
          <w:highlight w:val="none"/>
        </w:rPr>
        <w:t>采购代理</w:t>
      </w:r>
      <w:r>
        <w:rPr>
          <w:rFonts w:hint="eastAsia"/>
          <w:color w:val="auto"/>
          <w:szCs w:val="21"/>
          <w:highlight w:val="none"/>
        </w:rPr>
        <w:t>机构</w:t>
      </w:r>
      <w:r>
        <w:rPr>
          <w:rFonts w:hint="eastAsia" w:ascii="宋体"/>
          <w:color w:val="auto"/>
          <w:szCs w:val="21"/>
          <w:highlight w:val="none"/>
        </w:rPr>
        <w:t>将</w:t>
      </w:r>
      <w:r>
        <w:rPr>
          <w:rFonts w:hint="eastAsia"/>
          <w:color w:val="auto"/>
          <w:highlight w:val="none"/>
        </w:rPr>
        <w:t>以电子形式在交易系统中</w:t>
      </w:r>
      <w:r>
        <w:rPr>
          <w:rFonts w:hint="eastAsia" w:ascii="宋体"/>
          <w:color w:val="auto"/>
          <w:szCs w:val="21"/>
          <w:highlight w:val="none"/>
        </w:rPr>
        <w:t>答复所有磋商申请人</w:t>
      </w:r>
      <w:r>
        <w:rPr>
          <w:rFonts w:hint="eastAsia"/>
          <w:color w:val="auto"/>
          <w:szCs w:val="21"/>
          <w:highlight w:val="none"/>
        </w:rPr>
        <w:t>（答复中</w:t>
      </w:r>
      <w:r>
        <w:rPr>
          <w:rFonts w:hint="eastAsia"/>
          <w:color w:val="auto"/>
          <w:highlight w:val="none"/>
        </w:rPr>
        <w:t>不包含问题的来源）要求澄清的问题，其他澄清方式无效。</w:t>
      </w:r>
    </w:p>
    <w:p w14:paraId="390E1939">
      <w:pPr>
        <w:spacing w:line="360" w:lineRule="auto"/>
        <w:ind w:firstLine="420" w:firstLineChars="200"/>
        <w:jc w:val="left"/>
        <w:rPr>
          <w:color w:val="auto"/>
          <w:highlight w:val="none"/>
        </w:rPr>
      </w:pPr>
      <w:r>
        <w:rPr>
          <w:color w:val="auto"/>
          <w:highlight w:val="none"/>
        </w:rPr>
        <w:t>7.3</w:t>
      </w:r>
      <w:r>
        <w:rPr>
          <w:rFonts w:hint="eastAsia"/>
          <w:color w:val="auto"/>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电子形式在交易系统中通知所有接收磋商文件的磋商申请人，不足5日的，将顺延提交首次响应文件截止之日。</w:t>
      </w:r>
    </w:p>
    <w:p w14:paraId="1BBBFEA8">
      <w:pPr>
        <w:spacing w:line="360" w:lineRule="auto"/>
        <w:ind w:firstLine="420" w:firstLineChars="200"/>
        <w:jc w:val="left"/>
        <w:rPr>
          <w:rFonts w:ascii="宋体"/>
          <w:color w:val="auto"/>
          <w:highlight w:val="none"/>
        </w:rPr>
      </w:pPr>
      <w:r>
        <w:rPr>
          <w:rFonts w:ascii="宋体" w:hAnsi="宋体"/>
          <w:color w:val="auto"/>
          <w:highlight w:val="none"/>
        </w:rPr>
        <w:t>7.4</w:t>
      </w:r>
      <w:r>
        <w:rPr>
          <w:rFonts w:hint="eastAsia" w:ascii="宋体" w:hAnsi="宋体"/>
          <w:color w:val="auto"/>
          <w:highlight w:val="none"/>
        </w:rPr>
        <w:t>采购代理机构和采购人可以视采购具体情况，推迟递交响应文件截止时间，并将变更时间以电子形式在交易系统中通知所有购买磋商文件的磋商申请人。</w:t>
      </w:r>
    </w:p>
    <w:p w14:paraId="176F3C34">
      <w:pPr>
        <w:spacing w:line="360" w:lineRule="auto"/>
        <w:ind w:firstLine="420" w:firstLineChars="200"/>
        <w:jc w:val="left"/>
        <w:rPr>
          <w:rFonts w:ascii="宋体" w:hAnsi="宋体"/>
          <w:color w:val="auto"/>
          <w:highlight w:val="none"/>
        </w:rPr>
      </w:pPr>
      <w:r>
        <w:rPr>
          <w:rFonts w:ascii="宋体" w:hAnsi="宋体"/>
          <w:color w:val="auto"/>
          <w:highlight w:val="none"/>
        </w:rPr>
        <w:t>7.5</w:t>
      </w:r>
      <w:r>
        <w:rPr>
          <w:rFonts w:hint="eastAsia" w:ascii="宋体" w:hAnsi="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见磋商申请人须知前附表。</w:t>
      </w:r>
    </w:p>
    <w:p w14:paraId="03894A7D">
      <w:pPr>
        <w:pStyle w:val="3"/>
        <w:spacing w:before="0" w:after="0"/>
        <w:rPr>
          <w:rFonts w:ascii="宋体"/>
          <w:color w:val="auto"/>
          <w:szCs w:val="28"/>
          <w:highlight w:val="none"/>
        </w:rPr>
      </w:pPr>
      <w:r>
        <w:rPr>
          <w:rFonts w:hint="eastAsia" w:ascii="宋体" w:hAnsi="宋体"/>
          <w:color w:val="auto"/>
          <w:szCs w:val="28"/>
          <w:highlight w:val="none"/>
        </w:rPr>
        <w:t>三、响应文件</w:t>
      </w:r>
      <w:bookmarkEnd w:id="45"/>
      <w:bookmarkEnd w:id="46"/>
    </w:p>
    <w:p w14:paraId="33A39782">
      <w:pPr>
        <w:pStyle w:val="4"/>
        <w:numPr>
          <w:ilvl w:val="0"/>
          <w:numId w:val="0"/>
        </w:numPr>
        <w:spacing w:before="0" w:after="0"/>
        <w:jc w:val="both"/>
        <w:rPr>
          <w:rFonts w:hint="eastAsia" w:ascii="Times New Roman"/>
          <w:color w:val="auto"/>
          <w:sz w:val="28"/>
          <w:szCs w:val="28"/>
          <w:highlight w:val="none"/>
        </w:rPr>
      </w:pPr>
      <w:bookmarkStart w:id="47" w:name="_Toc86124052"/>
      <w:bookmarkStart w:id="48" w:name="_Toc383175061"/>
      <w:bookmarkStart w:id="49" w:name="_Toc383175483"/>
      <w:bookmarkStart w:id="50" w:name="_Toc329810195"/>
      <w:bookmarkStart w:id="51" w:name="_Toc383175285"/>
      <w:r>
        <w:rPr>
          <w:rFonts w:hint="default" w:ascii="Times New Roman"/>
          <w:color w:val="auto"/>
          <w:sz w:val="28"/>
          <w:szCs w:val="28"/>
          <w:highlight w:val="none"/>
          <w:lang w:val="en-US" w:eastAsia="zh-CN"/>
        </w:rPr>
        <w:t>8.</w:t>
      </w:r>
      <w:r>
        <w:rPr>
          <w:rFonts w:hint="eastAsia" w:ascii="Times New Roman"/>
          <w:color w:val="auto"/>
          <w:sz w:val="28"/>
          <w:szCs w:val="28"/>
          <w:highlight w:val="none"/>
        </w:rPr>
        <w:t>响应文件编写注意事项</w:t>
      </w:r>
      <w:bookmarkEnd w:id="47"/>
      <w:bookmarkEnd w:id="48"/>
      <w:bookmarkEnd w:id="49"/>
      <w:bookmarkEnd w:id="50"/>
      <w:bookmarkEnd w:id="51"/>
    </w:p>
    <w:p w14:paraId="24C9BB26">
      <w:pPr>
        <w:spacing w:line="360" w:lineRule="auto"/>
        <w:ind w:firstLine="420" w:firstLineChars="200"/>
        <w:jc w:val="left"/>
        <w:rPr>
          <w:rFonts w:ascii="宋体"/>
          <w:color w:val="auto"/>
          <w:highlight w:val="none"/>
        </w:rPr>
      </w:pPr>
      <w:r>
        <w:rPr>
          <w:rFonts w:ascii="宋体" w:hAnsi="宋体"/>
          <w:color w:val="auto"/>
          <w:highlight w:val="none"/>
        </w:rPr>
        <w:t xml:space="preserve">8.1 </w:t>
      </w:r>
      <w:r>
        <w:rPr>
          <w:rFonts w:hint="eastAsia" w:ascii="宋体" w:hAnsi="宋体"/>
          <w:color w:val="auto"/>
          <w:highlight w:val="none"/>
        </w:rPr>
        <w:t>磋商申请人应仔细阅读磋商文件，在完全了解采购的内容、技术性能要求（见第五章</w:t>
      </w:r>
      <w:r>
        <w:rPr>
          <w:rFonts w:hint="eastAsia" w:ascii="宋体"/>
          <w:color w:val="auto"/>
          <w:highlight w:val="none"/>
        </w:rPr>
        <w:t>“</w:t>
      </w:r>
      <w:r>
        <w:rPr>
          <w:rFonts w:hint="eastAsia" w:ascii="宋体" w:hAnsi="宋体"/>
          <w:color w:val="auto"/>
          <w:highlight w:val="none"/>
        </w:rPr>
        <w:t>项目需求</w:t>
      </w:r>
      <w:r>
        <w:rPr>
          <w:rFonts w:hint="eastAsia" w:ascii="宋体"/>
          <w:color w:val="auto"/>
          <w:highlight w:val="none"/>
        </w:rPr>
        <w:t>”</w:t>
      </w:r>
      <w:r>
        <w:rPr>
          <w:rFonts w:hint="eastAsia" w:ascii="宋体" w:hAnsi="宋体"/>
          <w:color w:val="auto"/>
          <w:highlight w:val="none"/>
        </w:rPr>
        <w:t>）和商务条件后，编写响应文件。</w:t>
      </w:r>
    </w:p>
    <w:p w14:paraId="03E8ED8F">
      <w:pPr>
        <w:spacing w:line="360" w:lineRule="auto"/>
        <w:ind w:firstLine="420" w:firstLineChars="200"/>
        <w:jc w:val="left"/>
        <w:rPr>
          <w:rFonts w:ascii="宋体"/>
          <w:color w:val="auto"/>
          <w:highlight w:val="none"/>
        </w:rPr>
      </w:pPr>
      <w:r>
        <w:rPr>
          <w:rFonts w:ascii="宋体" w:hAnsi="宋体"/>
          <w:color w:val="auto"/>
          <w:highlight w:val="none"/>
        </w:rPr>
        <w:t xml:space="preserve">8.2 </w:t>
      </w:r>
      <w:r>
        <w:rPr>
          <w:rFonts w:hint="eastAsia" w:ascii="宋体" w:hAnsi="宋体"/>
          <w:color w:val="auto"/>
          <w:highlight w:val="none"/>
        </w:rPr>
        <w:t>对磋商文件提出的实质性要求和条件作出响应是指磋商申请人必须对磋商文件中规定的成交实质性要求和条件作出满足或者优于原要求和条件的承诺，并提供相应的证明材料。</w:t>
      </w:r>
    </w:p>
    <w:p w14:paraId="6D1BCA14">
      <w:pPr>
        <w:pStyle w:val="4"/>
        <w:numPr>
          <w:ilvl w:val="0"/>
          <w:numId w:val="0"/>
        </w:numPr>
        <w:spacing w:before="0" w:after="0"/>
        <w:jc w:val="both"/>
        <w:rPr>
          <w:rFonts w:hint="eastAsia" w:ascii="Times New Roman"/>
          <w:color w:val="auto"/>
          <w:sz w:val="28"/>
          <w:szCs w:val="28"/>
          <w:highlight w:val="none"/>
        </w:rPr>
      </w:pPr>
      <w:bookmarkStart w:id="52" w:name="_Toc383175484"/>
      <w:bookmarkStart w:id="53" w:name="_Toc329810196"/>
      <w:bookmarkStart w:id="54" w:name="_Toc383175286"/>
      <w:bookmarkStart w:id="55" w:name="_Toc383175062"/>
      <w:bookmarkStart w:id="56" w:name="_Toc86124054"/>
      <w:r>
        <w:rPr>
          <w:rFonts w:hint="default" w:ascii="Times New Roman"/>
          <w:color w:val="auto"/>
          <w:sz w:val="28"/>
          <w:szCs w:val="28"/>
          <w:highlight w:val="none"/>
          <w:lang w:val="en-US" w:eastAsia="zh-CN"/>
        </w:rPr>
        <w:t>9.</w:t>
      </w:r>
      <w:r>
        <w:rPr>
          <w:rFonts w:hint="eastAsia" w:ascii="Times New Roman"/>
          <w:color w:val="auto"/>
          <w:sz w:val="28"/>
          <w:szCs w:val="28"/>
          <w:highlight w:val="none"/>
        </w:rPr>
        <w:t>响应文件构成</w:t>
      </w:r>
      <w:bookmarkEnd w:id="52"/>
      <w:bookmarkEnd w:id="53"/>
      <w:bookmarkEnd w:id="54"/>
      <w:bookmarkEnd w:id="55"/>
      <w:bookmarkEnd w:id="56"/>
    </w:p>
    <w:p w14:paraId="3FF22E91">
      <w:pPr>
        <w:spacing w:line="360" w:lineRule="auto"/>
        <w:ind w:firstLine="420" w:firstLineChars="200"/>
        <w:jc w:val="left"/>
        <w:rPr>
          <w:rFonts w:ascii="宋体"/>
          <w:color w:val="auto"/>
          <w:highlight w:val="none"/>
        </w:rPr>
      </w:pPr>
      <w:r>
        <w:rPr>
          <w:rFonts w:ascii="宋体" w:hAnsi="宋体"/>
          <w:color w:val="auto"/>
          <w:highlight w:val="none"/>
        </w:rPr>
        <w:t>9.1</w:t>
      </w:r>
      <w:r>
        <w:rPr>
          <w:rFonts w:hint="eastAsia" w:ascii="宋体" w:hAnsi="宋体"/>
          <w:color w:val="auto"/>
          <w:highlight w:val="none"/>
        </w:rPr>
        <w:t>磋商申请人编写的响应文件应按第四章“响应文件格式”要求及内容要求填写。有关文件的提交如未特别注明需提供原件的，可提供复印件。</w:t>
      </w:r>
    </w:p>
    <w:p w14:paraId="4500230B">
      <w:pPr>
        <w:pStyle w:val="4"/>
        <w:numPr>
          <w:ilvl w:val="0"/>
          <w:numId w:val="0"/>
        </w:numPr>
        <w:spacing w:before="0" w:after="0"/>
        <w:jc w:val="both"/>
        <w:rPr>
          <w:rFonts w:hint="eastAsia" w:ascii="Times New Roman"/>
          <w:color w:val="auto"/>
          <w:sz w:val="28"/>
          <w:szCs w:val="28"/>
          <w:highlight w:val="none"/>
        </w:rPr>
      </w:pPr>
      <w:bookmarkStart w:id="57" w:name="_Toc86124056"/>
      <w:bookmarkStart w:id="58" w:name="_Toc383175287"/>
      <w:bookmarkStart w:id="59" w:name="_Toc329810197"/>
      <w:bookmarkStart w:id="60" w:name="_Toc383175485"/>
      <w:bookmarkStart w:id="61" w:name="_Toc383175063"/>
      <w:r>
        <w:rPr>
          <w:rFonts w:hint="default" w:ascii="Times New Roman"/>
          <w:color w:val="auto"/>
          <w:sz w:val="28"/>
          <w:szCs w:val="28"/>
          <w:highlight w:val="none"/>
          <w:lang w:val="en-US" w:eastAsia="zh-CN"/>
        </w:rPr>
        <w:t>10.</w:t>
      </w:r>
      <w:r>
        <w:rPr>
          <w:rFonts w:hint="eastAsia" w:ascii="Times New Roman"/>
          <w:color w:val="auto"/>
          <w:sz w:val="28"/>
          <w:szCs w:val="28"/>
          <w:highlight w:val="none"/>
        </w:rPr>
        <w:t>报价</w:t>
      </w:r>
      <w:bookmarkEnd w:id="57"/>
      <w:r>
        <w:rPr>
          <w:rFonts w:hint="eastAsia" w:ascii="Times New Roman"/>
          <w:color w:val="auto"/>
          <w:sz w:val="28"/>
          <w:szCs w:val="28"/>
          <w:highlight w:val="none"/>
        </w:rPr>
        <w:t>和报价货币</w:t>
      </w:r>
      <w:bookmarkEnd w:id="58"/>
      <w:bookmarkEnd w:id="59"/>
      <w:bookmarkEnd w:id="60"/>
      <w:bookmarkEnd w:id="61"/>
    </w:p>
    <w:p w14:paraId="26C1BD1C">
      <w:pPr>
        <w:spacing w:line="360" w:lineRule="auto"/>
        <w:ind w:firstLine="420" w:firstLineChars="200"/>
        <w:jc w:val="left"/>
        <w:rPr>
          <w:color w:val="auto"/>
          <w:szCs w:val="21"/>
          <w:highlight w:val="none"/>
        </w:rPr>
      </w:pPr>
      <w:r>
        <w:rPr>
          <w:rFonts w:ascii="宋体" w:hAnsi="宋体"/>
          <w:color w:val="auto"/>
          <w:szCs w:val="21"/>
          <w:highlight w:val="none"/>
        </w:rPr>
        <w:t>10.1</w:t>
      </w:r>
      <w:r>
        <w:rPr>
          <w:rFonts w:hint="eastAsia"/>
          <w:color w:val="auto"/>
          <w:szCs w:val="21"/>
          <w:highlight w:val="none"/>
        </w:rPr>
        <w:t>本项目采购预算及招标控制价详见</w:t>
      </w:r>
      <w:r>
        <w:rPr>
          <w:rFonts w:hint="eastAsia"/>
          <w:color w:val="auto"/>
          <w:highlight w:val="none"/>
          <w:lang w:eastAsia="zh-CN"/>
        </w:rPr>
        <w:t>“磋商申请人须知前附表”</w:t>
      </w:r>
      <w:r>
        <w:rPr>
          <w:rFonts w:hint="eastAsia"/>
          <w:color w:val="auto"/>
          <w:highlight w:val="none"/>
        </w:rPr>
        <w:t>，最后报价超过采购预算及招标控制价的磋商申请人将按无效处理。</w:t>
      </w:r>
    </w:p>
    <w:p w14:paraId="3DA6000E">
      <w:pPr>
        <w:spacing w:line="360" w:lineRule="auto"/>
        <w:ind w:firstLine="420" w:firstLineChars="200"/>
        <w:jc w:val="left"/>
        <w:rPr>
          <w:rFonts w:ascii="宋体"/>
          <w:color w:val="auto"/>
          <w:szCs w:val="21"/>
          <w:highlight w:val="none"/>
        </w:rPr>
      </w:pPr>
      <w:r>
        <w:rPr>
          <w:rFonts w:ascii="宋体" w:hAnsi="宋体"/>
          <w:b/>
          <w:color w:val="auto"/>
          <w:szCs w:val="21"/>
          <w:highlight w:val="none"/>
        </w:rPr>
        <w:t>10.2</w:t>
      </w:r>
      <w:r>
        <w:rPr>
          <w:rFonts w:hint="eastAsia" w:ascii="宋体" w:hAnsi="宋体"/>
          <w:b/>
          <w:color w:val="auto"/>
          <w:szCs w:val="21"/>
          <w:highlight w:val="none"/>
        </w:rPr>
        <w:t>磋商申请人须就</w:t>
      </w:r>
      <w:r>
        <w:rPr>
          <w:rFonts w:hint="eastAsia" w:ascii="宋体"/>
          <w:b/>
          <w:color w:val="auto"/>
          <w:szCs w:val="21"/>
          <w:highlight w:val="none"/>
        </w:rPr>
        <w:t>“</w:t>
      </w:r>
      <w:r>
        <w:rPr>
          <w:rFonts w:hint="eastAsia" w:ascii="宋体" w:hAnsi="宋体"/>
          <w:b/>
          <w:color w:val="auto"/>
          <w:szCs w:val="21"/>
          <w:highlight w:val="none"/>
        </w:rPr>
        <w:t>项目需求</w:t>
      </w:r>
      <w:r>
        <w:rPr>
          <w:rFonts w:hint="eastAsia" w:ascii="宋体"/>
          <w:b/>
          <w:color w:val="auto"/>
          <w:szCs w:val="21"/>
          <w:highlight w:val="none"/>
        </w:rPr>
        <w:t>”</w:t>
      </w:r>
      <w:r>
        <w:rPr>
          <w:rFonts w:hint="eastAsia" w:ascii="宋体" w:hAnsi="宋体"/>
          <w:b/>
          <w:color w:val="auto"/>
          <w:szCs w:val="21"/>
          <w:highlight w:val="none"/>
        </w:rPr>
        <w:t>中所有采购内容作完整唯一报价。</w:t>
      </w:r>
    </w:p>
    <w:p w14:paraId="7D8892D9">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10.3本工程的磋商报价采用磋商申请人须知前附表第2</w:t>
      </w:r>
      <w:r>
        <w:rPr>
          <w:rFonts w:hint="eastAsia" w:ascii="宋体" w:hAnsi="宋体"/>
          <w:color w:val="auto"/>
          <w:szCs w:val="21"/>
          <w:highlight w:val="none"/>
          <w:lang w:val="en-US" w:eastAsia="zh-CN"/>
        </w:rPr>
        <w:t>6</w:t>
      </w:r>
      <w:r>
        <w:rPr>
          <w:rFonts w:hint="eastAsia" w:ascii="宋体" w:hAnsi="宋体"/>
          <w:color w:val="auto"/>
          <w:szCs w:val="21"/>
          <w:highlight w:val="none"/>
        </w:rPr>
        <w:t>.1（</w:t>
      </w:r>
      <w:r>
        <w:rPr>
          <w:rFonts w:hint="eastAsia" w:ascii="宋体" w:hAnsi="宋体"/>
          <w:color w:val="auto"/>
          <w:szCs w:val="21"/>
          <w:highlight w:val="none"/>
          <w:lang w:val="en-US" w:eastAsia="zh-CN"/>
        </w:rPr>
        <w:t>2</w:t>
      </w:r>
      <w:r>
        <w:rPr>
          <w:rFonts w:hint="eastAsia" w:ascii="宋体" w:hAnsi="宋体"/>
          <w:color w:val="auto"/>
          <w:szCs w:val="21"/>
          <w:highlight w:val="none"/>
        </w:rPr>
        <w:t>）项所规定的方式。</w:t>
      </w:r>
    </w:p>
    <w:p w14:paraId="13968539">
      <w:pPr>
        <w:pStyle w:val="27"/>
        <w:spacing w:line="360" w:lineRule="auto"/>
        <w:ind w:firstLine="420" w:firstLineChars="200"/>
        <w:rPr>
          <w:color w:val="auto"/>
          <w:highlight w:val="none"/>
        </w:rPr>
      </w:pPr>
      <w:r>
        <w:rPr>
          <w:color w:val="auto"/>
          <w:highlight w:val="none"/>
        </w:rPr>
        <w:t>10.</w:t>
      </w:r>
      <w:r>
        <w:rPr>
          <w:rFonts w:hint="eastAsia"/>
          <w:color w:val="auto"/>
          <w:highlight w:val="none"/>
        </w:rPr>
        <w:t>4磋商申请人应依据磋商文件的要求及有关资料自行报价，执行国家或行业现行技术经济标准、定额及规范，自行测算出满足采购要求的服务的竞争性报价。报价均为人民币元，磋商报价应包括完成本项目所需的一切费用，该报价应符合国内行情并能保证磋商申请人完成履行合同所需的一切工作</w:t>
      </w:r>
      <w:r>
        <w:rPr>
          <w:color w:val="auto"/>
          <w:highlight w:val="none"/>
        </w:rPr>
        <w:t>,</w:t>
      </w:r>
      <w:r>
        <w:rPr>
          <w:rFonts w:hint="eastAsia"/>
          <w:color w:val="auto"/>
          <w:highlight w:val="none"/>
        </w:rPr>
        <w:t>为单价承包合同。合同一旦签订，此价格在合同实施期间将不因市场价格等的变化而调整。</w:t>
      </w:r>
    </w:p>
    <w:p w14:paraId="04FFE080">
      <w:pPr>
        <w:pStyle w:val="27"/>
        <w:spacing w:line="360" w:lineRule="auto"/>
        <w:ind w:firstLine="420" w:firstLineChars="200"/>
        <w:rPr>
          <w:color w:val="auto"/>
          <w:highlight w:val="none"/>
        </w:rPr>
      </w:pPr>
      <w:r>
        <w:rPr>
          <w:rFonts w:hint="eastAsia"/>
          <w:color w:val="auto"/>
          <w:highlight w:val="none"/>
        </w:rPr>
        <w:t>10.5磋商申请人必须按采购人提供的竞争性磋商文件和招标工程量清单</w:t>
      </w:r>
      <w:r>
        <w:rPr>
          <w:rFonts w:hint="eastAsia"/>
          <w:color w:val="auto"/>
          <w:highlight w:val="none"/>
          <w:lang w:eastAsia="zh-CN"/>
        </w:rPr>
        <w:t>（</w:t>
      </w:r>
      <w:r>
        <w:rPr>
          <w:rFonts w:hint="eastAsia"/>
          <w:b/>
          <w:bCs/>
          <w:color w:val="auto"/>
          <w:highlight w:val="none"/>
          <w:lang w:eastAsia="zh-CN"/>
        </w:rPr>
        <w:t>固化工程量清单</w:t>
      </w:r>
      <w:r>
        <w:rPr>
          <w:rFonts w:hint="eastAsia"/>
          <w:color w:val="auto"/>
          <w:highlight w:val="none"/>
          <w:lang w:eastAsia="zh-CN"/>
        </w:rPr>
        <w:t>）</w:t>
      </w:r>
      <w:r>
        <w:rPr>
          <w:rFonts w:hint="eastAsia"/>
          <w:color w:val="auto"/>
          <w:highlight w:val="none"/>
        </w:rPr>
        <w:t>进行磋商报价。在履行合同时，工程单价须经过采购人的核实和确认。除工程范围、设计变更另有规定外，</w:t>
      </w:r>
      <w:r>
        <w:rPr>
          <w:rFonts w:hint="eastAsia"/>
          <w:color w:val="auto"/>
          <w:highlight w:val="none"/>
          <w:lang w:eastAsia="zh-CN"/>
        </w:rPr>
        <w:t>价格</w:t>
      </w:r>
      <w:r>
        <w:rPr>
          <w:rFonts w:hint="eastAsia"/>
          <w:color w:val="auto"/>
          <w:highlight w:val="none"/>
        </w:rPr>
        <w:t>不作任何调整或变更。</w:t>
      </w:r>
    </w:p>
    <w:p w14:paraId="2505958D">
      <w:pPr>
        <w:pStyle w:val="27"/>
        <w:spacing w:line="360" w:lineRule="auto"/>
        <w:ind w:firstLine="420" w:firstLineChars="200"/>
        <w:rPr>
          <w:color w:val="auto"/>
          <w:highlight w:val="none"/>
        </w:rPr>
      </w:pPr>
      <w:r>
        <w:rPr>
          <w:rFonts w:hint="eastAsia"/>
          <w:color w:val="auto"/>
          <w:highlight w:val="none"/>
        </w:rPr>
        <w:t>10.6磋商报价为磋商申请人在磋商响应文件中提出的各项支付金额的总和。</w:t>
      </w:r>
    </w:p>
    <w:p w14:paraId="73974073">
      <w:pPr>
        <w:pStyle w:val="27"/>
        <w:spacing w:line="360" w:lineRule="auto"/>
        <w:ind w:firstLine="420" w:firstLineChars="200"/>
        <w:rPr>
          <w:color w:val="auto"/>
          <w:highlight w:val="none"/>
        </w:rPr>
      </w:pPr>
      <w:r>
        <w:rPr>
          <w:rFonts w:hint="eastAsia"/>
          <w:color w:val="auto"/>
          <w:highlight w:val="none"/>
        </w:rPr>
        <w:t>10.7磋商申请人的磋商报价，应是完成本须知第3条和合同条款上所列招标工程范围及工期的全部。磋商报价应根据竞争性磋商文件中的工程量清单和有关要求、施工现场实际情况及磋商申请人拟定的施工方案，依据企业定额和市场价格信息并综合考虑各种风险自主编制报价。</w:t>
      </w:r>
    </w:p>
    <w:p w14:paraId="182E88D8">
      <w:pPr>
        <w:pStyle w:val="27"/>
        <w:spacing w:line="360" w:lineRule="auto"/>
        <w:ind w:firstLine="420" w:firstLineChars="200"/>
        <w:rPr>
          <w:color w:val="auto"/>
          <w:highlight w:val="none"/>
        </w:rPr>
      </w:pPr>
      <w:r>
        <w:rPr>
          <w:rFonts w:hint="eastAsia"/>
          <w:color w:val="auto"/>
          <w:highlight w:val="none"/>
        </w:rPr>
        <w:t>10.8除非采购人对竞争性磋商文件予以修改，磋商申请人应按采购人提供的</w:t>
      </w:r>
      <w:r>
        <w:rPr>
          <w:rFonts w:hint="eastAsia"/>
          <w:color w:val="auto"/>
          <w:highlight w:val="none"/>
          <w:lang w:eastAsia="zh-CN"/>
        </w:rPr>
        <w:t>固化</w:t>
      </w:r>
      <w:r>
        <w:rPr>
          <w:rFonts w:hint="eastAsia"/>
          <w:color w:val="auto"/>
          <w:highlight w:val="none"/>
        </w:rPr>
        <w:t>工程量清单中列出的工程项目和工程量填报单价和合价。每一项目只允许有一个报价。任何有选择的报价将不予接受。磋商申请人未填单价或合价的工程项目，在实施后，采购人将不予以支付，并视为该项费用已包括在其他有价款的单价或合价内。除非中标人与采购人签订的合同中另有规定，磋商申请人在报价时所报的工程量清单综合单价，指完成工程量清单中一个规定计量子目所需的全部费用，包括但不限于</w:t>
      </w:r>
      <w:r>
        <w:rPr>
          <w:rFonts w:hint="eastAsia"/>
          <w:b/>
          <w:color w:val="auto"/>
          <w:highlight w:val="none"/>
        </w:rPr>
        <w:t>人工费及政策性人工费调整、材料费（材料损耗）、机械使用费、非标产品模具加工费、包装运输费（包括二次搬运费用）、赶工补偿费、样品费、调试费、综合管理费、合理利润、税金、水电费、清洁卫生费、垃圾清运费、保险费以及磋商申请人认为可能发生的风险费等直至完成工程交付标准所须的一切费用以及维保期间（养护期间）的全部费用</w:t>
      </w:r>
      <w:r>
        <w:rPr>
          <w:rFonts w:hint="eastAsia"/>
          <w:color w:val="auto"/>
          <w:highlight w:val="none"/>
        </w:rPr>
        <w:t>。</w:t>
      </w:r>
    </w:p>
    <w:p w14:paraId="5C05D57E">
      <w:pPr>
        <w:pStyle w:val="27"/>
        <w:spacing w:line="360" w:lineRule="auto"/>
        <w:ind w:firstLine="420" w:firstLineChars="200"/>
        <w:rPr>
          <w:color w:val="auto"/>
          <w:highlight w:val="none"/>
        </w:rPr>
      </w:pPr>
      <w:r>
        <w:rPr>
          <w:rFonts w:hint="eastAsia"/>
          <w:color w:val="auto"/>
          <w:highlight w:val="none"/>
        </w:rPr>
        <w:t>除设计图纸及工程量清单发生重大变更外成交价（工程量清单综合单价）不得作任何调整。施工中若发生与管道交叉时出现的各种情况、由施工方负责恢复，采购人协助协调。工程竣工结算时按实际发生工程量据实结算：若拟承包商成交则其磋商响应文件中所报的单价在合同实施过程至竣工结算均不得以任何理由进行调整单价，否则视为违约。</w:t>
      </w:r>
    </w:p>
    <w:p w14:paraId="2DBB3AA4">
      <w:pPr>
        <w:pStyle w:val="27"/>
        <w:spacing w:line="360" w:lineRule="auto"/>
        <w:ind w:firstLine="420" w:firstLineChars="200"/>
        <w:rPr>
          <w:color w:val="auto"/>
          <w:highlight w:val="none"/>
        </w:rPr>
      </w:pPr>
      <w:r>
        <w:rPr>
          <w:rFonts w:hint="eastAsia"/>
          <w:color w:val="auto"/>
          <w:highlight w:val="none"/>
        </w:rPr>
        <w:t>10.9磋商申请人的报价中“报价”明显低于社会平均成本的，应在磋商响应文件中附报价的依据、证明材料及说明，开标时携带原件以备磋商小组质询。无相关有效证明并且不能做出解释的，磋商小组有可能认定该报价低于成本价。</w:t>
      </w:r>
    </w:p>
    <w:p w14:paraId="251F80BD">
      <w:pPr>
        <w:pStyle w:val="27"/>
        <w:spacing w:line="360" w:lineRule="auto"/>
        <w:ind w:firstLine="420" w:firstLineChars="200"/>
        <w:rPr>
          <w:color w:val="auto"/>
          <w:highlight w:val="none"/>
        </w:rPr>
      </w:pPr>
      <w:r>
        <w:rPr>
          <w:rFonts w:hint="eastAsia"/>
          <w:color w:val="auto"/>
          <w:highlight w:val="none"/>
        </w:rPr>
        <w:t>10.10磋商申请人可先到工地踏勘以充分了解工地位置、情况、道路、储存空间、装卸限制及任何其他足以影响承包价的情况，任何因忽视或误解工地情况而导致的索赔或工期延长申请将不被批准。</w:t>
      </w:r>
    </w:p>
    <w:p w14:paraId="6E8B0D55">
      <w:pPr>
        <w:pStyle w:val="27"/>
        <w:spacing w:line="360" w:lineRule="auto"/>
        <w:ind w:firstLine="420" w:firstLineChars="200"/>
        <w:rPr>
          <w:color w:val="auto"/>
          <w:highlight w:val="none"/>
        </w:rPr>
      </w:pPr>
      <w:r>
        <w:rPr>
          <w:rFonts w:hint="eastAsia"/>
          <w:color w:val="auto"/>
          <w:highlight w:val="none"/>
        </w:rPr>
        <w:t>10.11磋商报价应与投标须知、合同条件、合同协议条款、投标时有关承诺、技术规范和图纸一起考虑。</w:t>
      </w:r>
    </w:p>
    <w:p w14:paraId="36376200">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11.</w:t>
      </w:r>
      <w:r>
        <w:rPr>
          <w:rFonts w:hint="eastAsia" w:ascii="Times New Roman"/>
          <w:color w:val="auto"/>
          <w:sz w:val="28"/>
          <w:szCs w:val="28"/>
          <w:highlight w:val="none"/>
        </w:rPr>
        <w:t>磋商报价的主要计价依据</w:t>
      </w:r>
    </w:p>
    <w:p w14:paraId="5CB52E5C">
      <w:pPr>
        <w:pStyle w:val="27"/>
        <w:spacing w:line="360" w:lineRule="auto"/>
        <w:ind w:firstLine="420" w:firstLineChars="200"/>
        <w:rPr>
          <w:color w:val="auto"/>
          <w:highlight w:val="none"/>
        </w:rPr>
      </w:pPr>
      <w:r>
        <w:rPr>
          <w:rFonts w:hint="eastAsia"/>
          <w:color w:val="auto"/>
          <w:highlight w:val="none"/>
        </w:rPr>
        <w:t>11.1竞争性磋商文件和补充文件；</w:t>
      </w:r>
    </w:p>
    <w:p w14:paraId="43E329A9">
      <w:pPr>
        <w:pStyle w:val="27"/>
        <w:spacing w:line="360" w:lineRule="auto"/>
        <w:ind w:firstLine="420" w:firstLineChars="200"/>
        <w:rPr>
          <w:color w:val="auto"/>
          <w:highlight w:val="none"/>
        </w:rPr>
      </w:pPr>
      <w:r>
        <w:rPr>
          <w:rFonts w:hint="eastAsia"/>
          <w:color w:val="auto"/>
          <w:highlight w:val="none"/>
        </w:rPr>
        <w:t>11.2工程情况及说明；</w:t>
      </w:r>
    </w:p>
    <w:p w14:paraId="0CAD0108">
      <w:pPr>
        <w:pStyle w:val="27"/>
        <w:spacing w:line="360" w:lineRule="auto"/>
        <w:ind w:firstLine="420" w:firstLineChars="200"/>
        <w:rPr>
          <w:color w:val="auto"/>
          <w:highlight w:val="none"/>
        </w:rPr>
      </w:pPr>
      <w:r>
        <w:rPr>
          <w:rFonts w:hint="eastAsia"/>
          <w:color w:val="auto"/>
          <w:highlight w:val="none"/>
        </w:rPr>
        <w:t>11.3施工现场条件情况；</w:t>
      </w:r>
    </w:p>
    <w:p w14:paraId="350DB760">
      <w:pPr>
        <w:pStyle w:val="27"/>
        <w:spacing w:line="360" w:lineRule="auto"/>
        <w:ind w:firstLine="420" w:firstLineChars="200"/>
        <w:rPr>
          <w:color w:val="auto"/>
          <w:highlight w:val="none"/>
        </w:rPr>
      </w:pPr>
      <w:r>
        <w:rPr>
          <w:rFonts w:hint="eastAsia"/>
          <w:color w:val="auto"/>
          <w:highlight w:val="none"/>
        </w:rPr>
        <w:t>11.4工程所在地人工、材料和施工机械台班的市场价格信息；</w:t>
      </w:r>
    </w:p>
    <w:p w14:paraId="73C2E825">
      <w:pPr>
        <w:pStyle w:val="27"/>
        <w:spacing w:line="360" w:lineRule="auto"/>
        <w:ind w:firstLine="420" w:firstLineChars="200"/>
        <w:rPr>
          <w:rFonts w:hint="eastAsia" w:ascii="宋体" w:eastAsia="宋体" w:cs="Times New Roman"/>
          <w:b/>
          <w:color w:val="auto"/>
          <w:highlight w:val="none"/>
          <w:lang w:eastAsia="zh-CN"/>
        </w:rPr>
      </w:pPr>
      <w:r>
        <w:rPr>
          <w:rFonts w:hint="eastAsia"/>
          <w:color w:val="auto"/>
          <w:highlight w:val="none"/>
        </w:rPr>
        <w:t>11.5</w:t>
      </w:r>
      <w:r>
        <w:rPr>
          <w:color w:val="auto"/>
          <w:highlight w:val="none"/>
        </w:rPr>
        <w:t>本工程的磋商报价采用</w:t>
      </w:r>
      <w:r>
        <w:rPr>
          <w:rFonts w:hint="eastAsia"/>
          <w:b/>
          <w:color w:val="auto"/>
          <w:highlight w:val="none"/>
          <w:u w:val="single"/>
        </w:rPr>
        <w:t>工程量清单综合单价</w:t>
      </w:r>
      <w:r>
        <w:rPr>
          <w:rFonts w:hint="eastAsia"/>
          <w:color w:val="auto"/>
          <w:highlight w:val="none"/>
        </w:rPr>
        <w:t>报价。本工程报价依据</w:t>
      </w:r>
      <w:r>
        <w:rPr>
          <w:rFonts w:hint="eastAsia" w:ascii="宋体" w:eastAsia="宋体" w:cs="Times New Roman"/>
          <w:b/>
          <w:color w:val="auto"/>
          <w:highlight w:val="none"/>
          <w:lang w:eastAsia="zh-CN"/>
        </w:rPr>
        <w:t>交通运输部 2018 年 12 月 17 日发布的《公路工程建设项目概算预算编制办法》（JTG 3830—2018）；交通运输部部颁《公路工程预算定额》（JTG/T 3832-2018）；交通运输部部颁《公路工程机械台班费用定额》(JTG/T3833—2018)；《公路工程工程量清单计量规范》 云南省地方标准（DB53/T 2001.1-2014）；《云南省清单模板2014-1.0.0》 ；云南省交通运输厅发布《公路工程建设项目估算概算预算编制办法补充规定》（云交建设[2019]34 号）； 交通运输部关于调整《公路工程建设项目投资估算编制办法》（JTG 3820-2018） 和《公路工程建设项目概算预算编制办法》（JTG3820-2018）中“税金”有关规定的公告（交通部 2019 年第 26 号公告）；云南省交通运输厅关于印发《云南省公路工程造价监督管理办法》《云南省交通运输工程造价定额管理办法》《云南省公路工程工程量标准清单管理办法》的通知（云交规〔2020〕3号）；依据《财政部税务总局海关总署关于深化增值税改革有关政策公告》（财政部税务总局海关总署公告2019年第39号）等规范及国家、行业现行文件规定。</w:t>
      </w:r>
    </w:p>
    <w:p w14:paraId="0C082880">
      <w:pPr>
        <w:pStyle w:val="27"/>
        <w:spacing w:line="360" w:lineRule="auto"/>
        <w:ind w:firstLine="420" w:firstLineChars="200"/>
        <w:rPr>
          <w:color w:val="auto"/>
          <w:highlight w:val="none"/>
        </w:rPr>
      </w:pPr>
      <w:r>
        <w:rPr>
          <w:rFonts w:hint="eastAsia"/>
          <w:color w:val="auto"/>
          <w:highlight w:val="none"/>
        </w:rPr>
        <w:t>11.6</w:t>
      </w:r>
      <w:r>
        <w:rPr>
          <w:rFonts w:hint="eastAsia"/>
          <w:b/>
          <w:color w:val="auto"/>
          <w:highlight w:val="none"/>
        </w:rPr>
        <w:t>最终报价中单价(根据最终磋商报价同比例下浮)在合同执行过程中是固定不变的，除因设计变更及变更签证外，不得以任何理由予以变更。</w:t>
      </w:r>
    </w:p>
    <w:p w14:paraId="0F869446">
      <w:pPr>
        <w:pStyle w:val="27"/>
        <w:spacing w:line="360" w:lineRule="auto"/>
        <w:ind w:firstLine="420" w:firstLineChars="200"/>
        <w:rPr>
          <w:color w:val="auto"/>
          <w:highlight w:val="none"/>
        </w:rPr>
      </w:pPr>
      <w:r>
        <w:rPr>
          <w:rFonts w:hint="eastAsia"/>
          <w:color w:val="auto"/>
          <w:highlight w:val="none"/>
        </w:rPr>
        <w:t>11.7主要材料价格如明显低于市场价格或其他磋商申请人价格的，应当在磋商响应文件中提供材料磋商申请人低价供给的证明材料，且磋商申请人必须为材料的生产厂家或生产厂家授权的经销商，否则含有该材料的分部分项项目的综合单价将被视为低于成本价。</w:t>
      </w:r>
    </w:p>
    <w:p w14:paraId="25ED2673">
      <w:pPr>
        <w:pStyle w:val="27"/>
        <w:spacing w:line="360" w:lineRule="auto"/>
        <w:ind w:firstLine="420" w:firstLineChars="200"/>
        <w:rPr>
          <w:color w:val="auto"/>
          <w:highlight w:val="none"/>
        </w:rPr>
      </w:pPr>
      <w:r>
        <w:rPr>
          <w:rFonts w:hint="eastAsia"/>
          <w:color w:val="auto"/>
          <w:highlight w:val="none"/>
        </w:rPr>
        <w:t>11.8本次招标设最高限价（采购预算）</w:t>
      </w:r>
    </w:p>
    <w:p w14:paraId="74A0F692">
      <w:pPr>
        <w:pStyle w:val="27"/>
        <w:spacing w:line="360" w:lineRule="auto"/>
        <w:ind w:firstLine="420" w:firstLineChars="200"/>
        <w:rPr>
          <w:color w:val="auto"/>
          <w:highlight w:val="none"/>
        </w:rPr>
      </w:pPr>
      <w:r>
        <w:rPr>
          <w:rFonts w:hint="eastAsia"/>
          <w:color w:val="auto"/>
          <w:highlight w:val="none"/>
        </w:rPr>
        <w:t>11.9磋商申请人的磋商报价不得超过本竞争性磋商文件规定的最高限价，否则视为实质上未响应竞争性磋商文件要求的投标，按废标处理。</w:t>
      </w:r>
    </w:p>
    <w:p w14:paraId="1017B5C0">
      <w:pPr>
        <w:pStyle w:val="27"/>
        <w:spacing w:line="360" w:lineRule="auto"/>
        <w:ind w:firstLine="420" w:firstLineChars="200"/>
        <w:rPr>
          <w:rFonts w:hAnsi="宋体"/>
          <w:color w:val="auto"/>
          <w:highlight w:val="none"/>
        </w:rPr>
      </w:pPr>
      <w:r>
        <w:rPr>
          <w:rFonts w:hint="eastAsia" w:hAnsi="宋体"/>
          <w:color w:val="auto"/>
          <w:highlight w:val="none"/>
        </w:rPr>
        <w:t>11.10须完整报价，少报、漏报、错报视为已包含在磋商总报价中，结算时不做调整。</w:t>
      </w:r>
    </w:p>
    <w:p w14:paraId="02B7CC1F">
      <w:pPr>
        <w:pStyle w:val="27"/>
        <w:spacing w:line="360" w:lineRule="auto"/>
        <w:ind w:firstLine="420" w:firstLineChars="200"/>
        <w:rPr>
          <w:rFonts w:hAnsi="宋体"/>
          <w:color w:val="auto"/>
          <w:highlight w:val="none"/>
        </w:rPr>
      </w:pPr>
      <w:r>
        <w:rPr>
          <w:rFonts w:hint="eastAsia" w:hAnsi="宋体"/>
          <w:color w:val="auto"/>
          <w:highlight w:val="none"/>
        </w:rPr>
        <w:t>11.11磋商申请人应根据“报价表”要求填写磋商报价组成情况。</w:t>
      </w:r>
    </w:p>
    <w:p w14:paraId="07983CB9">
      <w:pPr>
        <w:spacing w:line="360" w:lineRule="auto"/>
        <w:ind w:firstLine="420" w:firstLineChars="200"/>
        <w:jc w:val="left"/>
        <w:rPr>
          <w:rFonts w:ascii="宋体"/>
          <w:b/>
          <w:color w:val="auto"/>
          <w:highlight w:val="none"/>
        </w:rPr>
      </w:pPr>
      <w:r>
        <w:rPr>
          <w:rFonts w:hint="eastAsia" w:ascii="宋体" w:hAnsi="宋体"/>
          <w:color w:val="auto"/>
          <w:highlight w:val="none"/>
        </w:rPr>
        <w:t>11.12</w:t>
      </w:r>
      <w:r>
        <w:rPr>
          <w:rFonts w:hint="eastAsia" w:ascii="宋体" w:hAnsi="宋体"/>
          <w:b/>
          <w:color w:val="auto"/>
          <w:highlight w:val="none"/>
        </w:rPr>
        <w:t>通过实质性审查的磋商申请人才能进入磋商程序并进行第二轮报价，第二轮报价为最终报价。</w:t>
      </w:r>
    </w:p>
    <w:p w14:paraId="7F62226A">
      <w:pPr>
        <w:spacing w:line="360" w:lineRule="auto"/>
        <w:ind w:firstLine="420" w:firstLineChars="200"/>
        <w:jc w:val="left"/>
        <w:rPr>
          <w:rFonts w:ascii="宋体"/>
          <w:b/>
          <w:color w:val="auto"/>
          <w:highlight w:val="none"/>
        </w:rPr>
      </w:pPr>
      <w:r>
        <w:rPr>
          <w:rFonts w:hint="eastAsia" w:ascii="宋体" w:hAnsi="宋体"/>
          <w:b/>
          <w:color w:val="auto"/>
          <w:highlight w:val="none"/>
        </w:rPr>
        <w:t>11.13最终报价文件应由法定代表人（负责人）或委托代理人签字，在规定的时间统一密封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7C657A15">
      <w:pPr>
        <w:spacing w:line="360" w:lineRule="auto"/>
        <w:ind w:firstLine="420" w:firstLineChars="200"/>
        <w:jc w:val="left"/>
        <w:rPr>
          <w:rFonts w:ascii="宋体"/>
          <w:b/>
          <w:color w:val="auto"/>
          <w:highlight w:val="none"/>
        </w:rPr>
      </w:pPr>
      <w:r>
        <w:rPr>
          <w:rFonts w:hint="eastAsia" w:ascii="宋体" w:hAnsi="宋体" w:cs="宋体"/>
          <w:color w:val="auto"/>
          <w:kern w:val="0"/>
          <w:szCs w:val="21"/>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203071C0">
      <w:pPr>
        <w:adjustRightInd w:val="0"/>
        <w:spacing w:line="360" w:lineRule="auto"/>
        <w:ind w:firstLine="420" w:firstLineChars="200"/>
        <w:rPr>
          <w:rFonts w:ascii="宋体"/>
          <w:color w:val="auto"/>
          <w:highlight w:val="none"/>
        </w:rPr>
      </w:pPr>
      <w:r>
        <w:rPr>
          <w:rFonts w:hint="eastAsia" w:ascii="宋体" w:hAnsi="宋体"/>
          <w:color w:val="auto"/>
          <w:highlight w:val="none"/>
        </w:rPr>
        <w:t>11.14磋商申请人不得哄抬报价，也不应低于成本价（或进价）报价。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资格。</w:t>
      </w:r>
    </w:p>
    <w:p w14:paraId="1B25633B">
      <w:pPr>
        <w:adjustRightInd w:val="0"/>
        <w:spacing w:line="360" w:lineRule="auto"/>
        <w:ind w:firstLine="420" w:firstLineChars="200"/>
        <w:rPr>
          <w:rFonts w:ascii="宋体"/>
          <w:color w:val="auto"/>
          <w:highlight w:val="none"/>
        </w:rPr>
      </w:pPr>
      <w:r>
        <w:rPr>
          <w:rFonts w:hint="eastAsia" w:ascii="宋体" w:hAnsi="宋体"/>
          <w:color w:val="auto"/>
          <w:highlight w:val="none"/>
        </w:rPr>
        <w:t>11.15报价货币为人民币。</w:t>
      </w:r>
    </w:p>
    <w:p w14:paraId="49CD1760">
      <w:pPr>
        <w:pStyle w:val="4"/>
        <w:numPr>
          <w:ilvl w:val="0"/>
          <w:numId w:val="0"/>
        </w:numPr>
        <w:spacing w:before="0" w:after="0"/>
        <w:jc w:val="both"/>
        <w:rPr>
          <w:rFonts w:hint="eastAsia" w:ascii="Times New Roman"/>
          <w:color w:val="auto"/>
          <w:sz w:val="28"/>
          <w:szCs w:val="28"/>
          <w:highlight w:val="none"/>
        </w:rPr>
      </w:pPr>
      <w:bookmarkStart w:id="62" w:name="_Toc329810198"/>
      <w:bookmarkStart w:id="63" w:name="_Toc86124058"/>
      <w:bookmarkStart w:id="64" w:name="_Toc383175486"/>
      <w:bookmarkStart w:id="65" w:name="_Toc383175288"/>
      <w:bookmarkStart w:id="66" w:name="_Toc383175064"/>
      <w:r>
        <w:rPr>
          <w:rFonts w:hint="default" w:ascii="Times New Roman"/>
          <w:color w:val="auto"/>
          <w:sz w:val="28"/>
          <w:szCs w:val="28"/>
          <w:highlight w:val="none"/>
          <w:lang w:val="en-US" w:eastAsia="zh-CN"/>
        </w:rPr>
        <w:t>12.</w:t>
      </w:r>
      <w:r>
        <w:rPr>
          <w:rFonts w:hint="eastAsia" w:ascii="Times New Roman"/>
          <w:color w:val="auto"/>
          <w:sz w:val="28"/>
          <w:szCs w:val="28"/>
          <w:highlight w:val="none"/>
        </w:rPr>
        <w:t>有效期</w:t>
      </w:r>
      <w:bookmarkEnd w:id="62"/>
      <w:bookmarkEnd w:id="63"/>
      <w:bookmarkEnd w:id="64"/>
      <w:bookmarkEnd w:id="65"/>
      <w:bookmarkEnd w:id="66"/>
    </w:p>
    <w:p w14:paraId="49ABB51B">
      <w:pPr>
        <w:spacing w:line="360" w:lineRule="auto"/>
        <w:ind w:firstLine="420" w:firstLineChars="200"/>
        <w:jc w:val="left"/>
        <w:rPr>
          <w:rFonts w:ascii="宋体"/>
          <w:color w:val="auto"/>
          <w:highlight w:val="none"/>
        </w:rPr>
      </w:pPr>
      <w:r>
        <w:rPr>
          <w:rFonts w:ascii="宋体" w:hAnsi="宋体"/>
          <w:color w:val="auto"/>
          <w:highlight w:val="none"/>
        </w:rPr>
        <w:t>1</w:t>
      </w:r>
      <w:r>
        <w:rPr>
          <w:rFonts w:hint="eastAsia" w:ascii="宋体" w:hAnsi="宋体"/>
          <w:color w:val="auto"/>
          <w:highlight w:val="none"/>
          <w:lang w:val="en-US" w:eastAsia="zh-CN"/>
        </w:rPr>
        <w:t>2</w:t>
      </w:r>
      <w:r>
        <w:rPr>
          <w:rFonts w:ascii="宋体" w:hAnsi="宋体"/>
          <w:color w:val="auto"/>
          <w:highlight w:val="none"/>
        </w:rPr>
        <w:t xml:space="preserve">.1 </w:t>
      </w:r>
      <w:r>
        <w:rPr>
          <w:rFonts w:hint="eastAsia" w:ascii="宋体" w:hAnsi="宋体"/>
          <w:color w:val="auto"/>
          <w:highlight w:val="none"/>
        </w:rPr>
        <w:t>在</w:t>
      </w:r>
      <w:r>
        <w:rPr>
          <w:rFonts w:hint="eastAsia" w:ascii="宋体"/>
          <w:color w:val="auto"/>
          <w:highlight w:val="none"/>
          <w:lang w:eastAsia="zh-CN"/>
        </w:rPr>
        <w:t>“磋商申请人须知前附表”</w:t>
      </w:r>
      <w:r>
        <w:rPr>
          <w:rFonts w:hint="eastAsia" w:ascii="宋体" w:hAnsi="宋体"/>
          <w:color w:val="auto"/>
          <w:highlight w:val="none"/>
        </w:rPr>
        <w:t>规定的有效期内，磋商申请人不得要求撤销或修改其响应文件。</w:t>
      </w:r>
    </w:p>
    <w:p w14:paraId="7B92D97E">
      <w:pPr>
        <w:spacing w:line="360" w:lineRule="auto"/>
        <w:ind w:firstLine="420" w:firstLineChars="200"/>
        <w:jc w:val="left"/>
        <w:rPr>
          <w:rFonts w:ascii="宋体"/>
          <w:color w:val="auto"/>
          <w:highlight w:val="none"/>
        </w:rPr>
      </w:pPr>
      <w:r>
        <w:rPr>
          <w:rFonts w:ascii="宋体" w:hAnsi="宋体"/>
          <w:color w:val="auto"/>
          <w:highlight w:val="none"/>
        </w:rPr>
        <w:t>1</w:t>
      </w:r>
      <w:r>
        <w:rPr>
          <w:rFonts w:hint="eastAsia" w:ascii="宋体" w:hAnsi="宋体"/>
          <w:color w:val="auto"/>
          <w:highlight w:val="none"/>
          <w:lang w:val="en-US" w:eastAsia="zh-CN"/>
        </w:rPr>
        <w:t>2</w:t>
      </w:r>
      <w:r>
        <w:rPr>
          <w:rFonts w:ascii="宋体" w:hAnsi="宋体"/>
          <w:color w:val="auto"/>
          <w:highlight w:val="none"/>
        </w:rPr>
        <w:t xml:space="preserve">.2 </w:t>
      </w:r>
      <w:r>
        <w:rPr>
          <w:rFonts w:hint="eastAsia" w:ascii="宋体" w:hAnsi="宋体"/>
          <w:color w:val="auto"/>
          <w:highlight w:val="none"/>
        </w:rPr>
        <w:t>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336B742B">
      <w:pPr>
        <w:pStyle w:val="4"/>
        <w:numPr>
          <w:ilvl w:val="0"/>
          <w:numId w:val="0"/>
        </w:numPr>
        <w:spacing w:before="0" w:after="0"/>
        <w:jc w:val="both"/>
        <w:rPr>
          <w:rFonts w:hint="eastAsia" w:ascii="Times New Roman"/>
          <w:color w:val="auto"/>
          <w:sz w:val="28"/>
          <w:szCs w:val="28"/>
          <w:highlight w:val="none"/>
        </w:rPr>
      </w:pPr>
      <w:bookmarkStart w:id="67" w:name="_Toc86124059"/>
      <w:bookmarkStart w:id="68" w:name="_Toc329810199"/>
      <w:bookmarkStart w:id="69" w:name="_Toc383175065"/>
      <w:bookmarkStart w:id="70" w:name="_Toc383175289"/>
      <w:bookmarkStart w:id="71" w:name="_Toc383175487"/>
      <w:r>
        <w:rPr>
          <w:rFonts w:hint="default" w:ascii="Times New Roman"/>
          <w:color w:val="auto"/>
          <w:sz w:val="28"/>
          <w:szCs w:val="28"/>
          <w:highlight w:val="none"/>
          <w:lang w:val="en-US" w:eastAsia="zh-CN"/>
        </w:rPr>
        <w:t>13.</w:t>
      </w:r>
      <w:r>
        <w:rPr>
          <w:rFonts w:hint="eastAsia" w:ascii="Times New Roman"/>
          <w:color w:val="auto"/>
          <w:sz w:val="28"/>
          <w:szCs w:val="28"/>
          <w:highlight w:val="none"/>
        </w:rPr>
        <w:t>响应文件的</w:t>
      </w:r>
      <w:bookmarkEnd w:id="67"/>
      <w:bookmarkEnd w:id="68"/>
      <w:r>
        <w:rPr>
          <w:rFonts w:hint="eastAsia" w:ascii="Times New Roman"/>
          <w:color w:val="auto"/>
          <w:sz w:val="28"/>
          <w:szCs w:val="28"/>
          <w:highlight w:val="none"/>
        </w:rPr>
        <w:t>编制</w:t>
      </w:r>
      <w:bookmarkEnd w:id="69"/>
      <w:bookmarkEnd w:id="70"/>
      <w:bookmarkEnd w:id="71"/>
    </w:p>
    <w:p w14:paraId="5EDCA06E">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w:t>
      </w:r>
      <w:r>
        <w:rPr>
          <w:rFonts w:hint="eastAsia" w:ascii="宋体" w:hAnsi="宋体" w:eastAsia="宋体" w:cs="宋体"/>
          <w:b/>
          <w:bCs/>
          <w:color w:val="auto"/>
          <w:highlight w:val="none"/>
        </w:rPr>
        <w:t>磋商申请人在制作响应文件前，需先下载政采云电子投标客户端并进行安装，下载安装完成之后，可通过账号密码或CA登录客户端制作响应文件。（政采云电子投标客户端下载网址： https://customer.zcygov.cn/CA-driver-download ）。</w:t>
      </w:r>
    </w:p>
    <w:p w14:paraId="20F16A4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.2响应文件须按磋商文件要求由磋商申请人的法定代表人（负责人）或其委托代理人签字或盖单位章。</w:t>
      </w:r>
      <w:r>
        <w:rPr>
          <w:rFonts w:hint="eastAsia" w:ascii="宋体" w:hAnsi="宋体" w:eastAsia="宋体" w:cs="宋体"/>
          <w:b/>
          <w:bCs/>
          <w:color w:val="auto"/>
          <w:highlight w:val="none"/>
        </w:rPr>
        <w:t>委托代理人签字的，响应文件应附法定代表人（负责人）签署的授权委托书。</w:t>
      </w:r>
    </w:p>
    <w:p w14:paraId="7D57641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.3响应文件应尽量避免涂改、行间插字或删除。如果出现上述情况，改动之处应加盖单位章或磋商申请人法定代表人（负责人）或其授权的代理人签字确认。</w:t>
      </w:r>
    </w:p>
    <w:p w14:paraId="55EB9D1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4响应文件应由法定代表人（负责人）或其委托代理人在凡规定签字处逐一签字，要求盖章处应盖单位章，若以投标专用章或合同专用章代替的，须出具磋商申请人单位公章对投标专用章或合同专用章的授权函原件。</w:t>
      </w:r>
    </w:p>
    <w:p w14:paraId="4EBDCAA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.5电子响应文件在封面上应按照竞争性磋商文件要求进行编制。</w:t>
      </w:r>
    </w:p>
    <w:p w14:paraId="0ECFF7B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.6电子响应文件应按照竞争性磋商文件的要求进行编制目录并加密。</w:t>
      </w:r>
    </w:p>
    <w:p w14:paraId="265949E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.7响应文件上传及相关要求：见</w:t>
      </w:r>
      <w:r>
        <w:rPr>
          <w:rFonts w:hint="eastAsia" w:ascii="宋体" w:hAnsi="宋体" w:cs="宋体"/>
          <w:color w:val="auto"/>
          <w:highlight w:val="none"/>
          <w:lang w:eastAsia="zh-CN"/>
        </w:rPr>
        <w:t>“磋商申请人须知前附表”</w:t>
      </w:r>
      <w:r>
        <w:rPr>
          <w:rFonts w:hint="eastAsia" w:ascii="宋体" w:hAnsi="宋体" w:eastAsia="宋体" w:cs="宋体"/>
          <w:color w:val="auto"/>
          <w:highlight w:val="none"/>
        </w:rPr>
        <w:t>。</w:t>
      </w:r>
    </w:p>
    <w:p w14:paraId="571BADF3">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14.</w:t>
      </w:r>
      <w:r>
        <w:rPr>
          <w:rFonts w:hint="eastAsia" w:ascii="Times New Roman"/>
          <w:color w:val="auto"/>
          <w:sz w:val="28"/>
          <w:szCs w:val="28"/>
          <w:highlight w:val="none"/>
        </w:rPr>
        <w:t>磋商保证金</w:t>
      </w:r>
      <w:r>
        <w:rPr>
          <w:rFonts w:hint="eastAsia" w:ascii="Times New Roman"/>
          <w:color w:val="auto"/>
          <w:sz w:val="28"/>
          <w:szCs w:val="28"/>
          <w:highlight w:val="none"/>
          <w:lang w:eastAsia="zh-CN"/>
        </w:rPr>
        <w:t>（本项目不适用）</w:t>
      </w:r>
    </w:p>
    <w:p w14:paraId="034F4761">
      <w:pPr>
        <w:numPr>
          <w:ilvl w:val="1"/>
          <w:numId w:val="0"/>
        </w:numPr>
        <w:spacing w:line="360" w:lineRule="auto"/>
        <w:ind w:left="0" w:leftChars="0" w:firstLine="420" w:firstLineChars="0"/>
        <w:jc w:val="left"/>
        <w:rPr>
          <w:color w:val="auto"/>
          <w:highlight w:val="none"/>
        </w:rPr>
      </w:pPr>
      <w:r>
        <w:rPr>
          <w:rFonts w:hint="default" w:ascii="Times New Roman" w:hAnsi="Times New Roman" w:eastAsia="宋体" w:cs="Times New Roman"/>
          <w:color w:val="auto"/>
          <w:kern w:val="2"/>
          <w:sz w:val="21"/>
          <w:szCs w:val="24"/>
          <w:highlight w:val="none"/>
          <w:lang w:val="en-US" w:eastAsia="zh-CN" w:bidi="ar-SA"/>
        </w:rPr>
        <w:t>14.1</w:t>
      </w:r>
      <w:r>
        <w:rPr>
          <w:rFonts w:hint="eastAsia"/>
          <w:color w:val="auto"/>
          <w:highlight w:val="none"/>
        </w:rPr>
        <w:t>磋商保证金为人民币。磋商申请人应在递交响应文件截止时间以前按</w:t>
      </w:r>
      <w:r>
        <w:rPr>
          <w:rFonts w:hint="eastAsia"/>
          <w:color w:val="auto"/>
          <w:highlight w:val="none"/>
          <w:lang w:eastAsia="zh-CN"/>
        </w:rPr>
        <w:t>“磋商申请人须知前附表”</w:t>
      </w:r>
      <w:r>
        <w:rPr>
          <w:rFonts w:hint="eastAsia"/>
          <w:color w:val="auto"/>
          <w:highlight w:val="none"/>
        </w:rPr>
        <w:t>规定的方式及金额交至采购代理机构，并在磋商有效期内保持有效。</w:t>
      </w:r>
    </w:p>
    <w:p w14:paraId="1D2E9B9E">
      <w:pPr>
        <w:numPr>
          <w:ilvl w:val="1"/>
          <w:numId w:val="0"/>
        </w:numPr>
        <w:spacing w:line="360" w:lineRule="auto"/>
        <w:ind w:left="851" w:leftChars="0" w:hanging="431" w:firstLineChars="0"/>
        <w:jc w:val="left"/>
        <w:rPr>
          <w:color w:val="auto"/>
          <w:szCs w:val="21"/>
          <w:highlight w:val="none"/>
        </w:rPr>
      </w:pPr>
      <w:r>
        <w:rPr>
          <w:rFonts w:hint="default" w:ascii="Times New Roman" w:hAnsi="Times New Roman" w:eastAsia="宋体" w:cs="Times New Roman"/>
          <w:color w:val="auto"/>
          <w:kern w:val="2"/>
          <w:sz w:val="21"/>
          <w:szCs w:val="21"/>
          <w:highlight w:val="none"/>
          <w:lang w:val="en-US" w:eastAsia="zh-CN" w:bidi="ar-SA"/>
        </w:rPr>
        <w:t>14.2</w:t>
      </w:r>
      <w:r>
        <w:rPr>
          <w:rFonts w:hint="eastAsia"/>
          <w:color w:val="auto"/>
          <w:szCs w:val="21"/>
          <w:highlight w:val="none"/>
        </w:rPr>
        <w:t>磋商保证金形式：</w:t>
      </w:r>
      <w:r>
        <w:rPr>
          <w:rFonts w:hint="eastAsia"/>
          <w:color w:val="auto"/>
          <w:highlight w:val="none"/>
        </w:rPr>
        <w:t>磋商保证金应按</w:t>
      </w:r>
      <w:r>
        <w:rPr>
          <w:rFonts w:hint="eastAsia"/>
          <w:color w:val="auto"/>
          <w:szCs w:val="21"/>
          <w:highlight w:val="none"/>
          <w:lang w:eastAsia="zh-CN"/>
        </w:rPr>
        <w:t>“磋商申请人须知前附表”</w:t>
      </w:r>
      <w:r>
        <w:rPr>
          <w:rFonts w:hint="eastAsia"/>
          <w:color w:val="auto"/>
          <w:szCs w:val="21"/>
          <w:highlight w:val="none"/>
        </w:rPr>
        <w:t>规定的形式提交。</w:t>
      </w:r>
    </w:p>
    <w:p w14:paraId="06C4BC88">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 xml:space="preserve">.3 </w:t>
      </w:r>
      <w:r>
        <w:rPr>
          <w:rFonts w:hint="eastAsia"/>
          <w:color w:val="auto"/>
          <w:highlight w:val="none"/>
        </w:rPr>
        <w:t>办理保证金手续时，请务必在银行进账单或电汇单的用途栏或空白栏上注明采购项目名称及采购编号。</w:t>
      </w:r>
    </w:p>
    <w:p w14:paraId="331C0DF6">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.4</w:t>
      </w:r>
      <w:r>
        <w:rPr>
          <w:rFonts w:hint="eastAsia"/>
          <w:color w:val="auto"/>
          <w:highlight w:val="none"/>
        </w:rPr>
        <w:t>磋商申请人应在递交响应文件时向采购代理机构提交采购代理机构出具的保证金到账收据凭证，如果以电汇或网银转账等方式提交的则仅需出示电汇或网银转账凭证。</w:t>
      </w:r>
    </w:p>
    <w:p w14:paraId="6B763D98">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.5</w:t>
      </w:r>
      <w:r>
        <w:rPr>
          <w:rFonts w:hint="eastAsia"/>
          <w:color w:val="auto"/>
          <w:highlight w:val="none"/>
        </w:rPr>
        <w:t>未成交的磋商申请人可在成交公告发出后5个日历天到采购代理机构办理退保证金手续；成交人在签订合同后5个日历天内到采购代理机构办理退还磋商保证金手续。</w:t>
      </w:r>
    </w:p>
    <w:p w14:paraId="333E4024">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 xml:space="preserve">.6 </w:t>
      </w:r>
      <w:r>
        <w:rPr>
          <w:rFonts w:hint="eastAsia"/>
          <w:color w:val="auto"/>
          <w:highlight w:val="none"/>
        </w:rPr>
        <w:t>下列情况发生时，磋商保证金将不予退还：</w:t>
      </w:r>
    </w:p>
    <w:p w14:paraId="5B6AE484">
      <w:pPr>
        <w:spacing w:line="360" w:lineRule="auto"/>
        <w:ind w:firstLine="420" w:firstLineChars="200"/>
        <w:jc w:val="left"/>
        <w:rPr>
          <w:color w:val="auto"/>
          <w:highlight w:val="none"/>
        </w:rPr>
      </w:pPr>
      <w:r>
        <w:rPr>
          <w:rFonts w:hint="eastAsia"/>
          <w:color w:val="auto"/>
          <w:highlight w:val="none"/>
        </w:rPr>
        <w:t>（一）磋商申请人在提交响应文件截止时间后撤回响应文件的；</w:t>
      </w:r>
    </w:p>
    <w:p w14:paraId="07B60AD1">
      <w:pPr>
        <w:spacing w:line="360" w:lineRule="auto"/>
        <w:ind w:firstLine="420" w:firstLineChars="200"/>
        <w:jc w:val="left"/>
        <w:rPr>
          <w:color w:val="auto"/>
          <w:highlight w:val="none"/>
        </w:rPr>
      </w:pPr>
      <w:r>
        <w:rPr>
          <w:rFonts w:hint="eastAsia"/>
          <w:color w:val="auto"/>
          <w:highlight w:val="none"/>
        </w:rPr>
        <w:t>（二）磋商申请人在响应文件中提供虚假材料的；</w:t>
      </w:r>
    </w:p>
    <w:p w14:paraId="7BB4CFD6">
      <w:pPr>
        <w:spacing w:line="360" w:lineRule="auto"/>
        <w:ind w:firstLine="420" w:firstLineChars="200"/>
        <w:jc w:val="left"/>
        <w:rPr>
          <w:color w:val="auto"/>
          <w:highlight w:val="none"/>
        </w:rPr>
      </w:pPr>
      <w:r>
        <w:rPr>
          <w:rFonts w:hint="eastAsia"/>
          <w:color w:val="auto"/>
          <w:highlight w:val="none"/>
        </w:rPr>
        <w:t>（三）除因不可抗力或磋商文件、成交通知书认可的情形以外，成交磋商申请人不与采购人签订合同的；</w:t>
      </w:r>
    </w:p>
    <w:p w14:paraId="1DFC6CC8">
      <w:pPr>
        <w:spacing w:line="360" w:lineRule="auto"/>
        <w:ind w:firstLine="420" w:firstLineChars="200"/>
        <w:jc w:val="left"/>
        <w:rPr>
          <w:color w:val="auto"/>
          <w:highlight w:val="none"/>
        </w:rPr>
      </w:pPr>
      <w:r>
        <w:rPr>
          <w:rFonts w:hint="eastAsia"/>
          <w:color w:val="auto"/>
          <w:highlight w:val="none"/>
        </w:rPr>
        <w:t>（四）磋商申请人与采购人、其他磋商申请人或者采购代理机构恶意串通的；</w:t>
      </w:r>
    </w:p>
    <w:p w14:paraId="6A28E7A2">
      <w:pPr>
        <w:spacing w:line="360" w:lineRule="auto"/>
        <w:ind w:firstLine="420" w:firstLineChars="200"/>
        <w:jc w:val="left"/>
        <w:rPr>
          <w:color w:val="auto"/>
          <w:highlight w:val="none"/>
        </w:rPr>
      </w:pPr>
      <w:r>
        <w:rPr>
          <w:rFonts w:hint="eastAsia"/>
          <w:color w:val="auto"/>
          <w:highlight w:val="none"/>
        </w:rPr>
        <w:t>（五）采购文件规定的其他情形。</w:t>
      </w:r>
    </w:p>
    <w:p w14:paraId="41071408">
      <w:pPr>
        <w:pStyle w:val="3"/>
        <w:spacing w:before="0" w:after="0"/>
        <w:rPr>
          <w:rFonts w:ascii="Times New Roman" w:hAnsi="Times New Roman"/>
          <w:color w:val="auto"/>
          <w:szCs w:val="28"/>
          <w:highlight w:val="none"/>
        </w:rPr>
      </w:pPr>
      <w:bookmarkStart w:id="72" w:name="_Toc383175489"/>
      <w:bookmarkStart w:id="73" w:name="_Toc86124061"/>
      <w:r>
        <w:rPr>
          <w:rFonts w:hint="eastAsia" w:ascii="Times New Roman" w:hAnsi="Times New Roman"/>
          <w:color w:val="auto"/>
          <w:szCs w:val="28"/>
          <w:highlight w:val="none"/>
        </w:rPr>
        <w:t>四、响应文件的提交</w:t>
      </w:r>
      <w:bookmarkEnd w:id="72"/>
      <w:bookmarkEnd w:id="73"/>
    </w:p>
    <w:p w14:paraId="71890920">
      <w:pPr>
        <w:pStyle w:val="4"/>
        <w:numPr>
          <w:ilvl w:val="0"/>
          <w:numId w:val="0"/>
        </w:numPr>
        <w:spacing w:before="0" w:after="0"/>
        <w:jc w:val="both"/>
        <w:rPr>
          <w:rFonts w:hint="eastAsia" w:ascii="Times New Roman"/>
          <w:color w:val="auto"/>
          <w:sz w:val="28"/>
          <w:szCs w:val="28"/>
          <w:highlight w:val="none"/>
        </w:rPr>
      </w:pPr>
      <w:bookmarkStart w:id="74" w:name="_Toc383175292"/>
      <w:bookmarkStart w:id="75" w:name="_Toc383175068"/>
      <w:bookmarkStart w:id="76" w:name="_Toc383175490"/>
      <w:bookmarkStart w:id="77" w:name="_Toc86124062"/>
      <w:bookmarkStart w:id="78" w:name="_Toc329810202"/>
      <w:r>
        <w:rPr>
          <w:rFonts w:hint="default" w:ascii="Times New Roman"/>
          <w:color w:val="auto"/>
          <w:sz w:val="28"/>
          <w:szCs w:val="28"/>
          <w:highlight w:val="none"/>
          <w:lang w:val="en-US" w:eastAsia="zh-CN"/>
        </w:rPr>
        <w:t>15.</w:t>
      </w:r>
      <w:r>
        <w:rPr>
          <w:rFonts w:hint="eastAsia" w:ascii="Times New Roman"/>
          <w:color w:val="auto"/>
          <w:sz w:val="28"/>
          <w:szCs w:val="28"/>
          <w:highlight w:val="none"/>
        </w:rPr>
        <w:t>响应文件的密封与标记</w:t>
      </w:r>
      <w:bookmarkEnd w:id="74"/>
      <w:bookmarkEnd w:id="75"/>
      <w:bookmarkEnd w:id="76"/>
      <w:bookmarkEnd w:id="77"/>
      <w:bookmarkEnd w:id="78"/>
    </w:p>
    <w:p w14:paraId="5C6B4567">
      <w:pPr>
        <w:spacing w:line="360" w:lineRule="auto"/>
        <w:ind w:firstLine="420" w:firstLineChars="200"/>
        <w:jc w:val="left"/>
        <w:rPr>
          <w:color w:val="auto"/>
          <w:highlight w:val="none"/>
        </w:rPr>
      </w:pPr>
      <w:bookmarkStart w:id="79" w:name="_Toc86124063"/>
      <w:bookmarkStart w:id="80" w:name="_Toc383175293"/>
      <w:bookmarkStart w:id="81" w:name="_Toc383175069"/>
      <w:bookmarkStart w:id="82" w:name="_Toc383175491"/>
      <w:bookmarkStart w:id="83" w:name="_Toc329810203"/>
      <w:r>
        <w:rPr>
          <w:color w:val="auto"/>
          <w:highlight w:val="none"/>
        </w:rPr>
        <w:t xml:space="preserve">15.1 </w:t>
      </w:r>
      <w:r>
        <w:rPr>
          <w:rFonts w:hint="eastAsia"/>
          <w:color w:val="auto"/>
          <w:highlight w:val="none"/>
        </w:rPr>
        <w:t>磋商申请人应按</w:t>
      </w:r>
      <w:r>
        <w:rPr>
          <w:rFonts w:hint="eastAsia"/>
          <w:color w:val="auto"/>
          <w:highlight w:val="none"/>
          <w:lang w:eastAsia="zh-CN"/>
        </w:rPr>
        <w:t>“磋商申请人须知前附表”</w:t>
      </w:r>
      <w:r>
        <w:rPr>
          <w:rFonts w:hint="eastAsia"/>
          <w:color w:val="auto"/>
          <w:highlight w:val="none"/>
        </w:rPr>
        <w:t>中规定的数量提交响应文件。</w:t>
      </w:r>
    </w:p>
    <w:p w14:paraId="56AA6E57">
      <w:pPr>
        <w:spacing w:line="360" w:lineRule="auto"/>
        <w:ind w:firstLine="420" w:firstLineChars="200"/>
        <w:jc w:val="left"/>
        <w:rPr>
          <w:rFonts w:hAnsi="宋体"/>
          <w:b/>
          <w:color w:val="auto"/>
          <w:szCs w:val="21"/>
          <w:highlight w:val="none"/>
        </w:rPr>
      </w:pPr>
      <w:r>
        <w:rPr>
          <w:color w:val="auto"/>
          <w:highlight w:val="none"/>
        </w:rPr>
        <w:t xml:space="preserve">15.2 </w:t>
      </w:r>
      <w:r>
        <w:rPr>
          <w:rFonts w:hint="eastAsia"/>
          <w:color w:val="auto"/>
          <w:highlight w:val="none"/>
        </w:rPr>
        <w:t>磋商申请人应</w:t>
      </w:r>
      <w:r>
        <w:rPr>
          <w:rFonts w:hint="eastAsia"/>
          <w:color w:val="auto"/>
          <w:highlight w:val="none"/>
          <w:lang w:eastAsia="zh-CN"/>
        </w:rPr>
        <w:t>按系统要求对</w:t>
      </w:r>
      <w:r>
        <w:rPr>
          <w:rFonts w:hint="eastAsia"/>
          <w:color w:val="auto"/>
          <w:highlight w:val="none"/>
        </w:rPr>
        <w:t>电子竞争性磋商响应文件</w:t>
      </w:r>
      <w:r>
        <w:rPr>
          <w:rFonts w:hint="eastAsia"/>
          <w:color w:val="auto"/>
          <w:highlight w:val="none"/>
          <w:lang w:eastAsia="zh-CN"/>
        </w:rPr>
        <w:t>进行加密</w:t>
      </w:r>
      <w:r>
        <w:rPr>
          <w:rFonts w:hint="eastAsia" w:hAnsi="宋体"/>
          <w:b/>
          <w:color w:val="auto"/>
          <w:szCs w:val="21"/>
          <w:highlight w:val="none"/>
        </w:rPr>
        <w:t>。</w:t>
      </w:r>
    </w:p>
    <w:p w14:paraId="4819A6ED">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16.</w:t>
      </w:r>
      <w:r>
        <w:rPr>
          <w:rFonts w:hint="eastAsia" w:ascii="Times New Roman"/>
          <w:color w:val="auto"/>
          <w:sz w:val="28"/>
          <w:szCs w:val="28"/>
          <w:highlight w:val="none"/>
        </w:rPr>
        <w:t>递交响应文件的截止时间和地点</w:t>
      </w:r>
      <w:bookmarkEnd w:id="79"/>
      <w:bookmarkEnd w:id="80"/>
      <w:bookmarkEnd w:id="81"/>
      <w:bookmarkEnd w:id="82"/>
      <w:bookmarkEnd w:id="83"/>
    </w:p>
    <w:p w14:paraId="77A01B8F">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6</w:t>
      </w:r>
      <w:r>
        <w:rPr>
          <w:color w:val="auto"/>
          <w:highlight w:val="none"/>
        </w:rPr>
        <w:t xml:space="preserve">.1 </w:t>
      </w:r>
      <w:r>
        <w:rPr>
          <w:rFonts w:hint="eastAsia"/>
          <w:color w:val="auto"/>
          <w:highlight w:val="none"/>
        </w:rPr>
        <w:t>响应文件的递交不得迟于</w:t>
      </w:r>
      <w:r>
        <w:rPr>
          <w:rFonts w:hint="eastAsia"/>
          <w:color w:val="auto"/>
          <w:highlight w:val="none"/>
          <w:lang w:eastAsia="zh-CN"/>
        </w:rPr>
        <w:t>“磋商申请人须知前附表”</w:t>
      </w:r>
      <w:r>
        <w:rPr>
          <w:rFonts w:hint="eastAsia"/>
          <w:color w:val="auto"/>
          <w:highlight w:val="none"/>
        </w:rPr>
        <w:t>规定的递交响应文件截止时间。</w:t>
      </w:r>
      <w:r>
        <w:rPr>
          <w:rFonts w:hint="eastAsia"/>
          <w:b/>
          <w:color w:val="auto"/>
          <w:highlight w:val="none"/>
        </w:rPr>
        <w:t>逾期送达的响应文件，采购人不予接收。</w:t>
      </w:r>
    </w:p>
    <w:p w14:paraId="0A09EDE9">
      <w:pPr>
        <w:spacing w:line="360" w:lineRule="auto"/>
        <w:ind w:firstLine="420" w:firstLineChars="200"/>
        <w:jc w:val="left"/>
        <w:rPr>
          <w:b/>
          <w:color w:val="auto"/>
          <w:highlight w:val="none"/>
        </w:rPr>
      </w:pPr>
      <w:r>
        <w:rPr>
          <w:color w:val="auto"/>
          <w:highlight w:val="none"/>
        </w:rPr>
        <w:t>1</w:t>
      </w:r>
      <w:r>
        <w:rPr>
          <w:rFonts w:hint="eastAsia"/>
          <w:color w:val="auto"/>
          <w:highlight w:val="none"/>
          <w:lang w:val="en-US" w:eastAsia="zh-CN"/>
        </w:rPr>
        <w:t>6</w:t>
      </w:r>
      <w:r>
        <w:rPr>
          <w:color w:val="auto"/>
          <w:highlight w:val="none"/>
        </w:rPr>
        <w:t xml:space="preserve">.2 </w:t>
      </w:r>
      <w:r>
        <w:rPr>
          <w:rFonts w:hint="eastAsia"/>
          <w:color w:val="auto"/>
          <w:highlight w:val="none"/>
        </w:rPr>
        <w:t>磋商申请人必须在规定时间内将响应文件递交到</w:t>
      </w:r>
      <w:r>
        <w:rPr>
          <w:rFonts w:hint="eastAsia"/>
          <w:color w:val="auto"/>
          <w:highlight w:val="none"/>
          <w:lang w:eastAsia="zh-CN"/>
        </w:rPr>
        <w:t>“磋商申请人须知前附表”</w:t>
      </w:r>
      <w:r>
        <w:rPr>
          <w:rFonts w:hint="eastAsia"/>
          <w:color w:val="auto"/>
          <w:highlight w:val="none"/>
        </w:rPr>
        <w:t>规定的地点。</w:t>
      </w:r>
    </w:p>
    <w:p w14:paraId="17E41023">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6</w:t>
      </w:r>
      <w:r>
        <w:rPr>
          <w:color w:val="auto"/>
          <w:highlight w:val="none"/>
        </w:rPr>
        <w:t>.3</w:t>
      </w:r>
      <w:r>
        <w:rPr>
          <w:rFonts w:hint="eastAsia"/>
          <w:color w:val="auto"/>
          <w:highlight w:val="none"/>
          <w:lang w:val="en-US" w:eastAsia="zh-CN"/>
        </w:rPr>
        <w:t xml:space="preserve"> </w:t>
      </w:r>
      <w:r>
        <w:rPr>
          <w:rFonts w:hint="eastAsia" w:hAnsi="宋体"/>
          <w:color w:val="auto"/>
          <w:szCs w:val="21"/>
          <w:highlight w:val="none"/>
        </w:rPr>
        <w:t>除</w:t>
      </w:r>
      <w:r>
        <w:rPr>
          <w:rFonts w:hint="eastAsia"/>
          <w:color w:val="auto"/>
          <w:szCs w:val="21"/>
          <w:highlight w:val="none"/>
          <w:lang w:eastAsia="zh-CN"/>
        </w:rPr>
        <w:t>“磋商申请人须知前附表”</w:t>
      </w:r>
      <w:r>
        <w:rPr>
          <w:rFonts w:hint="eastAsia" w:hAnsi="宋体"/>
          <w:color w:val="auto"/>
          <w:szCs w:val="21"/>
          <w:highlight w:val="none"/>
        </w:rPr>
        <w:t>另有规定外，磋商申请人所递交的响应文件不予退还。</w:t>
      </w:r>
    </w:p>
    <w:p w14:paraId="3FAB0D46">
      <w:pPr>
        <w:pStyle w:val="3"/>
        <w:spacing w:before="0" w:after="0"/>
        <w:rPr>
          <w:rFonts w:ascii="Times New Roman" w:hAnsi="Times New Roman"/>
          <w:color w:val="auto"/>
          <w:szCs w:val="28"/>
          <w:highlight w:val="none"/>
        </w:rPr>
      </w:pPr>
      <w:bookmarkStart w:id="84" w:name="_Toc383175492"/>
      <w:bookmarkStart w:id="85" w:name="_Toc86124064"/>
      <w:r>
        <w:rPr>
          <w:rFonts w:hint="eastAsia" w:ascii="Times New Roman" w:hAnsi="Times New Roman"/>
          <w:color w:val="auto"/>
          <w:szCs w:val="28"/>
          <w:highlight w:val="none"/>
        </w:rPr>
        <w:t>五、磋商</w:t>
      </w:r>
      <w:bookmarkEnd w:id="84"/>
      <w:bookmarkEnd w:id="85"/>
    </w:p>
    <w:p w14:paraId="103475C9">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17.</w:t>
      </w:r>
      <w:r>
        <w:rPr>
          <w:rFonts w:hint="eastAsia" w:ascii="Times New Roman"/>
          <w:color w:val="auto"/>
          <w:sz w:val="28"/>
          <w:szCs w:val="28"/>
          <w:highlight w:val="none"/>
        </w:rPr>
        <w:t>磋商</w:t>
      </w:r>
    </w:p>
    <w:p w14:paraId="7754EF95">
      <w:pPr>
        <w:spacing w:line="360" w:lineRule="auto"/>
        <w:ind w:firstLine="420" w:firstLineChars="200"/>
        <w:jc w:val="left"/>
        <w:rPr>
          <w:color w:val="auto"/>
          <w:highlight w:val="none"/>
        </w:rPr>
      </w:pPr>
      <w:r>
        <w:rPr>
          <w:rFonts w:hint="eastAsia"/>
          <w:color w:val="auto"/>
          <w:highlight w:val="none"/>
          <w:lang w:val="en-US" w:eastAsia="zh-CN"/>
        </w:rPr>
        <w:t>17</w:t>
      </w:r>
      <w:r>
        <w:rPr>
          <w:color w:val="auto"/>
          <w:highlight w:val="none"/>
        </w:rPr>
        <w:t>.1</w:t>
      </w:r>
      <w:r>
        <w:rPr>
          <w:rFonts w:hint="eastAsia"/>
          <w:color w:val="auto"/>
          <w:highlight w:val="none"/>
        </w:rPr>
        <w:t>采购代理机构将在</w:t>
      </w:r>
      <w:r>
        <w:rPr>
          <w:rFonts w:hint="eastAsia"/>
          <w:color w:val="auto"/>
          <w:highlight w:val="none"/>
          <w:lang w:eastAsia="zh-CN"/>
        </w:rPr>
        <w:t>“磋商申请人须知前附表”</w:t>
      </w:r>
      <w:r>
        <w:rPr>
          <w:rFonts w:hint="eastAsia"/>
          <w:color w:val="auto"/>
          <w:highlight w:val="none"/>
        </w:rPr>
        <w:t>规定的时间和地点进行磋商，磋商申请人的法定代表人（负责人）或其委托代理人应按时参加。</w:t>
      </w:r>
    </w:p>
    <w:p w14:paraId="186DBE35">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7</w:t>
      </w:r>
      <w:r>
        <w:rPr>
          <w:color w:val="auto"/>
          <w:highlight w:val="none"/>
        </w:rPr>
        <w:t xml:space="preserve">.2 </w:t>
      </w:r>
      <w:r>
        <w:rPr>
          <w:rFonts w:hint="eastAsia"/>
          <w:color w:val="auto"/>
          <w:highlight w:val="none"/>
        </w:rPr>
        <w:t>磋商由磋商小组负责。磋商小组由采购人代表和有关技术、经济等方面的专家组成，成员人数应当为</w:t>
      </w:r>
      <w:r>
        <w:rPr>
          <w:rFonts w:hint="eastAsia"/>
          <w:color w:val="auto"/>
          <w:highlight w:val="none"/>
          <w:lang w:val="en-US" w:eastAsia="zh-CN"/>
        </w:rPr>
        <w:t>3</w:t>
      </w:r>
      <w:r>
        <w:rPr>
          <w:rFonts w:hint="eastAsia"/>
          <w:color w:val="auto"/>
          <w:highlight w:val="none"/>
        </w:rPr>
        <w:t>人及以上单数。其中，技术、经济等方面的专家不得少于成员总数的三分之二。磋商应当推选组长，但采购人代表不得担任组长。</w:t>
      </w:r>
    </w:p>
    <w:p w14:paraId="38747A82">
      <w:pPr>
        <w:spacing w:line="360" w:lineRule="auto"/>
        <w:ind w:firstLine="420" w:firstLineChars="200"/>
        <w:jc w:val="left"/>
        <w:rPr>
          <w:b/>
          <w:color w:val="auto"/>
          <w:highlight w:val="none"/>
        </w:rPr>
      </w:pPr>
      <w:r>
        <w:rPr>
          <w:rFonts w:hint="eastAsia"/>
          <w:b/>
          <w:color w:val="auto"/>
          <w:highlight w:val="none"/>
        </w:rPr>
        <w:t>采购人委派代表参加磋商会议的，要向采购代理机构出具授权函。除授权代表外，采购人可以委派纪检监察等相关人员进入磋商现场，对磋商工作实施监督，但不得超过</w:t>
      </w:r>
      <w:r>
        <w:rPr>
          <w:rFonts w:hint="eastAsia" w:asciiTheme="minorEastAsia" w:hAnsiTheme="minorEastAsia" w:eastAsiaTheme="minorEastAsia" w:cstheme="minorEastAsia"/>
          <w:b/>
          <w:color w:val="auto"/>
          <w:highlight w:val="none"/>
          <w:lang w:val="en-US" w:eastAsia="zh-CN"/>
        </w:rPr>
        <w:t>2</w:t>
      </w:r>
      <w:r>
        <w:rPr>
          <w:rFonts w:hint="eastAsia"/>
          <w:b/>
          <w:color w:val="auto"/>
          <w:highlight w:val="none"/>
        </w:rPr>
        <w:t>人。</w:t>
      </w:r>
    </w:p>
    <w:p w14:paraId="64C47D67">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7</w:t>
      </w:r>
      <w:r>
        <w:rPr>
          <w:color w:val="auto"/>
          <w:highlight w:val="none"/>
        </w:rPr>
        <w:t xml:space="preserve">.3 </w:t>
      </w:r>
      <w:r>
        <w:rPr>
          <w:rFonts w:hint="eastAsia"/>
          <w:color w:val="auto"/>
          <w:highlight w:val="none"/>
        </w:rPr>
        <w:t>磋商原则</w:t>
      </w:r>
    </w:p>
    <w:p w14:paraId="531E8EB6">
      <w:pPr>
        <w:tabs>
          <w:tab w:val="left" w:pos="7980"/>
        </w:tabs>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磋商小组对各磋商申请人的响应文件进行详细评审。磋商小组按照得分的高低推荐成交候选人，推荐成交候选人1-3人，并标明排列顺序。</w:t>
      </w:r>
    </w:p>
    <w:p w14:paraId="76976A4D">
      <w:pPr>
        <w:tabs>
          <w:tab w:val="left" w:pos="7980"/>
        </w:tabs>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7</w:t>
      </w:r>
      <w:r>
        <w:rPr>
          <w:color w:val="auto"/>
          <w:highlight w:val="none"/>
        </w:rPr>
        <w:t xml:space="preserve">.4 </w:t>
      </w:r>
      <w:r>
        <w:rPr>
          <w:rFonts w:hint="eastAsia"/>
          <w:color w:val="auto"/>
          <w:highlight w:val="none"/>
        </w:rPr>
        <w:t>磋商程序和方法</w:t>
      </w:r>
    </w:p>
    <w:p w14:paraId="1CA3949E">
      <w:pPr>
        <w:spacing w:line="360" w:lineRule="auto"/>
        <w:ind w:firstLine="420" w:firstLineChars="200"/>
        <w:jc w:val="left"/>
        <w:rPr>
          <w:color w:val="auto"/>
          <w:highlight w:val="none"/>
        </w:rPr>
      </w:pPr>
      <w:r>
        <w:rPr>
          <w:rFonts w:hint="eastAsia"/>
          <w:color w:val="auto"/>
          <w:highlight w:val="none"/>
        </w:rPr>
        <w:t>磋商小组按照第六章</w:t>
      </w:r>
      <w:r>
        <w:rPr>
          <w:rFonts w:hint="eastAsia"/>
          <w:color w:val="auto"/>
          <w:highlight w:val="none"/>
          <w:lang w:eastAsia="zh-CN"/>
        </w:rPr>
        <w:t>“磋商程序和方法”</w:t>
      </w:r>
      <w:r>
        <w:rPr>
          <w:rFonts w:hint="eastAsia"/>
          <w:color w:val="auto"/>
          <w:highlight w:val="none"/>
        </w:rPr>
        <w:t>规定的方法、因素、标准和程序进行磋商。</w:t>
      </w:r>
    </w:p>
    <w:p w14:paraId="2CFDADE1">
      <w:pPr>
        <w:spacing w:line="360" w:lineRule="auto"/>
        <w:ind w:firstLine="420" w:firstLineChars="200"/>
        <w:jc w:val="left"/>
        <w:rPr>
          <w:rFonts w:ascii="宋体"/>
          <w:color w:val="auto"/>
          <w:szCs w:val="21"/>
          <w:highlight w:val="none"/>
        </w:rPr>
      </w:pPr>
      <w:r>
        <w:rPr>
          <w:color w:val="auto"/>
          <w:szCs w:val="21"/>
          <w:highlight w:val="none"/>
        </w:rPr>
        <w:t>1</w:t>
      </w:r>
      <w:r>
        <w:rPr>
          <w:rFonts w:hint="eastAsia"/>
          <w:color w:val="auto"/>
          <w:szCs w:val="21"/>
          <w:highlight w:val="none"/>
          <w:lang w:val="en-US" w:eastAsia="zh-CN"/>
        </w:rPr>
        <w:t>7</w:t>
      </w:r>
      <w:r>
        <w:rPr>
          <w:color w:val="auto"/>
          <w:szCs w:val="21"/>
          <w:highlight w:val="none"/>
        </w:rPr>
        <w:t>.</w:t>
      </w:r>
      <w:r>
        <w:rPr>
          <w:rFonts w:hint="eastAsia"/>
          <w:color w:val="auto"/>
          <w:szCs w:val="21"/>
          <w:highlight w:val="none"/>
        </w:rPr>
        <w:t>5</w:t>
      </w:r>
      <w:r>
        <w:rPr>
          <w:rFonts w:hint="eastAsia" w:ascii="宋体"/>
          <w:color w:val="auto"/>
          <w:szCs w:val="21"/>
          <w:highlight w:val="none"/>
        </w:rPr>
        <w:t>磋商文件</w:t>
      </w:r>
      <w:r>
        <w:rPr>
          <w:rFonts w:hint="eastAsia"/>
          <w:b/>
          <w:color w:val="auto"/>
          <w:szCs w:val="21"/>
          <w:highlight w:val="none"/>
          <w:u w:val="single"/>
        </w:rPr>
        <w:t>第六章</w:t>
      </w:r>
      <w:r>
        <w:rPr>
          <w:rFonts w:hint="eastAsia"/>
          <w:b/>
          <w:color w:val="auto"/>
          <w:szCs w:val="21"/>
          <w:highlight w:val="none"/>
          <w:u w:val="single"/>
          <w:lang w:eastAsia="zh-CN"/>
        </w:rPr>
        <w:t>“磋商程序和方法”</w:t>
      </w:r>
      <w:r>
        <w:rPr>
          <w:rFonts w:hint="eastAsia"/>
          <w:b/>
          <w:color w:val="auto"/>
          <w:szCs w:val="21"/>
          <w:highlight w:val="none"/>
          <w:u w:val="single"/>
        </w:rPr>
        <w:t>前附表第</w:t>
      </w:r>
      <w:r>
        <w:rPr>
          <w:rFonts w:hint="eastAsia"/>
          <w:b/>
          <w:color w:val="auto"/>
          <w:szCs w:val="21"/>
          <w:highlight w:val="none"/>
          <w:u w:val="single"/>
          <w:lang w:eastAsia="zh-CN"/>
        </w:rPr>
        <w:t>二</w:t>
      </w:r>
      <w:r>
        <w:rPr>
          <w:rFonts w:hint="eastAsia"/>
          <w:b/>
          <w:color w:val="auto"/>
          <w:szCs w:val="21"/>
          <w:highlight w:val="none"/>
          <w:u w:val="single"/>
        </w:rPr>
        <w:t>款</w:t>
      </w:r>
      <w:r>
        <w:rPr>
          <w:rFonts w:hint="eastAsia"/>
          <w:b/>
          <w:color w:val="auto"/>
          <w:szCs w:val="21"/>
          <w:highlight w:val="none"/>
          <w:u w:val="single"/>
          <w:lang w:eastAsia="zh-CN"/>
        </w:rPr>
        <w:t>的</w:t>
      </w:r>
      <w:r>
        <w:rPr>
          <w:rFonts w:hint="eastAsia"/>
          <w:b/>
          <w:color w:val="auto"/>
          <w:szCs w:val="21"/>
          <w:highlight w:val="none"/>
          <w:u w:val="single"/>
        </w:rPr>
        <w:t>要求为磋商文件的实质性内容，未实质性响应磋商文件</w:t>
      </w:r>
      <w:r>
        <w:rPr>
          <w:rFonts w:hint="eastAsia"/>
          <w:b/>
          <w:color w:val="auto"/>
          <w:szCs w:val="21"/>
          <w:highlight w:val="none"/>
          <w:u w:val="single"/>
          <w:lang w:eastAsia="zh-CN"/>
        </w:rPr>
        <w:t>实质性要求</w:t>
      </w:r>
      <w:r>
        <w:rPr>
          <w:rFonts w:hint="eastAsia"/>
          <w:b/>
          <w:color w:val="auto"/>
          <w:szCs w:val="21"/>
          <w:highlight w:val="none"/>
          <w:u w:val="single"/>
        </w:rPr>
        <w:t>的响应文件将按无效处理，该磋商申请人不得再继续参加磋商</w:t>
      </w:r>
      <w:r>
        <w:rPr>
          <w:rFonts w:hint="eastAsia" w:ascii="宋体"/>
          <w:color w:val="auto"/>
          <w:szCs w:val="21"/>
          <w:highlight w:val="none"/>
        </w:rPr>
        <w:t>。</w:t>
      </w:r>
    </w:p>
    <w:p w14:paraId="3D42878B">
      <w:pPr>
        <w:spacing w:line="360" w:lineRule="auto"/>
        <w:ind w:firstLine="420" w:firstLineChars="200"/>
        <w:jc w:val="left"/>
        <w:rPr>
          <w:rFonts w:ascii="宋体"/>
          <w:color w:val="auto"/>
          <w:szCs w:val="21"/>
          <w:highlight w:val="none"/>
        </w:rPr>
      </w:pPr>
      <w:r>
        <w:rPr>
          <w:rFonts w:ascii="宋体"/>
          <w:color w:val="auto"/>
          <w:szCs w:val="21"/>
          <w:highlight w:val="none"/>
        </w:rPr>
        <w:t>1</w:t>
      </w:r>
      <w:r>
        <w:rPr>
          <w:rFonts w:hint="eastAsia" w:ascii="宋体"/>
          <w:color w:val="auto"/>
          <w:szCs w:val="21"/>
          <w:highlight w:val="none"/>
          <w:lang w:val="en-US" w:eastAsia="zh-CN"/>
        </w:rPr>
        <w:t>7</w:t>
      </w:r>
      <w:r>
        <w:rPr>
          <w:rFonts w:ascii="宋体"/>
          <w:color w:val="auto"/>
          <w:szCs w:val="21"/>
          <w:highlight w:val="none"/>
        </w:rPr>
        <w:t>.</w:t>
      </w:r>
      <w:r>
        <w:rPr>
          <w:rFonts w:hint="eastAsia" w:ascii="宋体"/>
          <w:color w:val="auto"/>
          <w:szCs w:val="21"/>
          <w:highlight w:val="none"/>
        </w:rPr>
        <w:t>6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721956BD">
      <w:pPr>
        <w:spacing w:line="360" w:lineRule="auto"/>
        <w:ind w:firstLine="420" w:firstLineChars="200"/>
        <w:jc w:val="left"/>
        <w:rPr>
          <w:rFonts w:ascii="宋体"/>
          <w:color w:val="auto"/>
          <w:szCs w:val="21"/>
          <w:highlight w:val="none"/>
        </w:rPr>
      </w:pPr>
      <w:r>
        <w:rPr>
          <w:rFonts w:hint="eastAsia" w:ascii="宋体"/>
          <w:color w:val="auto"/>
          <w:szCs w:val="21"/>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727B1656">
      <w:pPr>
        <w:pStyle w:val="4"/>
        <w:numPr>
          <w:ilvl w:val="0"/>
          <w:numId w:val="0"/>
        </w:numPr>
        <w:spacing w:before="0" w:after="0"/>
        <w:jc w:val="both"/>
        <w:rPr>
          <w:rFonts w:hint="eastAsia" w:ascii="Times New Roman"/>
          <w:color w:val="auto"/>
          <w:sz w:val="28"/>
          <w:szCs w:val="28"/>
          <w:highlight w:val="none"/>
        </w:rPr>
      </w:pPr>
      <w:bookmarkStart w:id="86" w:name="_Toc383175072"/>
      <w:bookmarkStart w:id="87" w:name="_Toc86124067"/>
      <w:bookmarkStart w:id="88" w:name="_Toc383175296"/>
      <w:bookmarkStart w:id="89" w:name="_Toc329810207"/>
      <w:bookmarkStart w:id="90" w:name="_Toc383175494"/>
      <w:r>
        <w:rPr>
          <w:rFonts w:hint="default" w:ascii="Times New Roman"/>
          <w:color w:val="auto"/>
          <w:sz w:val="28"/>
          <w:szCs w:val="28"/>
          <w:highlight w:val="none"/>
          <w:lang w:val="en-US" w:eastAsia="zh-CN"/>
        </w:rPr>
        <w:t>18.</w:t>
      </w:r>
      <w:r>
        <w:rPr>
          <w:rFonts w:hint="eastAsia" w:ascii="Times New Roman"/>
          <w:color w:val="auto"/>
          <w:sz w:val="28"/>
          <w:szCs w:val="28"/>
          <w:highlight w:val="none"/>
        </w:rPr>
        <w:t>磋商过程的保密</w:t>
      </w:r>
      <w:bookmarkEnd w:id="86"/>
      <w:bookmarkEnd w:id="87"/>
      <w:bookmarkEnd w:id="88"/>
      <w:bookmarkEnd w:id="89"/>
      <w:bookmarkEnd w:id="90"/>
    </w:p>
    <w:p w14:paraId="23449F4A">
      <w:pPr>
        <w:spacing w:line="360" w:lineRule="auto"/>
        <w:ind w:firstLine="420" w:firstLineChars="200"/>
        <w:jc w:val="left"/>
        <w:rPr>
          <w:color w:val="auto"/>
          <w:highlight w:val="none"/>
        </w:rPr>
      </w:pPr>
      <w:r>
        <w:rPr>
          <w:rFonts w:hint="eastAsia"/>
          <w:color w:val="auto"/>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7AA68E55">
      <w:pPr>
        <w:pStyle w:val="4"/>
        <w:numPr>
          <w:ilvl w:val="0"/>
          <w:numId w:val="0"/>
        </w:numPr>
        <w:spacing w:before="0" w:after="0"/>
        <w:jc w:val="both"/>
        <w:rPr>
          <w:rFonts w:hint="eastAsia" w:ascii="Times New Roman"/>
          <w:color w:val="auto"/>
          <w:sz w:val="28"/>
          <w:szCs w:val="28"/>
          <w:highlight w:val="none"/>
        </w:rPr>
      </w:pPr>
      <w:bookmarkStart w:id="91" w:name="_Toc86124068"/>
      <w:bookmarkStart w:id="92" w:name="_Toc383175073"/>
      <w:bookmarkStart w:id="93" w:name="_Toc329810208"/>
      <w:bookmarkStart w:id="94" w:name="_Toc383175495"/>
      <w:bookmarkStart w:id="95" w:name="_Toc378499713"/>
      <w:bookmarkStart w:id="96" w:name="_Toc383175297"/>
      <w:r>
        <w:rPr>
          <w:rFonts w:hint="default" w:ascii="Times New Roman"/>
          <w:color w:val="auto"/>
          <w:sz w:val="28"/>
          <w:szCs w:val="28"/>
          <w:highlight w:val="none"/>
          <w:lang w:val="en-US" w:eastAsia="zh-CN"/>
        </w:rPr>
        <w:t>19.</w:t>
      </w:r>
      <w:r>
        <w:rPr>
          <w:rFonts w:hint="eastAsia" w:ascii="Times New Roman"/>
          <w:color w:val="auto"/>
          <w:sz w:val="28"/>
          <w:szCs w:val="28"/>
          <w:highlight w:val="none"/>
        </w:rPr>
        <w:t>出现下列情形之一的，将终止竞争性磋商采购活动，并发布项目终止公告并说明原因，重新开展采购活动：</w:t>
      </w:r>
      <w:bookmarkEnd w:id="91"/>
      <w:bookmarkEnd w:id="92"/>
      <w:bookmarkEnd w:id="93"/>
      <w:bookmarkEnd w:id="94"/>
      <w:bookmarkEnd w:id="95"/>
      <w:bookmarkEnd w:id="96"/>
    </w:p>
    <w:p w14:paraId="1D1832B6">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）因情况变化，不再符合规定的竞争性磋商采购方式适用情形的；</w:t>
      </w:r>
    </w:p>
    <w:p w14:paraId="58345843">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）出现影响采购公正的违法、违规行为的；</w:t>
      </w:r>
    </w:p>
    <w:p w14:paraId="73A6B1C7">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）在采购过程中符合竞争要求的磋商申请人或者</w:t>
      </w:r>
      <w:r>
        <w:rPr>
          <w:rFonts w:hint="eastAsia"/>
          <w:b/>
          <w:color w:val="auto"/>
          <w:highlight w:val="none"/>
        </w:rPr>
        <w:t>报价未超过采购预算的磋商申请人不符合规定的</w:t>
      </w:r>
      <w:r>
        <w:rPr>
          <w:rFonts w:hint="eastAsia"/>
          <w:color w:val="auto"/>
          <w:highlight w:val="none"/>
        </w:rPr>
        <w:t>。</w:t>
      </w:r>
    </w:p>
    <w:p w14:paraId="21F76A24">
      <w:pPr>
        <w:spacing w:line="360" w:lineRule="auto"/>
        <w:ind w:firstLine="420" w:firstLineChars="200"/>
        <w:jc w:val="left"/>
        <w:rPr>
          <w:color w:val="auto"/>
          <w:highlight w:val="none"/>
        </w:rPr>
      </w:pPr>
    </w:p>
    <w:p w14:paraId="42461550">
      <w:pPr>
        <w:pStyle w:val="3"/>
        <w:spacing w:before="0" w:after="0"/>
        <w:rPr>
          <w:rFonts w:ascii="Times New Roman" w:hAnsi="Times New Roman"/>
          <w:color w:val="auto"/>
          <w:szCs w:val="28"/>
          <w:highlight w:val="none"/>
        </w:rPr>
      </w:pPr>
      <w:bookmarkStart w:id="97" w:name="_Toc383175496"/>
      <w:bookmarkStart w:id="98" w:name="_Toc86124069"/>
      <w:r>
        <w:rPr>
          <w:rFonts w:hint="eastAsia" w:ascii="Times New Roman" w:hAnsi="Times New Roman"/>
          <w:color w:val="auto"/>
          <w:szCs w:val="28"/>
          <w:highlight w:val="none"/>
        </w:rPr>
        <w:t>六、成交结果</w:t>
      </w:r>
      <w:bookmarkEnd w:id="97"/>
      <w:bookmarkEnd w:id="98"/>
    </w:p>
    <w:p w14:paraId="0B62FE9A">
      <w:pPr>
        <w:pStyle w:val="4"/>
        <w:numPr>
          <w:ilvl w:val="0"/>
          <w:numId w:val="0"/>
        </w:numPr>
        <w:spacing w:before="0" w:after="0"/>
        <w:jc w:val="both"/>
        <w:rPr>
          <w:rFonts w:hint="eastAsia" w:ascii="Times New Roman"/>
          <w:color w:val="auto"/>
          <w:sz w:val="28"/>
          <w:szCs w:val="28"/>
          <w:highlight w:val="none"/>
        </w:rPr>
      </w:pPr>
      <w:bookmarkStart w:id="99" w:name="_Toc383175075"/>
      <w:bookmarkStart w:id="100" w:name="_Toc383175299"/>
      <w:bookmarkStart w:id="101" w:name="_Toc329810210"/>
      <w:bookmarkStart w:id="102" w:name="_Toc383175497"/>
      <w:bookmarkStart w:id="103" w:name="_Toc86124070"/>
      <w:r>
        <w:rPr>
          <w:rFonts w:hint="default" w:ascii="Times New Roman"/>
          <w:color w:val="auto"/>
          <w:sz w:val="28"/>
          <w:szCs w:val="28"/>
          <w:highlight w:val="none"/>
          <w:lang w:val="en-US" w:eastAsia="zh-CN"/>
        </w:rPr>
        <w:t>20.</w:t>
      </w:r>
      <w:r>
        <w:rPr>
          <w:rFonts w:hint="eastAsia" w:ascii="Times New Roman"/>
          <w:color w:val="auto"/>
          <w:sz w:val="28"/>
          <w:szCs w:val="28"/>
          <w:highlight w:val="none"/>
        </w:rPr>
        <w:t>成交人的确定</w:t>
      </w:r>
      <w:bookmarkEnd w:id="99"/>
      <w:bookmarkEnd w:id="100"/>
      <w:bookmarkEnd w:id="101"/>
      <w:bookmarkEnd w:id="102"/>
      <w:bookmarkEnd w:id="103"/>
    </w:p>
    <w:p w14:paraId="1E04DF40">
      <w:pPr>
        <w:spacing w:line="360" w:lineRule="auto"/>
        <w:ind w:firstLine="420" w:firstLineChars="200"/>
        <w:jc w:val="left"/>
        <w:rPr>
          <w:color w:val="auto"/>
          <w:highlight w:val="none"/>
        </w:rPr>
      </w:pPr>
      <w:bookmarkStart w:id="104" w:name="_Toc329810211"/>
      <w:r>
        <w:rPr>
          <w:rFonts w:hint="eastAsia"/>
          <w:color w:val="auto"/>
          <w:highlight w:val="none"/>
          <w:lang w:val="en-US" w:eastAsia="zh-CN"/>
        </w:rPr>
        <w:t>20</w:t>
      </w:r>
      <w:r>
        <w:rPr>
          <w:color w:val="auto"/>
          <w:highlight w:val="none"/>
        </w:rPr>
        <w:t>.1</w:t>
      </w:r>
      <w:r>
        <w:rPr>
          <w:rFonts w:hint="eastAsia"/>
          <w:color w:val="auto"/>
          <w:highlight w:val="none"/>
        </w:rPr>
        <w:t>采购代理机构在评审结束后</w:t>
      </w:r>
      <w:r>
        <w:rPr>
          <w:color w:val="auto"/>
          <w:highlight w:val="none"/>
        </w:rPr>
        <w:t>2</w:t>
      </w:r>
      <w:r>
        <w:rPr>
          <w:rFonts w:hint="eastAsia"/>
          <w:color w:val="auto"/>
          <w:highlight w:val="none"/>
        </w:rPr>
        <w:t>个工作日内将评审报告送采购人确认。</w:t>
      </w:r>
    </w:p>
    <w:p w14:paraId="1F23C279">
      <w:pPr>
        <w:spacing w:line="360" w:lineRule="auto"/>
        <w:ind w:firstLine="420" w:firstLineChars="200"/>
        <w:jc w:val="left"/>
        <w:rPr>
          <w:color w:val="auto"/>
          <w:highlight w:val="none"/>
        </w:rPr>
      </w:pPr>
      <w:r>
        <w:rPr>
          <w:rFonts w:hint="eastAsia"/>
          <w:color w:val="auto"/>
          <w:highlight w:val="none"/>
          <w:lang w:val="en-US" w:eastAsia="zh-CN"/>
        </w:rPr>
        <w:t>20</w:t>
      </w:r>
      <w:r>
        <w:rPr>
          <w:color w:val="auto"/>
          <w:highlight w:val="none"/>
        </w:rPr>
        <w:t>.2</w:t>
      </w:r>
      <w:r>
        <w:rPr>
          <w:rFonts w:hint="eastAsia"/>
          <w:color w:val="auto"/>
          <w:highlight w:val="none"/>
        </w:rPr>
        <w:t>采购人应当在收到评审报告后</w:t>
      </w:r>
      <w:r>
        <w:rPr>
          <w:color w:val="auto"/>
          <w:highlight w:val="none"/>
        </w:rPr>
        <w:t>5</w:t>
      </w:r>
      <w:r>
        <w:rPr>
          <w:rFonts w:hint="eastAsia"/>
          <w:color w:val="auto"/>
          <w:highlight w:val="none"/>
        </w:rPr>
        <w:t>个工作日内，从评审报告提出的成交候选人中，按照综合得分由高到低的的原则确定成交磋商申请人。</w:t>
      </w:r>
    </w:p>
    <w:p w14:paraId="308AA262">
      <w:pPr>
        <w:pStyle w:val="4"/>
        <w:numPr>
          <w:ilvl w:val="0"/>
          <w:numId w:val="0"/>
        </w:numPr>
        <w:spacing w:before="0" w:after="0"/>
        <w:jc w:val="both"/>
        <w:rPr>
          <w:rFonts w:hint="eastAsia" w:ascii="Times New Roman"/>
          <w:color w:val="auto"/>
          <w:sz w:val="28"/>
          <w:szCs w:val="28"/>
          <w:highlight w:val="none"/>
        </w:rPr>
      </w:pPr>
      <w:bookmarkStart w:id="105" w:name="_Toc383175300"/>
      <w:bookmarkStart w:id="106" w:name="_Toc383175498"/>
      <w:bookmarkStart w:id="107" w:name="_Toc383175076"/>
      <w:r>
        <w:rPr>
          <w:rFonts w:hint="default" w:ascii="Times New Roman"/>
          <w:color w:val="auto"/>
          <w:sz w:val="28"/>
          <w:szCs w:val="28"/>
          <w:highlight w:val="none"/>
          <w:lang w:val="en-US" w:eastAsia="zh-CN"/>
        </w:rPr>
        <w:t>21.</w:t>
      </w:r>
      <w:r>
        <w:rPr>
          <w:rFonts w:hint="eastAsia" w:ascii="Times New Roman"/>
          <w:color w:val="auto"/>
          <w:sz w:val="28"/>
          <w:szCs w:val="28"/>
          <w:highlight w:val="none"/>
        </w:rPr>
        <w:t>成交通知书</w:t>
      </w:r>
      <w:bookmarkEnd w:id="104"/>
      <w:bookmarkEnd w:id="105"/>
      <w:bookmarkEnd w:id="106"/>
      <w:bookmarkEnd w:id="107"/>
    </w:p>
    <w:p w14:paraId="3C81453F">
      <w:pPr>
        <w:spacing w:line="360" w:lineRule="auto"/>
        <w:ind w:firstLine="420" w:firstLineChars="200"/>
        <w:jc w:val="left"/>
        <w:rPr>
          <w:color w:val="auto"/>
          <w:highlight w:val="none"/>
        </w:rPr>
      </w:pPr>
      <w:bookmarkStart w:id="108" w:name="_Toc329810212"/>
      <w:bookmarkStart w:id="109" w:name="_Toc86124072"/>
      <w:r>
        <w:rPr>
          <w:color w:val="auto"/>
          <w:highlight w:val="none"/>
        </w:rPr>
        <w:t>2</w:t>
      </w:r>
      <w:r>
        <w:rPr>
          <w:rFonts w:hint="eastAsia"/>
          <w:color w:val="auto"/>
          <w:highlight w:val="none"/>
          <w:lang w:val="en-US" w:eastAsia="zh-CN"/>
        </w:rPr>
        <w:t>1</w:t>
      </w:r>
      <w:r>
        <w:rPr>
          <w:color w:val="auto"/>
          <w:highlight w:val="none"/>
        </w:rPr>
        <w:t>.1</w:t>
      </w:r>
      <w:r>
        <w:rPr>
          <w:rFonts w:hint="eastAsia"/>
          <w:color w:val="auto"/>
          <w:highlight w:val="none"/>
        </w:rPr>
        <w:t>采购代理机构将在成交磋商申请人确定后</w:t>
      </w:r>
      <w:r>
        <w:rPr>
          <w:color w:val="auto"/>
          <w:highlight w:val="none"/>
        </w:rPr>
        <w:t>2</w:t>
      </w:r>
      <w:r>
        <w:rPr>
          <w:rFonts w:hint="eastAsia"/>
          <w:color w:val="auto"/>
          <w:highlight w:val="none"/>
        </w:rPr>
        <w:t>个工作日内，在</w:t>
      </w:r>
      <w:r>
        <w:rPr>
          <w:rFonts w:hint="eastAsia" w:ascii="宋体" w:hAnsi="宋体" w:cs="宋体"/>
          <w:color w:val="auto"/>
          <w:kern w:val="0"/>
          <w:highlight w:val="none"/>
        </w:rPr>
        <w:t>云南省政府采购网、</w:t>
      </w:r>
      <w:r>
        <w:rPr>
          <w:rFonts w:hint="eastAsia" w:ascii="宋体" w:hAnsi="宋体" w:cs="宋体"/>
          <w:color w:val="auto"/>
          <w:kern w:val="0"/>
          <w:highlight w:val="none"/>
          <w:lang w:eastAsia="zh-CN"/>
        </w:rPr>
        <w:t>政采云平台</w:t>
      </w:r>
      <w:r>
        <w:rPr>
          <w:rFonts w:hint="eastAsia"/>
          <w:color w:val="auto"/>
          <w:highlight w:val="none"/>
        </w:rPr>
        <w:t>上发布中标公告，同时向成交磋商申请人发出成交通知书。</w:t>
      </w:r>
    </w:p>
    <w:p w14:paraId="7CF7F34C">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1</w:t>
      </w:r>
      <w:r>
        <w:rPr>
          <w:color w:val="auto"/>
          <w:highlight w:val="none"/>
        </w:rPr>
        <w:t>.2</w:t>
      </w:r>
      <w:r>
        <w:rPr>
          <w:rFonts w:hint="eastAsia"/>
          <w:color w:val="auto"/>
          <w:highlight w:val="none"/>
        </w:rPr>
        <w:t>成交通知书是合同的一个组成部分。</w:t>
      </w:r>
    </w:p>
    <w:p w14:paraId="211AEDC9">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1</w:t>
      </w:r>
      <w:r>
        <w:rPr>
          <w:color w:val="auto"/>
          <w:highlight w:val="none"/>
        </w:rPr>
        <w:t>.3</w:t>
      </w:r>
      <w:r>
        <w:rPr>
          <w:rFonts w:hint="eastAsia"/>
          <w:color w:val="auto"/>
          <w:highlight w:val="none"/>
        </w:rPr>
        <w:t>除不可抗力等因素外，成交通知书发出后，采购人改变成交结果，或者成交磋商申请人拒绝签订政府采购合同的，应当承担相应的法律责任。</w:t>
      </w:r>
    </w:p>
    <w:p w14:paraId="64F9A6F5">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1</w:t>
      </w:r>
      <w:r>
        <w:rPr>
          <w:color w:val="auto"/>
          <w:highlight w:val="none"/>
        </w:rPr>
        <w:t>.4</w:t>
      </w:r>
      <w:r>
        <w:rPr>
          <w:rFonts w:hint="eastAsia"/>
          <w:color w:val="auto"/>
          <w:highlight w:val="none"/>
        </w:rPr>
        <w:t>采购代理机构无义务向未成交磋商申请人解释未成交原因和退回响应文件。</w:t>
      </w:r>
    </w:p>
    <w:p w14:paraId="5920D824">
      <w:pPr>
        <w:pStyle w:val="4"/>
        <w:numPr>
          <w:ilvl w:val="0"/>
          <w:numId w:val="0"/>
        </w:numPr>
        <w:spacing w:before="0" w:after="0"/>
        <w:jc w:val="both"/>
        <w:rPr>
          <w:rFonts w:hint="eastAsia" w:ascii="Times New Roman"/>
          <w:color w:val="auto"/>
          <w:sz w:val="28"/>
          <w:szCs w:val="28"/>
          <w:highlight w:val="none"/>
        </w:rPr>
      </w:pPr>
      <w:bookmarkStart w:id="110" w:name="_Toc383175077"/>
      <w:bookmarkStart w:id="111" w:name="_Toc383175499"/>
      <w:bookmarkStart w:id="112" w:name="_Toc383175301"/>
      <w:r>
        <w:rPr>
          <w:rFonts w:hint="default" w:ascii="Times New Roman"/>
          <w:color w:val="auto"/>
          <w:sz w:val="28"/>
          <w:szCs w:val="28"/>
          <w:highlight w:val="none"/>
          <w:lang w:val="en-US" w:eastAsia="zh-CN"/>
        </w:rPr>
        <w:t>22.</w:t>
      </w:r>
      <w:r>
        <w:rPr>
          <w:rFonts w:hint="eastAsia" w:ascii="Times New Roman"/>
          <w:color w:val="auto"/>
          <w:sz w:val="28"/>
          <w:szCs w:val="28"/>
          <w:highlight w:val="none"/>
        </w:rPr>
        <w:t>签订合同</w:t>
      </w:r>
      <w:bookmarkEnd w:id="108"/>
      <w:bookmarkEnd w:id="109"/>
      <w:bookmarkEnd w:id="110"/>
      <w:bookmarkEnd w:id="111"/>
      <w:bookmarkEnd w:id="112"/>
    </w:p>
    <w:p w14:paraId="39EF1647">
      <w:pPr>
        <w:numPr>
          <w:ilvl w:val="1"/>
          <w:numId w:val="0"/>
        </w:numPr>
        <w:spacing w:line="360" w:lineRule="auto"/>
        <w:ind w:left="0" w:leftChars="0" w:firstLine="420" w:firstLineChars="0"/>
        <w:jc w:val="left"/>
        <w:rPr>
          <w:color w:val="auto"/>
          <w:highlight w:val="none"/>
        </w:rPr>
      </w:pPr>
      <w:bookmarkStart w:id="113" w:name="_Toc329810213"/>
      <w:bookmarkStart w:id="114" w:name="_Toc86124073"/>
      <w:r>
        <w:rPr>
          <w:rFonts w:hint="default" w:ascii="Times New Roman" w:hAnsi="Times New Roman" w:eastAsia="宋体" w:cs="Times New Roman"/>
          <w:color w:val="auto"/>
          <w:kern w:val="2"/>
          <w:sz w:val="21"/>
          <w:szCs w:val="24"/>
          <w:highlight w:val="none"/>
          <w:lang w:val="en-US" w:eastAsia="zh-CN" w:bidi="ar-SA"/>
        </w:rPr>
        <w:t>22.1</w:t>
      </w:r>
      <w:r>
        <w:rPr>
          <w:rFonts w:hint="eastAsia"/>
          <w:color w:val="auto"/>
          <w:highlight w:val="none"/>
        </w:rPr>
        <w:t>采购人与成交磋商申请人应当在成交通知书发出之日起</w:t>
      </w:r>
      <w:r>
        <w:rPr>
          <w:color w:val="auto"/>
          <w:highlight w:val="none"/>
        </w:rPr>
        <w:t>30</w:t>
      </w:r>
      <w:r>
        <w:rPr>
          <w:rFonts w:hint="eastAsia"/>
          <w:color w:val="auto"/>
          <w:highlight w:val="none"/>
        </w:rPr>
        <w:t>日内，按照采购文件确定的合同文本以及采购标的、规格型号、采购金额、采购数量、技术和服务要求等事项签订政府采购合同。</w:t>
      </w:r>
    </w:p>
    <w:p w14:paraId="20D730CF">
      <w:pPr>
        <w:numPr>
          <w:ilvl w:val="1"/>
          <w:numId w:val="0"/>
        </w:numPr>
        <w:spacing w:line="360" w:lineRule="auto"/>
        <w:ind w:left="0" w:leftChars="0" w:firstLine="420" w:firstLineChars="0"/>
        <w:jc w:val="left"/>
        <w:rPr>
          <w:color w:val="auto"/>
          <w:highlight w:val="none"/>
        </w:rPr>
      </w:pPr>
      <w:r>
        <w:rPr>
          <w:rFonts w:hint="default" w:ascii="Times New Roman" w:hAnsi="Times New Roman" w:eastAsia="宋体" w:cs="Times New Roman"/>
          <w:color w:val="auto"/>
          <w:kern w:val="2"/>
          <w:sz w:val="21"/>
          <w:szCs w:val="24"/>
          <w:highlight w:val="none"/>
          <w:lang w:val="en-US" w:eastAsia="zh-CN" w:bidi="ar-SA"/>
        </w:rPr>
        <w:t>22.2</w:t>
      </w:r>
      <w:r>
        <w:rPr>
          <w:rFonts w:hint="eastAsia"/>
          <w:color w:val="auto"/>
          <w:highlight w:val="none"/>
        </w:rPr>
        <w:t>成交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项目重新开展的采购活动。</w:t>
      </w:r>
      <w:bookmarkEnd w:id="113"/>
      <w:bookmarkEnd w:id="114"/>
    </w:p>
    <w:p w14:paraId="5893BC3C">
      <w:pPr>
        <w:pStyle w:val="3"/>
        <w:spacing w:before="0" w:after="0"/>
        <w:rPr>
          <w:rFonts w:ascii="Times New Roman" w:hAnsi="Times New Roman"/>
          <w:color w:val="auto"/>
          <w:szCs w:val="28"/>
          <w:highlight w:val="none"/>
        </w:rPr>
      </w:pPr>
      <w:bookmarkStart w:id="115" w:name="_Toc86124074"/>
      <w:bookmarkStart w:id="116" w:name="_Toc383175501"/>
      <w:r>
        <w:rPr>
          <w:rFonts w:hint="eastAsia" w:ascii="Times New Roman" w:hAnsi="Times New Roman"/>
          <w:color w:val="auto"/>
          <w:szCs w:val="28"/>
          <w:highlight w:val="none"/>
        </w:rPr>
        <w:t>七、其他事项</w:t>
      </w:r>
      <w:bookmarkEnd w:id="115"/>
      <w:bookmarkEnd w:id="116"/>
    </w:p>
    <w:p w14:paraId="3317841C">
      <w:pPr>
        <w:pStyle w:val="4"/>
        <w:numPr>
          <w:ilvl w:val="0"/>
          <w:numId w:val="0"/>
        </w:numPr>
        <w:spacing w:before="0" w:after="0"/>
        <w:jc w:val="both"/>
        <w:rPr>
          <w:rFonts w:hint="eastAsia" w:ascii="Times New Roman"/>
          <w:color w:val="auto"/>
          <w:sz w:val="28"/>
          <w:szCs w:val="28"/>
          <w:highlight w:val="none"/>
        </w:rPr>
      </w:pPr>
      <w:bookmarkStart w:id="117" w:name="_Toc383175502"/>
      <w:bookmarkStart w:id="118" w:name="_Toc383175304"/>
      <w:bookmarkStart w:id="119" w:name="_Toc383175080"/>
      <w:bookmarkStart w:id="120" w:name="_Toc329810215"/>
      <w:r>
        <w:rPr>
          <w:rFonts w:hint="default" w:ascii="Times New Roman"/>
          <w:color w:val="auto"/>
          <w:sz w:val="28"/>
          <w:szCs w:val="28"/>
          <w:highlight w:val="none"/>
          <w:lang w:val="en-US" w:eastAsia="zh-CN"/>
        </w:rPr>
        <w:t>23.</w:t>
      </w:r>
      <w:r>
        <w:rPr>
          <w:rFonts w:hint="eastAsia" w:ascii="Times New Roman"/>
          <w:color w:val="auto"/>
          <w:sz w:val="28"/>
          <w:szCs w:val="28"/>
          <w:highlight w:val="none"/>
        </w:rPr>
        <w:t>质疑和投诉</w:t>
      </w:r>
      <w:bookmarkEnd w:id="117"/>
      <w:bookmarkEnd w:id="118"/>
      <w:bookmarkEnd w:id="119"/>
      <w:bookmarkEnd w:id="120"/>
    </w:p>
    <w:p w14:paraId="60F86C84">
      <w:pPr>
        <w:spacing w:line="360" w:lineRule="auto"/>
        <w:ind w:firstLine="420" w:firstLineChars="200"/>
        <w:jc w:val="left"/>
        <w:rPr>
          <w:color w:val="auto"/>
          <w:highlight w:val="none"/>
        </w:rPr>
      </w:pPr>
      <w:r>
        <w:rPr>
          <w:color w:val="auto"/>
          <w:highlight w:val="none"/>
        </w:rPr>
        <w:t>23.1</w:t>
      </w:r>
      <w:r>
        <w:rPr>
          <w:rFonts w:hint="eastAsia"/>
          <w:color w:val="auto"/>
          <w:highlight w:val="none"/>
        </w:rPr>
        <w:t>磋商申请人认为磋商文件、磋商过程和成交结果使自己的合法权益受到损害的，应当在知道或者应知其权益受到损害之日起七个工作日内，以电子形式向下列部门或采购人提出质疑。质疑内容不得含有虚假、恶意成分。</w:t>
      </w:r>
      <w:r>
        <w:rPr>
          <w:rFonts w:hint="eastAsia" w:ascii="Arial" w:hAnsi="Arial" w:cs="Arial"/>
          <w:color w:val="auto"/>
          <w:szCs w:val="21"/>
          <w:highlight w:val="none"/>
        </w:rPr>
        <w:t>当事人对自己提出的主张，有责任提供证据</w:t>
      </w:r>
      <w:r>
        <w:rPr>
          <w:rFonts w:hint="eastAsia"/>
          <w:color w:val="auto"/>
          <w:highlight w:val="none"/>
        </w:rPr>
        <w:t>，提出质疑时应同时提交相关证据材料和注明事实的确切来源。</w:t>
      </w:r>
    </w:p>
    <w:p w14:paraId="268AE593">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受理质疑部门：</w:t>
      </w:r>
      <w:r>
        <w:rPr>
          <w:rFonts w:hint="eastAsia" w:ascii="宋体" w:hAnsi="宋体"/>
          <w:color w:val="auto"/>
          <w:szCs w:val="21"/>
          <w:highlight w:val="none"/>
          <w:lang w:eastAsia="zh-CN"/>
        </w:rPr>
        <w:t>保山广驰招标代理有限公司</w:t>
      </w:r>
    </w:p>
    <w:p w14:paraId="023DBBAC">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联系人：</w:t>
      </w:r>
      <w:r>
        <w:rPr>
          <w:rFonts w:hint="eastAsia" w:ascii="宋体" w:hAnsi="宋体"/>
          <w:color w:val="auto"/>
          <w:szCs w:val="21"/>
          <w:highlight w:val="none"/>
          <w:lang w:eastAsia="zh-CN"/>
        </w:rPr>
        <w:t>姚先生、童女士</w:t>
      </w:r>
    </w:p>
    <w:p w14:paraId="060E2954">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电话：</w:t>
      </w:r>
      <w:r>
        <w:rPr>
          <w:rFonts w:hint="eastAsia" w:ascii="宋体" w:hAnsi="宋体"/>
          <w:color w:val="auto"/>
          <w:szCs w:val="21"/>
          <w:highlight w:val="none"/>
          <w:lang w:eastAsia="zh-CN"/>
        </w:rPr>
        <w:t>0875-6126699、17708755942</w:t>
      </w:r>
    </w:p>
    <w:p w14:paraId="144D2704">
      <w:pPr>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eastAsia="zh-CN"/>
        </w:rPr>
        <w:t>邮箱</w:t>
      </w:r>
      <w:r>
        <w:rPr>
          <w:rFonts w:hint="eastAsia" w:ascii="宋体" w:hAnsi="宋体"/>
          <w:color w:val="auto"/>
          <w:szCs w:val="21"/>
          <w:highlight w:val="none"/>
        </w:rPr>
        <w:t>：</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HYPERLINK "mailto:bsgczb@126.com"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bsgczb@126.com</w:t>
      </w:r>
      <w:r>
        <w:rPr>
          <w:rFonts w:hint="eastAsia" w:ascii="宋体" w:hAnsi="宋体"/>
          <w:color w:val="auto"/>
          <w:szCs w:val="21"/>
          <w:highlight w:val="none"/>
          <w:lang w:val="en-US" w:eastAsia="zh-CN"/>
        </w:rPr>
        <w:fldChar w:fldCharType="end"/>
      </w:r>
    </w:p>
    <w:p w14:paraId="66EC324A">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3</w:t>
      </w:r>
      <w:r>
        <w:rPr>
          <w:color w:val="auto"/>
          <w:highlight w:val="none"/>
        </w:rPr>
        <w:t>.2</w:t>
      </w:r>
      <w:r>
        <w:rPr>
          <w:rFonts w:hint="eastAsia"/>
          <w:color w:val="auto"/>
          <w:highlight w:val="none"/>
        </w:rPr>
        <w:t>磋商申请人提供的质疑书应符合中华人民共和国财政部令第94号《</w:t>
      </w:r>
      <w:r>
        <w:rPr>
          <w:color w:val="auto"/>
          <w:highlight w:val="none"/>
        </w:rPr>
        <w:t>政府采购质疑和投诉办法</w:t>
      </w:r>
      <w:r>
        <w:rPr>
          <w:rFonts w:hint="eastAsia"/>
          <w:color w:val="auto"/>
          <w:highlight w:val="none"/>
        </w:rPr>
        <w:t>》的规定。磋商申请人提供的质疑书（如材料中有外文资料应同时附上中文译本）应当包括以下主要内容：</w:t>
      </w:r>
    </w:p>
    <w:p w14:paraId="64F1EE43">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）质疑项目名称；</w:t>
      </w:r>
    </w:p>
    <w:p w14:paraId="5F3A9D96">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）质疑理由及事实依据；</w:t>
      </w:r>
    </w:p>
    <w:p w14:paraId="15A4F70E">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）质疑对象；</w:t>
      </w:r>
    </w:p>
    <w:p w14:paraId="46C25D9E">
      <w:pPr>
        <w:spacing w:line="360" w:lineRule="auto"/>
        <w:ind w:firstLine="420" w:firstLineChars="200"/>
        <w:jc w:val="left"/>
        <w:rPr>
          <w:color w:val="auto"/>
          <w:highlight w:val="none"/>
        </w:rPr>
      </w:pPr>
      <w:r>
        <w:rPr>
          <w:rFonts w:hint="eastAsia"/>
          <w:color w:val="auto"/>
          <w:highlight w:val="none"/>
        </w:rPr>
        <w:t>（</w:t>
      </w:r>
      <w:r>
        <w:rPr>
          <w:color w:val="auto"/>
          <w:highlight w:val="none"/>
        </w:rPr>
        <w:t>4</w:t>
      </w:r>
      <w:r>
        <w:rPr>
          <w:rFonts w:hint="eastAsia"/>
          <w:color w:val="auto"/>
          <w:highlight w:val="none"/>
        </w:rPr>
        <w:t>）联系电话和地址；</w:t>
      </w:r>
    </w:p>
    <w:p w14:paraId="3D788316">
      <w:pPr>
        <w:spacing w:line="360" w:lineRule="auto"/>
        <w:ind w:firstLine="420" w:firstLineChars="200"/>
        <w:jc w:val="left"/>
        <w:rPr>
          <w:color w:val="auto"/>
          <w:highlight w:val="none"/>
        </w:rPr>
      </w:pPr>
      <w:r>
        <w:rPr>
          <w:rFonts w:hint="eastAsia"/>
          <w:color w:val="auto"/>
          <w:highlight w:val="none"/>
        </w:rPr>
        <w:t>（</w:t>
      </w:r>
      <w:r>
        <w:rPr>
          <w:color w:val="auto"/>
          <w:highlight w:val="none"/>
        </w:rPr>
        <w:t>5</w:t>
      </w:r>
      <w:r>
        <w:rPr>
          <w:rFonts w:hint="eastAsia"/>
          <w:color w:val="auto"/>
          <w:highlight w:val="none"/>
        </w:rPr>
        <w:t>）质疑的日期；</w:t>
      </w:r>
    </w:p>
    <w:p w14:paraId="63D252C4">
      <w:pPr>
        <w:spacing w:line="360" w:lineRule="auto"/>
        <w:ind w:firstLine="420" w:firstLineChars="200"/>
        <w:jc w:val="left"/>
        <w:rPr>
          <w:color w:val="auto"/>
          <w:highlight w:val="none"/>
        </w:rPr>
      </w:pPr>
      <w:r>
        <w:rPr>
          <w:rFonts w:hint="eastAsia"/>
          <w:color w:val="auto"/>
          <w:highlight w:val="none"/>
        </w:rPr>
        <w:t>（</w:t>
      </w:r>
      <w:r>
        <w:rPr>
          <w:color w:val="auto"/>
          <w:highlight w:val="none"/>
        </w:rPr>
        <w:t>6</w:t>
      </w:r>
      <w:r>
        <w:rPr>
          <w:rFonts w:hint="eastAsia"/>
          <w:color w:val="auto"/>
          <w:highlight w:val="none"/>
        </w:rPr>
        <w:t>）质疑人署名。</w:t>
      </w:r>
    </w:p>
    <w:p w14:paraId="7B12B1C6">
      <w:pPr>
        <w:spacing w:line="360" w:lineRule="auto"/>
        <w:ind w:firstLine="472" w:firstLineChars="225"/>
        <w:jc w:val="left"/>
        <w:rPr>
          <w:b/>
          <w:bCs/>
          <w:color w:val="auto"/>
          <w:szCs w:val="21"/>
          <w:highlight w:val="none"/>
          <w:u w:val="single"/>
        </w:rPr>
      </w:pPr>
      <w:r>
        <w:rPr>
          <w:rFonts w:hint="eastAsia"/>
          <w:b/>
          <w:bCs/>
          <w:color w:val="auto"/>
          <w:szCs w:val="21"/>
          <w:highlight w:val="none"/>
          <w:u w:val="single"/>
        </w:rPr>
        <w:t>质疑书实行实名制，并提交由法定代表人（负责人）或其授权代理人签字并加盖单位章的原件。</w:t>
      </w:r>
    </w:p>
    <w:p w14:paraId="5A1D4490">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3</w:t>
      </w:r>
      <w:r>
        <w:rPr>
          <w:color w:val="auto"/>
          <w:highlight w:val="none"/>
        </w:rPr>
        <w:t xml:space="preserve">.3 </w:t>
      </w:r>
      <w:r>
        <w:rPr>
          <w:rFonts w:hint="eastAsia"/>
          <w:color w:val="auto"/>
          <w:highlight w:val="none"/>
        </w:rPr>
        <w:t>采购人、采购代理机构将在收到磋商申请人的书面质疑后七个工作日内做出答复，但答复的内容不涉及商业秘密。</w:t>
      </w:r>
    </w:p>
    <w:p w14:paraId="4E101699">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3</w:t>
      </w:r>
      <w:r>
        <w:rPr>
          <w:color w:val="auto"/>
          <w:highlight w:val="none"/>
        </w:rPr>
        <w:t>.4</w:t>
      </w:r>
      <w:r>
        <w:rPr>
          <w:rFonts w:hint="eastAsia"/>
          <w:color w:val="auto"/>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6C56564C">
      <w:pPr>
        <w:spacing w:line="360" w:lineRule="auto"/>
        <w:ind w:firstLine="315" w:firstLineChars="150"/>
        <w:rPr>
          <w:color w:val="auto"/>
          <w:highlight w:val="none"/>
        </w:rPr>
      </w:pPr>
      <w:r>
        <w:rPr>
          <w:color w:val="auto"/>
          <w:highlight w:val="none"/>
        </w:rPr>
        <w:t>2</w:t>
      </w:r>
      <w:r>
        <w:rPr>
          <w:rFonts w:hint="eastAsia"/>
          <w:color w:val="auto"/>
          <w:highlight w:val="none"/>
          <w:lang w:val="en-US" w:eastAsia="zh-CN"/>
        </w:rPr>
        <w:t>3</w:t>
      </w:r>
      <w:r>
        <w:rPr>
          <w:color w:val="auto"/>
          <w:highlight w:val="none"/>
        </w:rPr>
        <w:t>.5</w:t>
      </w:r>
      <w:r>
        <w:rPr>
          <w:rFonts w:hint="eastAsia"/>
          <w:color w:val="auto"/>
          <w:highlight w:val="none"/>
        </w:rPr>
        <w:t>投诉人必须首先经过质疑程序，在对采购人、采购代理机构的答复不满意，或者采购人、采购代理机构未在规定的时间内做出答复的，可以在答复期满后十五个工作日内书面向</w:t>
      </w:r>
      <w:r>
        <w:rPr>
          <w:rFonts w:hint="eastAsia"/>
          <w:color w:val="auto"/>
          <w:highlight w:val="none"/>
          <w:lang w:eastAsia="zh-CN"/>
        </w:rPr>
        <w:t>龙陵县</w:t>
      </w:r>
      <w:r>
        <w:rPr>
          <w:rFonts w:hint="eastAsia"/>
          <w:color w:val="auto"/>
          <w:highlight w:val="none"/>
        </w:rPr>
        <w:t>财政监督管理部门投诉。</w:t>
      </w:r>
    </w:p>
    <w:p w14:paraId="7E5A235C">
      <w:pPr>
        <w:pStyle w:val="4"/>
        <w:numPr>
          <w:ilvl w:val="0"/>
          <w:numId w:val="0"/>
        </w:numPr>
        <w:spacing w:before="0" w:after="0"/>
        <w:jc w:val="both"/>
        <w:rPr>
          <w:rFonts w:hint="eastAsia" w:ascii="Times New Roman"/>
          <w:color w:val="auto"/>
          <w:sz w:val="28"/>
          <w:szCs w:val="28"/>
          <w:highlight w:val="none"/>
        </w:rPr>
      </w:pPr>
      <w:bookmarkStart w:id="121" w:name="_Toc383175305"/>
      <w:bookmarkStart w:id="122" w:name="_Toc383175081"/>
      <w:bookmarkStart w:id="123" w:name="_Toc86124075"/>
      <w:bookmarkStart w:id="124" w:name="_Toc383175503"/>
      <w:bookmarkStart w:id="125" w:name="_Toc329810216"/>
      <w:r>
        <w:rPr>
          <w:rFonts w:hint="default" w:ascii="Times New Roman"/>
          <w:color w:val="auto"/>
          <w:sz w:val="28"/>
          <w:szCs w:val="28"/>
          <w:highlight w:val="none"/>
          <w:lang w:val="en-US" w:eastAsia="zh-CN"/>
        </w:rPr>
        <w:t>24.</w:t>
      </w:r>
      <w:r>
        <w:rPr>
          <w:rFonts w:hint="eastAsia" w:ascii="Times New Roman"/>
          <w:color w:val="auto"/>
          <w:sz w:val="28"/>
          <w:szCs w:val="28"/>
          <w:highlight w:val="none"/>
        </w:rPr>
        <w:t>采购代理服务费</w:t>
      </w:r>
      <w:bookmarkEnd w:id="121"/>
      <w:bookmarkEnd w:id="122"/>
      <w:bookmarkEnd w:id="123"/>
      <w:bookmarkEnd w:id="124"/>
      <w:bookmarkEnd w:id="125"/>
    </w:p>
    <w:p w14:paraId="16C30E1E">
      <w:pPr>
        <w:spacing w:line="360" w:lineRule="auto"/>
        <w:ind w:firstLine="420" w:firstLineChars="200"/>
        <w:jc w:val="left"/>
        <w:rPr>
          <w:color w:val="auto"/>
          <w:szCs w:val="21"/>
          <w:highlight w:val="none"/>
        </w:rPr>
      </w:pPr>
      <w:r>
        <w:rPr>
          <w:color w:val="auto"/>
          <w:szCs w:val="21"/>
          <w:highlight w:val="none"/>
        </w:rPr>
        <w:t>2</w:t>
      </w:r>
      <w:r>
        <w:rPr>
          <w:rFonts w:hint="eastAsia"/>
          <w:color w:val="auto"/>
          <w:szCs w:val="21"/>
          <w:highlight w:val="none"/>
          <w:lang w:val="en-US" w:eastAsia="zh-CN"/>
        </w:rPr>
        <w:t>4</w:t>
      </w:r>
      <w:r>
        <w:rPr>
          <w:color w:val="auto"/>
          <w:szCs w:val="21"/>
          <w:highlight w:val="none"/>
        </w:rPr>
        <w:t>.1</w:t>
      </w:r>
      <w:r>
        <w:rPr>
          <w:rFonts w:hint="eastAsia"/>
          <w:color w:val="auto"/>
          <w:szCs w:val="21"/>
          <w:highlight w:val="none"/>
        </w:rPr>
        <w:t>采购代理服务费由采购代理机构向成交人收取，收取标准详见</w:t>
      </w:r>
      <w:r>
        <w:rPr>
          <w:rFonts w:hint="eastAsia"/>
          <w:color w:val="auto"/>
          <w:szCs w:val="21"/>
          <w:highlight w:val="none"/>
          <w:lang w:eastAsia="zh-CN"/>
        </w:rPr>
        <w:t>“磋商申请人须知前附表”</w:t>
      </w:r>
      <w:r>
        <w:rPr>
          <w:rFonts w:hint="eastAsia"/>
          <w:color w:val="auto"/>
          <w:szCs w:val="21"/>
          <w:highlight w:val="none"/>
        </w:rPr>
        <w:t>。</w:t>
      </w:r>
    </w:p>
    <w:p w14:paraId="442BAF0B">
      <w:pPr>
        <w:spacing w:line="360" w:lineRule="auto"/>
        <w:ind w:firstLine="420" w:firstLineChars="200"/>
        <w:jc w:val="left"/>
        <w:rPr>
          <w:color w:val="auto"/>
          <w:szCs w:val="21"/>
          <w:highlight w:val="none"/>
        </w:rPr>
      </w:pPr>
      <w:r>
        <w:rPr>
          <w:color w:val="auto"/>
          <w:szCs w:val="21"/>
          <w:highlight w:val="none"/>
        </w:rPr>
        <w:t>2</w:t>
      </w:r>
      <w:r>
        <w:rPr>
          <w:rFonts w:hint="eastAsia"/>
          <w:color w:val="auto"/>
          <w:szCs w:val="21"/>
          <w:highlight w:val="none"/>
          <w:lang w:val="en-US" w:eastAsia="zh-CN"/>
        </w:rPr>
        <w:t>4</w:t>
      </w:r>
      <w:r>
        <w:rPr>
          <w:color w:val="auto"/>
          <w:szCs w:val="21"/>
          <w:highlight w:val="none"/>
        </w:rPr>
        <w:t>.2</w:t>
      </w:r>
      <w:r>
        <w:rPr>
          <w:rFonts w:hint="eastAsia"/>
          <w:color w:val="auto"/>
          <w:szCs w:val="21"/>
          <w:highlight w:val="none"/>
        </w:rPr>
        <w:t>成交人应在接受“</w:t>
      </w:r>
      <w:r>
        <w:rPr>
          <w:rFonts w:hint="eastAsia"/>
          <w:b/>
          <w:color w:val="auto"/>
          <w:szCs w:val="21"/>
          <w:highlight w:val="none"/>
        </w:rPr>
        <w:t>成交通知书</w:t>
      </w:r>
      <w:r>
        <w:rPr>
          <w:rFonts w:hint="eastAsia"/>
          <w:color w:val="auto"/>
          <w:szCs w:val="21"/>
          <w:highlight w:val="none"/>
        </w:rPr>
        <w:t>”时向采购代理机构一次付清代理服务费。</w:t>
      </w:r>
    </w:p>
    <w:p w14:paraId="312300BE">
      <w:pPr>
        <w:pStyle w:val="4"/>
        <w:numPr>
          <w:ilvl w:val="0"/>
          <w:numId w:val="0"/>
        </w:numPr>
        <w:spacing w:before="0" w:after="0"/>
        <w:jc w:val="both"/>
        <w:rPr>
          <w:rFonts w:hint="eastAsia" w:ascii="Times New Roman"/>
          <w:color w:val="auto"/>
          <w:sz w:val="28"/>
          <w:szCs w:val="28"/>
          <w:highlight w:val="none"/>
        </w:rPr>
      </w:pPr>
      <w:bookmarkStart w:id="126" w:name="_Toc383175504"/>
      <w:bookmarkStart w:id="127" w:name="_Toc383175306"/>
      <w:bookmarkStart w:id="128" w:name="_Toc383175082"/>
      <w:bookmarkStart w:id="129" w:name="_Toc329810217"/>
      <w:r>
        <w:rPr>
          <w:rFonts w:hint="default" w:ascii="Times New Roman"/>
          <w:color w:val="auto"/>
          <w:sz w:val="28"/>
          <w:szCs w:val="28"/>
          <w:highlight w:val="none"/>
          <w:lang w:val="en-US" w:eastAsia="zh-CN"/>
        </w:rPr>
        <w:t>25.</w:t>
      </w:r>
      <w:r>
        <w:rPr>
          <w:rFonts w:hint="eastAsia" w:ascii="Times New Roman"/>
          <w:color w:val="auto"/>
          <w:sz w:val="28"/>
          <w:szCs w:val="28"/>
          <w:highlight w:val="none"/>
        </w:rPr>
        <w:t>磋商文件编制依据</w:t>
      </w:r>
      <w:bookmarkEnd w:id="126"/>
      <w:bookmarkEnd w:id="127"/>
      <w:bookmarkEnd w:id="128"/>
      <w:bookmarkEnd w:id="129"/>
    </w:p>
    <w:p w14:paraId="651EAF73">
      <w:pPr>
        <w:spacing w:line="360" w:lineRule="auto"/>
        <w:ind w:firstLine="420" w:firstLineChars="200"/>
        <w:jc w:val="left"/>
        <w:rPr>
          <w:color w:val="auto"/>
          <w:szCs w:val="21"/>
          <w:highlight w:val="none"/>
        </w:rPr>
      </w:pPr>
      <w:r>
        <w:rPr>
          <w:rFonts w:hint="eastAsia"/>
          <w:color w:val="auto"/>
          <w:szCs w:val="21"/>
          <w:highlight w:val="none"/>
        </w:rPr>
        <w:t>本磋商文件是根据《中华人民共和国政府采购法》及相关法律法规编制。</w:t>
      </w:r>
    </w:p>
    <w:p w14:paraId="02A7C0F4">
      <w:pPr>
        <w:pStyle w:val="4"/>
        <w:numPr>
          <w:ilvl w:val="0"/>
          <w:numId w:val="0"/>
        </w:numPr>
        <w:spacing w:before="0" w:after="0"/>
        <w:jc w:val="both"/>
        <w:rPr>
          <w:rFonts w:hint="eastAsia" w:ascii="Times New Roman"/>
          <w:color w:val="auto"/>
          <w:sz w:val="28"/>
          <w:szCs w:val="28"/>
          <w:highlight w:val="none"/>
        </w:rPr>
      </w:pPr>
      <w:bookmarkStart w:id="130" w:name="_Toc383175307"/>
      <w:bookmarkStart w:id="131" w:name="_Toc86124077"/>
      <w:bookmarkStart w:id="132" w:name="_Toc383175505"/>
      <w:bookmarkStart w:id="133" w:name="_Toc383175083"/>
      <w:bookmarkStart w:id="134" w:name="_Toc329810218"/>
      <w:r>
        <w:rPr>
          <w:rFonts w:hint="default" w:ascii="Times New Roman"/>
          <w:color w:val="auto"/>
          <w:sz w:val="28"/>
          <w:szCs w:val="28"/>
          <w:highlight w:val="none"/>
          <w:lang w:val="en-US" w:eastAsia="zh-CN"/>
        </w:rPr>
        <w:t>26.</w:t>
      </w:r>
      <w:r>
        <w:rPr>
          <w:rFonts w:hint="eastAsia" w:ascii="Times New Roman"/>
          <w:color w:val="auto"/>
          <w:sz w:val="28"/>
          <w:szCs w:val="28"/>
          <w:highlight w:val="none"/>
        </w:rPr>
        <w:t>需要补充的其他内容</w:t>
      </w:r>
      <w:bookmarkEnd w:id="130"/>
      <w:bookmarkEnd w:id="131"/>
      <w:bookmarkEnd w:id="132"/>
      <w:bookmarkEnd w:id="133"/>
      <w:bookmarkEnd w:id="134"/>
    </w:p>
    <w:p w14:paraId="614C8576">
      <w:pPr>
        <w:spacing w:line="360" w:lineRule="auto"/>
        <w:ind w:firstLine="420" w:firstLineChars="200"/>
        <w:jc w:val="left"/>
        <w:rPr>
          <w:color w:val="auto"/>
          <w:szCs w:val="21"/>
          <w:highlight w:val="none"/>
        </w:rPr>
      </w:pPr>
      <w:r>
        <w:rPr>
          <w:color w:val="auto"/>
          <w:szCs w:val="21"/>
          <w:highlight w:val="none"/>
        </w:rPr>
        <w:t>2</w:t>
      </w:r>
      <w:r>
        <w:rPr>
          <w:rFonts w:hint="eastAsia"/>
          <w:color w:val="auto"/>
          <w:szCs w:val="21"/>
          <w:highlight w:val="none"/>
          <w:lang w:val="en-US" w:eastAsia="zh-CN"/>
        </w:rPr>
        <w:t>6</w:t>
      </w:r>
      <w:r>
        <w:rPr>
          <w:color w:val="auto"/>
          <w:szCs w:val="21"/>
          <w:highlight w:val="none"/>
        </w:rPr>
        <w:t>.1</w:t>
      </w:r>
      <w:r>
        <w:rPr>
          <w:rFonts w:hint="eastAsia"/>
          <w:color w:val="auto"/>
          <w:szCs w:val="21"/>
          <w:highlight w:val="none"/>
        </w:rPr>
        <w:t>需要补充的其他内容：见</w:t>
      </w:r>
      <w:r>
        <w:rPr>
          <w:rFonts w:hint="eastAsia"/>
          <w:color w:val="auto"/>
          <w:szCs w:val="21"/>
          <w:highlight w:val="none"/>
          <w:lang w:eastAsia="zh-CN"/>
        </w:rPr>
        <w:t>“磋商申请人须知前附表”</w:t>
      </w:r>
      <w:r>
        <w:rPr>
          <w:rFonts w:hint="eastAsia"/>
          <w:color w:val="auto"/>
          <w:szCs w:val="21"/>
          <w:highlight w:val="none"/>
        </w:rPr>
        <w:t>。</w:t>
      </w:r>
    </w:p>
    <w:p w14:paraId="1F83CA13">
      <w:pPr>
        <w:spacing w:line="360" w:lineRule="auto"/>
        <w:jc w:val="left"/>
        <w:rPr>
          <w:color w:val="auto"/>
          <w:szCs w:val="21"/>
          <w:highlight w:val="none"/>
        </w:rPr>
      </w:pPr>
      <w:r>
        <w:rPr>
          <w:rFonts w:hint="eastAsia" w:ascii="Times New Roman" w:hAnsi="Times New Roman" w:eastAsia="宋体" w:cs="Times New Roman"/>
          <w:b/>
          <w:bCs/>
          <w:color w:val="auto"/>
          <w:kern w:val="0"/>
          <w:sz w:val="28"/>
          <w:szCs w:val="28"/>
          <w:highlight w:val="none"/>
          <w:lang w:val="en-US" w:eastAsia="zh-CN" w:bidi="ar-SA"/>
        </w:rPr>
        <w:t>27.特殊事项处理法律依据：</w:t>
      </w:r>
      <w:r>
        <w:rPr>
          <w:rFonts w:hint="eastAsia"/>
          <w:color w:val="auto"/>
          <w:szCs w:val="21"/>
          <w:highlight w:val="none"/>
        </w:rPr>
        <w:t>《中华人民共和国政府采购法》、《中华人民共和国政府采购法实施条例》、《财政部令第87号、94号、101号》、《政府采购竞争性磋商采购方式管理暂行办法》、</w:t>
      </w:r>
      <w:r>
        <w:rPr>
          <w:rFonts w:hint="eastAsia" w:cs="宋体"/>
          <w:color w:val="auto"/>
          <w:highlight w:val="none"/>
        </w:rPr>
        <w:t>《云南省人民政府办公厅关于印发云南省政府集中采购目录及标准（2024年版）的通知》及</w:t>
      </w:r>
      <w:r>
        <w:rPr>
          <w:rFonts w:hint="eastAsia"/>
          <w:color w:val="auto"/>
          <w:szCs w:val="21"/>
          <w:highlight w:val="none"/>
        </w:rPr>
        <w:t>相关规定及相关法规性文件。</w:t>
      </w:r>
    </w:p>
    <w:p w14:paraId="4F8EE481">
      <w:pPr>
        <w:spacing w:line="360" w:lineRule="auto"/>
        <w:ind w:firstLine="420" w:firstLineChars="200"/>
        <w:jc w:val="left"/>
        <w:rPr>
          <w:color w:val="auto"/>
          <w:highlight w:val="none"/>
        </w:rPr>
      </w:pPr>
      <w:r>
        <w:rPr>
          <w:rFonts w:ascii="宋体" w:hAnsi="宋体"/>
          <w:color w:val="auto"/>
          <w:szCs w:val="28"/>
          <w:highlight w:val="none"/>
        </w:rPr>
        <w:br w:type="page"/>
      </w:r>
      <w:bookmarkStart w:id="135" w:name="_Toc86124078"/>
      <w:bookmarkStart w:id="136" w:name="_Toc383175506"/>
    </w:p>
    <w:p w14:paraId="7D414114">
      <w:pPr>
        <w:pStyle w:val="2"/>
        <w:numPr>
          <w:ilvl w:val="0"/>
          <w:numId w:val="4"/>
        </w:numPr>
        <w:jc w:val="center"/>
        <w:rPr>
          <w:rFonts w:hint="eastAsia" w:ascii="Times New Roman" w:hAnsi="宋体" w:eastAsia="宋体"/>
          <w:color w:val="auto"/>
          <w:sz w:val="32"/>
          <w:highlight w:val="none"/>
        </w:rPr>
      </w:pPr>
      <w:r>
        <w:rPr>
          <w:rFonts w:ascii="Times New Roman" w:hAnsi="宋体" w:eastAsia="宋体"/>
          <w:color w:val="auto"/>
          <w:sz w:val="32"/>
          <w:highlight w:val="none"/>
        </w:rPr>
        <w:t xml:space="preserve"> </w:t>
      </w:r>
      <w:r>
        <w:rPr>
          <w:rFonts w:hint="eastAsia" w:ascii="Times New Roman" w:hAnsi="宋体" w:eastAsia="宋体"/>
          <w:color w:val="auto"/>
          <w:sz w:val="32"/>
          <w:highlight w:val="none"/>
        </w:rPr>
        <w:t>合同书样式及主要条款</w:t>
      </w:r>
      <w:bookmarkEnd w:id="135"/>
      <w:bookmarkEnd w:id="136"/>
    </w:p>
    <w:p w14:paraId="4A268C90">
      <w:pPr>
        <w:pStyle w:val="2"/>
        <w:numPr>
          <w:ilvl w:val="0"/>
          <w:numId w:val="0"/>
        </w:numPr>
        <w:jc w:val="center"/>
        <w:rPr>
          <w:rFonts w:hint="eastAsia" w:ascii="Times New Roman" w:eastAsia="宋体"/>
          <w:color w:val="auto"/>
          <w:sz w:val="24"/>
          <w:szCs w:val="24"/>
          <w:highlight w:val="none"/>
          <w:lang w:eastAsia="zh-CN"/>
        </w:rPr>
      </w:pPr>
      <w:r>
        <w:rPr>
          <w:rFonts w:hint="eastAsia" w:ascii="Times New Roman" w:hAnsi="宋体" w:eastAsia="宋体"/>
          <w:color w:val="auto"/>
          <w:sz w:val="21"/>
          <w:szCs w:val="21"/>
          <w:highlight w:val="none"/>
          <w:lang w:eastAsia="zh-CN"/>
        </w:rPr>
        <w:t>（竞争性磋商文件内本章合同书样式及主要条款仅作为参考，采购人保留最终修订合同的权利，最终本合同以实际签订为准。）</w:t>
      </w:r>
    </w:p>
    <w:p w14:paraId="33E3FEA9">
      <w:pPr>
        <w:numPr>
          <w:ilvl w:val="0"/>
          <w:numId w:val="0"/>
        </w:numPr>
        <w:rPr>
          <w:color w:val="auto"/>
          <w:highlight w:val="none"/>
        </w:rPr>
      </w:pPr>
    </w:p>
    <w:p w14:paraId="1D0F8C25">
      <w:pPr>
        <w:spacing w:line="360" w:lineRule="auto"/>
        <w:jc w:val="center"/>
        <w:rPr>
          <w:color w:val="auto"/>
          <w:sz w:val="24"/>
          <w:highlight w:val="none"/>
        </w:rPr>
      </w:pPr>
    </w:p>
    <w:p w14:paraId="74785246">
      <w:pPr>
        <w:spacing w:line="360" w:lineRule="auto"/>
        <w:jc w:val="center"/>
        <w:rPr>
          <w:color w:val="auto"/>
          <w:sz w:val="24"/>
          <w:highlight w:val="none"/>
        </w:rPr>
      </w:pPr>
    </w:p>
    <w:p w14:paraId="35903DC5">
      <w:pPr>
        <w:pStyle w:val="2"/>
        <w:jc w:val="center"/>
        <w:rPr>
          <w:rFonts w:ascii="宋体" w:hAnsi="宋体"/>
          <w:color w:val="auto"/>
          <w:szCs w:val="21"/>
          <w:highlight w:val="none"/>
        </w:rPr>
      </w:pPr>
    </w:p>
    <w:p w14:paraId="45AC9D73">
      <w:pPr>
        <w:spacing w:line="360" w:lineRule="auto"/>
        <w:jc w:val="center"/>
        <w:rPr>
          <w:rFonts w:ascii="宋体" w:hAnsi="宋体"/>
          <w:color w:val="auto"/>
          <w:szCs w:val="21"/>
          <w:highlight w:val="none"/>
        </w:rPr>
      </w:pPr>
    </w:p>
    <w:p w14:paraId="767931CD">
      <w:pPr>
        <w:widowControl/>
        <w:jc w:val="left"/>
        <w:rPr>
          <w:rFonts w:ascii="宋体" w:hAnsi="宋体"/>
          <w:color w:val="auto"/>
          <w:szCs w:val="21"/>
          <w:highlight w:val="none"/>
        </w:rPr>
      </w:pPr>
      <w:r>
        <w:rPr>
          <w:rFonts w:ascii="宋体" w:hAnsi="宋体"/>
          <w:color w:val="auto"/>
          <w:szCs w:val="21"/>
          <w:highlight w:val="none"/>
        </w:rPr>
        <w:br w:type="page"/>
      </w:r>
    </w:p>
    <w:p w14:paraId="6E279F1B">
      <w:pPr>
        <w:pStyle w:val="4"/>
        <w:adjustRightInd w:val="0"/>
        <w:snapToGrid w:val="0"/>
        <w:spacing w:before="120"/>
        <w:ind w:left="0" w:leftChars="0" w:firstLine="0" w:firstLineChars="0"/>
        <w:jc w:val="center"/>
        <w:rPr>
          <w:color w:val="auto"/>
          <w:highlight w:val="none"/>
        </w:rPr>
      </w:pPr>
      <w:bookmarkStart w:id="137" w:name="_Toc350327999"/>
      <w:bookmarkStart w:id="138" w:name="_Toc350328496"/>
      <w:bookmarkStart w:id="139" w:name="_Toc20449"/>
      <w:bookmarkStart w:id="140" w:name="_Toc294567663"/>
      <w:bookmarkStart w:id="141" w:name="_Toc70630287"/>
      <w:bookmarkStart w:id="142" w:name="_Toc294568156"/>
      <w:bookmarkStart w:id="143" w:name="_Toc350327431"/>
      <w:bookmarkStart w:id="144" w:name="_Toc100841125"/>
      <w:bookmarkStart w:id="145" w:name="_Toc383175507"/>
      <w:bookmarkStart w:id="146" w:name="_Toc86124081"/>
      <w:r>
        <w:rPr>
          <w:rFonts w:hint="eastAsia"/>
          <w:color w:val="auto"/>
          <w:highlight w:val="none"/>
        </w:rPr>
        <w:t>第一节  通用合同条款</w:t>
      </w:r>
      <w:bookmarkEnd w:id="137"/>
      <w:bookmarkEnd w:id="138"/>
      <w:bookmarkEnd w:id="139"/>
      <w:bookmarkEnd w:id="140"/>
      <w:bookmarkEnd w:id="141"/>
      <w:bookmarkEnd w:id="142"/>
      <w:bookmarkEnd w:id="143"/>
      <w:bookmarkEnd w:id="144"/>
    </w:p>
    <w:p w14:paraId="3DD9EFB4">
      <w:pPr>
        <w:pStyle w:val="3"/>
        <w:jc w:val="center"/>
        <w:rPr>
          <w:highlight w:val="none"/>
        </w:rPr>
      </w:pPr>
      <w:r>
        <w:rPr>
          <w:rFonts w:hint="eastAsia"/>
          <w:highlight w:val="none"/>
        </w:rPr>
        <w:t>“通用合同条款”</w:t>
      </w:r>
      <w:r>
        <w:rPr>
          <w:rFonts w:hint="eastAsia"/>
          <w:highlight w:val="none"/>
          <w:lang w:eastAsia="zh-CN"/>
        </w:rPr>
        <w:t>全文引用</w:t>
      </w:r>
      <w:r>
        <w:rPr>
          <w:rFonts w:hint="eastAsia"/>
          <w:highlight w:val="none"/>
        </w:rPr>
        <w:t>《公路工程标准施工招标文件》（2018版）的“通用合同条款”</w:t>
      </w:r>
      <w:r>
        <w:rPr>
          <w:rFonts w:hint="eastAsia"/>
          <w:highlight w:val="none"/>
          <w:lang w:eastAsia="zh-CN"/>
        </w:rPr>
        <w:t>内容</w:t>
      </w:r>
      <w:r>
        <w:rPr>
          <w:rFonts w:hint="eastAsia"/>
          <w:highlight w:val="none"/>
        </w:rPr>
        <w:t>。</w:t>
      </w:r>
    </w:p>
    <w:p w14:paraId="7A8F1FB0">
      <w:pPr>
        <w:rPr>
          <w:rFonts w:hint="eastAsia"/>
          <w:color w:val="auto"/>
          <w:highlight w:val="none"/>
        </w:rPr>
      </w:pPr>
      <w:bookmarkStart w:id="147" w:name="_Toc294568157"/>
      <w:bookmarkStart w:id="148" w:name="_Toc294567664"/>
      <w:bookmarkStart w:id="149" w:name="_Toc350327432"/>
      <w:bookmarkStart w:id="150" w:name="_Toc350328497"/>
      <w:bookmarkStart w:id="151" w:name="_Toc350328000"/>
      <w:bookmarkStart w:id="152" w:name="_Toc100841126"/>
      <w:r>
        <w:rPr>
          <w:rFonts w:hint="eastAsia"/>
          <w:color w:val="auto"/>
          <w:highlight w:val="none"/>
        </w:rPr>
        <w:br w:type="page"/>
      </w:r>
    </w:p>
    <w:p w14:paraId="2283ABA6">
      <w:pPr>
        <w:pStyle w:val="4"/>
        <w:adjustRightInd w:val="0"/>
        <w:snapToGrid w:val="0"/>
        <w:spacing w:before="120"/>
        <w:ind w:left="0" w:leftChars="0" w:firstLine="0" w:firstLineChars="0"/>
        <w:jc w:val="center"/>
        <w:rPr>
          <w:color w:val="auto"/>
          <w:highlight w:val="none"/>
        </w:rPr>
      </w:pPr>
      <w:r>
        <w:rPr>
          <w:rFonts w:hint="eastAsia"/>
          <w:color w:val="auto"/>
          <w:highlight w:val="none"/>
        </w:rPr>
        <w:t>第二节  专用合同条款</w:t>
      </w:r>
      <w:bookmarkEnd w:id="147"/>
      <w:bookmarkEnd w:id="148"/>
      <w:bookmarkEnd w:id="149"/>
      <w:bookmarkEnd w:id="150"/>
      <w:bookmarkEnd w:id="151"/>
      <w:bookmarkEnd w:id="152"/>
    </w:p>
    <w:p w14:paraId="6DFEA6FE">
      <w:pPr>
        <w:widowControl w:val="0"/>
        <w:adjustRightInd w:val="0"/>
        <w:snapToGrid w:val="0"/>
        <w:spacing w:after="200" w:line="400" w:lineRule="exact"/>
        <w:rPr>
          <w:rFonts w:hAnsi="宋体" w:cs="Times New Roman"/>
          <w:color w:val="auto"/>
          <w:kern w:val="2"/>
          <w:sz w:val="28"/>
          <w:szCs w:val="28"/>
          <w:highlight w:val="none"/>
          <w:lang w:eastAsia="zh-CN"/>
        </w:rPr>
      </w:pPr>
      <w:bookmarkStart w:id="153" w:name="_Toc70630288"/>
      <w:bookmarkStart w:id="154" w:name="_Toc238633022"/>
      <w:bookmarkStart w:id="155" w:name="_Toc238918729"/>
      <w:bookmarkStart w:id="156" w:name="_Toc350328663"/>
      <w:bookmarkStart w:id="157" w:name="_Toc350328001"/>
      <w:bookmarkStart w:id="158" w:name="_Toc350327433"/>
      <w:bookmarkStart w:id="159" w:name="_Toc25706"/>
      <w:bookmarkStart w:id="160" w:name="_Toc350328498"/>
      <w:r>
        <w:rPr>
          <w:rFonts w:hint="eastAsia" w:hAnsi="宋体" w:cs="Times New Roman"/>
          <w:color w:val="auto"/>
          <w:kern w:val="2"/>
          <w:sz w:val="28"/>
          <w:szCs w:val="28"/>
          <w:highlight w:val="none"/>
          <w:lang w:eastAsia="zh-CN"/>
        </w:rPr>
        <w:t>A、公路工程专用合同条款</w:t>
      </w:r>
      <w:bookmarkEnd w:id="153"/>
      <w:bookmarkEnd w:id="154"/>
      <w:bookmarkEnd w:id="155"/>
      <w:bookmarkEnd w:id="156"/>
      <w:bookmarkEnd w:id="157"/>
      <w:bookmarkEnd w:id="158"/>
      <w:bookmarkEnd w:id="159"/>
      <w:bookmarkEnd w:id="160"/>
    </w:p>
    <w:p w14:paraId="563C9CA1">
      <w:pPr>
        <w:widowControl w:val="0"/>
        <w:adjustRightInd w:val="0"/>
        <w:snapToGrid w:val="0"/>
        <w:spacing w:line="360" w:lineRule="auto"/>
        <w:jc w:val="both"/>
        <w:rPr>
          <w:rFonts w:hAnsi="宋体" w:cs="Times New Roman"/>
          <w:b/>
          <w:color w:val="auto"/>
          <w:kern w:val="2"/>
          <w:szCs w:val="24"/>
          <w:highlight w:val="none"/>
          <w:lang w:eastAsia="zh-CN"/>
        </w:rPr>
      </w:pPr>
      <w:r>
        <w:rPr>
          <w:rFonts w:hAnsi="宋体" w:cs="Times New Roman"/>
          <w:b/>
          <w:color w:val="auto"/>
          <w:kern w:val="2"/>
          <w:szCs w:val="24"/>
          <w:highlight w:val="none"/>
          <w:lang w:eastAsia="zh-CN"/>
        </w:rPr>
        <w:t>1.</w:t>
      </w:r>
      <w:r>
        <w:rPr>
          <w:rFonts w:hint="eastAsia" w:hAnsi="宋体" w:cs="Times New Roman"/>
          <w:b/>
          <w:color w:val="auto"/>
          <w:kern w:val="2"/>
          <w:szCs w:val="24"/>
          <w:highlight w:val="none"/>
          <w:lang w:eastAsia="zh-CN"/>
        </w:rPr>
        <w:t>一般约定</w:t>
      </w:r>
    </w:p>
    <w:p w14:paraId="355BD610">
      <w:pPr>
        <w:widowControl w:val="0"/>
        <w:adjustRightInd w:val="0"/>
        <w:snapToGrid w:val="0"/>
        <w:spacing w:line="360" w:lineRule="auto"/>
        <w:jc w:val="both"/>
        <w:rPr>
          <w:rFonts w:hAnsi="宋体" w:cs="Times New Roman"/>
          <w:b/>
          <w:color w:val="auto"/>
          <w:kern w:val="2"/>
          <w:szCs w:val="24"/>
          <w:highlight w:val="none"/>
          <w:lang w:eastAsia="zh-CN"/>
        </w:rPr>
      </w:pPr>
      <w:bookmarkStart w:id="161" w:name="bookmark160"/>
      <w:bookmarkEnd w:id="161"/>
      <w:r>
        <w:rPr>
          <w:rFonts w:hAnsi="宋体" w:cs="Times New Roman"/>
          <w:b/>
          <w:color w:val="auto"/>
          <w:kern w:val="2"/>
          <w:szCs w:val="24"/>
          <w:highlight w:val="none"/>
          <w:lang w:eastAsia="zh-CN"/>
        </w:rPr>
        <w:t>1.1</w:t>
      </w:r>
      <w:r>
        <w:rPr>
          <w:rFonts w:hint="eastAsia" w:hAnsi="宋体" w:cs="Times New Roman"/>
          <w:b/>
          <w:color w:val="auto"/>
          <w:kern w:val="2"/>
          <w:szCs w:val="24"/>
          <w:highlight w:val="none"/>
          <w:lang w:eastAsia="zh-CN"/>
        </w:rPr>
        <w:t>词语定义</w:t>
      </w:r>
    </w:p>
    <w:p w14:paraId="2FC61D0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1.1.1</w:t>
      </w:r>
      <w:r>
        <w:rPr>
          <w:rFonts w:hint="eastAsia" w:hAnsi="宋体" w:cs="Times New Roman"/>
          <w:color w:val="auto"/>
          <w:kern w:val="2"/>
          <w:szCs w:val="24"/>
          <w:highlight w:val="none"/>
          <w:lang w:eastAsia="zh-CN"/>
        </w:rPr>
        <w:t>合同</w:t>
      </w:r>
    </w:p>
    <w:p w14:paraId="3FA1FC44">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1.1.1.6</w:t>
      </w:r>
      <w:r>
        <w:rPr>
          <w:rFonts w:hint="eastAsia" w:hAnsi="宋体" w:cs="Times New Roman"/>
          <w:color w:val="auto"/>
          <w:kern w:val="2"/>
          <w:szCs w:val="24"/>
          <w:highlight w:val="none"/>
          <w:lang w:eastAsia="zh-CN"/>
        </w:rPr>
        <w:t>目细化为：技术规范：指本合同所约定的技术标准和要求，是合同文件的组成部分。通</w:t>
      </w:r>
      <w:r>
        <w:rPr>
          <w:rFonts w:hint="eastAsia" w:hAnsi="宋体" w:cs="Times New Roman"/>
          <w:color w:val="auto"/>
          <w:spacing w:val="-1"/>
          <w:kern w:val="2"/>
          <w:szCs w:val="24"/>
          <w:highlight w:val="none"/>
          <w:lang w:eastAsia="zh-CN"/>
        </w:rPr>
        <w:t>用合同条款中</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技术标准和要求</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一词具有相同含义。</w:t>
      </w:r>
    </w:p>
    <w:p w14:paraId="0C8C720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1.1.1.8</w:t>
      </w:r>
      <w:r>
        <w:rPr>
          <w:rFonts w:hint="eastAsia" w:hAnsi="宋体" w:cs="Times New Roman"/>
          <w:color w:val="auto"/>
          <w:kern w:val="2"/>
          <w:szCs w:val="24"/>
          <w:highlight w:val="none"/>
          <w:lang w:eastAsia="zh-CN"/>
        </w:rPr>
        <w:t>目细化为：</w:t>
      </w:r>
      <w:r>
        <w:rPr>
          <w:rFonts w:hint="eastAsia" w:hAnsi="宋体" w:cs="Times New Roman"/>
          <w:color w:val="auto"/>
          <w:spacing w:val="1"/>
          <w:kern w:val="2"/>
          <w:szCs w:val="24"/>
          <w:highlight w:val="none"/>
          <w:lang w:eastAsia="zh-CN"/>
        </w:rPr>
        <w:t>已标价工程量清单：指构成合同文件组成部分的已标明价格、经算术性错误</w:t>
      </w:r>
      <w:r>
        <w:rPr>
          <w:rFonts w:hint="eastAsia" w:hAnsi="宋体" w:cs="Times New Roman"/>
          <w:color w:val="auto"/>
          <w:kern w:val="2"/>
          <w:szCs w:val="24"/>
          <w:highlight w:val="none"/>
          <w:lang w:eastAsia="zh-CN"/>
        </w:rPr>
        <w:t>修正及其他错误修正（如有）且承包人已确认的最终的工程量清单，包括工程量清单说明、投标报价说明、计日工说明、其他说明及工程量清单各项表格（工程量清单表</w:t>
      </w:r>
      <w:r>
        <w:rPr>
          <w:rFonts w:hAnsi="宋体" w:cs="Times New Roman"/>
          <w:color w:val="auto"/>
          <w:kern w:val="2"/>
          <w:szCs w:val="24"/>
          <w:highlight w:val="none"/>
          <w:lang w:eastAsia="zh-CN"/>
        </w:rPr>
        <w:t>5.1</w:t>
      </w:r>
      <w:r>
        <w:rPr>
          <w:rFonts w:hint="eastAsia" w:hAnsi="宋体" w:cs="Times New Roman"/>
          <w:color w:val="auto"/>
          <w:kern w:val="2"/>
          <w:szCs w:val="24"/>
          <w:highlight w:val="none"/>
          <w:lang w:eastAsia="zh-CN"/>
        </w:rPr>
        <w:t>～表</w:t>
      </w:r>
      <w:r>
        <w:rPr>
          <w:rFonts w:hAnsi="宋体" w:cs="Times New Roman"/>
          <w:color w:val="auto"/>
          <w:kern w:val="2"/>
          <w:szCs w:val="24"/>
          <w:highlight w:val="none"/>
          <w:lang w:eastAsia="zh-CN"/>
        </w:rPr>
        <w:t>5.5</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w:t>
      </w:r>
    </w:p>
    <w:p w14:paraId="199A5F85">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本项补充第</w:t>
      </w:r>
      <w:r>
        <w:rPr>
          <w:rFonts w:hAnsi="宋体" w:cs="Times New Roman"/>
          <w:color w:val="auto"/>
          <w:kern w:val="2"/>
          <w:szCs w:val="24"/>
          <w:highlight w:val="none"/>
          <w:lang w:eastAsia="zh-CN"/>
        </w:rPr>
        <w:t>1.1.1.10</w:t>
      </w:r>
      <w:r>
        <w:rPr>
          <w:rFonts w:hint="eastAsia" w:hAnsi="宋体" w:cs="Times New Roman"/>
          <w:color w:val="auto"/>
          <w:kern w:val="2"/>
          <w:szCs w:val="24"/>
          <w:highlight w:val="none"/>
          <w:lang w:eastAsia="zh-CN"/>
        </w:rPr>
        <w:t>目：</w:t>
      </w:r>
      <w:r>
        <w:rPr>
          <w:rFonts w:hAnsi="宋体" w:cs="Times New Roman"/>
          <w:color w:val="auto"/>
          <w:kern w:val="2"/>
          <w:szCs w:val="24"/>
          <w:highlight w:val="none"/>
          <w:lang w:eastAsia="zh-CN"/>
        </w:rPr>
        <w:t xml:space="preserve">1.1.1.10 </w:t>
      </w:r>
      <w:r>
        <w:rPr>
          <w:rFonts w:hint="eastAsia" w:hAnsi="宋体" w:cs="Times New Roman"/>
          <w:color w:val="auto"/>
          <w:kern w:val="2"/>
          <w:szCs w:val="24"/>
          <w:highlight w:val="none"/>
          <w:lang w:eastAsia="zh-CN"/>
        </w:rPr>
        <w:t>补遗书：指发出招标文件之后由招标人向已取得招标文件的投标人发出的、编号的对招标文件所作的澄清、修改书。</w:t>
      </w:r>
    </w:p>
    <w:p w14:paraId="5CB8230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1.1.2  </w:t>
      </w:r>
      <w:r>
        <w:rPr>
          <w:rFonts w:hint="eastAsia" w:hAnsi="宋体" w:cs="Times New Roman"/>
          <w:color w:val="auto"/>
          <w:kern w:val="2"/>
          <w:szCs w:val="24"/>
          <w:highlight w:val="none"/>
          <w:lang w:eastAsia="zh-CN"/>
        </w:rPr>
        <w:t>合同当事人和人员</w:t>
      </w:r>
    </w:p>
    <w:p w14:paraId="39E6576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本项补充第</w:t>
      </w:r>
      <w:r>
        <w:rPr>
          <w:rFonts w:hAnsi="宋体" w:cs="Times New Roman"/>
          <w:color w:val="auto"/>
          <w:kern w:val="2"/>
          <w:szCs w:val="24"/>
          <w:highlight w:val="none"/>
          <w:lang w:eastAsia="zh-CN"/>
        </w:rPr>
        <w:t xml:space="preserve">1.1.2.8 </w:t>
      </w:r>
      <w:r>
        <w:rPr>
          <w:rFonts w:hint="eastAsia" w:hAnsi="宋体" w:cs="Times New Roman"/>
          <w:color w:val="auto"/>
          <w:kern w:val="2"/>
          <w:szCs w:val="24"/>
          <w:highlight w:val="none"/>
          <w:lang w:eastAsia="zh-CN"/>
        </w:rPr>
        <w:t>目：</w:t>
      </w:r>
      <w:r>
        <w:rPr>
          <w:rFonts w:hAnsi="宋体" w:cs="Times New Roman"/>
          <w:color w:val="auto"/>
          <w:kern w:val="2"/>
          <w:szCs w:val="24"/>
          <w:highlight w:val="none"/>
          <w:lang w:eastAsia="zh-CN"/>
        </w:rPr>
        <w:t xml:space="preserve">1.1.2.8  </w:t>
      </w:r>
      <w:r>
        <w:rPr>
          <w:rFonts w:hint="eastAsia" w:hAnsi="宋体" w:cs="Times New Roman"/>
          <w:color w:val="auto"/>
          <w:kern w:val="2"/>
          <w:szCs w:val="24"/>
          <w:highlight w:val="none"/>
          <w:lang w:eastAsia="zh-CN"/>
        </w:rPr>
        <w:t>承包人项目总工</w:t>
      </w:r>
      <w:r>
        <w:rPr>
          <w:rFonts w:hint="eastAsia" w:hAnsi="宋体" w:cs="Times New Roman"/>
          <w:color w:val="auto"/>
          <w:spacing w:val="-24"/>
          <w:kern w:val="2"/>
          <w:szCs w:val="24"/>
          <w:highlight w:val="none"/>
          <w:lang w:eastAsia="zh-CN"/>
        </w:rPr>
        <w:t>：</w:t>
      </w:r>
      <w:r>
        <w:rPr>
          <w:rFonts w:hint="eastAsia" w:hAnsi="宋体" w:cs="Times New Roman"/>
          <w:color w:val="auto"/>
          <w:kern w:val="2"/>
          <w:szCs w:val="24"/>
          <w:highlight w:val="none"/>
          <w:lang w:eastAsia="zh-CN"/>
        </w:rPr>
        <w:t>指由承包人书面委派常驻现场负责管理本合同工程 的总工程师或技术总负责人。</w:t>
      </w:r>
    </w:p>
    <w:p w14:paraId="3EAD58C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1.1.3  </w:t>
      </w:r>
      <w:r>
        <w:rPr>
          <w:rFonts w:hint="eastAsia" w:hAnsi="宋体" w:cs="Times New Roman"/>
          <w:color w:val="auto"/>
          <w:kern w:val="2"/>
          <w:szCs w:val="24"/>
          <w:highlight w:val="none"/>
          <w:lang w:eastAsia="zh-CN"/>
        </w:rPr>
        <w:t>工程和设备</w:t>
      </w:r>
    </w:p>
    <w:p w14:paraId="26917584">
      <w:pPr>
        <w:widowControl w:val="0"/>
        <w:kinsoku w:val="0"/>
        <w:overflowPunct w:val="0"/>
        <w:adjustRightInd w:val="0"/>
        <w:snapToGrid w:val="0"/>
        <w:spacing w:line="360" w:lineRule="auto"/>
        <w:ind w:firstLine="420" w:firstLineChars="200"/>
        <w:jc w:val="both"/>
        <w:rPr>
          <w:rFonts w:hAnsi="宋体" w:cs="Times New Roman"/>
          <w:color w:val="auto"/>
          <w:spacing w:val="21"/>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1.1.3.4 </w:t>
      </w:r>
      <w:r>
        <w:rPr>
          <w:rFonts w:hint="eastAsia" w:hAnsi="宋体" w:cs="Times New Roman"/>
          <w:color w:val="auto"/>
          <w:kern w:val="2"/>
          <w:szCs w:val="24"/>
          <w:highlight w:val="none"/>
          <w:lang w:eastAsia="zh-CN"/>
        </w:rPr>
        <w:t>目细化为：单位工程：指在建设项目中，根据签订的合同，具有独立施工条件的工程。</w:t>
      </w:r>
    </w:p>
    <w:p w14:paraId="0012240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1.1.3.10 </w:t>
      </w:r>
      <w:r>
        <w:rPr>
          <w:rFonts w:hint="eastAsia" w:hAnsi="宋体" w:cs="Times New Roman"/>
          <w:color w:val="auto"/>
          <w:kern w:val="2"/>
          <w:szCs w:val="24"/>
          <w:highlight w:val="none"/>
          <w:lang w:eastAsia="zh-CN"/>
        </w:rPr>
        <w:t>目细化为：永久</w:t>
      </w:r>
      <w:r>
        <w:rPr>
          <w:rFonts w:hint="eastAsia" w:hAnsi="宋体" w:cs="Times New Roman"/>
          <w:color w:val="auto"/>
          <w:spacing w:val="2"/>
          <w:kern w:val="2"/>
          <w:szCs w:val="24"/>
          <w:highlight w:val="none"/>
          <w:lang w:eastAsia="zh-CN"/>
        </w:rPr>
        <w:t>占</w:t>
      </w:r>
      <w:r>
        <w:rPr>
          <w:rFonts w:hint="eastAsia" w:hAnsi="宋体" w:cs="Times New Roman"/>
          <w:color w:val="auto"/>
          <w:kern w:val="2"/>
          <w:szCs w:val="24"/>
          <w:highlight w:val="none"/>
          <w:lang w:eastAsia="zh-CN"/>
        </w:rPr>
        <w:t>地</w:t>
      </w:r>
      <w:r>
        <w:rPr>
          <w:rFonts w:hint="eastAsia" w:hAnsi="宋体" w:cs="Times New Roman"/>
          <w:color w:val="auto"/>
          <w:spacing w:val="2"/>
          <w:kern w:val="2"/>
          <w:szCs w:val="24"/>
          <w:highlight w:val="none"/>
          <w:lang w:eastAsia="zh-CN"/>
        </w:rPr>
        <w:t>：</w:t>
      </w:r>
      <w:r>
        <w:rPr>
          <w:rFonts w:hint="eastAsia" w:hAnsi="宋体" w:cs="Times New Roman"/>
          <w:color w:val="auto"/>
          <w:spacing w:val="1"/>
          <w:kern w:val="2"/>
          <w:szCs w:val="24"/>
          <w:highlight w:val="none"/>
          <w:lang w:eastAsia="zh-CN"/>
        </w:rPr>
        <w:t>指</w:t>
      </w:r>
      <w:r>
        <w:rPr>
          <w:rFonts w:hint="eastAsia" w:hAnsi="宋体" w:cs="Times New Roman"/>
          <w:color w:val="auto"/>
          <w:spacing w:val="2"/>
          <w:kern w:val="2"/>
          <w:szCs w:val="24"/>
          <w:highlight w:val="none"/>
          <w:lang w:eastAsia="zh-CN"/>
        </w:rPr>
        <w:t>为</w:t>
      </w:r>
      <w:r>
        <w:rPr>
          <w:rFonts w:hint="eastAsia" w:hAnsi="宋体" w:cs="Times New Roman"/>
          <w:color w:val="auto"/>
          <w:kern w:val="2"/>
          <w:szCs w:val="24"/>
          <w:highlight w:val="none"/>
          <w:lang w:eastAsia="zh-CN"/>
        </w:rPr>
        <w:t>实</w:t>
      </w:r>
      <w:r>
        <w:rPr>
          <w:rFonts w:hint="eastAsia" w:hAnsi="宋体" w:cs="Times New Roman"/>
          <w:color w:val="auto"/>
          <w:spacing w:val="2"/>
          <w:kern w:val="2"/>
          <w:szCs w:val="24"/>
          <w:highlight w:val="none"/>
          <w:lang w:eastAsia="zh-CN"/>
        </w:rPr>
        <w:t>施本</w:t>
      </w:r>
      <w:r>
        <w:rPr>
          <w:rFonts w:hint="eastAsia" w:hAnsi="宋体" w:cs="Times New Roman"/>
          <w:color w:val="auto"/>
          <w:kern w:val="2"/>
          <w:szCs w:val="24"/>
          <w:highlight w:val="none"/>
          <w:lang w:eastAsia="zh-CN"/>
        </w:rPr>
        <w:t>合同</w:t>
      </w:r>
      <w:r>
        <w:rPr>
          <w:rFonts w:hint="eastAsia" w:hAnsi="宋体" w:cs="Times New Roman"/>
          <w:color w:val="auto"/>
          <w:spacing w:val="2"/>
          <w:kern w:val="2"/>
          <w:szCs w:val="24"/>
          <w:highlight w:val="none"/>
          <w:lang w:eastAsia="zh-CN"/>
        </w:rPr>
        <w:t>工</w:t>
      </w:r>
      <w:r>
        <w:rPr>
          <w:rFonts w:hint="eastAsia" w:hAnsi="宋体" w:cs="Times New Roman"/>
          <w:color w:val="auto"/>
          <w:kern w:val="2"/>
          <w:szCs w:val="24"/>
          <w:highlight w:val="none"/>
          <w:lang w:eastAsia="zh-CN"/>
        </w:rPr>
        <w:t>程</w:t>
      </w:r>
      <w:r>
        <w:rPr>
          <w:rFonts w:hint="eastAsia" w:hAnsi="宋体" w:cs="Times New Roman"/>
          <w:color w:val="auto"/>
          <w:spacing w:val="2"/>
          <w:kern w:val="2"/>
          <w:szCs w:val="24"/>
          <w:highlight w:val="none"/>
          <w:lang w:eastAsia="zh-CN"/>
        </w:rPr>
        <w:t>而</w:t>
      </w:r>
      <w:r>
        <w:rPr>
          <w:rFonts w:hint="eastAsia" w:hAnsi="宋体" w:cs="Times New Roman"/>
          <w:color w:val="auto"/>
          <w:kern w:val="2"/>
          <w:szCs w:val="24"/>
          <w:highlight w:val="none"/>
          <w:lang w:eastAsia="zh-CN"/>
        </w:rPr>
        <w:t>需</w:t>
      </w:r>
      <w:r>
        <w:rPr>
          <w:rFonts w:hint="eastAsia" w:hAnsi="宋体" w:cs="Times New Roman"/>
          <w:color w:val="auto"/>
          <w:spacing w:val="2"/>
          <w:kern w:val="2"/>
          <w:szCs w:val="24"/>
          <w:highlight w:val="none"/>
          <w:lang w:eastAsia="zh-CN"/>
        </w:rPr>
        <w:t>要</w:t>
      </w:r>
      <w:r>
        <w:rPr>
          <w:rFonts w:hint="eastAsia" w:hAnsi="宋体" w:cs="Times New Roman"/>
          <w:color w:val="auto"/>
          <w:kern w:val="2"/>
          <w:szCs w:val="24"/>
          <w:highlight w:val="none"/>
          <w:lang w:eastAsia="zh-CN"/>
        </w:rPr>
        <w:t>的</w:t>
      </w:r>
      <w:r>
        <w:rPr>
          <w:rFonts w:hint="eastAsia" w:hAnsi="宋体" w:cs="Times New Roman"/>
          <w:color w:val="auto"/>
          <w:spacing w:val="2"/>
          <w:kern w:val="2"/>
          <w:szCs w:val="24"/>
          <w:highlight w:val="none"/>
          <w:lang w:eastAsia="zh-CN"/>
        </w:rPr>
        <w:t>一</w:t>
      </w:r>
      <w:r>
        <w:rPr>
          <w:rFonts w:hint="eastAsia" w:hAnsi="宋体" w:cs="Times New Roman"/>
          <w:color w:val="auto"/>
          <w:spacing w:val="4"/>
          <w:kern w:val="2"/>
          <w:szCs w:val="24"/>
          <w:highlight w:val="none"/>
          <w:lang w:eastAsia="zh-CN"/>
        </w:rPr>
        <w:t>切</w:t>
      </w:r>
      <w:r>
        <w:rPr>
          <w:rFonts w:hint="eastAsia" w:hAnsi="宋体" w:cs="Times New Roman"/>
          <w:color w:val="auto"/>
          <w:kern w:val="2"/>
          <w:szCs w:val="24"/>
          <w:highlight w:val="none"/>
          <w:lang w:eastAsia="zh-CN"/>
        </w:rPr>
        <w:t>永久</w:t>
      </w:r>
      <w:r>
        <w:rPr>
          <w:rFonts w:hint="eastAsia" w:hAnsi="宋体" w:cs="Times New Roman"/>
          <w:color w:val="auto"/>
          <w:spacing w:val="2"/>
          <w:kern w:val="2"/>
          <w:szCs w:val="24"/>
          <w:highlight w:val="none"/>
          <w:lang w:eastAsia="zh-CN"/>
        </w:rPr>
        <w:t>占</w:t>
      </w:r>
      <w:r>
        <w:rPr>
          <w:rFonts w:hint="eastAsia" w:hAnsi="宋体" w:cs="Times New Roman"/>
          <w:color w:val="auto"/>
          <w:kern w:val="2"/>
          <w:szCs w:val="24"/>
          <w:highlight w:val="none"/>
          <w:lang w:eastAsia="zh-CN"/>
        </w:rPr>
        <w:t>用</w:t>
      </w:r>
      <w:r>
        <w:rPr>
          <w:rFonts w:hint="eastAsia" w:hAnsi="宋体" w:cs="Times New Roman"/>
          <w:color w:val="auto"/>
          <w:spacing w:val="2"/>
          <w:kern w:val="2"/>
          <w:szCs w:val="24"/>
          <w:highlight w:val="none"/>
          <w:lang w:eastAsia="zh-CN"/>
        </w:rPr>
        <w:t>的</w:t>
      </w:r>
      <w:r>
        <w:rPr>
          <w:rFonts w:hint="eastAsia" w:hAnsi="宋体" w:cs="Times New Roman"/>
          <w:color w:val="auto"/>
          <w:kern w:val="2"/>
          <w:szCs w:val="24"/>
          <w:highlight w:val="none"/>
          <w:lang w:eastAsia="zh-CN"/>
        </w:rPr>
        <w:t>土</w:t>
      </w:r>
      <w:r>
        <w:rPr>
          <w:rFonts w:hint="eastAsia" w:hAnsi="宋体" w:cs="Times New Roman"/>
          <w:color w:val="auto"/>
          <w:spacing w:val="2"/>
          <w:kern w:val="2"/>
          <w:szCs w:val="24"/>
          <w:highlight w:val="none"/>
          <w:lang w:eastAsia="zh-CN"/>
        </w:rPr>
        <w:t>地</w:t>
      </w:r>
      <w:r>
        <w:rPr>
          <w:rFonts w:hint="eastAsia" w:hAnsi="宋体" w:cs="Times New Roman"/>
          <w:color w:val="auto"/>
          <w:kern w:val="2"/>
          <w:szCs w:val="24"/>
          <w:highlight w:val="none"/>
          <w:lang w:eastAsia="zh-CN"/>
        </w:rPr>
        <w:t>，</w:t>
      </w:r>
      <w:r>
        <w:rPr>
          <w:rFonts w:hint="eastAsia" w:hAnsi="宋体" w:cs="Times New Roman"/>
          <w:color w:val="auto"/>
          <w:spacing w:val="2"/>
          <w:kern w:val="2"/>
          <w:szCs w:val="24"/>
          <w:highlight w:val="none"/>
          <w:lang w:eastAsia="zh-CN"/>
        </w:rPr>
        <w:t>包括</w:t>
      </w:r>
      <w:r>
        <w:rPr>
          <w:rFonts w:hint="eastAsia" w:hAnsi="宋体" w:cs="Times New Roman"/>
          <w:color w:val="auto"/>
          <w:kern w:val="2"/>
          <w:szCs w:val="24"/>
          <w:highlight w:val="none"/>
          <w:lang w:eastAsia="zh-CN"/>
        </w:rPr>
        <w:t>公路两侧路权范围内的用地。</w:t>
      </w:r>
    </w:p>
    <w:p w14:paraId="5F07ACB3">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spacing w:val="-2"/>
          <w:kern w:val="2"/>
          <w:szCs w:val="24"/>
          <w:highlight w:val="none"/>
          <w:lang w:eastAsia="zh-CN"/>
        </w:rPr>
        <w:t>1.1.3.11</w:t>
      </w:r>
      <w:r>
        <w:rPr>
          <w:rFonts w:hint="eastAsia" w:hAnsi="宋体" w:cs="Times New Roman"/>
          <w:color w:val="auto"/>
          <w:kern w:val="2"/>
          <w:szCs w:val="24"/>
          <w:highlight w:val="none"/>
          <w:lang w:eastAsia="zh-CN"/>
        </w:rPr>
        <w:t>目细化为：临时占地：指为实施本合同工程而需要的一切临时占用的土地，包括施工所用的临时支线</w:t>
      </w:r>
      <w:r>
        <w:rPr>
          <w:rFonts w:hint="eastAsia" w:hAnsi="宋体" w:cs="Times New Roman"/>
          <w:color w:val="auto"/>
          <w:spacing w:val="-17"/>
          <w:kern w:val="2"/>
          <w:szCs w:val="24"/>
          <w:highlight w:val="none"/>
          <w:lang w:eastAsia="zh-CN"/>
        </w:rPr>
        <w:t>、</w:t>
      </w:r>
      <w:r>
        <w:rPr>
          <w:rFonts w:hint="eastAsia" w:hAnsi="宋体" w:cs="Times New Roman"/>
          <w:color w:val="auto"/>
          <w:kern w:val="2"/>
          <w:szCs w:val="24"/>
          <w:highlight w:val="none"/>
          <w:lang w:eastAsia="zh-CN"/>
        </w:rPr>
        <w:t>便道</w:t>
      </w:r>
      <w:r>
        <w:rPr>
          <w:rFonts w:hint="eastAsia" w:hAnsi="宋体" w:cs="Times New Roman"/>
          <w:color w:val="auto"/>
          <w:spacing w:val="-17"/>
          <w:kern w:val="2"/>
          <w:szCs w:val="24"/>
          <w:highlight w:val="none"/>
          <w:lang w:eastAsia="zh-CN"/>
        </w:rPr>
        <w:t>、</w:t>
      </w:r>
      <w:r>
        <w:rPr>
          <w:rFonts w:hint="eastAsia" w:hAnsi="宋体" w:cs="Times New Roman"/>
          <w:color w:val="auto"/>
          <w:kern w:val="2"/>
          <w:szCs w:val="24"/>
          <w:highlight w:val="none"/>
          <w:lang w:eastAsia="zh-CN"/>
        </w:rPr>
        <w:t>便桥和现场的临时出入通道</w:t>
      </w:r>
      <w:r>
        <w:rPr>
          <w:rFonts w:hint="eastAsia" w:hAnsi="宋体" w:cs="Times New Roman"/>
          <w:color w:val="auto"/>
          <w:spacing w:val="-17"/>
          <w:kern w:val="2"/>
          <w:szCs w:val="24"/>
          <w:highlight w:val="none"/>
          <w:lang w:eastAsia="zh-CN"/>
        </w:rPr>
        <w:t>，</w:t>
      </w:r>
      <w:r>
        <w:rPr>
          <w:rFonts w:hint="eastAsia" w:hAnsi="宋体" w:cs="Times New Roman"/>
          <w:color w:val="auto"/>
          <w:kern w:val="2"/>
          <w:szCs w:val="24"/>
          <w:highlight w:val="none"/>
          <w:lang w:eastAsia="zh-CN"/>
        </w:rPr>
        <w:t>以及生</w:t>
      </w:r>
      <w:r>
        <w:rPr>
          <w:rFonts w:hint="eastAsia" w:hAnsi="宋体" w:cs="Times New Roman"/>
          <w:color w:val="auto"/>
          <w:spacing w:val="-16"/>
          <w:kern w:val="2"/>
          <w:szCs w:val="24"/>
          <w:highlight w:val="none"/>
          <w:lang w:eastAsia="zh-CN"/>
        </w:rPr>
        <w:t>产</w:t>
      </w:r>
      <w:r>
        <w:rPr>
          <w:rFonts w:hint="eastAsia" w:hAnsi="宋体" w:cs="Times New Roman"/>
          <w:color w:val="auto"/>
          <w:kern w:val="2"/>
          <w:szCs w:val="24"/>
          <w:highlight w:val="none"/>
          <w:lang w:eastAsia="zh-CN"/>
        </w:rPr>
        <w:t>（办公</w:t>
      </w:r>
      <w:r>
        <w:rPr>
          <w:rFonts w:hint="eastAsia" w:hAnsi="宋体" w:cs="Times New Roman"/>
          <w:color w:val="auto"/>
          <w:spacing w:val="-120"/>
          <w:kern w:val="2"/>
          <w:szCs w:val="24"/>
          <w:highlight w:val="none"/>
          <w:lang w:eastAsia="zh-CN"/>
        </w:rPr>
        <w:t>）</w:t>
      </w:r>
      <w:r>
        <w:rPr>
          <w:rFonts w:hint="eastAsia" w:hAnsi="宋体" w:cs="Times New Roman"/>
          <w:color w:val="auto"/>
          <w:spacing w:val="-17"/>
          <w:kern w:val="2"/>
          <w:szCs w:val="24"/>
          <w:highlight w:val="none"/>
          <w:lang w:eastAsia="zh-CN"/>
        </w:rPr>
        <w:t>、</w:t>
      </w:r>
      <w:r>
        <w:rPr>
          <w:rFonts w:hint="eastAsia" w:hAnsi="宋体" w:cs="Times New Roman"/>
          <w:color w:val="auto"/>
          <w:kern w:val="2"/>
          <w:szCs w:val="24"/>
          <w:highlight w:val="none"/>
          <w:lang w:eastAsia="zh-CN"/>
        </w:rPr>
        <w:t>生活等临时</w:t>
      </w:r>
      <w:r>
        <w:rPr>
          <w:rFonts w:hint="eastAsia" w:hAnsi="宋体" w:cs="Times New Roman"/>
          <w:color w:val="auto"/>
          <w:spacing w:val="-1"/>
          <w:kern w:val="2"/>
          <w:szCs w:val="24"/>
          <w:highlight w:val="none"/>
          <w:lang w:eastAsia="zh-CN"/>
        </w:rPr>
        <w:t>设施用地等。</w:t>
      </w:r>
    </w:p>
    <w:p w14:paraId="6E95354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本项补充第</w:t>
      </w:r>
      <w:r>
        <w:rPr>
          <w:rFonts w:hAnsi="宋体" w:cs="Times New Roman"/>
          <w:color w:val="auto"/>
          <w:kern w:val="2"/>
          <w:szCs w:val="24"/>
          <w:highlight w:val="none"/>
          <w:lang w:eastAsia="zh-CN"/>
        </w:rPr>
        <w:t xml:space="preserve">1.1.3.12 </w:t>
      </w:r>
      <w:r>
        <w:rPr>
          <w:rFonts w:hint="eastAsia" w:hAnsi="宋体" w:cs="Times New Roman"/>
          <w:color w:val="auto"/>
          <w:kern w:val="2"/>
          <w:szCs w:val="24"/>
          <w:highlight w:val="none"/>
          <w:lang w:eastAsia="zh-CN"/>
        </w:rPr>
        <w:t>目、第</w:t>
      </w:r>
      <w:r>
        <w:rPr>
          <w:rFonts w:hAnsi="宋体" w:cs="Times New Roman"/>
          <w:color w:val="auto"/>
          <w:kern w:val="2"/>
          <w:szCs w:val="24"/>
          <w:highlight w:val="none"/>
          <w:lang w:eastAsia="zh-CN"/>
        </w:rPr>
        <w:t xml:space="preserve">1.1.3.13 </w:t>
      </w:r>
      <w:r>
        <w:rPr>
          <w:rFonts w:hint="eastAsia" w:hAnsi="宋体" w:cs="Times New Roman"/>
          <w:color w:val="auto"/>
          <w:kern w:val="2"/>
          <w:szCs w:val="24"/>
          <w:highlight w:val="none"/>
          <w:lang w:eastAsia="zh-CN"/>
        </w:rPr>
        <w:t>目：</w:t>
      </w:r>
    </w:p>
    <w:p w14:paraId="2A638ADE">
      <w:pPr>
        <w:widowControl w:val="0"/>
        <w:kinsoku w:val="0"/>
        <w:overflowPunct w:val="0"/>
        <w:adjustRightInd w:val="0"/>
        <w:snapToGrid w:val="0"/>
        <w:spacing w:line="360" w:lineRule="auto"/>
        <w:ind w:firstLine="367" w:firstLineChars="175"/>
        <w:jc w:val="both"/>
        <w:rPr>
          <w:rFonts w:hAnsi="宋体" w:cs="Times New Roman"/>
          <w:color w:val="auto"/>
          <w:spacing w:val="-1"/>
          <w:kern w:val="2"/>
          <w:szCs w:val="24"/>
          <w:highlight w:val="none"/>
          <w:lang w:eastAsia="zh-CN"/>
        </w:rPr>
      </w:pPr>
      <w:r>
        <w:rPr>
          <w:rFonts w:hAnsi="宋体" w:cs="Times New Roman"/>
          <w:color w:val="auto"/>
          <w:kern w:val="2"/>
          <w:szCs w:val="24"/>
          <w:highlight w:val="none"/>
          <w:lang w:eastAsia="zh-CN"/>
        </w:rPr>
        <w:t xml:space="preserve">1.1.3.12 </w:t>
      </w:r>
      <w:r>
        <w:rPr>
          <w:rFonts w:hint="eastAsia" w:hAnsi="宋体" w:cs="Times New Roman"/>
          <w:color w:val="auto"/>
          <w:spacing w:val="2"/>
          <w:kern w:val="2"/>
          <w:szCs w:val="24"/>
          <w:highlight w:val="none"/>
          <w:lang w:eastAsia="zh-CN"/>
        </w:rPr>
        <w:t>分部工程：指在单位工程中，按结构部位、路段长度及施工特点或</w:t>
      </w:r>
      <w:r>
        <w:rPr>
          <w:rFonts w:hint="eastAsia" w:hAnsi="宋体" w:cs="Times New Roman"/>
          <w:color w:val="auto"/>
          <w:spacing w:val="-1"/>
          <w:kern w:val="2"/>
          <w:szCs w:val="24"/>
          <w:highlight w:val="none"/>
          <w:lang w:eastAsia="zh-CN"/>
        </w:rPr>
        <w:t>施工任务划分的若干个工程。</w:t>
      </w:r>
    </w:p>
    <w:p w14:paraId="32E9C79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1.1.3.13 </w:t>
      </w:r>
      <w:r>
        <w:rPr>
          <w:rFonts w:hint="eastAsia" w:hAnsi="宋体" w:cs="Times New Roman"/>
          <w:color w:val="auto"/>
          <w:spacing w:val="2"/>
          <w:kern w:val="2"/>
          <w:szCs w:val="24"/>
          <w:highlight w:val="none"/>
          <w:lang w:eastAsia="zh-CN"/>
        </w:rPr>
        <w:t>分项工程：指在分部工程中，按不同的施工方法、材料、工序及路</w:t>
      </w:r>
      <w:r>
        <w:rPr>
          <w:rFonts w:hint="eastAsia" w:hAnsi="宋体" w:cs="Times New Roman"/>
          <w:color w:val="auto"/>
          <w:kern w:val="2"/>
          <w:szCs w:val="24"/>
          <w:highlight w:val="none"/>
          <w:lang w:eastAsia="zh-CN"/>
        </w:rPr>
        <w:t>段长度等划分的若干个工程。</w:t>
      </w:r>
    </w:p>
    <w:p w14:paraId="53B011E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1.1.6  </w:t>
      </w:r>
      <w:r>
        <w:rPr>
          <w:rFonts w:hint="eastAsia" w:hAnsi="宋体" w:cs="Times New Roman"/>
          <w:color w:val="auto"/>
          <w:kern w:val="2"/>
          <w:szCs w:val="24"/>
          <w:highlight w:val="none"/>
          <w:lang w:eastAsia="zh-CN"/>
        </w:rPr>
        <w:t>其他</w:t>
      </w:r>
    </w:p>
    <w:p w14:paraId="29A66773">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本项补充第</w:t>
      </w:r>
      <w:r>
        <w:rPr>
          <w:rFonts w:hAnsi="宋体" w:cs="Times New Roman"/>
          <w:color w:val="auto"/>
          <w:kern w:val="2"/>
          <w:szCs w:val="24"/>
          <w:highlight w:val="none"/>
          <w:lang w:eastAsia="zh-CN"/>
        </w:rPr>
        <w:t xml:space="preserve">1.1.6.2 </w:t>
      </w:r>
      <w:r>
        <w:rPr>
          <w:rFonts w:hint="eastAsia" w:hAnsi="宋体" w:cs="Times New Roman"/>
          <w:color w:val="auto"/>
          <w:kern w:val="2"/>
          <w:szCs w:val="24"/>
          <w:highlight w:val="none"/>
          <w:lang w:eastAsia="zh-CN"/>
        </w:rPr>
        <w:t>目～第</w:t>
      </w:r>
      <w:r>
        <w:rPr>
          <w:rFonts w:hAnsi="宋体" w:cs="Times New Roman"/>
          <w:color w:val="auto"/>
          <w:kern w:val="2"/>
          <w:szCs w:val="24"/>
          <w:highlight w:val="none"/>
          <w:lang w:eastAsia="zh-CN"/>
        </w:rPr>
        <w:t xml:space="preserve">1.1.6.9 </w:t>
      </w:r>
      <w:r>
        <w:rPr>
          <w:rFonts w:hint="eastAsia" w:hAnsi="宋体" w:cs="Times New Roman"/>
          <w:color w:val="auto"/>
          <w:kern w:val="2"/>
          <w:szCs w:val="24"/>
          <w:highlight w:val="none"/>
          <w:lang w:eastAsia="zh-CN"/>
        </w:rPr>
        <w:t>目：</w:t>
      </w:r>
    </w:p>
    <w:p w14:paraId="2A76706F">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1.1.6.2竣工验收：指《公路工程竣（交）工验收办法》中的竣工验收。通用合同条款中“国家验收”一词具有相同含义。</w:t>
      </w:r>
    </w:p>
    <w:p w14:paraId="49FA2E9E">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1.1.6.3交工：指《公路工程竣（交）工验收办法》中的交工。通用合同条款中“竣工”一词具有相同含义。</w:t>
      </w:r>
    </w:p>
    <w:p w14:paraId="693432D4">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1.1.6.4交工验收：指《公路工程竣（交）工验收办法》中的交工验收。通用合同条款中“竣工验收”一词具有相同含义。</w:t>
      </w:r>
    </w:p>
    <w:p w14:paraId="05200736">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1.1.6.5交工验收证书：指《公路工程竣（交）工验收办法》中的交工验收证书。通用合同条款中“工程接收证书”一词具有相同含义。</w:t>
      </w:r>
    </w:p>
    <w:p w14:paraId="524B5EDA">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1.1.6.6转包：指承包人违反法律和不履行合同规定的责任和义务，将中标工程全部委托或以专业分包的名义将中标工程肢解后全部委托给其他施工企业施工的行为。</w:t>
      </w:r>
    </w:p>
    <w:p w14:paraId="787E9F53">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1.1.6.7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7229C4B4">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1.1.6.8劳务分包：指承包人与具有施工劳务资质的劳务企业签订劳务分包合同，由劳务企业提供劳务人员及机具，由承包人统一组织施工、统一控制工程质量、施工进度、材料采购、生产安全的施工行为。</w:t>
      </w:r>
    </w:p>
    <w:p w14:paraId="3829CB37">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1.1.6.9雇用民工：指承包人与具有相应劳动能力的自然人签订劳动合同，由承包人统一组织管理，从事分项工程施工或配套工程施工的行为。</w:t>
      </w:r>
    </w:p>
    <w:p w14:paraId="3526BF6F">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bookmarkStart w:id="162" w:name="bookmark161"/>
      <w:bookmarkEnd w:id="162"/>
      <w:r>
        <w:rPr>
          <w:rFonts w:hint="eastAsia" w:hAnsi="宋体" w:cs="Times New Roman"/>
          <w:color w:val="auto"/>
          <w:kern w:val="2"/>
          <w:szCs w:val="24"/>
          <w:highlight w:val="none"/>
          <w:lang w:eastAsia="zh-CN"/>
        </w:rPr>
        <w:t>1.4合同文件的优先顺序</w:t>
      </w:r>
    </w:p>
    <w:p w14:paraId="3E2E5D8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本款约定为：组成合同的各项文件应互相解释，互为说明。除项目专用合同条款另有约定外，解释合同文件的优先顺序如下：</w:t>
      </w:r>
    </w:p>
    <w:p w14:paraId="54930E98">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合同协议书及各种合同附</w:t>
      </w:r>
      <w:r>
        <w:rPr>
          <w:rFonts w:hint="eastAsia" w:hAnsi="宋体" w:cs="Times New Roman"/>
          <w:color w:val="auto"/>
          <w:spacing w:val="-29"/>
          <w:kern w:val="2"/>
          <w:szCs w:val="24"/>
          <w:highlight w:val="none"/>
          <w:lang w:eastAsia="zh-CN"/>
        </w:rPr>
        <w:t>件</w:t>
      </w:r>
      <w:r>
        <w:rPr>
          <w:rFonts w:hint="eastAsia" w:hAnsi="宋体" w:cs="Times New Roman"/>
          <w:color w:val="auto"/>
          <w:kern w:val="2"/>
          <w:szCs w:val="24"/>
          <w:highlight w:val="none"/>
          <w:lang w:eastAsia="zh-CN"/>
        </w:rPr>
        <w:t>（含评标期间和合同谈判过程中的澄清文件和补充资</w:t>
      </w:r>
      <w:r>
        <w:rPr>
          <w:rFonts w:hint="eastAsia" w:hAnsi="宋体" w:cs="Times New Roman"/>
          <w:color w:val="auto"/>
          <w:spacing w:val="-1"/>
          <w:kern w:val="2"/>
          <w:szCs w:val="24"/>
          <w:highlight w:val="none"/>
          <w:lang w:eastAsia="zh-CN"/>
        </w:rPr>
        <w:t>料</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w:t>
      </w:r>
    </w:p>
    <w:p w14:paraId="4736F6F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）中标通知书；</w:t>
      </w:r>
    </w:p>
    <w:p w14:paraId="54935473">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）投标函及投标函附录；</w:t>
      </w:r>
    </w:p>
    <w:p w14:paraId="21ABD658">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）项目专用合同条款；</w:t>
      </w:r>
    </w:p>
    <w:p w14:paraId="5C67519D">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）公路工程专用合同条款；</w:t>
      </w:r>
    </w:p>
    <w:p w14:paraId="5397AAFB">
      <w:pPr>
        <w:widowControl w:val="0"/>
        <w:kinsoku w:val="0"/>
        <w:overflowPunct w:val="0"/>
        <w:adjustRightInd w:val="0"/>
        <w:snapToGrid w:val="0"/>
        <w:spacing w:line="360" w:lineRule="auto"/>
        <w:ind w:firstLine="478"/>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6</w:t>
      </w:r>
      <w:r>
        <w:rPr>
          <w:rFonts w:hint="eastAsia" w:hAnsi="宋体" w:cs="Times New Roman"/>
          <w:color w:val="auto"/>
          <w:kern w:val="2"/>
          <w:szCs w:val="24"/>
          <w:highlight w:val="none"/>
          <w:lang w:eastAsia="zh-CN"/>
        </w:rPr>
        <w:t>）通用合同条款；</w:t>
      </w:r>
    </w:p>
    <w:p w14:paraId="51988C2C">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7</w:t>
      </w:r>
      <w:r>
        <w:rPr>
          <w:rFonts w:hint="eastAsia" w:hAnsi="宋体" w:cs="Times New Roman"/>
          <w:color w:val="auto"/>
          <w:kern w:val="2"/>
          <w:szCs w:val="24"/>
          <w:highlight w:val="none"/>
          <w:lang w:eastAsia="zh-CN"/>
        </w:rPr>
        <w:t>）工程量清单计量规则；</w:t>
      </w:r>
    </w:p>
    <w:p w14:paraId="35DED45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8</w:t>
      </w:r>
      <w:r>
        <w:rPr>
          <w:rFonts w:hint="eastAsia" w:hAnsi="宋体" w:cs="Times New Roman"/>
          <w:color w:val="auto"/>
          <w:kern w:val="2"/>
          <w:szCs w:val="24"/>
          <w:highlight w:val="none"/>
          <w:lang w:eastAsia="zh-CN"/>
        </w:rPr>
        <w:t>）技术规范；</w:t>
      </w:r>
    </w:p>
    <w:p w14:paraId="6FA7907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9</w:t>
      </w:r>
      <w:r>
        <w:rPr>
          <w:rFonts w:hint="eastAsia" w:hAnsi="宋体" w:cs="Times New Roman"/>
          <w:color w:val="auto"/>
          <w:kern w:val="2"/>
          <w:szCs w:val="24"/>
          <w:highlight w:val="none"/>
          <w:lang w:eastAsia="zh-CN"/>
        </w:rPr>
        <w:t>）图纸；</w:t>
      </w:r>
    </w:p>
    <w:p w14:paraId="298FB9E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10</w:t>
      </w:r>
      <w:r>
        <w:rPr>
          <w:rFonts w:hint="eastAsia" w:hAnsi="宋体" w:cs="Times New Roman"/>
          <w:color w:val="auto"/>
          <w:kern w:val="2"/>
          <w:szCs w:val="24"/>
          <w:highlight w:val="none"/>
          <w:lang w:eastAsia="zh-CN"/>
        </w:rPr>
        <w:t>）已标价工程量清单；</w:t>
      </w:r>
    </w:p>
    <w:p w14:paraId="723B9033">
      <w:pPr>
        <w:widowControl w:val="0"/>
        <w:kinsoku w:val="0"/>
        <w:overflowPunct w:val="0"/>
        <w:adjustRightInd w:val="0"/>
        <w:snapToGrid w:val="0"/>
        <w:spacing w:line="360" w:lineRule="auto"/>
        <w:ind w:firstLine="416" w:firstLineChars="200"/>
        <w:jc w:val="both"/>
        <w:rPr>
          <w:rFonts w:hAnsi="宋体" w:cs="Times New Roman"/>
          <w:color w:val="auto"/>
          <w:spacing w:val="-1"/>
          <w:kern w:val="2"/>
          <w:szCs w:val="24"/>
          <w:highlight w:val="none"/>
          <w:lang w:eastAsia="zh-CN"/>
        </w:rPr>
      </w:pPr>
      <w:r>
        <w:rPr>
          <w:rFonts w:hint="eastAsia" w:hAnsi="宋体" w:cs="Times New Roman"/>
          <w:color w:val="auto"/>
          <w:spacing w:val="-1"/>
          <w:kern w:val="2"/>
          <w:szCs w:val="24"/>
          <w:highlight w:val="none"/>
          <w:lang w:eastAsia="zh-CN"/>
        </w:rPr>
        <w:t>（</w:t>
      </w:r>
      <w:r>
        <w:rPr>
          <w:rFonts w:hAnsi="宋体" w:cs="Times New Roman"/>
          <w:color w:val="auto"/>
          <w:spacing w:val="-1"/>
          <w:kern w:val="2"/>
          <w:szCs w:val="24"/>
          <w:highlight w:val="none"/>
          <w:lang w:eastAsia="zh-CN"/>
        </w:rPr>
        <w:t>11</w:t>
      </w:r>
      <w:r>
        <w:rPr>
          <w:rFonts w:hint="eastAsia" w:hAnsi="宋体" w:cs="Times New Roman"/>
          <w:color w:val="auto"/>
          <w:spacing w:val="-1"/>
          <w:kern w:val="2"/>
          <w:szCs w:val="24"/>
          <w:highlight w:val="none"/>
          <w:lang w:eastAsia="zh-CN"/>
        </w:rPr>
        <w:t>）承包人有关人员、设备投入的承诺及投标文件中的施工组织设计；</w:t>
      </w:r>
    </w:p>
    <w:p w14:paraId="41007BA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12</w:t>
      </w:r>
      <w:r>
        <w:rPr>
          <w:rFonts w:hint="eastAsia" w:hAnsi="宋体" w:cs="Times New Roman"/>
          <w:color w:val="auto"/>
          <w:kern w:val="2"/>
          <w:szCs w:val="24"/>
          <w:highlight w:val="none"/>
          <w:lang w:eastAsia="zh-CN"/>
        </w:rPr>
        <w:t>）其他合同文件。</w:t>
      </w:r>
    </w:p>
    <w:p w14:paraId="3637B19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63" w:name="bookmark162"/>
      <w:bookmarkEnd w:id="163"/>
      <w:r>
        <w:rPr>
          <w:rFonts w:hAnsi="宋体" w:cs="Times New Roman"/>
          <w:color w:val="auto"/>
          <w:kern w:val="2"/>
          <w:szCs w:val="24"/>
          <w:highlight w:val="none"/>
          <w:lang w:eastAsia="zh-CN"/>
        </w:rPr>
        <w:t>1.5</w:t>
      </w:r>
      <w:r>
        <w:rPr>
          <w:rFonts w:hint="eastAsia" w:hAnsi="宋体" w:cs="Times New Roman"/>
          <w:color w:val="auto"/>
          <w:kern w:val="2"/>
          <w:szCs w:val="24"/>
          <w:highlight w:val="none"/>
          <w:lang w:eastAsia="zh-CN"/>
        </w:rPr>
        <w:t>合同协议书</w:t>
      </w:r>
    </w:p>
    <w:p w14:paraId="5ECE50B3">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本款补充：制备本合同文件的费用由发包人承担</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在合同协议书签订并生效之前</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投标函和</w:t>
      </w:r>
      <w:r>
        <w:rPr>
          <w:rFonts w:hint="eastAsia" w:hAnsi="宋体" w:cs="Times New Roman"/>
          <w:color w:val="auto"/>
          <w:spacing w:val="-1"/>
          <w:kern w:val="2"/>
          <w:szCs w:val="24"/>
          <w:highlight w:val="none"/>
          <w:lang w:eastAsia="zh-CN"/>
        </w:rPr>
        <w:t>中标通知书将对双方具有约束力。</w:t>
      </w:r>
    </w:p>
    <w:p w14:paraId="7A1D917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64" w:name="bookmark163"/>
      <w:bookmarkEnd w:id="164"/>
      <w:r>
        <w:rPr>
          <w:rFonts w:hAnsi="宋体" w:cs="Times New Roman"/>
          <w:color w:val="auto"/>
          <w:kern w:val="2"/>
          <w:szCs w:val="24"/>
          <w:highlight w:val="none"/>
          <w:lang w:eastAsia="zh-CN"/>
        </w:rPr>
        <w:t>1.6</w:t>
      </w:r>
      <w:r>
        <w:rPr>
          <w:rFonts w:hint="eastAsia" w:hAnsi="宋体" w:cs="Times New Roman"/>
          <w:color w:val="auto"/>
          <w:kern w:val="2"/>
          <w:szCs w:val="24"/>
          <w:highlight w:val="none"/>
          <w:lang w:eastAsia="zh-CN"/>
        </w:rPr>
        <w:t>图纸和承包人文件</w:t>
      </w:r>
    </w:p>
    <w:p w14:paraId="32CF87F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1.6.1  </w:t>
      </w:r>
      <w:r>
        <w:rPr>
          <w:rFonts w:hint="eastAsia" w:hAnsi="宋体" w:cs="Times New Roman"/>
          <w:color w:val="auto"/>
          <w:kern w:val="2"/>
          <w:szCs w:val="24"/>
          <w:highlight w:val="none"/>
          <w:lang w:eastAsia="zh-CN"/>
        </w:rPr>
        <w:t>图纸的提供</w:t>
      </w:r>
    </w:p>
    <w:p w14:paraId="5FBBA05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本项细化为：</w:t>
      </w:r>
    </w:p>
    <w:p w14:paraId="1936BAC2">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监理人应在发出中标通知书之后</w:t>
      </w:r>
      <w:r>
        <w:rPr>
          <w:rFonts w:hAnsi="宋体" w:cs="Times New Roman"/>
          <w:color w:val="auto"/>
          <w:kern w:val="2"/>
          <w:szCs w:val="24"/>
          <w:highlight w:val="none"/>
          <w:lang w:eastAsia="zh-CN"/>
        </w:rPr>
        <w:t>42</w:t>
      </w:r>
      <w:r>
        <w:rPr>
          <w:rFonts w:hint="eastAsia" w:hAnsi="宋体" w:cs="Times New Roman"/>
          <w:color w:val="auto"/>
          <w:kern w:val="2"/>
          <w:szCs w:val="24"/>
          <w:highlight w:val="none"/>
          <w:lang w:eastAsia="zh-CN"/>
        </w:rPr>
        <w:t>天内，向承包人免费提供由发包人或其委托的设计单位设计的施工图纸、技术规范和其他技术资料</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份，并向承包人进行技术交底。承包人需要更多份数时，应自费复制。由于发包人未按时提供图纸造成工期延误的，按第</w:t>
      </w:r>
      <w:r>
        <w:rPr>
          <w:rFonts w:hAnsi="宋体" w:cs="Times New Roman"/>
          <w:color w:val="auto"/>
          <w:spacing w:val="-3"/>
          <w:kern w:val="2"/>
          <w:szCs w:val="24"/>
          <w:highlight w:val="none"/>
          <w:lang w:eastAsia="zh-CN"/>
        </w:rPr>
        <w:t>11.3</w:t>
      </w:r>
      <w:r>
        <w:rPr>
          <w:rFonts w:hint="eastAsia" w:hAnsi="宋体" w:cs="Times New Roman"/>
          <w:color w:val="auto"/>
          <w:kern w:val="2"/>
          <w:szCs w:val="24"/>
          <w:highlight w:val="none"/>
          <w:lang w:eastAsia="zh-CN"/>
        </w:rPr>
        <w:t>款的约定办理。</w:t>
      </w:r>
    </w:p>
    <w:p w14:paraId="5D966EC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1.6.2  </w:t>
      </w:r>
      <w:r>
        <w:rPr>
          <w:rFonts w:hint="eastAsia" w:hAnsi="宋体" w:cs="Times New Roman"/>
          <w:color w:val="auto"/>
          <w:kern w:val="2"/>
          <w:szCs w:val="24"/>
          <w:highlight w:val="none"/>
          <w:lang w:eastAsia="zh-CN"/>
        </w:rPr>
        <w:t>承包人提供的文件</w:t>
      </w:r>
    </w:p>
    <w:p w14:paraId="05D93F08">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本项细化为：有下列情形之一的，承包人应免费向监理人提交相关部分工程的施工图纸</w:t>
      </w:r>
      <w:r>
        <w:rPr>
          <w:rFonts w:hAnsi="宋体" w:cs="Times New Roman"/>
          <w:color w:val="auto"/>
          <w:kern w:val="2"/>
          <w:szCs w:val="24"/>
          <w:highlight w:val="none"/>
          <w:lang w:eastAsia="zh-CN"/>
        </w:rPr>
        <w:t xml:space="preserve">3 </w:t>
      </w:r>
      <w:r>
        <w:rPr>
          <w:rFonts w:hint="eastAsia" w:hAnsi="宋体" w:cs="Times New Roman"/>
          <w:color w:val="auto"/>
          <w:kern w:val="2"/>
          <w:szCs w:val="24"/>
          <w:highlight w:val="none"/>
          <w:lang w:eastAsia="zh-CN"/>
        </w:rPr>
        <w:t>份，并附必要的计算书、技术资料，或施工工艺图、设备安装图及安装设备的使用和维护手册各</w:t>
      </w:r>
      <w:r>
        <w:rPr>
          <w:rFonts w:hAnsi="宋体" w:cs="Times New Roman"/>
          <w:color w:val="auto"/>
          <w:kern w:val="2"/>
          <w:szCs w:val="24"/>
          <w:highlight w:val="none"/>
          <w:lang w:eastAsia="zh-CN"/>
        </w:rPr>
        <w:t xml:space="preserve">2 </w:t>
      </w:r>
      <w:r>
        <w:rPr>
          <w:rFonts w:hint="eastAsia" w:hAnsi="宋体" w:cs="Times New Roman"/>
          <w:color w:val="auto"/>
          <w:kern w:val="2"/>
          <w:szCs w:val="24"/>
          <w:highlight w:val="none"/>
          <w:lang w:eastAsia="zh-CN"/>
        </w:rPr>
        <w:t>份供监理人批准。</w:t>
      </w:r>
    </w:p>
    <w:p w14:paraId="57F112E3">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）为使第</w:t>
      </w:r>
      <w:r>
        <w:rPr>
          <w:rFonts w:hAnsi="宋体" w:cs="Times New Roman"/>
          <w:color w:val="auto"/>
          <w:kern w:val="2"/>
          <w:szCs w:val="24"/>
          <w:highlight w:val="none"/>
          <w:lang w:eastAsia="zh-CN"/>
        </w:rPr>
        <w:t xml:space="preserve">1.6.1 </w:t>
      </w:r>
      <w:r>
        <w:rPr>
          <w:rFonts w:hint="eastAsia" w:hAnsi="宋体" w:cs="Times New Roman"/>
          <w:color w:val="auto"/>
          <w:kern w:val="2"/>
          <w:szCs w:val="24"/>
          <w:highlight w:val="none"/>
          <w:lang w:eastAsia="zh-CN"/>
        </w:rPr>
        <w:t>项所述的施工图纸适合于经施工测量后的纵、横断面；</w:t>
      </w:r>
    </w:p>
    <w:p w14:paraId="0EB2576C">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）为使第</w:t>
      </w:r>
      <w:r>
        <w:rPr>
          <w:rFonts w:hAnsi="宋体" w:cs="Times New Roman"/>
          <w:color w:val="auto"/>
          <w:kern w:val="2"/>
          <w:szCs w:val="24"/>
          <w:highlight w:val="none"/>
          <w:lang w:eastAsia="zh-CN"/>
        </w:rPr>
        <w:t xml:space="preserve">1.6.1 </w:t>
      </w:r>
      <w:r>
        <w:rPr>
          <w:rFonts w:hint="eastAsia" w:hAnsi="宋体" w:cs="Times New Roman"/>
          <w:color w:val="auto"/>
          <w:kern w:val="2"/>
          <w:szCs w:val="24"/>
          <w:highlight w:val="none"/>
          <w:lang w:eastAsia="zh-CN"/>
        </w:rPr>
        <w:t>项所述的施工图纸适合于现场具体地形；</w:t>
      </w:r>
    </w:p>
    <w:p w14:paraId="163BA4FD">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）为使第</w:t>
      </w:r>
      <w:r>
        <w:rPr>
          <w:rFonts w:hAnsi="宋体" w:cs="Times New Roman"/>
          <w:color w:val="auto"/>
          <w:kern w:val="2"/>
          <w:szCs w:val="24"/>
          <w:highlight w:val="none"/>
          <w:lang w:eastAsia="zh-CN"/>
        </w:rPr>
        <w:t xml:space="preserve">1.6.1 </w:t>
      </w:r>
      <w:r>
        <w:rPr>
          <w:rFonts w:hint="eastAsia" w:hAnsi="宋体" w:cs="Times New Roman"/>
          <w:color w:val="auto"/>
          <w:kern w:val="2"/>
          <w:szCs w:val="24"/>
          <w:highlight w:val="none"/>
          <w:lang w:eastAsia="zh-CN"/>
        </w:rPr>
        <w:t>项所述的施工图纸适合于因尺寸与位置变化而引起局部变更；</w:t>
      </w:r>
    </w:p>
    <w:p w14:paraId="77B58D2C">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）由于合同要求与施工需要。 此类图纸应按监理人规定的格式和图幅绘制</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监理人在收到由承包人绘制的上述工程</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工艺图纸</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计算书和有关技术资料后</w:t>
      </w:r>
      <w:r>
        <w:rPr>
          <w:rFonts w:hAnsi="宋体" w:cs="Times New Roman"/>
          <w:color w:val="auto"/>
          <w:kern w:val="2"/>
          <w:szCs w:val="24"/>
          <w:highlight w:val="none"/>
          <w:lang w:eastAsia="zh-CN"/>
        </w:rPr>
        <w:t xml:space="preserve">14 </w:t>
      </w:r>
      <w:r>
        <w:rPr>
          <w:rFonts w:hint="eastAsia" w:hAnsi="宋体" w:cs="Times New Roman"/>
          <w:color w:val="auto"/>
          <w:kern w:val="2"/>
          <w:szCs w:val="24"/>
          <w:highlight w:val="none"/>
          <w:lang w:eastAsia="zh-CN"/>
        </w:rPr>
        <w:t>天内应予批准或提出修改要求</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承包人应按监理人提出的要求作出修改，重新向监理人提交，监理人应在</w:t>
      </w:r>
      <w:r>
        <w:rPr>
          <w:rFonts w:hAnsi="宋体" w:cs="Times New Roman"/>
          <w:color w:val="auto"/>
          <w:kern w:val="2"/>
          <w:szCs w:val="24"/>
          <w:highlight w:val="none"/>
          <w:lang w:eastAsia="zh-CN"/>
        </w:rPr>
        <w:t>7</w:t>
      </w:r>
      <w:r>
        <w:rPr>
          <w:rFonts w:hint="eastAsia" w:hAnsi="宋体" w:cs="Times New Roman"/>
          <w:color w:val="auto"/>
          <w:kern w:val="2"/>
          <w:szCs w:val="24"/>
          <w:highlight w:val="none"/>
          <w:lang w:eastAsia="zh-CN"/>
        </w:rPr>
        <w:t>天内批准或 提出进一步的修改意见。</w:t>
      </w:r>
    </w:p>
    <w:p w14:paraId="5A01434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1.6.4  </w:t>
      </w:r>
      <w:r>
        <w:rPr>
          <w:rFonts w:hint="eastAsia" w:hAnsi="宋体" w:cs="Times New Roman"/>
          <w:color w:val="auto"/>
          <w:kern w:val="2"/>
          <w:szCs w:val="24"/>
          <w:highlight w:val="none"/>
          <w:lang w:eastAsia="zh-CN"/>
        </w:rPr>
        <w:t>图纸的错误</w:t>
      </w:r>
    </w:p>
    <w:p w14:paraId="14F2064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本项细化为： </w:t>
      </w:r>
    </w:p>
    <w:p w14:paraId="574FFF74">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当承包人在查阅合同文件或在本合同工程实施过程中</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发现有关的工程设计</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技术规范、图纸或其他资料中的任何差错、遗漏或缺陷后，应及时通知监理人。监理人接到该通知后，应立即就此作出决定，并通知承包人和发包人。</w:t>
      </w:r>
    </w:p>
    <w:p w14:paraId="3A8047D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65" w:name="bookmark164"/>
      <w:bookmarkEnd w:id="165"/>
      <w:r>
        <w:rPr>
          <w:rFonts w:hAnsi="宋体" w:cs="Times New Roman"/>
          <w:color w:val="auto"/>
          <w:kern w:val="2"/>
          <w:szCs w:val="24"/>
          <w:highlight w:val="none"/>
          <w:lang w:eastAsia="zh-CN"/>
        </w:rPr>
        <w:t>1.9</w:t>
      </w:r>
      <w:r>
        <w:rPr>
          <w:rFonts w:hint="eastAsia" w:hAnsi="宋体" w:cs="Times New Roman"/>
          <w:color w:val="auto"/>
          <w:kern w:val="2"/>
          <w:szCs w:val="24"/>
          <w:highlight w:val="none"/>
          <w:lang w:eastAsia="zh-CN"/>
        </w:rPr>
        <w:t>严禁贿赂</w:t>
      </w:r>
    </w:p>
    <w:p w14:paraId="368BC6D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65AC60B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在合同执行过程中</w:t>
      </w:r>
      <w:r>
        <w:rPr>
          <w:rFonts w:hint="eastAsia" w:hAnsi="宋体" w:cs="Times New Roman"/>
          <w:color w:val="auto"/>
          <w:spacing w:val="-39"/>
          <w:kern w:val="2"/>
          <w:szCs w:val="24"/>
          <w:highlight w:val="none"/>
          <w:lang w:eastAsia="zh-CN"/>
        </w:rPr>
        <w:t>，</w:t>
      </w:r>
      <w:r>
        <w:rPr>
          <w:rFonts w:hint="eastAsia" w:hAnsi="宋体" w:cs="Times New Roman"/>
          <w:color w:val="auto"/>
          <w:kern w:val="2"/>
          <w:szCs w:val="24"/>
          <w:highlight w:val="none"/>
          <w:lang w:eastAsia="zh-CN"/>
        </w:rPr>
        <w:t>发包人和承包人应严格履</w:t>
      </w:r>
      <w:r>
        <w:rPr>
          <w:rFonts w:hint="eastAsia" w:hAnsi="宋体" w:cs="Times New Roman"/>
          <w:color w:val="auto"/>
          <w:spacing w:val="-39"/>
          <w:kern w:val="2"/>
          <w:szCs w:val="24"/>
          <w:highlight w:val="none"/>
          <w:lang w:eastAsia="zh-CN"/>
        </w:rPr>
        <w:t>行</w:t>
      </w:r>
      <w:r>
        <w:rPr>
          <w:rFonts w:hint="eastAsia" w:hAnsi="宋体" w:cs="Times New Roman"/>
          <w:color w:val="auto"/>
          <w:kern w:val="2"/>
          <w:szCs w:val="24"/>
          <w:highlight w:val="none"/>
          <w:lang w:eastAsia="zh-CN"/>
        </w:rPr>
        <w:t>《廉政合同</w:t>
      </w:r>
      <w:r>
        <w:rPr>
          <w:rFonts w:hint="eastAsia" w:hAnsi="宋体" w:cs="Times New Roman"/>
          <w:color w:val="auto"/>
          <w:spacing w:val="-39"/>
          <w:kern w:val="2"/>
          <w:szCs w:val="24"/>
          <w:highlight w:val="none"/>
          <w:lang w:eastAsia="zh-CN"/>
        </w:rPr>
        <w:t>》</w:t>
      </w:r>
      <w:r>
        <w:rPr>
          <w:rFonts w:hint="eastAsia" w:hAnsi="宋体" w:cs="Times New Roman"/>
          <w:color w:val="auto"/>
          <w:kern w:val="2"/>
          <w:szCs w:val="24"/>
          <w:highlight w:val="none"/>
          <w:lang w:eastAsia="zh-CN"/>
        </w:rPr>
        <w:t>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5DA5B06E">
      <w:pPr>
        <w:widowControl w:val="0"/>
        <w:kinsoku w:val="0"/>
        <w:overflowPunct w:val="0"/>
        <w:adjustRightInd w:val="0"/>
        <w:snapToGrid w:val="0"/>
        <w:spacing w:line="360" w:lineRule="auto"/>
        <w:jc w:val="both"/>
        <w:rPr>
          <w:rFonts w:hAnsi="宋体" w:cs="Times New Roman"/>
          <w:color w:val="auto"/>
          <w:spacing w:val="-1"/>
          <w:kern w:val="2"/>
          <w:szCs w:val="24"/>
          <w:highlight w:val="none"/>
          <w:lang w:eastAsia="zh-CN"/>
        </w:rPr>
      </w:pPr>
      <w:bookmarkStart w:id="166" w:name="bookmark165"/>
      <w:bookmarkEnd w:id="166"/>
      <w:r>
        <w:rPr>
          <w:rFonts w:hAnsi="宋体" w:cs="Times New Roman"/>
          <w:color w:val="auto"/>
          <w:kern w:val="2"/>
          <w:szCs w:val="24"/>
          <w:highlight w:val="none"/>
          <w:lang w:eastAsia="zh-CN"/>
        </w:rPr>
        <w:t>2.</w:t>
      </w:r>
      <w:r>
        <w:rPr>
          <w:rFonts w:hint="eastAsia" w:hAnsi="宋体" w:cs="Times New Roman"/>
          <w:color w:val="auto"/>
          <w:spacing w:val="-1"/>
          <w:kern w:val="2"/>
          <w:szCs w:val="24"/>
          <w:highlight w:val="none"/>
          <w:lang w:eastAsia="zh-CN"/>
        </w:rPr>
        <w:t>发包人义务</w:t>
      </w:r>
    </w:p>
    <w:p w14:paraId="0AE9012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67" w:name="bookmark166"/>
      <w:bookmarkEnd w:id="167"/>
      <w:r>
        <w:rPr>
          <w:rFonts w:hAnsi="宋体" w:cs="Times New Roman"/>
          <w:color w:val="auto"/>
          <w:kern w:val="2"/>
          <w:szCs w:val="24"/>
          <w:highlight w:val="none"/>
          <w:lang w:eastAsia="zh-CN"/>
        </w:rPr>
        <w:t>2.3</w:t>
      </w:r>
      <w:r>
        <w:rPr>
          <w:rFonts w:hint="eastAsia" w:hAnsi="宋体" w:cs="Times New Roman"/>
          <w:color w:val="auto"/>
          <w:kern w:val="2"/>
          <w:szCs w:val="24"/>
          <w:highlight w:val="none"/>
          <w:lang w:eastAsia="zh-CN"/>
        </w:rPr>
        <w:t>提供施工场地</w:t>
      </w:r>
    </w:p>
    <w:p w14:paraId="66C5176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380258E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发包人负责办理永久占地的征用及与之有关的拆迁赔偿手续并承担相关费用</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承包人在按第</w:t>
      </w:r>
      <w:r>
        <w:rPr>
          <w:rFonts w:hAnsi="宋体" w:cs="Times New Roman"/>
          <w:color w:val="auto"/>
          <w:kern w:val="2"/>
          <w:szCs w:val="24"/>
          <w:highlight w:val="none"/>
          <w:lang w:eastAsia="zh-CN"/>
        </w:rPr>
        <w:t xml:space="preserve">10 </w:t>
      </w:r>
      <w:r>
        <w:rPr>
          <w:rFonts w:hint="eastAsia" w:hAnsi="宋体" w:cs="Times New Roman"/>
          <w:color w:val="auto"/>
          <w:kern w:val="2"/>
          <w:szCs w:val="24"/>
          <w:highlight w:val="none"/>
          <w:lang w:eastAsia="zh-CN"/>
        </w:rPr>
        <w:t>条规定提交施工进度计划的同时</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应向监理人提交一份按施工先后次序所需的永久占地计划。监理人应在收到此计划后的</w:t>
      </w:r>
      <w:r>
        <w:rPr>
          <w:rFonts w:hAnsi="宋体" w:cs="Times New Roman"/>
          <w:color w:val="auto"/>
          <w:spacing w:val="1"/>
          <w:kern w:val="2"/>
          <w:szCs w:val="24"/>
          <w:highlight w:val="none"/>
          <w:lang w:eastAsia="zh-CN"/>
        </w:rPr>
        <w:t>14</w:t>
      </w:r>
      <w:r>
        <w:rPr>
          <w:rFonts w:hint="eastAsia" w:hAnsi="宋体" w:cs="Times New Roman"/>
          <w:color w:val="auto"/>
          <w:kern w:val="2"/>
          <w:szCs w:val="24"/>
          <w:highlight w:val="none"/>
          <w:lang w:eastAsia="zh-CN"/>
        </w:rPr>
        <w:t>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5E12DD1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由于发包人未能按照本项规定办妥永久占地征用手续</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影响承包人及时使用永久占地造成的费用增加和（或）工期延误应由发包人承担。由于承包人未能按照本项规定提交占地计划，影响发包人办理永久占地征用手续造成的费用增加和（或）工期延误由承包人承担。</w:t>
      </w:r>
    </w:p>
    <w:p w14:paraId="5AA2A75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68" w:name="bookmark167"/>
      <w:bookmarkEnd w:id="168"/>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监理人</w:t>
      </w:r>
    </w:p>
    <w:p w14:paraId="3BB2EA3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69" w:name="bookmark168"/>
      <w:bookmarkEnd w:id="169"/>
      <w:r>
        <w:rPr>
          <w:rFonts w:hAnsi="宋体" w:cs="Times New Roman"/>
          <w:color w:val="auto"/>
          <w:kern w:val="2"/>
          <w:szCs w:val="24"/>
          <w:highlight w:val="none"/>
          <w:lang w:eastAsia="zh-CN"/>
        </w:rPr>
        <w:t>3.1</w:t>
      </w:r>
      <w:r>
        <w:rPr>
          <w:rFonts w:hint="eastAsia" w:hAnsi="宋体" w:cs="Times New Roman"/>
          <w:color w:val="auto"/>
          <w:kern w:val="2"/>
          <w:szCs w:val="24"/>
          <w:highlight w:val="none"/>
          <w:lang w:eastAsia="zh-CN"/>
        </w:rPr>
        <w:t>监理人的职责和权力</w:t>
      </w:r>
    </w:p>
    <w:p w14:paraId="5FE7D8D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3.1.1 </w:t>
      </w:r>
      <w:r>
        <w:rPr>
          <w:rFonts w:hint="eastAsia" w:hAnsi="宋体" w:cs="Times New Roman"/>
          <w:color w:val="auto"/>
          <w:kern w:val="2"/>
          <w:szCs w:val="24"/>
          <w:highlight w:val="none"/>
          <w:lang w:eastAsia="zh-CN"/>
        </w:rPr>
        <w:t xml:space="preserve">项补充： </w:t>
      </w:r>
    </w:p>
    <w:p w14:paraId="6A81DBE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监理人在行使下列权力前需要经发包人事先批准：</w:t>
      </w:r>
    </w:p>
    <w:p w14:paraId="1CA7D88F">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（1）根据第4.3 款，同意分包本工程的某些非关键性工作或者适合专业化队伍施工的专项工程；</w:t>
      </w:r>
    </w:p>
    <w:p w14:paraId="208F33CB">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（2）确定第4.11款下产生的费用增加额；</w:t>
      </w:r>
    </w:p>
    <w:p w14:paraId="12CB1358">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（3）根据第11.1款、第12.3 款、第12.4 款发布开工通知、暂停施工指示或复工通知；</w:t>
      </w:r>
    </w:p>
    <w:p w14:paraId="1A08E5EF">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（4）决定第11.3款、第11.4款下的工期延长；</w:t>
      </w:r>
    </w:p>
    <w:p w14:paraId="1DF40C60">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（5）审查批准技术方案或设计的变更；</w:t>
      </w:r>
    </w:p>
    <w:p w14:paraId="095E5435">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（6）根据第15.3款发出的变更指示，其单项工程变更或累计变更涉及的金额超过了项目专用合同条款数据表中规定的金额；</w:t>
      </w:r>
    </w:p>
    <w:p w14:paraId="14AE436D">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（7）确定第15.4 款下变更工作的单价；</w:t>
      </w:r>
    </w:p>
    <w:p w14:paraId="0B87E847">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（8）按照第15.6 款决定有关暂列金额的使用；</w:t>
      </w:r>
    </w:p>
    <w:p w14:paraId="40AF8358">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（9）确定第15.8 款下的暂估价金额；</w:t>
      </w:r>
    </w:p>
    <w:p w14:paraId="29A9D765">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10</w:t>
      </w:r>
      <w:r>
        <w:rPr>
          <w:rFonts w:hint="eastAsia" w:hAnsi="宋体" w:cs="Times New Roman"/>
          <w:color w:val="auto"/>
          <w:kern w:val="2"/>
          <w:szCs w:val="24"/>
          <w:highlight w:val="none"/>
          <w:lang w:eastAsia="zh-CN"/>
        </w:rPr>
        <w:t>）确定第</w:t>
      </w:r>
      <w:r>
        <w:rPr>
          <w:rFonts w:hAnsi="宋体" w:cs="Times New Roman"/>
          <w:color w:val="auto"/>
          <w:kern w:val="2"/>
          <w:szCs w:val="24"/>
          <w:highlight w:val="none"/>
          <w:lang w:eastAsia="zh-CN"/>
        </w:rPr>
        <w:t xml:space="preserve">23.1 </w:t>
      </w:r>
      <w:r>
        <w:rPr>
          <w:rFonts w:hint="eastAsia" w:hAnsi="宋体" w:cs="Times New Roman"/>
          <w:color w:val="auto"/>
          <w:kern w:val="2"/>
          <w:szCs w:val="24"/>
          <w:highlight w:val="none"/>
          <w:lang w:eastAsia="zh-CN"/>
        </w:rPr>
        <w:t>款下的索赔额。 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w:t>
      </w:r>
      <w:r>
        <w:rPr>
          <w:rFonts w:hAnsi="宋体" w:cs="Times New Roman"/>
          <w:color w:val="auto"/>
          <w:kern w:val="2"/>
          <w:szCs w:val="24"/>
          <w:highlight w:val="none"/>
          <w:lang w:eastAsia="zh-CN"/>
        </w:rPr>
        <w:t>3.5</w:t>
      </w:r>
      <w:r>
        <w:rPr>
          <w:rFonts w:hint="eastAsia" w:hAnsi="宋体" w:cs="Times New Roman"/>
          <w:color w:val="auto"/>
          <w:kern w:val="2"/>
          <w:szCs w:val="24"/>
          <w:highlight w:val="none"/>
          <w:lang w:eastAsia="zh-CN"/>
        </w:rPr>
        <w:t>款商定或确定。</w:t>
      </w:r>
    </w:p>
    <w:p w14:paraId="20DAEA2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0" w:name="bookmark169"/>
      <w:bookmarkEnd w:id="170"/>
      <w:r>
        <w:rPr>
          <w:rFonts w:hAnsi="宋体" w:cs="Times New Roman"/>
          <w:color w:val="auto"/>
          <w:kern w:val="2"/>
          <w:szCs w:val="24"/>
          <w:highlight w:val="none"/>
          <w:lang w:eastAsia="zh-CN"/>
        </w:rPr>
        <w:t>3.5</w:t>
      </w:r>
      <w:r>
        <w:rPr>
          <w:rFonts w:hint="eastAsia" w:hAnsi="宋体" w:cs="Times New Roman"/>
          <w:color w:val="auto"/>
          <w:kern w:val="2"/>
          <w:szCs w:val="24"/>
          <w:highlight w:val="none"/>
          <w:lang w:eastAsia="zh-CN"/>
        </w:rPr>
        <w:t>商定或确定</w:t>
      </w:r>
    </w:p>
    <w:p w14:paraId="11EEDF2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3.5.1 </w:t>
      </w:r>
      <w:r>
        <w:rPr>
          <w:rFonts w:hint="eastAsia" w:hAnsi="宋体" w:cs="Times New Roman"/>
          <w:color w:val="auto"/>
          <w:kern w:val="2"/>
          <w:szCs w:val="24"/>
          <w:highlight w:val="none"/>
          <w:lang w:eastAsia="zh-CN"/>
        </w:rPr>
        <w:t xml:space="preserve">项补充： </w:t>
      </w:r>
    </w:p>
    <w:p w14:paraId="7BF0C45C">
      <w:pPr>
        <w:widowControl w:val="0"/>
        <w:kinsoku w:val="0"/>
        <w:overflowPunct w:val="0"/>
        <w:adjustRightInd w:val="0"/>
        <w:snapToGrid w:val="0"/>
        <w:spacing w:line="360" w:lineRule="auto"/>
        <w:ind w:firstLine="630" w:firstLineChars="3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如果这项商定或确定导致费用增加和（或）工期延长，或者涉及确定变更工程的价格，则总监理工程师在发出通知前，应征得发包人的同意。</w:t>
      </w:r>
    </w:p>
    <w:p w14:paraId="79C4882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1" w:name="bookmark170"/>
      <w:bookmarkEnd w:id="171"/>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承包人</w:t>
      </w:r>
    </w:p>
    <w:p w14:paraId="31A7982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2" w:name="bookmark171"/>
      <w:bookmarkEnd w:id="172"/>
      <w:r>
        <w:rPr>
          <w:rFonts w:hAnsi="宋体" w:cs="Times New Roman"/>
          <w:color w:val="auto"/>
          <w:kern w:val="2"/>
          <w:szCs w:val="24"/>
          <w:highlight w:val="none"/>
          <w:lang w:eastAsia="zh-CN"/>
        </w:rPr>
        <w:t>4.1</w:t>
      </w:r>
      <w:r>
        <w:rPr>
          <w:rFonts w:hint="eastAsia" w:hAnsi="宋体" w:cs="Times New Roman"/>
          <w:color w:val="auto"/>
          <w:kern w:val="2"/>
          <w:szCs w:val="24"/>
          <w:highlight w:val="none"/>
          <w:lang w:eastAsia="zh-CN"/>
        </w:rPr>
        <w:t>承包人的一般义务</w:t>
      </w:r>
    </w:p>
    <w:p w14:paraId="4354B82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4.1.9  </w:t>
      </w:r>
      <w:r>
        <w:rPr>
          <w:rFonts w:hint="eastAsia" w:hAnsi="宋体" w:cs="Times New Roman"/>
          <w:color w:val="auto"/>
          <w:kern w:val="2"/>
          <w:szCs w:val="24"/>
          <w:highlight w:val="none"/>
          <w:lang w:eastAsia="zh-CN"/>
        </w:rPr>
        <w:t>工程的维护和照管</w:t>
      </w:r>
    </w:p>
    <w:p w14:paraId="67B8A46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本项细化为：</w:t>
      </w:r>
    </w:p>
    <w:p w14:paraId="2FBA095D">
      <w:pPr>
        <w:widowControl w:val="0"/>
        <w:kinsoku w:val="0"/>
        <w:overflowPunct w:val="0"/>
        <w:adjustRightInd w:val="0"/>
        <w:snapToGrid w:val="0"/>
        <w:spacing w:line="360" w:lineRule="auto"/>
        <w:ind w:firstLine="391"/>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）交工验收证书颁发前，承包人应负责照管和维护工程及将用于或安装在本工程中的材料、设备。交工验收证书颁发时尚有部分未交工工程的，承包人还应负</w:t>
      </w:r>
      <w:r>
        <w:rPr>
          <w:rFonts w:hint="eastAsia" w:hAnsi="宋体" w:cs="Times New Roman"/>
          <w:color w:val="auto"/>
          <w:spacing w:val="-1"/>
          <w:kern w:val="2"/>
          <w:szCs w:val="24"/>
          <w:highlight w:val="none"/>
          <w:lang w:eastAsia="zh-CN"/>
        </w:rPr>
        <w:t>责该未交工工程、材料、设备的照管和维护工作，直至交工后移交给发包人为止。</w:t>
      </w:r>
    </w:p>
    <w:p w14:paraId="0F0B9C4F">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）在承包人负责照管与维护期间，如果本工程或材料、设备等发生损失或损害，除不可抗力原因之外，承包人均应自费弥补，并达到合同要求。承包人还应对按第</w:t>
      </w:r>
      <w:r>
        <w:rPr>
          <w:rFonts w:hAnsi="宋体" w:cs="Times New Roman"/>
          <w:color w:val="auto"/>
          <w:kern w:val="2"/>
          <w:szCs w:val="24"/>
          <w:highlight w:val="none"/>
          <w:lang w:eastAsia="zh-CN"/>
        </w:rPr>
        <w:t xml:space="preserve">19 </w:t>
      </w:r>
      <w:r>
        <w:rPr>
          <w:rFonts w:hint="eastAsia" w:hAnsi="宋体" w:cs="Times New Roman"/>
          <w:color w:val="auto"/>
          <w:kern w:val="2"/>
          <w:szCs w:val="24"/>
          <w:highlight w:val="none"/>
          <w:lang w:eastAsia="zh-CN"/>
        </w:rPr>
        <w:t>条规定而实施作业过程中由承包人造成的对工程的任何损失或损害负责。</w:t>
      </w:r>
    </w:p>
    <w:p w14:paraId="6933578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4.1.10  </w:t>
      </w:r>
      <w:r>
        <w:rPr>
          <w:rFonts w:hint="eastAsia" w:hAnsi="宋体" w:cs="Times New Roman"/>
          <w:color w:val="auto"/>
          <w:kern w:val="2"/>
          <w:szCs w:val="24"/>
          <w:highlight w:val="none"/>
          <w:lang w:eastAsia="zh-CN"/>
        </w:rPr>
        <w:t>其他义务</w:t>
      </w:r>
    </w:p>
    <w:p w14:paraId="651E957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本项细化为：</w:t>
      </w:r>
    </w:p>
    <w:p w14:paraId="6B7934D7">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）临时占地由承包人向当地政府土地管理部门申请</w:t>
      </w:r>
      <w:r>
        <w:rPr>
          <w:rFonts w:hint="eastAsia" w:hAnsi="宋体" w:cs="Times New Roman"/>
          <w:color w:val="auto"/>
          <w:spacing w:val="-39"/>
          <w:kern w:val="2"/>
          <w:szCs w:val="24"/>
          <w:highlight w:val="none"/>
          <w:lang w:eastAsia="zh-CN"/>
        </w:rPr>
        <w:t>，</w:t>
      </w:r>
      <w:r>
        <w:rPr>
          <w:rFonts w:hint="eastAsia" w:hAnsi="宋体" w:cs="Times New Roman"/>
          <w:color w:val="auto"/>
          <w:kern w:val="2"/>
          <w:szCs w:val="24"/>
          <w:highlight w:val="none"/>
          <w:lang w:eastAsia="zh-CN"/>
        </w:rPr>
        <w:t>并办理租用手续</w:t>
      </w:r>
      <w:r>
        <w:rPr>
          <w:rFonts w:hint="eastAsia" w:hAnsi="宋体" w:cs="Times New Roman"/>
          <w:color w:val="auto"/>
          <w:spacing w:val="-39"/>
          <w:kern w:val="2"/>
          <w:szCs w:val="24"/>
          <w:highlight w:val="none"/>
          <w:lang w:eastAsia="zh-CN"/>
        </w:rPr>
        <w:t>，</w:t>
      </w:r>
      <w:r>
        <w:rPr>
          <w:rFonts w:hint="eastAsia" w:hAnsi="宋体" w:cs="Times New Roman"/>
          <w:color w:val="auto"/>
          <w:kern w:val="2"/>
          <w:szCs w:val="24"/>
          <w:highlight w:val="none"/>
          <w:lang w:eastAsia="zh-CN"/>
        </w:rPr>
        <w:t>承包人按有关规定直接支付其费用，发包人对此将予以协调。</w:t>
      </w:r>
    </w:p>
    <w:p w14:paraId="17CCA1A2">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w:t>
      </w:r>
      <w:r>
        <w:rPr>
          <w:rFonts w:hint="eastAsia" w:hAnsi="宋体" w:cs="Times New Roman"/>
          <w:color w:val="auto"/>
          <w:spacing w:val="-3"/>
          <w:kern w:val="2"/>
          <w:szCs w:val="24"/>
          <w:highlight w:val="none"/>
          <w:lang w:eastAsia="zh-CN"/>
        </w:rPr>
        <w:t>临时占地数量、时间及因此而发生的协调、租用、复耕、地面附着物（电力、电信、</w:t>
      </w:r>
      <w:r>
        <w:rPr>
          <w:rFonts w:hint="eastAsia" w:hAnsi="宋体" w:cs="Times New Roman"/>
          <w:color w:val="auto"/>
          <w:kern w:val="2"/>
          <w:szCs w:val="24"/>
          <w:highlight w:val="none"/>
          <w:lang w:eastAsia="zh-CN"/>
        </w:rPr>
        <w:t>房屋、坟墓除外）的拆迁补偿等相关费用。除项目专用合同条款另有约定外，临时</w:t>
      </w:r>
      <w:r>
        <w:rPr>
          <w:rFonts w:hint="eastAsia" w:hAnsi="宋体" w:cs="Times New Roman"/>
          <w:color w:val="auto"/>
          <w:spacing w:val="-1"/>
          <w:kern w:val="2"/>
          <w:szCs w:val="24"/>
          <w:highlight w:val="none"/>
          <w:lang w:eastAsia="zh-CN"/>
        </w:rPr>
        <w:t>占地的租地费用实行总额包干，列入工程量清单第</w:t>
      </w:r>
      <w:r>
        <w:rPr>
          <w:rFonts w:hAnsi="宋体" w:cs="Times New Roman"/>
          <w:color w:val="auto"/>
          <w:kern w:val="2"/>
          <w:szCs w:val="24"/>
          <w:highlight w:val="none"/>
          <w:lang w:eastAsia="zh-CN"/>
        </w:rPr>
        <w:t xml:space="preserve">100 </w:t>
      </w:r>
      <w:r>
        <w:rPr>
          <w:rFonts w:hint="eastAsia" w:hAnsi="宋体" w:cs="Times New Roman"/>
          <w:color w:val="auto"/>
          <w:kern w:val="2"/>
          <w:szCs w:val="24"/>
          <w:highlight w:val="none"/>
          <w:lang w:eastAsia="zh-CN"/>
        </w:rPr>
        <w:t>章中由承包人按总额报价。</w:t>
      </w:r>
    </w:p>
    <w:p w14:paraId="6900CFF8">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临时占地退还前</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承包人应自费恢复到临时占地使用前的状况</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如因承包人撤离后未按要求对临时占地进行恢复或虽进行了恢复但未达到使用标准的，将由发包人委托第三方对其恢复，所发生的费用将从应付给承包人的任何款项内扣除。</w:t>
      </w:r>
    </w:p>
    <w:p w14:paraId="7FDE8291">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6AB2C7EE">
      <w:pPr>
        <w:widowControl w:val="0"/>
        <w:kinsoku w:val="0"/>
        <w:overflowPunct w:val="0"/>
        <w:adjustRightInd w:val="0"/>
        <w:snapToGrid w:val="0"/>
        <w:spacing w:line="360" w:lineRule="auto"/>
        <w:ind w:firstLine="391"/>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583F9DA9">
      <w:pPr>
        <w:widowControl w:val="0"/>
        <w:kinsoku w:val="0"/>
        <w:overflowPunct w:val="0"/>
        <w:adjustRightInd w:val="0"/>
        <w:snapToGrid w:val="0"/>
        <w:spacing w:line="360" w:lineRule="auto"/>
        <w:ind w:firstLine="600" w:firstLineChars="286"/>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承包人的项目经理部是民工工资支付行为的主体</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承包人的项目</w:t>
      </w:r>
      <w:r>
        <w:rPr>
          <w:rFonts w:hint="eastAsia" w:hAnsi="宋体" w:cs="Times New Roman"/>
          <w:color w:val="auto"/>
          <w:spacing w:val="1"/>
          <w:kern w:val="2"/>
          <w:szCs w:val="24"/>
          <w:highlight w:val="none"/>
          <w:lang w:eastAsia="zh-CN"/>
        </w:rPr>
        <w:t>经</w:t>
      </w:r>
      <w:r>
        <w:rPr>
          <w:rFonts w:hint="eastAsia" w:hAnsi="宋体" w:cs="Times New Roman"/>
          <w:color w:val="auto"/>
          <w:kern w:val="2"/>
          <w:szCs w:val="24"/>
          <w:highlight w:val="none"/>
          <w:lang w:eastAsia="zh-CN"/>
        </w:rPr>
        <w:t>理是民工工资支付的责任人。项目经理部要建立全体民工花名册和工资支付表，确</w:t>
      </w:r>
      <w:r>
        <w:rPr>
          <w:rFonts w:hint="eastAsia" w:hAnsi="宋体" w:cs="Times New Roman"/>
          <w:color w:val="auto"/>
          <w:spacing w:val="1"/>
          <w:kern w:val="2"/>
          <w:szCs w:val="24"/>
          <w:highlight w:val="none"/>
          <w:lang w:eastAsia="zh-CN"/>
        </w:rPr>
        <w:t>发放给民工本人，或委托银行发放民工工资，严禁发放给</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包工头</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或其他不具备用</w:t>
      </w:r>
      <w:r>
        <w:rPr>
          <w:rFonts w:hint="eastAsia" w:hAnsi="宋体" w:cs="Times New Roman"/>
          <w:color w:val="auto"/>
          <w:kern w:val="2"/>
          <w:szCs w:val="24"/>
          <w:highlight w:val="none"/>
          <w:lang w:eastAsia="zh-CN"/>
        </w:rPr>
        <w:t>工主体资格的组织和个人。</w:t>
      </w:r>
    </w:p>
    <w:p w14:paraId="2341A166">
      <w:pPr>
        <w:widowControl w:val="0"/>
        <w:kinsoku w:val="0"/>
        <w:overflowPunct w:val="0"/>
        <w:adjustRightInd w:val="0"/>
        <w:snapToGrid w:val="0"/>
        <w:spacing w:line="360" w:lineRule="auto"/>
        <w:ind w:firstLine="420" w:firstLineChars="200"/>
        <w:jc w:val="left"/>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工资支付表应如实记录支付单位</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支付时间</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支付对象</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支付数额</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支付对象的</w:t>
      </w:r>
      <w:r>
        <w:rPr>
          <w:rFonts w:hint="eastAsia" w:hAnsi="宋体" w:cs="Times New Roman"/>
          <w:color w:val="auto"/>
          <w:spacing w:val="-1"/>
          <w:kern w:val="2"/>
          <w:szCs w:val="24"/>
          <w:highlight w:val="none"/>
          <w:lang w:eastAsia="zh-CN"/>
        </w:rPr>
        <w:t>身份证号和签字等信息。民工花名册和工资支付表应报监理人备查。</w:t>
      </w:r>
    </w:p>
    <w:p w14:paraId="2CAB4589">
      <w:pPr>
        <w:widowControl w:val="0"/>
        <w:kinsoku w:val="0"/>
        <w:overflowPunct w:val="0"/>
        <w:adjustRightInd w:val="0"/>
        <w:snapToGrid w:val="0"/>
        <w:spacing w:line="360" w:lineRule="auto"/>
        <w:ind w:firstLine="391"/>
        <w:jc w:val="left"/>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w:t>
      </w:r>
      <w:r>
        <w:rPr>
          <w:rFonts w:hint="eastAsia" w:hAnsi="宋体" w:cs="Times New Roman"/>
          <w:color w:val="auto"/>
          <w:spacing w:val="-1"/>
          <w:kern w:val="2"/>
          <w:szCs w:val="24"/>
          <w:highlight w:val="none"/>
          <w:lang w:eastAsia="zh-CN"/>
        </w:rPr>
        <w:t>通运输主管部门报告。</w:t>
      </w:r>
    </w:p>
    <w:p w14:paraId="2F8A01CB">
      <w:pPr>
        <w:widowControl w:val="0"/>
        <w:kinsoku w:val="0"/>
        <w:overflowPunct w:val="0"/>
        <w:adjustRightInd w:val="0"/>
        <w:snapToGrid w:val="0"/>
        <w:spacing w:line="360" w:lineRule="auto"/>
        <w:ind w:firstLine="391"/>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w:t>
      </w:r>
      <w:r>
        <w:rPr>
          <w:rFonts w:hAnsi="宋体" w:cs="Times New Roman"/>
          <w:color w:val="auto"/>
          <w:kern w:val="2"/>
          <w:szCs w:val="24"/>
          <w:highlight w:val="none"/>
          <w:lang w:eastAsia="zh-CN"/>
        </w:rPr>
        <w:t>100</w:t>
      </w:r>
      <w:r>
        <w:rPr>
          <w:rFonts w:hint="eastAsia" w:hAnsi="宋体" w:cs="Times New Roman"/>
          <w:color w:val="auto"/>
          <w:kern w:val="2"/>
          <w:szCs w:val="24"/>
          <w:highlight w:val="none"/>
          <w:lang w:eastAsia="zh-CN"/>
        </w:rPr>
        <w:t>章中。</w:t>
      </w:r>
    </w:p>
    <w:p w14:paraId="5EBDC309">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（6）承包人应履行项目专用合同条款约定的其他义务。</w:t>
      </w:r>
    </w:p>
    <w:p w14:paraId="19C6879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3" w:name="bookmark172"/>
      <w:bookmarkEnd w:id="173"/>
      <w:r>
        <w:rPr>
          <w:rFonts w:hAnsi="宋体" w:cs="Times New Roman"/>
          <w:color w:val="auto"/>
          <w:kern w:val="2"/>
          <w:szCs w:val="24"/>
          <w:highlight w:val="none"/>
          <w:lang w:eastAsia="zh-CN"/>
        </w:rPr>
        <w:t>4.2</w:t>
      </w:r>
      <w:r>
        <w:rPr>
          <w:rFonts w:hint="eastAsia" w:hAnsi="宋体" w:cs="Times New Roman"/>
          <w:color w:val="auto"/>
          <w:kern w:val="2"/>
          <w:szCs w:val="24"/>
          <w:highlight w:val="none"/>
          <w:lang w:eastAsia="zh-CN"/>
        </w:rPr>
        <w:t>履约保证金</w:t>
      </w:r>
    </w:p>
    <w:p w14:paraId="080BCA5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本款细化为： </w:t>
      </w:r>
    </w:p>
    <w:p w14:paraId="5FE89BA3">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ascii="宋体" w:hAnsi="宋体"/>
          <w:color w:val="auto"/>
          <w:sz w:val="21"/>
          <w:szCs w:val="21"/>
          <w:highlight w:val="none"/>
        </w:rPr>
        <w:t>承包人应保证其履约担保在发包人颁发工程接收证书前一直有效。发包人应在工程接收证书颁发后28天内把履约担保退还给承包人。</w:t>
      </w:r>
      <w:r>
        <w:rPr>
          <w:rFonts w:hint="eastAsia" w:ascii="宋体" w:hAnsi="宋体"/>
          <w:color w:val="auto"/>
          <w:spacing w:val="-1"/>
          <w:sz w:val="21"/>
          <w:szCs w:val="21"/>
          <w:highlight w:val="none"/>
          <w:lang w:eastAsia="zh-CN"/>
        </w:rPr>
        <w:t>质量保证金按建设工程质量保证金管理办法执行。</w:t>
      </w:r>
    </w:p>
    <w:p w14:paraId="4E2F94FA">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承包人拒绝按照本合同约定缴纳质量保证金的，发包人有权从交工付款证书中扣留相应金额作为质量保证金，或者直接将履约保证金金额用于保证承包人在缺陷责任期内履行缺陷修复义务。</w:t>
      </w:r>
    </w:p>
    <w:p w14:paraId="1F5B764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4" w:name="bookmark173"/>
      <w:bookmarkEnd w:id="174"/>
      <w:r>
        <w:rPr>
          <w:rFonts w:hAnsi="宋体" w:cs="Times New Roman"/>
          <w:color w:val="auto"/>
          <w:kern w:val="2"/>
          <w:szCs w:val="24"/>
          <w:highlight w:val="none"/>
          <w:lang w:eastAsia="zh-CN"/>
        </w:rPr>
        <w:t>4.3</w:t>
      </w:r>
      <w:r>
        <w:rPr>
          <w:rFonts w:hint="eastAsia" w:hAnsi="宋体" w:cs="Times New Roman"/>
          <w:color w:val="auto"/>
          <w:kern w:val="2"/>
          <w:szCs w:val="24"/>
          <w:highlight w:val="none"/>
          <w:lang w:eastAsia="zh-CN"/>
        </w:rPr>
        <w:t>分包</w:t>
      </w:r>
    </w:p>
    <w:p w14:paraId="3FE9A73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4.3.2 </w:t>
      </w:r>
      <w:r>
        <w:rPr>
          <w:rFonts w:hint="eastAsia" w:hAnsi="宋体" w:cs="Times New Roman"/>
          <w:color w:val="auto"/>
          <w:kern w:val="2"/>
          <w:szCs w:val="24"/>
          <w:highlight w:val="none"/>
          <w:lang w:eastAsia="zh-CN"/>
        </w:rPr>
        <w:t>项～第</w:t>
      </w:r>
      <w:r>
        <w:rPr>
          <w:rFonts w:hAnsi="宋体" w:cs="Times New Roman"/>
          <w:color w:val="auto"/>
          <w:kern w:val="2"/>
          <w:szCs w:val="24"/>
          <w:highlight w:val="none"/>
          <w:lang w:eastAsia="zh-CN"/>
        </w:rPr>
        <w:t xml:space="preserve">4.3.4 </w:t>
      </w:r>
      <w:r>
        <w:rPr>
          <w:rFonts w:hint="eastAsia" w:hAnsi="宋体" w:cs="Times New Roman"/>
          <w:color w:val="auto"/>
          <w:kern w:val="2"/>
          <w:szCs w:val="24"/>
          <w:highlight w:val="none"/>
          <w:lang w:eastAsia="zh-CN"/>
        </w:rPr>
        <w:t>项细化为：</w:t>
      </w:r>
    </w:p>
    <w:p w14:paraId="3D18BB8D">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4.3.2 </w:t>
      </w:r>
      <w:r>
        <w:rPr>
          <w:rFonts w:hint="eastAsia" w:hAnsi="宋体" w:cs="Times New Roman"/>
          <w:color w:val="auto"/>
          <w:kern w:val="2"/>
          <w:szCs w:val="24"/>
          <w:highlight w:val="none"/>
          <w:lang w:eastAsia="zh-CN"/>
        </w:rPr>
        <w:t>承包人不得将工程关键性工作分包给第三人</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经发包人同意</w:t>
      </w:r>
      <w:r>
        <w:rPr>
          <w:rFonts w:hint="eastAsia" w:hAnsi="宋体" w:cs="Times New Roman"/>
          <w:color w:val="auto"/>
          <w:spacing w:val="-41"/>
          <w:kern w:val="2"/>
          <w:szCs w:val="24"/>
          <w:highlight w:val="none"/>
          <w:lang w:eastAsia="zh-CN"/>
        </w:rPr>
        <w:t>，</w:t>
      </w:r>
      <w:r>
        <w:rPr>
          <w:rFonts w:hint="eastAsia" w:hAnsi="宋体" w:cs="Times New Roman"/>
          <w:color w:val="auto"/>
          <w:kern w:val="2"/>
          <w:szCs w:val="24"/>
          <w:highlight w:val="none"/>
          <w:lang w:eastAsia="zh-CN"/>
        </w:rPr>
        <w:t>承包人可将工程的其他部分或工作分包给第三人。分包包括专业分包和劳务分包。</w:t>
      </w:r>
    </w:p>
    <w:p w14:paraId="2870630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4.3.3  </w:t>
      </w:r>
      <w:r>
        <w:rPr>
          <w:rFonts w:hint="eastAsia" w:hAnsi="宋体" w:cs="Times New Roman"/>
          <w:color w:val="auto"/>
          <w:kern w:val="2"/>
          <w:szCs w:val="24"/>
          <w:highlight w:val="none"/>
          <w:lang w:eastAsia="zh-CN"/>
        </w:rPr>
        <w:t>专业分包 在工程施工过程中，承包人进行专业分包必须遵守以下规定：</w:t>
      </w:r>
    </w:p>
    <w:p w14:paraId="3EAC46EB">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1E1D988A">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（2）专业分包人的资格能力（含安全生产能力）应与其分包工程的标准和规模相适应，且应当具备如下条件：</w:t>
      </w:r>
    </w:p>
    <w:p w14:paraId="71D11BD0">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a.具有经工商登记的法人资格；</w:t>
      </w:r>
    </w:p>
    <w:p w14:paraId="4B779316">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b.具有从事类似工程经验的管理与技术人员；</w:t>
      </w:r>
    </w:p>
    <w:p w14:paraId="7101D8D8">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c.具有（自有或租赁）分包工程所需的施工设备。承包人应向监理人提交专业分包人的资格能力证明材料，经监理人审查并报发包人批准后，可以将相应专业工程分包给该专业分包人。</w:t>
      </w:r>
    </w:p>
    <w:p w14:paraId="7DE4A0DB">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（3）专业分包工程不得再次分包。</w:t>
      </w:r>
    </w:p>
    <w:p w14:paraId="7C37379B">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（4）承包人和专业分包人应当按照交通运输主管部门制定的统一格式依法签订 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5C7E41DC">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5BA65206">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432A87CD">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17235130">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6B093357">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违反上述规定之一者属违规分包。</w:t>
      </w:r>
    </w:p>
    <w:p w14:paraId="2B4370B3">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4.3.4  </w:t>
      </w:r>
      <w:r>
        <w:rPr>
          <w:rFonts w:hint="eastAsia" w:hAnsi="宋体" w:cs="Times New Roman"/>
          <w:color w:val="auto"/>
          <w:kern w:val="2"/>
          <w:szCs w:val="24"/>
          <w:highlight w:val="none"/>
          <w:lang w:eastAsia="zh-CN"/>
        </w:rPr>
        <w:t>劳务分包 在工程施工过程中，承包人进行劳务分包必须遵守以下规定：</w:t>
      </w:r>
    </w:p>
    <w:p w14:paraId="0EC410A9">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（1）劳务分包人应具有施工劳务资质。</w:t>
      </w:r>
    </w:p>
    <w:p w14:paraId="68C1BA24">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005A7E9E">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3）承包人雇用的劳务作业应加入到承包人的施工班组统一管理。有关施工质量、施工安全、施工进度、环境保护、技术方案、试验检测、材料保管与供应、机械设备等都必须由承包人管理与调配，不得以包代管。</w:t>
      </w:r>
    </w:p>
    <w:p w14:paraId="6D87DB00">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（4）承包人应当对劳务分包人员进行安全培训和管理，劳务分包人不得将其分包的劳务作业再次分包。</w:t>
      </w:r>
    </w:p>
    <w:p w14:paraId="4C1F850E">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违反上述规定之一者属违规分包。</w:t>
      </w:r>
    </w:p>
    <w:p w14:paraId="47680393">
      <w:pPr>
        <w:widowControl w:val="0"/>
        <w:kinsoku w:val="0"/>
        <w:overflowPunct w:val="0"/>
        <w:adjustRightInd w:val="0"/>
        <w:snapToGrid w:val="0"/>
        <w:spacing w:line="360" w:lineRule="auto"/>
        <w:ind w:firstLine="391"/>
        <w:jc w:val="left"/>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本款补充第4.3.6 项、第4.3.7 项：</w:t>
      </w:r>
    </w:p>
    <w:p w14:paraId="05B05643">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4.3.6 </w:t>
      </w:r>
      <w:r>
        <w:rPr>
          <w:rFonts w:hint="eastAsia" w:hAnsi="宋体" w:cs="Times New Roman"/>
          <w:color w:val="auto"/>
          <w:kern w:val="2"/>
          <w:szCs w:val="24"/>
          <w:highlight w:val="none"/>
          <w:lang w:eastAsia="zh-CN"/>
        </w:rPr>
        <w:t>发包人对承包人与分包人之间的法律与经济纠纷不承担任何责任和义务。</w:t>
      </w:r>
    </w:p>
    <w:p w14:paraId="48B9395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4.3.7 </w:t>
      </w:r>
      <w:r>
        <w:rPr>
          <w:rFonts w:hint="eastAsia" w:hAnsi="宋体" w:cs="Times New Roman"/>
          <w:color w:val="auto"/>
          <w:kern w:val="2"/>
          <w:szCs w:val="24"/>
          <w:highlight w:val="none"/>
          <w:lang w:eastAsia="zh-CN"/>
        </w:rPr>
        <w:t>本项目的各项分包工作均应遵</w:t>
      </w:r>
      <w:r>
        <w:rPr>
          <w:rFonts w:hint="eastAsia" w:hAnsi="宋体" w:cs="Times New Roman"/>
          <w:color w:val="auto"/>
          <w:spacing w:val="-44"/>
          <w:kern w:val="2"/>
          <w:szCs w:val="24"/>
          <w:highlight w:val="none"/>
          <w:lang w:eastAsia="zh-CN"/>
        </w:rPr>
        <w:t>守</w:t>
      </w:r>
      <w:r>
        <w:rPr>
          <w:rFonts w:hint="eastAsia" w:hAnsi="宋体" w:cs="Times New Roman"/>
          <w:color w:val="auto"/>
          <w:kern w:val="2"/>
          <w:szCs w:val="24"/>
          <w:highlight w:val="none"/>
          <w:lang w:eastAsia="zh-CN"/>
        </w:rPr>
        <w:t>《公路工程施工分包管理办法</w:t>
      </w:r>
      <w:r>
        <w:rPr>
          <w:rFonts w:hint="eastAsia" w:hAnsi="宋体" w:cs="Times New Roman"/>
          <w:color w:val="auto"/>
          <w:spacing w:val="-42"/>
          <w:kern w:val="2"/>
          <w:szCs w:val="24"/>
          <w:highlight w:val="none"/>
          <w:lang w:eastAsia="zh-CN"/>
        </w:rPr>
        <w:t>》</w:t>
      </w:r>
      <w:r>
        <w:rPr>
          <w:rFonts w:hint="eastAsia" w:hAnsi="宋体" w:cs="Times New Roman"/>
          <w:color w:val="auto"/>
          <w:kern w:val="2"/>
          <w:szCs w:val="24"/>
          <w:highlight w:val="none"/>
          <w:lang w:eastAsia="zh-CN"/>
        </w:rPr>
        <w:t>的有关规定。</w:t>
      </w:r>
    </w:p>
    <w:p w14:paraId="7864113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5" w:name="bookmark174"/>
      <w:bookmarkEnd w:id="175"/>
      <w:r>
        <w:rPr>
          <w:rFonts w:hAnsi="宋体" w:cs="Times New Roman"/>
          <w:color w:val="auto"/>
          <w:kern w:val="2"/>
          <w:szCs w:val="24"/>
          <w:highlight w:val="none"/>
          <w:lang w:eastAsia="zh-CN"/>
        </w:rPr>
        <w:t>4.4</w:t>
      </w:r>
      <w:r>
        <w:rPr>
          <w:rFonts w:hint="eastAsia" w:hAnsi="宋体" w:cs="Times New Roman"/>
          <w:color w:val="auto"/>
          <w:kern w:val="2"/>
          <w:szCs w:val="24"/>
          <w:highlight w:val="none"/>
          <w:lang w:eastAsia="zh-CN"/>
        </w:rPr>
        <w:t>联合体</w:t>
      </w:r>
    </w:p>
    <w:p w14:paraId="685E77B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4.4.4 </w:t>
      </w:r>
      <w:r>
        <w:rPr>
          <w:rFonts w:hint="eastAsia" w:hAnsi="宋体" w:cs="Times New Roman"/>
          <w:color w:val="auto"/>
          <w:kern w:val="2"/>
          <w:szCs w:val="24"/>
          <w:highlight w:val="none"/>
          <w:lang w:eastAsia="zh-CN"/>
        </w:rPr>
        <w:t>项：</w:t>
      </w:r>
    </w:p>
    <w:p w14:paraId="1A10CA48">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4.4.4 </w:t>
      </w:r>
      <w:r>
        <w:rPr>
          <w:rFonts w:hint="eastAsia" w:hAnsi="宋体" w:cs="Times New Roman"/>
          <w:color w:val="auto"/>
          <w:kern w:val="2"/>
          <w:szCs w:val="24"/>
          <w:highlight w:val="none"/>
          <w:lang w:eastAsia="zh-CN"/>
        </w:rPr>
        <w:t>未经发包人事先同意，联合体的组成与结构不得变动。</w:t>
      </w:r>
    </w:p>
    <w:p w14:paraId="0BA5A62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6" w:name="bookmark175"/>
      <w:bookmarkEnd w:id="176"/>
      <w:r>
        <w:rPr>
          <w:rFonts w:hAnsi="宋体" w:cs="Times New Roman"/>
          <w:color w:val="auto"/>
          <w:kern w:val="2"/>
          <w:szCs w:val="24"/>
          <w:highlight w:val="none"/>
          <w:lang w:eastAsia="zh-CN"/>
        </w:rPr>
        <w:t>4.6</w:t>
      </w:r>
      <w:r>
        <w:rPr>
          <w:rFonts w:hint="eastAsia" w:hAnsi="宋体" w:cs="Times New Roman"/>
          <w:color w:val="auto"/>
          <w:kern w:val="2"/>
          <w:szCs w:val="24"/>
          <w:highlight w:val="none"/>
          <w:lang w:eastAsia="zh-CN"/>
        </w:rPr>
        <w:t>承包人人员的管理</w:t>
      </w:r>
    </w:p>
    <w:p w14:paraId="1A0EB97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4.6.3 </w:t>
      </w:r>
      <w:r>
        <w:rPr>
          <w:rFonts w:hint="eastAsia" w:hAnsi="宋体" w:cs="Times New Roman"/>
          <w:color w:val="auto"/>
          <w:kern w:val="2"/>
          <w:szCs w:val="24"/>
          <w:highlight w:val="none"/>
          <w:lang w:eastAsia="zh-CN"/>
        </w:rPr>
        <w:t>项细化为：</w:t>
      </w:r>
    </w:p>
    <w:p w14:paraId="7DDF4147">
      <w:pPr>
        <w:widowControl w:val="0"/>
        <w:kinsoku w:val="0"/>
        <w:overflowPunct w:val="0"/>
        <w:adjustRightInd w:val="0"/>
        <w:snapToGrid w:val="0"/>
        <w:spacing w:line="360" w:lineRule="auto"/>
        <w:ind w:firstLine="448" w:firstLineChars="200"/>
        <w:jc w:val="both"/>
        <w:rPr>
          <w:rFonts w:hAnsi="宋体" w:cs="Times New Roman"/>
          <w:color w:val="auto"/>
          <w:kern w:val="2"/>
          <w:szCs w:val="24"/>
          <w:highlight w:val="none"/>
          <w:lang w:eastAsia="zh-CN"/>
        </w:rPr>
      </w:pPr>
      <w:r>
        <w:rPr>
          <w:rFonts w:hint="eastAsia" w:hAnsi="宋体" w:cs="Times New Roman"/>
          <w:color w:val="auto"/>
          <w:spacing w:val="7"/>
          <w:kern w:val="2"/>
          <w:szCs w:val="24"/>
          <w:highlight w:val="none"/>
          <w:lang w:eastAsia="zh-CN"/>
        </w:rPr>
        <w:t>承包人安排在施工场地的主要管理人员和技术骨干应与承包人承诺的名单一</w:t>
      </w:r>
      <w:r>
        <w:rPr>
          <w:rFonts w:hint="eastAsia" w:hAnsi="宋体" w:cs="Times New Roman"/>
          <w:color w:val="auto"/>
          <w:kern w:val="2"/>
          <w:szCs w:val="24"/>
          <w:highlight w:val="none"/>
          <w:lang w:eastAsia="zh-CN"/>
        </w:rPr>
        <w:t>致，并保持相对稳定。未经监理人批准，上述人员不应无故不到位或被替换；若确实无法到位或需替换，需经监理人审核并报发包人批准后，用同等资质和经历的人员替换。</w:t>
      </w:r>
    </w:p>
    <w:p w14:paraId="5AD412D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4.6.5 </w:t>
      </w:r>
      <w:r>
        <w:rPr>
          <w:rFonts w:hint="eastAsia" w:hAnsi="宋体" w:cs="Times New Roman"/>
          <w:color w:val="auto"/>
          <w:kern w:val="2"/>
          <w:szCs w:val="24"/>
          <w:highlight w:val="none"/>
          <w:lang w:eastAsia="zh-CN"/>
        </w:rPr>
        <w:t>项：</w:t>
      </w:r>
    </w:p>
    <w:p w14:paraId="22B5F81E">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4.6.5 </w:t>
      </w:r>
      <w:r>
        <w:rPr>
          <w:rFonts w:hint="eastAsia" w:hAnsi="宋体" w:cs="Times New Roman"/>
          <w:color w:val="auto"/>
          <w:kern w:val="2"/>
          <w:szCs w:val="24"/>
          <w:highlight w:val="none"/>
          <w:lang w:eastAsia="zh-CN"/>
        </w:rPr>
        <w:t>尽管承包人已按承诺派遣了上述各类人员，但若这些人员仍</w:t>
      </w:r>
      <w:r>
        <w:rPr>
          <w:rFonts w:hint="eastAsia" w:hAnsi="宋体" w:cs="Times New Roman"/>
          <w:color w:val="auto"/>
          <w:spacing w:val="1"/>
          <w:kern w:val="2"/>
          <w:szCs w:val="24"/>
          <w:highlight w:val="none"/>
          <w:lang w:eastAsia="zh-CN"/>
        </w:rPr>
        <w:t>不</w:t>
      </w:r>
      <w:r>
        <w:rPr>
          <w:rFonts w:hint="eastAsia" w:hAnsi="宋体" w:cs="Times New Roman"/>
          <w:color w:val="auto"/>
          <w:kern w:val="2"/>
          <w:szCs w:val="24"/>
          <w:highlight w:val="none"/>
          <w:lang w:eastAsia="zh-CN"/>
        </w:rPr>
        <w:t>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12EE27B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7" w:name="bookmark176"/>
      <w:bookmarkEnd w:id="177"/>
      <w:r>
        <w:rPr>
          <w:rFonts w:hAnsi="宋体" w:cs="Times New Roman"/>
          <w:color w:val="auto"/>
          <w:kern w:val="2"/>
          <w:szCs w:val="24"/>
          <w:highlight w:val="none"/>
          <w:lang w:eastAsia="zh-CN"/>
        </w:rPr>
        <w:t>4.7</w:t>
      </w:r>
      <w:r>
        <w:rPr>
          <w:rFonts w:hint="eastAsia" w:hAnsi="宋体" w:cs="Times New Roman"/>
          <w:color w:val="auto"/>
          <w:kern w:val="2"/>
          <w:szCs w:val="24"/>
          <w:highlight w:val="none"/>
          <w:lang w:eastAsia="zh-CN"/>
        </w:rPr>
        <w:t>撤换承包人项目经理和其他人员</w:t>
      </w:r>
    </w:p>
    <w:p w14:paraId="1BACFF2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本款细化为： 承包人应对其项目经理和其他人员进行有效管理。监理人要求撤换不能胜任本职工作</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行为不端或玩忽职守的承包人项目经理和其他人员的，承包人应予以撤</w:t>
      </w:r>
      <w:r>
        <w:rPr>
          <w:rFonts w:hint="eastAsia" w:hAnsi="宋体" w:cs="Times New Roman"/>
          <w:color w:val="auto"/>
          <w:spacing w:val="1"/>
          <w:kern w:val="2"/>
          <w:szCs w:val="24"/>
          <w:highlight w:val="none"/>
          <w:lang w:eastAsia="zh-CN"/>
        </w:rPr>
        <w:t>换</w:t>
      </w:r>
      <w:r>
        <w:rPr>
          <w:rFonts w:hint="eastAsia" w:hAnsi="宋体" w:cs="Times New Roman"/>
          <w:color w:val="auto"/>
          <w:kern w:val="2"/>
          <w:szCs w:val="24"/>
          <w:highlight w:val="none"/>
          <w:lang w:eastAsia="zh-CN"/>
        </w:rPr>
        <w:t>，同时委派经发包人与监理人同意的新的项目经理和其他人员。</w:t>
      </w:r>
    </w:p>
    <w:p w14:paraId="16854D8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8" w:name="bookmark177"/>
      <w:bookmarkEnd w:id="178"/>
      <w:r>
        <w:rPr>
          <w:rFonts w:hAnsi="宋体" w:cs="Times New Roman"/>
          <w:color w:val="auto"/>
          <w:kern w:val="2"/>
          <w:szCs w:val="24"/>
          <w:highlight w:val="none"/>
          <w:lang w:eastAsia="zh-CN"/>
        </w:rPr>
        <w:t>4.9</w:t>
      </w:r>
      <w:r>
        <w:rPr>
          <w:rFonts w:hint="eastAsia" w:hAnsi="宋体" w:cs="Times New Roman"/>
          <w:color w:val="auto"/>
          <w:kern w:val="2"/>
          <w:szCs w:val="24"/>
          <w:highlight w:val="none"/>
          <w:lang w:eastAsia="zh-CN"/>
        </w:rPr>
        <w:t>工程价款应专款专用</w:t>
      </w:r>
    </w:p>
    <w:p w14:paraId="61820378">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本款细化为： </w:t>
      </w:r>
    </w:p>
    <w:p w14:paraId="3DBF599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发包人按合同约定支付给承包人的各项价款应专用于合同工程。承包人必须在发包人指定的银行开户</w:t>
      </w:r>
      <w:r>
        <w:rPr>
          <w:rFonts w:hint="eastAsia" w:hAnsi="宋体" w:cs="Times New Roman"/>
          <w:color w:val="auto"/>
          <w:spacing w:val="-22"/>
          <w:kern w:val="2"/>
          <w:szCs w:val="24"/>
          <w:highlight w:val="none"/>
          <w:lang w:eastAsia="zh-CN"/>
        </w:rPr>
        <w:t>，</w:t>
      </w:r>
      <w:r>
        <w:rPr>
          <w:rFonts w:hint="eastAsia" w:hAnsi="宋体" w:cs="Times New Roman"/>
          <w:color w:val="auto"/>
          <w:kern w:val="2"/>
          <w:szCs w:val="24"/>
          <w:highlight w:val="none"/>
          <w:lang w:eastAsia="zh-CN"/>
        </w:rPr>
        <w:t>并与发包人</w:t>
      </w:r>
      <w:r>
        <w:rPr>
          <w:rFonts w:hint="eastAsia" w:hAnsi="宋体" w:cs="Times New Roman"/>
          <w:color w:val="auto"/>
          <w:spacing w:val="-22"/>
          <w:kern w:val="2"/>
          <w:szCs w:val="24"/>
          <w:highlight w:val="none"/>
          <w:lang w:eastAsia="zh-CN"/>
        </w:rPr>
        <w:t>、</w:t>
      </w:r>
      <w:r>
        <w:rPr>
          <w:rFonts w:hint="eastAsia" w:hAnsi="宋体" w:cs="Times New Roman"/>
          <w:color w:val="auto"/>
          <w:kern w:val="2"/>
          <w:szCs w:val="24"/>
          <w:highlight w:val="none"/>
          <w:lang w:eastAsia="zh-CN"/>
        </w:rPr>
        <w:t>银行共同签</w:t>
      </w:r>
      <w:r>
        <w:rPr>
          <w:rFonts w:hint="eastAsia" w:hAnsi="宋体" w:cs="Times New Roman"/>
          <w:color w:val="auto"/>
          <w:spacing w:val="-22"/>
          <w:kern w:val="2"/>
          <w:szCs w:val="24"/>
          <w:highlight w:val="none"/>
          <w:lang w:eastAsia="zh-CN"/>
        </w:rPr>
        <w:t>订</w:t>
      </w:r>
      <w:r>
        <w:rPr>
          <w:rFonts w:hint="eastAsia" w:hAnsi="宋体" w:cs="Times New Roman"/>
          <w:color w:val="auto"/>
          <w:kern w:val="2"/>
          <w:szCs w:val="24"/>
          <w:highlight w:val="none"/>
          <w:lang w:eastAsia="zh-CN"/>
        </w:rPr>
        <w:t>《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72BED85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79" w:name="bookmark178"/>
      <w:bookmarkEnd w:id="179"/>
      <w:r>
        <w:rPr>
          <w:rFonts w:hAnsi="宋体" w:cs="Times New Roman"/>
          <w:color w:val="auto"/>
          <w:kern w:val="2"/>
          <w:szCs w:val="24"/>
          <w:highlight w:val="none"/>
          <w:lang w:eastAsia="zh-CN"/>
        </w:rPr>
        <w:t>4.10</w:t>
      </w:r>
      <w:r>
        <w:rPr>
          <w:rFonts w:hint="eastAsia" w:hAnsi="宋体" w:cs="Times New Roman"/>
          <w:color w:val="auto"/>
          <w:kern w:val="2"/>
          <w:szCs w:val="24"/>
          <w:highlight w:val="none"/>
          <w:lang w:eastAsia="zh-CN"/>
        </w:rPr>
        <w:t>承包人现场查勘</w:t>
      </w:r>
    </w:p>
    <w:p w14:paraId="577F8A52">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4.10.1 </w:t>
      </w:r>
      <w:r>
        <w:rPr>
          <w:rFonts w:hint="eastAsia" w:hAnsi="宋体" w:cs="Times New Roman"/>
          <w:color w:val="auto"/>
          <w:kern w:val="2"/>
          <w:szCs w:val="24"/>
          <w:highlight w:val="none"/>
          <w:lang w:eastAsia="zh-CN"/>
        </w:rPr>
        <w:t>项细化为：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w:t>
      </w:r>
      <w:r>
        <w:rPr>
          <w:rFonts w:hint="eastAsia" w:hAnsi="宋体" w:cs="Times New Roman"/>
          <w:color w:val="auto"/>
          <w:spacing w:val="-1"/>
          <w:kern w:val="2"/>
          <w:szCs w:val="24"/>
          <w:highlight w:val="none"/>
          <w:lang w:eastAsia="zh-CN"/>
        </w:rPr>
        <w:t>责任。</w:t>
      </w:r>
    </w:p>
    <w:p w14:paraId="7C42C67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0" w:name="bookmark179"/>
      <w:bookmarkEnd w:id="180"/>
      <w:r>
        <w:rPr>
          <w:rFonts w:hAnsi="宋体" w:cs="Times New Roman"/>
          <w:color w:val="auto"/>
          <w:kern w:val="2"/>
          <w:szCs w:val="24"/>
          <w:highlight w:val="none"/>
          <w:lang w:eastAsia="zh-CN"/>
        </w:rPr>
        <w:t>4.11</w:t>
      </w:r>
      <w:r>
        <w:rPr>
          <w:rFonts w:hint="eastAsia" w:hAnsi="宋体" w:cs="Times New Roman"/>
          <w:color w:val="auto"/>
          <w:kern w:val="2"/>
          <w:szCs w:val="24"/>
          <w:highlight w:val="none"/>
          <w:lang w:eastAsia="zh-CN"/>
        </w:rPr>
        <w:t>不利物质条件</w:t>
      </w:r>
    </w:p>
    <w:p w14:paraId="79A04A7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spacing w:val="-2"/>
          <w:kern w:val="2"/>
          <w:szCs w:val="24"/>
          <w:highlight w:val="none"/>
          <w:lang w:eastAsia="zh-CN"/>
        </w:rPr>
        <w:t>4.11.2</w:t>
      </w:r>
      <w:r>
        <w:rPr>
          <w:rFonts w:hint="eastAsia" w:hAnsi="宋体" w:cs="Times New Roman"/>
          <w:color w:val="auto"/>
          <w:kern w:val="2"/>
          <w:szCs w:val="24"/>
          <w:highlight w:val="none"/>
          <w:lang w:eastAsia="zh-CN"/>
        </w:rPr>
        <w:t>项细化为：</w:t>
      </w:r>
    </w:p>
    <w:p w14:paraId="5DC615B4">
      <w:pPr>
        <w:widowControl w:val="0"/>
        <w:kinsoku w:val="0"/>
        <w:overflowPunct w:val="0"/>
        <w:adjustRightInd w:val="0"/>
        <w:snapToGrid w:val="0"/>
        <w:spacing w:line="360" w:lineRule="auto"/>
        <w:ind w:firstLine="615" w:firstLineChars="299"/>
        <w:jc w:val="both"/>
        <w:rPr>
          <w:rFonts w:hAnsi="宋体" w:cs="Times New Roman"/>
          <w:color w:val="auto"/>
          <w:spacing w:val="-1"/>
          <w:kern w:val="2"/>
          <w:szCs w:val="24"/>
          <w:highlight w:val="none"/>
          <w:lang w:eastAsia="zh-CN"/>
        </w:rPr>
      </w:pPr>
      <w:r>
        <w:rPr>
          <w:rFonts w:hAnsi="宋体" w:cs="Times New Roman"/>
          <w:color w:val="auto"/>
          <w:spacing w:val="-2"/>
          <w:kern w:val="2"/>
          <w:szCs w:val="24"/>
          <w:highlight w:val="none"/>
          <w:lang w:eastAsia="zh-CN"/>
        </w:rPr>
        <w:t>4.11.2</w:t>
      </w:r>
      <w:r>
        <w:rPr>
          <w:rFonts w:hint="eastAsia" w:hAnsi="宋体" w:cs="Times New Roman"/>
          <w:color w:val="auto"/>
          <w:spacing w:val="2"/>
          <w:kern w:val="2"/>
          <w:szCs w:val="24"/>
          <w:highlight w:val="none"/>
          <w:lang w:eastAsia="zh-CN"/>
        </w:rPr>
        <w:t>承包人遇到不可预见的不利物质条件时，应采取适应不利物质条件的合</w:t>
      </w:r>
      <w:r>
        <w:rPr>
          <w:rFonts w:hint="eastAsia" w:hAnsi="宋体" w:cs="Times New Roman"/>
          <w:color w:val="auto"/>
          <w:kern w:val="2"/>
          <w:szCs w:val="24"/>
          <w:highlight w:val="none"/>
          <w:lang w:eastAsia="zh-CN"/>
        </w:rPr>
        <w:t>理措施继续施工</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并及时通知监理人</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监理人应当及时发出指示</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指示构成变更的，按第</w:t>
      </w:r>
      <w:r>
        <w:rPr>
          <w:rFonts w:hAnsi="宋体" w:cs="Times New Roman"/>
          <w:color w:val="auto"/>
          <w:kern w:val="2"/>
          <w:szCs w:val="24"/>
          <w:highlight w:val="none"/>
          <w:lang w:eastAsia="zh-CN"/>
        </w:rPr>
        <w:t xml:space="preserve">15 </w:t>
      </w:r>
      <w:r>
        <w:rPr>
          <w:rFonts w:hint="eastAsia" w:hAnsi="宋体" w:cs="Times New Roman"/>
          <w:color w:val="auto"/>
          <w:kern w:val="2"/>
          <w:szCs w:val="24"/>
          <w:highlight w:val="none"/>
          <w:lang w:eastAsia="zh-CN"/>
        </w:rPr>
        <w:t>条约定办理</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监理人没有发出指示的</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 xml:space="preserve">承包人因采取合理措施而增加的费用 </w:t>
      </w:r>
      <w:r>
        <w:rPr>
          <w:rFonts w:hint="eastAsia" w:hAnsi="宋体" w:cs="Times New Roman"/>
          <w:color w:val="auto"/>
          <w:spacing w:val="-1"/>
          <w:kern w:val="2"/>
          <w:szCs w:val="24"/>
          <w:highlight w:val="none"/>
          <w:lang w:eastAsia="zh-CN"/>
        </w:rPr>
        <w:t>和（或）工期延误，由发包人承担。</w:t>
      </w:r>
    </w:p>
    <w:p w14:paraId="7083F2E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spacing w:val="-2"/>
          <w:kern w:val="2"/>
          <w:szCs w:val="24"/>
          <w:highlight w:val="none"/>
          <w:lang w:eastAsia="zh-CN"/>
        </w:rPr>
        <w:t>4.11.3</w:t>
      </w:r>
      <w:r>
        <w:rPr>
          <w:rFonts w:hint="eastAsia" w:hAnsi="宋体" w:cs="Times New Roman"/>
          <w:color w:val="auto"/>
          <w:kern w:val="2"/>
          <w:szCs w:val="24"/>
          <w:highlight w:val="none"/>
          <w:lang w:eastAsia="zh-CN"/>
        </w:rPr>
        <w:t>项：</w:t>
      </w:r>
    </w:p>
    <w:p w14:paraId="4708938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spacing w:val="-2"/>
          <w:kern w:val="2"/>
          <w:szCs w:val="24"/>
          <w:highlight w:val="none"/>
          <w:lang w:eastAsia="zh-CN"/>
        </w:rPr>
        <w:t>4.11.3</w:t>
      </w:r>
      <w:r>
        <w:rPr>
          <w:rFonts w:hint="eastAsia" w:hAnsi="宋体" w:cs="Times New Roman"/>
          <w:color w:val="auto"/>
          <w:kern w:val="2"/>
          <w:szCs w:val="24"/>
          <w:highlight w:val="none"/>
          <w:lang w:eastAsia="zh-CN"/>
        </w:rPr>
        <w:t>可预见的不利物质条件</w:t>
      </w:r>
    </w:p>
    <w:p w14:paraId="646C6276">
      <w:pPr>
        <w:widowControl w:val="0"/>
        <w:numPr>
          <w:ilvl w:val="0"/>
          <w:numId w:val="0"/>
        </w:numPr>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int="eastAsia" w:hAnsi="宋体" w:cs="Times New Roman"/>
          <w:color w:val="auto"/>
          <w:kern w:val="2"/>
          <w:szCs w:val="24"/>
          <w:highlight w:val="none"/>
          <w:lang w:val="en-US" w:eastAsia="zh-CN"/>
        </w:rPr>
        <w:t>1</w:t>
      </w:r>
      <w:r>
        <w:rPr>
          <w:rFonts w:hint="eastAsia" w:hAnsi="宋体" w:cs="Times New Roman"/>
          <w:color w:val="auto"/>
          <w:kern w:val="2"/>
          <w:szCs w:val="24"/>
          <w:highlight w:val="none"/>
          <w:lang w:eastAsia="zh-CN"/>
        </w:rPr>
        <w:t>）对于项目专用合同条款中已经明确指出的不利物质条件无论承包人是否有其经历和经验均视为承包人在接受合同时已预见其影响，并已在签约合同价中计入因其影响而可能发生的一切费用。</w:t>
      </w:r>
    </w:p>
    <w:p w14:paraId="4C87FE2E">
      <w:pPr>
        <w:widowControl w:val="0"/>
        <w:kinsoku w:val="0"/>
        <w:overflowPunct w:val="0"/>
        <w:adjustRightInd w:val="0"/>
        <w:snapToGrid w:val="0"/>
        <w:spacing w:line="360" w:lineRule="auto"/>
        <w:ind w:firstLine="419"/>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w:t>
      </w:r>
      <w:r>
        <w:rPr>
          <w:rFonts w:hAnsi="宋体" w:cs="Times New Roman"/>
          <w:color w:val="auto"/>
          <w:spacing w:val="-1"/>
          <w:kern w:val="2"/>
          <w:szCs w:val="24"/>
          <w:highlight w:val="none"/>
          <w:lang w:eastAsia="zh-CN"/>
        </w:rPr>
        <w:t>2</w:t>
      </w:r>
      <w:r>
        <w:rPr>
          <w:rFonts w:hint="eastAsia" w:hAnsi="宋体" w:cs="Times New Roman"/>
          <w:color w:val="auto"/>
          <w:spacing w:val="-1"/>
          <w:kern w:val="2"/>
          <w:szCs w:val="24"/>
          <w:highlight w:val="none"/>
          <w:lang w:eastAsia="zh-CN"/>
        </w:rPr>
        <w:t>）对于项目专用合同条款未明确指出，但是在不利物质条件发生之前，监理</w:t>
      </w:r>
      <w:r>
        <w:rPr>
          <w:rFonts w:hint="eastAsia" w:hAnsi="宋体" w:cs="Times New Roman"/>
          <w:color w:val="auto"/>
          <w:kern w:val="2"/>
          <w:szCs w:val="24"/>
          <w:highlight w:val="none"/>
          <w:lang w:eastAsia="zh-CN"/>
        </w:rPr>
        <w:t>人已经指示承包人有可能发生，但承包人未能及时采取有效措施，而导致的损失和后果均由承包人承担。</w:t>
      </w:r>
    </w:p>
    <w:p w14:paraId="4E4A282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补充第</w:t>
      </w:r>
      <w:r>
        <w:rPr>
          <w:rFonts w:hAnsi="宋体" w:cs="Times New Roman"/>
          <w:color w:val="auto"/>
          <w:kern w:val="2"/>
          <w:szCs w:val="24"/>
          <w:highlight w:val="none"/>
          <w:lang w:eastAsia="zh-CN"/>
        </w:rPr>
        <w:t xml:space="preserve">4.12 </w:t>
      </w:r>
      <w:r>
        <w:rPr>
          <w:rFonts w:hint="eastAsia" w:hAnsi="宋体" w:cs="Times New Roman"/>
          <w:color w:val="auto"/>
          <w:kern w:val="2"/>
          <w:szCs w:val="24"/>
          <w:highlight w:val="none"/>
          <w:lang w:eastAsia="zh-CN"/>
        </w:rPr>
        <w:t>款、第</w:t>
      </w:r>
      <w:r>
        <w:rPr>
          <w:rFonts w:hAnsi="宋体" w:cs="Times New Roman"/>
          <w:color w:val="auto"/>
          <w:kern w:val="2"/>
          <w:szCs w:val="24"/>
          <w:highlight w:val="none"/>
          <w:lang w:eastAsia="zh-CN"/>
        </w:rPr>
        <w:t xml:space="preserve">4.13 </w:t>
      </w:r>
      <w:r>
        <w:rPr>
          <w:rFonts w:hint="eastAsia" w:hAnsi="宋体" w:cs="Times New Roman"/>
          <w:color w:val="auto"/>
          <w:kern w:val="2"/>
          <w:szCs w:val="24"/>
          <w:highlight w:val="none"/>
          <w:lang w:eastAsia="zh-CN"/>
        </w:rPr>
        <w:t>款：</w:t>
      </w:r>
    </w:p>
    <w:p w14:paraId="2B19337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1" w:name="bookmark180"/>
      <w:bookmarkEnd w:id="181"/>
      <w:r>
        <w:rPr>
          <w:rFonts w:hAnsi="宋体" w:cs="Times New Roman"/>
          <w:color w:val="auto"/>
          <w:kern w:val="2"/>
          <w:szCs w:val="24"/>
          <w:highlight w:val="none"/>
          <w:lang w:eastAsia="zh-CN"/>
        </w:rPr>
        <w:t>4.12</w:t>
      </w:r>
      <w:r>
        <w:rPr>
          <w:rFonts w:hint="eastAsia" w:hAnsi="宋体" w:cs="Times New Roman"/>
          <w:color w:val="auto"/>
          <w:kern w:val="2"/>
          <w:szCs w:val="24"/>
          <w:highlight w:val="none"/>
          <w:lang w:eastAsia="zh-CN"/>
        </w:rPr>
        <w:t>投标文件的完备性</w:t>
      </w:r>
    </w:p>
    <w:p w14:paraId="517DC7DA">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w:t>
      </w:r>
      <w:r>
        <w:rPr>
          <w:rFonts w:hint="eastAsia" w:hAnsi="宋体" w:cs="Times New Roman"/>
          <w:color w:val="auto"/>
          <w:spacing w:val="-1"/>
          <w:kern w:val="2"/>
          <w:szCs w:val="24"/>
          <w:highlight w:val="none"/>
          <w:lang w:eastAsia="zh-CN"/>
        </w:rPr>
        <w:t>成本合同工程及其缺陷修复所必需的一切工作和条件。</w:t>
      </w:r>
    </w:p>
    <w:p w14:paraId="58A5107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2" w:name="bookmark181"/>
      <w:bookmarkEnd w:id="182"/>
      <w:r>
        <w:rPr>
          <w:rFonts w:hAnsi="宋体" w:cs="Times New Roman"/>
          <w:color w:val="auto"/>
          <w:kern w:val="2"/>
          <w:szCs w:val="24"/>
          <w:highlight w:val="none"/>
          <w:lang w:eastAsia="zh-CN"/>
        </w:rPr>
        <w:t>4.13</w:t>
      </w:r>
      <w:r>
        <w:rPr>
          <w:rFonts w:hint="eastAsia" w:hAnsi="宋体" w:cs="Times New Roman"/>
          <w:color w:val="auto"/>
          <w:kern w:val="2"/>
          <w:szCs w:val="24"/>
          <w:highlight w:val="none"/>
          <w:lang w:eastAsia="zh-CN"/>
        </w:rPr>
        <w:t>开展党建工作要求</w:t>
      </w:r>
    </w:p>
    <w:p w14:paraId="3D3C976A">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4EB6F3C8">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37C7E89A">
      <w:pPr>
        <w:widowControl w:val="0"/>
        <w:kinsoku w:val="0"/>
        <w:overflowPunct w:val="0"/>
        <w:adjustRightInd w:val="0"/>
        <w:snapToGrid w:val="0"/>
        <w:spacing w:line="360" w:lineRule="auto"/>
        <w:jc w:val="both"/>
        <w:rPr>
          <w:rFonts w:hAnsi="宋体" w:cs="Times New Roman"/>
          <w:color w:val="auto"/>
          <w:spacing w:val="-1"/>
          <w:kern w:val="2"/>
          <w:szCs w:val="24"/>
          <w:highlight w:val="none"/>
          <w:lang w:eastAsia="zh-CN"/>
        </w:rPr>
      </w:pPr>
      <w:bookmarkStart w:id="183" w:name="bookmark182"/>
      <w:bookmarkEnd w:id="183"/>
      <w:r>
        <w:rPr>
          <w:rFonts w:hAnsi="宋体" w:cs="Times New Roman"/>
          <w:color w:val="auto"/>
          <w:kern w:val="2"/>
          <w:szCs w:val="24"/>
          <w:highlight w:val="none"/>
          <w:lang w:eastAsia="zh-CN"/>
        </w:rPr>
        <w:t>5.</w:t>
      </w:r>
      <w:r>
        <w:rPr>
          <w:rFonts w:hint="eastAsia" w:hAnsi="宋体" w:cs="Times New Roman"/>
          <w:color w:val="auto"/>
          <w:spacing w:val="-1"/>
          <w:kern w:val="2"/>
          <w:szCs w:val="24"/>
          <w:highlight w:val="none"/>
          <w:lang w:eastAsia="zh-CN"/>
        </w:rPr>
        <w:t>材料和工程设备</w:t>
      </w:r>
    </w:p>
    <w:p w14:paraId="4FCF8DD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4" w:name="bookmark183"/>
      <w:bookmarkEnd w:id="184"/>
      <w:r>
        <w:rPr>
          <w:rFonts w:hAnsi="宋体" w:cs="Times New Roman"/>
          <w:color w:val="auto"/>
          <w:kern w:val="2"/>
          <w:szCs w:val="24"/>
          <w:highlight w:val="none"/>
          <w:lang w:eastAsia="zh-CN"/>
        </w:rPr>
        <w:t>5.2</w:t>
      </w:r>
      <w:r>
        <w:rPr>
          <w:rFonts w:hint="eastAsia" w:hAnsi="宋体" w:cs="Times New Roman"/>
          <w:color w:val="auto"/>
          <w:kern w:val="2"/>
          <w:szCs w:val="24"/>
          <w:highlight w:val="none"/>
          <w:lang w:eastAsia="zh-CN"/>
        </w:rPr>
        <w:t>发包人提供的材料和工程设备</w:t>
      </w:r>
    </w:p>
    <w:p w14:paraId="7AA0551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5.2.3 </w:t>
      </w:r>
      <w:r>
        <w:rPr>
          <w:rFonts w:hint="eastAsia" w:hAnsi="宋体" w:cs="Times New Roman"/>
          <w:color w:val="auto"/>
          <w:kern w:val="2"/>
          <w:szCs w:val="24"/>
          <w:highlight w:val="none"/>
          <w:lang w:eastAsia="zh-CN"/>
        </w:rPr>
        <w:t>项补充： 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2601D05A">
      <w:pPr>
        <w:widowControl w:val="0"/>
        <w:kinsoku w:val="0"/>
        <w:overflowPunct w:val="0"/>
        <w:adjustRightInd w:val="0"/>
        <w:snapToGrid w:val="0"/>
        <w:spacing w:line="360" w:lineRule="auto"/>
        <w:jc w:val="both"/>
        <w:rPr>
          <w:rFonts w:hAnsi="宋体" w:cs="Times New Roman"/>
          <w:color w:val="auto"/>
          <w:spacing w:val="-1"/>
          <w:kern w:val="2"/>
          <w:szCs w:val="24"/>
          <w:highlight w:val="none"/>
          <w:lang w:eastAsia="zh-CN"/>
        </w:rPr>
      </w:pPr>
      <w:bookmarkStart w:id="185" w:name="bookmark184"/>
      <w:bookmarkEnd w:id="185"/>
      <w:r>
        <w:rPr>
          <w:rFonts w:hAnsi="宋体" w:cs="Times New Roman"/>
          <w:color w:val="auto"/>
          <w:kern w:val="2"/>
          <w:szCs w:val="24"/>
          <w:highlight w:val="none"/>
          <w:lang w:eastAsia="zh-CN"/>
        </w:rPr>
        <w:t>6.</w:t>
      </w:r>
      <w:r>
        <w:rPr>
          <w:rFonts w:hint="eastAsia" w:hAnsi="宋体" w:cs="Times New Roman"/>
          <w:color w:val="auto"/>
          <w:spacing w:val="-1"/>
          <w:kern w:val="2"/>
          <w:szCs w:val="24"/>
          <w:highlight w:val="none"/>
          <w:lang w:eastAsia="zh-CN"/>
        </w:rPr>
        <w:t>施工设备和临时设施</w:t>
      </w:r>
    </w:p>
    <w:p w14:paraId="77CAEEE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6" w:name="bookmark185"/>
      <w:bookmarkEnd w:id="186"/>
      <w:r>
        <w:rPr>
          <w:rFonts w:hAnsi="宋体" w:cs="Times New Roman"/>
          <w:color w:val="auto"/>
          <w:kern w:val="2"/>
          <w:szCs w:val="24"/>
          <w:highlight w:val="none"/>
          <w:lang w:eastAsia="zh-CN"/>
        </w:rPr>
        <w:t>6.1</w:t>
      </w:r>
      <w:r>
        <w:rPr>
          <w:rFonts w:hint="eastAsia" w:hAnsi="宋体" w:cs="Times New Roman"/>
          <w:color w:val="auto"/>
          <w:kern w:val="2"/>
          <w:szCs w:val="24"/>
          <w:highlight w:val="none"/>
          <w:lang w:eastAsia="zh-CN"/>
        </w:rPr>
        <w:t>承包人提供的施工设备和临时设施</w:t>
      </w:r>
    </w:p>
    <w:p w14:paraId="0CF919E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6.1.2 </w:t>
      </w:r>
      <w:r>
        <w:rPr>
          <w:rFonts w:hint="eastAsia" w:hAnsi="宋体" w:cs="Times New Roman"/>
          <w:color w:val="auto"/>
          <w:kern w:val="2"/>
          <w:szCs w:val="24"/>
          <w:highlight w:val="none"/>
          <w:lang w:eastAsia="zh-CN"/>
        </w:rPr>
        <w:t xml:space="preserve">项约定为： </w:t>
      </w:r>
      <w:r>
        <w:rPr>
          <w:rFonts w:hint="eastAsia" w:hAnsi="宋体" w:cs="Times New Roman"/>
          <w:color w:val="auto"/>
          <w:spacing w:val="7"/>
          <w:kern w:val="2"/>
          <w:szCs w:val="24"/>
          <w:highlight w:val="none"/>
          <w:lang w:eastAsia="zh-CN"/>
        </w:rPr>
        <w:t>承包人应自行承担修建临时设施的费用，需要临时占地的，应由承包人按第</w:t>
      </w:r>
      <w:r>
        <w:rPr>
          <w:rFonts w:hAnsi="宋体" w:cs="Times New Roman"/>
          <w:color w:val="auto"/>
          <w:kern w:val="2"/>
          <w:szCs w:val="24"/>
          <w:highlight w:val="none"/>
          <w:lang w:eastAsia="zh-CN"/>
        </w:rPr>
        <w:t>4.1.10</w:t>
      </w:r>
      <w:r>
        <w:rPr>
          <w:rFonts w:hint="eastAsia" w:hAnsi="宋体" w:cs="Times New Roman"/>
          <w:color w:val="auto"/>
          <w:kern w:val="2"/>
          <w:szCs w:val="24"/>
          <w:highlight w:val="none"/>
          <w:lang w:eastAsia="zh-CN"/>
        </w:rPr>
        <w:t>项（</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）目的规定办理。</w:t>
      </w:r>
    </w:p>
    <w:p w14:paraId="650C394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7" w:name="bookmark186"/>
      <w:bookmarkEnd w:id="187"/>
      <w:r>
        <w:rPr>
          <w:rFonts w:hAnsi="宋体" w:cs="Times New Roman"/>
          <w:color w:val="auto"/>
          <w:kern w:val="2"/>
          <w:szCs w:val="24"/>
          <w:highlight w:val="none"/>
          <w:lang w:eastAsia="zh-CN"/>
        </w:rPr>
        <w:t>6.3</w:t>
      </w:r>
      <w:r>
        <w:rPr>
          <w:rFonts w:hint="eastAsia" w:hAnsi="宋体" w:cs="Times New Roman"/>
          <w:color w:val="auto"/>
          <w:kern w:val="2"/>
          <w:szCs w:val="24"/>
          <w:highlight w:val="none"/>
          <w:lang w:eastAsia="zh-CN"/>
        </w:rPr>
        <w:t>要求承包人增加或更换施工设备</w:t>
      </w:r>
    </w:p>
    <w:p w14:paraId="0A21ED6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本款细化为： </w:t>
      </w:r>
    </w:p>
    <w:p w14:paraId="3171231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131C411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8" w:name="bookmark187"/>
      <w:bookmarkEnd w:id="188"/>
      <w:r>
        <w:rPr>
          <w:rFonts w:hAnsi="宋体" w:cs="Times New Roman"/>
          <w:color w:val="auto"/>
          <w:kern w:val="2"/>
          <w:szCs w:val="24"/>
          <w:highlight w:val="none"/>
          <w:lang w:eastAsia="zh-CN"/>
        </w:rPr>
        <w:t>7.</w:t>
      </w:r>
      <w:r>
        <w:rPr>
          <w:rFonts w:hint="eastAsia" w:hAnsi="宋体" w:cs="Times New Roman"/>
          <w:color w:val="auto"/>
          <w:kern w:val="2"/>
          <w:szCs w:val="24"/>
          <w:highlight w:val="none"/>
          <w:lang w:eastAsia="zh-CN"/>
        </w:rPr>
        <w:t>交通运输</w:t>
      </w:r>
    </w:p>
    <w:p w14:paraId="72AD829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89" w:name="bookmark188"/>
      <w:bookmarkEnd w:id="189"/>
      <w:r>
        <w:rPr>
          <w:rFonts w:hAnsi="宋体" w:cs="Times New Roman"/>
          <w:color w:val="auto"/>
          <w:kern w:val="2"/>
          <w:szCs w:val="24"/>
          <w:highlight w:val="none"/>
          <w:lang w:eastAsia="zh-CN"/>
        </w:rPr>
        <w:t>7.1</w:t>
      </w:r>
      <w:r>
        <w:rPr>
          <w:rFonts w:hint="eastAsia" w:hAnsi="宋体" w:cs="Times New Roman"/>
          <w:color w:val="auto"/>
          <w:kern w:val="2"/>
          <w:szCs w:val="24"/>
          <w:highlight w:val="none"/>
          <w:lang w:eastAsia="zh-CN"/>
        </w:rPr>
        <w:t>道路通行权和场外设施</w:t>
      </w:r>
    </w:p>
    <w:p w14:paraId="1A9898B7">
      <w:pPr>
        <w:widowControl w:val="0"/>
        <w:kinsoku w:val="0"/>
        <w:overflowPunct w:val="0"/>
        <w:adjustRightInd w:val="0"/>
        <w:snapToGrid w:val="0"/>
        <w:spacing w:line="360" w:lineRule="auto"/>
        <w:ind w:hanging="6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本款约定为： </w:t>
      </w:r>
    </w:p>
    <w:p w14:paraId="6823982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2B092C5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0" w:name="bookmark189"/>
      <w:bookmarkEnd w:id="190"/>
      <w:r>
        <w:rPr>
          <w:rFonts w:hAnsi="宋体" w:cs="Times New Roman"/>
          <w:color w:val="auto"/>
          <w:kern w:val="2"/>
          <w:szCs w:val="24"/>
          <w:highlight w:val="none"/>
          <w:lang w:eastAsia="zh-CN"/>
        </w:rPr>
        <w:t>8.</w:t>
      </w:r>
      <w:r>
        <w:rPr>
          <w:rFonts w:hint="eastAsia" w:hAnsi="宋体" w:cs="Times New Roman"/>
          <w:color w:val="auto"/>
          <w:kern w:val="2"/>
          <w:szCs w:val="24"/>
          <w:highlight w:val="none"/>
          <w:lang w:eastAsia="zh-CN"/>
        </w:rPr>
        <w:t>测量放线</w:t>
      </w:r>
    </w:p>
    <w:p w14:paraId="01856CF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1" w:name="bookmark190"/>
      <w:bookmarkEnd w:id="191"/>
      <w:r>
        <w:rPr>
          <w:rFonts w:hAnsi="宋体" w:cs="Times New Roman"/>
          <w:color w:val="auto"/>
          <w:kern w:val="2"/>
          <w:szCs w:val="24"/>
          <w:highlight w:val="none"/>
          <w:lang w:eastAsia="zh-CN"/>
        </w:rPr>
        <w:t>8.4</w:t>
      </w:r>
      <w:r>
        <w:rPr>
          <w:rFonts w:hint="eastAsia" w:hAnsi="宋体" w:cs="Times New Roman"/>
          <w:color w:val="auto"/>
          <w:kern w:val="2"/>
          <w:szCs w:val="24"/>
          <w:highlight w:val="none"/>
          <w:lang w:eastAsia="zh-CN"/>
        </w:rPr>
        <w:t>监理人使用施工控制网</w:t>
      </w:r>
    </w:p>
    <w:p w14:paraId="39970A8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1AB5C90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经监理人批准，其他相关承包人也可免费使用施工控制网。</w:t>
      </w:r>
    </w:p>
    <w:p w14:paraId="36F39EAB">
      <w:pPr>
        <w:widowControl w:val="0"/>
        <w:kinsoku w:val="0"/>
        <w:overflowPunct w:val="0"/>
        <w:adjustRightInd w:val="0"/>
        <w:snapToGrid w:val="0"/>
        <w:spacing w:line="360" w:lineRule="auto"/>
        <w:jc w:val="both"/>
        <w:rPr>
          <w:rFonts w:hAnsi="宋体" w:cs="Times New Roman"/>
          <w:color w:val="auto"/>
          <w:spacing w:val="-1"/>
          <w:kern w:val="2"/>
          <w:szCs w:val="24"/>
          <w:highlight w:val="none"/>
          <w:lang w:eastAsia="zh-CN"/>
        </w:rPr>
      </w:pPr>
      <w:bookmarkStart w:id="192" w:name="bookmark191"/>
      <w:bookmarkEnd w:id="192"/>
      <w:r>
        <w:rPr>
          <w:rFonts w:hAnsi="宋体" w:cs="Times New Roman"/>
          <w:color w:val="auto"/>
          <w:kern w:val="2"/>
          <w:szCs w:val="24"/>
          <w:highlight w:val="none"/>
          <w:lang w:eastAsia="zh-CN"/>
        </w:rPr>
        <w:t>9.</w:t>
      </w:r>
      <w:r>
        <w:rPr>
          <w:rFonts w:hint="eastAsia" w:hAnsi="宋体" w:cs="Times New Roman"/>
          <w:color w:val="auto"/>
          <w:spacing w:val="-1"/>
          <w:kern w:val="2"/>
          <w:szCs w:val="24"/>
          <w:highlight w:val="none"/>
          <w:lang w:eastAsia="zh-CN"/>
        </w:rPr>
        <w:t>施工安全、治安保卫和环境保护</w:t>
      </w:r>
    </w:p>
    <w:p w14:paraId="0A35DC2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3" w:name="bookmark192"/>
      <w:bookmarkEnd w:id="193"/>
      <w:r>
        <w:rPr>
          <w:rFonts w:hAnsi="宋体" w:cs="Times New Roman"/>
          <w:color w:val="auto"/>
          <w:kern w:val="2"/>
          <w:szCs w:val="24"/>
          <w:highlight w:val="none"/>
          <w:lang w:eastAsia="zh-CN"/>
        </w:rPr>
        <w:t>9.2</w:t>
      </w:r>
      <w:r>
        <w:rPr>
          <w:rFonts w:hint="eastAsia" w:hAnsi="宋体" w:cs="Times New Roman"/>
          <w:color w:val="auto"/>
          <w:kern w:val="2"/>
          <w:szCs w:val="24"/>
          <w:highlight w:val="none"/>
          <w:lang w:eastAsia="zh-CN"/>
        </w:rPr>
        <w:t>承包人的施工安全责任</w:t>
      </w:r>
    </w:p>
    <w:p w14:paraId="2B6CB17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9.2.1 </w:t>
      </w:r>
      <w:r>
        <w:rPr>
          <w:rFonts w:hint="eastAsia" w:hAnsi="宋体" w:cs="Times New Roman"/>
          <w:color w:val="auto"/>
          <w:kern w:val="2"/>
          <w:szCs w:val="24"/>
          <w:highlight w:val="none"/>
          <w:lang w:eastAsia="zh-CN"/>
        </w:rPr>
        <w:t>项细化为： 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19553116">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承包人应根据本工程的实际安全施工要求，编制施工安全技术措施，并在签订合同协议书后</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天内</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报监理人和发包人批准</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该施工安全技术措施包</w:t>
      </w:r>
      <w:r>
        <w:rPr>
          <w:rFonts w:hint="eastAsia" w:hAnsi="宋体" w:cs="Times New Roman"/>
          <w:color w:val="auto"/>
          <w:spacing w:val="-29"/>
          <w:kern w:val="2"/>
          <w:szCs w:val="24"/>
          <w:highlight w:val="none"/>
          <w:lang w:eastAsia="zh-CN"/>
        </w:rPr>
        <w:t>括</w:t>
      </w:r>
      <w:r>
        <w:rPr>
          <w:rFonts w:hint="eastAsia" w:hAnsi="宋体" w:cs="Times New Roman"/>
          <w:color w:val="auto"/>
          <w:kern w:val="2"/>
          <w:szCs w:val="24"/>
          <w:highlight w:val="none"/>
          <w:lang w:eastAsia="zh-CN"/>
        </w:rPr>
        <w:t>（但不限 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0FA66A3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本项目需要编制专项施工方案的工程包括但不限于以下内容：</w:t>
      </w:r>
    </w:p>
    <w:p w14:paraId="07111769">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（1）不良地质条件下有潜在危险性的土方、石方开挖；</w:t>
      </w:r>
    </w:p>
    <w:p w14:paraId="3A0855A5">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（2）滑坡和高边坡处理；</w:t>
      </w:r>
    </w:p>
    <w:p w14:paraId="7BAC7821">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（3）桩基础、挡墙基础、深水基础及围堰工程；</w:t>
      </w:r>
    </w:p>
    <w:p w14:paraId="5065DD2D">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（4）桥梁工程中的梁、拱、柱等构件施工等；</w:t>
      </w:r>
    </w:p>
    <w:p w14:paraId="7AA7DD9F">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（5）隧道工程中的不良地质隧道、高瓦斯隧道等；</w:t>
      </w:r>
    </w:p>
    <w:p w14:paraId="56AD741D">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（6）水上工程中的打桩船作业、施工船作业、外海孤岛作业、边通航边施工作业等；</w:t>
      </w:r>
    </w:p>
    <w:p w14:paraId="0426C2E3">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（7）水下工程中的水下焊接、混凝土浇筑、爆破工程等；</w:t>
      </w:r>
    </w:p>
    <w:p w14:paraId="78F86F3C">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（8）爆破工程；</w:t>
      </w:r>
    </w:p>
    <w:p w14:paraId="49DDB5B2">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spacing w:val="-3"/>
          <w:kern w:val="2"/>
          <w:szCs w:val="24"/>
          <w:highlight w:val="none"/>
          <w:lang w:eastAsia="zh-CN"/>
        </w:rPr>
        <w:t>（</w:t>
      </w:r>
      <w:r>
        <w:rPr>
          <w:rFonts w:hAnsi="宋体" w:cs="Times New Roman"/>
          <w:color w:val="auto"/>
          <w:spacing w:val="-3"/>
          <w:kern w:val="2"/>
          <w:szCs w:val="24"/>
          <w:highlight w:val="none"/>
          <w:lang w:eastAsia="zh-CN"/>
        </w:rPr>
        <w:t>9</w:t>
      </w:r>
      <w:r>
        <w:rPr>
          <w:rFonts w:hint="eastAsia" w:hAnsi="宋体" w:cs="Times New Roman"/>
          <w:color w:val="auto"/>
          <w:spacing w:val="-3"/>
          <w:kern w:val="2"/>
          <w:szCs w:val="24"/>
          <w:highlight w:val="none"/>
          <w:lang w:eastAsia="zh-CN"/>
        </w:rPr>
        <w:t>）大型临时工程中的大型支架、模板、便桥的架设与拆除；桥梁、码头的加</w:t>
      </w:r>
      <w:r>
        <w:rPr>
          <w:rFonts w:hint="eastAsia" w:hAnsi="宋体" w:cs="Times New Roman"/>
          <w:color w:val="auto"/>
          <w:kern w:val="2"/>
          <w:szCs w:val="24"/>
          <w:highlight w:val="none"/>
          <w:lang w:eastAsia="zh-CN"/>
        </w:rPr>
        <w:t>固与拆除；</w:t>
      </w:r>
    </w:p>
    <w:p w14:paraId="14E7D423">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10</w:t>
      </w:r>
      <w:r>
        <w:rPr>
          <w:rFonts w:hint="eastAsia" w:hAnsi="宋体" w:cs="Times New Roman"/>
          <w:color w:val="auto"/>
          <w:kern w:val="2"/>
          <w:szCs w:val="24"/>
          <w:highlight w:val="none"/>
          <w:lang w:eastAsia="zh-CN"/>
        </w:rPr>
        <w:t xml:space="preserve">）其他危险性较大的工程。 </w:t>
      </w:r>
      <w:r>
        <w:rPr>
          <w:rFonts w:hint="eastAsia" w:hAnsi="宋体" w:cs="Times New Roman"/>
          <w:color w:val="auto"/>
          <w:spacing w:val="7"/>
          <w:kern w:val="2"/>
          <w:szCs w:val="24"/>
          <w:highlight w:val="none"/>
          <w:lang w:eastAsia="zh-CN"/>
        </w:rPr>
        <w:t>监理人和发包人在检查中发现有安全问题或有违反安全管理规章制度的情况</w:t>
      </w:r>
      <w:r>
        <w:rPr>
          <w:rFonts w:hint="eastAsia" w:hAnsi="宋体" w:cs="Times New Roman"/>
          <w:color w:val="auto"/>
          <w:spacing w:val="-1"/>
          <w:kern w:val="2"/>
          <w:szCs w:val="24"/>
          <w:highlight w:val="none"/>
          <w:lang w:eastAsia="zh-CN"/>
        </w:rPr>
        <w:t>时，可视为承包人违约，应按第</w:t>
      </w:r>
      <w:r>
        <w:rPr>
          <w:rFonts w:hAnsi="宋体" w:cs="Times New Roman"/>
          <w:color w:val="auto"/>
          <w:kern w:val="2"/>
          <w:szCs w:val="24"/>
          <w:highlight w:val="none"/>
          <w:lang w:eastAsia="zh-CN"/>
        </w:rPr>
        <w:t xml:space="preserve">22.1 </w:t>
      </w:r>
      <w:r>
        <w:rPr>
          <w:rFonts w:hint="eastAsia" w:hAnsi="宋体" w:cs="Times New Roman"/>
          <w:color w:val="auto"/>
          <w:kern w:val="2"/>
          <w:szCs w:val="24"/>
          <w:highlight w:val="none"/>
          <w:lang w:eastAsia="zh-CN"/>
        </w:rPr>
        <w:t>款的规定办理。</w:t>
      </w:r>
    </w:p>
    <w:p w14:paraId="1C07560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9.2.5 </w:t>
      </w:r>
      <w:r>
        <w:rPr>
          <w:rFonts w:hint="eastAsia" w:hAnsi="宋体" w:cs="Times New Roman"/>
          <w:color w:val="auto"/>
          <w:kern w:val="2"/>
          <w:szCs w:val="24"/>
          <w:highlight w:val="none"/>
          <w:lang w:eastAsia="zh-CN"/>
        </w:rPr>
        <w:t xml:space="preserve">项细化为： </w:t>
      </w:r>
    </w:p>
    <w:p w14:paraId="66D2F97A">
      <w:pPr>
        <w:widowControl w:val="0"/>
        <w:kinsoku w:val="0"/>
        <w:overflowPunct w:val="0"/>
        <w:adjustRightInd w:val="0"/>
        <w:snapToGrid w:val="0"/>
        <w:spacing w:line="360" w:lineRule="auto"/>
        <w:ind w:firstLine="546" w:firstLineChars="26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除项目专用合同条款另有约定外，安全生产费用应为投标价（不含安全生产费及建筑工程一切险及第三者责任险的保险费</w:t>
      </w:r>
      <w:r>
        <w:rPr>
          <w:rFonts w:hint="eastAsia" w:hAnsi="宋体" w:cs="Times New Roman"/>
          <w:color w:val="auto"/>
          <w:spacing w:val="-22"/>
          <w:kern w:val="2"/>
          <w:szCs w:val="24"/>
          <w:highlight w:val="none"/>
          <w:lang w:eastAsia="zh-CN"/>
        </w:rPr>
        <w:t>）</w:t>
      </w:r>
      <w:r>
        <w:rPr>
          <w:rFonts w:hint="eastAsia" w:hAnsi="宋体" w:cs="Times New Roman"/>
          <w:color w:val="auto"/>
          <w:kern w:val="2"/>
          <w:szCs w:val="24"/>
          <w:highlight w:val="none"/>
          <w:lang w:eastAsia="zh-CN"/>
        </w:rPr>
        <w:t>的</w:t>
      </w:r>
      <w:r>
        <w:rPr>
          <w:rFonts w:hAnsi="宋体" w:cs="Times New Roman"/>
          <w:color w:val="auto"/>
          <w:kern w:val="2"/>
          <w:szCs w:val="24"/>
          <w:highlight w:val="none"/>
          <w:lang w:eastAsia="zh-CN"/>
        </w:rPr>
        <w:t>1.5</w:t>
      </w:r>
      <w:r>
        <w:rPr>
          <w:rFonts w:hAnsi="宋体" w:cs="Times New Roman"/>
          <w:color w:val="auto"/>
          <w:spacing w:val="-23"/>
          <w:kern w:val="2"/>
          <w:szCs w:val="24"/>
          <w:highlight w:val="none"/>
          <w:lang w:eastAsia="zh-CN"/>
        </w:rPr>
        <w:t>%</w:t>
      </w:r>
      <w:r>
        <w:rPr>
          <w:rFonts w:hint="eastAsia" w:hAnsi="宋体" w:cs="Times New Roman"/>
          <w:color w:val="auto"/>
          <w:kern w:val="2"/>
          <w:szCs w:val="24"/>
          <w:highlight w:val="none"/>
          <w:lang w:eastAsia="zh-CN"/>
        </w:rPr>
        <w:t>（若发包人公布了最高投标限价</w:t>
      </w:r>
      <w:r>
        <w:rPr>
          <w:rFonts w:hint="eastAsia" w:hAnsi="宋体" w:cs="Times New Roman"/>
          <w:color w:val="auto"/>
          <w:spacing w:val="-1"/>
          <w:kern w:val="2"/>
          <w:szCs w:val="24"/>
          <w:highlight w:val="none"/>
          <w:lang w:eastAsia="zh-CN"/>
        </w:rPr>
        <w:t>时</w:t>
      </w:r>
      <w:r>
        <w:rPr>
          <w:rFonts w:hint="eastAsia" w:hAnsi="宋体" w:cs="Times New Roman"/>
          <w:color w:val="auto"/>
          <w:kern w:val="2"/>
          <w:szCs w:val="24"/>
          <w:highlight w:val="none"/>
          <w:lang w:eastAsia="zh-CN"/>
        </w:rPr>
        <w:t>，按最高</w:t>
      </w:r>
      <w:r>
        <w:rPr>
          <w:rFonts w:hint="eastAsia" w:hAnsi="宋体" w:cs="Times New Roman"/>
          <w:color w:val="auto"/>
          <w:spacing w:val="2"/>
          <w:kern w:val="2"/>
          <w:szCs w:val="24"/>
          <w:highlight w:val="none"/>
          <w:lang w:eastAsia="zh-CN"/>
        </w:rPr>
        <w:t>投</w:t>
      </w:r>
      <w:r>
        <w:rPr>
          <w:rFonts w:hint="eastAsia" w:hAnsi="宋体" w:cs="Times New Roman"/>
          <w:color w:val="auto"/>
          <w:kern w:val="2"/>
          <w:szCs w:val="24"/>
          <w:highlight w:val="none"/>
          <w:lang w:eastAsia="zh-CN"/>
        </w:rPr>
        <w:t>标限</w:t>
      </w:r>
      <w:r>
        <w:rPr>
          <w:rFonts w:hint="eastAsia" w:hAnsi="宋体" w:cs="Times New Roman"/>
          <w:color w:val="auto"/>
          <w:spacing w:val="3"/>
          <w:kern w:val="2"/>
          <w:szCs w:val="24"/>
          <w:highlight w:val="none"/>
          <w:lang w:eastAsia="zh-CN"/>
        </w:rPr>
        <w:t>价</w:t>
      </w:r>
      <w:r>
        <w:rPr>
          <w:rFonts w:hint="eastAsia" w:hAnsi="宋体" w:cs="Times New Roman"/>
          <w:color w:val="auto"/>
          <w:kern w:val="2"/>
          <w:szCs w:val="24"/>
          <w:highlight w:val="none"/>
          <w:lang w:eastAsia="zh-CN"/>
        </w:rPr>
        <w:t xml:space="preserve">的 </w:t>
      </w:r>
      <w:r>
        <w:rPr>
          <w:rFonts w:hAnsi="宋体" w:cs="Times New Roman"/>
          <w:color w:val="auto"/>
          <w:kern w:val="2"/>
          <w:szCs w:val="24"/>
          <w:highlight w:val="none"/>
          <w:lang w:eastAsia="zh-CN"/>
        </w:rPr>
        <w:t>1.5</w:t>
      </w:r>
      <w:r>
        <w:rPr>
          <w:rFonts w:hAnsi="宋体" w:cs="Times New Roman"/>
          <w:color w:val="auto"/>
          <w:spacing w:val="-1"/>
          <w:kern w:val="2"/>
          <w:szCs w:val="24"/>
          <w:highlight w:val="none"/>
          <w:lang w:eastAsia="zh-CN"/>
        </w:rPr>
        <w:t>%</w:t>
      </w:r>
      <w:r>
        <w:rPr>
          <w:rFonts w:hint="eastAsia" w:hAnsi="宋体" w:cs="Times New Roman"/>
          <w:color w:val="auto"/>
          <w:kern w:val="2"/>
          <w:szCs w:val="24"/>
          <w:highlight w:val="none"/>
          <w:lang w:eastAsia="zh-CN"/>
        </w:rPr>
        <w:t>计</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w:t>
      </w:r>
      <w:r>
        <w:rPr>
          <w:rFonts w:hint="eastAsia" w:hAnsi="宋体" w:cs="Times New Roman"/>
          <w:color w:val="auto"/>
          <w:spacing w:val="2"/>
          <w:kern w:val="2"/>
          <w:szCs w:val="24"/>
          <w:highlight w:val="none"/>
          <w:lang w:eastAsia="zh-CN"/>
        </w:rPr>
        <w:t>安</w:t>
      </w:r>
      <w:r>
        <w:rPr>
          <w:rFonts w:hint="eastAsia" w:hAnsi="宋体" w:cs="Times New Roman"/>
          <w:color w:val="auto"/>
          <w:kern w:val="2"/>
          <w:szCs w:val="24"/>
          <w:highlight w:val="none"/>
          <w:lang w:eastAsia="zh-CN"/>
        </w:rPr>
        <w:t>全生</w:t>
      </w:r>
      <w:r>
        <w:rPr>
          <w:rFonts w:hint="eastAsia" w:hAnsi="宋体" w:cs="Times New Roman"/>
          <w:color w:val="auto"/>
          <w:spacing w:val="2"/>
          <w:kern w:val="2"/>
          <w:szCs w:val="24"/>
          <w:highlight w:val="none"/>
          <w:lang w:eastAsia="zh-CN"/>
        </w:rPr>
        <w:t>产</w:t>
      </w:r>
      <w:r>
        <w:rPr>
          <w:rFonts w:hint="eastAsia" w:hAnsi="宋体" w:cs="Times New Roman"/>
          <w:color w:val="auto"/>
          <w:kern w:val="2"/>
          <w:szCs w:val="24"/>
          <w:highlight w:val="none"/>
          <w:lang w:eastAsia="zh-CN"/>
        </w:rPr>
        <w:t>费用应用于施</w:t>
      </w:r>
      <w:r>
        <w:rPr>
          <w:rFonts w:hint="eastAsia" w:hAnsi="宋体" w:cs="Times New Roman"/>
          <w:color w:val="auto"/>
          <w:spacing w:val="2"/>
          <w:kern w:val="2"/>
          <w:szCs w:val="24"/>
          <w:highlight w:val="none"/>
          <w:lang w:eastAsia="zh-CN"/>
        </w:rPr>
        <w:t>工</w:t>
      </w:r>
      <w:r>
        <w:rPr>
          <w:rFonts w:hint="eastAsia" w:hAnsi="宋体" w:cs="Times New Roman"/>
          <w:color w:val="auto"/>
          <w:kern w:val="2"/>
          <w:szCs w:val="24"/>
          <w:highlight w:val="none"/>
          <w:lang w:eastAsia="zh-CN"/>
        </w:rPr>
        <w:t>安全</w:t>
      </w:r>
      <w:r>
        <w:rPr>
          <w:rFonts w:hint="eastAsia" w:hAnsi="宋体" w:cs="Times New Roman"/>
          <w:color w:val="auto"/>
          <w:spacing w:val="2"/>
          <w:kern w:val="2"/>
          <w:szCs w:val="24"/>
          <w:highlight w:val="none"/>
          <w:lang w:eastAsia="zh-CN"/>
        </w:rPr>
        <w:t>防</w:t>
      </w:r>
      <w:r>
        <w:rPr>
          <w:rFonts w:hint="eastAsia" w:hAnsi="宋体" w:cs="Times New Roman"/>
          <w:color w:val="auto"/>
          <w:kern w:val="2"/>
          <w:szCs w:val="24"/>
          <w:highlight w:val="none"/>
          <w:lang w:eastAsia="zh-CN"/>
        </w:rPr>
        <w:t>护用具及设施 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w:t>
      </w:r>
      <w:r>
        <w:rPr>
          <w:rFonts w:hAnsi="宋体" w:cs="Times New Roman"/>
          <w:color w:val="auto"/>
          <w:kern w:val="2"/>
          <w:szCs w:val="24"/>
          <w:highlight w:val="none"/>
          <w:lang w:eastAsia="zh-CN"/>
        </w:rPr>
        <w:t xml:space="preserve">3.5 </w:t>
      </w:r>
      <w:r>
        <w:rPr>
          <w:rFonts w:hint="eastAsia" w:hAnsi="宋体" w:cs="Times New Roman"/>
          <w:color w:val="auto"/>
          <w:kern w:val="2"/>
          <w:szCs w:val="24"/>
          <w:highlight w:val="none"/>
          <w:lang w:eastAsia="zh-CN"/>
        </w:rPr>
        <w:t>款商定或确定。</w:t>
      </w:r>
    </w:p>
    <w:p w14:paraId="779061F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9.2.8 </w:t>
      </w:r>
      <w:r>
        <w:rPr>
          <w:rFonts w:hint="eastAsia" w:hAnsi="宋体" w:cs="Times New Roman"/>
          <w:color w:val="auto"/>
          <w:spacing w:val="-1"/>
          <w:kern w:val="2"/>
          <w:szCs w:val="24"/>
          <w:highlight w:val="none"/>
          <w:lang w:eastAsia="zh-CN"/>
        </w:rPr>
        <w:t>项</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第</w:t>
      </w:r>
      <w:r>
        <w:rPr>
          <w:rFonts w:hAnsi="宋体" w:cs="Times New Roman"/>
          <w:color w:val="auto"/>
          <w:spacing w:val="-2"/>
          <w:kern w:val="2"/>
          <w:szCs w:val="24"/>
          <w:highlight w:val="none"/>
          <w:lang w:eastAsia="zh-CN"/>
        </w:rPr>
        <w:t>9.2.11</w:t>
      </w:r>
      <w:r>
        <w:rPr>
          <w:rFonts w:hint="eastAsia" w:hAnsi="宋体" w:cs="Times New Roman"/>
          <w:color w:val="auto"/>
          <w:kern w:val="2"/>
          <w:szCs w:val="24"/>
          <w:highlight w:val="none"/>
          <w:lang w:eastAsia="zh-CN"/>
        </w:rPr>
        <w:t>项：</w:t>
      </w:r>
    </w:p>
    <w:p w14:paraId="2A5B05EF">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9.2.8 </w:t>
      </w:r>
      <w:r>
        <w:rPr>
          <w:rFonts w:hint="eastAsia" w:hAnsi="宋体" w:cs="Times New Roman"/>
          <w:color w:val="auto"/>
          <w:kern w:val="2"/>
          <w:szCs w:val="24"/>
          <w:highlight w:val="none"/>
          <w:lang w:eastAsia="zh-CN"/>
        </w:rPr>
        <w:t>承包人应充分关注和保障所有在现场工作的人员的安全</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采</w:t>
      </w:r>
      <w:r>
        <w:rPr>
          <w:rFonts w:hint="eastAsia" w:hAnsi="宋体" w:cs="Times New Roman"/>
          <w:color w:val="auto"/>
          <w:spacing w:val="1"/>
          <w:kern w:val="2"/>
          <w:szCs w:val="24"/>
          <w:highlight w:val="none"/>
          <w:lang w:eastAsia="zh-CN"/>
        </w:rPr>
        <w:t>取</w:t>
      </w:r>
      <w:r>
        <w:rPr>
          <w:rFonts w:hint="eastAsia" w:hAnsi="宋体" w:cs="Times New Roman"/>
          <w:color w:val="auto"/>
          <w:kern w:val="2"/>
          <w:szCs w:val="24"/>
          <w:highlight w:val="none"/>
          <w:lang w:eastAsia="zh-CN"/>
        </w:rPr>
        <w:t>以下有效措施，使现场和本合同工程的实施保持有条不紊，以免使上述人员的安全受到威胁。</w:t>
      </w:r>
    </w:p>
    <w:p w14:paraId="6414694B">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29"/>
          <w:kern w:val="2"/>
          <w:szCs w:val="24"/>
          <w:highlight w:val="none"/>
          <w:lang w:eastAsia="zh-CN"/>
        </w:rPr>
        <w:t>）按</w:t>
      </w:r>
      <w:r>
        <w:rPr>
          <w:rFonts w:hint="eastAsia" w:hAnsi="宋体" w:cs="Times New Roman"/>
          <w:color w:val="auto"/>
          <w:kern w:val="2"/>
          <w:szCs w:val="24"/>
          <w:highlight w:val="none"/>
          <w:lang w:eastAsia="zh-CN"/>
        </w:rPr>
        <w:t>《公路水运工程安全生产监督管理办法</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规定的最低数量和资质条件配备专职安全生产管理人员；</w:t>
      </w:r>
    </w:p>
    <w:p w14:paraId="19FA42BC">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spacing w:val="-3"/>
          <w:kern w:val="2"/>
          <w:szCs w:val="24"/>
          <w:highlight w:val="none"/>
          <w:lang w:eastAsia="zh-CN"/>
        </w:rPr>
        <w:t>（</w:t>
      </w:r>
      <w:r>
        <w:rPr>
          <w:rFonts w:hAnsi="宋体" w:cs="Times New Roman"/>
          <w:color w:val="auto"/>
          <w:spacing w:val="-3"/>
          <w:kern w:val="2"/>
          <w:szCs w:val="24"/>
          <w:highlight w:val="none"/>
          <w:lang w:eastAsia="zh-CN"/>
        </w:rPr>
        <w:t>2</w:t>
      </w:r>
      <w:r>
        <w:rPr>
          <w:rFonts w:hint="eastAsia" w:hAnsi="宋体" w:cs="Times New Roman"/>
          <w:color w:val="auto"/>
          <w:spacing w:val="-3"/>
          <w:kern w:val="2"/>
          <w:szCs w:val="24"/>
          <w:highlight w:val="none"/>
          <w:lang w:eastAsia="zh-CN"/>
        </w:rPr>
        <w:t>）承包人的垂直运输机械作业人员、施工船舶作业人员、爆破作业人员、安</w:t>
      </w:r>
      <w:r>
        <w:rPr>
          <w:rFonts w:hint="eastAsia" w:hAnsi="宋体" w:cs="Times New Roman"/>
          <w:color w:val="auto"/>
          <w:kern w:val="2"/>
          <w:szCs w:val="24"/>
          <w:highlight w:val="none"/>
          <w:lang w:eastAsia="zh-CN"/>
        </w:rPr>
        <w:t>装拆卸工、起重信号工、电工、焊工等国家规定的特种作业人员，必须按照国家规定经过专门的安全作业培训，并取得特种作业操作资格证书后，方可上岗作业；</w:t>
      </w:r>
    </w:p>
    <w:p w14:paraId="53F9B46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spacing w:val="-104"/>
          <w:kern w:val="2"/>
          <w:szCs w:val="24"/>
          <w:highlight w:val="none"/>
          <w:lang w:eastAsia="zh-CN"/>
        </w:rPr>
        <w:t>）</w:t>
      </w:r>
      <w:r>
        <w:rPr>
          <w:rFonts w:hint="eastAsia" w:hAnsi="宋体" w:cs="Times New Roman"/>
          <w:color w:val="auto"/>
          <w:kern w:val="2"/>
          <w:szCs w:val="24"/>
          <w:highlight w:val="none"/>
          <w:lang w:eastAsia="zh-CN"/>
        </w:rPr>
        <w:t>所有施工机具设备和高空作业设备均应定期检查</w:t>
      </w:r>
      <w:r>
        <w:rPr>
          <w:rFonts w:hint="eastAsia" w:hAnsi="宋体" w:cs="Times New Roman"/>
          <w:color w:val="auto"/>
          <w:spacing w:val="-104"/>
          <w:kern w:val="2"/>
          <w:szCs w:val="24"/>
          <w:highlight w:val="none"/>
          <w:lang w:eastAsia="zh-CN"/>
        </w:rPr>
        <w:t>，</w:t>
      </w:r>
      <w:r>
        <w:rPr>
          <w:rFonts w:hint="eastAsia" w:hAnsi="宋体" w:cs="Times New Roman"/>
          <w:color w:val="auto"/>
          <w:kern w:val="2"/>
          <w:szCs w:val="24"/>
          <w:highlight w:val="none"/>
          <w:lang w:eastAsia="zh-CN"/>
        </w:rPr>
        <w:t>并有安全员的签字记录；</w:t>
      </w:r>
    </w:p>
    <w:p w14:paraId="468A0D98">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根据本合同各单位工程的施工特点</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严格执</w:t>
      </w:r>
      <w:r>
        <w:rPr>
          <w:rFonts w:hint="eastAsia" w:hAnsi="宋体" w:cs="Times New Roman"/>
          <w:color w:val="auto"/>
          <w:spacing w:val="-29"/>
          <w:kern w:val="2"/>
          <w:szCs w:val="24"/>
          <w:highlight w:val="none"/>
          <w:lang w:eastAsia="zh-CN"/>
        </w:rPr>
        <w:t>行</w:t>
      </w:r>
      <w:r>
        <w:rPr>
          <w:rFonts w:hint="eastAsia" w:hAnsi="宋体" w:cs="Times New Roman"/>
          <w:color w:val="auto"/>
          <w:kern w:val="2"/>
          <w:szCs w:val="24"/>
          <w:highlight w:val="none"/>
          <w:lang w:eastAsia="zh-CN"/>
        </w:rPr>
        <w:t>《公路水运工程安全生产监督管理办法</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 《公路工程施工安全技术规范》等有关规定。</w:t>
      </w:r>
    </w:p>
    <w:p w14:paraId="716F835D">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9.2.9</w:t>
      </w:r>
      <w:r>
        <w:rPr>
          <w:rFonts w:hint="eastAsia" w:hAnsi="宋体" w:cs="Times New Roman"/>
          <w:color w:val="auto"/>
          <w:spacing w:val="4"/>
          <w:kern w:val="2"/>
          <w:szCs w:val="24"/>
          <w:highlight w:val="none"/>
          <w:lang w:eastAsia="zh-CN"/>
        </w:rPr>
        <w:t>为了保护本合同工程免遭损坏，或为了现场附近和过往群众的安全与方</w:t>
      </w:r>
      <w:r>
        <w:rPr>
          <w:rFonts w:hint="eastAsia" w:hAnsi="宋体" w:cs="Times New Roman"/>
          <w:color w:val="auto"/>
          <w:kern w:val="2"/>
          <w:szCs w:val="24"/>
          <w:highlight w:val="none"/>
          <w:lang w:eastAsia="zh-CN"/>
        </w:rPr>
        <w:t>便，在确有必要的时候和地方，或当监理人或有关主管部门要求时，承包人应自费提供照明、警卫、护栅、警告标志等安全防护设施。</w:t>
      </w:r>
    </w:p>
    <w:p w14:paraId="7146B0A3">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9.2.10 </w:t>
      </w:r>
      <w:r>
        <w:rPr>
          <w:rFonts w:hint="eastAsia" w:hAnsi="宋体" w:cs="Times New Roman"/>
          <w:color w:val="auto"/>
          <w:kern w:val="2"/>
          <w:szCs w:val="24"/>
          <w:highlight w:val="none"/>
          <w:lang w:eastAsia="zh-CN"/>
        </w:rPr>
        <w:t>在通航水域施工时，承包人应与当地主管部门取得联系，设置必要的导航标志，及时发布航行通告，确保施工水域安全。</w:t>
      </w:r>
    </w:p>
    <w:p w14:paraId="10EBD638">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spacing w:val="-2"/>
          <w:kern w:val="2"/>
          <w:szCs w:val="24"/>
          <w:highlight w:val="none"/>
          <w:lang w:eastAsia="zh-CN"/>
        </w:rPr>
        <w:t>9.2.11</w:t>
      </w:r>
      <w:r>
        <w:rPr>
          <w:rFonts w:hint="eastAsia" w:hAnsi="宋体" w:cs="Times New Roman"/>
          <w:color w:val="auto"/>
          <w:spacing w:val="1"/>
          <w:kern w:val="2"/>
          <w:szCs w:val="24"/>
          <w:highlight w:val="none"/>
          <w:lang w:eastAsia="zh-CN"/>
        </w:rPr>
        <w:t>在整个施工过程中对承包人采取的施工安全措施，发包人和监理人有权</w:t>
      </w:r>
      <w:r>
        <w:rPr>
          <w:rFonts w:hint="eastAsia" w:hAnsi="宋体" w:cs="Times New Roman"/>
          <w:color w:val="auto"/>
          <w:kern w:val="2"/>
          <w:szCs w:val="24"/>
          <w:highlight w:val="none"/>
          <w:lang w:eastAsia="zh-CN"/>
        </w:rPr>
        <w:t>监督，并向承包人提出整改要求。如果由于承包人未能对其负责的上述事项采取各种必要的措施而导致或发生与此有关的人身伤亡、罚款、索赔、损失补偿、诉讼费用及其他一切责任应由承包人负责。</w:t>
      </w:r>
    </w:p>
    <w:p w14:paraId="1C4614F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4" w:name="bookmark193"/>
      <w:bookmarkEnd w:id="194"/>
      <w:r>
        <w:rPr>
          <w:rFonts w:hAnsi="宋体" w:cs="Times New Roman"/>
          <w:color w:val="auto"/>
          <w:kern w:val="2"/>
          <w:szCs w:val="24"/>
          <w:highlight w:val="none"/>
          <w:lang w:eastAsia="zh-CN"/>
        </w:rPr>
        <w:t>9.4</w:t>
      </w:r>
      <w:r>
        <w:rPr>
          <w:rFonts w:hint="eastAsia" w:hAnsi="宋体" w:cs="Times New Roman"/>
          <w:color w:val="auto"/>
          <w:kern w:val="2"/>
          <w:szCs w:val="24"/>
          <w:highlight w:val="none"/>
          <w:lang w:eastAsia="zh-CN"/>
        </w:rPr>
        <w:t>环境保护</w:t>
      </w:r>
    </w:p>
    <w:p w14:paraId="3FACEE5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9.4.7 </w:t>
      </w:r>
      <w:r>
        <w:rPr>
          <w:rFonts w:hint="eastAsia" w:hAnsi="宋体" w:cs="Times New Roman"/>
          <w:color w:val="auto"/>
          <w:spacing w:val="-1"/>
          <w:kern w:val="2"/>
          <w:szCs w:val="24"/>
          <w:highlight w:val="none"/>
          <w:lang w:eastAsia="zh-CN"/>
        </w:rPr>
        <w:t>项</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第</w:t>
      </w:r>
      <w:r>
        <w:rPr>
          <w:rFonts w:hAnsi="宋体" w:cs="Times New Roman"/>
          <w:color w:val="auto"/>
          <w:spacing w:val="-2"/>
          <w:kern w:val="2"/>
          <w:szCs w:val="24"/>
          <w:highlight w:val="none"/>
          <w:lang w:eastAsia="zh-CN"/>
        </w:rPr>
        <w:t>9.4.11</w:t>
      </w:r>
      <w:r>
        <w:rPr>
          <w:rFonts w:hint="eastAsia" w:hAnsi="宋体" w:cs="Times New Roman"/>
          <w:color w:val="auto"/>
          <w:kern w:val="2"/>
          <w:szCs w:val="24"/>
          <w:highlight w:val="none"/>
          <w:lang w:eastAsia="zh-CN"/>
        </w:rPr>
        <w:t>项：</w:t>
      </w:r>
    </w:p>
    <w:p w14:paraId="06445EB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9.4.7  </w:t>
      </w:r>
      <w:r>
        <w:rPr>
          <w:rFonts w:hint="eastAsia" w:hAnsi="宋体" w:cs="Times New Roman"/>
          <w:color w:val="auto"/>
          <w:kern w:val="2"/>
          <w:szCs w:val="24"/>
          <w:highlight w:val="none"/>
          <w:lang w:eastAsia="zh-CN"/>
        </w:rPr>
        <w:t>承包人应切实执行技术规范中有关环境保护方面的条款和规定。</w:t>
      </w:r>
    </w:p>
    <w:p w14:paraId="642E842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对于来自施工机械和运输车辆的施工噪声</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为保护施工人员的健康</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w:t>
      </w:r>
      <w:r>
        <w:rPr>
          <w:rFonts w:hAnsi="宋体" w:cs="Times New Roman"/>
          <w:color w:val="auto"/>
          <w:kern w:val="2"/>
          <w:szCs w:val="24"/>
          <w:highlight w:val="none"/>
          <w:lang w:eastAsia="zh-CN"/>
        </w:rPr>
        <w:t>150m</w:t>
      </w:r>
      <w:r>
        <w:rPr>
          <w:rFonts w:hint="eastAsia" w:hAnsi="宋体" w:cs="Times New Roman"/>
          <w:color w:val="auto"/>
          <w:kern w:val="2"/>
          <w:szCs w:val="24"/>
          <w:highlight w:val="none"/>
          <w:lang w:eastAsia="zh-CN"/>
        </w:rPr>
        <w:t>以内的施工现场，施工时间应加以控制。</w:t>
      </w:r>
    </w:p>
    <w:p w14:paraId="2A6AD021">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对于公路施工中粉尘污染的主要污染</w:t>
      </w:r>
      <w:r>
        <w:rPr>
          <w:rFonts w:hint="eastAsia" w:hAnsi="宋体" w:cs="Times New Roman"/>
          <w:color w:val="auto"/>
          <w:spacing w:val="1"/>
          <w:kern w:val="2"/>
          <w:szCs w:val="24"/>
          <w:highlight w:val="none"/>
          <w:lang w:eastAsia="zh-CN"/>
        </w:rPr>
        <w:t>源</w:t>
      </w:r>
      <w:r>
        <w:rPr>
          <w:rFonts w:hAnsi="宋体" w:cs="Times New Roman"/>
          <w:color w:val="auto"/>
          <w:kern w:val="2"/>
          <w:szCs w:val="24"/>
          <w:highlight w:val="none"/>
          <w:lang w:eastAsia="zh-CN"/>
        </w:rPr>
        <w:t>――</w:t>
      </w:r>
      <w:r>
        <w:rPr>
          <w:rFonts w:hint="eastAsia" w:hAnsi="宋体" w:cs="Times New Roman"/>
          <w:color w:val="auto"/>
          <w:kern w:val="2"/>
          <w:szCs w:val="24"/>
          <w:highlight w:val="none"/>
          <w:lang w:eastAsia="zh-CN"/>
        </w:rPr>
        <w:t>灰土拌和</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施工车辆和筑路机械运行及运输产生的扬尘，应采取有效措施减轻其对施工现场的大气污染，保护人民健康，如：</w:t>
      </w:r>
    </w:p>
    <w:p w14:paraId="3C05DB2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spacing w:val="-1"/>
          <w:kern w:val="2"/>
          <w:szCs w:val="24"/>
          <w:highlight w:val="none"/>
          <w:lang w:eastAsia="zh-CN"/>
        </w:rPr>
        <w:t>a.</w:t>
      </w:r>
      <w:r>
        <w:rPr>
          <w:rFonts w:hint="eastAsia" w:hAnsi="宋体" w:cs="Times New Roman"/>
          <w:color w:val="auto"/>
          <w:kern w:val="2"/>
          <w:szCs w:val="24"/>
          <w:highlight w:val="none"/>
          <w:lang w:eastAsia="zh-CN"/>
        </w:rPr>
        <w:t>拌和设备应有较好的密封，或有防尘设备。</w:t>
      </w:r>
    </w:p>
    <w:p w14:paraId="0BAEC45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b.  </w:t>
      </w:r>
      <w:r>
        <w:rPr>
          <w:rFonts w:hint="eastAsia" w:hAnsi="宋体" w:cs="Times New Roman"/>
          <w:color w:val="auto"/>
          <w:kern w:val="2"/>
          <w:szCs w:val="24"/>
          <w:highlight w:val="none"/>
          <w:lang w:eastAsia="zh-CN"/>
        </w:rPr>
        <w:t>施工通道、沥青混凝土拌和站及灰土拌和站应经常进行洒水降尘。</w:t>
      </w:r>
    </w:p>
    <w:p w14:paraId="3A3F9F5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spacing w:val="-1"/>
          <w:kern w:val="2"/>
          <w:szCs w:val="24"/>
          <w:highlight w:val="none"/>
          <w:lang w:eastAsia="zh-CN"/>
        </w:rPr>
        <w:t>c.</w:t>
      </w:r>
      <w:r>
        <w:rPr>
          <w:rFonts w:hint="eastAsia" w:hAnsi="宋体" w:cs="Times New Roman"/>
          <w:color w:val="auto"/>
          <w:kern w:val="2"/>
          <w:szCs w:val="24"/>
          <w:highlight w:val="none"/>
          <w:lang w:eastAsia="zh-CN"/>
        </w:rPr>
        <w:t>路面施工应注意保持水分，以免扬尘。</w:t>
      </w:r>
    </w:p>
    <w:p w14:paraId="53256B72">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d. </w:t>
      </w:r>
      <w:r>
        <w:rPr>
          <w:rFonts w:hint="eastAsia" w:hAnsi="宋体" w:cs="Times New Roman"/>
          <w:color w:val="auto"/>
          <w:kern w:val="2"/>
          <w:szCs w:val="24"/>
          <w:highlight w:val="none"/>
          <w:lang w:eastAsia="zh-CN"/>
        </w:rPr>
        <w:t>隧道出渣和桥梁钻孔灌注桩施工时排出的泥浆要进行妥善处理</w:t>
      </w:r>
      <w:r>
        <w:rPr>
          <w:rFonts w:hint="eastAsia" w:hAnsi="宋体" w:cs="Times New Roman"/>
          <w:color w:val="auto"/>
          <w:spacing w:val="-24"/>
          <w:kern w:val="2"/>
          <w:szCs w:val="24"/>
          <w:highlight w:val="none"/>
          <w:lang w:eastAsia="zh-CN"/>
        </w:rPr>
        <w:t>，</w:t>
      </w:r>
      <w:r>
        <w:rPr>
          <w:rFonts w:hint="eastAsia" w:hAnsi="宋体" w:cs="Times New Roman"/>
          <w:color w:val="auto"/>
          <w:kern w:val="2"/>
          <w:szCs w:val="24"/>
          <w:highlight w:val="none"/>
          <w:lang w:eastAsia="zh-CN"/>
        </w:rPr>
        <w:t>严禁向河流或农田排放。</w:t>
      </w:r>
    </w:p>
    <w:p w14:paraId="6EAE0903">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采取可靠措施保证原有交通的正常通行</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维持沿线村镇的居民饮水</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农田灌溉、生产生活用电及通信等管线的正常使用。</w:t>
      </w:r>
    </w:p>
    <w:p w14:paraId="5C1C4BFC">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9.4.8 </w:t>
      </w:r>
      <w:r>
        <w:rPr>
          <w:rFonts w:hint="eastAsia" w:hAnsi="宋体" w:cs="Times New Roman"/>
          <w:color w:val="auto"/>
          <w:kern w:val="2"/>
          <w:szCs w:val="24"/>
          <w:highlight w:val="none"/>
          <w:lang w:eastAsia="zh-CN"/>
        </w:rPr>
        <w:t>在整个施工过程中对承包人采取的环境保护措施</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11053A6">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9.4.9 </w:t>
      </w:r>
      <w:r>
        <w:rPr>
          <w:rFonts w:hint="eastAsia" w:hAnsi="宋体" w:cs="Times New Roman"/>
          <w:color w:val="auto"/>
          <w:spacing w:val="-1"/>
          <w:kern w:val="2"/>
          <w:szCs w:val="24"/>
          <w:highlight w:val="none"/>
          <w:lang w:eastAsia="zh-CN"/>
        </w:rPr>
        <w:t>在施工期间，承包人应随时保持现场整洁，施工设备和材料、工程设备应</w:t>
      </w:r>
      <w:r>
        <w:rPr>
          <w:rFonts w:hint="eastAsia" w:hAnsi="宋体" w:cs="Times New Roman"/>
          <w:color w:val="auto"/>
          <w:kern w:val="2"/>
          <w:szCs w:val="24"/>
          <w:highlight w:val="none"/>
          <w:lang w:eastAsia="zh-CN"/>
        </w:rPr>
        <w:t>整齐妥善存放和储存，废料与垃圾及不再需要的临时设施应及时从现场清除、拆除并运走。</w:t>
      </w:r>
    </w:p>
    <w:p w14:paraId="17F15745">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9.4.10 </w:t>
      </w:r>
      <w:r>
        <w:rPr>
          <w:rFonts w:hint="eastAsia" w:hAnsi="宋体" w:cs="Times New Roman"/>
          <w:color w:val="auto"/>
          <w:kern w:val="2"/>
          <w:szCs w:val="24"/>
          <w:highlight w:val="none"/>
          <w:lang w:eastAsia="zh-CN"/>
        </w:rPr>
        <w:t>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4D429E16">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spacing w:val="-2"/>
          <w:kern w:val="2"/>
          <w:szCs w:val="24"/>
          <w:highlight w:val="none"/>
          <w:lang w:eastAsia="zh-CN"/>
        </w:rPr>
        <w:t>9.4.11</w:t>
      </w:r>
      <w:r>
        <w:rPr>
          <w:rFonts w:hint="eastAsia" w:hAnsi="宋体" w:cs="Times New Roman"/>
          <w:color w:val="auto"/>
          <w:spacing w:val="1"/>
          <w:kern w:val="2"/>
          <w:szCs w:val="24"/>
          <w:highlight w:val="none"/>
          <w:lang w:eastAsia="zh-CN"/>
        </w:rPr>
        <w:t>承包人应严格按照国家有关法规要求，做好施工过程中的生态保护和水</w:t>
      </w:r>
      <w:r>
        <w:rPr>
          <w:rFonts w:hint="eastAsia" w:hAnsi="宋体" w:cs="Times New Roman"/>
          <w:color w:val="auto"/>
          <w:kern w:val="2"/>
          <w:szCs w:val="24"/>
          <w:highlight w:val="none"/>
          <w:lang w:eastAsia="zh-CN"/>
        </w:rPr>
        <w:t>土保持工作。施工中要尽可能减少对原地面的扰动，减少对地面草木的破坏，需要爆破作业的，应按规定进行控爆设计。雨季填筑路基应随挖、随运、随填、随压，</w:t>
      </w:r>
      <w:r>
        <w:rPr>
          <w:rFonts w:hint="eastAsia" w:hAnsi="宋体" w:cs="Times New Roman"/>
          <w:color w:val="auto"/>
          <w:spacing w:val="-3"/>
          <w:kern w:val="2"/>
          <w:szCs w:val="24"/>
          <w:highlight w:val="none"/>
          <w:lang w:eastAsia="zh-CN"/>
        </w:rPr>
        <w:t>要完善施工中的临时排水系统，加强施工便道的管理。取（弃）土场必须先挡后弃，</w:t>
      </w:r>
      <w:r>
        <w:rPr>
          <w:rFonts w:hint="eastAsia" w:hAnsi="宋体" w:cs="Times New Roman"/>
          <w:color w:val="auto"/>
          <w:kern w:val="2"/>
          <w:szCs w:val="24"/>
          <w:highlight w:val="none"/>
          <w:lang w:eastAsia="zh-CN"/>
        </w:rPr>
        <w:t>严禁在指定的取（弃）土场以外的地方乱挖乱弃。</w:t>
      </w:r>
    </w:p>
    <w:p w14:paraId="75E0265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5" w:name="bookmark194"/>
      <w:bookmarkEnd w:id="195"/>
      <w:r>
        <w:rPr>
          <w:rFonts w:hAnsi="宋体" w:cs="Times New Roman"/>
          <w:color w:val="auto"/>
          <w:kern w:val="2"/>
          <w:szCs w:val="24"/>
          <w:highlight w:val="none"/>
          <w:lang w:eastAsia="zh-CN"/>
        </w:rPr>
        <w:t>10.</w:t>
      </w:r>
      <w:r>
        <w:rPr>
          <w:rFonts w:hint="eastAsia" w:hAnsi="宋体" w:cs="Times New Roman"/>
          <w:color w:val="auto"/>
          <w:kern w:val="2"/>
          <w:szCs w:val="24"/>
          <w:highlight w:val="none"/>
          <w:lang w:eastAsia="zh-CN"/>
        </w:rPr>
        <w:t>进度计划</w:t>
      </w:r>
    </w:p>
    <w:p w14:paraId="1E610DE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6" w:name="bookmark195"/>
      <w:bookmarkEnd w:id="196"/>
      <w:r>
        <w:rPr>
          <w:rFonts w:hAnsi="宋体" w:cs="Times New Roman"/>
          <w:color w:val="auto"/>
          <w:kern w:val="2"/>
          <w:szCs w:val="24"/>
          <w:highlight w:val="none"/>
          <w:lang w:eastAsia="zh-CN"/>
        </w:rPr>
        <w:t>10.1</w:t>
      </w:r>
      <w:r>
        <w:rPr>
          <w:rFonts w:hint="eastAsia" w:hAnsi="宋体" w:cs="Times New Roman"/>
          <w:color w:val="auto"/>
          <w:kern w:val="2"/>
          <w:szCs w:val="24"/>
          <w:highlight w:val="none"/>
          <w:lang w:eastAsia="zh-CN"/>
        </w:rPr>
        <w:t>合同进度计划</w:t>
      </w:r>
    </w:p>
    <w:p w14:paraId="3CB34C6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5A7BD42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承包人编制施工方案说明的内容见项目专用合同条款。</w:t>
      </w:r>
    </w:p>
    <w:p w14:paraId="5316A001">
      <w:pPr>
        <w:widowControl w:val="0"/>
        <w:kinsoku w:val="0"/>
        <w:overflowPunct w:val="0"/>
        <w:adjustRightInd w:val="0"/>
        <w:snapToGrid w:val="0"/>
        <w:spacing w:line="360" w:lineRule="auto"/>
        <w:ind w:firstLine="525" w:firstLineChars="25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承包人向监理人报送施工进度计划和施工方案说明的期限：签订合同协议书后</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天之内。</w:t>
      </w:r>
    </w:p>
    <w:p w14:paraId="33687B4B">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 xml:space="preserve">监理人应在 </w:t>
      </w:r>
      <w:r>
        <w:rPr>
          <w:rFonts w:hAnsi="宋体" w:cs="Times New Roman"/>
          <w:color w:val="auto"/>
          <w:spacing w:val="1"/>
          <w:kern w:val="2"/>
          <w:szCs w:val="24"/>
          <w:highlight w:val="none"/>
          <w:lang w:eastAsia="zh-CN"/>
        </w:rPr>
        <w:t>14</w:t>
      </w:r>
      <w:r>
        <w:rPr>
          <w:rFonts w:hint="eastAsia" w:hAnsi="宋体" w:cs="Times New Roman"/>
          <w:color w:val="auto"/>
          <w:spacing w:val="1"/>
          <w:kern w:val="2"/>
          <w:szCs w:val="24"/>
          <w:highlight w:val="none"/>
          <w:lang w:eastAsia="zh-CN"/>
        </w:rPr>
        <w:t>天内对承包人施工进度计划和施工方案说明予以批复或提出修</w:t>
      </w:r>
      <w:r>
        <w:rPr>
          <w:rFonts w:hint="eastAsia" w:hAnsi="宋体" w:cs="Times New Roman"/>
          <w:color w:val="auto"/>
          <w:spacing w:val="-1"/>
          <w:kern w:val="2"/>
          <w:szCs w:val="24"/>
          <w:highlight w:val="none"/>
          <w:lang w:eastAsia="zh-CN"/>
        </w:rPr>
        <w:t>改意见。</w:t>
      </w:r>
    </w:p>
    <w:p w14:paraId="25C0840B">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合同进度计划应按照关键线路网络图和主要工作横道图两种形式分别编绘，并应包括每月预计完成的工作量和形象进度。</w:t>
      </w:r>
    </w:p>
    <w:p w14:paraId="1D5A742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7" w:name="bookmark196"/>
      <w:bookmarkEnd w:id="197"/>
      <w:r>
        <w:rPr>
          <w:rFonts w:hAnsi="宋体" w:cs="Times New Roman"/>
          <w:color w:val="auto"/>
          <w:kern w:val="2"/>
          <w:szCs w:val="24"/>
          <w:highlight w:val="none"/>
          <w:lang w:eastAsia="zh-CN"/>
        </w:rPr>
        <w:t>10.2</w:t>
      </w:r>
      <w:r>
        <w:rPr>
          <w:rFonts w:hint="eastAsia" w:hAnsi="宋体" w:cs="Times New Roman"/>
          <w:color w:val="auto"/>
          <w:kern w:val="2"/>
          <w:szCs w:val="24"/>
          <w:highlight w:val="none"/>
          <w:lang w:eastAsia="zh-CN"/>
        </w:rPr>
        <w:t>合同进度计划的修订</w:t>
      </w:r>
    </w:p>
    <w:p w14:paraId="1951B29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5557DC5D">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承包人提交合同进度计划修订申请报告</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并附有关措施和相关资</w:t>
      </w:r>
      <w:r>
        <w:rPr>
          <w:rFonts w:hint="eastAsia" w:hAnsi="宋体" w:cs="Times New Roman"/>
          <w:color w:val="auto"/>
          <w:spacing w:val="1"/>
          <w:kern w:val="2"/>
          <w:szCs w:val="24"/>
          <w:highlight w:val="none"/>
          <w:lang w:eastAsia="zh-CN"/>
        </w:rPr>
        <w:t>料</w:t>
      </w:r>
      <w:r>
        <w:rPr>
          <w:rFonts w:hint="eastAsia" w:hAnsi="宋体" w:cs="Times New Roman"/>
          <w:color w:val="auto"/>
          <w:kern w:val="2"/>
          <w:szCs w:val="24"/>
          <w:highlight w:val="none"/>
          <w:lang w:eastAsia="zh-CN"/>
        </w:rPr>
        <w:t>的期限</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实际进度发生滞后的当月</w:t>
      </w:r>
      <w:r>
        <w:rPr>
          <w:rFonts w:hAnsi="宋体" w:cs="Times New Roman"/>
          <w:color w:val="auto"/>
          <w:kern w:val="2"/>
          <w:szCs w:val="24"/>
          <w:highlight w:val="none"/>
          <w:lang w:eastAsia="zh-CN"/>
        </w:rPr>
        <w:t xml:space="preserve">25 </w:t>
      </w:r>
      <w:r>
        <w:rPr>
          <w:rFonts w:hint="eastAsia" w:hAnsi="宋体" w:cs="Times New Roman"/>
          <w:color w:val="auto"/>
          <w:kern w:val="2"/>
          <w:szCs w:val="24"/>
          <w:highlight w:val="none"/>
          <w:lang w:eastAsia="zh-CN"/>
        </w:rPr>
        <w:t>日前。</w:t>
      </w:r>
    </w:p>
    <w:p w14:paraId="4E5246F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监理人批复修订合同进度计划的期限：收到修订合同进度计划后</w:t>
      </w:r>
      <w:r>
        <w:rPr>
          <w:rFonts w:hAnsi="宋体" w:cs="Times New Roman"/>
          <w:color w:val="auto"/>
          <w:kern w:val="2"/>
          <w:szCs w:val="24"/>
          <w:highlight w:val="none"/>
          <w:lang w:eastAsia="zh-CN"/>
        </w:rPr>
        <w:t xml:space="preserve">14 </w:t>
      </w:r>
      <w:r>
        <w:rPr>
          <w:rFonts w:hint="eastAsia" w:hAnsi="宋体" w:cs="Times New Roman"/>
          <w:color w:val="auto"/>
          <w:kern w:val="2"/>
          <w:szCs w:val="24"/>
          <w:highlight w:val="none"/>
          <w:lang w:eastAsia="zh-CN"/>
        </w:rPr>
        <w:t>天内。</w:t>
      </w:r>
    </w:p>
    <w:p w14:paraId="777FA682">
      <w:pPr>
        <w:widowControl w:val="0"/>
        <w:kinsoku w:val="0"/>
        <w:overflowPunct w:val="0"/>
        <w:adjustRightInd w:val="0"/>
        <w:snapToGrid w:val="0"/>
        <w:spacing w:line="360" w:lineRule="auto"/>
        <w:ind w:firstLine="208" w:firstLineChars="100"/>
        <w:jc w:val="both"/>
        <w:rPr>
          <w:rFonts w:hAnsi="宋体" w:cs="Times New Roman"/>
          <w:color w:val="auto"/>
          <w:spacing w:val="-1"/>
          <w:kern w:val="2"/>
          <w:szCs w:val="24"/>
          <w:highlight w:val="none"/>
          <w:lang w:eastAsia="zh-CN"/>
        </w:rPr>
      </w:pPr>
    </w:p>
    <w:p w14:paraId="23491067">
      <w:pPr>
        <w:widowControl w:val="0"/>
        <w:kinsoku w:val="0"/>
        <w:overflowPunct w:val="0"/>
        <w:adjustRightInd w:val="0"/>
        <w:snapToGrid w:val="0"/>
        <w:spacing w:line="360" w:lineRule="auto"/>
        <w:ind w:firstLine="208" w:firstLineChars="100"/>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本条补充第</w:t>
      </w:r>
      <w:r>
        <w:rPr>
          <w:rFonts w:hAnsi="宋体" w:cs="Times New Roman"/>
          <w:color w:val="auto"/>
          <w:kern w:val="2"/>
          <w:szCs w:val="24"/>
          <w:highlight w:val="none"/>
          <w:lang w:eastAsia="zh-CN"/>
        </w:rPr>
        <w:t xml:space="preserve">10.3 </w:t>
      </w:r>
      <w:r>
        <w:rPr>
          <w:rFonts w:hint="eastAsia" w:hAnsi="宋体" w:cs="Times New Roman"/>
          <w:color w:val="auto"/>
          <w:kern w:val="2"/>
          <w:szCs w:val="24"/>
          <w:highlight w:val="none"/>
          <w:lang w:eastAsia="zh-CN"/>
        </w:rPr>
        <w:t>款、第</w:t>
      </w:r>
      <w:r>
        <w:rPr>
          <w:rFonts w:hAnsi="宋体" w:cs="Times New Roman"/>
          <w:color w:val="auto"/>
          <w:kern w:val="2"/>
          <w:szCs w:val="24"/>
          <w:highlight w:val="none"/>
          <w:lang w:eastAsia="zh-CN"/>
        </w:rPr>
        <w:t xml:space="preserve">10.4 </w:t>
      </w:r>
      <w:r>
        <w:rPr>
          <w:rFonts w:hint="eastAsia" w:hAnsi="宋体" w:cs="Times New Roman"/>
          <w:color w:val="auto"/>
          <w:kern w:val="2"/>
          <w:szCs w:val="24"/>
          <w:highlight w:val="none"/>
          <w:lang w:eastAsia="zh-CN"/>
        </w:rPr>
        <w:t>款：</w:t>
      </w:r>
    </w:p>
    <w:p w14:paraId="0A76C63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8" w:name="bookmark197"/>
      <w:bookmarkEnd w:id="198"/>
      <w:r>
        <w:rPr>
          <w:rFonts w:hAnsi="宋体" w:cs="Times New Roman"/>
          <w:color w:val="auto"/>
          <w:kern w:val="2"/>
          <w:szCs w:val="24"/>
          <w:highlight w:val="none"/>
          <w:lang w:eastAsia="zh-CN"/>
        </w:rPr>
        <w:t>10.3</w:t>
      </w:r>
      <w:r>
        <w:rPr>
          <w:rFonts w:hint="eastAsia" w:hAnsi="宋体" w:cs="Times New Roman"/>
          <w:color w:val="auto"/>
          <w:kern w:val="2"/>
          <w:szCs w:val="24"/>
          <w:highlight w:val="none"/>
          <w:lang w:eastAsia="zh-CN"/>
        </w:rPr>
        <w:t>年度施工计划</w:t>
      </w:r>
    </w:p>
    <w:p w14:paraId="53739FB7">
      <w:pPr>
        <w:widowControl w:val="0"/>
        <w:kinsoku w:val="0"/>
        <w:overflowPunct w:val="0"/>
        <w:adjustRightInd w:val="0"/>
        <w:snapToGrid w:val="0"/>
        <w:spacing w:line="360" w:lineRule="auto"/>
        <w:ind w:firstLine="466" w:firstLineChars="222"/>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承包人应在每年</w:t>
      </w:r>
      <w:r>
        <w:rPr>
          <w:rFonts w:hAnsi="宋体" w:cs="Times New Roman"/>
          <w:color w:val="auto"/>
          <w:spacing w:val="-5"/>
          <w:kern w:val="2"/>
          <w:szCs w:val="24"/>
          <w:highlight w:val="none"/>
          <w:lang w:eastAsia="zh-CN"/>
        </w:rPr>
        <w:t>11</w:t>
      </w:r>
      <w:r>
        <w:rPr>
          <w:rFonts w:hint="eastAsia" w:hAnsi="宋体" w:cs="Times New Roman"/>
          <w:color w:val="auto"/>
          <w:kern w:val="2"/>
          <w:szCs w:val="24"/>
          <w:highlight w:val="none"/>
          <w:lang w:eastAsia="zh-CN"/>
        </w:rPr>
        <w:t>月底前，根据已同意的合同进度计划或其修订的计划，向监理人提交</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份格式和内容符合监理人合理规定的下一年度的施工计划，以供审查。该计划应包括本年度估计完成的和下一年度预计完成的分项工程数量和工作量，以及为实施此计划将采取的措施。</w:t>
      </w:r>
    </w:p>
    <w:p w14:paraId="7533B87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199" w:name="bookmark198"/>
      <w:bookmarkEnd w:id="199"/>
      <w:r>
        <w:rPr>
          <w:rFonts w:hAnsi="宋体" w:cs="Times New Roman"/>
          <w:color w:val="auto"/>
          <w:kern w:val="2"/>
          <w:szCs w:val="24"/>
          <w:highlight w:val="none"/>
          <w:lang w:eastAsia="zh-CN"/>
        </w:rPr>
        <w:t>10.4</w:t>
      </w:r>
      <w:r>
        <w:rPr>
          <w:rFonts w:hint="eastAsia" w:hAnsi="宋体" w:cs="Times New Roman"/>
          <w:color w:val="auto"/>
          <w:kern w:val="2"/>
          <w:szCs w:val="24"/>
          <w:highlight w:val="none"/>
          <w:lang w:eastAsia="zh-CN"/>
        </w:rPr>
        <w:t>合同用款计划</w:t>
      </w:r>
    </w:p>
    <w:p w14:paraId="0EADF78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承包人应在签订本合同协议书后</w:t>
      </w:r>
      <w:r>
        <w:rPr>
          <w:rFonts w:hAnsi="宋体" w:cs="Times New Roman"/>
          <w:color w:val="auto"/>
          <w:kern w:val="2"/>
          <w:szCs w:val="24"/>
          <w:highlight w:val="none"/>
          <w:lang w:eastAsia="zh-CN"/>
        </w:rPr>
        <w:t>28</w:t>
      </w:r>
      <w:r>
        <w:rPr>
          <w:rFonts w:hint="eastAsia" w:hAnsi="宋体" w:cs="Times New Roman"/>
          <w:color w:val="auto"/>
          <w:kern w:val="2"/>
          <w:szCs w:val="24"/>
          <w:highlight w:val="none"/>
          <w:lang w:eastAsia="zh-CN"/>
        </w:rPr>
        <w:t>天之内，按招标文件中规定的格式，向监理人提交</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份按合同规定承包人有权得到支付的详细的季度合同用款计划，以备监理人查阅。如果监理人提出要求，承包人还应按季度提交修订的合同用款计划。</w:t>
      </w:r>
    </w:p>
    <w:p w14:paraId="4B62BDB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0" w:name="bookmark199"/>
      <w:bookmarkEnd w:id="200"/>
      <w:r>
        <w:rPr>
          <w:rFonts w:hAnsi="宋体" w:cs="Times New Roman"/>
          <w:color w:val="auto"/>
          <w:kern w:val="2"/>
          <w:szCs w:val="24"/>
          <w:highlight w:val="none"/>
          <w:lang w:eastAsia="zh-CN"/>
        </w:rPr>
        <w:t>11.</w:t>
      </w:r>
      <w:r>
        <w:rPr>
          <w:rFonts w:hint="eastAsia" w:hAnsi="宋体" w:cs="Times New Roman"/>
          <w:color w:val="auto"/>
          <w:kern w:val="2"/>
          <w:szCs w:val="24"/>
          <w:highlight w:val="none"/>
          <w:lang w:eastAsia="zh-CN"/>
        </w:rPr>
        <w:t>开工和交工</w:t>
      </w:r>
    </w:p>
    <w:p w14:paraId="486F4B1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1" w:name="bookmark200"/>
      <w:bookmarkEnd w:id="201"/>
      <w:r>
        <w:rPr>
          <w:rFonts w:hAnsi="宋体" w:cs="Times New Roman"/>
          <w:color w:val="auto"/>
          <w:kern w:val="2"/>
          <w:szCs w:val="24"/>
          <w:highlight w:val="none"/>
          <w:lang w:eastAsia="zh-CN"/>
        </w:rPr>
        <w:t>11.1</w:t>
      </w:r>
      <w:r>
        <w:rPr>
          <w:rFonts w:hint="eastAsia" w:hAnsi="宋体" w:cs="Times New Roman"/>
          <w:color w:val="auto"/>
          <w:kern w:val="2"/>
          <w:szCs w:val="24"/>
          <w:highlight w:val="none"/>
          <w:lang w:eastAsia="zh-CN"/>
        </w:rPr>
        <w:t>开工</w:t>
      </w:r>
    </w:p>
    <w:p w14:paraId="149BA45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spacing w:val="-2"/>
          <w:kern w:val="2"/>
          <w:szCs w:val="24"/>
          <w:highlight w:val="none"/>
          <w:lang w:eastAsia="zh-CN"/>
        </w:rPr>
        <w:t>11.1.2</w:t>
      </w:r>
      <w:r>
        <w:rPr>
          <w:rFonts w:hint="eastAsia" w:hAnsi="宋体" w:cs="Times New Roman"/>
          <w:color w:val="auto"/>
          <w:kern w:val="2"/>
          <w:szCs w:val="24"/>
          <w:highlight w:val="none"/>
          <w:lang w:eastAsia="zh-CN"/>
        </w:rPr>
        <w:t>项补充：</w:t>
      </w:r>
    </w:p>
    <w:p w14:paraId="3E40832C">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承包人应在分部工程开工前</w:t>
      </w:r>
      <w:r>
        <w:rPr>
          <w:rFonts w:hAnsi="宋体" w:cs="Times New Roman"/>
          <w:color w:val="auto"/>
          <w:kern w:val="2"/>
          <w:szCs w:val="24"/>
          <w:highlight w:val="none"/>
          <w:lang w:eastAsia="zh-CN"/>
        </w:rPr>
        <w:t xml:space="preserve">14 </w:t>
      </w:r>
      <w:r>
        <w:rPr>
          <w:rFonts w:hint="eastAsia" w:hAnsi="宋体" w:cs="Times New Roman"/>
          <w:color w:val="auto"/>
          <w:kern w:val="2"/>
          <w:szCs w:val="24"/>
          <w:highlight w:val="none"/>
          <w:lang w:eastAsia="zh-CN"/>
        </w:rPr>
        <w:t>天向监理人提交分部工程开工报审</w:t>
      </w:r>
      <w:r>
        <w:rPr>
          <w:rFonts w:hint="eastAsia" w:hAnsi="宋体" w:cs="Times New Roman"/>
          <w:color w:val="auto"/>
          <w:spacing w:val="1"/>
          <w:kern w:val="2"/>
          <w:szCs w:val="24"/>
          <w:highlight w:val="none"/>
          <w:lang w:eastAsia="zh-CN"/>
        </w:rPr>
        <w:t>表</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若承包人的开工准备、工作计划和质量控制方法是可接受的且已获得批准，则经监理人书面同意，分部工程才能开工。</w:t>
      </w:r>
    </w:p>
    <w:p w14:paraId="72B91953">
      <w:pPr>
        <w:widowControl w:val="0"/>
        <w:kinsoku w:val="0"/>
        <w:overflowPunct w:val="0"/>
        <w:adjustRightInd w:val="0"/>
        <w:snapToGrid w:val="0"/>
        <w:spacing w:line="360" w:lineRule="auto"/>
        <w:ind w:hanging="480"/>
        <w:jc w:val="both"/>
        <w:rPr>
          <w:rFonts w:hAnsi="宋体" w:cs="Times New Roman"/>
          <w:color w:val="auto"/>
          <w:kern w:val="2"/>
          <w:szCs w:val="24"/>
          <w:highlight w:val="none"/>
          <w:lang w:eastAsia="zh-CN"/>
        </w:rPr>
      </w:pPr>
      <w:bookmarkStart w:id="202" w:name="bookmark201"/>
      <w:bookmarkEnd w:id="202"/>
      <w:r>
        <w:rPr>
          <w:rFonts w:hAnsi="宋体" w:cs="Times New Roman"/>
          <w:color w:val="auto"/>
          <w:kern w:val="2"/>
          <w:szCs w:val="24"/>
          <w:highlight w:val="none"/>
          <w:lang w:eastAsia="zh-CN"/>
        </w:rPr>
        <w:t xml:space="preserve">11.3 </w:t>
      </w:r>
      <w:r>
        <w:rPr>
          <w:rFonts w:hint="eastAsia" w:hAnsi="宋体" w:cs="Times New Roman"/>
          <w:color w:val="auto"/>
          <w:kern w:val="2"/>
          <w:szCs w:val="24"/>
          <w:highlight w:val="none"/>
          <w:lang w:eastAsia="zh-CN"/>
        </w:rPr>
        <w:t>发包人的工期延误</w:t>
      </w:r>
    </w:p>
    <w:p w14:paraId="41F7835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3719E6C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即使由于上述原因造成工期延误，如果受影响的工程并非处在工程施工进度网络计划的关键线路上，则承包人无权要求延长总工期。</w:t>
      </w:r>
    </w:p>
    <w:p w14:paraId="48B9B57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3" w:name="bookmark202"/>
      <w:bookmarkEnd w:id="203"/>
      <w:r>
        <w:rPr>
          <w:rFonts w:hAnsi="宋体" w:cs="Times New Roman"/>
          <w:color w:val="auto"/>
          <w:kern w:val="2"/>
          <w:szCs w:val="24"/>
          <w:highlight w:val="none"/>
          <w:lang w:eastAsia="zh-CN"/>
        </w:rPr>
        <w:t>11.4</w:t>
      </w:r>
      <w:r>
        <w:rPr>
          <w:rFonts w:hint="eastAsia" w:hAnsi="宋体" w:cs="Times New Roman"/>
          <w:color w:val="auto"/>
          <w:kern w:val="2"/>
          <w:szCs w:val="24"/>
          <w:highlight w:val="none"/>
          <w:lang w:eastAsia="zh-CN"/>
        </w:rPr>
        <w:t>异常恶劣的气候条件</w:t>
      </w:r>
    </w:p>
    <w:p w14:paraId="5474D29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w:t>
      </w:r>
    </w:p>
    <w:p w14:paraId="08EA2203">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异常气候是指项目所在地</w:t>
      </w:r>
      <w:r>
        <w:rPr>
          <w:rFonts w:hAnsi="宋体" w:cs="Times New Roman"/>
          <w:color w:val="auto"/>
          <w:kern w:val="2"/>
          <w:szCs w:val="24"/>
          <w:highlight w:val="none"/>
          <w:lang w:eastAsia="zh-CN"/>
        </w:rPr>
        <w:t>30</w:t>
      </w:r>
      <w:r>
        <w:rPr>
          <w:rFonts w:hint="eastAsia" w:hAnsi="宋体" w:cs="Times New Roman"/>
          <w:color w:val="auto"/>
          <w:kern w:val="2"/>
          <w:szCs w:val="24"/>
          <w:highlight w:val="none"/>
          <w:lang w:eastAsia="zh-CN"/>
        </w:rPr>
        <w:t>年以上一遇的罕见气候现</w:t>
      </w:r>
      <w:r>
        <w:rPr>
          <w:rFonts w:hint="eastAsia" w:hAnsi="宋体" w:cs="Times New Roman"/>
          <w:color w:val="auto"/>
          <w:spacing w:val="-29"/>
          <w:kern w:val="2"/>
          <w:szCs w:val="24"/>
          <w:highlight w:val="none"/>
          <w:lang w:eastAsia="zh-CN"/>
        </w:rPr>
        <w:t>象</w:t>
      </w:r>
      <w:r>
        <w:rPr>
          <w:color w:val="auto"/>
          <w:highlight w:val="none"/>
        </w:rPr>
        <w:fldChar w:fldCharType="begin"/>
      </w:r>
      <w:r>
        <w:rPr>
          <w:color w:val="auto"/>
          <w:highlight w:val="none"/>
        </w:rPr>
        <w:instrText xml:space="preserve"> HYPERLINK "http://baike.baidu.com/view/8193.htm" </w:instrText>
      </w:r>
      <w:r>
        <w:rPr>
          <w:color w:val="auto"/>
          <w:highlight w:val="none"/>
        </w:rPr>
        <w:fldChar w:fldCharType="separate"/>
      </w:r>
      <w:r>
        <w:rPr>
          <w:rFonts w:hint="eastAsia" w:hAnsi="宋体" w:cs="Times New Roman"/>
          <w:color w:val="auto"/>
          <w:kern w:val="2"/>
          <w:szCs w:val="24"/>
          <w:highlight w:val="none"/>
          <w:lang w:eastAsia="zh-CN"/>
        </w:rPr>
        <w:t>（包括温度</w:t>
      </w:r>
      <w:r>
        <w:rPr>
          <w:rFonts w:hint="eastAsia" w:hAnsi="宋体" w:cs="Times New Roman"/>
          <w:color w:val="auto"/>
          <w:kern w:val="2"/>
          <w:szCs w:val="24"/>
          <w:highlight w:val="none"/>
          <w:lang w:eastAsia="zh-CN"/>
        </w:rPr>
        <w:fldChar w:fldCharType="end"/>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降水</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降雪、风</w:t>
      </w:r>
      <w:r>
        <w:rPr>
          <w:rFonts w:hint="eastAsia" w:hAnsi="宋体" w:cs="Times New Roman"/>
          <w:color w:val="auto"/>
          <w:spacing w:val="-1"/>
          <w:kern w:val="2"/>
          <w:szCs w:val="24"/>
          <w:highlight w:val="none"/>
          <w:lang w:eastAsia="zh-CN"/>
        </w:rPr>
        <w:t>等</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。异常恶劣的气候条件在项目专用合同条款中作具</w:t>
      </w:r>
      <w:r>
        <w:rPr>
          <w:rFonts w:hint="eastAsia" w:hAnsi="宋体" w:cs="Times New Roman"/>
          <w:color w:val="auto"/>
          <w:spacing w:val="1"/>
          <w:kern w:val="2"/>
          <w:szCs w:val="24"/>
          <w:highlight w:val="none"/>
          <w:lang w:eastAsia="zh-CN"/>
        </w:rPr>
        <w:t>体</w:t>
      </w:r>
      <w:r>
        <w:rPr>
          <w:rFonts w:hint="eastAsia" w:hAnsi="宋体" w:cs="Times New Roman"/>
          <w:color w:val="auto"/>
          <w:kern w:val="2"/>
          <w:szCs w:val="24"/>
          <w:highlight w:val="none"/>
          <w:lang w:eastAsia="zh-CN"/>
        </w:rPr>
        <w:t>约定。</w:t>
      </w:r>
    </w:p>
    <w:p w14:paraId="0B3574E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4" w:name="bookmark203"/>
      <w:bookmarkEnd w:id="204"/>
      <w:r>
        <w:rPr>
          <w:rFonts w:hAnsi="宋体" w:cs="Times New Roman"/>
          <w:color w:val="auto"/>
          <w:kern w:val="2"/>
          <w:szCs w:val="24"/>
          <w:highlight w:val="none"/>
          <w:lang w:eastAsia="zh-CN"/>
        </w:rPr>
        <w:t>11.5</w:t>
      </w:r>
      <w:r>
        <w:rPr>
          <w:rFonts w:hint="eastAsia" w:hAnsi="宋体" w:cs="Times New Roman"/>
          <w:color w:val="auto"/>
          <w:kern w:val="2"/>
          <w:szCs w:val="24"/>
          <w:highlight w:val="none"/>
          <w:lang w:eastAsia="zh-CN"/>
        </w:rPr>
        <w:t>承包人的工期延误</w:t>
      </w:r>
    </w:p>
    <w:p w14:paraId="560F1EA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本款细化为：</w:t>
      </w:r>
    </w:p>
    <w:p w14:paraId="2B14894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承包人应严格执行监理人批准的合同进度计划</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对工作量计划和形象进度</w:t>
      </w:r>
      <w:r>
        <w:rPr>
          <w:rFonts w:hint="eastAsia" w:hAnsi="宋体" w:cs="Times New Roman"/>
          <w:color w:val="auto"/>
          <w:spacing w:val="-1"/>
          <w:kern w:val="2"/>
          <w:szCs w:val="24"/>
          <w:highlight w:val="none"/>
          <w:lang w:eastAsia="zh-CN"/>
        </w:rPr>
        <w:t>计划分别控制。除第</w:t>
      </w:r>
      <w:r>
        <w:rPr>
          <w:rFonts w:hAnsi="宋体" w:cs="Times New Roman"/>
          <w:color w:val="auto"/>
          <w:spacing w:val="-3"/>
          <w:kern w:val="2"/>
          <w:szCs w:val="24"/>
          <w:highlight w:val="none"/>
          <w:lang w:eastAsia="zh-CN"/>
        </w:rPr>
        <w:t>11.3</w:t>
      </w:r>
      <w:r>
        <w:rPr>
          <w:rFonts w:hint="eastAsia" w:hAnsi="宋体" w:cs="Times New Roman"/>
          <w:color w:val="auto"/>
          <w:spacing w:val="-1"/>
          <w:kern w:val="2"/>
          <w:szCs w:val="24"/>
          <w:highlight w:val="none"/>
          <w:lang w:eastAsia="zh-CN"/>
        </w:rPr>
        <w:t>款规定外，承包人的实际工程进度曲线应在合同进度管理</w:t>
      </w:r>
      <w:r>
        <w:rPr>
          <w:rFonts w:hint="eastAsia" w:hAnsi="宋体" w:cs="Times New Roman"/>
          <w:color w:val="auto"/>
          <w:kern w:val="2"/>
          <w:szCs w:val="24"/>
          <w:highlight w:val="none"/>
          <w:lang w:eastAsia="zh-CN"/>
        </w:rPr>
        <w:t>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0EFABEC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）如果承包人在接到监理人通知后的</w:t>
      </w:r>
      <w:r>
        <w:rPr>
          <w:rFonts w:hAnsi="宋体" w:cs="Times New Roman"/>
          <w:color w:val="auto"/>
          <w:kern w:val="2"/>
          <w:szCs w:val="24"/>
          <w:highlight w:val="none"/>
          <w:lang w:eastAsia="zh-CN"/>
        </w:rPr>
        <w:t>14</w:t>
      </w:r>
      <w:r>
        <w:rPr>
          <w:rFonts w:hint="eastAsia" w:hAnsi="宋体" w:cs="Times New Roman"/>
          <w:color w:val="auto"/>
          <w:kern w:val="2"/>
          <w:szCs w:val="24"/>
          <w:highlight w:val="none"/>
          <w:lang w:eastAsia="zh-CN"/>
        </w:rPr>
        <w:t>天内，未能采取加快工程进度的措施，致使实际工程进度进一步滞后，或承包人虽采取了一些措施，仍无法按预计工期交</w:t>
      </w:r>
      <w:r>
        <w:rPr>
          <w:rFonts w:hint="eastAsia" w:hAnsi="宋体" w:cs="Times New Roman"/>
          <w:color w:val="auto"/>
          <w:spacing w:val="-1"/>
          <w:kern w:val="2"/>
          <w:szCs w:val="24"/>
          <w:highlight w:val="none"/>
          <w:lang w:eastAsia="zh-CN"/>
        </w:rPr>
        <w:t>工</w:t>
      </w:r>
      <w:r>
        <w:rPr>
          <w:rFonts w:hint="eastAsia" w:hAnsi="宋体" w:cs="Times New Roman"/>
          <w:color w:val="auto"/>
          <w:kern w:val="2"/>
          <w:szCs w:val="24"/>
          <w:highlight w:val="none"/>
          <w:lang w:eastAsia="zh-CN"/>
        </w:rPr>
        <w:t>时</w:t>
      </w:r>
      <w:r>
        <w:rPr>
          <w:rFonts w:hint="eastAsia" w:hAnsi="宋体" w:cs="Times New Roman"/>
          <w:color w:val="auto"/>
          <w:spacing w:val="-104"/>
          <w:kern w:val="2"/>
          <w:szCs w:val="24"/>
          <w:highlight w:val="none"/>
          <w:lang w:eastAsia="zh-CN"/>
        </w:rPr>
        <w:t>，</w:t>
      </w:r>
      <w:r>
        <w:rPr>
          <w:rFonts w:hint="eastAsia" w:hAnsi="宋体" w:cs="Times New Roman"/>
          <w:color w:val="auto"/>
          <w:kern w:val="2"/>
          <w:szCs w:val="24"/>
          <w:highlight w:val="none"/>
          <w:lang w:eastAsia="zh-CN"/>
        </w:rPr>
        <w:t>监理人应立即通知发包人</w:t>
      </w:r>
      <w:r>
        <w:rPr>
          <w:rFonts w:hint="eastAsia" w:hAnsi="宋体" w:cs="Times New Roman"/>
          <w:color w:val="auto"/>
          <w:spacing w:val="-104"/>
          <w:kern w:val="2"/>
          <w:szCs w:val="24"/>
          <w:highlight w:val="none"/>
          <w:lang w:eastAsia="zh-CN"/>
        </w:rPr>
        <w:t>。</w:t>
      </w:r>
      <w:r>
        <w:rPr>
          <w:rFonts w:hint="eastAsia" w:hAnsi="宋体" w:cs="Times New Roman"/>
          <w:color w:val="auto"/>
          <w:kern w:val="2"/>
          <w:szCs w:val="24"/>
          <w:highlight w:val="none"/>
          <w:lang w:eastAsia="zh-CN"/>
        </w:rPr>
        <w:t>发包人在向承包人发出书面警告通知</w:t>
      </w:r>
      <w:r>
        <w:rPr>
          <w:rFonts w:hAnsi="宋体" w:cs="Times New Roman"/>
          <w:color w:val="auto"/>
          <w:kern w:val="2"/>
          <w:szCs w:val="24"/>
          <w:highlight w:val="none"/>
          <w:lang w:eastAsia="zh-CN"/>
        </w:rPr>
        <w:t xml:space="preserve">14 </w:t>
      </w:r>
      <w:r>
        <w:rPr>
          <w:rFonts w:hint="eastAsia" w:hAnsi="宋体" w:cs="Times New Roman"/>
          <w:color w:val="auto"/>
          <w:kern w:val="2"/>
          <w:szCs w:val="24"/>
          <w:highlight w:val="none"/>
          <w:lang w:eastAsia="zh-CN"/>
        </w:rPr>
        <w:t>天后，</w:t>
      </w:r>
    </w:p>
    <w:p w14:paraId="0F47DB4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发包人可</w:t>
      </w:r>
      <w:r>
        <w:rPr>
          <w:rFonts w:hint="eastAsia" w:hAnsi="宋体" w:cs="Times New Roman"/>
          <w:color w:val="auto"/>
          <w:spacing w:val="-1"/>
          <w:kern w:val="2"/>
          <w:szCs w:val="24"/>
          <w:highlight w:val="none"/>
          <w:lang w:eastAsia="zh-CN"/>
        </w:rPr>
        <w:t>按</w:t>
      </w: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22.1 </w:t>
      </w:r>
      <w:r>
        <w:rPr>
          <w:rFonts w:hint="eastAsia" w:hAnsi="宋体" w:cs="Times New Roman"/>
          <w:color w:val="auto"/>
          <w:kern w:val="2"/>
          <w:szCs w:val="24"/>
          <w:highlight w:val="none"/>
          <w:lang w:eastAsia="zh-CN"/>
        </w:rPr>
        <w:t>款终止对承包人的雇用</w:t>
      </w:r>
      <w:r>
        <w:rPr>
          <w:rFonts w:hint="eastAsia" w:hAnsi="宋体" w:cs="Times New Roman"/>
          <w:color w:val="auto"/>
          <w:spacing w:val="-24"/>
          <w:kern w:val="2"/>
          <w:szCs w:val="24"/>
          <w:highlight w:val="none"/>
          <w:lang w:eastAsia="zh-CN"/>
        </w:rPr>
        <w:t>，</w:t>
      </w:r>
      <w:r>
        <w:rPr>
          <w:rFonts w:hint="eastAsia" w:hAnsi="宋体" w:cs="Times New Roman"/>
          <w:color w:val="auto"/>
          <w:kern w:val="2"/>
          <w:szCs w:val="24"/>
          <w:highlight w:val="none"/>
          <w:lang w:eastAsia="zh-CN"/>
        </w:rPr>
        <w:t>也可将本合同工程中的一部分工作交由其他承包人或其他分包人完成。在不解除本合同规定的承包人责任和义务的同时，承包人应承担因此所增加的一切费用。</w:t>
      </w:r>
    </w:p>
    <w:p w14:paraId="4DBF931F">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由于承包人原因造成工期延误</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承包人应支付逾期交工违约金</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逾期交工违约金的计算方法在项目专用合同条款数据表中约定，时间自预定的交工日期起到交工验收证</w:t>
      </w:r>
      <w:r>
        <w:rPr>
          <w:rFonts w:hint="eastAsia" w:hAnsi="宋体" w:cs="Times New Roman"/>
          <w:color w:val="auto"/>
          <w:spacing w:val="-1"/>
          <w:kern w:val="2"/>
          <w:szCs w:val="24"/>
          <w:highlight w:val="none"/>
          <w:lang w:eastAsia="zh-CN"/>
        </w:rPr>
        <w:t>书</w:t>
      </w:r>
      <w:r>
        <w:rPr>
          <w:rFonts w:hint="eastAsia" w:hAnsi="宋体" w:cs="Times New Roman"/>
          <w:color w:val="auto"/>
          <w:kern w:val="2"/>
          <w:szCs w:val="24"/>
          <w:highlight w:val="none"/>
          <w:lang w:eastAsia="zh-CN"/>
        </w:rPr>
        <w:t>中写明的实际交工日期</w:t>
      </w:r>
      <w:r>
        <w:rPr>
          <w:rFonts w:hint="eastAsia" w:hAnsi="宋体" w:cs="Times New Roman"/>
          <w:color w:val="auto"/>
          <w:spacing w:val="-29"/>
          <w:kern w:val="2"/>
          <w:szCs w:val="24"/>
          <w:highlight w:val="none"/>
          <w:lang w:eastAsia="zh-CN"/>
        </w:rPr>
        <w:t>止</w:t>
      </w:r>
      <w:r>
        <w:rPr>
          <w:rFonts w:hint="eastAsia" w:hAnsi="宋体" w:cs="Times New Roman"/>
          <w:color w:val="auto"/>
          <w:kern w:val="2"/>
          <w:szCs w:val="24"/>
          <w:highlight w:val="none"/>
          <w:lang w:eastAsia="zh-CN"/>
        </w:rPr>
        <w:t>（扣除已批准的延长工期</w:t>
      </w:r>
      <w:r>
        <w:rPr>
          <w:rFonts w:hint="eastAsia" w:hAnsi="宋体" w:cs="Times New Roman"/>
          <w:color w:val="auto"/>
          <w:spacing w:val="-120"/>
          <w:kern w:val="2"/>
          <w:szCs w:val="24"/>
          <w:highlight w:val="none"/>
          <w:lang w:eastAsia="zh-CN"/>
        </w:rPr>
        <w:t>）</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按天计算</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逾期交工违约金累计金额最高不超过项目专用合同条款数据表中写明的限额。发包人可以从应付或到期应付给承包人的任何款项中或采用其他方法扣除此违约金。</w:t>
      </w:r>
    </w:p>
    <w:p w14:paraId="26F69BC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）承包人支付逾期交工违约金，不免除承包人完成工程及修补缺陷的义务。</w:t>
      </w:r>
    </w:p>
    <w:p w14:paraId="5EADC22B">
      <w:pPr>
        <w:widowControl w:val="0"/>
        <w:kinsoku w:val="0"/>
        <w:overflowPunct w:val="0"/>
        <w:adjustRightInd w:val="0"/>
        <w:snapToGrid w:val="0"/>
        <w:spacing w:line="360" w:lineRule="auto"/>
        <w:ind w:firstLine="420" w:firstLineChars="200"/>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5</w:t>
      </w:r>
      <w:r>
        <w:rPr>
          <w:rFonts w:hint="eastAsia" w:ascii="Times New Roman" w:hAnsi="宋体" w:eastAsia="宋体" w:cs="Times New Roman"/>
          <w:color w:val="auto"/>
          <w:kern w:val="2"/>
          <w:szCs w:val="24"/>
          <w:highlight w:val="none"/>
          <w:lang w:eastAsia="zh-CN"/>
        </w:rPr>
        <w:t>）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70F090A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5" w:name="bookmark204"/>
      <w:bookmarkEnd w:id="205"/>
      <w:r>
        <w:rPr>
          <w:rFonts w:hAnsi="宋体" w:cs="Times New Roman"/>
          <w:color w:val="auto"/>
          <w:kern w:val="2"/>
          <w:szCs w:val="24"/>
          <w:highlight w:val="none"/>
          <w:lang w:eastAsia="zh-CN"/>
        </w:rPr>
        <w:t>11.6</w:t>
      </w:r>
      <w:r>
        <w:rPr>
          <w:rFonts w:hint="eastAsia" w:hAnsi="宋体" w:cs="Times New Roman"/>
          <w:color w:val="auto"/>
          <w:kern w:val="2"/>
          <w:szCs w:val="24"/>
          <w:highlight w:val="none"/>
          <w:lang w:eastAsia="zh-CN"/>
        </w:rPr>
        <w:t>工期提前</w:t>
      </w:r>
    </w:p>
    <w:p w14:paraId="2F9DC32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3906D6C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发包人不得随意要求承包人提前交工</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承包人也不得随意提出提</w:t>
      </w:r>
      <w:r>
        <w:rPr>
          <w:rFonts w:hint="eastAsia" w:hAnsi="宋体" w:cs="Times New Roman"/>
          <w:color w:val="auto"/>
          <w:spacing w:val="1"/>
          <w:kern w:val="2"/>
          <w:szCs w:val="24"/>
          <w:highlight w:val="none"/>
          <w:lang w:eastAsia="zh-CN"/>
        </w:rPr>
        <w:t>前</w:t>
      </w:r>
      <w:r>
        <w:rPr>
          <w:rFonts w:hint="eastAsia" w:hAnsi="宋体" w:cs="Times New Roman"/>
          <w:color w:val="auto"/>
          <w:kern w:val="2"/>
          <w:szCs w:val="24"/>
          <w:highlight w:val="none"/>
          <w:lang w:eastAsia="zh-CN"/>
        </w:rPr>
        <w:t>交工的建议。如遇特殊情况，确需将工期提前的，发包人和承包人必须采取有效措施，确保工程质量。</w:t>
      </w:r>
    </w:p>
    <w:p w14:paraId="3C9A9F4B">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19A1152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本条补充第</w:t>
      </w:r>
      <w:r>
        <w:rPr>
          <w:rFonts w:hAnsi="宋体" w:cs="Times New Roman"/>
          <w:color w:val="auto"/>
          <w:spacing w:val="-3"/>
          <w:kern w:val="2"/>
          <w:szCs w:val="24"/>
          <w:highlight w:val="none"/>
          <w:lang w:eastAsia="zh-CN"/>
        </w:rPr>
        <w:t>11.7</w:t>
      </w:r>
      <w:r>
        <w:rPr>
          <w:rFonts w:hint="eastAsia" w:hAnsi="宋体" w:cs="Times New Roman"/>
          <w:color w:val="auto"/>
          <w:kern w:val="2"/>
          <w:szCs w:val="24"/>
          <w:highlight w:val="none"/>
          <w:lang w:eastAsia="zh-CN"/>
        </w:rPr>
        <w:t>款：</w:t>
      </w:r>
    </w:p>
    <w:p w14:paraId="1CF7A8C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6" w:name="bookmark205"/>
      <w:bookmarkEnd w:id="206"/>
      <w:r>
        <w:rPr>
          <w:rFonts w:hAnsi="宋体" w:cs="Times New Roman"/>
          <w:color w:val="auto"/>
          <w:kern w:val="2"/>
          <w:szCs w:val="24"/>
          <w:highlight w:val="none"/>
          <w:lang w:eastAsia="zh-CN"/>
        </w:rPr>
        <w:t>11.7</w:t>
      </w:r>
      <w:r>
        <w:rPr>
          <w:rFonts w:hint="eastAsia" w:hAnsi="宋体" w:cs="Times New Roman"/>
          <w:color w:val="auto"/>
          <w:kern w:val="2"/>
          <w:szCs w:val="24"/>
          <w:highlight w:val="none"/>
          <w:lang w:eastAsia="zh-CN"/>
        </w:rPr>
        <w:t>工作时间的限制</w:t>
      </w:r>
    </w:p>
    <w:p w14:paraId="68C9C6EF">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承包人在夜间或国家规定的节假日进行永久工程的施工，应向监理人报告，以便监理人履行监理职责和义务。</w:t>
      </w:r>
    </w:p>
    <w:p w14:paraId="1CD8DAE3">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但是，为了抢救生命或保护财产，或为了工程的安全、质量而不可避免地短暂作业，则不必事先向监理人报告。但承包人应在事后立即向监理人报告。</w:t>
      </w:r>
    </w:p>
    <w:p w14:paraId="3953F909">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本款规定不适用于习惯上或施工本身要求实行连续生产的作业。</w:t>
      </w:r>
    </w:p>
    <w:p w14:paraId="4151F5D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7" w:name="bookmark206"/>
      <w:bookmarkEnd w:id="207"/>
      <w:r>
        <w:rPr>
          <w:rFonts w:hAnsi="宋体" w:cs="Times New Roman"/>
          <w:color w:val="auto"/>
          <w:kern w:val="2"/>
          <w:szCs w:val="24"/>
          <w:highlight w:val="none"/>
          <w:lang w:eastAsia="zh-CN"/>
        </w:rPr>
        <w:t>12.</w:t>
      </w:r>
      <w:r>
        <w:rPr>
          <w:rFonts w:hint="eastAsia" w:hAnsi="宋体" w:cs="Times New Roman"/>
          <w:color w:val="auto"/>
          <w:kern w:val="2"/>
          <w:szCs w:val="24"/>
          <w:highlight w:val="none"/>
          <w:lang w:eastAsia="zh-CN"/>
        </w:rPr>
        <w:t>暂停施工</w:t>
      </w:r>
    </w:p>
    <w:p w14:paraId="532C21D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8" w:name="bookmark207"/>
      <w:bookmarkEnd w:id="208"/>
      <w:r>
        <w:rPr>
          <w:rFonts w:hAnsi="宋体" w:cs="Times New Roman"/>
          <w:color w:val="auto"/>
          <w:kern w:val="2"/>
          <w:szCs w:val="24"/>
          <w:highlight w:val="none"/>
          <w:lang w:eastAsia="zh-CN"/>
        </w:rPr>
        <w:t>12.1</w:t>
      </w:r>
      <w:r>
        <w:rPr>
          <w:rFonts w:hint="eastAsia" w:hAnsi="宋体" w:cs="Times New Roman"/>
          <w:color w:val="auto"/>
          <w:kern w:val="2"/>
          <w:szCs w:val="24"/>
          <w:highlight w:val="none"/>
          <w:lang w:eastAsia="zh-CN"/>
        </w:rPr>
        <w:t>承包人暂停施工的责任</w:t>
      </w:r>
    </w:p>
    <w:p w14:paraId="03EF9F1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本款第（</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）项细化为：</w:t>
      </w:r>
    </w:p>
    <w:p w14:paraId="241FDC20">
      <w:pPr>
        <w:widowControl w:val="0"/>
        <w:kinsoku w:val="0"/>
        <w:overflowPunct w:val="0"/>
        <w:adjustRightInd w:val="0"/>
        <w:snapToGrid w:val="0"/>
        <w:spacing w:line="360" w:lineRule="auto"/>
        <w:ind w:firstLine="172" w:firstLineChars="82"/>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）现场气候条件导致的必要停工（第</w:t>
      </w:r>
      <w:r>
        <w:rPr>
          <w:rFonts w:hAnsi="宋体" w:cs="Times New Roman"/>
          <w:color w:val="auto"/>
          <w:spacing w:val="-3"/>
          <w:kern w:val="2"/>
          <w:szCs w:val="24"/>
          <w:highlight w:val="none"/>
          <w:lang w:eastAsia="zh-CN"/>
        </w:rPr>
        <w:t>11.4</w:t>
      </w:r>
      <w:r>
        <w:rPr>
          <w:rFonts w:hint="eastAsia" w:hAnsi="宋体" w:cs="Times New Roman"/>
          <w:color w:val="auto"/>
          <w:kern w:val="2"/>
          <w:szCs w:val="24"/>
          <w:highlight w:val="none"/>
          <w:lang w:eastAsia="zh-CN"/>
        </w:rPr>
        <w:t>款约定的异常恶劣的气候条件除外</w:t>
      </w:r>
      <w:r>
        <w:rPr>
          <w:rFonts w:hint="eastAsia" w:hAnsi="宋体" w:cs="Times New Roman"/>
          <w:color w:val="auto"/>
          <w:spacing w:val="-121"/>
          <w:kern w:val="2"/>
          <w:szCs w:val="24"/>
          <w:highlight w:val="none"/>
          <w:lang w:eastAsia="zh-CN"/>
        </w:rPr>
        <w:t>）</w:t>
      </w:r>
      <w:r>
        <w:rPr>
          <w:rFonts w:hint="eastAsia" w:hAnsi="宋体" w:cs="Times New Roman"/>
          <w:color w:val="auto"/>
          <w:kern w:val="2"/>
          <w:szCs w:val="24"/>
          <w:highlight w:val="none"/>
          <w:lang w:eastAsia="zh-CN"/>
        </w:rPr>
        <w:t>；</w:t>
      </w:r>
    </w:p>
    <w:p w14:paraId="512F5A03">
      <w:pPr>
        <w:widowControl w:val="0"/>
        <w:kinsoku w:val="0"/>
        <w:overflowPunct w:val="0"/>
        <w:adjustRightInd w:val="0"/>
        <w:snapToGrid w:val="0"/>
        <w:spacing w:line="360" w:lineRule="auto"/>
        <w:ind w:firstLine="172" w:firstLineChars="82"/>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6</w:t>
      </w:r>
      <w:r>
        <w:rPr>
          <w:rFonts w:hint="eastAsia" w:hAnsi="宋体" w:cs="Times New Roman"/>
          <w:color w:val="auto"/>
          <w:kern w:val="2"/>
          <w:szCs w:val="24"/>
          <w:highlight w:val="none"/>
          <w:lang w:eastAsia="zh-CN"/>
        </w:rPr>
        <w:t>）项目专用合同条款可能约定的由承包人承担的其他暂停施工。</w:t>
      </w:r>
    </w:p>
    <w:p w14:paraId="3625535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09" w:name="bookmark208"/>
      <w:bookmarkEnd w:id="209"/>
      <w:r>
        <w:rPr>
          <w:rFonts w:hAnsi="宋体" w:cs="Times New Roman"/>
          <w:color w:val="auto"/>
          <w:kern w:val="2"/>
          <w:szCs w:val="24"/>
          <w:highlight w:val="none"/>
          <w:lang w:eastAsia="zh-CN"/>
        </w:rPr>
        <w:t>13.</w:t>
      </w:r>
      <w:r>
        <w:rPr>
          <w:rFonts w:hint="eastAsia" w:hAnsi="宋体" w:cs="Times New Roman"/>
          <w:color w:val="auto"/>
          <w:kern w:val="2"/>
          <w:szCs w:val="24"/>
          <w:highlight w:val="none"/>
          <w:lang w:eastAsia="zh-CN"/>
        </w:rPr>
        <w:t>工程质量</w:t>
      </w:r>
    </w:p>
    <w:p w14:paraId="0ADF740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0" w:name="bookmark209"/>
      <w:bookmarkEnd w:id="210"/>
      <w:r>
        <w:rPr>
          <w:rFonts w:hAnsi="宋体" w:cs="Times New Roman"/>
          <w:color w:val="auto"/>
          <w:kern w:val="2"/>
          <w:szCs w:val="24"/>
          <w:highlight w:val="none"/>
          <w:lang w:eastAsia="zh-CN"/>
        </w:rPr>
        <w:t>13.1</w:t>
      </w:r>
      <w:r>
        <w:rPr>
          <w:rFonts w:hint="eastAsia" w:hAnsi="宋体" w:cs="Times New Roman"/>
          <w:color w:val="auto"/>
          <w:kern w:val="2"/>
          <w:szCs w:val="24"/>
          <w:highlight w:val="none"/>
          <w:lang w:eastAsia="zh-CN"/>
        </w:rPr>
        <w:t>工程质量要求</w:t>
      </w:r>
    </w:p>
    <w:p w14:paraId="2110DA1B">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13.1.1 </w:t>
      </w:r>
      <w:r>
        <w:rPr>
          <w:rFonts w:hint="eastAsia" w:hAnsi="宋体" w:cs="Times New Roman"/>
          <w:color w:val="auto"/>
          <w:kern w:val="2"/>
          <w:szCs w:val="24"/>
          <w:highlight w:val="none"/>
          <w:lang w:eastAsia="zh-CN"/>
        </w:rPr>
        <w:t xml:space="preserve">项约定为： </w:t>
      </w:r>
    </w:p>
    <w:p w14:paraId="7B9717EC">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工程质量验收按技术规范及《公路工程质量检验评定标准》执行。</w:t>
      </w:r>
    </w:p>
    <w:p w14:paraId="2ED0D87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13.1.4 </w:t>
      </w:r>
      <w:r>
        <w:rPr>
          <w:rFonts w:hint="eastAsia" w:hAnsi="宋体" w:cs="Times New Roman"/>
          <w:color w:val="auto"/>
          <w:kern w:val="2"/>
          <w:szCs w:val="24"/>
          <w:highlight w:val="none"/>
          <w:lang w:eastAsia="zh-CN"/>
        </w:rPr>
        <w:t>项、第</w:t>
      </w:r>
      <w:r>
        <w:rPr>
          <w:rFonts w:hAnsi="宋体" w:cs="Times New Roman"/>
          <w:color w:val="auto"/>
          <w:kern w:val="2"/>
          <w:szCs w:val="24"/>
          <w:highlight w:val="none"/>
          <w:lang w:eastAsia="zh-CN"/>
        </w:rPr>
        <w:t xml:space="preserve">13.1.5 </w:t>
      </w:r>
      <w:r>
        <w:rPr>
          <w:rFonts w:hint="eastAsia" w:hAnsi="宋体" w:cs="Times New Roman"/>
          <w:color w:val="auto"/>
          <w:kern w:val="2"/>
          <w:szCs w:val="24"/>
          <w:highlight w:val="none"/>
          <w:lang w:eastAsia="zh-CN"/>
        </w:rPr>
        <w:t>项：</w:t>
      </w:r>
    </w:p>
    <w:p w14:paraId="2B620903">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Ansi="宋体" w:cs="Times New Roman"/>
          <w:color w:val="auto"/>
          <w:kern w:val="2"/>
          <w:szCs w:val="24"/>
          <w:highlight w:val="none"/>
          <w:lang w:eastAsia="zh-CN"/>
        </w:rPr>
        <w:t xml:space="preserve">13.1.4 </w:t>
      </w:r>
      <w:r>
        <w:rPr>
          <w:rFonts w:hint="eastAsia" w:hAnsi="宋体" w:cs="Times New Roman"/>
          <w:color w:val="auto"/>
          <w:kern w:val="2"/>
          <w:szCs w:val="24"/>
          <w:highlight w:val="none"/>
          <w:lang w:eastAsia="zh-CN"/>
        </w:rPr>
        <w:t>发包人和承包人应严格遵守《关于严格落实公路工程质量责任制的若干意见》的相关规定，认真执行工程质量责任登记制度并按要求填写工程质量责任登</w:t>
      </w:r>
      <w:r>
        <w:rPr>
          <w:rFonts w:hint="eastAsia" w:hAnsi="宋体" w:cs="Times New Roman"/>
          <w:color w:val="auto"/>
          <w:spacing w:val="-1"/>
          <w:kern w:val="2"/>
          <w:szCs w:val="24"/>
          <w:highlight w:val="none"/>
          <w:lang w:eastAsia="zh-CN"/>
        </w:rPr>
        <w:t>记表。</w:t>
      </w:r>
    </w:p>
    <w:p w14:paraId="4EFA70CE">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13.1.5 </w:t>
      </w:r>
      <w:r>
        <w:rPr>
          <w:rFonts w:hint="eastAsia" w:hAnsi="宋体" w:cs="Times New Roman"/>
          <w:color w:val="auto"/>
          <w:kern w:val="2"/>
          <w:szCs w:val="24"/>
          <w:highlight w:val="none"/>
          <w:lang w:eastAsia="zh-CN"/>
        </w:rPr>
        <w:t>本项目严格执行质量责任追究制度</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质量事故处理实</w:t>
      </w:r>
      <w:r>
        <w:rPr>
          <w:rFonts w:hint="eastAsia" w:hAnsi="宋体" w:cs="Times New Roman"/>
          <w:color w:val="auto"/>
          <w:spacing w:val="1"/>
          <w:kern w:val="2"/>
          <w:szCs w:val="24"/>
          <w:highlight w:val="none"/>
          <w:lang w:eastAsia="zh-CN"/>
        </w:rPr>
        <w:t>行</w:t>
      </w:r>
      <w:r>
        <w:rPr>
          <w:rFonts w:hAnsi="宋体" w:cs="Times New Roman"/>
          <w:color w:val="auto"/>
          <w:spacing w:val="-1"/>
          <w:kern w:val="2"/>
          <w:szCs w:val="24"/>
          <w:highlight w:val="none"/>
          <w:lang w:eastAsia="zh-CN"/>
        </w:rPr>
        <w:t>“</w:t>
      </w:r>
      <w:r>
        <w:rPr>
          <w:rFonts w:hint="eastAsia" w:hAnsi="宋体" w:cs="Times New Roman"/>
          <w:color w:val="auto"/>
          <w:kern w:val="2"/>
          <w:szCs w:val="24"/>
          <w:highlight w:val="none"/>
          <w:lang w:eastAsia="zh-CN"/>
        </w:rPr>
        <w:t>四不放过</w:t>
      </w:r>
      <w:r>
        <w:rPr>
          <w:rFonts w:hAnsi="宋体" w:cs="Times New Roman"/>
          <w:color w:val="auto"/>
          <w:spacing w:val="-1"/>
          <w:kern w:val="2"/>
          <w:szCs w:val="24"/>
          <w:highlight w:val="none"/>
          <w:lang w:eastAsia="zh-CN"/>
        </w:rPr>
        <w:t>”</w:t>
      </w:r>
      <w:r>
        <w:rPr>
          <w:rFonts w:hint="eastAsia" w:hAnsi="宋体" w:cs="Times New Roman"/>
          <w:color w:val="auto"/>
          <w:kern w:val="2"/>
          <w:szCs w:val="24"/>
          <w:highlight w:val="none"/>
          <w:lang w:eastAsia="zh-CN"/>
        </w:rPr>
        <w:t>原则： 事故原因调查不清不放过</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事故责任者没有受到教育不放过</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没有防范措施不放过；相关责任人没受到处理不放过。</w:t>
      </w:r>
    </w:p>
    <w:p w14:paraId="3184CC0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1" w:name="bookmark210"/>
      <w:bookmarkEnd w:id="211"/>
      <w:r>
        <w:rPr>
          <w:rFonts w:hAnsi="宋体" w:cs="Times New Roman"/>
          <w:color w:val="auto"/>
          <w:kern w:val="2"/>
          <w:szCs w:val="24"/>
          <w:highlight w:val="none"/>
          <w:lang w:eastAsia="zh-CN"/>
        </w:rPr>
        <w:t>13.2</w:t>
      </w:r>
      <w:r>
        <w:rPr>
          <w:rFonts w:hint="eastAsia" w:hAnsi="宋体" w:cs="Times New Roman"/>
          <w:color w:val="auto"/>
          <w:kern w:val="2"/>
          <w:szCs w:val="24"/>
          <w:highlight w:val="none"/>
          <w:lang w:eastAsia="zh-CN"/>
        </w:rPr>
        <w:t>承包人的质量管理</w:t>
      </w:r>
    </w:p>
    <w:p w14:paraId="74EB56E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13.2.1 </w:t>
      </w:r>
      <w:r>
        <w:rPr>
          <w:rFonts w:hint="eastAsia" w:hAnsi="宋体" w:cs="Times New Roman"/>
          <w:color w:val="auto"/>
          <w:kern w:val="2"/>
          <w:szCs w:val="24"/>
          <w:highlight w:val="none"/>
          <w:lang w:eastAsia="zh-CN"/>
        </w:rPr>
        <w:t>项补充：</w:t>
      </w:r>
    </w:p>
    <w:p w14:paraId="2F33B63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承包人提交工程质量保证措施文件的期限：签订合同协议书后</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天之内。</w:t>
      </w:r>
    </w:p>
    <w:p w14:paraId="00B040A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13.2.3 </w:t>
      </w:r>
      <w:r>
        <w:rPr>
          <w:rFonts w:hint="eastAsia" w:hAnsi="宋体" w:cs="Times New Roman"/>
          <w:color w:val="auto"/>
          <w:spacing w:val="-1"/>
          <w:kern w:val="2"/>
          <w:szCs w:val="24"/>
          <w:highlight w:val="none"/>
          <w:lang w:eastAsia="zh-CN"/>
        </w:rPr>
        <w:t>项</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第</w:t>
      </w:r>
      <w:r>
        <w:rPr>
          <w:rFonts w:hAnsi="宋体" w:cs="Times New Roman"/>
          <w:color w:val="auto"/>
          <w:kern w:val="2"/>
          <w:szCs w:val="24"/>
          <w:highlight w:val="none"/>
          <w:lang w:eastAsia="zh-CN"/>
        </w:rPr>
        <w:t xml:space="preserve">13.2.10 </w:t>
      </w:r>
      <w:r>
        <w:rPr>
          <w:rFonts w:hint="eastAsia" w:hAnsi="宋体" w:cs="Times New Roman"/>
          <w:color w:val="auto"/>
          <w:kern w:val="2"/>
          <w:szCs w:val="24"/>
          <w:highlight w:val="none"/>
          <w:lang w:eastAsia="zh-CN"/>
        </w:rPr>
        <w:t>项：</w:t>
      </w:r>
    </w:p>
    <w:p w14:paraId="301285F4">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13.2.3 </w:t>
      </w:r>
      <w:r>
        <w:rPr>
          <w:rFonts w:hint="eastAsia" w:hAnsi="宋体" w:cs="Times New Roman"/>
          <w:color w:val="auto"/>
          <w:kern w:val="2"/>
          <w:szCs w:val="24"/>
          <w:highlight w:val="none"/>
          <w:lang w:eastAsia="zh-CN"/>
        </w:rPr>
        <w:t>公路工程施行质量责任终身制。承包人应当书面明确相应的项目负责人和质量负责人。承包人的相关人员按照国家法律法规和有关规定在工程合理使用年限内承担相应的质量责任。</w:t>
      </w:r>
    </w:p>
    <w:p w14:paraId="28F93A10">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13.2.4  </w:t>
      </w:r>
      <w:r>
        <w:rPr>
          <w:rFonts w:hint="eastAsia" w:hAnsi="宋体" w:cs="Times New Roman"/>
          <w:color w:val="auto"/>
          <w:kern w:val="2"/>
          <w:szCs w:val="24"/>
          <w:highlight w:val="none"/>
          <w:lang w:eastAsia="zh-CN"/>
        </w:rPr>
        <w:t>承包人应当建立健全工程质量保证体系，制定质量管理制度，强化工程质量管理措施</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完善工程质量目标保障机制</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严格遵守国家有关法律</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法规和规章，严格执行公路工程强制性技术标准</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各类技术规范及规程</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全面履行工程合同义务。</w:t>
      </w:r>
    </w:p>
    <w:p w14:paraId="079509A0">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13.2.5  </w:t>
      </w:r>
      <w:r>
        <w:rPr>
          <w:rFonts w:hint="eastAsia" w:hAnsi="宋体" w:cs="Times New Roman"/>
          <w:color w:val="auto"/>
          <w:kern w:val="2"/>
          <w:szCs w:val="24"/>
          <w:highlight w:val="none"/>
          <w:lang w:eastAsia="zh-CN"/>
        </w:rPr>
        <w:t>承包人对工程施工质量负责，应当按合同约定设立现场质量管理机构、配备工程技术人员和质量管理人员，落实工程施工质量责任制。</w:t>
      </w:r>
    </w:p>
    <w:p w14:paraId="4817E642">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13.2.6  </w:t>
      </w:r>
      <w:r>
        <w:rPr>
          <w:rFonts w:hint="eastAsia" w:hAnsi="宋体" w:cs="Times New Roman"/>
          <w:color w:val="auto"/>
          <w:kern w:val="2"/>
          <w:szCs w:val="24"/>
          <w:highlight w:val="none"/>
          <w:lang w:eastAsia="zh-CN"/>
        </w:rPr>
        <w:t>承包人应当严格按照工程设计图纸、施工技术标准和合同约定施工，对</w:t>
      </w:r>
      <w:r>
        <w:rPr>
          <w:rFonts w:hint="eastAsia" w:hAnsi="宋体" w:cs="Times New Roman"/>
          <w:color w:val="auto"/>
          <w:spacing w:val="-3"/>
          <w:kern w:val="2"/>
          <w:szCs w:val="24"/>
          <w:highlight w:val="none"/>
          <w:lang w:eastAsia="zh-CN"/>
        </w:rPr>
        <w:t>原材料、混合料、构配件、工程实体、机电设备等进行检验；按规定施行班组自检、</w:t>
      </w:r>
      <w:r>
        <w:rPr>
          <w:rFonts w:hint="eastAsia" w:hAnsi="宋体" w:cs="Times New Roman"/>
          <w:color w:val="auto"/>
          <w:kern w:val="2"/>
          <w:szCs w:val="24"/>
          <w:highlight w:val="none"/>
          <w:lang w:eastAsia="zh-CN"/>
        </w:rPr>
        <w:t>工序交接检、专职质检员检验的质量控制程序；对分项工程、分部工程和单位工程进行质量自评。检验或者自评不合格的，不得进入下道工序或者投入使用。</w:t>
      </w:r>
    </w:p>
    <w:p w14:paraId="36FDA46E">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13.2.7 </w:t>
      </w:r>
      <w:r>
        <w:rPr>
          <w:rFonts w:hint="eastAsia" w:hAnsi="宋体" w:cs="Times New Roman"/>
          <w:color w:val="auto"/>
          <w:kern w:val="2"/>
          <w:szCs w:val="24"/>
          <w:highlight w:val="none"/>
          <w:lang w:eastAsia="zh-CN"/>
        </w:rPr>
        <w:t>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1A4D0A66">
      <w:pPr>
        <w:widowControl w:val="0"/>
        <w:kinsoku w:val="0"/>
        <w:overflowPunct w:val="0"/>
        <w:adjustRightInd w:val="0"/>
        <w:snapToGrid w:val="0"/>
        <w:spacing w:line="360" w:lineRule="auto"/>
        <w:ind w:firstLine="210" w:firstLineChars="1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13.2.8</w:t>
      </w:r>
      <w:r>
        <w:rPr>
          <w:rFonts w:hint="eastAsia" w:hAnsi="宋体" w:cs="Times New Roman"/>
          <w:color w:val="auto"/>
          <w:kern w:val="2"/>
          <w:szCs w:val="24"/>
          <w:highlight w:val="none"/>
          <w:lang w:eastAsia="zh-CN"/>
        </w:rPr>
        <w:t>承</w:t>
      </w:r>
      <w:r>
        <w:rPr>
          <w:rFonts w:hint="eastAsia" w:hAnsi="宋体" w:cs="Times New Roman"/>
          <w:color w:val="auto"/>
          <w:spacing w:val="2"/>
          <w:kern w:val="2"/>
          <w:szCs w:val="24"/>
          <w:highlight w:val="none"/>
          <w:lang w:eastAsia="zh-CN"/>
        </w:rPr>
        <w:t>包</w:t>
      </w:r>
      <w:r>
        <w:rPr>
          <w:rFonts w:hint="eastAsia" w:hAnsi="宋体" w:cs="Times New Roman"/>
          <w:color w:val="auto"/>
          <w:kern w:val="2"/>
          <w:szCs w:val="24"/>
          <w:highlight w:val="none"/>
          <w:lang w:eastAsia="zh-CN"/>
        </w:rPr>
        <w:t>人</w:t>
      </w:r>
      <w:r>
        <w:rPr>
          <w:rFonts w:hint="eastAsia" w:hAnsi="宋体" w:cs="Times New Roman"/>
          <w:color w:val="auto"/>
          <w:spacing w:val="2"/>
          <w:kern w:val="2"/>
          <w:szCs w:val="24"/>
          <w:highlight w:val="none"/>
          <w:lang w:eastAsia="zh-CN"/>
        </w:rPr>
        <w:t>应</w:t>
      </w:r>
      <w:r>
        <w:rPr>
          <w:rFonts w:hint="eastAsia" w:hAnsi="宋体" w:cs="Times New Roman"/>
          <w:color w:val="auto"/>
          <w:kern w:val="2"/>
          <w:szCs w:val="24"/>
          <w:highlight w:val="none"/>
          <w:lang w:eastAsia="zh-CN"/>
        </w:rPr>
        <w:t>当</w:t>
      </w:r>
      <w:r>
        <w:rPr>
          <w:rFonts w:hint="eastAsia" w:hAnsi="宋体" w:cs="Times New Roman"/>
          <w:color w:val="auto"/>
          <w:spacing w:val="2"/>
          <w:kern w:val="2"/>
          <w:szCs w:val="24"/>
          <w:highlight w:val="none"/>
          <w:lang w:eastAsia="zh-CN"/>
        </w:rPr>
        <w:t>按照</w:t>
      </w:r>
      <w:r>
        <w:rPr>
          <w:rFonts w:hint="eastAsia" w:hAnsi="宋体" w:cs="Times New Roman"/>
          <w:color w:val="auto"/>
          <w:kern w:val="2"/>
          <w:szCs w:val="24"/>
          <w:highlight w:val="none"/>
          <w:lang w:eastAsia="zh-CN"/>
        </w:rPr>
        <w:t>合同</w:t>
      </w:r>
      <w:r>
        <w:rPr>
          <w:rFonts w:hint="eastAsia" w:hAnsi="宋体" w:cs="Times New Roman"/>
          <w:color w:val="auto"/>
          <w:spacing w:val="2"/>
          <w:kern w:val="2"/>
          <w:szCs w:val="24"/>
          <w:highlight w:val="none"/>
          <w:lang w:eastAsia="zh-CN"/>
        </w:rPr>
        <w:t>约</w:t>
      </w:r>
      <w:r>
        <w:rPr>
          <w:rFonts w:hint="eastAsia" w:hAnsi="宋体" w:cs="Times New Roman"/>
          <w:color w:val="auto"/>
          <w:kern w:val="2"/>
          <w:szCs w:val="24"/>
          <w:highlight w:val="none"/>
          <w:lang w:eastAsia="zh-CN"/>
        </w:rPr>
        <w:t>定</w:t>
      </w:r>
      <w:r>
        <w:rPr>
          <w:rFonts w:hint="eastAsia" w:hAnsi="宋体" w:cs="Times New Roman"/>
          <w:color w:val="auto"/>
          <w:spacing w:val="2"/>
          <w:kern w:val="2"/>
          <w:szCs w:val="24"/>
          <w:highlight w:val="none"/>
          <w:lang w:eastAsia="zh-CN"/>
        </w:rPr>
        <w:t>设</w:t>
      </w:r>
      <w:r>
        <w:rPr>
          <w:rFonts w:hint="eastAsia" w:hAnsi="宋体" w:cs="Times New Roman"/>
          <w:color w:val="auto"/>
          <w:kern w:val="2"/>
          <w:szCs w:val="24"/>
          <w:highlight w:val="none"/>
          <w:lang w:eastAsia="zh-CN"/>
        </w:rPr>
        <w:t>立</w:t>
      </w:r>
      <w:r>
        <w:rPr>
          <w:rFonts w:hint="eastAsia" w:hAnsi="宋体" w:cs="Times New Roman"/>
          <w:color w:val="auto"/>
          <w:spacing w:val="2"/>
          <w:kern w:val="2"/>
          <w:szCs w:val="24"/>
          <w:highlight w:val="none"/>
          <w:lang w:eastAsia="zh-CN"/>
        </w:rPr>
        <w:t>工</w:t>
      </w:r>
      <w:r>
        <w:rPr>
          <w:rFonts w:hint="eastAsia" w:hAnsi="宋体" w:cs="Times New Roman"/>
          <w:color w:val="auto"/>
          <w:kern w:val="2"/>
          <w:szCs w:val="24"/>
          <w:highlight w:val="none"/>
          <w:lang w:eastAsia="zh-CN"/>
        </w:rPr>
        <w:t>地</w:t>
      </w:r>
      <w:r>
        <w:rPr>
          <w:rFonts w:hint="eastAsia" w:hAnsi="宋体" w:cs="Times New Roman"/>
          <w:color w:val="auto"/>
          <w:spacing w:val="2"/>
          <w:kern w:val="2"/>
          <w:szCs w:val="24"/>
          <w:highlight w:val="none"/>
          <w:lang w:eastAsia="zh-CN"/>
        </w:rPr>
        <w:t>临时</w:t>
      </w:r>
      <w:r>
        <w:rPr>
          <w:rFonts w:hint="eastAsia" w:hAnsi="宋体" w:cs="Times New Roman"/>
          <w:color w:val="auto"/>
          <w:kern w:val="2"/>
          <w:szCs w:val="24"/>
          <w:highlight w:val="none"/>
          <w:lang w:eastAsia="zh-CN"/>
        </w:rPr>
        <w:t>试验</w:t>
      </w:r>
      <w:r>
        <w:rPr>
          <w:rFonts w:hint="eastAsia" w:hAnsi="宋体" w:cs="Times New Roman"/>
          <w:color w:val="auto"/>
          <w:spacing w:val="2"/>
          <w:kern w:val="2"/>
          <w:szCs w:val="24"/>
          <w:highlight w:val="none"/>
          <w:lang w:eastAsia="zh-CN"/>
        </w:rPr>
        <w:t>室</w:t>
      </w:r>
      <w:r>
        <w:rPr>
          <w:rFonts w:hint="eastAsia" w:hAnsi="宋体" w:cs="Times New Roman"/>
          <w:color w:val="auto"/>
          <w:spacing w:val="3"/>
          <w:kern w:val="2"/>
          <w:szCs w:val="24"/>
          <w:highlight w:val="none"/>
          <w:lang w:eastAsia="zh-CN"/>
        </w:rPr>
        <w:t>，</w:t>
      </w:r>
      <w:r>
        <w:rPr>
          <w:rFonts w:hint="eastAsia" w:hAnsi="宋体" w:cs="Times New Roman"/>
          <w:color w:val="auto"/>
          <w:spacing w:val="2"/>
          <w:kern w:val="2"/>
          <w:szCs w:val="24"/>
          <w:highlight w:val="none"/>
          <w:lang w:eastAsia="zh-CN"/>
        </w:rPr>
        <w:t>配</w:t>
      </w:r>
      <w:r>
        <w:rPr>
          <w:rFonts w:hint="eastAsia" w:hAnsi="宋体" w:cs="Times New Roman"/>
          <w:color w:val="auto"/>
          <w:kern w:val="2"/>
          <w:szCs w:val="24"/>
          <w:highlight w:val="none"/>
          <w:lang w:eastAsia="zh-CN"/>
        </w:rPr>
        <w:t>齐</w:t>
      </w:r>
      <w:r>
        <w:rPr>
          <w:rFonts w:hint="eastAsia" w:hAnsi="宋体" w:cs="Times New Roman"/>
          <w:color w:val="auto"/>
          <w:spacing w:val="2"/>
          <w:kern w:val="2"/>
          <w:szCs w:val="24"/>
          <w:highlight w:val="none"/>
          <w:lang w:eastAsia="zh-CN"/>
        </w:rPr>
        <w:t>检</w:t>
      </w:r>
      <w:r>
        <w:rPr>
          <w:rFonts w:hint="eastAsia" w:hAnsi="宋体" w:cs="Times New Roman"/>
          <w:color w:val="auto"/>
          <w:kern w:val="2"/>
          <w:szCs w:val="24"/>
          <w:highlight w:val="none"/>
          <w:lang w:eastAsia="zh-CN"/>
        </w:rPr>
        <w:t>测</w:t>
      </w:r>
      <w:r>
        <w:rPr>
          <w:rFonts w:hint="eastAsia" w:hAnsi="宋体" w:cs="Times New Roman"/>
          <w:color w:val="auto"/>
          <w:spacing w:val="2"/>
          <w:kern w:val="2"/>
          <w:szCs w:val="24"/>
          <w:highlight w:val="none"/>
          <w:lang w:eastAsia="zh-CN"/>
        </w:rPr>
        <w:t>和试</w:t>
      </w:r>
      <w:r>
        <w:rPr>
          <w:rFonts w:hint="eastAsia" w:hAnsi="宋体" w:cs="Times New Roman"/>
          <w:color w:val="auto"/>
          <w:kern w:val="2"/>
          <w:szCs w:val="24"/>
          <w:highlight w:val="none"/>
          <w:lang w:eastAsia="zh-CN"/>
        </w:rPr>
        <w:t>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客观性、准确性负责。</w:t>
      </w:r>
    </w:p>
    <w:p w14:paraId="5F060BF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13.2.9  </w:t>
      </w:r>
      <w:r>
        <w:rPr>
          <w:rFonts w:hint="eastAsia" w:hAnsi="宋体" w:cs="Times New Roman"/>
          <w:color w:val="auto"/>
          <w:kern w:val="2"/>
          <w:szCs w:val="24"/>
          <w:highlight w:val="none"/>
          <w:lang w:eastAsia="zh-CN"/>
        </w:rPr>
        <w:t>承包人应当依法规范分包行为，并对承担的工程质量负总责，分包单位对分包合同范围内的工程质量负责。</w:t>
      </w:r>
    </w:p>
    <w:p w14:paraId="73F49F0B">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13.2.10 </w:t>
      </w:r>
      <w:r>
        <w:rPr>
          <w:rFonts w:hint="eastAsia" w:hAnsi="宋体" w:cs="Times New Roman"/>
          <w:color w:val="auto"/>
          <w:kern w:val="2"/>
          <w:szCs w:val="24"/>
          <w:highlight w:val="none"/>
          <w:lang w:eastAsia="zh-CN"/>
        </w:rPr>
        <w:t>承包人驻工程现场机构应在现场驻地和重要的分部</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分项工程施工现场设置明显的工程质量责任登记表公示牌。</w:t>
      </w:r>
    </w:p>
    <w:p w14:paraId="5BF9464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2" w:name="bookmark211"/>
      <w:bookmarkEnd w:id="212"/>
      <w:r>
        <w:rPr>
          <w:rFonts w:hAnsi="宋体" w:cs="Times New Roman"/>
          <w:color w:val="auto"/>
          <w:kern w:val="2"/>
          <w:szCs w:val="24"/>
          <w:highlight w:val="none"/>
          <w:lang w:eastAsia="zh-CN"/>
        </w:rPr>
        <w:t>13.4</w:t>
      </w:r>
      <w:r>
        <w:rPr>
          <w:rFonts w:hint="eastAsia" w:hAnsi="宋体" w:cs="Times New Roman"/>
          <w:color w:val="auto"/>
          <w:kern w:val="2"/>
          <w:szCs w:val="24"/>
          <w:highlight w:val="none"/>
          <w:lang w:eastAsia="zh-CN"/>
        </w:rPr>
        <w:t>监理人的质量检查</w:t>
      </w:r>
    </w:p>
    <w:p w14:paraId="2384376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5525ED66">
      <w:pPr>
        <w:widowControl w:val="0"/>
        <w:kinsoku w:val="0"/>
        <w:overflowPunct w:val="0"/>
        <w:adjustRightInd w:val="0"/>
        <w:snapToGrid w:val="0"/>
        <w:spacing w:line="360" w:lineRule="auto"/>
        <w:ind w:firstLine="546" w:firstLineChars="26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监理人及其委派的检验人员</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应能进入工程现场</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以及材料</w:t>
      </w:r>
      <w:r>
        <w:rPr>
          <w:rFonts w:hint="eastAsia" w:hAnsi="宋体" w:cs="Times New Roman"/>
          <w:color w:val="auto"/>
          <w:spacing w:val="1"/>
          <w:kern w:val="2"/>
          <w:szCs w:val="24"/>
          <w:highlight w:val="none"/>
          <w:lang w:eastAsia="zh-CN"/>
        </w:rPr>
        <w:t>或</w:t>
      </w:r>
      <w:r>
        <w:rPr>
          <w:rFonts w:hint="eastAsia" w:hAnsi="宋体" w:cs="Times New Roman"/>
          <w:color w:val="auto"/>
          <w:kern w:val="2"/>
          <w:szCs w:val="24"/>
          <w:highlight w:val="none"/>
          <w:lang w:eastAsia="zh-CN"/>
        </w:rPr>
        <w:t>工程设备的制造、加工或制配的车间和场所，包括不属于承包人的车间或场所进行检查，承包人应为此提供便利和协助。</w:t>
      </w:r>
    </w:p>
    <w:p w14:paraId="1965BE23">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监理人可以将材料或工程设备的检查和检验委托给一家独立的有质量检验认证资格的检验单位。该独立检验单位的检验结果应视为监理人完成的。监理人应将这种委托的通知书不少于</w:t>
      </w:r>
      <w:r>
        <w:rPr>
          <w:rFonts w:hAnsi="宋体" w:cs="Times New Roman"/>
          <w:color w:val="auto"/>
          <w:kern w:val="2"/>
          <w:szCs w:val="24"/>
          <w:highlight w:val="none"/>
          <w:lang w:eastAsia="zh-CN"/>
        </w:rPr>
        <w:t xml:space="preserve">7 </w:t>
      </w:r>
      <w:r>
        <w:rPr>
          <w:rFonts w:hint="eastAsia" w:hAnsi="宋体" w:cs="Times New Roman"/>
          <w:color w:val="auto"/>
          <w:kern w:val="2"/>
          <w:szCs w:val="24"/>
          <w:highlight w:val="none"/>
          <w:lang w:eastAsia="zh-CN"/>
        </w:rPr>
        <w:t>天前交给承包人。</w:t>
      </w:r>
    </w:p>
    <w:p w14:paraId="7F87FD0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3" w:name="bookmark212"/>
      <w:bookmarkEnd w:id="213"/>
      <w:r>
        <w:rPr>
          <w:rFonts w:hAnsi="宋体" w:cs="Times New Roman"/>
          <w:color w:val="auto"/>
          <w:kern w:val="2"/>
          <w:szCs w:val="24"/>
          <w:highlight w:val="none"/>
          <w:lang w:eastAsia="zh-CN"/>
        </w:rPr>
        <w:t>13.5</w:t>
      </w:r>
      <w:r>
        <w:rPr>
          <w:rFonts w:hint="eastAsia" w:hAnsi="宋体" w:cs="Times New Roman"/>
          <w:color w:val="auto"/>
          <w:kern w:val="2"/>
          <w:szCs w:val="24"/>
          <w:highlight w:val="none"/>
          <w:lang w:eastAsia="zh-CN"/>
        </w:rPr>
        <w:t>工程隐蔽部位覆盖前的检查</w:t>
      </w:r>
    </w:p>
    <w:p w14:paraId="4FBEC16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13.5.1 </w:t>
      </w:r>
      <w:r>
        <w:rPr>
          <w:rFonts w:hint="eastAsia" w:hAnsi="宋体" w:cs="Times New Roman"/>
          <w:color w:val="auto"/>
          <w:kern w:val="2"/>
          <w:szCs w:val="24"/>
          <w:highlight w:val="none"/>
          <w:lang w:eastAsia="zh-CN"/>
        </w:rPr>
        <w:t xml:space="preserve">项补充： </w:t>
      </w:r>
    </w:p>
    <w:p w14:paraId="13549574">
      <w:pPr>
        <w:widowControl w:val="0"/>
        <w:kinsoku w:val="0"/>
        <w:overflowPunct w:val="0"/>
        <w:adjustRightInd w:val="0"/>
        <w:snapToGrid w:val="0"/>
        <w:spacing w:line="360" w:lineRule="auto"/>
        <w:ind w:firstLine="546" w:firstLineChars="26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0AA42C3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4" w:name="bookmark213"/>
      <w:bookmarkEnd w:id="214"/>
      <w:r>
        <w:rPr>
          <w:rFonts w:hAnsi="宋体" w:cs="Times New Roman"/>
          <w:color w:val="auto"/>
          <w:kern w:val="2"/>
          <w:szCs w:val="24"/>
          <w:highlight w:val="none"/>
          <w:lang w:eastAsia="zh-CN"/>
        </w:rPr>
        <w:t>13.6</w:t>
      </w:r>
      <w:r>
        <w:rPr>
          <w:rFonts w:hint="eastAsia" w:hAnsi="宋体" w:cs="Times New Roman"/>
          <w:color w:val="auto"/>
          <w:kern w:val="2"/>
          <w:szCs w:val="24"/>
          <w:highlight w:val="none"/>
          <w:lang w:eastAsia="zh-CN"/>
        </w:rPr>
        <w:t>清除不合格工程</w:t>
      </w:r>
    </w:p>
    <w:p w14:paraId="1C28A80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13.6.1 </w:t>
      </w:r>
      <w:r>
        <w:rPr>
          <w:rFonts w:hint="eastAsia" w:hAnsi="宋体" w:cs="Times New Roman"/>
          <w:color w:val="auto"/>
          <w:kern w:val="2"/>
          <w:szCs w:val="24"/>
          <w:highlight w:val="none"/>
          <w:lang w:eastAsia="zh-CN"/>
        </w:rPr>
        <w:t>项细化为：</w:t>
      </w:r>
    </w:p>
    <w:p w14:paraId="33C5ADAA">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spacing w:val="-3"/>
          <w:kern w:val="2"/>
          <w:szCs w:val="24"/>
          <w:highlight w:val="none"/>
          <w:lang w:eastAsia="zh-CN"/>
        </w:rPr>
        <w:t>（</w:t>
      </w:r>
      <w:r>
        <w:rPr>
          <w:rFonts w:hAnsi="宋体" w:cs="Times New Roman"/>
          <w:color w:val="auto"/>
          <w:spacing w:val="-3"/>
          <w:kern w:val="2"/>
          <w:szCs w:val="24"/>
          <w:highlight w:val="none"/>
          <w:lang w:eastAsia="zh-CN"/>
        </w:rPr>
        <w:t>1</w:t>
      </w:r>
      <w:r>
        <w:rPr>
          <w:rFonts w:hint="eastAsia" w:hAnsi="宋体" w:cs="Times New Roman"/>
          <w:color w:val="auto"/>
          <w:spacing w:val="-3"/>
          <w:kern w:val="2"/>
          <w:szCs w:val="24"/>
          <w:highlight w:val="none"/>
          <w:lang w:eastAsia="zh-CN"/>
        </w:rPr>
        <w:t>）承包人使用不合格材料、工程设备，或采用不适当的施工工艺，或施工不</w:t>
      </w:r>
      <w:r>
        <w:rPr>
          <w:rFonts w:hint="eastAsia" w:hAnsi="宋体" w:cs="Times New Roman"/>
          <w:color w:val="auto"/>
          <w:kern w:val="2"/>
          <w:szCs w:val="24"/>
          <w:highlight w:val="none"/>
          <w:lang w:eastAsia="zh-CN"/>
        </w:rPr>
        <w:t>当，造成工程不合格的，监理人可以随时发出指示，要求承包人立即采取措施进行替换、补救或拆除重建，直至达到合同要求的质量标准，由此增加的费用和（或）工期延误由承包人承担。</w:t>
      </w:r>
    </w:p>
    <w:p w14:paraId="43C6C9B8">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spacing w:val="-3"/>
          <w:kern w:val="2"/>
          <w:szCs w:val="24"/>
          <w:highlight w:val="none"/>
          <w:lang w:eastAsia="zh-CN"/>
        </w:rPr>
      </w:pPr>
      <w:r>
        <w:rPr>
          <w:rFonts w:hint="eastAsia" w:ascii="Times New Roman" w:hAnsi="宋体" w:eastAsia="宋体" w:cs="Times New Roman"/>
          <w:color w:val="auto"/>
          <w:spacing w:val="-3"/>
          <w:kern w:val="2"/>
          <w:szCs w:val="24"/>
          <w:highlight w:val="none"/>
          <w:lang w:eastAsia="zh-CN"/>
        </w:rPr>
        <w:t>（2）如果承包人未在规定时间内执行监理人的指示，发包人有权雇用他人执行，由此增加的费用和（或）工期延误由承包人承担。</w:t>
      </w:r>
    </w:p>
    <w:p w14:paraId="3C97628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5" w:name="bookmark214"/>
      <w:bookmarkEnd w:id="215"/>
      <w:r>
        <w:rPr>
          <w:rFonts w:hAnsi="宋体" w:cs="Times New Roman"/>
          <w:color w:val="auto"/>
          <w:kern w:val="2"/>
          <w:szCs w:val="24"/>
          <w:highlight w:val="none"/>
          <w:lang w:eastAsia="zh-CN"/>
        </w:rPr>
        <w:t>14.</w:t>
      </w:r>
      <w:r>
        <w:rPr>
          <w:rFonts w:hint="eastAsia" w:hAnsi="宋体" w:cs="Times New Roman"/>
          <w:color w:val="auto"/>
          <w:kern w:val="2"/>
          <w:szCs w:val="24"/>
          <w:highlight w:val="none"/>
          <w:lang w:eastAsia="zh-CN"/>
        </w:rPr>
        <w:t>试验和检验</w:t>
      </w:r>
    </w:p>
    <w:p w14:paraId="7327A26D">
      <w:pPr>
        <w:widowControl w:val="0"/>
        <w:kinsoku w:val="0"/>
        <w:overflowPunct w:val="0"/>
        <w:adjustRightInd w:val="0"/>
        <w:snapToGrid w:val="0"/>
        <w:spacing w:line="360" w:lineRule="auto"/>
        <w:ind w:firstLine="416" w:firstLineChars="200"/>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本条补充第</w:t>
      </w:r>
      <w:r>
        <w:rPr>
          <w:rFonts w:hAnsi="宋体" w:cs="Times New Roman"/>
          <w:color w:val="auto"/>
          <w:kern w:val="2"/>
          <w:szCs w:val="24"/>
          <w:highlight w:val="none"/>
          <w:lang w:eastAsia="zh-CN"/>
        </w:rPr>
        <w:t xml:space="preserve">14.4 </w:t>
      </w:r>
      <w:r>
        <w:rPr>
          <w:rFonts w:hint="eastAsia" w:hAnsi="宋体" w:cs="Times New Roman"/>
          <w:color w:val="auto"/>
          <w:kern w:val="2"/>
          <w:szCs w:val="24"/>
          <w:highlight w:val="none"/>
          <w:lang w:eastAsia="zh-CN"/>
        </w:rPr>
        <w:t>款：</w:t>
      </w:r>
    </w:p>
    <w:p w14:paraId="3A8785E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6" w:name="bookmark215"/>
      <w:bookmarkEnd w:id="216"/>
      <w:r>
        <w:rPr>
          <w:rFonts w:hAnsi="宋体" w:cs="Times New Roman"/>
          <w:color w:val="auto"/>
          <w:kern w:val="2"/>
          <w:szCs w:val="24"/>
          <w:highlight w:val="none"/>
          <w:lang w:eastAsia="zh-CN"/>
        </w:rPr>
        <w:t>14.4</w:t>
      </w:r>
      <w:r>
        <w:rPr>
          <w:rFonts w:hint="eastAsia" w:hAnsi="宋体" w:cs="Times New Roman"/>
          <w:color w:val="auto"/>
          <w:kern w:val="2"/>
          <w:szCs w:val="24"/>
          <w:highlight w:val="none"/>
          <w:lang w:eastAsia="zh-CN"/>
        </w:rPr>
        <w:t>试验和检验费用</w:t>
      </w:r>
    </w:p>
    <w:p w14:paraId="5ECA71C4">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（1）承包人应负责提供合同和技术规范规定的试验和检验所需的全部样品，并承担其费用。</w:t>
      </w:r>
    </w:p>
    <w:p w14:paraId="705DC8BE">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（2）在合同中明确规定的试验和检验，包括无须在工程量清单中单独列项和已 在工程量清单中单独列项的试验和检验，其试验和检验的费用由承包人承担。</w:t>
      </w:r>
    </w:p>
    <w:p w14:paraId="318544FF">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66F7DD1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7" w:name="bookmark216"/>
      <w:bookmarkEnd w:id="217"/>
      <w:r>
        <w:rPr>
          <w:rFonts w:hAnsi="宋体" w:cs="Times New Roman"/>
          <w:color w:val="auto"/>
          <w:kern w:val="2"/>
          <w:szCs w:val="24"/>
          <w:highlight w:val="none"/>
          <w:lang w:eastAsia="zh-CN"/>
        </w:rPr>
        <w:t>15.</w:t>
      </w:r>
      <w:r>
        <w:rPr>
          <w:rFonts w:hint="eastAsia" w:hAnsi="宋体" w:cs="Times New Roman"/>
          <w:color w:val="auto"/>
          <w:kern w:val="2"/>
          <w:szCs w:val="24"/>
          <w:highlight w:val="none"/>
          <w:lang w:eastAsia="zh-CN"/>
        </w:rPr>
        <w:t>变更</w:t>
      </w:r>
    </w:p>
    <w:p w14:paraId="291A6AF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8" w:name="bookmark217"/>
      <w:bookmarkEnd w:id="218"/>
      <w:r>
        <w:rPr>
          <w:rFonts w:hAnsi="宋体" w:cs="Times New Roman"/>
          <w:color w:val="auto"/>
          <w:kern w:val="2"/>
          <w:szCs w:val="24"/>
          <w:highlight w:val="none"/>
          <w:lang w:eastAsia="zh-CN"/>
        </w:rPr>
        <w:t>15.1</w:t>
      </w:r>
      <w:r>
        <w:rPr>
          <w:rFonts w:hint="eastAsia" w:hAnsi="宋体" w:cs="Times New Roman"/>
          <w:color w:val="auto"/>
          <w:kern w:val="2"/>
          <w:szCs w:val="24"/>
          <w:highlight w:val="none"/>
          <w:lang w:eastAsia="zh-CN"/>
        </w:rPr>
        <w:t>变更的范围和内容</w:t>
      </w:r>
    </w:p>
    <w:p w14:paraId="1AB6921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本款第（</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）项细化为：</w:t>
      </w:r>
    </w:p>
    <w:p w14:paraId="44103322">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（1）取消合同中任何一项工作，但被取消的工作不能转由发包人或其他人实施，由于承包人违约造成的情况除外；</w:t>
      </w:r>
    </w:p>
    <w:p w14:paraId="1C21F10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19" w:name="bookmark218"/>
      <w:bookmarkEnd w:id="219"/>
      <w:r>
        <w:rPr>
          <w:rFonts w:hAnsi="宋体" w:cs="Times New Roman"/>
          <w:color w:val="auto"/>
          <w:kern w:val="2"/>
          <w:szCs w:val="24"/>
          <w:highlight w:val="none"/>
          <w:lang w:eastAsia="zh-CN"/>
        </w:rPr>
        <w:t>15.3</w:t>
      </w:r>
      <w:r>
        <w:rPr>
          <w:rFonts w:hint="eastAsia" w:hAnsi="宋体" w:cs="Times New Roman"/>
          <w:color w:val="auto"/>
          <w:kern w:val="2"/>
          <w:szCs w:val="24"/>
          <w:highlight w:val="none"/>
          <w:lang w:eastAsia="zh-CN"/>
        </w:rPr>
        <w:t>变更程序</w:t>
      </w:r>
    </w:p>
    <w:p w14:paraId="033AAED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15.3.4 </w:t>
      </w:r>
      <w:r>
        <w:rPr>
          <w:rFonts w:hint="eastAsia" w:hAnsi="宋体" w:cs="Times New Roman"/>
          <w:color w:val="auto"/>
          <w:kern w:val="2"/>
          <w:szCs w:val="24"/>
          <w:highlight w:val="none"/>
          <w:lang w:eastAsia="zh-CN"/>
        </w:rPr>
        <w:t>项：</w:t>
      </w:r>
    </w:p>
    <w:p w14:paraId="75934925">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15.3.4  </w:t>
      </w:r>
      <w:r>
        <w:rPr>
          <w:rFonts w:hint="eastAsia" w:hAnsi="宋体" w:cs="Times New Roman"/>
          <w:color w:val="auto"/>
          <w:kern w:val="2"/>
          <w:szCs w:val="24"/>
          <w:highlight w:val="none"/>
          <w:lang w:eastAsia="zh-CN"/>
        </w:rPr>
        <w:t>设计变更程序应执行《公路工程设计变更管理办法》的相关规定。</w:t>
      </w:r>
    </w:p>
    <w:p w14:paraId="506CCA2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0" w:name="bookmark219"/>
      <w:bookmarkEnd w:id="220"/>
      <w:r>
        <w:rPr>
          <w:rFonts w:hAnsi="宋体" w:cs="Times New Roman"/>
          <w:color w:val="auto"/>
          <w:kern w:val="2"/>
          <w:szCs w:val="24"/>
          <w:highlight w:val="none"/>
          <w:lang w:eastAsia="zh-CN"/>
        </w:rPr>
        <w:t>15.4</w:t>
      </w:r>
      <w:r>
        <w:rPr>
          <w:rFonts w:hint="eastAsia" w:hAnsi="宋体" w:cs="Times New Roman"/>
          <w:color w:val="auto"/>
          <w:kern w:val="2"/>
          <w:szCs w:val="24"/>
          <w:highlight w:val="none"/>
          <w:lang w:eastAsia="zh-CN"/>
        </w:rPr>
        <w:t>变更的估价原则</w:t>
      </w:r>
    </w:p>
    <w:p w14:paraId="655113F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本款细化为： </w:t>
      </w:r>
    </w:p>
    <w:p w14:paraId="0C82ABE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除项目专用合同条款另有约定外，因变更引起的价格调整按照本款约定处理。 </w:t>
      </w:r>
      <w:r>
        <w:rPr>
          <w:rFonts w:hAnsi="宋体" w:cs="Times New Roman"/>
          <w:color w:val="auto"/>
          <w:kern w:val="2"/>
          <w:szCs w:val="24"/>
          <w:highlight w:val="none"/>
          <w:lang w:eastAsia="zh-CN"/>
        </w:rPr>
        <w:t xml:space="preserve">15.4.1  </w:t>
      </w:r>
      <w:r>
        <w:rPr>
          <w:rFonts w:hint="eastAsia" w:hAnsi="宋体" w:cs="Times New Roman"/>
          <w:color w:val="auto"/>
          <w:kern w:val="2"/>
          <w:szCs w:val="24"/>
          <w:highlight w:val="none"/>
          <w:lang w:eastAsia="zh-CN"/>
        </w:rPr>
        <w:t>如果取消某项工作，则该项工作的总额价不予支付。</w:t>
      </w:r>
    </w:p>
    <w:p w14:paraId="33C4527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15.4.2  </w:t>
      </w:r>
      <w:r>
        <w:rPr>
          <w:rFonts w:hint="eastAsia" w:hAnsi="宋体" w:cs="Times New Roman"/>
          <w:color w:val="auto"/>
          <w:kern w:val="2"/>
          <w:szCs w:val="24"/>
          <w:highlight w:val="none"/>
          <w:lang w:eastAsia="zh-CN"/>
        </w:rPr>
        <w:t>已标价工程量清单中有适用于变更工作的子目的，采用该子目的单价。</w:t>
      </w:r>
    </w:p>
    <w:p w14:paraId="7884589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15.4.3  </w:t>
      </w:r>
      <w:r>
        <w:rPr>
          <w:rFonts w:hint="eastAsia" w:hAnsi="宋体" w:cs="Times New Roman"/>
          <w:color w:val="auto"/>
          <w:kern w:val="2"/>
          <w:szCs w:val="24"/>
          <w:highlight w:val="none"/>
          <w:lang w:eastAsia="zh-CN"/>
        </w:rPr>
        <w:t>已标价工程量清单中无适用于变更工作的子目，但有类似子目的，可在合理范围内参照类似子目的单价</w:t>
      </w:r>
      <w:r>
        <w:rPr>
          <w:rFonts w:hint="eastAsia" w:hAnsi="宋体" w:cs="Times New Roman"/>
          <w:color w:val="auto"/>
          <w:spacing w:val="-24"/>
          <w:kern w:val="2"/>
          <w:szCs w:val="24"/>
          <w:highlight w:val="none"/>
          <w:lang w:eastAsia="zh-CN"/>
        </w:rPr>
        <w:t>，</w:t>
      </w:r>
      <w:r>
        <w:rPr>
          <w:rFonts w:hint="eastAsia" w:hAnsi="宋体" w:cs="Times New Roman"/>
          <w:color w:val="auto"/>
          <w:kern w:val="2"/>
          <w:szCs w:val="24"/>
          <w:highlight w:val="none"/>
          <w:lang w:eastAsia="zh-CN"/>
        </w:rPr>
        <w:t>由监理人按第</w:t>
      </w:r>
      <w:r>
        <w:rPr>
          <w:rFonts w:hAnsi="宋体" w:cs="Times New Roman"/>
          <w:color w:val="auto"/>
          <w:kern w:val="2"/>
          <w:szCs w:val="24"/>
          <w:highlight w:val="none"/>
          <w:lang w:eastAsia="zh-CN"/>
        </w:rPr>
        <w:t xml:space="preserve">3.5 </w:t>
      </w:r>
      <w:r>
        <w:rPr>
          <w:rFonts w:hint="eastAsia" w:hAnsi="宋体" w:cs="Times New Roman"/>
          <w:color w:val="auto"/>
          <w:kern w:val="2"/>
          <w:szCs w:val="24"/>
          <w:highlight w:val="none"/>
          <w:lang w:eastAsia="zh-CN"/>
        </w:rPr>
        <w:t>款商定或确定变更工作的单价。</w:t>
      </w:r>
    </w:p>
    <w:p w14:paraId="5B852AFC">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Ansi="宋体" w:cs="Times New Roman"/>
          <w:color w:val="auto"/>
          <w:kern w:val="2"/>
          <w:szCs w:val="24"/>
          <w:highlight w:val="none"/>
          <w:lang w:eastAsia="zh-CN"/>
        </w:rPr>
        <w:t xml:space="preserve">15.4.4  </w:t>
      </w:r>
      <w:r>
        <w:rPr>
          <w:rFonts w:hint="eastAsia" w:hAnsi="宋体" w:cs="Times New Roman"/>
          <w:color w:val="auto"/>
          <w:spacing w:val="1"/>
          <w:kern w:val="2"/>
          <w:szCs w:val="24"/>
          <w:highlight w:val="none"/>
          <w:lang w:eastAsia="zh-CN"/>
        </w:rPr>
        <w:t>已标价工程量清单中无适用或类似子目的单价，可在综合考虑承包人在</w:t>
      </w:r>
      <w:r>
        <w:rPr>
          <w:rFonts w:hint="eastAsia" w:hAnsi="宋体" w:cs="Times New Roman"/>
          <w:color w:val="auto"/>
          <w:kern w:val="2"/>
          <w:szCs w:val="24"/>
          <w:highlight w:val="none"/>
          <w:lang w:eastAsia="zh-CN"/>
        </w:rPr>
        <w:t>投标时所提供的单价分析表的基础上，由监理人按第</w:t>
      </w:r>
      <w:r>
        <w:rPr>
          <w:rFonts w:hAnsi="宋体" w:cs="Times New Roman"/>
          <w:color w:val="auto"/>
          <w:kern w:val="2"/>
          <w:szCs w:val="24"/>
          <w:highlight w:val="none"/>
          <w:lang w:eastAsia="zh-CN"/>
        </w:rPr>
        <w:t>3.5</w:t>
      </w:r>
      <w:r>
        <w:rPr>
          <w:rFonts w:hint="eastAsia" w:hAnsi="宋体" w:cs="Times New Roman"/>
          <w:color w:val="auto"/>
          <w:kern w:val="2"/>
          <w:szCs w:val="24"/>
          <w:highlight w:val="none"/>
          <w:lang w:eastAsia="zh-CN"/>
        </w:rPr>
        <w:t>款商定或确定变更工作的</w:t>
      </w:r>
      <w:r>
        <w:rPr>
          <w:rFonts w:hint="eastAsia" w:hAnsi="宋体" w:cs="Times New Roman"/>
          <w:color w:val="auto"/>
          <w:spacing w:val="-1"/>
          <w:kern w:val="2"/>
          <w:szCs w:val="24"/>
          <w:highlight w:val="none"/>
          <w:lang w:eastAsia="zh-CN"/>
        </w:rPr>
        <w:t>单价。</w:t>
      </w:r>
    </w:p>
    <w:p w14:paraId="217180C4">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15.4.5  如果本工程的变更指示是因承包人过错、承包人违反合同或承包人责任造成的，则这种违约引起的任何额外费用应由承包人承担。</w:t>
      </w:r>
      <w:bookmarkStart w:id="221" w:name="bookmark220"/>
      <w:bookmarkEnd w:id="221"/>
    </w:p>
    <w:p w14:paraId="170110F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15.5</w:t>
      </w:r>
      <w:r>
        <w:rPr>
          <w:rFonts w:hint="eastAsia" w:hAnsi="宋体" w:cs="Times New Roman"/>
          <w:color w:val="auto"/>
          <w:kern w:val="2"/>
          <w:szCs w:val="24"/>
          <w:highlight w:val="none"/>
          <w:lang w:eastAsia="zh-CN"/>
        </w:rPr>
        <w:t>承包人的合理化建议</w:t>
      </w:r>
    </w:p>
    <w:p w14:paraId="3943C5C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15.5.2 </w:t>
      </w:r>
      <w:r>
        <w:rPr>
          <w:rFonts w:hint="eastAsia" w:hAnsi="宋体" w:cs="Times New Roman"/>
          <w:color w:val="auto"/>
          <w:kern w:val="2"/>
          <w:szCs w:val="24"/>
          <w:highlight w:val="none"/>
          <w:lang w:eastAsia="zh-CN"/>
        </w:rPr>
        <w:t>项约定为：</w:t>
      </w:r>
    </w:p>
    <w:p w14:paraId="2363284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承包人提出的合理化建议缩短了工期，发包人按第</w:t>
      </w:r>
      <w:r>
        <w:rPr>
          <w:rFonts w:hAnsi="宋体" w:cs="Times New Roman"/>
          <w:color w:val="auto"/>
          <w:spacing w:val="-3"/>
          <w:kern w:val="2"/>
          <w:szCs w:val="24"/>
          <w:highlight w:val="none"/>
          <w:lang w:eastAsia="zh-CN"/>
        </w:rPr>
        <w:t>11.6</w:t>
      </w:r>
      <w:r>
        <w:rPr>
          <w:rFonts w:hint="eastAsia" w:hAnsi="宋体" w:cs="Times New Roman"/>
          <w:color w:val="auto"/>
          <w:kern w:val="2"/>
          <w:szCs w:val="24"/>
          <w:highlight w:val="none"/>
          <w:lang w:eastAsia="zh-CN"/>
        </w:rPr>
        <w:t>款的规定给予奖励。承包人提出的合理化建议降低了合同价格或者提高了工程经济效益的</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发包人按</w:t>
      </w:r>
    </w:p>
    <w:p w14:paraId="79EB106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项目专用合同条款数据表中规定的金额给予奖励。</w:t>
      </w:r>
    </w:p>
    <w:p w14:paraId="781827F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2" w:name="bookmark221"/>
      <w:bookmarkEnd w:id="222"/>
      <w:r>
        <w:rPr>
          <w:rFonts w:hAnsi="宋体" w:cs="Times New Roman"/>
          <w:color w:val="auto"/>
          <w:kern w:val="2"/>
          <w:szCs w:val="24"/>
          <w:highlight w:val="none"/>
          <w:lang w:eastAsia="zh-CN"/>
        </w:rPr>
        <w:t>15.6</w:t>
      </w:r>
      <w:r>
        <w:rPr>
          <w:rFonts w:hint="eastAsia" w:hAnsi="宋体" w:cs="Times New Roman"/>
          <w:color w:val="auto"/>
          <w:kern w:val="2"/>
          <w:szCs w:val="24"/>
          <w:highlight w:val="none"/>
          <w:lang w:eastAsia="zh-CN"/>
        </w:rPr>
        <w:t>暂列金额</w:t>
      </w:r>
    </w:p>
    <w:p w14:paraId="2C2CB1E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本款细化为：</w:t>
      </w:r>
    </w:p>
    <w:p w14:paraId="3604A167">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15.6.1 </w:t>
      </w:r>
      <w:r>
        <w:rPr>
          <w:rFonts w:hint="eastAsia" w:hAnsi="宋体" w:cs="Times New Roman"/>
          <w:color w:val="auto"/>
          <w:kern w:val="2"/>
          <w:szCs w:val="24"/>
          <w:highlight w:val="none"/>
          <w:lang w:eastAsia="zh-CN"/>
        </w:rPr>
        <w:t>暂列金额应由监理人报发包人批准后指令全部或部分地使用</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或者根本不予动用。</w:t>
      </w:r>
    </w:p>
    <w:p w14:paraId="3FB350A6">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15.6.2 </w:t>
      </w:r>
      <w:r>
        <w:rPr>
          <w:rFonts w:hint="eastAsia" w:hAnsi="宋体" w:cs="Times New Roman"/>
          <w:color w:val="auto"/>
          <w:kern w:val="2"/>
          <w:szCs w:val="24"/>
          <w:highlight w:val="none"/>
          <w:lang w:eastAsia="zh-CN"/>
        </w:rPr>
        <w:t>对于经发包人批准的每一笔暂列金额</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监理人有权向承包人发出实施工程或提供材料、工程设备或服务的指令。这些指令应由承包人完成，监理人应根据第</w:t>
      </w:r>
      <w:r>
        <w:rPr>
          <w:rFonts w:hAnsi="宋体" w:cs="Times New Roman"/>
          <w:color w:val="auto"/>
          <w:kern w:val="2"/>
          <w:szCs w:val="24"/>
          <w:highlight w:val="none"/>
          <w:lang w:eastAsia="zh-CN"/>
        </w:rPr>
        <w:t>15.4</w:t>
      </w:r>
      <w:r>
        <w:rPr>
          <w:rFonts w:hint="eastAsia" w:hAnsi="宋体" w:cs="Times New Roman"/>
          <w:color w:val="auto"/>
          <w:kern w:val="2"/>
          <w:szCs w:val="24"/>
          <w:highlight w:val="none"/>
          <w:lang w:eastAsia="zh-CN"/>
        </w:rPr>
        <w:t>款约定的变更估价原则和第</w:t>
      </w:r>
      <w:r>
        <w:rPr>
          <w:rFonts w:hAnsi="宋体" w:cs="Times New Roman"/>
          <w:color w:val="auto"/>
          <w:kern w:val="2"/>
          <w:szCs w:val="24"/>
          <w:highlight w:val="none"/>
          <w:lang w:eastAsia="zh-CN"/>
        </w:rPr>
        <w:t xml:space="preserve">15.7 </w:t>
      </w:r>
      <w:r>
        <w:rPr>
          <w:rFonts w:hint="eastAsia" w:hAnsi="宋体" w:cs="Times New Roman"/>
          <w:color w:val="auto"/>
          <w:kern w:val="2"/>
          <w:szCs w:val="24"/>
          <w:highlight w:val="none"/>
          <w:lang w:eastAsia="zh-CN"/>
        </w:rPr>
        <w:t>款的规定，对合同价格进行相应调整。</w:t>
      </w:r>
    </w:p>
    <w:p w14:paraId="276940DC">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15.6.3 </w:t>
      </w:r>
      <w:r>
        <w:rPr>
          <w:rFonts w:hint="eastAsia" w:hAnsi="宋体" w:cs="Times New Roman"/>
          <w:color w:val="auto"/>
          <w:kern w:val="2"/>
          <w:szCs w:val="24"/>
          <w:highlight w:val="none"/>
          <w:lang w:eastAsia="zh-CN"/>
        </w:rPr>
        <w:t>当监理人提出要求时</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承包人应提供有关暂列金额支出的所有报价单</w:t>
      </w:r>
      <w:r>
        <w:rPr>
          <w:rFonts w:hint="eastAsia" w:hAnsi="宋体" w:cs="Times New Roman"/>
          <w:color w:val="auto"/>
          <w:spacing w:val="-58"/>
          <w:kern w:val="2"/>
          <w:szCs w:val="24"/>
          <w:highlight w:val="none"/>
          <w:lang w:eastAsia="zh-CN"/>
        </w:rPr>
        <w:t>、</w:t>
      </w:r>
      <w:r>
        <w:rPr>
          <w:rFonts w:hint="eastAsia" w:hAnsi="宋体" w:cs="Times New Roman"/>
          <w:color w:val="auto"/>
          <w:kern w:val="2"/>
          <w:szCs w:val="24"/>
          <w:highlight w:val="none"/>
          <w:lang w:eastAsia="zh-CN"/>
        </w:rPr>
        <w:t>发票、凭证和账单或收据，除非该工作是根据已标价工程量清单列明的单价或总额价进行的估价。</w:t>
      </w:r>
    </w:p>
    <w:p w14:paraId="28DADBF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3" w:name="bookmark222"/>
      <w:bookmarkEnd w:id="223"/>
      <w:r>
        <w:rPr>
          <w:rFonts w:hAnsi="宋体" w:cs="Times New Roman"/>
          <w:color w:val="auto"/>
          <w:kern w:val="2"/>
          <w:szCs w:val="24"/>
          <w:highlight w:val="none"/>
          <w:lang w:eastAsia="zh-CN"/>
        </w:rPr>
        <w:t>16.</w:t>
      </w:r>
      <w:r>
        <w:rPr>
          <w:rFonts w:hint="eastAsia" w:hAnsi="宋体" w:cs="Times New Roman"/>
          <w:color w:val="auto"/>
          <w:kern w:val="2"/>
          <w:szCs w:val="24"/>
          <w:highlight w:val="none"/>
          <w:lang w:eastAsia="zh-CN"/>
        </w:rPr>
        <w:t>价格调整</w:t>
      </w:r>
    </w:p>
    <w:p w14:paraId="1672B7C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4" w:name="bookmark223"/>
      <w:bookmarkEnd w:id="224"/>
      <w:r>
        <w:rPr>
          <w:rFonts w:hAnsi="宋体" w:cs="Times New Roman"/>
          <w:color w:val="auto"/>
          <w:kern w:val="2"/>
          <w:szCs w:val="24"/>
          <w:highlight w:val="none"/>
          <w:lang w:eastAsia="zh-CN"/>
        </w:rPr>
        <w:t>16.1</w:t>
      </w:r>
      <w:r>
        <w:rPr>
          <w:rFonts w:hint="eastAsia" w:hAnsi="宋体" w:cs="Times New Roman"/>
          <w:color w:val="auto"/>
          <w:kern w:val="2"/>
          <w:szCs w:val="24"/>
          <w:highlight w:val="none"/>
          <w:lang w:eastAsia="zh-CN"/>
        </w:rPr>
        <w:t>物价波动引起的价格调整</w:t>
      </w:r>
    </w:p>
    <w:p w14:paraId="0F87039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本款约定为：</w:t>
      </w:r>
    </w:p>
    <w:p w14:paraId="24CD733B">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除项目专用合同条款另有约定外</w:t>
      </w:r>
      <w:r>
        <w:rPr>
          <w:rFonts w:hint="eastAsia" w:hAnsi="宋体" w:cs="Times New Roman"/>
          <w:color w:val="auto"/>
          <w:spacing w:val="-43"/>
          <w:kern w:val="2"/>
          <w:szCs w:val="24"/>
          <w:highlight w:val="none"/>
          <w:lang w:eastAsia="zh-CN"/>
        </w:rPr>
        <w:t>，</w:t>
      </w:r>
      <w:r>
        <w:rPr>
          <w:rFonts w:hint="eastAsia" w:hAnsi="宋体" w:cs="Times New Roman"/>
          <w:color w:val="auto"/>
          <w:kern w:val="2"/>
          <w:szCs w:val="24"/>
          <w:highlight w:val="none"/>
          <w:lang w:eastAsia="zh-CN"/>
        </w:rPr>
        <w:t>因物价波动引起的价格调</w:t>
      </w:r>
      <w:r>
        <w:rPr>
          <w:rFonts w:hint="eastAsia" w:hAnsi="宋体" w:cs="Times New Roman"/>
          <w:color w:val="auto"/>
          <w:spacing w:val="1"/>
          <w:kern w:val="2"/>
          <w:szCs w:val="24"/>
          <w:highlight w:val="none"/>
          <w:lang w:eastAsia="zh-CN"/>
        </w:rPr>
        <w:t>整</w:t>
      </w:r>
      <w:r>
        <w:rPr>
          <w:rFonts w:hint="eastAsia" w:hAnsi="宋体" w:cs="Times New Roman"/>
          <w:color w:val="auto"/>
          <w:kern w:val="2"/>
          <w:szCs w:val="24"/>
          <w:highlight w:val="none"/>
          <w:lang w:eastAsia="zh-CN"/>
        </w:rPr>
        <w:t>应按项目专</w:t>
      </w:r>
      <w:r>
        <w:rPr>
          <w:rFonts w:hint="eastAsia" w:hAnsi="宋体" w:cs="Times New Roman"/>
          <w:color w:val="auto"/>
          <w:spacing w:val="-1"/>
          <w:kern w:val="2"/>
          <w:szCs w:val="24"/>
          <w:highlight w:val="none"/>
          <w:lang w:eastAsia="zh-CN"/>
        </w:rPr>
        <w:t>用合同条款数据表的规定，按照第</w:t>
      </w:r>
      <w:r>
        <w:rPr>
          <w:rFonts w:hAnsi="宋体" w:cs="Times New Roman"/>
          <w:color w:val="auto"/>
          <w:kern w:val="2"/>
          <w:szCs w:val="24"/>
          <w:highlight w:val="none"/>
          <w:lang w:eastAsia="zh-CN"/>
        </w:rPr>
        <w:t xml:space="preserve">16.1.1 </w:t>
      </w:r>
      <w:r>
        <w:rPr>
          <w:rFonts w:hint="eastAsia" w:hAnsi="宋体" w:cs="Times New Roman"/>
          <w:color w:val="auto"/>
          <w:kern w:val="2"/>
          <w:szCs w:val="24"/>
          <w:highlight w:val="none"/>
          <w:lang w:eastAsia="zh-CN"/>
        </w:rPr>
        <w:t>项或第</w:t>
      </w:r>
      <w:r>
        <w:rPr>
          <w:rFonts w:hAnsi="宋体" w:cs="Times New Roman"/>
          <w:color w:val="auto"/>
          <w:kern w:val="2"/>
          <w:szCs w:val="24"/>
          <w:highlight w:val="none"/>
          <w:lang w:eastAsia="zh-CN"/>
        </w:rPr>
        <w:t xml:space="preserve">16.1.2 </w:t>
      </w:r>
      <w:r>
        <w:rPr>
          <w:rFonts w:hint="eastAsia" w:hAnsi="宋体" w:cs="Times New Roman"/>
          <w:color w:val="auto"/>
          <w:kern w:val="2"/>
          <w:szCs w:val="24"/>
          <w:highlight w:val="none"/>
          <w:lang w:eastAsia="zh-CN"/>
        </w:rPr>
        <w:t>项约定的原则处理；或者</w:t>
      </w:r>
      <w:r>
        <w:rPr>
          <w:rFonts w:hint="eastAsia" w:hAnsi="宋体" w:cs="Times New Roman"/>
          <w:color w:val="auto"/>
          <w:spacing w:val="-3"/>
          <w:kern w:val="2"/>
          <w:szCs w:val="24"/>
          <w:highlight w:val="none"/>
          <w:lang w:eastAsia="zh-CN"/>
        </w:rPr>
        <w:t>（</w:t>
      </w:r>
      <w:r>
        <w:rPr>
          <w:rFonts w:hAnsi="宋体" w:cs="Times New Roman"/>
          <w:color w:val="auto"/>
          <w:spacing w:val="-3"/>
          <w:kern w:val="2"/>
          <w:szCs w:val="24"/>
          <w:highlight w:val="none"/>
          <w:lang w:eastAsia="zh-CN"/>
        </w:rPr>
        <w:t>2</w:t>
      </w:r>
      <w:r>
        <w:rPr>
          <w:rFonts w:hint="eastAsia" w:hAnsi="宋体" w:cs="Times New Roman"/>
          <w:color w:val="auto"/>
          <w:spacing w:val="-3"/>
          <w:kern w:val="2"/>
          <w:szCs w:val="24"/>
          <w:highlight w:val="none"/>
          <w:lang w:eastAsia="zh-CN"/>
        </w:rPr>
        <w:t>）在合同执行期间（包括工期拖延期间）由于人工、材料和设备价格的上涨</w:t>
      </w:r>
      <w:r>
        <w:rPr>
          <w:rFonts w:hint="eastAsia" w:hAnsi="宋体" w:cs="Times New Roman"/>
          <w:color w:val="auto"/>
          <w:kern w:val="2"/>
          <w:szCs w:val="24"/>
          <w:highlight w:val="none"/>
          <w:lang w:eastAsia="zh-CN"/>
        </w:rPr>
        <w:t>而引起工程施工成本增加的风险由承包人自行承担，合同价格不会因此而调整。</w:t>
      </w:r>
    </w:p>
    <w:p w14:paraId="6EE88F6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16.1.1  </w:t>
      </w:r>
      <w:r>
        <w:rPr>
          <w:rFonts w:hint="eastAsia" w:hAnsi="宋体" w:cs="Times New Roman"/>
          <w:color w:val="auto"/>
          <w:kern w:val="2"/>
          <w:szCs w:val="24"/>
          <w:highlight w:val="none"/>
          <w:lang w:eastAsia="zh-CN"/>
        </w:rPr>
        <w:t>采用价格指数调整价格差额</w:t>
      </w:r>
    </w:p>
    <w:p w14:paraId="37D7090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16.1.1.1  </w:t>
      </w:r>
      <w:r>
        <w:rPr>
          <w:rFonts w:hint="eastAsia" w:hAnsi="宋体" w:cs="Times New Roman"/>
          <w:color w:val="auto"/>
          <w:kern w:val="2"/>
          <w:szCs w:val="24"/>
          <w:highlight w:val="none"/>
          <w:lang w:eastAsia="zh-CN"/>
        </w:rPr>
        <w:t>价格调整公式 价格调整公式后增加备注如下：</w:t>
      </w:r>
    </w:p>
    <w:p w14:paraId="578B9050">
      <w:pPr>
        <w:widowControl w:val="0"/>
        <w:kinsoku w:val="0"/>
        <w:overflowPunct w:val="0"/>
        <w:adjustRightInd w:val="0"/>
        <w:snapToGrid w:val="0"/>
        <w:spacing w:line="360" w:lineRule="auto"/>
        <w:ind w:firstLine="266"/>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式中，</w:t>
      </w:r>
      <w:r>
        <w:rPr>
          <w:rFonts w:hAnsi="宋体" w:cs="Times New Roman"/>
          <w:b/>
          <w:color w:val="auto"/>
          <w:kern w:val="2"/>
          <w:szCs w:val="24"/>
          <w:highlight w:val="none"/>
          <w:lang w:eastAsia="zh-CN"/>
        </w:rPr>
        <w:t>A=</w:t>
      </w:r>
      <w:r>
        <w:rPr>
          <w:rFonts w:hAnsi="宋体" w:cs="Times New Roman"/>
          <w:b/>
          <w:color w:val="auto"/>
          <w:spacing w:val="-1"/>
          <w:kern w:val="2"/>
          <w:szCs w:val="24"/>
          <w:highlight w:val="none"/>
          <w:lang w:eastAsia="zh-CN"/>
        </w:rPr>
        <w:t>1</w:t>
      </w:r>
      <w:r>
        <w:rPr>
          <w:rFonts w:hint="eastAsia" w:hAnsi="宋体" w:cs="Times New Roman"/>
          <w:b/>
          <w:color w:val="auto"/>
          <w:spacing w:val="2"/>
          <w:kern w:val="2"/>
          <w:szCs w:val="24"/>
          <w:highlight w:val="none"/>
          <w:lang w:eastAsia="zh-CN"/>
        </w:rPr>
        <w:t>－</w:t>
      </w:r>
      <w:r>
        <w:rPr>
          <w:rFonts w:hint="eastAsia" w:hAnsi="宋体" w:cs="Times New Roman"/>
          <w:b/>
          <w:color w:val="auto"/>
          <w:spacing w:val="3"/>
          <w:kern w:val="2"/>
          <w:szCs w:val="24"/>
          <w:highlight w:val="none"/>
          <w:lang w:eastAsia="zh-CN"/>
        </w:rPr>
        <w:t>（</w:t>
      </w:r>
      <w:r>
        <w:rPr>
          <w:rFonts w:hAnsi="宋体" w:cs="Times New Roman"/>
          <w:b/>
          <w:color w:val="auto"/>
          <w:spacing w:val="-2"/>
          <w:kern w:val="2"/>
          <w:szCs w:val="24"/>
          <w:highlight w:val="none"/>
          <w:lang w:eastAsia="zh-CN"/>
        </w:rPr>
        <w:t>B</w:t>
      </w:r>
      <w:r>
        <w:rPr>
          <w:rFonts w:hAnsi="宋体" w:cs="Times New Roman"/>
          <w:b/>
          <w:color w:val="auto"/>
          <w:spacing w:val="-2"/>
          <w:kern w:val="2"/>
          <w:position w:val="-3"/>
          <w:szCs w:val="24"/>
          <w:highlight w:val="none"/>
          <w:lang w:eastAsia="zh-CN"/>
        </w:rPr>
        <w:t>1</w:t>
      </w:r>
      <w:r>
        <w:rPr>
          <w:rFonts w:hint="eastAsia" w:hAnsi="宋体" w:cs="Times New Roman"/>
          <w:b/>
          <w:color w:val="auto"/>
          <w:spacing w:val="2"/>
          <w:kern w:val="2"/>
          <w:szCs w:val="24"/>
          <w:highlight w:val="none"/>
          <w:lang w:eastAsia="zh-CN"/>
        </w:rPr>
        <w:t>＋</w:t>
      </w:r>
      <w:r>
        <w:rPr>
          <w:rFonts w:hAnsi="宋体" w:cs="Times New Roman"/>
          <w:b/>
          <w:color w:val="auto"/>
          <w:kern w:val="2"/>
          <w:szCs w:val="24"/>
          <w:highlight w:val="none"/>
          <w:lang w:eastAsia="zh-CN"/>
        </w:rPr>
        <w:t>B</w:t>
      </w:r>
      <w:r>
        <w:rPr>
          <w:rFonts w:hAnsi="宋体" w:cs="Times New Roman"/>
          <w:b/>
          <w:color w:val="auto"/>
          <w:spacing w:val="-2"/>
          <w:kern w:val="2"/>
          <w:position w:val="-3"/>
          <w:szCs w:val="24"/>
          <w:highlight w:val="none"/>
          <w:lang w:eastAsia="zh-CN"/>
        </w:rPr>
        <w:t>2</w:t>
      </w:r>
      <w:r>
        <w:rPr>
          <w:rFonts w:hint="eastAsia" w:hAnsi="宋体" w:cs="Times New Roman"/>
          <w:b/>
          <w:color w:val="auto"/>
          <w:spacing w:val="2"/>
          <w:kern w:val="2"/>
          <w:szCs w:val="24"/>
          <w:highlight w:val="none"/>
          <w:lang w:eastAsia="zh-CN"/>
        </w:rPr>
        <w:t>＋</w:t>
      </w:r>
      <w:r>
        <w:rPr>
          <w:rFonts w:hAnsi="宋体" w:cs="Times New Roman"/>
          <w:b/>
          <w:color w:val="auto"/>
          <w:spacing w:val="-2"/>
          <w:kern w:val="2"/>
          <w:szCs w:val="24"/>
          <w:highlight w:val="none"/>
          <w:lang w:eastAsia="zh-CN"/>
        </w:rPr>
        <w:t>B</w:t>
      </w:r>
      <w:r>
        <w:rPr>
          <w:rFonts w:hAnsi="宋体" w:cs="Times New Roman"/>
          <w:b/>
          <w:color w:val="auto"/>
          <w:spacing w:val="1"/>
          <w:kern w:val="2"/>
          <w:position w:val="-3"/>
          <w:szCs w:val="24"/>
          <w:highlight w:val="none"/>
          <w:lang w:eastAsia="zh-CN"/>
        </w:rPr>
        <w:t>3</w:t>
      </w:r>
      <w:r>
        <w:rPr>
          <w:rFonts w:hint="eastAsia" w:hAnsi="宋体" w:cs="Times New Roman"/>
          <w:b/>
          <w:color w:val="auto"/>
          <w:spacing w:val="2"/>
          <w:kern w:val="2"/>
          <w:szCs w:val="24"/>
          <w:highlight w:val="none"/>
          <w:lang w:eastAsia="zh-CN"/>
        </w:rPr>
        <w:t>＋</w:t>
      </w:r>
      <w:r>
        <w:rPr>
          <w:rFonts w:hAnsi="宋体" w:cs="Times New Roman"/>
          <w:b/>
          <w:color w:val="auto"/>
          <w:spacing w:val="-3"/>
          <w:kern w:val="2"/>
          <w:position w:val="-3"/>
          <w:szCs w:val="24"/>
          <w:highlight w:val="none"/>
          <w:lang w:eastAsia="zh-CN"/>
        </w:rPr>
        <w:t>…</w:t>
      </w:r>
      <w:r>
        <w:rPr>
          <w:rFonts w:hAnsi="宋体" w:cs="Times New Roman"/>
          <w:b/>
          <w:color w:val="auto"/>
          <w:kern w:val="2"/>
          <w:position w:val="-3"/>
          <w:szCs w:val="24"/>
          <w:highlight w:val="none"/>
          <w:lang w:eastAsia="zh-CN"/>
        </w:rPr>
        <w:t>…</w:t>
      </w:r>
      <w:r>
        <w:rPr>
          <w:rFonts w:hint="eastAsia" w:hAnsi="宋体" w:cs="Times New Roman"/>
          <w:b/>
          <w:color w:val="auto"/>
          <w:kern w:val="2"/>
          <w:szCs w:val="24"/>
          <w:highlight w:val="none"/>
          <w:lang w:eastAsia="zh-CN"/>
        </w:rPr>
        <w:t>＋</w:t>
      </w:r>
      <w:r>
        <w:rPr>
          <w:rFonts w:hAnsi="宋体" w:cs="Times New Roman"/>
          <w:b/>
          <w:color w:val="auto"/>
          <w:kern w:val="2"/>
          <w:szCs w:val="24"/>
          <w:highlight w:val="none"/>
          <w:lang w:eastAsia="zh-CN"/>
        </w:rPr>
        <w:t>B</w:t>
      </w:r>
      <w:r>
        <w:rPr>
          <w:rFonts w:hAnsi="宋体" w:cs="Times New Roman"/>
          <w:b/>
          <w:color w:val="auto"/>
          <w:spacing w:val="-1"/>
          <w:kern w:val="2"/>
          <w:position w:val="-3"/>
          <w:szCs w:val="24"/>
          <w:highlight w:val="none"/>
          <w:lang w:eastAsia="zh-CN"/>
        </w:rPr>
        <w:t>n</w:t>
      </w:r>
      <w:r>
        <w:rPr>
          <w:rFonts w:hint="eastAsia" w:hAnsi="宋体" w:cs="Times New Roman"/>
          <w:b/>
          <w:color w:val="auto"/>
          <w:spacing w:val="-120"/>
          <w:kern w:val="2"/>
          <w:szCs w:val="24"/>
          <w:highlight w:val="none"/>
          <w:lang w:eastAsia="zh-CN"/>
        </w:rPr>
        <w:t>）</w:t>
      </w:r>
      <w:r>
        <w:rPr>
          <w:rFonts w:hint="eastAsia" w:hAnsi="宋体" w:cs="Times New Roman"/>
          <w:color w:val="auto"/>
          <w:kern w:val="2"/>
          <w:szCs w:val="24"/>
          <w:highlight w:val="none"/>
          <w:lang w:eastAsia="zh-CN"/>
        </w:rPr>
        <w:t xml:space="preserve">。 </w:t>
      </w:r>
    </w:p>
    <w:p w14:paraId="1F42D603">
      <w:pPr>
        <w:widowControl w:val="0"/>
        <w:kinsoku w:val="0"/>
        <w:overflowPunct w:val="0"/>
        <w:adjustRightInd w:val="0"/>
        <w:snapToGrid w:val="0"/>
        <w:spacing w:line="360" w:lineRule="auto"/>
        <w:ind w:firstLine="266"/>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本目最后一段文字细化为： </w:t>
      </w:r>
    </w:p>
    <w:p w14:paraId="39F6D2A5">
      <w:pPr>
        <w:widowControl w:val="0"/>
        <w:kinsoku w:val="0"/>
        <w:overflowPunct w:val="0"/>
        <w:adjustRightInd w:val="0"/>
        <w:snapToGrid w:val="0"/>
        <w:spacing w:line="360" w:lineRule="auto"/>
        <w:ind w:firstLine="266"/>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在采用价格调整公式进行调价时，还应遵守以下规定：</w:t>
      </w:r>
    </w:p>
    <w:p w14:paraId="1EC45E2C">
      <w:pPr>
        <w:widowControl w:val="0"/>
        <w:kinsoku w:val="0"/>
        <w:overflowPunct w:val="0"/>
        <w:adjustRightInd w:val="0"/>
        <w:snapToGrid w:val="0"/>
        <w:spacing w:line="360" w:lineRule="auto"/>
        <w:ind w:firstLine="477"/>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以上价格调整</w:t>
      </w:r>
      <w:r>
        <w:rPr>
          <w:rFonts w:hint="eastAsia" w:hAnsi="宋体" w:cs="Times New Roman"/>
          <w:color w:val="auto"/>
          <w:spacing w:val="2"/>
          <w:kern w:val="2"/>
          <w:szCs w:val="24"/>
          <w:highlight w:val="none"/>
          <w:lang w:eastAsia="zh-CN"/>
        </w:rPr>
        <w:t>公</w:t>
      </w:r>
      <w:r>
        <w:rPr>
          <w:rFonts w:hint="eastAsia" w:hAnsi="宋体" w:cs="Times New Roman"/>
          <w:color w:val="auto"/>
          <w:kern w:val="2"/>
          <w:szCs w:val="24"/>
          <w:highlight w:val="none"/>
          <w:lang w:eastAsia="zh-CN"/>
        </w:rPr>
        <w:t>式中的各可调因子</w:t>
      </w:r>
      <w:r>
        <w:rPr>
          <w:rFonts w:hint="eastAsia" w:hAnsi="宋体" w:cs="Times New Roman"/>
          <w:color w:val="auto"/>
          <w:spacing w:val="-29"/>
          <w:kern w:val="2"/>
          <w:szCs w:val="24"/>
          <w:highlight w:val="none"/>
          <w:lang w:eastAsia="zh-CN"/>
        </w:rPr>
        <w:t>、</w:t>
      </w:r>
      <w:r>
        <w:rPr>
          <w:rFonts w:hint="eastAsia" w:hAnsi="宋体" w:cs="Times New Roman"/>
          <w:color w:val="auto"/>
          <w:spacing w:val="2"/>
          <w:kern w:val="2"/>
          <w:szCs w:val="24"/>
          <w:highlight w:val="none"/>
          <w:lang w:eastAsia="zh-CN"/>
        </w:rPr>
        <w:t>定</w:t>
      </w:r>
      <w:r>
        <w:rPr>
          <w:rFonts w:hint="eastAsia" w:hAnsi="宋体" w:cs="Times New Roman"/>
          <w:color w:val="auto"/>
          <w:kern w:val="2"/>
          <w:szCs w:val="24"/>
          <w:highlight w:val="none"/>
          <w:lang w:eastAsia="zh-CN"/>
        </w:rPr>
        <w:t>值权重</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以及基本价</w:t>
      </w:r>
      <w:r>
        <w:rPr>
          <w:rFonts w:hint="eastAsia" w:hAnsi="宋体" w:cs="Times New Roman"/>
          <w:color w:val="auto"/>
          <w:spacing w:val="2"/>
          <w:kern w:val="2"/>
          <w:szCs w:val="24"/>
          <w:highlight w:val="none"/>
          <w:lang w:eastAsia="zh-CN"/>
        </w:rPr>
        <w:t>格</w:t>
      </w:r>
      <w:r>
        <w:rPr>
          <w:rFonts w:hint="eastAsia" w:hAnsi="宋体" w:cs="Times New Roman"/>
          <w:color w:val="auto"/>
          <w:kern w:val="2"/>
          <w:szCs w:val="24"/>
          <w:highlight w:val="none"/>
          <w:lang w:eastAsia="zh-CN"/>
        </w:rPr>
        <w:t>指数及其来源由发包</w:t>
      </w:r>
      <w:r>
        <w:rPr>
          <w:rFonts w:hint="eastAsia" w:hAnsi="宋体" w:cs="Times New Roman"/>
          <w:color w:val="auto"/>
          <w:spacing w:val="-1"/>
          <w:kern w:val="2"/>
          <w:szCs w:val="24"/>
          <w:highlight w:val="none"/>
          <w:lang w:eastAsia="zh-CN"/>
        </w:rPr>
        <w:t>人</w:t>
      </w:r>
      <w:r>
        <w:rPr>
          <w:rFonts w:hint="eastAsia" w:hAnsi="宋体" w:cs="Times New Roman"/>
          <w:color w:val="auto"/>
          <w:kern w:val="2"/>
          <w:szCs w:val="24"/>
          <w:highlight w:val="none"/>
          <w:lang w:eastAsia="zh-CN"/>
        </w:rPr>
        <w:t>在投标函附录价格指数和权重表中约定</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价格指数应首先采用国家或省、自治区、直辖市价格部门或统计部门提供的价格指数，缺乏上述价格指数时，可采用上述部门提供的价格代替。</w:t>
      </w:r>
    </w:p>
    <w:p w14:paraId="35554820">
      <w:pPr>
        <w:widowControl w:val="0"/>
        <w:kinsoku w:val="0"/>
        <w:overflowPunct w:val="0"/>
        <w:adjustRightInd w:val="0"/>
        <w:snapToGrid w:val="0"/>
        <w:spacing w:line="360" w:lineRule="auto"/>
        <w:ind w:firstLine="477"/>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）价格调整公式中的变值权重，由发包人根据项目实际情况测算确定范围，并在投标函附录价格指数和权重表中约定范围；承包人在投标时在此范围内填写各</w:t>
      </w:r>
      <w:r>
        <w:rPr>
          <w:rFonts w:hint="eastAsia" w:hAnsi="宋体" w:cs="Times New Roman"/>
          <w:color w:val="auto"/>
          <w:spacing w:val="-1"/>
          <w:kern w:val="2"/>
          <w:szCs w:val="24"/>
          <w:highlight w:val="none"/>
          <w:lang w:eastAsia="zh-CN"/>
        </w:rPr>
        <w:t>可调因子的权重，合同实施期间将按此权重进行调价。</w:t>
      </w:r>
    </w:p>
    <w:p w14:paraId="46AC41A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5" w:name="bookmark224"/>
      <w:bookmarkEnd w:id="225"/>
      <w:r>
        <w:rPr>
          <w:rFonts w:hAnsi="宋体" w:cs="Times New Roman"/>
          <w:color w:val="auto"/>
          <w:kern w:val="2"/>
          <w:szCs w:val="24"/>
          <w:highlight w:val="none"/>
          <w:lang w:eastAsia="zh-CN"/>
        </w:rPr>
        <w:t>17.</w:t>
      </w:r>
      <w:r>
        <w:rPr>
          <w:rFonts w:hint="eastAsia" w:hAnsi="宋体" w:cs="Times New Roman"/>
          <w:color w:val="auto"/>
          <w:kern w:val="2"/>
          <w:szCs w:val="24"/>
          <w:highlight w:val="none"/>
          <w:lang w:eastAsia="zh-CN"/>
        </w:rPr>
        <w:t>计量与支付</w:t>
      </w:r>
    </w:p>
    <w:p w14:paraId="7215F3C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6" w:name="bookmark225"/>
      <w:bookmarkEnd w:id="226"/>
      <w:r>
        <w:rPr>
          <w:rFonts w:hAnsi="宋体" w:cs="Times New Roman"/>
          <w:color w:val="auto"/>
          <w:kern w:val="2"/>
          <w:szCs w:val="24"/>
          <w:highlight w:val="none"/>
          <w:lang w:eastAsia="zh-CN"/>
        </w:rPr>
        <w:t>17.1</w:t>
      </w:r>
      <w:r>
        <w:rPr>
          <w:rFonts w:hint="eastAsia" w:hAnsi="宋体" w:cs="Times New Roman"/>
          <w:color w:val="auto"/>
          <w:kern w:val="2"/>
          <w:szCs w:val="24"/>
          <w:highlight w:val="none"/>
          <w:lang w:eastAsia="zh-CN"/>
        </w:rPr>
        <w:t>计量</w:t>
      </w:r>
    </w:p>
    <w:p w14:paraId="5CC3758E">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17.1.2  </w:t>
      </w:r>
      <w:r>
        <w:rPr>
          <w:rFonts w:hint="eastAsia" w:hAnsi="宋体" w:cs="Times New Roman"/>
          <w:color w:val="auto"/>
          <w:kern w:val="2"/>
          <w:szCs w:val="24"/>
          <w:highlight w:val="none"/>
          <w:lang w:eastAsia="zh-CN"/>
        </w:rPr>
        <w:t>计量方法</w:t>
      </w:r>
    </w:p>
    <w:p w14:paraId="7A2FE64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本项约定为：工程的计量应以净值为准，除非项目专用合同条款另有约定。工程量清单中各个子目的具体计量方法按本合同文件工程量清单计量规则中的规定执行。</w:t>
      </w:r>
    </w:p>
    <w:p w14:paraId="39E0F04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17.1.4  </w:t>
      </w:r>
      <w:r>
        <w:rPr>
          <w:rFonts w:hint="eastAsia" w:hAnsi="宋体" w:cs="Times New Roman"/>
          <w:color w:val="auto"/>
          <w:kern w:val="2"/>
          <w:szCs w:val="24"/>
          <w:highlight w:val="none"/>
          <w:lang w:eastAsia="zh-CN"/>
        </w:rPr>
        <w:t>单价子目的计量</w:t>
      </w:r>
    </w:p>
    <w:p w14:paraId="2D975FB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本项补充：</w:t>
      </w:r>
    </w:p>
    <w:p w14:paraId="0E3A3D70">
      <w:pPr>
        <w:widowControl w:val="0"/>
        <w:numPr>
          <w:ilvl w:val="0"/>
          <w:numId w:val="5"/>
        </w:numPr>
        <w:kinsoku w:val="0"/>
        <w:overflowPunct w:val="0"/>
        <w:adjustRightInd w:val="0"/>
        <w:snapToGrid w:val="0"/>
        <w:spacing w:line="360" w:lineRule="auto"/>
        <w:ind w:firstLine="479"/>
        <w:jc w:val="both"/>
        <w:rPr>
          <w:rFonts w:hint="default"/>
          <w:color w:val="auto"/>
          <w:highlight w:val="none"/>
          <w:lang w:val="en-US" w:eastAsia="zh-CN"/>
        </w:rPr>
      </w:pPr>
      <w:r>
        <w:rPr>
          <w:rFonts w:hint="eastAsia" w:hAnsi="宋体" w:cs="Times New Roman"/>
          <w:color w:val="auto"/>
          <w:kern w:val="2"/>
          <w:szCs w:val="24"/>
          <w:highlight w:val="none"/>
          <w:lang w:eastAsia="zh-CN"/>
        </w:rPr>
        <w:t>承包人未在已标价工程量清单中填入单价或总额价的工</w:t>
      </w:r>
      <w:r>
        <w:rPr>
          <w:rFonts w:hint="eastAsia" w:hAnsi="宋体" w:cs="Times New Roman"/>
          <w:color w:val="auto"/>
          <w:spacing w:val="1"/>
          <w:kern w:val="2"/>
          <w:szCs w:val="24"/>
          <w:highlight w:val="none"/>
          <w:lang w:eastAsia="zh-CN"/>
        </w:rPr>
        <w:t>程</w:t>
      </w:r>
      <w:r>
        <w:rPr>
          <w:rFonts w:hint="eastAsia" w:hAnsi="宋体" w:cs="Times New Roman"/>
          <w:color w:val="auto"/>
          <w:kern w:val="2"/>
          <w:szCs w:val="24"/>
          <w:highlight w:val="none"/>
          <w:lang w:eastAsia="zh-CN"/>
        </w:rPr>
        <w:t>子目</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将被认为其已包含在本合同的其他子目的单价和总额价中，发包人将不另行支付。</w:t>
      </w:r>
      <w:r>
        <w:rPr>
          <w:rFonts w:hint="eastAsia"/>
          <w:color w:val="auto"/>
          <w:highlight w:val="none"/>
          <w:lang w:val="en-US" w:eastAsia="zh-CN"/>
        </w:rPr>
        <w:t xml:space="preserve"> </w:t>
      </w:r>
    </w:p>
    <w:p w14:paraId="59573DDC">
      <w:pPr>
        <w:widowControl w:val="0"/>
        <w:kinsoku w:val="0"/>
        <w:overflowPunct w:val="0"/>
        <w:adjustRightInd w:val="0"/>
        <w:snapToGrid w:val="0"/>
        <w:spacing w:line="360" w:lineRule="auto"/>
        <w:jc w:val="both"/>
        <w:rPr>
          <w:rFonts w:hint="default" w:hAnsi="宋体" w:cs="Times New Roman"/>
          <w:color w:val="auto"/>
          <w:kern w:val="2"/>
          <w:szCs w:val="24"/>
          <w:highlight w:val="none"/>
          <w:lang w:val="en-US" w:eastAsia="zh-CN"/>
        </w:rPr>
      </w:pPr>
      <w:r>
        <w:rPr>
          <w:rFonts w:hint="eastAsia" w:hAnsi="宋体" w:cs="Times New Roman"/>
          <w:color w:val="auto"/>
          <w:kern w:val="2"/>
          <w:szCs w:val="24"/>
          <w:highlight w:val="none"/>
          <w:lang w:val="en-US" w:eastAsia="zh-CN"/>
        </w:rPr>
        <w:t xml:space="preserve">    为避免抗滑桩挖孔施工过程中，造成坍孔数量过大的风险，把护壁、锁口数量及单价从抗滑桩桩身分离出来，新增护壁、锁口子目，最终按实际发生工程数量进行计量结算支付。</w:t>
      </w:r>
    </w:p>
    <w:p w14:paraId="057BBFFA">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17.1.5  </w:t>
      </w:r>
      <w:r>
        <w:rPr>
          <w:rFonts w:hint="eastAsia" w:hAnsi="宋体" w:cs="Times New Roman"/>
          <w:color w:val="auto"/>
          <w:kern w:val="2"/>
          <w:szCs w:val="24"/>
          <w:highlight w:val="none"/>
          <w:lang w:eastAsia="zh-CN"/>
        </w:rPr>
        <w:t>总价子目的计量</w:t>
      </w:r>
    </w:p>
    <w:p w14:paraId="62BF3EF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本项补充： </w:t>
      </w:r>
    </w:p>
    <w:p w14:paraId="1814B14D">
      <w:pPr>
        <w:widowControl w:val="0"/>
        <w:kinsoku w:val="0"/>
        <w:overflowPunct w:val="0"/>
        <w:adjustRightInd w:val="0"/>
        <w:snapToGrid w:val="0"/>
        <w:spacing w:line="360" w:lineRule="auto"/>
        <w:jc w:val="both"/>
        <w:rPr>
          <w:rFonts w:hAnsi="宋体" w:cs="Times New Roman"/>
          <w:color w:val="auto"/>
          <w:spacing w:val="1"/>
          <w:kern w:val="2"/>
          <w:szCs w:val="24"/>
          <w:highlight w:val="none"/>
          <w:lang w:eastAsia="zh-CN"/>
        </w:rPr>
      </w:pPr>
      <w:r>
        <w:rPr>
          <w:rFonts w:hint="eastAsia" w:hAnsi="宋体" w:cs="Times New Roman"/>
          <w:color w:val="auto"/>
          <w:spacing w:val="1"/>
          <w:kern w:val="2"/>
          <w:szCs w:val="24"/>
          <w:highlight w:val="none"/>
          <w:lang w:eastAsia="zh-CN"/>
        </w:rPr>
        <w:t>本项目工程量清单中要求承包人以“总额”方式报价的子目，各子目的支付原</w:t>
      </w:r>
    </w:p>
    <w:p w14:paraId="4F3BFBF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则和支付进度按项目专用合同条款的规定执行。</w:t>
      </w:r>
    </w:p>
    <w:p w14:paraId="175B85A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7" w:name="bookmark226"/>
      <w:bookmarkEnd w:id="227"/>
      <w:r>
        <w:rPr>
          <w:rFonts w:hAnsi="宋体" w:cs="Times New Roman"/>
          <w:color w:val="auto"/>
          <w:kern w:val="2"/>
          <w:szCs w:val="24"/>
          <w:highlight w:val="none"/>
          <w:lang w:eastAsia="zh-CN"/>
        </w:rPr>
        <w:t>17.2</w:t>
      </w:r>
      <w:r>
        <w:rPr>
          <w:rFonts w:hint="eastAsia" w:hAnsi="宋体" w:cs="Times New Roman"/>
          <w:color w:val="auto"/>
          <w:kern w:val="2"/>
          <w:szCs w:val="24"/>
          <w:highlight w:val="none"/>
          <w:lang w:eastAsia="zh-CN"/>
        </w:rPr>
        <w:t>预付款</w:t>
      </w:r>
    </w:p>
    <w:p w14:paraId="7ED334B4">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17.2.1 </w:t>
      </w:r>
      <w:r>
        <w:rPr>
          <w:rFonts w:hint="eastAsia" w:hAnsi="宋体" w:cs="Times New Roman"/>
          <w:color w:val="auto"/>
          <w:kern w:val="2"/>
          <w:szCs w:val="24"/>
          <w:highlight w:val="none"/>
          <w:lang w:eastAsia="zh-CN"/>
        </w:rPr>
        <w:t>预付款</w:t>
      </w:r>
    </w:p>
    <w:p w14:paraId="374B52CB">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本项约定为： </w:t>
      </w:r>
    </w:p>
    <w:p w14:paraId="43EB089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预付款包括开工预付款和材料、设备预付款。具体额度和预付办法如下：</w:t>
      </w:r>
    </w:p>
    <w:p w14:paraId="5B44FF93">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开工预付款的金额在项目专用合同条款数据表中约定</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在承包人签订了合同协议书且承包人承诺的主要设备进场后，监理人应在当期进度付款证书中向承包</w:t>
      </w:r>
      <w:r>
        <w:rPr>
          <w:rFonts w:hint="eastAsia" w:hAnsi="宋体" w:cs="Times New Roman"/>
          <w:color w:val="auto"/>
          <w:spacing w:val="-1"/>
          <w:kern w:val="2"/>
          <w:szCs w:val="24"/>
          <w:highlight w:val="none"/>
          <w:lang w:eastAsia="zh-CN"/>
        </w:rPr>
        <w:t>人支付开工预付款。</w:t>
      </w:r>
    </w:p>
    <w:p w14:paraId="44D4290F">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承包人不得将该预付款用于与本工程无关的支出，监理人有权监督承包人对该项费用的使用，如经查实承包人滥用开工预付款，发包人有权立即向银行索赔履约</w:t>
      </w:r>
      <w:r>
        <w:rPr>
          <w:rFonts w:hint="eastAsia" w:hAnsi="宋体" w:cs="Times New Roman"/>
          <w:color w:val="auto"/>
          <w:spacing w:val="-1"/>
          <w:kern w:val="2"/>
          <w:szCs w:val="24"/>
          <w:highlight w:val="none"/>
          <w:lang w:eastAsia="zh-CN"/>
        </w:rPr>
        <w:t>保证金，并解除合同。</w:t>
      </w:r>
    </w:p>
    <w:p w14:paraId="4BB2C297">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材料</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设备预付款按项目专用合同条款数据表中所列主要材料</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设备单据费用（进口的材料、设备为到岸价，国内采购的为出厂价或销售价，地方材料为堆</w:t>
      </w:r>
      <w:r>
        <w:rPr>
          <w:rFonts w:hint="eastAsia" w:hAnsi="宋体" w:cs="Times New Roman"/>
          <w:color w:val="auto"/>
          <w:spacing w:val="-1"/>
          <w:kern w:val="2"/>
          <w:szCs w:val="24"/>
          <w:highlight w:val="none"/>
          <w:lang w:eastAsia="zh-CN"/>
        </w:rPr>
        <w:t>场价）的百分比支付。其预付条件为：</w:t>
      </w:r>
    </w:p>
    <w:p w14:paraId="4D9E323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spacing w:val="-1"/>
          <w:kern w:val="2"/>
          <w:szCs w:val="24"/>
          <w:highlight w:val="none"/>
          <w:lang w:eastAsia="zh-CN"/>
        </w:rPr>
        <w:t>a.</w:t>
      </w:r>
      <w:r>
        <w:rPr>
          <w:rFonts w:hint="eastAsia" w:hAnsi="宋体" w:cs="Times New Roman"/>
          <w:color w:val="auto"/>
          <w:kern w:val="2"/>
          <w:szCs w:val="24"/>
          <w:highlight w:val="none"/>
          <w:lang w:eastAsia="zh-CN"/>
        </w:rPr>
        <w:t>材料、设备符合规范要求并经监理人认可；</w:t>
      </w:r>
    </w:p>
    <w:p w14:paraId="7969987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b.  </w:t>
      </w:r>
      <w:r>
        <w:rPr>
          <w:rFonts w:hint="eastAsia" w:hAnsi="宋体" w:cs="Times New Roman"/>
          <w:color w:val="auto"/>
          <w:kern w:val="2"/>
          <w:szCs w:val="24"/>
          <w:highlight w:val="none"/>
          <w:lang w:eastAsia="zh-CN"/>
        </w:rPr>
        <w:t>承包人已出具材料、设备费用凭证或支付单据；</w:t>
      </w:r>
    </w:p>
    <w:p w14:paraId="468544C9">
      <w:pPr>
        <w:widowControl w:val="0"/>
        <w:kinsoku w:val="0"/>
        <w:overflowPunct w:val="0"/>
        <w:adjustRightInd w:val="0"/>
        <w:snapToGrid w:val="0"/>
        <w:spacing w:line="360" w:lineRule="auto"/>
        <w:ind w:firstLine="416" w:firstLineChars="200"/>
        <w:jc w:val="both"/>
        <w:rPr>
          <w:rFonts w:hAnsi="宋体" w:cs="Times New Roman"/>
          <w:color w:val="auto"/>
          <w:kern w:val="2"/>
          <w:szCs w:val="24"/>
          <w:highlight w:val="none"/>
          <w:lang w:eastAsia="zh-CN"/>
        </w:rPr>
      </w:pPr>
      <w:r>
        <w:rPr>
          <w:rFonts w:hAnsi="宋体" w:cs="Times New Roman"/>
          <w:color w:val="auto"/>
          <w:spacing w:val="-1"/>
          <w:kern w:val="2"/>
          <w:szCs w:val="24"/>
          <w:highlight w:val="none"/>
          <w:lang w:eastAsia="zh-CN"/>
        </w:rPr>
        <w:t>c.</w:t>
      </w:r>
      <w:r>
        <w:rPr>
          <w:rFonts w:hint="eastAsia" w:hAnsi="宋体" w:cs="Times New Roman"/>
          <w:color w:val="auto"/>
          <w:spacing w:val="-1"/>
          <w:kern w:val="2"/>
          <w:szCs w:val="24"/>
          <w:highlight w:val="none"/>
          <w:lang w:eastAsia="zh-CN"/>
        </w:rPr>
        <w:t>材料、设备已在现场交货，且存储良好，监理人认为材料、设备的存储方法</w:t>
      </w:r>
      <w:r>
        <w:rPr>
          <w:rFonts w:hint="eastAsia" w:hAnsi="宋体" w:cs="Times New Roman"/>
          <w:color w:val="auto"/>
          <w:kern w:val="2"/>
          <w:szCs w:val="24"/>
          <w:highlight w:val="none"/>
          <w:lang w:eastAsia="zh-CN"/>
        </w:rPr>
        <w:t>符合要求。</w:t>
      </w:r>
    </w:p>
    <w:p w14:paraId="3AA2BBE9">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则监理人应将此项金额作为材料、设备预付款计入下一次的进度付款证书中。</w:t>
      </w:r>
      <w:r>
        <w:rPr>
          <w:rFonts w:hint="eastAsia" w:hAnsi="宋体" w:cs="Times New Roman"/>
          <w:color w:val="auto"/>
          <w:spacing w:val="-1"/>
          <w:kern w:val="2"/>
          <w:szCs w:val="24"/>
          <w:highlight w:val="none"/>
          <w:lang w:eastAsia="zh-CN"/>
        </w:rPr>
        <w:t>在预计交工前</w:t>
      </w:r>
      <w:r>
        <w:rPr>
          <w:rFonts w:hAnsi="宋体" w:cs="Times New Roman"/>
          <w:color w:val="auto"/>
          <w:kern w:val="2"/>
          <w:szCs w:val="24"/>
          <w:highlight w:val="none"/>
          <w:lang w:eastAsia="zh-CN"/>
        </w:rPr>
        <w:t xml:space="preserve">3 </w:t>
      </w:r>
      <w:r>
        <w:rPr>
          <w:rFonts w:hint="eastAsia" w:hAnsi="宋体" w:cs="Times New Roman"/>
          <w:color w:val="auto"/>
          <w:kern w:val="2"/>
          <w:szCs w:val="24"/>
          <w:highlight w:val="none"/>
          <w:lang w:eastAsia="zh-CN"/>
        </w:rPr>
        <w:t>个月，将不再支付材料、设备预付款。</w:t>
      </w:r>
    </w:p>
    <w:p w14:paraId="34A8BBD4">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17.2.2  </w:t>
      </w:r>
      <w:r>
        <w:rPr>
          <w:rFonts w:hint="eastAsia" w:hAnsi="宋体" w:cs="Times New Roman"/>
          <w:color w:val="auto"/>
          <w:kern w:val="2"/>
          <w:szCs w:val="24"/>
          <w:highlight w:val="none"/>
          <w:lang w:eastAsia="zh-CN"/>
        </w:rPr>
        <w:t>预付款保函</w:t>
      </w:r>
    </w:p>
    <w:p w14:paraId="740F5D7F">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本项细化为：承包人无须向发包人提交预付款保函。发包人向承包人支付的预付款，应按照本合同第</w:t>
      </w:r>
      <w:r>
        <w:rPr>
          <w:rFonts w:hAnsi="宋体" w:cs="Times New Roman"/>
          <w:color w:val="auto"/>
          <w:kern w:val="2"/>
          <w:szCs w:val="24"/>
          <w:highlight w:val="none"/>
          <w:lang w:eastAsia="zh-CN"/>
        </w:rPr>
        <w:t>17.2.1</w:t>
      </w:r>
      <w:r>
        <w:rPr>
          <w:rFonts w:hint="eastAsia" w:hAnsi="宋体" w:cs="Times New Roman"/>
          <w:color w:val="auto"/>
          <w:kern w:val="2"/>
          <w:szCs w:val="24"/>
          <w:highlight w:val="none"/>
          <w:lang w:eastAsia="zh-CN"/>
        </w:rPr>
        <w:t>项规定使用，承包人提交的履约保证金对预付款的正常使用承担保</w:t>
      </w:r>
      <w:r>
        <w:rPr>
          <w:rFonts w:hint="eastAsia" w:hAnsi="宋体" w:cs="Times New Roman"/>
          <w:color w:val="auto"/>
          <w:spacing w:val="-1"/>
          <w:kern w:val="2"/>
          <w:szCs w:val="24"/>
          <w:highlight w:val="none"/>
          <w:lang w:eastAsia="zh-CN"/>
        </w:rPr>
        <w:t>证责任。</w:t>
      </w:r>
    </w:p>
    <w:p w14:paraId="7554080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17.2.3  </w:t>
      </w:r>
      <w:r>
        <w:rPr>
          <w:rFonts w:hint="eastAsia" w:hAnsi="宋体" w:cs="Times New Roman"/>
          <w:color w:val="auto"/>
          <w:kern w:val="2"/>
          <w:szCs w:val="24"/>
          <w:highlight w:val="none"/>
          <w:lang w:eastAsia="zh-CN"/>
        </w:rPr>
        <w:t>预付款的扣回与还清</w:t>
      </w:r>
    </w:p>
    <w:p w14:paraId="2CA59A7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本项约定为：</w:t>
      </w:r>
    </w:p>
    <w:p w14:paraId="354A8502">
      <w:pPr>
        <w:widowControl w:val="0"/>
        <w:kinsoku w:val="0"/>
        <w:overflowPunct w:val="0"/>
        <w:adjustRightInd w:val="0"/>
        <w:snapToGrid w:val="0"/>
        <w:spacing w:line="360" w:lineRule="auto"/>
        <w:ind w:firstLine="41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46"/>
          <w:kern w:val="2"/>
          <w:szCs w:val="24"/>
          <w:highlight w:val="none"/>
          <w:lang w:eastAsia="zh-CN"/>
        </w:rPr>
        <w:t>）</w:t>
      </w:r>
      <w:r>
        <w:rPr>
          <w:rFonts w:hint="eastAsia" w:hAnsi="宋体" w:cs="Times New Roman"/>
          <w:color w:val="auto"/>
          <w:kern w:val="2"/>
          <w:szCs w:val="24"/>
          <w:highlight w:val="none"/>
          <w:lang w:eastAsia="zh-CN"/>
        </w:rPr>
        <w:t>开工预付款在进度付款证书的累计金额未达</w:t>
      </w:r>
      <w:r>
        <w:rPr>
          <w:rFonts w:hint="eastAsia" w:hAnsi="宋体" w:cs="Times New Roman"/>
          <w:color w:val="auto"/>
          <w:spacing w:val="1"/>
          <w:kern w:val="2"/>
          <w:szCs w:val="24"/>
          <w:highlight w:val="none"/>
          <w:lang w:eastAsia="zh-CN"/>
        </w:rPr>
        <w:t>到</w:t>
      </w:r>
      <w:r>
        <w:rPr>
          <w:rFonts w:hint="eastAsia" w:hAnsi="宋体" w:cs="Times New Roman"/>
          <w:color w:val="auto"/>
          <w:kern w:val="2"/>
          <w:szCs w:val="24"/>
          <w:highlight w:val="none"/>
          <w:lang w:eastAsia="zh-CN"/>
        </w:rPr>
        <w:t>签约合同价的</w:t>
      </w:r>
      <w:r>
        <w:rPr>
          <w:rFonts w:hAnsi="宋体" w:cs="Times New Roman"/>
          <w:color w:val="auto"/>
          <w:kern w:val="2"/>
          <w:szCs w:val="24"/>
          <w:highlight w:val="none"/>
          <w:lang w:eastAsia="zh-CN"/>
        </w:rPr>
        <w:t>30</w:t>
      </w:r>
      <w:r>
        <w:rPr>
          <w:rFonts w:hAnsi="宋体" w:cs="Times New Roman"/>
          <w:color w:val="auto"/>
          <w:spacing w:val="-1"/>
          <w:kern w:val="2"/>
          <w:szCs w:val="24"/>
          <w:highlight w:val="none"/>
          <w:lang w:eastAsia="zh-CN"/>
        </w:rPr>
        <w:t>%</w:t>
      </w:r>
      <w:r>
        <w:rPr>
          <w:rFonts w:hint="eastAsia" w:hAnsi="宋体" w:cs="Times New Roman"/>
          <w:color w:val="auto"/>
          <w:kern w:val="2"/>
          <w:szCs w:val="24"/>
          <w:highlight w:val="none"/>
          <w:lang w:eastAsia="zh-CN"/>
        </w:rPr>
        <w:t>之前不予</w:t>
      </w:r>
      <w:r>
        <w:rPr>
          <w:rFonts w:hint="eastAsia" w:hAnsi="宋体" w:cs="Times New Roman"/>
          <w:color w:val="auto"/>
          <w:spacing w:val="-1"/>
          <w:kern w:val="2"/>
          <w:szCs w:val="24"/>
          <w:highlight w:val="none"/>
          <w:lang w:eastAsia="zh-CN"/>
        </w:rPr>
        <w:t>扣回，在达到签约合同价</w:t>
      </w:r>
      <w:r>
        <w:rPr>
          <w:rFonts w:hAnsi="宋体" w:cs="Times New Roman"/>
          <w:color w:val="auto"/>
          <w:kern w:val="2"/>
          <w:szCs w:val="24"/>
          <w:highlight w:val="none"/>
          <w:lang w:eastAsia="zh-CN"/>
        </w:rPr>
        <w:t>30%</w:t>
      </w:r>
      <w:r>
        <w:rPr>
          <w:rFonts w:hint="eastAsia" w:hAnsi="宋体" w:cs="Times New Roman"/>
          <w:color w:val="auto"/>
          <w:kern w:val="2"/>
          <w:szCs w:val="24"/>
          <w:highlight w:val="none"/>
          <w:lang w:eastAsia="zh-CN"/>
        </w:rPr>
        <w:t>之后，开始按工程进度以固定比例（即每完成签约合</w:t>
      </w:r>
      <w:r>
        <w:rPr>
          <w:rFonts w:hint="eastAsia" w:hAnsi="宋体" w:cs="Times New Roman"/>
          <w:color w:val="auto"/>
          <w:spacing w:val="-1"/>
          <w:kern w:val="2"/>
          <w:szCs w:val="24"/>
          <w:highlight w:val="none"/>
          <w:lang w:eastAsia="zh-CN"/>
        </w:rPr>
        <w:t>同价的</w:t>
      </w:r>
      <w:r>
        <w:rPr>
          <w:rFonts w:hAnsi="宋体" w:cs="Times New Roman"/>
          <w:color w:val="auto"/>
          <w:spacing w:val="-1"/>
          <w:kern w:val="2"/>
          <w:szCs w:val="24"/>
          <w:highlight w:val="none"/>
          <w:lang w:eastAsia="zh-CN"/>
        </w:rPr>
        <w:t>1%</w:t>
      </w:r>
      <w:r>
        <w:rPr>
          <w:rFonts w:hint="eastAsia" w:hAnsi="宋体" w:cs="Times New Roman"/>
          <w:color w:val="auto"/>
          <w:spacing w:val="-1"/>
          <w:kern w:val="2"/>
          <w:szCs w:val="24"/>
          <w:highlight w:val="none"/>
          <w:lang w:eastAsia="zh-CN"/>
        </w:rPr>
        <w:t>，扣回开工预付款的</w:t>
      </w:r>
      <w:r>
        <w:rPr>
          <w:rFonts w:hAnsi="宋体" w:cs="Times New Roman"/>
          <w:color w:val="auto"/>
          <w:spacing w:val="-1"/>
          <w:kern w:val="2"/>
          <w:szCs w:val="24"/>
          <w:highlight w:val="none"/>
          <w:lang w:eastAsia="zh-CN"/>
        </w:rPr>
        <w:t>2%</w:t>
      </w:r>
      <w:r>
        <w:rPr>
          <w:rFonts w:hint="eastAsia" w:hAnsi="宋体" w:cs="Times New Roman"/>
          <w:color w:val="auto"/>
          <w:spacing w:val="-1"/>
          <w:kern w:val="2"/>
          <w:szCs w:val="24"/>
          <w:highlight w:val="none"/>
          <w:lang w:eastAsia="zh-CN"/>
        </w:rPr>
        <w:t>）分期从各月的进度付款证书中扣回，全部金额</w:t>
      </w:r>
      <w:r>
        <w:rPr>
          <w:rFonts w:hint="eastAsia" w:hAnsi="宋体" w:cs="Times New Roman"/>
          <w:color w:val="auto"/>
          <w:kern w:val="2"/>
          <w:szCs w:val="24"/>
          <w:highlight w:val="none"/>
          <w:lang w:eastAsia="zh-CN"/>
        </w:rPr>
        <w:t>在进度付款证书的累计金额达到签约合同价的</w:t>
      </w:r>
      <w:r>
        <w:rPr>
          <w:rFonts w:hAnsi="宋体" w:cs="Times New Roman"/>
          <w:color w:val="auto"/>
          <w:spacing w:val="-1"/>
          <w:kern w:val="2"/>
          <w:szCs w:val="24"/>
          <w:highlight w:val="none"/>
          <w:lang w:eastAsia="zh-CN"/>
        </w:rPr>
        <w:t>80%</w:t>
      </w:r>
      <w:r>
        <w:rPr>
          <w:rFonts w:hint="eastAsia" w:hAnsi="宋体" w:cs="Times New Roman"/>
          <w:color w:val="auto"/>
          <w:spacing w:val="-1"/>
          <w:kern w:val="2"/>
          <w:szCs w:val="24"/>
          <w:highlight w:val="none"/>
          <w:lang w:eastAsia="zh-CN"/>
        </w:rPr>
        <w:t>时扣完。</w:t>
      </w:r>
    </w:p>
    <w:p w14:paraId="327D1AFA">
      <w:pPr>
        <w:widowControl w:val="0"/>
        <w:kinsoku w:val="0"/>
        <w:overflowPunct w:val="0"/>
        <w:adjustRightInd w:val="0"/>
        <w:snapToGrid w:val="0"/>
        <w:spacing w:line="360" w:lineRule="auto"/>
        <w:ind w:firstLine="419"/>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w:t>
      </w:r>
      <w:r>
        <w:rPr>
          <w:rFonts w:hAnsi="宋体" w:cs="Times New Roman"/>
          <w:color w:val="auto"/>
          <w:spacing w:val="-1"/>
          <w:kern w:val="2"/>
          <w:szCs w:val="24"/>
          <w:highlight w:val="none"/>
          <w:lang w:eastAsia="zh-CN"/>
        </w:rPr>
        <w:t>2</w:t>
      </w:r>
      <w:r>
        <w:rPr>
          <w:rFonts w:hint="eastAsia" w:hAnsi="宋体" w:cs="Times New Roman"/>
          <w:color w:val="auto"/>
          <w:spacing w:val="-1"/>
          <w:kern w:val="2"/>
          <w:szCs w:val="24"/>
          <w:highlight w:val="none"/>
          <w:lang w:eastAsia="zh-CN"/>
        </w:rPr>
        <w:t>）当材料、设备已用于或安装在永久工程之中时，材料、设备预付款应从进</w:t>
      </w:r>
      <w:r>
        <w:rPr>
          <w:rFonts w:hint="eastAsia" w:hAnsi="宋体" w:cs="Times New Roman"/>
          <w:color w:val="auto"/>
          <w:kern w:val="2"/>
          <w:szCs w:val="24"/>
          <w:highlight w:val="none"/>
          <w:lang w:eastAsia="zh-CN"/>
        </w:rPr>
        <w:t>度付款证书中扣回，扣回期不超过</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个月。已经支付材料、设备预付款的材料、设备的所有权应属于发包人。</w:t>
      </w:r>
    </w:p>
    <w:p w14:paraId="1CE3718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8" w:name="bookmark227"/>
      <w:bookmarkEnd w:id="228"/>
      <w:r>
        <w:rPr>
          <w:rFonts w:hAnsi="宋体" w:cs="Times New Roman"/>
          <w:color w:val="auto"/>
          <w:kern w:val="2"/>
          <w:szCs w:val="24"/>
          <w:highlight w:val="none"/>
          <w:lang w:eastAsia="zh-CN"/>
        </w:rPr>
        <w:t>17.3</w:t>
      </w:r>
      <w:r>
        <w:rPr>
          <w:rFonts w:hint="eastAsia" w:hAnsi="宋体" w:cs="Times New Roman"/>
          <w:color w:val="auto"/>
          <w:kern w:val="2"/>
          <w:szCs w:val="24"/>
          <w:highlight w:val="none"/>
          <w:lang w:eastAsia="zh-CN"/>
        </w:rPr>
        <w:t>工程进度付款</w:t>
      </w:r>
    </w:p>
    <w:p w14:paraId="643B0DC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17.3.3  </w:t>
      </w:r>
      <w:r>
        <w:rPr>
          <w:rFonts w:hint="eastAsia" w:hAnsi="宋体" w:cs="Times New Roman"/>
          <w:color w:val="auto"/>
          <w:kern w:val="2"/>
          <w:szCs w:val="24"/>
          <w:highlight w:val="none"/>
          <w:lang w:eastAsia="zh-CN"/>
        </w:rPr>
        <w:t>进度付款证书和支付时间</w:t>
      </w:r>
    </w:p>
    <w:p w14:paraId="3ED2793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 xml:space="preserve">）目补充： </w:t>
      </w:r>
    </w:p>
    <w:p w14:paraId="3E4F15A2">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w:t>
      </w:r>
      <w:r>
        <w:rPr>
          <w:rFonts w:hint="eastAsia" w:hAnsi="宋体" w:cs="Times New Roman"/>
          <w:color w:val="auto"/>
          <w:spacing w:val="-1"/>
          <w:kern w:val="2"/>
          <w:szCs w:val="24"/>
          <w:highlight w:val="none"/>
          <w:lang w:eastAsia="zh-CN"/>
        </w:rPr>
        <w:t>明的进度付款证书的最低金额为止。</w:t>
      </w:r>
    </w:p>
    <w:p w14:paraId="35231F5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 xml:space="preserve">）目细化为： </w:t>
      </w:r>
    </w:p>
    <w:p w14:paraId="2A31247A">
      <w:pPr>
        <w:widowControl w:val="0"/>
        <w:kinsoku w:val="0"/>
        <w:overflowPunct w:val="0"/>
        <w:adjustRightInd w:val="0"/>
        <w:snapToGrid w:val="0"/>
        <w:spacing w:line="360" w:lineRule="auto"/>
        <w:ind w:firstLine="630" w:firstLineChars="3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发包人应在监理人收到进度付款申请单且承包人提交了合格的增值税专用发票后的</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天内，将进度应付款支付给承包人。发包人不按期支付的，按项目专用合同条款数据表中约定的利率向承包人支付逾期付款违约金。违约金计算基数为发包人的全部未付款额，时间从应付而未付该款额之日算</w:t>
      </w:r>
      <w:r>
        <w:rPr>
          <w:rFonts w:hint="eastAsia" w:hAnsi="宋体" w:cs="Times New Roman"/>
          <w:color w:val="auto"/>
          <w:spacing w:val="-1"/>
          <w:kern w:val="2"/>
          <w:szCs w:val="24"/>
          <w:highlight w:val="none"/>
          <w:lang w:eastAsia="zh-CN"/>
        </w:rPr>
        <w:t>起</w:t>
      </w:r>
      <w:r>
        <w:rPr>
          <w:rFonts w:hint="eastAsia" w:hAnsi="宋体" w:cs="Times New Roman"/>
          <w:color w:val="auto"/>
          <w:kern w:val="2"/>
          <w:szCs w:val="24"/>
          <w:highlight w:val="none"/>
          <w:lang w:eastAsia="zh-CN"/>
        </w:rPr>
        <w:t>（不计复利</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w:t>
      </w:r>
    </w:p>
    <w:p w14:paraId="3360C81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17.3.5 </w:t>
      </w:r>
      <w:r>
        <w:rPr>
          <w:rFonts w:hint="eastAsia" w:hAnsi="宋体" w:cs="Times New Roman"/>
          <w:color w:val="auto"/>
          <w:kern w:val="2"/>
          <w:szCs w:val="24"/>
          <w:highlight w:val="none"/>
          <w:lang w:eastAsia="zh-CN"/>
        </w:rPr>
        <w:t>项：</w:t>
      </w:r>
    </w:p>
    <w:p w14:paraId="32CC4330">
      <w:pPr>
        <w:widowControl w:val="0"/>
        <w:kinsoku w:val="0"/>
        <w:overflowPunct w:val="0"/>
        <w:adjustRightInd w:val="0"/>
        <w:snapToGrid w:val="0"/>
        <w:spacing w:line="360" w:lineRule="auto"/>
        <w:ind w:firstLine="420" w:firstLineChars="200"/>
        <w:jc w:val="both"/>
        <w:rPr>
          <w:rFonts w:hint="eastAsia" w:hAnsi="宋体" w:cs="Times New Roman"/>
          <w:color w:val="auto"/>
          <w:kern w:val="2"/>
          <w:szCs w:val="24"/>
          <w:highlight w:val="none"/>
          <w:lang w:eastAsia="zh-CN"/>
        </w:rPr>
      </w:pPr>
      <w:r>
        <w:rPr>
          <w:rFonts w:hAnsi="宋体" w:cs="Times New Roman"/>
          <w:color w:val="auto"/>
          <w:kern w:val="2"/>
          <w:szCs w:val="24"/>
          <w:highlight w:val="none"/>
          <w:lang w:eastAsia="zh-CN"/>
        </w:rPr>
        <w:t xml:space="preserve">17.3.5  </w:t>
      </w:r>
      <w:r>
        <w:rPr>
          <w:rFonts w:hint="eastAsia" w:hAnsi="宋体" w:cs="Times New Roman"/>
          <w:color w:val="auto"/>
          <w:kern w:val="2"/>
          <w:szCs w:val="24"/>
          <w:highlight w:val="none"/>
          <w:lang w:eastAsia="zh-CN"/>
        </w:rPr>
        <w:t>农民工工资保证金</w:t>
      </w:r>
    </w:p>
    <w:p w14:paraId="5CF5942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为确保施工过程中农民工工资实时</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足额发放到位</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承包人应按照项目专用合同条款约定的时间和金额缴存农民工工资保证金。</w:t>
      </w:r>
    </w:p>
    <w:p w14:paraId="426D36A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）农民工工资保证金可采用银行保函或现金、支票形式。采用银行保函时，出具保函的银行须具有相应担保能力，且按照发包人批准的格式出具，所需费用由承包人承担。</w:t>
      </w:r>
    </w:p>
    <w:p w14:paraId="393ECF76">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（3）农民工工资保证金的扣留条件、返还时间按照项目专用合同条款的约定执行。</w:t>
      </w:r>
    </w:p>
    <w:p w14:paraId="411A078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29" w:name="bookmark228"/>
      <w:bookmarkEnd w:id="229"/>
      <w:r>
        <w:rPr>
          <w:rFonts w:hAnsi="宋体" w:cs="Times New Roman"/>
          <w:color w:val="auto"/>
          <w:kern w:val="2"/>
          <w:szCs w:val="24"/>
          <w:highlight w:val="none"/>
          <w:lang w:eastAsia="zh-CN"/>
        </w:rPr>
        <w:t>17.4</w:t>
      </w:r>
      <w:r>
        <w:rPr>
          <w:rFonts w:hint="eastAsia" w:hAnsi="宋体" w:cs="Times New Roman"/>
          <w:color w:val="auto"/>
          <w:kern w:val="2"/>
          <w:szCs w:val="24"/>
          <w:highlight w:val="none"/>
          <w:lang w:eastAsia="zh-CN"/>
        </w:rPr>
        <w:t>质量保证金</w:t>
      </w:r>
    </w:p>
    <w:p w14:paraId="63864EA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17.4.1 </w:t>
      </w:r>
      <w:r>
        <w:rPr>
          <w:rFonts w:hint="eastAsia" w:hAnsi="宋体" w:cs="Times New Roman"/>
          <w:color w:val="auto"/>
          <w:kern w:val="2"/>
          <w:szCs w:val="24"/>
          <w:highlight w:val="none"/>
          <w:lang w:eastAsia="zh-CN"/>
        </w:rPr>
        <w:t>项、第</w:t>
      </w:r>
      <w:r>
        <w:rPr>
          <w:rFonts w:hAnsi="宋体" w:cs="Times New Roman"/>
          <w:color w:val="auto"/>
          <w:kern w:val="2"/>
          <w:szCs w:val="24"/>
          <w:highlight w:val="none"/>
          <w:lang w:eastAsia="zh-CN"/>
        </w:rPr>
        <w:t xml:space="preserve">17.4.2 </w:t>
      </w:r>
      <w:r>
        <w:rPr>
          <w:rFonts w:hint="eastAsia" w:hAnsi="宋体" w:cs="Times New Roman"/>
          <w:color w:val="auto"/>
          <w:kern w:val="2"/>
          <w:szCs w:val="24"/>
          <w:highlight w:val="none"/>
          <w:lang w:eastAsia="zh-CN"/>
        </w:rPr>
        <w:t>项细化为：</w:t>
      </w:r>
    </w:p>
    <w:p w14:paraId="667D7B67">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Ansi="宋体" w:cs="Times New Roman"/>
          <w:color w:val="auto"/>
          <w:kern w:val="2"/>
          <w:szCs w:val="24"/>
          <w:highlight w:val="none"/>
          <w:lang w:eastAsia="zh-CN"/>
        </w:rPr>
        <w:t xml:space="preserve">17.4.1 </w:t>
      </w:r>
      <w:r>
        <w:rPr>
          <w:rFonts w:hint="eastAsia" w:hAnsi="宋体" w:cs="Times New Roman"/>
          <w:b/>
          <w:color w:val="auto"/>
          <w:kern w:val="2"/>
          <w:szCs w:val="24"/>
          <w:highlight w:val="none"/>
          <w:lang w:eastAsia="zh-CN"/>
        </w:rPr>
        <w:t>交工验收证书签发后</w:t>
      </w:r>
      <w:r>
        <w:rPr>
          <w:rFonts w:hAnsi="宋体" w:cs="Times New Roman"/>
          <w:b/>
          <w:color w:val="auto"/>
          <w:kern w:val="2"/>
          <w:szCs w:val="24"/>
          <w:highlight w:val="none"/>
          <w:lang w:eastAsia="zh-CN"/>
        </w:rPr>
        <w:t xml:space="preserve">14 </w:t>
      </w:r>
      <w:r>
        <w:rPr>
          <w:rFonts w:hint="eastAsia" w:hAnsi="宋体" w:cs="Times New Roman"/>
          <w:b/>
          <w:color w:val="auto"/>
          <w:kern w:val="2"/>
          <w:szCs w:val="24"/>
          <w:highlight w:val="none"/>
          <w:lang w:eastAsia="zh-CN"/>
        </w:rPr>
        <w:t>天内</w:t>
      </w:r>
      <w:r>
        <w:rPr>
          <w:rFonts w:hint="eastAsia" w:hAnsi="宋体" w:cs="Times New Roman"/>
          <w:b/>
          <w:color w:val="auto"/>
          <w:spacing w:val="-44"/>
          <w:kern w:val="2"/>
          <w:szCs w:val="24"/>
          <w:highlight w:val="none"/>
          <w:lang w:eastAsia="zh-CN"/>
        </w:rPr>
        <w:t>，</w:t>
      </w:r>
      <w:r>
        <w:rPr>
          <w:rFonts w:hint="eastAsia" w:hAnsi="宋体" w:cs="Times New Roman"/>
          <w:b/>
          <w:color w:val="auto"/>
          <w:kern w:val="2"/>
          <w:szCs w:val="24"/>
          <w:highlight w:val="none"/>
          <w:lang w:eastAsia="zh-CN"/>
        </w:rPr>
        <w:t>承包人应向发包人缴纳质量保证金</w:t>
      </w:r>
      <w:r>
        <w:rPr>
          <w:rFonts w:hint="eastAsia" w:hAnsi="宋体" w:cs="Times New Roman"/>
          <w:b/>
          <w:color w:val="auto"/>
          <w:spacing w:val="-44"/>
          <w:kern w:val="2"/>
          <w:szCs w:val="24"/>
          <w:highlight w:val="none"/>
          <w:lang w:eastAsia="zh-CN"/>
        </w:rPr>
        <w:t>。</w:t>
      </w:r>
      <w:r>
        <w:rPr>
          <w:rFonts w:hint="eastAsia" w:hAnsi="宋体" w:cs="Times New Roman"/>
          <w:color w:val="auto"/>
          <w:kern w:val="2"/>
          <w:szCs w:val="24"/>
          <w:highlight w:val="none"/>
          <w:lang w:eastAsia="zh-CN"/>
        </w:rPr>
        <w:t>质量保证金可采用银行保函或现金、支票形式，金额应符合项目专用合同条款数据表的规定。采用银行保函时，出具保函的银行须具有相应担保能力，且按照发包人批准</w:t>
      </w:r>
      <w:r>
        <w:rPr>
          <w:rFonts w:hint="eastAsia" w:hAnsi="宋体" w:cs="Times New Roman"/>
          <w:color w:val="auto"/>
          <w:spacing w:val="-1"/>
          <w:kern w:val="2"/>
          <w:szCs w:val="24"/>
          <w:highlight w:val="none"/>
          <w:lang w:eastAsia="zh-CN"/>
        </w:rPr>
        <w:t>的格式出具，所需费用由承包人承担。</w:t>
      </w:r>
    </w:p>
    <w:p w14:paraId="6DC6DFC3">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质量保证金采用现金、支票形式提交的，发包人应在项目专用合同条款数据表</w:t>
      </w:r>
      <w:r>
        <w:rPr>
          <w:rFonts w:hint="eastAsia" w:hAnsi="宋体" w:cs="Times New Roman"/>
          <w:color w:val="auto"/>
          <w:spacing w:val="-1"/>
          <w:kern w:val="2"/>
          <w:szCs w:val="24"/>
          <w:highlight w:val="none"/>
          <w:lang w:eastAsia="zh-CN"/>
        </w:rPr>
        <w:t>中明确是否计付利息以及利息的计算方式。</w:t>
      </w:r>
    </w:p>
    <w:p w14:paraId="7E18A35E">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17.4.2  </w:t>
      </w:r>
      <w:r>
        <w:rPr>
          <w:rFonts w:hint="eastAsia" w:hAnsi="宋体" w:cs="Times New Roman"/>
          <w:color w:val="auto"/>
          <w:kern w:val="2"/>
          <w:szCs w:val="24"/>
          <w:highlight w:val="none"/>
          <w:lang w:eastAsia="zh-CN"/>
        </w:rPr>
        <w:t>在第</w:t>
      </w:r>
      <w:r>
        <w:rPr>
          <w:rFonts w:hAnsi="宋体" w:cs="Times New Roman"/>
          <w:color w:val="auto"/>
          <w:kern w:val="2"/>
          <w:szCs w:val="24"/>
          <w:highlight w:val="none"/>
          <w:lang w:eastAsia="zh-CN"/>
        </w:rPr>
        <w:t xml:space="preserve">1.1.4.5 </w:t>
      </w:r>
      <w:r>
        <w:rPr>
          <w:rFonts w:hint="eastAsia" w:hAnsi="宋体" w:cs="Times New Roman"/>
          <w:color w:val="auto"/>
          <w:kern w:val="2"/>
          <w:szCs w:val="24"/>
          <w:highlight w:val="none"/>
          <w:lang w:eastAsia="zh-CN"/>
        </w:rPr>
        <w:t>目约定的缺陷责任期满</w:t>
      </w:r>
      <w:r>
        <w:rPr>
          <w:rFonts w:hint="eastAsia" w:hAnsi="宋体" w:cs="Times New Roman"/>
          <w:color w:val="auto"/>
          <w:spacing w:val="-24"/>
          <w:kern w:val="2"/>
          <w:szCs w:val="24"/>
          <w:highlight w:val="none"/>
          <w:lang w:eastAsia="zh-CN"/>
        </w:rPr>
        <w:t>，</w:t>
      </w:r>
      <w:r>
        <w:rPr>
          <w:rFonts w:hint="eastAsia" w:hAnsi="宋体" w:cs="Times New Roman"/>
          <w:color w:val="auto"/>
          <w:kern w:val="2"/>
          <w:szCs w:val="24"/>
          <w:highlight w:val="none"/>
          <w:lang w:eastAsia="zh-CN"/>
        </w:rPr>
        <w:t>且质量监督机构已按规定对工程质量检测鉴定合格，承包人向发包人申请到期应返还承包人剩余的质量保证金金额，发包人应在</w:t>
      </w:r>
      <w:r>
        <w:rPr>
          <w:rFonts w:hAnsi="宋体" w:cs="Times New Roman"/>
          <w:color w:val="auto"/>
          <w:kern w:val="2"/>
          <w:szCs w:val="24"/>
          <w:highlight w:val="none"/>
          <w:lang w:eastAsia="zh-CN"/>
        </w:rPr>
        <w:t xml:space="preserve">14 </w:t>
      </w:r>
      <w:r>
        <w:rPr>
          <w:rFonts w:hint="eastAsia" w:hAnsi="宋体" w:cs="Times New Roman"/>
          <w:color w:val="auto"/>
          <w:kern w:val="2"/>
          <w:szCs w:val="24"/>
          <w:highlight w:val="none"/>
          <w:lang w:eastAsia="zh-CN"/>
        </w:rPr>
        <w:t>天内会同承包人按照合同约定的内容核实承包人是否完成缺陷责任。如无异议，发包人应当在核实后将剩余保证金返还承包人。</w:t>
      </w:r>
    </w:p>
    <w:p w14:paraId="2319E0B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0" w:name="bookmark229"/>
      <w:bookmarkEnd w:id="230"/>
      <w:r>
        <w:rPr>
          <w:rFonts w:hAnsi="宋体" w:cs="Times New Roman"/>
          <w:color w:val="auto"/>
          <w:kern w:val="2"/>
          <w:szCs w:val="24"/>
          <w:highlight w:val="none"/>
          <w:lang w:eastAsia="zh-CN"/>
        </w:rPr>
        <w:t>17.5</w:t>
      </w:r>
      <w:r>
        <w:rPr>
          <w:rFonts w:hint="eastAsia" w:hAnsi="宋体" w:cs="Times New Roman"/>
          <w:color w:val="auto"/>
          <w:kern w:val="2"/>
          <w:szCs w:val="24"/>
          <w:highlight w:val="none"/>
          <w:lang w:eastAsia="zh-CN"/>
        </w:rPr>
        <w:t>交工结算</w:t>
      </w:r>
    </w:p>
    <w:p w14:paraId="63A7E654">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17.5.1  </w:t>
      </w:r>
      <w:r>
        <w:rPr>
          <w:rFonts w:hint="eastAsia" w:hAnsi="宋体" w:cs="Times New Roman"/>
          <w:color w:val="auto"/>
          <w:kern w:val="2"/>
          <w:szCs w:val="24"/>
          <w:highlight w:val="none"/>
          <w:lang w:eastAsia="zh-CN"/>
        </w:rPr>
        <w:t>交工付款申请单</w:t>
      </w:r>
    </w:p>
    <w:p w14:paraId="1EAED66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 xml:space="preserve">）目约定为： </w:t>
      </w:r>
    </w:p>
    <w:p w14:paraId="628A4774">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承包人向监理人提交交工付款申请单（包括相关证明材料）的份数在项目专用</w:t>
      </w:r>
      <w:r>
        <w:rPr>
          <w:rFonts w:hint="eastAsia" w:hAnsi="宋体" w:cs="Times New Roman"/>
          <w:color w:val="auto"/>
          <w:spacing w:val="-1"/>
          <w:kern w:val="2"/>
          <w:szCs w:val="24"/>
          <w:highlight w:val="none"/>
          <w:lang w:eastAsia="zh-CN"/>
        </w:rPr>
        <w:t>合同条款数据表中约定；期限：交工验收证书签发后</w:t>
      </w:r>
      <w:r>
        <w:rPr>
          <w:rFonts w:hAnsi="宋体" w:cs="Times New Roman"/>
          <w:color w:val="auto"/>
          <w:kern w:val="2"/>
          <w:szCs w:val="24"/>
          <w:highlight w:val="none"/>
          <w:lang w:eastAsia="zh-CN"/>
        </w:rPr>
        <w:t xml:space="preserve">42 </w:t>
      </w:r>
      <w:r>
        <w:rPr>
          <w:rFonts w:hint="eastAsia" w:hAnsi="宋体" w:cs="Times New Roman"/>
          <w:color w:val="auto"/>
          <w:kern w:val="2"/>
          <w:szCs w:val="24"/>
          <w:highlight w:val="none"/>
          <w:lang w:eastAsia="zh-CN"/>
        </w:rPr>
        <w:t>天内。</w:t>
      </w:r>
    </w:p>
    <w:p w14:paraId="337F2A2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17.5.2  </w:t>
      </w:r>
      <w:r>
        <w:rPr>
          <w:rFonts w:hint="eastAsia" w:hAnsi="宋体" w:cs="Times New Roman"/>
          <w:color w:val="auto"/>
          <w:kern w:val="2"/>
          <w:szCs w:val="24"/>
          <w:highlight w:val="none"/>
          <w:lang w:eastAsia="zh-CN"/>
        </w:rPr>
        <w:t>交工付款证书及支付时间</w:t>
      </w:r>
    </w:p>
    <w:p w14:paraId="3907AF2D">
      <w:pPr>
        <w:widowControl w:val="0"/>
        <w:kinsoku w:val="0"/>
        <w:overflowPunct w:val="0"/>
        <w:adjustRightInd w:val="0"/>
        <w:snapToGrid w:val="0"/>
        <w:spacing w:line="360" w:lineRule="auto"/>
        <w:ind w:hanging="1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 xml:space="preserve">）目细化为： </w:t>
      </w:r>
    </w:p>
    <w:p w14:paraId="3C30C10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发包人应在监理人出具交工付款证书且承包人提交了合格的增值税专用发票后的</w:t>
      </w:r>
      <w:r>
        <w:rPr>
          <w:rFonts w:hAnsi="宋体" w:cs="Times New Roman"/>
          <w:color w:val="auto"/>
          <w:kern w:val="2"/>
          <w:szCs w:val="24"/>
          <w:highlight w:val="none"/>
          <w:lang w:eastAsia="zh-CN"/>
        </w:rPr>
        <w:t>14</w:t>
      </w:r>
      <w:r>
        <w:rPr>
          <w:rFonts w:hint="eastAsia" w:hAnsi="宋体" w:cs="Times New Roman"/>
          <w:color w:val="auto"/>
          <w:kern w:val="2"/>
          <w:szCs w:val="24"/>
          <w:highlight w:val="none"/>
          <w:lang w:eastAsia="zh-CN"/>
        </w:rPr>
        <w:t>天内，将应支付款支付给承包人。发包人不按期支付的，按第</w:t>
      </w:r>
      <w:r>
        <w:rPr>
          <w:rFonts w:hAnsi="宋体" w:cs="Times New Roman"/>
          <w:color w:val="auto"/>
          <w:kern w:val="2"/>
          <w:szCs w:val="24"/>
          <w:highlight w:val="none"/>
          <w:lang w:eastAsia="zh-CN"/>
        </w:rPr>
        <w:t>17.3.3</w:t>
      </w: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）目 的约定，将逾期付款违约金支付给承包人。</w:t>
      </w:r>
    </w:p>
    <w:p w14:paraId="66DE063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1" w:name="bookmark230"/>
      <w:bookmarkEnd w:id="231"/>
      <w:r>
        <w:rPr>
          <w:rFonts w:hAnsi="宋体" w:cs="Times New Roman"/>
          <w:color w:val="auto"/>
          <w:kern w:val="2"/>
          <w:szCs w:val="24"/>
          <w:highlight w:val="none"/>
          <w:lang w:eastAsia="zh-CN"/>
        </w:rPr>
        <w:t>17.6</w:t>
      </w:r>
      <w:r>
        <w:rPr>
          <w:rFonts w:hint="eastAsia" w:hAnsi="宋体" w:cs="Times New Roman"/>
          <w:color w:val="auto"/>
          <w:kern w:val="2"/>
          <w:szCs w:val="24"/>
          <w:highlight w:val="none"/>
          <w:lang w:eastAsia="zh-CN"/>
        </w:rPr>
        <w:t>最终结清</w:t>
      </w:r>
    </w:p>
    <w:p w14:paraId="0E1222C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17.6.1  </w:t>
      </w:r>
      <w:r>
        <w:rPr>
          <w:rFonts w:hint="eastAsia" w:hAnsi="宋体" w:cs="Times New Roman"/>
          <w:color w:val="auto"/>
          <w:kern w:val="2"/>
          <w:szCs w:val="24"/>
          <w:highlight w:val="none"/>
          <w:lang w:eastAsia="zh-CN"/>
        </w:rPr>
        <w:t>最终结清申请单</w:t>
      </w:r>
    </w:p>
    <w:p w14:paraId="2D27552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 xml:space="preserve">）目约定为： </w:t>
      </w:r>
    </w:p>
    <w:p w14:paraId="6B597267">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承包人向监理人提交最终结清申请单（包括相关证明材料）的份数在项目专用</w:t>
      </w:r>
      <w:r>
        <w:rPr>
          <w:rFonts w:hint="eastAsia" w:hAnsi="宋体" w:cs="Times New Roman"/>
          <w:color w:val="auto"/>
          <w:spacing w:val="-1"/>
          <w:kern w:val="2"/>
          <w:szCs w:val="24"/>
          <w:highlight w:val="none"/>
          <w:lang w:eastAsia="zh-CN"/>
        </w:rPr>
        <w:t>合同条款数据表中约定；期限：缺陷责任期终止证书签发后</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天内。最终结清申请单中的总金额应认为是代表了根据合同规定应付给承包人的全部</w:t>
      </w:r>
      <w:r>
        <w:rPr>
          <w:rFonts w:hint="eastAsia" w:hAnsi="宋体" w:cs="Times New Roman"/>
          <w:color w:val="auto"/>
          <w:spacing w:val="-1"/>
          <w:kern w:val="2"/>
          <w:szCs w:val="24"/>
          <w:highlight w:val="none"/>
          <w:lang w:eastAsia="zh-CN"/>
        </w:rPr>
        <w:t>款项的最后结算。</w:t>
      </w:r>
    </w:p>
    <w:p w14:paraId="3C1B139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17.6.2  </w:t>
      </w:r>
      <w:r>
        <w:rPr>
          <w:rFonts w:hint="eastAsia" w:hAnsi="宋体" w:cs="Times New Roman"/>
          <w:color w:val="auto"/>
          <w:kern w:val="2"/>
          <w:szCs w:val="24"/>
          <w:highlight w:val="none"/>
          <w:lang w:eastAsia="zh-CN"/>
        </w:rPr>
        <w:t>最终结清证书和支付时间</w:t>
      </w:r>
    </w:p>
    <w:p w14:paraId="1A4F659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）目细化为：</w:t>
      </w:r>
    </w:p>
    <w:p w14:paraId="39CD830B">
      <w:pPr>
        <w:widowControl w:val="0"/>
        <w:kinsoku w:val="0"/>
        <w:overflowPunct w:val="0"/>
        <w:adjustRightInd w:val="0"/>
        <w:snapToGrid w:val="0"/>
        <w:spacing w:line="360" w:lineRule="auto"/>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（2）发包人应在监理人出具最终结清证书且承包人提交了合格的增值税专用发票后的14 天内，将应支付款支付给承包人。发包人不按期支付的，按第17.3.3（2）目的约定，将逾期付款违约金支付给承包人。</w:t>
      </w:r>
    </w:p>
    <w:p w14:paraId="3AB9184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2" w:name="bookmark231"/>
      <w:bookmarkEnd w:id="232"/>
      <w:r>
        <w:rPr>
          <w:rFonts w:hAnsi="宋体" w:cs="Times New Roman"/>
          <w:color w:val="auto"/>
          <w:kern w:val="2"/>
          <w:szCs w:val="24"/>
          <w:highlight w:val="none"/>
          <w:lang w:eastAsia="zh-CN"/>
        </w:rPr>
        <w:t>18.</w:t>
      </w:r>
      <w:r>
        <w:rPr>
          <w:rFonts w:hint="eastAsia" w:hAnsi="宋体" w:cs="Times New Roman"/>
          <w:color w:val="auto"/>
          <w:kern w:val="2"/>
          <w:szCs w:val="24"/>
          <w:highlight w:val="none"/>
          <w:lang w:eastAsia="zh-CN"/>
        </w:rPr>
        <w:t>交工验收</w:t>
      </w:r>
    </w:p>
    <w:p w14:paraId="1CC24F0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3" w:name="bookmark232"/>
      <w:bookmarkEnd w:id="233"/>
      <w:r>
        <w:rPr>
          <w:rFonts w:hAnsi="宋体" w:cs="Times New Roman"/>
          <w:color w:val="auto"/>
          <w:kern w:val="2"/>
          <w:szCs w:val="24"/>
          <w:highlight w:val="none"/>
          <w:lang w:eastAsia="zh-CN"/>
        </w:rPr>
        <w:t>18.2</w:t>
      </w:r>
      <w:r>
        <w:rPr>
          <w:rFonts w:hint="eastAsia" w:hAnsi="宋体" w:cs="Times New Roman"/>
          <w:color w:val="auto"/>
          <w:kern w:val="2"/>
          <w:szCs w:val="24"/>
          <w:highlight w:val="none"/>
          <w:lang w:eastAsia="zh-CN"/>
        </w:rPr>
        <w:t>交工验收申请报告</w:t>
      </w:r>
    </w:p>
    <w:p w14:paraId="268698A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本款第（</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 xml:space="preserve">）项约定为： </w:t>
      </w:r>
    </w:p>
    <w:p w14:paraId="41EF77F1">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竣工资料的内容：承包人应按照《公路工程竣（交）工验收办法》和相关规定</w:t>
      </w:r>
      <w:r>
        <w:rPr>
          <w:rFonts w:hint="eastAsia" w:hAnsi="宋体" w:cs="Times New Roman"/>
          <w:color w:val="auto"/>
          <w:spacing w:val="-1"/>
          <w:kern w:val="2"/>
          <w:szCs w:val="24"/>
          <w:highlight w:val="none"/>
          <w:lang w:eastAsia="zh-CN"/>
        </w:rPr>
        <w:t>编制竣工资料。</w:t>
      </w:r>
      <w:r>
        <w:rPr>
          <w:rFonts w:hint="eastAsia" w:hAnsi="宋体" w:cs="Times New Roman"/>
          <w:color w:val="auto"/>
          <w:kern w:val="2"/>
          <w:szCs w:val="24"/>
          <w:highlight w:val="none"/>
          <w:lang w:eastAsia="zh-CN"/>
        </w:rPr>
        <w:t>竣工资料的份数在项目专用合同条款数据表中约定。</w:t>
      </w:r>
    </w:p>
    <w:p w14:paraId="743C1ED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4" w:name="bookmark233"/>
      <w:bookmarkEnd w:id="234"/>
      <w:r>
        <w:rPr>
          <w:rFonts w:hAnsi="宋体" w:cs="Times New Roman"/>
          <w:color w:val="auto"/>
          <w:kern w:val="2"/>
          <w:szCs w:val="24"/>
          <w:highlight w:val="none"/>
          <w:lang w:eastAsia="zh-CN"/>
        </w:rPr>
        <w:t>18.3</w:t>
      </w:r>
      <w:r>
        <w:rPr>
          <w:rFonts w:hint="eastAsia" w:hAnsi="宋体" w:cs="Times New Roman"/>
          <w:color w:val="auto"/>
          <w:kern w:val="2"/>
          <w:szCs w:val="24"/>
          <w:highlight w:val="none"/>
          <w:lang w:eastAsia="zh-CN"/>
        </w:rPr>
        <w:t>验收</w:t>
      </w:r>
    </w:p>
    <w:p w14:paraId="3C63EDA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18.3.2 </w:t>
      </w:r>
      <w:r>
        <w:rPr>
          <w:rFonts w:hint="eastAsia" w:hAnsi="宋体" w:cs="Times New Roman"/>
          <w:color w:val="auto"/>
          <w:kern w:val="2"/>
          <w:szCs w:val="24"/>
          <w:highlight w:val="none"/>
          <w:lang w:eastAsia="zh-CN"/>
        </w:rPr>
        <w:t xml:space="preserve">项补充： </w:t>
      </w:r>
    </w:p>
    <w:p w14:paraId="392CCAFD">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w:t>
      </w:r>
      <w:r>
        <w:rPr>
          <w:rFonts w:hint="eastAsia" w:hAnsi="宋体" w:cs="Times New Roman"/>
          <w:color w:val="auto"/>
          <w:spacing w:val="-1"/>
          <w:kern w:val="2"/>
          <w:szCs w:val="24"/>
          <w:highlight w:val="none"/>
          <w:lang w:eastAsia="zh-CN"/>
        </w:rPr>
        <w:t>成交工验收准备工作。</w:t>
      </w:r>
    </w:p>
    <w:p w14:paraId="485BA43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18.3.5 </w:t>
      </w:r>
      <w:r>
        <w:rPr>
          <w:rFonts w:hint="eastAsia" w:hAnsi="宋体" w:cs="Times New Roman"/>
          <w:color w:val="auto"/>
          <w:kern w:val="2"/>
          <w:szCs w:val="24"/>
          <w:highlight w:val="none"/>
          <w:lang w:eastAsia="zh-CN"/>
        </w:rPr>
        <w:t xml:space="preserve">项约定为： </w:t>
      </w:r>
    </w:p>
    <w:p w14:paraId="1D4DE0B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经验收合格工程的实际交工日期，以最终提交交工验收申请报告的日期为准，</w:t>
      </w:r>
      <w:r>
        <w:rPr>
          <w:rFonts w:hint="eastAsia" w:hAnsi="宋体" w:cs="Times New Roman"/>
          <w:color w:val="auto"/>
          <w:spacing w:val="-1"/>
          <w:kern w:val="2"/>
          <w:szCs w:val="24"/>
          <w:highlight w:val="none"/>
          <w:lang w:eastAsia="zh-CN"/>
        </w:rPr>
        <w:t>并在交工验收证书中写明。</w:t>
      </w:r>
    </w:p>
    <w:p w14:paraId="50F8497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本款补充第</w:t>
      </w:r>
      <w:r>
        <w:rPr>
          <w:rFonts w:hAnsi="宋体" w:cs="Times New Roman"/>
          <w:color w:val="auto"/>
          <w:kern w:val="2"/>
          <w:szCs w:val="24"/>
          <w:highlight w:val="none"/>
          <w:lang w:eastAsia="zh-CN"/>
        </w:rPr>
        <w:t xml:space="preserve">18.3.7 </w:t>
      </w:r>
      <w:r>
        <w:rPr>
          <w:rFonts w:hint="eastAsia" w:hAnsi="宋体" w:cs="Times New Roman"/>
          <w:color w:val="auto"/>
          <w:kern w:val="2"/>
          <w:szCs w:val="24"/>
          <w:highlight w:val="none"/>
          <w:lang w:eastAsia="zh-CN"/>
        </w:rPr>
        <w:t>项：</w:t>
      </w:r>
    </w:p>
    <w:p w14:paraId="2943103F">
      <w:pPr>
        <w:widowControl w:val="0"/>
        <w:kinsoku w:val="0"/>
        <w:overflowPunct w:val="0"/>
        <w:adjustRightInd w:val="0"/>
        <w:snapToGrid w:val="0"/>
        <w:spacing w:line="360" w:lineRule="auto"/>
        <w:ind w:firstLine="424" w:firstLineChars="200"/>
        <w:jc w:val="both"/>
        <w:rPr>
          <w:rFonts w:hAnsi="宋体" w:cs="Times New Roman"/>
          <w:color w:val="auto"/>
          <w:spacing w:val="-1"/>
          <w:kern w:val="2"/>
          <w:szCs w:val="24"/>
          <w:highlight w:val="none"/>
          <w:lang w:eastAsia="zh-CN"/>
        </w:rPr>
      </w:pPr>
      <w:r>
        <w:rPr>
          <w:rFonts w:hint="eastAsia" w:hAnsi="宋体" w:cs="Times New Roman"/>
          <w:color w:val="auto"/>
          <w:spacing w:val="1"/>
          <w:kern w:val="2"/>
          <w:szCs w:val="24"/>
          <w:highlight w:val="none"/>
          <w:lang w:eastAsia="zh-CN"/>
        </w:rPr>
        <w:t>组织办理交工验收和签发交工验收证书的费用由发包人承担。但按照第</w:t>
      </w:r>
      <w:r>
        <w:rPr>
          <w:rFonts w:hAnsi="宋体" w:cs="Times New Roman"/>
          <w:color w:val="auto"/>
          <w:kern w:val="2"/>
          <w:szCs w:val="24"/>
          <w:highlight w:val="none"/>
          <w:lang w:eastAsia="zh-CN"/>
        </w:rPr>
        <w:t>18.3.4</w:t>
      </w:r>
      <w:r>
        <w:rPr>
          <w:rFonts w:hint="eastAsia" w:hAnsi="宋体" w:cs="Times New Roman"/>
          <w:color w:val="auto"/>
          <w:spacing w:val="-1"/>
          <w:kern w:val="2"/>
          <w:szCs w:val="24"/>
          <w:highlight w:val="none"/>
          <w:lang w:eastAsia="zh-CN"/>
        </w:rPr>
        <w:t>项规定达不到合格标准的交工验收费用由承包人承担。</w:t>
      </w:r>
    </w:p>
    <w:p w14:paraId="64B76C1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本条补充第</w:t>
      </w:r>
      <w:r>
        <w:rPr>
          <w:rFonts w:hAnsi="宋体" w:cs="Times New Roman"/>
          <w:color w:val="auto"/>
          <w:kern w:val="2"/>
          <w:szCs w:val="24"/>
          <w:highlight w:val="none"/>
          <w:lang w:eastAsia="zh-CN"/>
        </w:rPr>
        <w:t xml:space="preserve">18.9 </w:t>
      </w:r>
      <w:r>
        <w:rPr>
          <w:rFonts w:hint="eastAsia" w:hAnsi="宋体" w:cs="Times New Roman"/>
          <w:color w:val="auto"/>
          <w:kern w:val="2"/>
          <w:szCs w:val="24"/>
          <w:highlight w:val="none"/>
          <w:lang w:eastAsia="zh-CN"/>
        </w:rPr>
        <w:t>款：</w:t>
      </w:r>
    </w:p>
    <w:p w14:paraId="74CDB55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5" w:name="bookmark234"/>
      <w:bookmarkEnd w:id="235"/>
      <w:r>
        <w:rPr>
          <w:rFonts w:hAnsi="宋体" w:cs="Times New Roman"/>
          <w:color w:val="auto"/>
          <w:kern w:val="2"/>
          <w:szCs w:val="24"/>
          <w:highlight w:val="none"/>
          <w:lang w:eastAsia="zh-CN"/>
        </w:rPr>
        <w:t>18.9</w:t>
      </w:r>
      <w:r>
        <w:rPr>
          <w:rFonts w:hint="eastAsia" w:hAnsi="宋体" w:cs="Times New Roman"/>
          <w:color w:val="auto"/>
          <w:kern w:val="2"/>
          <w:szCs w:val="24"/>
          <w:highlight w:val="none"/>
          <w:lang w:eastAsia="zh-CN"/>
        </w:rPr>
        <w:t>竣工文件</w:t>
      </w:r>
    </w:p>
    <w:p w14:paraId="3FBB8CE6">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承包人应按照《公路工程竣（交）工验收办法》的相关规定，在缺陷责任期内</w:t>
      </w:r>
      <w:r>
        <w:rPr>
          <w:rFonts w:hint="eastAsia" w:hAnsi="宋体" w:cs="Times New Roman"/>
          <w:color w:val="auto"/>
          <w:spacing w:val="-1"/>
          <w:kern w:val="2"/>
          <w:szCs w:val="24"/>
          <w:highlight w:val="none"/>
          <w:lang w:eastAsia="zh-CN"/>
        </w:rPr>
        <w:t>为竣工验收补充竣工资料，并在签发缺陷责任期终止证书之前提交。</w:t>
      </w:r>
    </w:p>
    <w:p w14:paraId="37C3B440">
      <w:pPr>
        <w:widowControl w:val="0"/>
        <w:kinsoku w:val="0"/>
        <w:overflowPunct w:val="0"/>
        <w:adjustRightInd w:val="0"/>
        <w:snapToGrid w:val="0"/>
        <w:spacing w:line="360" w:lineRule="auto"/>
        <w:jc w:val="both"/>
        <w:rPr>
          <w:rFonts w:hAnsi="宋体" w:cs="Times New Roman"/>
          <w:color w:val="auto"/>
          <w:spacing w:val="-1"/>
          <w:kern w:val="2"/>
          <w:szCs w:val="24"/>
          <w:highlight w:val="none"/>
          <w:lang w:eastAsia="zh-CN"/>
        </w:rPr>
      </w:pPr>
      <w:bookmarkStart w:id="236" w:name="bookmark235"/>
      <w:bookmarkEnd w:id="236"/>
      <w:r>
        <w:rPr>
          <w:rFonts w:hAnsi="宋体" w:cs="Times New Roman"/>
          <w:color w:val="auto"/>
          <w:kern w:val="2"/>
          <w:szCs w:val="24"/>
          <w:highlight w:val="none"/>
          <w:lang w:eastAsia="zh-CN"/>
        </w:rPr>
        <w:t>19.</w:t>
      </w:r>
      <w:r>
        <w:rPr>
          <w:rFonts w:hint="eastAsia" w:hAnsi="宋体" w:cs="Times New Roman"/>
          <w:color w:val="auto"/>
          <w:spacing w:val="-1"/>
          <w:kern w:val="2"/>
          <w:szCs w:val="24"/>
          <w:highlight w:val="none"/>
          <w:lang w:eastAsia="zh-CN"/>
        </w:rPr>
        <w:t>缺陷责任与保修责任</w:t>
      </w:r>
    </w:p>
    <w:p w14:paraId="53D123E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7" w:name="bookmark236"/>
      <w:bookmarkEnd w:id="237"/>
      <w:r>
        <w:rPr>
          <w:rFonts w:hAnsi="宋体" w:cs="Times New Roman"/>
          <w:color w:val="auto"/>
          <w:kern w:val="2"/>
          <w:szCs w:val="24"/>
          <w:highlight w:val="none"/>
          <w:lang w:eastAsia="zh-CN"/>
        </w:rPr>
        <w:t>19.2</w:t>
      </w:r>
      <w:r>
        <w:rPr>
          <w:rFonts w:hint="eastAsia" w:hAnsi="宋体" w:cs="Times New Roman"/>
          <w:color w:val="auto"/>
          <w:kern w:val="2"/>
          <w:szCs w:val="24"/>
          <w:highlight w:val="none"/>
          <w:lang w:eastAsia="zh-CN"/>
        </w:rPr>
        <w:t>缺陷责任</w:t>
      </w:r>
    </w:p>
    <w:p w14:paraId="1FA5277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19.2.2 </w:t>
      </w:r>
      <w:r>
        <w:rPr>
          <w:rFonts w:hint="eastAsia" w:hAnsi="宋体" w:cs="Times New Roman"/>
          <w:color w:val="auto"/>
          <w:kern w:val="2"/>
          <w:szCs w:val="24"/>
          <w:highlight w:val="none"/>
          <w:lang w:eastAsia="zh-CN"/>
        </w:rPr>
        <w:t xml:space="preserve">项补充： </w:t>
      </w:r>
    </w:p>
    <w:p w14:paraId="6BA72E9C">
      <w:pPr>
        <w:widowControl w:val="0"/>
        <w:kinsoku w:val="0"/>
        <w:overflowPunct w:val="0"/>
        <w:adjustRightInd w:val="0"/>
        <w:snapToGrid w:val="0"/>
        <w:spacing w:line="360" w:lineRule="auto"/>
        <w:ind w:firstLine="546" w:firstLineChars="26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在缺陷责任期内，承包人应尽快完成在交工验收证书中写明的未完成工作，并完成对本工程缺陷的修复或监理人指令的修补工作。</w:t>
      </w:r>
    </w:p>
    <w:p w14:paraId="36ACB7C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8" w:name="bookmark237"/>
      <w:bookmarkEnd w:id="238"/>
      <w:r>
        <w:rPr>
          <w:rFonts w:hAnsi="宋体" w:cs="Times New Roman"/>
          <w:color w:val="auto"/>
          <w:kern w:val="2"/>
          <w:szCs w:val="24"/>
          <w:highlight w:val="none"/>
          <w:lang w:eastAsia="zh-CN"/>
        </w:rPr>
        <w:t>19.5</w:t>
      </w:r>
      <w:r>
        <w:rPr>
          <w:rFonts w:hint="eastAsia" w:hAnsi="宋体" w:cs="Times New Roman"/>
          <w:color w:val="auto"/>
          <w:kern w:val="2"/>
          <w:szCs w:val="24"/>
          <w:highlight w:val="none"/>
          <w:lang w:eastAsia="zh-CN"/>
        </w:rPr>
        <w:t>承包人的进入权</w:t>
      </w:r>
    </w:p>
    <w:p w14:paraId="03DB4DA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本款补充： </w:t>
      </w:r>
    </w:p>
    <w:p w14:paraId="552C072B">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承包人在缺陷修复施工过程中，应服从管养单位的有关安全管理规定，由于承包人自身原因造成的人员伤亡、设备和材料的损毁及罚款等责任由承包人自负。</w:t>
      </w:r>
    </w:p>
    <w:p w14:paraId="5F5D859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39" w:name="bookmark238"/>
      <w:bookmarkEnd w:id="239"/>
      <w:r>
        <w:rPr>
          <w:rFonts w:hAnsi="宋体" w:cs="Times New Roman"/>
          <w:color w:val="auto"/>
          <w:kern w:val="2"/>
          <w:szCs w:val="24"/>
          <w:highlight w:val="none"/>
          <w:lang w:eastAsia="zh-CN"/>
        </w:rPr>
        <w:t>19.7</w:t>
      </w:r>
      <w:r>
        <w:rPr>
          <w:rFonts w:hint="eastAsia" w:hAnsi="宋体" w:cs="Times New Roman"/>
          <w:color w:val="auto"/>
          <w:kern w:val="2"/>
          <w:szCs w:val="24"/>
          <w:highlight w:val="none"/>
          <w:lang w:eastAsia="zh-CN"/>
        </w:rPr>
        <w:t>保修责任</w:t>
      </w:r>
    </w:p>
    <w:p w14:paraId="1D1EC33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本款细化为：</w:t>
      </w:r>
    </w:p>
    <w:p w14:paraId="6F3ACF6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保修期自实际交工日期起计算</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58EF583B">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（2）在全部工程交工验收前，已经发包人提前验收的单位工程，其保修期的起算日期相应提前。</w:t>
      </w:r>
    </w:p>
    <w:p w14:paraId="75B05301">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（3）工程保修期终止后28 天内，监理人签发保修期终止证书。</w:t>
      </w:r>
    </w:p>
    <w:p w14:paraId="707B3639">
      <w:pPr>
        <w:widowControl w:val="0"/>
        <w:kinsoku w:val="0"/>
        <w:overflowPunct w:val="0"/>
        <w:adjustRightInd w:val="0"/>
        <w:snapToGrid w:val="0"/>
        <w:spacing w:line="360" w:lineRule="auto"/>
        <w:ind w:firstLine="420" w:firstLineChars="200"/>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（4）若承包人不履行保修义务和责任，则承包人应承担由于违约造成的法律后果，并由发包人将其违约行为上报省级交通运输主管部门，作为不良记录纳入公路建设市场信用信息管理系统。</w:t>
      </w:r>
    </w:p>
    <w:p w14:paraId="0A8B2B4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0" w:name="bookmark239"/>
      <w:bookmarkEnd w:id="240"/>
      <w:r>
        <w:rPr>
          <w:rFonts w:hAnsi="宋体" w:cs="Times New Roman"/>
          <w:color w:val="auto"/>
          <w:kern w:val="2"/>
          <w:szCs w:val="24"/>
          <w:highlight w:val="none"/>
          <w:lang w:eastAsia="zh-CN"/>
        </w:rPr>
        <w:t>20.</w:t>
      </w:r>
      <w:r>
        <w:rPr>
          <w:rFonts w:hint="eastAsia" w:hAnsi="宋体" w:cs="Times New Roman"/>
          <w:color w:val="auto"/>
          <w:kern w:val="2"/>
          <w:szCs w:val="24"/>
          <w:highlight w:val="none"/>
          <w:lang w:eastAsia="zh-CN"/>
        </w:rPr>
        <w:t>保险</w:t>
      </w:r>
    </w:p>
    <w:p w14:paraId="5906F9C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1" w:name="bookmark240"/>
      <w:bookmarkEnd w:id="241"/>
      <w:r>
        <w:rPr>
          <w:rFonts w:hAnsi="宋体" w:cs="Times New Roman"/>
          <w:color w:val="auto"/>
          <w:kern w:val="2"/>
          <w:szCs w:val="24"/>
          <w:highlight w:val="none"/>
          <w:lang w:eastAsia="zh-CN"/>
        </w:rPr>
        <w:t>20.1</w:t>
      </w:r>
      <w:r>
        <w:rPr>
          <w:rFonts w:hint="eastAsia" w:hAnsi="宋体" w:cs="Times New Roman"/>
          <w:color w:val="auto"/>
          <w:kern w:val="2"/>
          <w:szCs w:val="24"/>
          <w:highlight w:val="none"/>
          <w:lang w:eastAsia="zh-CN"/>
        </w:rPr>
        <w:t>工程保险</w:t>
      </w:r>
    </w:p>
    <w:p w14:paraId="527CC8E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本款约定为： </w:t>
      </w:r>
    </w:p>
    <w:p w14:paraId="1533F1D4">
      <w:pPr>
        <w:widowControl w:val="0"/>
        <w:kinsoku w:val="0"/>
        <w:overflowPunct w:val="0"/>
        <w:adjustRightInd w:val="0"/>
        <w:snapToGrid w:val="0"/>
        <w:spacing w:line="36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建筑工程一切险的投保内容：为本合同工程的永久工程、临时工程和设备及已运至施工工地用于永久工程的材料和设备所投的保险。</w:t>
      </w:r>
    </w:p>
    <w:p w14:paraId="1BEC1464">
      <w:pPr>
        <w:widowControl w:val="0"/>
        <w:kinsoku w:val="0"/>
        <w:overflowPunct w:val="0"/>
        <w:adjustRightInd w:val="0"/>
        <w:snapToGrid w:val="0"/>
        <w:spacing w:line="360" w:lineRule="auto"/>
        <w:ind w:firstLine="420" w:firstLineChars="200"/>
        <w:jc w:val="left"/>
        <w:rPr>
          <w:rFonts w:hAnsi="宋体" w:cs="Times New Roman"/>
          <w:color w:val="auto"/>
          <w:spacing w:val="23"/>
          <w:kern w:val="2"/>
          <w:szCs w:val="24"/>
          <w:highlight w:val="none"/>
          <w:lang w:eastAsia="zh-CN"/>
        </w:rPr>
      </w:pPr>
      <w:r>
        <w:rPr>
          <w:rFonts w:hint="eastAsia" w:hAnsi="宋体" w:cs="Times New Roman"/>
          <w:color w:val="auto"/>
          <w:kern w:val="2"/>
          <w:szCs w:val="24"/>
          <w:highlight w:val="none"/>
          <w:lang w:eastAsia="zh-CN"/>
        </w:rPr>
        <w:t>保险金额：工程量清单第</w:t>
      </w:r>
      <w:r>
        <w:rPr>
          <w:rFonts w:hAnsi="宋体" w:cs="Times New Roman"/>
          <w:color w:val="auto"/>
          <w:kern w:val="2"/>
          <w:szCs w:val="24"/>
          <w:highlight w:val="none"/>
          <w:lang w:eastAsia="zh-CN"/>
        </w:rPr>
        <w:t>100</w:t>
      </w:r>
      <w:r>
        <w:rPr>
          <w:rFonts w:hint="eastAsia" w:hAnsi="宋体" w:cs="Times New Roman"/>
          <w:color w:val="auto"/>
          <w:kern w:val="2"/>
          <w:szCs w:val="24"/>
          <w:highlight w:val="none"/>
          <w:lang w:eastAsia="zh-CN"/>
        </w:rPr>
        <w:t>章（不含建筑工程一切险及第三者责任险的保险</w:t>
      </w:r>
      <w:r>
        <w:rPr>
          <w:rFonts w:hint="eastAsia" w:hAnsi="宋体" w:cs="Times New Roman"/>
          <w:color w:val="auto"/>
          <w:spacing w:val="-1"/>
          <w:kern w:val="2"/>
          <w:szCs w:val="24"/>
          <w:highlight w:val="none"/>
          <w:lang w:eastAsia="zh-CN"/>
        </w:rPr>
        <w:t>费）至第</w:t>
      </w:r>
      <w:r>
        <w:rPr>
          <w:rFonts w:hAnsi="宋体" w:cs="Times New Roman"/>
          <w:color w:val="auto"/>
          <w:kern w:val="2"/>
          <w:szCs w:val="24"/>
          <w:highlight w:val="none"/>
          <w:lang w:eastAsia="zh-CN"/>
        </w:rPr>
        <w:t xml:space="preserve">700 </w:t>
      </w:r>
      <w:r>
        <w:rPr>
          <w:rFonts w:hint="eastAsia" w:hAnsi="宋体" w:cs="Times New Roman"/>
          <w:color w:val="auto"/>
          <w:kern w:val="2"/>
          <w:szCs w:val="24"/>
          <w:highlight w:val="none"/>
          <w:lang w:eastAsia="zh-CN"/>
        </w:rPr>
        <w:t>章的合计金额。</w:t>
      </w:r>
    </w:p>
    <w:p w14:paraId="1A7FE54F">
      <w:pPr>
        <w:widowControl w:val="0"/>
        <w:kinsoku w:val="0"/>
        <w:overflowPunct w:val="0"/>
        <w:adjustRightInd w:val="0"/>
        <w:snapToGrid w:val="0"/>
        <w:spacing w:line="360" w:lineRule="auto"/>
        <w:ind w:left="65" w:hanging="56" w:hangingChars="27"/>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保险费率：在项目专用合同条款数据表中约定。</w:t>
      </w:r>
    </w:p>
    <w:p w14:paraId="25C84B3E">
      <w:pPr>
        <w:widowControl w:val="0"/>
        <w:kinsoku w:val="0"/>
        <w:overflowPunct w:val="0"/>
        <w:adjustRightInd w:val="0"/>
        <w:snapToGrid w:val="0"/>
        <w:spacing w:line="36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保险期限：开工日起直至本合同工程签发缺陷责任期终止证书止（即合同工期＋缺陷责任</w:t>
      </w:r>
      <w:r>
        <w:rPr>
          <w:rFonts w:hint="eastAsia" w:hAnsi="宋体" w:cs="Times New Roman"/>
          <w:color w:val="auto"/>
          <w:spacing w:val="-1"/>
          <w:kern w:val="2"/>
          <w:szCs w:val="24"/>
          <w:highlight w:val="none"/>
          <w:lang w:eastAsia="zh-CN"/>
        </w:rPr>
        <w:t>期</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。承包人应以发包人和承包人的共同名义投保建筑工程一切险。建筑工程一切险的保险费由承包人报价时列入工程量清单第</w:t>
      </w:r>
      <w:r>
        <w:rPr>
          <w:rFonts w:hAnsi="宋体" w:cs="Times New Roman"/>
          <w:color w:val="auto"/>
          <w:kern w:val="2"/>
          <w:szCs w:val="24"/>
          <w:highlight w:val="none"/>
          <w:lang w:eastAsia="zh-CN"/>
        </w:rPr>
        <w:t>100</w:t>
      </w:r>
      <w:r>
        <w:rPr>
          <w:rFonts w:hint="eastAsia" w:hAnsi="宋体" w:cs="Times New Roman"/>
          <w:color w:val="auto"/>
          <w:kern w:val="2"/>
          <w:szCs w:val="24"/>
          <w:highlight w:val="none"/>
          <w:lang w:eastAsia="zh-CN"/>
        </w:rPr>
        <w:t>章内。发包人在接到保险单后，将按照保险单的费用直接向承包人支付。</w:t>
      </w:r>
    </w:p>
    <w:p w14:paraId="6C6EEB7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2" w:name="bookmark241"/>
      <w:bookmarkEnd w:id="242"/>
      <w:r>
        <w:rPr>
          <w:rFonts w:hAnsi="宋体" w:cs="Times New Roman"/>
          <w:color w:val="auto"/>
          <w:kern w:val="2"/>
          <w:szCs w:val="24"/>
          <w:highlight w:val="none"/>
          <w:lang w:eastAsia="zh-CN"/>
        </w:rPr>
        <w:t>20.4</w:t>
      </w:r>
      <w:r>
        <w:rPr>
          <w:rFonts w:hint="eastAsia" w:hAnsi="宋体" w:cs="Times New Roman"/>
          <w:color w:val="auto"/>
          <w:kern w:val="2"/>
          <w:szCs w:val="24"/>
          <w:highlight w:val="none"/>
          <w:lang w:eastAsia="zh-CN"/>
        </w:rPr>
        <w:t>第三者责任险</w:t>
      </w:r>
    </w:p>
    <w:p w14:paraId="5F6F162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20.4.2 </w:t>
      </w:r>
      <w:r>
        <w:rPr>
          <w:rFonts w:hint="eastAsia" w:hAnsi="宋体" w:cs="Times New Roman"/>
          <w:color w:val="auto"/>
          <w:kern w:val="2"/>
          <w:szCs w:val="24"/>
          <w:highlight w:val="none"/>
          <w:lang w:eastAsia="zh-CN"/>
        </w:rPr>
        <w:t>项补充：</w:t>
      </w:r>
    </w:p>
    <w:p w14:paraId="5487FC09">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第三者责任险的保险费由承包人报价时列入工程量清单第</w:t>
      </w:r>
      <w:r>
        <w:rPr>
          <w:rFonts w:hAnsi="宋体" w:cs="Times New Roman"/>
          <w:color w:val="auto"/>
          <w:kern w:val="2"/>
          <w:szCs w:val="24"/>
          <w:highlight w:val="none"/>
          <w:lang w:eastAsia="zh-CN"/>
        </w:rPr>
        <w:t>100</w:t>
      </w:r>
      <w:r>
        <w:rPr>
          <w:rFonts w:hint="eastAsia" w:hAnsi="宋体" w:cs="Times New Roman"/>
          <w:color w:val="auto"/>
          <w:kern w:val="2"/>
          <w:szCs w:val="24"/>
          <w:highlight w:val="none"/>
          <w:lang w:eastAsia="zh-CN"/>
        </w:rPr>
        <w:t>章内。发包人在接到保险单后，将按照保险单的费用直接向承包人支付。</w:t>
      </w:r>
    </w:p>
    <w:p w14:paraId="7E07430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3" w:name="bookmark242"/>
      <w:bookmarkEnd w:id="243"/>
      <w:r>
        <w:rPr>
          <w:rFonts w:hAnsi="宋体" w:cs="Times New Roman"/>
          <w:color w:val="auto"/>
          <w:kern w:val="2"/>
          <w:szCs w:val="24"/>
          <w:highlight w:val="none"/>
          <w:lang w:eastAsia="zh-CN"/>
        </w:rPr>
        <w:t>20.5</w:t>
      </w:r>
      <w:r>
        <w:rPr>
          <w:rFonts w:hint="eastAsia" w:hAnsi="宋体" w:cs="Times New Roman"/>
          <w:color w:val="auto"/>
          <w:kern w:val="2"/>
          <w:szCs w:val="24"/>
          <w:highlight w:val="none"/>
          <w:lang w:eastAsia="zh-CN"/>
        </w:rPr>
        <w:t>其他保险</w:t>
      </w:r>
    </w:p>
    <w:p w14:paraId="34E7E1B9">
      <w:pPr>
        <w:widowControl w:val="0"/>
        <w:kinsoku w:val="0"/>
        <w:overflowPunct w:val="0"/>
        <w:adjustRightInd w:val="0"/>
        <w:snapToGrid w:val="0"/>
        <w:spacing w:line="360" w:lineRule="auto"/>
        <w:ind w:firstLine="6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本款约定为： </w:t>
      </w:r>
    </w:p>
    <w:p w14:paraId="1EB79B14">
      <w:pPr>
        <w:widowControl w:val="0"/>
        <w:kinsoku w:val="0"/>
        <w:overflowPunct w:val="0"/>
        <w:adjustRightInd w:val="0"/>
        <w:snapToGrid w:val="0"/>
        <w:spacing w:line="360" w:lineRule="auto"/>
        <w:ind w:firstLine="624"/>
        <w:jc w:val="both"/>
        <w:rPr>
          <w:rFonts w:hAnsi="宋体" w:cs="Times New Roman"/>
          <w:color w:val="auto"/>
          <w:kern w:val="2"/>
          <w:szCs w:val="24"/>
          <w:highlight w:val="none"/>
          <w:lang w:eastAsia="zh-CN"/>
        </w:rPr>
      </w:pPr>
      <w:r>
        <w:rPr>
          <w:rFonts w:hint="eastAsia" w:hAnsi="宋体" w:cs="Times New Roman"/>
          <w:color w:val="auto"/>
          <w:spacing w:val="2"/>
          <w:kern w:val="2"/>
          <w:szCs w:val="24"/>
          <w:highlight w:val="none"/>
          <w:lang w:eastAsia="zh-CN"/>
        </w:rPr>
        <w:t>承包人应为其施工设备等办理保险，其投保金额应足以现场重置。办理本款保</w:t>
      </w:r>
      <w:r>
        <w:rPr>
          <w:rFonts w:hint="eastAsia" w:hAnsi="宋体" w:cs="Times New Roman"/>
          <w:color w:val="auto"/>
          <w:kern w:val="2"/>
          <w:szCs w:val="24"/>
          <w:highlight w:val="none"/>
          <w:lang w:eastAsia="zh-CN"/>
        </w:rPr>
        <w:t>险的一切费用均由承包人承担，并包括在工程量清单的单价及总额价中，发包人不单独支付。</w:t>
      </w:r>
    </w:p>
    <w:p w14:paraId="02DE2A7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4" w:name="bookmark243"/>
      <w:bookmarkEnd w:id="244"/>
      <w:r>
        <w:rPr>
          <w:rFonts w:hAnsi="宋体" w:cs="Times New Roman"/>
          <w:color w:val="auto"/>
          <w:kern w:val="2"/>
          <w:szCs w:val="24"/>
          <w:highlight w:val="none"/>
          <w:lang w:eastAsia="zh-CN"/>
        </w:rPr>
        <w:t>20.6</w:t>
      </w:r>
      <w:r>
        <w:rPr>
          <w:rFonts w:hint="eastAsia" w:hAnsi="宋体" w:cs="Times New Roman"/>
          <w:color w:val="auto"/>
          <w:kern w:val="2"/>
          <w:szCs w:val="24"/>
          <w:highlight w:val="none"/>
          <w:lang w:eastAsia="zh-CN"/>
        </w:rPr>
        <w:t>对各项保险的一般要求</w:t>
      </w:r>
    </w:p>
    <w:p w14:paraId="3E5EA91D">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20.6.1  </w:t>
      </w:r>
      <w:r>
        <w:rPr>
          <w:rFonts w:hint="eastAsia" w:hAnsi="宋体" w:cs="Times New Roman"/>
          <w:color w:val="auto"/>
          <w:kern w:val="2"/>
          <w:szCs w:val="24"/>
          <w:highlight w:val="none"/>
          <w:lang w:eastAsia="zh-CN"/>
        </w:rPr>
        <w:t>保险凭证</w:t>
      </w:r>
    </w:p>
    <w:p w14:paraId="547305E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本项约定为： </w:t>
      </w:r>
    </w:p>
    <w:p w14:paraId="0D4A6189">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承包人向发包人提交各项保险生效的证据和保险单副本的期限</w:t>
      </w:r>
      <w:r>
        <w:rPr>
          <w:rFonts w:hint="eastAsia" w:hAnsi="宋体" w:cs="Times New Roman"/>
          <w:color w:val="auto"/>
          <w:spacing w:val="-116"/>
          <w:kern w:val="2"/>
          <w:szCs w:val="24"/>
          <w:highlight w:val="none"/>
          <w:lang w:eastAsia="zh-CN"/>
        </w:rPr>
        <w:t>：</w:t>
      </w:r>
      <w:r>
        <w:rPr>
          <w:rFonts w:hint="eastAsia" w:hAnsi="宋体" w:cs="Times New Roman"/>
          <w:color w:val="auto"/>
          <w:kern w:val="2"/>
          <w:szCs w:val="24"/>
          <w:highlight w:val="none"/>
          <w:lang w:eastAsia="zh-CN"/>
        </w:rPr>
        <w:t>开工后</w:t>
      </w:r>
      <w:r>
        <w:rPr>
          <w:rFonts w:hAnsi="宋体" w:cs="Times New Roman"/>
          <w:color w:val="auto"/>
          <w:kern w:val="2"/>
          <w:szCs w:val="24"/>
          <w:highlight w:val="none"/>
          <w:lang w:eastAsia="zh-CN"/>
        </w:rPr>
        <w:t xml:space="preserve">56 </w:t>
      </w:r>
      <w:r>
        <w:rPr>
          <w:rFonts w:hint="eastAsia" w:hAnsi="宋体" w:cs="Times New Roman"/>
          <w:color w:val="auto"/>
          <w:kern w:val="2"/>
          <w:szCs w:val="24"/>
          <w:highlight w:val="none"/>
          <w:lang w:eastAsia="zh-CN"/>
        </w:rPr>
        <w:t>天内。</w:t>
      </w:r>
    </w:p>
    <w:p w14:paraId="00F24AF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20.6.3  </w:t>
      </w:r>
      <w:r>
        <w:rPr>
          <w:rFonts w:hint="eastAsia" w:hAnsi="宋体" w:cs="Times New Roman"/>
          <w:color w:val="auto"/>
          <w:kern w:val="2"/>
          <w:szCs w:val="24"/>
          <w:highlight w:val="none"/>
          <w:lang w:eastAsia="zh-CN"/>
        </w:rPr>
        <w:t>持续保险</w:t>
      </w:r>
    </w:p>
    <w:p w14:paraId="72119556">
      <w:pPr>
        <w:widowControl w:val="0"/>
        <w:kinsoku w:val="0"/>
        <w:overflowPunct w:val="0"/>
        <w:adjustRightInd w:val="0"/>
        <w:snapToGrid w:val="0"/>
        <w:spacing w:line="360" w:lineRule="auto"/>
        <w:ind w:firstLine="88"/>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本项补充： </w:t>
      </w:r>
    </w:p>
    <w:p w14:paraId="22FBC4D6">
      <w:pPr>
        <w:widowControl w:val="0"/>
        <w:kinsoku w:val="0"/>
        <w:overflowPunct w:val="0"/>
        <w:adjustRightInd w:val="0"/>
        <w:snapToGrid w:val="0"/>
        <w:spacing w:line="360" w:lineRule="auto"/>
        <w:ind w:firstLine="504" w:firstLineChars="24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在整个合同期内，承包人应按合同条款规定保证足够的保险额。 </w:t>
      </w:r>
      <w:r>
        <w:rPr>
          <w:rFonts w:hAnsi="宋体" w:cs="Times New Roman"/>
          <w:color w:val="auto"/>
          <w:kern w:val="2"/>
          <w:szCs w:val="24"/>
          <w:highlight w:val="none"/>
          <w:lang w:eastAsia="zh-CN"/>
        </w:rPr>
        <w:t xml:space="preserve">20.6.4  </w:t>
      </w:r>
      <w:r>
        <w:rPr>
          <w:rFonts w:hint="eastAsia" w:hAnsi="宋体" w:cs="Times New Roman"/>
          <w:color w:val="auto"/>
          <w:kern w:val="2"/>
          <w:szCs w:val="24"/>
          <w:highlight w:val="none"/>
          <w:lang w:eastAsia="zh-CN"/>
        </w:rPr>
        <w:t>保险金不足的补偿</w:t>
      </w:r>
    </w:p>
    <w:p w14:paraId="6E5BFBF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本项细化为： </w:t>
      </w:r>
    </w:p>
    <w:p w14:paraId="4632925C">
      <w:pPr>
        <w:widowControl w:val="0"/>
        <w:kinsoku w:val="0"/>
        <w:overflowPunct w:val="0"/>
        <w:adjustRightInd w:val="0"/>
        <w:snapToGrid w:val="0"/>
        <w:spacing w:line="360" w:lineRule="auto"/>
        <w:ind w:firstLine="546" w:firstLineChars="260"/>
        <w:jc w:val="both"/>
        <w:rPr>
          <w:rFonts w:hAnsi="宋体" w:cs="Times New Roman"/>
          <w:color w:val="auto"/>
          <w:spacing w:val="30"/>
          <w:kern w:val="2"/>
          <w:szCs w:val="24"/>
          <w:highlight w:val="none"/>
          <w:lang w:eastAsia="zh-CN"/>
        </w:rPr>
      </w:pPr>
      <w:r>
        <w:rPr>
          <w:rFonts w:hint="eastAsia" w:hAnsi="宋体" w:cs="Times New Roman"/>
          <w:color w:val="auto"/>
          <w:kern w:val="2"/>
          <w:szCs w:val="24"/>
          <w:highlight w:val="none"/>
          <w:lang w:eastAsia="zh-CN"/>
        </w:rPr>
        <w:t>保险金不足以补偿损失</w:t>
      </w:r>
      <w:r>
        <w:rPr>
          <w:rFonts w:hint="eastAsia" w:hAnsi="宋体" w:cs="Times New Roman"/>
          <w:color w:val="auto"/>
          <w:spacing w:val="-43"/>
          <w:kern w:val="2"/>
          <w:szCs w:val="24"/>
          <w:highlight w:val="none"/>
          <w:lang w:eastAsia="zh-CN"/>
        </w:rPr>
        <w:t>的</w:t>
      </w:r>
      <w:r>
        <w:rPr>
          <w:rFonts w:hint="eastAsia" w:hAnsi="宋体" w:cs="Times New Roman"/>
          <w:color w:val="auto"/>
          <w:kern w:val="2"/>
          <w:szCs w:val="24"/>
          <w:highlight w:val="none"/>
          <w:lang w:eastAsia="zh-CN"/>
        </w:rPr>
        <w:t>（包括免赔额和超过赔偿限额的部分</w:t>
      </w:r>
      <w:r>
        <w:rPr>
          <w:rFonts w:hint="eastAsia" w:hAnsi="宋体" w:cs="Times New Roman"/>
          <w:color w:val="auto"/>
          <w:spacing w:val="-120"/>
          <w:kern w:val="2"/>
          <w:szCs w:val="24"/>
          <w:highlight w:val="none"/>
          <w:lang w:eastAsia="zh-CN"/>
        </w:rPr>
        <w:t>）</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应由承包人和</w:t>
      </w:r>
      <w:r>
        <w:rPr>
          <w:rFonts w:hint="eastAsia" w:hAnsi="宋体" w:cs="Times New Roman"/>
          <w:color w:val="auto"/>
          <w:spacing w:val="-1"/>
          <w:kern w:val="2"/>
          <w:szCs w:val="24"/>
          <w:highlight w:val="none"/>
          <w:lang w:eastAsia="zh-CN"/>
        </w:rPr>
        <w:t>（或）发包人按合同约定负责补偿。</w:t>
      </w:r>
    </w:p>
    <w:p w14:paraId="64B9833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20.6.5  </w:t>
      </w:r>
      <w:r>
        <w:rPr>
          <w:rFonts w:hint="eastAsia" w:hAnsi="宋体" w:cs="Times New Roman"/>
          <w:color w:val="auto"/>
          <w:kern w:val="2"/>
          <w:szCs w:val="24"/>
          <w:highlight w:val="none"/>
          <w:lang w:eastAsia="zh-CN"/>
        </w:rPr>
        <w:t xml:space="preserve">未按约定投保的补救 </w:t>
      </w:r>
    </w:p>
    <w:p w14:paraId="3492B1B8">
      <w:pPr>
        <w:widowControl w:val="0"/>
        <w:kinsoku w:val="0"/>
        <w:overflowPunct w:val="0"/>
        <w:adjustRightInd w:val="0"/>
        <w:snapToGrid w:val="0"/>
        <w:spacing w:line="360" w:lineRule="auto"/>
        <w:ind w:firstLine="105" w:firstLineChars="5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）目细化为：</w:t>
      </w:r>
    </w:p>
    <w:p w14:paraId="3C2FA4B4">
      <w:pPr>
        <w:widowControl w:val="0"/>
        <w:kinsoku w:val="0"/>
        <w:overflowPunct w:val="0"/>
        <w:adjustRightInd w:val="0"/>
        <w:snapToGrid w:val="0"/>
        <w:spacing w:line="360" w:lineRule="auto"/>
        <w:ind w:firstLine="391"/>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）由于负有投保义务的一方当事人未按合同约定办理某项保险，或未按保险单规定的条件和期限及时向保险人报告事故情况</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或未按要求的保险期限进行投保，或未按要求投保足够的保险金额，导致受益人未能或未能全部得到保险人的赔偿，原应从该项保险得到的保险金应由负有投保义务的一方当事人支付。</w:t>
      </w:r>
    </w:p>
    <w:p w14:paraId="0844754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5" w:name="bookmark244"/>
      <w:bookmarkEnd w:id="245"/>
      <w:r>
        <w:rPr>
          <w:rFonts w:hAnsi="宋体" w:cs="Times New Roman"/>
          <w:color w:val="auto"/>
          <w:kern w:val="2"/>
          <w:szCs w:val="24"/>
          <w:highlight w:val="none"/>
          <w:lang w:eastAsia="zh-CN"/>
        </w:rPr>
        <w:t>21.</w:t>
      </w:r>
      <w:r>
        <w:rPr>
          <w:rFonts w:hint="eastAsia" w:hAnsi="宋体" w:cs="Times New Roman"/>
          <w:color w:val="auto"/>
          <w:kern w:val="2"/>
          <w:szCs w:val="24"/>
          <w:highlight w:val="none"/>
          <w:lang w:eastAsia="zh-CN"/>
        </w:rPr>
        <w:t>不可抗力</w:t>
      </w:r>
    </w:p>
    <w:p w14:paraId="5310AFD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6" w:name="bookmark245"/>
      <w:bookmarkEnd w:id="246"/>
      <w:r>
        <w:rPr>
          <w:rFonts w:hAnsi="宋体" w:cs="Times New Roman"/>
          <w:color w:val="auto"/>
          <w:kern w:val="2"/>
          <w:szCs w:val="24"/>
          <w:highlight w:val="none"/>
          <w:lang w:eastAsia="zh-CN"/>
        </w:rPr>
        <w:t>21.1</w:t>
      </w:r>
      <w:r>
        <w:rPr>
          <w:rFonts w:hint="eastAsia" w:hAnsi="宋体" w:cs="Times New Roman"/>
          <w:color w:val="auto"/>
          <w:kern w:val="2"/>
          <w:szCs w:val="24"/>
          <w:highlight w:val="none"/>
          <w:lang w:eastAsia="zh-CN"/>
        </w:rPr>
        <w:t>不可抗力的确认</w:t>
      </w:r>
    </w:p>
    <w:p w14:paraId="5C947DD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21.1.1 </w:t>
      </w:r>
      <w:r>
        <w:rPr>
          <w:rFonts w:hint="eastAsia" w:hAnsi="宋体" w:cs="Times New Roman"/>
          <w:color w:val="auto"/>
          <w:kern w:val="2"/>
          <w:szCs w:val="24"/>
          <w:highlight w:val="none"/>
          <w:lang w:eastAsia="zh-CN"/>
        </w:rPr>
        <w:t xml:space="preserve">项细化为： </w:t>
      </w:r>
    </w:p>
    <w:p w14:paraId="7FC9D0A0">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不可抗力是指承包人和发包人在订立合同时不可预见，在工程施工过程中不可避免发生并不能克服的自然灾害和社会性突发事件。包括但不限于：</w:t>
      </w:r>
    </w:p>
    <w:p w14:paraId="771472F9">
      <w:pPr>
        <w:widowControl w:val="0"/>
        <w:kinsoku w:val="0"/>
        <w:overflowPunct w:val="0"/>
        <w:adjustRightInd w:val="0"/>
        <w:snapToGrid w:val="0"/>
        <w:spacing w:line="360" w:lineRule="auto"/>
        <w:ind w:firstLine="391"/>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1</w:t>
      </w:r>
      <w:r>
        <w:rPr>
          <w:rFonts w:hint="eastAsia" w:ascii="Times New Roman" w:hAnsi="宋体" w:eastAsia="宋体" w:cs="Times New Roman"/>
          <w:color w:val="auto"/>
          <w:kern w:val="2"/>
          <w:szCs w:val="24"/>
          <w:highlight w:val="none"/>
          <w:lang w:eastAsia="zh-CN"/>
        </w:rPr>
        <w:t>）地震、海啸、火山爆发、泥石流、暴雨（雪）、台风、龙卷风、水灾等自然灾害；</w:t>
      </w:r>
    </w:p>
    <w:p w14:paraId="2A86FF8E">
      <w:pPr>
        <w:widowControl w:val="0"/>
        <w:kinsoku w:val="0"/>
        <w:overflowPunct w:val="0"/>
        <w:adjustRightInd w:val="0"/>
        <w:snapToGrid w:val="0"/>
        <w:spacing w:line="360" w:lineRule="auto"/>
        <w:ind w:firstLine="391"/>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2</w:t>
      </w:r>
      <w:r>
        <w:rPr>
          <w:rFonts w:hint="eastAsia" w:ascii="Times New Roman" w:hAnsi="宋体" w:eastAsia="宋体" w:cs="Times New Roman"/>
          <w:color w:val="auto"/>
          <w:kern w:val="2"/>
          <w:szCs w:val="24"/>
          <w:highlight w:val="none"/>
          <w:lang w:eastAsia="zh-CN"/>
        </w:rPr>
        <w:t>）战争、骚乱、暴动，但纯属承包人或其分包人派遣与雇用的人员由于本合同工程施工原因引起者除外；</w:t>
      </w:r>
    </w:p>
    <w:p w14:paraId="14283F66">
      <w:pPr>
        <w:widowControl w:val="0"/>
        <w:kinsoku w:val="0"/>
        <w:overflowPunct w:val="0"/>
        <w:adjustRightInd w:val="0"/>
        <w:snapToGrid w:val="0"/>
        <w:spacing w:line="360" w:lineRule="auto"/>
        <w:ind w:firstLine="391"/>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3</w:t>
      </w:r>
      <w:r>
        <w:rPr>
          <w:rFonts w:hint="eastAsia" w:ascii="Times New Roman" w:hAnsi="宋体" w:eastAsia="宋体" w:cs="Times New Roman"/>
          <w:color w:val="auto"/>
          <w:kern w:val="2"/>
          <w:szCs w:val="24"/>
          <w:highlight w:val="none"/>
          <w:lang w:eastAsia="zh-CN"/>
        </w:rPr>
        <w:t>）核反应、辐射或放射性污染；</w:t>
      </w:r>
    </w:p>
    <w:p w14:paraId="51177F6F">
      <w:pPr>
        <w:widowControl w:val="0"/>
        <w:kinsoku w:val="0"/>
        <w:overflowPunct w:val="0"/>
        <w:adjustRightInd w:val="0"/>
        <w:snapToGrid w:val="0"/>
        <w:spacing w:line="360" w:lineRule="auto"/>
        <w:ind w:firstLine="391"/>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4</w:t>
      </w:r>
      <w:r>
        <w:rPr>
          <w:rFonts w:hint="eastAsia" w:ascii="Times New Roman" w:hAnsi="宋体" w:eastAsia="宋体" w:cs="Times New Roman"/>
          <w:color w:val="auto"/>
          <w:kern w:val="2"/>
          <w:szCs w:val="24"/>
          <w:highlight w:val="none"/>
          <w:lang w:eastAsia="zh-CN"/>
        </w:rPr>
        <w:t>）空中飞行物体坠落或非发包人或承包人责任造成的爆炸、火灾；</w:t>
      </w:r>
    </w:p>
    <w:p w14:paraId="24EFD9B5">
      <w:pPr>
        <w:widowControl w:val="0"/>
        <w:kinsoku w:val="0"/>
        <w:overflowPunct w:val="0"/>
        <w:adjustRightInd w:val="0"/>
        <w:snapToGrid w:val="0"/>
        <w:spacing w:line="360" w:lineRule="auto"/>
        <w:ind w:firstLine="391"/>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5</w:t>
      </w:r>
      <w:r>
        <w:rPr>
          <w:rFonts w:hint="eastAsia" w:ascii="Times New Roman" w:hAnsi="宋体" w:eastAsia="宋体" w:cs="Times New Roman"/>
          <w:color w:val="auto"/>
          <w:kern w:val="2"/>
          <w:szCs w:val="24"/>
          <w:highlight w:val="none"/>
          <w:lang w:eastAsia="zh-CN"/>
        </w:rPr>
        <w:t>）瘟疫；</w:t>
      </w:r>
    </w:p>
    <w:p w14:paraId="6AC9E551">
      <w:pPr>
        <w:widowControl w:val="0"/>
        <w:kinsoku w:val="0"/>
        <w:overflowPunct w:val="0"/>
        <w:adjustRightInd w:val="0"/>
        <w:snapToGrid w:val="0"/>
        <w:spacing w:line="360" w:lineRule="auto"/>
        <w:ind w:firstLine="391"/>
        <w:jc w:val="both"/>
        <w:rPr>
          <w:rFonts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w:t>
      </w:r>
      <w:r>
        <w:rPr>
          <w:rFonts w:ascii="Times New Roman" w:hAnsi="宋体" w:eastAsia="宋体" w:cs="Times New Roman"/>
          <w:color w:val="auto"/>
          <w:kern w:val="2"/>
          <w:szCs w:val="24"/>
          <w:highlight w:val="none"/>
          <w:lang w:eastAsia="zh-CN"/>
        </w:rPr>
        <w:t>6</w:t>
      </w:r>
      <w:r>
        <w:rPr>
          <w:rFonts w:hint="eastAsia" w:ascii="Times New Roman" w:hAnsi="宋体" w:eastAsia="宋体" w:cs="Times New Roman"/>
          <w:color w:val="auto"/>
          <w:kern w:val="2"/>
          <w:szCs w:val="24"/>
          <w:highlight w:val="none"/>
          <w:lang w:eastAsia="zh-CN"/>
        </w:rPr>
        <w:t>）项目专用合同条款约定的其他情形。</w:t>
      </w:r>
    </w:p>
    <w:p w14:paraId="54173C0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7" w:name="bookmark246"/>
      <w:bookmarkEnd w:id="247"/>
      <w:r>
        <w:rPr>
          <w:rFonts w:hAnsi="宋体" w:cs="Times New Roman"/>
          <w:color w:val="auto"/>
          <w:kern w:val="2"/>
          <w:szCs w:val="24"/>
          <w:highlight w:val="none"/>
          <w:lang w:eastAsia="zh-CN"/>
        </w:rPr>
        <w:t>21.3</w:t>
      </w:r>
      <w:r>
        <w:rPr>
          <w:rFonts w:hint="eastAsia" w:hAnsi="宋体" w:cs="Times New Roman"/>
          <w:color w:val="auto"/>
          <w:kern w:val="2"/>
          <w:szCs w:val="24"/>
          <w:highlight w:val="none"/>
          <w:lang w:eastAsia="zh-CN"/>
        </w:rPr>
        <w:t>不可抗力后果及其处理</w:t>
      </w:r>
    </w:p>
    <w:p w14:paraId="11D5918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21.3.4  </w:t>
      </w:r>
      <w:r>
        <w:rPr>
          <w:rFonts w:hint="eastAsia" w:hAnsi="宋体" w:cs="Times New Roman"/>
          <w:color w:val="auto"/>
          <w:kern w:val="2"/>
          <w:szCs w:val="24"/>
          <w:highlight w:val="none"/>
          <w:lang w:eastAsia="zh-CN"/>
        </w:rPr>
        <w:t>因不可抗力解除合同</w:t>
      </w:r>
    </w:p>
    <w:p w14:paraId="6D8F334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本项细化为： </w:t>
      </w:r>
    </w:p>
    <w:p w14:paraId="00CEC796">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合同一方当事人因不可抗力不能履行合同的，应当及时通知对方解除合同。合同解除后，承包人应按照第</w:t>
      </w:r>
      <w:r>
        <w:rPr>
          <w:rFonts w:hAnsi="宋体" w:cs="Times New Roman"/>
          <w:color w:val="auto"/>
          <w:kern w:val="2"/>
          <w:szCs w:val="24"/>
          <w:highlight w:val="none"/>
          <w:lang w:eastAsia="zh-CN"/>
        </w:rPr>
        <w:t>22.2.5</w:t>
      </w:r>
      <w:r>
        <w:rPr>
          <w:rFonts w:hint="eastAsia" w:hAnsi="宋体" w:cs="Times New Roman"/>
          <w:color w:val="auto"/>
          <w:kern w:val="2"/>
          <w:szCs w:val="24"/>
          <w:highlight w:val="none"/>
          <w:lang w:eastAsia="zh-CN"/>
        </w:rPr>
        <w:t>项约定撤离施工场地。已经订货的材料、设备由订货方负责退货或解除订货合同，不能退还的货款和因退货、解除订货合同发生的费用</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由发包人承担</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因未及时退货造成的损失由责任方承担</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合同解除后的付款，参照第</w:t>
      </w:r>
      <w:r>
        <w:rPr>
          <w:rFonts w:hAnsi="宋体" w:cs="Times New Roman"/>
          <w:color w:val="auto"/>
          <w:kern w:val="2"/>
          <w:szCs w:val="24"/>
          <w:highlight w:val="none"/>
          <w:lang w:eastAsia="zh-CN"/>
        </w:rPr>
        <w:t>22.2.4</w:t>
      </w:r>
      <w:r>
        <w:rPr>
          <w:rFonts w:hint="eastAsia" w:hAnsi="宋体" w:cs="Times New Roman"/>
          <w:color w:val="auto"/>
          <w:kern w:val="2"/>
          <w:szCs w:val="24"/>
          <w:highlight w:val="none"/>
          <w:lang w:eastAsia="zh-CN"/>
        </w:rPr>
        <w:t>项约定，由监理人按第</w:t>
      </w:r>
      <w:r>
        <w:rPr>
          <w:rFonts w:hAnsi="宋体" w:cs="Times New Roman"/>
          <w:color w:val="auto"/>
          <w:kern w:val="2"/>
          <w:szCs w:val="24"/>
          <w:highlight w:val="none"/>
          <w:lang w:eastAsia="zh-CN"/>
        </w:rPr>
        <w:t>3.5</w:t>
      </w:r>
      <w:r>
        <w:rPr>
          <w:rFonts w:hint="eastAsia" w:hAnsi="宋体" w:cs="Times New Roman"/>
          <w:color w:val="auto"/>
          <w:kern w:val="2"/>
          <w:szCs w:val="24"/>
          <w:highlight w:val="none"/>
          <w:lang w:eastAsia="zh-CN"/>
        </w:rPr>
        <w:t>款商定或确定，但由于解除合同应赔偿的 承包人损失不予考虑。</w:t>
      </w:r>
    </w:p>
    <w:p w14:paraId="20965F9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8" w:name="bookmark247"/>
      <w:bookmarkEnd w:id="248"/>
      <w:r>
        <w:rPr>
          <w:rFonts w:hAnsi="宋体" w:cs="Times New Roman"/>
          <w:color w:val="auto"/>
          <w:kern w:val="2"/>
          <w:szCs w:val="24"/>
          <w:highlight w:val="none"/>
          <w:lang w:eastAsia="zh-CN"/>
        </w:rPr>
        <w:t>22.</w:t>
      </w:r>
      <w:r>
        <w:rPr>
          <w:rFonts w:hint="eastAsia" w:hAnsi="宋体" w:cs="Times New Roman"/>
          <w:color w:val="auto"/>
          <w:kern w:val="2"/>
          <w:szCs w:val="24"/>
          <w:highlight w:val="none"/>
          <w:lang w:eastAsia="zh-CN"/>
        </w:rPr>
        <w:t>违约</w:t>
      </w:r>
    </w:p>
    <w:p w14:paraId="61CBE28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49" w:name="bookmark248"/>
      <w:bookmarkEnd w:id="249"/>
      <w:r>
        <w:rPr>
          <w:rFonts w:hAnsi="宋体" w:cs="Times New Roman"/>
          <w:color w:val="auto"/>
          <w:kern w:val="2"/>
          <w:szCs w:val="24"/>
          <w:highlight w:val="none"/>
          <w:lang w:eastAsia="zh-CN"/>
        </w:rPr>
        <w:t>22.1</w:t>
      </w:r>
      <w:r>
        <w:rPr>
          <w:rFonts w:hint="eastAsia" w:hAnsi="宋体" w:cs="Times New Roman"/>
          <w:color w:val="auto"/>
          <w:kern w:val="2"/>
          <w:szCs w:val="24"/>
          <w:highlight w:val="none"/>
          <w:lang w:eastAsia="zh-CN"/>
        </w:rPr>
        <w:t>承包人违约</w:t>
      </w:r>
    </w:p>
    <w:p w14:paraId="0F84888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22.1.1  </w:t>
      </w:r>
      <w:r>
        <w:rPr>
          <w:rFonts w:hint="eastAsia" w:hAnsi="宋体" w:cs="Times New Roman"/>
          <w:color w:val="auto"/>
          <w:kern w:val="2"/>
          <w:szCs w:val="24"/>
          <w:highlight w:val="none"/>
          <w:lang w:eastAsia="zh-CN"/>
        </w:rPr>
        <w:t>承包人违约的情形</w:t>
      </w:r>
    </w:p>
    <w:p w14:paraId="1663498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）目细化为：</w:t>
      </w:r>
    </w:p>
    <w:p w14:paraId="7CF64497">
      <w:pPr>
        <w:widowControl w:val="0"/>
        <w:kinsoku w:val="0"/>
        <w:overflowPunct w:val="0"/>
        <w:adjustRightInd w:val="0"/>
        <w:snapToGrid w:val="0"/>
        <w:spacing w:line="360" w:lineRule="auto"/>
        <w:ind w:firstLine="391"/>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（2）承包人违反第5.3款或第6.4款的约定，未经监理人批准，私自将已按合同约定进入施工场地的施工设备、临时设施、材料或工程设备撤离施工场地；</w:t>
      </w:r>
    </w:p>
    <w:p w14:paraId="38D29118">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7</w:t>
      </w:r>
      <w:r>
        <w:rPr>
          <w:rFonts w:hint="eastAsia" w:hAnsi="宋体" w:cs="Times New Roman"/>
          <w:color w:val="auto"/>
          <w:kern w:val="2"/>
          <w:szCs w:val="24"/>
          <w:highlight w:val="none"/>
          <w:lang w:eastAsia="zh-CN"/>
        </w:rPr>
        <w:t>）目细化为：</w:t>
      </w:r>
    </w:p>
    <w:p w14:paraId="4B53BF9C">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7</w:t>
      </w:r>
      <w:r>
        <w:rPr>
          <w:rFonts w:hint="eastAsia" w:hAnsi="宋体" w:cs="Times New Roman"/>
          <w:color w:val="auto"/>
          <w:kern w:val="2"/>
          <w:szCs w:val="24"/>
          <w:highlight w:val="none"/>
          <w:lang w:eastAsia="zh-CN"/>
        </w:rPr>
        <w:t>）承包人未能按期开工；</w:t>
      </w:r>
    </w:p>
    <w:p w14:paraId="4FEB860B">
      <w:pPr>
        <w:widowControl w:val="0"/>
        <w:kinsoku w:val="0"/>
        <w:overflowPunct w:val="0"/>
        <w:adjustRightInd w:val="0"/>
        <w:snapToGrid w:val="0"/>
        <w:spacing w:line="360" w:lineRule="auto"/>
        <w:ind w:firstLine="479"/>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8</w:t>
      </w:r>
      <w:r>
        <w:rPr>
          <w:rFonts w:hint="eastAsia" w:hAnsi="宋体" w:cs="Times New Roman"/>
          <w:color w:val="auto"/>
          <w:kern w:val="2"/>
          <w:szCs w:val="24"/>
          <w:highlight w:val="none"/>
          <w:lang w:eastAsia="zh-CN"/>
        </w:rPr>
        <w:t>）承包人违反第</w:t>
      </w:r>
      <w:r>
        <w:rPr>
          <w:rFonts w:hAnsi="宋体" w:cs="Times New Roman"/>
          <w:color w:val="auto"/>
          <w:kern w:val="2"/>
          <w:szCs w:val="24"/>
          <w:highlight w:val="none"/>
          <w:lang w:eastAsia="zh-CN"/>
        </w:rPr>
        <w:t>4.6</w:t>
      </w:r>
      <w:r>
        <w:rPr>
          <w:rFonts w:hint="eastAsia" w:hAnsi="宋体" w:cs="Times New Roman"/>
          <w:color w:val="auto"/>
          <w:kern w:val="2"/>
          <w:szCs w:val="24"/>
          <w:highlight w:val="none"/>
          <w:lang w:eastAsia="zh-CN"/>
        </w:rPr>
        <w:t>款或第</w:t>
      </w:r>
      <w:r>
        <w:rPr>
          <w:rFonts w:hAnsi="宋体" w:cs="Times New Roman"/>
          <w:color w:val="auto"/>
          <w:kern w:val="2"/>
          <w:szCs w:val="24"/>
          <w:highlight w:val="none"/>
          <w:lang w:eastAsia="zh-CN"/>
        </w:rPr>
        <w:t>6.3</w:t>
      </w:r>
      <w:r>
        <w:rPr>
          <w:rFonts w:hint="eastAsia" w:hAnsi="宋体" w:cs="Times New Roman"/>
          <w:color w:val="auto"/>
          <w:spacing w:val="-1"/>
          <w:kern w:val="2"/>
          <w:szCs w:val="24"/>
          <w:highlight w:val="none"/>
          <w:lang w:eastAsia="zh-CN"/>
        </w:rPr>
        <w:t>款的规定，未按承诺或未按监理人的要求及时配备称职的主要管理人员、技术骨干或关键施工设备；</w:t>
      </w:r>
    </w:p>
    <w:p w14:paraId="3C8D499B">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9</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经监理人和发包人检查</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发现承包人有安全问题或有违反安全管理规章制度的情况；</w:t>
      </w:r>
    </w:p>
    <w:p w14:paraId="3A74ADD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10</w:t>
      </w:r>
      <w:r>
        <w:rPr>
          <w:rFonts w:hint="eastAsia" w:hAnsi="宋体" w:cs="Times New Roman"/>
          <w:color w:val="auto"/>
          <w:kern w:val="2"/>
          <w:szCs w:val="24"/>
          <w:highlight w:val="none"/>
          <w:lang w:eastAsia="zh-CN"/>
        </w:rPr>
        <w:t>）承包人不按合同约定履行义务的其他情况。</w:t>
      </w:r>
    </w:p>
    <w:p w14:paraId="11A09A0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22.1.2  </w:t>
      </w:r>
      <w:r>
        <w:rPr>
          <w:rFonts w:hint="eastAsia" w:hAnsi="宋体" w:cs="Times New Roman"/>
          <w:color w:val="auto"/>
          <w:kern w:val="2"/>
          <w:szCs w:val="24"/>
          <w:highlight w:val="none"/>
          <w:lang w:eastAsia="zh-CN"/>
        </w:rPr>
        <w:t>对承包人违约的处理</w:t>
      </w:r>
    </w:p>
    <w:p w14:paraId="149E101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本项补充：</w:t>
      </w:r>
    </w:p>
    <w:p w14:paraId="219E8DAD">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承包人发生第</w:t>
      </w:r>
      <w:r>
        <w:rPr>
          <w:rFonts w:hAnsi="宋体" w:cs="Times New Roman"/>
          <w:color w:val="auto"/>
          <w:kern w:val="2"/>
          <w:szCs w:val="24"/>
          <w:highlight w:val="none"/>
          <w:lang w:eastAsia="zh-CN"/>
        </w:rPr>
        <w:t xml:space="preserve">22.1.1 </w:t>
      </w:r>
      <w:r>
        <w:rPr>
          <w:rFonts w:hint="eastAsia" w:hAnsi="宋体" w:cs="Times New Roman"/>
          <w:color w:val="auto"/>
          <w:kern w:val="2"/>
          <w:szCs w:val="24"/>
          <w:highlight w:val="none"/>
          <w:lang w:eastAsia="zh-CN"/>
        </w:rPr>
        <w:t>项约定的违约情况时</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无论发包人是否解除合同</w:t>
      </w:r>
      <w:r>
        <w:rPr>
          <w:rFonts w:hint="eastAsia" w:hAnsi="宋体" w:cs="Times New Roman"/>
          <w:color w:val="auto"/>
          <w:spacing w:val="-28"/>
          <w:kern w:val="2"/>
          <w:szCs w:val="24"/>
          <w:highlight w:val="none"/>
          <w:lang w:eastAsia="zh-CN"/>
        </w:rPr>
        <w:t>，</w:t>
      </w:r>
      <w:r>
        <w:rPr>
          <w:rFonts w:hint="eastAsia" w:hAnsi="宋体" w:cs="Times New Roman"/>
          <w:color w:val="auto"/>
          <w:kern w:val="2"/>
          <w:szCs w:val="24"/>
          <w:highlight w:val="none"/>
          <w:lang w:eastAsia="zh-CN"/>
        </w:rPr>
        <w:t>发包人均有权向承包人课以项目专用合同条款中规定的违约金，并由发包人将其违约行为上报省级交通运输主管部门，作为不良记录纳入公路建设市场信用信息管理系统。</w:t>
      </w:r>
    </w:p>
    <w:p w14:paraId="12909DC2">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0" w:name="bookmark249"/>
      <w:bookmarkEnd w:id="250"/>
      <w:r>
        <w:rPr>
          <w:rFonts w:hAnsi="宋体" w:cs="Times New Roman"/>
          <w:color w:val="auto"/>
          <w:kern w:val="2"/>
          <w:szCs w:val="24"/>
          <w:highlight w:val="none"/>
          <w:lang w:eastAsia="zh-CN"/>
        </w:rPr>
        <w:t>22.2</w:t>
      </w:r>
      <w:r>
        <w:rPr>
          <w:rFonts w:hint="eastAsia" w:hAnsi="宋体" w:cs="Times New Roman"/>
          <w:color w:val="auto"/>
          <w:kern w:val="2"/>
          <w:szCs w:val="24"/>
          <w:highlight w:val="none"/>
          <w:lang w:eastAsia="zh-CN"/>
        </w:rPr>
        <w:t>发包人违约</w:t>
      </w:r>
    </w:p>
    <w:p w14:paraId="0CD8347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22.2.1 </w:t>
      </w:r>
      <w:r>
        <w:rPr>
          <w:rFonts w:hint="eastAsia" w:hAnsi="宋体" w:cs="Times New Roman"/>
          <w:color w:val="auto"/>
          <w:kern w:val="2"/>
          <w:szCs w:val="24"/>
          <w:highlight w:val="none"/>
          <w:lang w:eastAsia="zh-CN"/>
        </w:rPr>
        <w:t>发包人违约的情形</w:t>
      </w:r>
    </w:p>
    <w:p w14:paraId="112AA8DE">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）目细化为：</w:t>
      </w:r>
    </w:p>
    <w:p w14:paraId="4F7D648A">
      <w:pPr>
        <w:widowControl w:val="0"/>
        <w:kinsoku w:val="0"/>
        <w:overflowPunct w:val="0"/>
        <w:adjustRightInd w:val="0"/>
        <w:snapToGrid w:val="0"/>
        <w:spacing w:line="360" w:lineRule="auto"/>
        <w:ind w:firstLine="420" w:firstLineChars="200"/>
        <w:jc w:val="both"/>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5</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发包人无正当理由不按时返还履约保证金</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质量保证金或农民工工资保证</w:t>
      </w:r>
      <w:r>
        <w:rPr>
          <w:rFonts w:hint="eastAsia" w:hAnsi="宋体" w:cs="Times New Roman"/>
          <w:color w:val="auto"/>
          <w:spacing w:val="-1"/>
          <w:kern w:val="2"/>
          <w:szCs w:val="24"/>
          <w:highlight w:val="none"/>
          <w:lang w:eastAsia="zh-CN"/>
        </w:rPr>
        <w:t>金的；</w:t>
      </w:r>
    </w:p>
    <w:p w14:paraId="0F97F4EF">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6</w:t>
      </w:r>
      <w:r>
        <w:rPr>
          <w:rFonts w:hint="eastAsia" w:hAnsi="宋体" w:cs="Times New Roman"/>
          <w:color w:val="auto"/>
          <w:kern w:val="2"/>
          <w:szCs w:val="24"/>
          <w:highlight w:val="none"/>
          <w:lang w:eastAsia="zh-CN"/>
        </w:rPr>
        <w:t>）发包人不履行合同约定其他义务的。</w:t>
      </w:r>
    </w:p>
    <w:p w14:paraId="088A8A6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22.2.2  </w:t>
      </w:r>
      <w:r>
        <w:rPr>
          <w:rFonts w:hint="eastAsia" w:hAnsi="宋体" w:cs="Times New Roman"/>
          <w:color w:val="auto"/>
          <w:kern w:val="2"/>
          <w:szCs w:val="24"/>
          <w:highlight w:val="none"/>
          <w:lang w:eastAsia="zh-CN"/>
        </w:rPr>
        <w:t>承包人有权暂停施工</w:t>
      </w:r>
    </w:p>
    <w:p w14:paraId="550B7C3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本项细化为：</w:t>
      </w:r>
    </w:p>
    <w:p w14:paraId="7F9397E2">
      <w:pPr>
        <w:widowControl w:val="0"/>
        <w:kinsoku w:val="0"/>
        <w:overflowPunct w:val="0"/>
        <w:adjustRightInd w:val="0"/>
        <w:snapToGrid w:val="0"/>
        <w:spacing w:line="360" w:lineRule="auto"/>
        <w:ind w:firstLine="470"/>
        <w:jc w:val="both"/>
        <w:rPr>
          <w:rFonts w:hAnsi="宋体" w:cs="Times New Roman"/>
          <w:color w:val="auto"/>
          <w:spacing w:val="-1"/>
          <w:kern w:val="2"/>
          <w:szCs w:val="24"/>
          <w:highlight w:val="none"/>
          <w:lang w:eastAsia="zh-CN"/>
        </w:rPr>
      </w:pPr>
      <w:r>
        <w:rPr>
          <w:rFonts w:hint="eastAsia" w:hAnsi="宋体" w:cs="Times New Roman"/>
          <w:color w:val="auto"/>
          <w:spacing w:val="2"/>
          <w:kern w:val="2"/>
          <w:szCs w:val="24"/>
          <w:highlight w:val="none"/>
          <w:lang w:eastAsia="zh-CN"/>
        </w:rPr>
        <w:t>发包</w:t>
      </w:r>
      <w:r>
        <w:rPr>
          <w:rFonts w:hint="eastAsia" w:hAnsi="宋体" w:cs="Times New Roman"/>
          <w:color w:val="auto"/>
          <w:kern w:val="2"/>
          <w:szCs w:val="24"/>
          <w:highlight w:val="none"/>
          <w:lang w:eastAsia="zh-CN"/>
        </w:rPr>
        <w:t>人</w:t>
      </w:r>
      <w:r>
        <w:rPr>
          <w:rFonts w:hint="eastAsia" w:hAnsi="宋体" w:cs="Times New Roman"/>
          <w:color w:val="auto"/>
          <w:spacing w:val="2"/>
          <w:kern w:val="2"/>
          <w:szCs w:val="24"/>
          <w:highlight w:val="none"/>
          <w:lang w:eastAsia="zh-CN"/>
        </w:rPr>
        <w:t>发</w:t>
      </w:r>
      <w:r>
        <w:rPr>
          <w:rFonts w:hint="eastAsia" w:hAnsi="宋体" w:cs="Times New Roman"/>
          <w:color w:val="auto"/>
          <w:kern w:val="2"/>
          <w:szCs w:val="24"/>
          <w:highlight w:val="none"/>
          <w:lang w:eastAsia="zh-CN"/>
        </w:rPr>
        <w:t>生</w:t>
      </w:r>
      <w:r>
        <w:rPr>
          <w:rFonts w:hint="eastAsia" w:hAnsi="宋体" w:cs="Times New Roman"/>
          <w:color w:val="auto"/>
          <w:spacing w:val="2"/>
          <w:kern w:val="2"/>
          <w:szCs w:val="24"/>
          <w:highlight w:val="none"/>
          <w:lang w:eastAsia="zh-CN"/>
        </w:rPr>
        <w:t>除</w:t>
      </w: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22.2.1</w:t>
      </w:r>
      <w:r>
        <w:rPr>
          <w:rFonts w:hint="eastAsia" w:hAnsi="宋体" w:cs="Times New Roman"/>
          <w:color w:val="auto"/>
          <w:spacing w:val="2"/>
          <w:kern w:val="2"/>
          <w:szCs w:val="24"/>
          <w:highlight w:val="none"/>
          <w:lang w:eastAsia="zh-CN"/>
        </w:rPr>
        <w:t>（</w:t>
      </w:r>
      <w:r>
        <w:rPr>
          <w:rFonts w:hAnsi="宋体" w:cs="Times New Roman"/>
          <w:color w:val="auto"/>
          <w:spacing w:val="2"/>
          <w:kern w:val="2"/>
          <w:szCs w:val="24"/>
          <w:highlight w:val="none"/>
          <w:lang w:eastAsia="zh-CN"/>
        </w:rPr>
        <w:t>4</w:t>
      </w:r>
      <w:r>
        <w:rPr>
          <w:rFonts w:hint="eastAsia" w:hAnsi="宋体" w:cs="Times New Roman"/>
          <w:color w:val="auto"/>
          <w:spacing w:val="-120"/>
          <w:kern w:val="2"/>
          <w:szCs w:val="24"/>
          <w:highlight w:val="none"/>
          <w:lang w:eastAsia="zh-CN"/>
        </w:rPr>
        <w:t>）</w:t>
      </w:r>
      <w:r>
        <w:rPr>
          <w:rFonts w:hint="eastAsia" w:hAnsi="宋体" w:cs="Times New Roman"/>
          <w:color w:val="auto"/>
          <w:spacing w:val="-118"/>
          <w:kern w:val="2"/>
          <w:szCs w:val="24"/>
          <w:highlight w:val="none"/>
          <w:lang w:eastAsia="zh-CN"/>
        </w:rPr>
        <w:t>、</w:t>
      </w:r>
      <w:r>
        <w:rPr>
          <w:rFonts w:hint="eastAsia" w:hAnsi="宋体" w:cs="Times New Roman"/>
          <w:color w:val="auto"/>
          <w:kern w:val="2"/>
          <w:szCs w:val="24"/>
          <w:highlight w:val="none"/>
          <w:lang w:eastAsia="zh-CN"/>
        </w:rPr>
        <w:t>（</w:t>
      </w:r>
      <w:r>
        <w:rPr>
          <w:rFonts w:hAnsi="宋体" w:cs="Times New Roman"/>
          <w:color w:val="auto"/>
          <w:spacing w:val="2"/>
          <w:kern w:val="2"/>
          <w:szCs w:val="24"/>
          <w:highlight w:val="none"/>
          <w:lang w:eastAsia="zh-CN"/>
        </w:rPr>
        <w:t>5</w:t>
      </w:r>
      <w:r>
        <w:rPr>
          <w:rFonts w:hint="eastAsia" w:hAnsi="宋体" w:cs="Times New Roman"/>
          <w:color w:val="auto"/>
          <w:spacing w:val="2"/>
          <w:kern w:val="2"/>
          <w:szCs w:val="24"/>
          <w:highlight w:val="none"/>
          <w:lang w:eastAsia="zh-CN"/>
        </w:rPr>
        <w:t>）</w:t>
      </w:r>
      <w:r>
        <w:rPr>
          <w:rFonts w:hint="eastAsia" w:hAnsi="宋体" w:cs="Times New Roman"/>
          <w:color w:val="auto"/>
          <w:kern w:val="2"/>
          <w:szCs w:val="24"/>
          <w:highlight w:val="none"/>
          <w:lang w:eastAsia="zh-CN"/>
        </w:rPr>
        <w:t>目</w:t>
      </w:r>
      <w:r>
        <w:rPr>
          <w:rFonts w:hint="eastAsia" w:hAnsi="宋体" w:cs="Times New Roman"/>
          <w:color w:val="auto"/>
          <w:spacing w:val="2"/>
          <w:kern w:val="2"/>
          <w:szCs w:val="24"/>
          <w:highlight w:val="none"/>
          <w:lang w:eastAsia="zh-CN"/>
        </w:rPr>
        <w:t>以</w:t>
      </w:r>
      <w:r>
        <w:rPr>
          <w:rFonts w:hint="eastAsia" w:hAnsi="宋体" w:cs="Times New Roman"/>
          <w:color w:val="auto"/>
          <w:kern w:val="2"/>
          <w:szCs w:val="24"/>
          <w:highlight w:val="none"/>
          <w:lang w:eastAsia="zh-CN"/>
        </w:rPr>
        <w:t>外</w:t>
      </w:r>
      <w:r>
        <w:rPr>
          <w:rFonts w:hint="eastAsia" w:hAnsi="宋体" w:cs="Times New Roman"/>
          <w:color w:val="auto"/>
          <w:spacing w:val="2"/>
          <w:kern w:val="2"/>
          <w:szCs w:val="24"/>
          <w:highlight w:val="none"/>
          <w:lang w:eastAsia="zh-CN"/>
        </w:rPr>
        <w:t>的</w:t>
      </w:r>
      <w:r>
        <w:rPr>
          <w:rFonts w:hint="eastAsia" w:hAnsi="宋体" w:cs="Times New Roman"/>
          <w:color w:val="auto"/>
          <w:kern w:val="2"/>
          <w:szCs w:val="24"/>
          <w:highlight w:val="none"/>
          <w:lang w:eastAsia="zh-CN"/>
        </w:rPr>
        <w:t>违</w:t>
      </w:r>
      <w:r>
        <w:rPr>
          <w:rFonts w:hint="eastAsia" w:hAnsi="宋体" w:cs="Times New Roman"/>
          <w:color w:val="auto"/>
          <w:spacing w:val="2"/>
          <w:kern w:val="2"/>
          <w:szCs w:val="24"/>
          <w:highlight w:val="none"/>
          <w:lang w:eastAsia="zh-CN"/>
        </w:rPr>
        <w:t>约情</w:t>
      </w:r>
      <w:r>
        <w:rPr>
          <w:rFonts w:hint="eastAsia" w:hAnsi="宋体" w:cs="Times New Roman"/>
          <w:color w:val="auto"/>
          <w:kern w:val="2"/>
          <w:szCs w:val="24"/>
          <w:highlight w:val="none"/>
          <w:lang w:eastAsia="zh-CN"/>
        </w:rPr>
        <w:t>况</w:t>
      </w:r>
      <w:r>
        <w:rPr>
          <w:rFonts w:hint="eastAsia" w:hAnsi="宋体" w:cs="Times New Roman"/>
          <w:color w:val="auto"/>
          <w:spacing w:val="2"/>
          <w:kern w:val="2"/>
          <w:szCs w:val="24"/>
          <w:highlight w:val="none"/>
          <w:lang w:eastAsia="zh-CN"/>
        </w:rPr>
        <w:t>时</w:t>
      </w:r>
      <w:r>
        <w:rPr>
          <w:rFonts w:hint="eastAsia" w:hAnsi="宋体" w:cs="Times New Roman"/>
          <w:color w:val="auto"/>
          <w:kern w:val="2"/>
          <w:szCs w:val="24"/>
          <w:highlight w:val="none"/>
          <w:lang w:eastAsia="zh-CN"/>
        </w:rPr>
        <w:t>，</w:t>
      </w:r>
      <w:r>
        <w:rPr>
          <w:rFonts w:hint="eastAsia" w:hAnsi="宋体" w:cs="Times New Roman"/>
          <w:color w:val="auto"/>
          <w:spacing w:val="2"/>
          <w:kern w:val="2"/>
          <w:szCs w:val="24"/>
          <w:highlight w:val="none"/>
          <w:lang w:eastAsia="zh-CN"/>
        </w:rPr>
        <w:t>承包</w:t>
      </w:r>
      <w:r>
        <w:rPr>
          <w:rFonts w:hint="eastAsia" w:hAnsi="宋体" w:cs="Times New Roman"/>
          <w:color w:val="auto"/>
          <w:kern w:val="2"/>
          <w:szCs w:val="24"/>
          <w:highlight w:val="none"/>
          <w:lang w:eastAsia="zh-CN"/>
        </w:rPr>
        <w:t>人</w:t>
      </w:r>
      <w:r>
        <w:rPr>
          <w:rFonts w:hint="eastAsia" w:hAnsi="宋体" w:cs="Times New Roman"/>
          <w:color w:val="auto"/>
          <w:spacing w:val="2"/>
          <w:kern w:val="2"/>
          <w:szCs w:val="24"/>
          <w:highlight w:val="none"/>
          <w:lang w:eastAsia="zh-CN"/>
        </w:rPr>
        <w:t>可</w:t>
      </w:r>
      <w:r>
        <w:rPr>
          <w:rFonts w:hint="eastAsia" w:hAnsi="宋体" w:cs="Times New Roman"/>
          <w:color w:val="auto"/>
          <w:kern w:val="2"/>
          <w:szCs w:val="24"/>
          <w:highlight w:val="none"/>
          <w:lang w:eastAsia="zh-CN"/>
        </w:rPr>
        <w:t>向</w:t>
      </w:r>
      <w:r>
        <w:rPr>
          <w:rFonts w:hint="eastAsia" w:hAnsi="宋体" w:cs="Times New Roman"/>
          <w:color w:val="auto"/>
          <w:spacing w:val="2"/>
          <w:kern w:val="2"/>
          <w:szCs w:val="24"/>
          <w:highlight w:val="none"/>
          <w:lang w:eastAsia="zh-CN"/>
        </w:rPr>
        <w:t>发包人</w:t>
      </w:r>
      <w:r>
        <w:rPr>
          <w:rFonts w:hint="eastAsia" w:hAnsi="宋体" w:cs="Times New Roman"/>
          <w:color w:val="auto"/>
          <w:kern w:val="2"/>
          <w:szCs w:val="24"/>
          <w:highlight w:val="none"/>
          <w:lang w:eastAsia="zh-CN"/>
        </w:rPr>
        <w:t>发出通知</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要求发包人采取有效措施纠正违约行为</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发包人收到承包人通知后的</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天内仍不履行合同义务，承包人有权暂停施工，并通知监理人，发包人应承担由此增</w:t>
      </w:r>
      <w:r>
        <w:rPr>
          <w:rFonts w:hint="eastAsia" w:hAnsi="宋体" w:cs="Times New Roman"/>
          <w:color w:val="auto"/>
          <w:spacing w:val="-1"/>
          <w:kern w:val="2"/>
          <w:szCs w:val="24"/>
          <w:highlight w:val="none"/>
          <w:lang w:eastAsia="zh-CN"/>
        </w:rPr>
        <w:t>加的费用和（或）工期延误，并支付承包人合理利润。</w:t>
      </w:r>
    </w:p>
    <w:p w14:paraId="3A24B50A">
      <w:pPr>
        <w:widowControl w:val="0"/>
        <w:kinsoku w:val="0"/>
        <w:overflowPunct w:val="0"/>
        <w:adjustRightInd w:val="0"/>
        <w:snapToGrid w:val="0"/>
        <w:spacing w:line="360" w:lineRule="auto"/>
        <w:ind w:firstLine="630" w:firstLineChars="3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发包人发生第</w:t>
      </w:r>
      <w:r>
        <w:rPr>
          <w:rFonts w:hAnsi="宋体" w:cs="Times New Roman"/>
          <w:color w:val="auto"/>
          <w:spacing w:val="-1"/>
          <w:kern w:val="2"/>
          <w:szCs w:val="24"/>
          <w:highlight w:val="none"/>
          <w:lang w:eastAsia="zh-CN"/>
        </w:rPr>
        <w:t>22.2.1</w:t>
      </w:r>
      <w:r>
        <w:rPr>
          <w:rFonts w:hint="eastAsia" w:hAnsi="宋体" w:cs="Times New Roman"/>
          <w:color w:val="auto"/>
          <w:spacing w:val="-1"/>
          <w:kern w:val="2"/>
          <w:szCs w:val="24"/>
          <w:highlight w:val="none"/>
          <w:lang w:eastAsia="zh-CN"/>
        </w:rPr>
        <w:t>（</w:t>
      </w:r>
      <w:r>
        <w:rPr>
          <w:rFonts w:hAnsi="宋体" w:cs="Times New Roman"/>
          <w:color w:val="auto"/>
          <w:spacing w:val="-1"/>
          <w:kern w:val="2"/>
          <w:szCs w:val="24"/>
          <w:highlight w:val="none"/>
          <w:lang w:eastAsia="zh-CN"/>
        </w:rPr>
        <w:t>5</w:t>
      </w:r>
      <w:r>
        <w:rPr>
          <w:rFonts w:hint="eastAsia" w:hAnsi="宋体" w:cs="Times New Roman"/>
          <w:color w:val="auto"/>
          <w:spacing w:val="-1"/>
          <w:kern w:val="2"/>
          <w:szCs w:val="24"/>
          <w:highlight w:val="none"/>
          <w:lang w:eastAsia="zh-CN"/>
        </w:rPr>
        <w:t>）目的违约情况时，承包人可向发包人发出通知，要求</w:t>
      </w:r>
      <w:r>
        <w:rPr>
          <w:rFonts w:hint="eastAsia" w:hAnsi="宋体" w:cs="Times New Roman"/>
          <w:color w:val="auto"/>
          <w:kern w:val="2"/>
          <w:szCs w:val="24"/>
          <w:highlight w:val="none"/>
          <w:lang w:eastAsia="zh-CN"/>
        </w:rPr>
        <w:t>发包人采取有效措施纠正违约行为</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发包人收到承包人通知后的</w:t>
      </w:r>
      <w:r>
        <w:rPr>
          <w:rFonts w:hAnsi="宋体" w:cs="Times New Roman"/>
          <w:color w:val="auto"/>
          <w:kern w:val="2"/>
          <w:szCs w:val="24"/>
          <w:highlight w:val="none"/>
          <w:lang w:eastAsia="zh-CN"/>
        </w:rPr>
        <w:t xml:space="preserve">28 </w:t>
      </w:r>
      <w:r>
        <w:rPr>
          <w:rFonts w:hint="eastAsia" w:hAnsi="宋体" w:cs="Times New Roman"/>
          <w:color w:val="auto"/>
          <w:kern w:val="2"/>
          <w:szCs w:val="24"/>
          <w:highlight w:val="none"/>
          <w:lang w:eastAsia="zh-CN"/>
        </w:rPr>
        <w:t>天内仍不返还履约保证金、质量保证金或农民工工资保证金的，发包人应按项目专用合同条款的约定向承包人支付逾期返还保证金的违约金。</w:t>
      </w:r>
    </w:p>
    <w:p w14:paraId="2F99BE8C">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22.2.4  </w:t>
      </w:r>
      <w:r>
        <w:rPr>
          <w:rFonts w:hint="eastAsia" w:hAnsi="宋体" w:cs="Times New Roman"/>
          <w:color w:val="auto"/>
          <w:kern w:val="2"/>
          <w:szCs w:val="24"/>
          <w:highlight w:val="none"/>
          <w:lang w:eastAsia="zh-CN"/>
        </w:rPr>
        <w:t>解除合同后的付款</w:t>
      </w:r>
    </w:p>
    <w:p w14:paraId="14925F6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）目细化为：</w:t>
      </w:r>
    </w:p>
    <w:p w14:paraId="3C5EAAFE">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）承包人为该工程施工订购并已付款的材料、工程设备和其他物品的金额。发包人付款后，该材料、工程设备和其他物品归发包人所有；</w:t>
      </w:r>
    </w:p>
    <w:p w14:paraId="155CCE34">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1" w:name="bookmark250"/>
      <w:bookmarkEnd w:id="251"/>
      <w:r>
        <w:rPr>
          <w:rFonts w:hAnsi="宋体" w:cs="Times New Roman"/>
          <w:color w:val="auto"/>
          <w:kern w:val="2"/>
          <w:szCs w:val="24"/>
          <w:highlight w:val="none"/>
          <w:lang w:eastAsia="zh-CN"/>
        </w:rPr>
        <w:t>23.</w:t>
      </w:r>
      <w:r>
        <w:rPr>
          <w:rFonts w:hint="eastAsia" w:hAnsi="宋体" w:cs="Times New Roman"/>
          <w:color w:val="auto"/>
          <w:kern w:val="2"/>
          <w:szCs w:val="24"/>
          <w:highlight w:val="none"/>
          <w:lang w:eastAsia="zh-CN"/>
        </w:rPr>
        <w:t>索赔</w:t>
      </w:r>
    </w:p>
    <w:p w14:paraId="4B172120">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2" w:name="bookmark251"/>
      <w:bookmarkEnd w:id="252"/>
      <w:r>
        <w:rPr>
          <w:rFonts w:hAnsi="宋体" w:cs="Times New Roman"/>
          <w:color w:val="auto"/>
          <w:kern w:val="2"/>
          <w:szCs w:val="24"/>
          <w:highlight w:val="none"/>
          <w:lang w:eastAsia="zh-CN"/>
        </w:rPr>
        <w:t>23.1</w:t>
      </w:r>
      <w:r>
        <w:rPr>
          <w:rFonts w:hint="eastAsia" w:hAnsi="宋体" w:cs="Times New Roman"/>
          <w:color w:val="auto"/>
          <w:kern w:val="2"/>
          <w:szCs w:val="24"/>
          <w:highlight w:val="none"/>
          <w:lang w:eastAsia="zh-CN"/>
        </w:rPr>
        <w:t>承包人索赔的提出</w:t>
      </w:r>
    </w:p>
    <w:p w14:paraId="29A9B2F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本款第（</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）项细化为：</w:t>
      </w:r>
    </w:p>
    <w:p w14:paraId="4CCF9C76">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）在索赔事件影响结束后的</w:t>
      </w:r>
      <w:r>
        <w:rPr>
          <w:rFonts w:hAnsi="宋体" w:cs="Times New Roman"/>
          <w:color w:val="auto"/>
          <w:kern w:val="2"/>
          <w:szCs w:val="24"/>
          <w:highlight w:val="none"/>
          <w:lang w:eastAsia="zh-CN"/>
        </w:rPr>
        <w:t>28</w:t>
      </w:r>
      <w:r>
        <w:rPr>
          <w:rFonts w:hint="eastAsia" w:hAnsi="宋体" w:cs="Times New Roman"/>
          <w:color w:val="auto"/>
          <w:kern w:val="2"/>
          <w:szCs w:val="24"/>
          <w:highlight w:val="none"/>
          <w:lang w:eastAsia="zh-CN"/>
        </w:rPr>
        <w:t>天内，承包人应向监理人递交最终索赔通知书，说明最终要求索赔的追加付款金额和（或）延长的工期，并附必要的记录和证明材料。</w:t>
      </w:r>
    </w:p>
    <w:p w14:paraId="25EC8D89">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3" w:name="bookmark252"/>
      <w:bookmarkEnd w:id="253"/>
      <w:r>
        <w:rPr>
          <w:rFonts w:hAnsi="宋体" w:cs="Times New Roman"/>
          <w:color w:val="auto"/>
          <w:kern w:val="2"/>
          <w:szCs w:val="24"/>
          <w:highlight w:val="none"/>
          <w:lang w:eastAsia="zh-CN"/>
        </w:rPr>
        <w:t>23.2</w:t>
      </w:r>
      <w:r>
        <w:rPr>
          <w:rFonts w:hint="eastAsia" w:hAnsi="宋体" w:cs="Times New Roman"/>
          <w:color w:val="auto"/>
          <w:kern w:val="2"/>
          <w:szCs w:val="24"/>
          <w:highlight w:val="none"/>
          <w:lang w:eastAsia="zh-CN"/>
        </w:rPr>
        <w:t>承包人索赔处理程序</w:t>
      </w:r>
    </w:p>
    <w:p w14:paraId="1B9B7ED3">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本款第（</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）项细化为：</w:t>
      </w:r>
    </w:p>
    <w:p w14:paraId="4594D382">
      <w:pPr>
        <w:widowControl w:val="0"/>
        <w:kinsoku w:val="0"/>
        <w:overflowPunct w:val="0"/>
        <w:adjustRightInd w:val="0"/>
        <w:snapToGrid w:val="0"/>
        <w:spacing w:line="360" w:lineRule="auto"/>
        <w:ind w:firstLine="416" w:firstLineChars="200"/>
        <w:jc w:val="both"/>
        <w:rPr>
          <w:rFonts w:hAnsi="宋体" w:cs="Times New Roman"/>
          <w:color w:val="auto"/>
          <w:kern w:val="2"/>
          <w:szCs w:val="24"/>
          <w:highlight w:val="none"/>
          <w:lang w:eastAsia="zh-CN"/>
        </w:rPr>
      </w:pPr>
      <w:r>
        <w:rPr>
          <w:rFonts w:hint="eastAsia" w:hAnsi="宋体" w:cs="Times New Roman"/>
          <w:color w:val="auto"/>
          <w:spacing w:val="-1"/>
          <w:kern w:val="2"/>
          <w:szCs w:val="24"/>
          <w:highlight w:val="none"/>
          <w:lang w:eastAsia="zh-CN"/>
        </w:rPr>
        <w:t>（</w:t>
      </w:r>
      <w:r>
        <w:rPr>
          <w:rFonts w:hAnsi="宋体" w:cs="Times New Roman"/>
          <w:color w:val="auto"/>
          <w:spacing w:val="-1"/>
          <w:kern w:val="2"/>
          <w:szCs w:val="24"/>
          <w:highlight w:val="none"/>
          <w:lang w:eastAsia="zh-CN"/>
        </w:rPr>
        <w:t>2</w:t>
      </w:r>
      <w:r>
        <w:rPr>
          <w:rFonts w:hint="eastAsia" w:hAnsi="宋体" w:cs="Times New Roman"/>
          <w:color w:val="auto"/>
          <w:spacing w:val="-1"/>
          <w:kern w:val="2"/>
          <w:szCs w:val="24"/>
          <w:highlight w:val="none"/>
          <w:lang w:eastAsia="zh-CN"/>
        </w:rPr>
        <w:t>）监理人应按第</w:t>
      </w:r>
      <w:r>
        <w:rPr>
          <w:rFonts w:hAnsi="宋体" w:cs="Times New Roman"/>
          <w:color w:val="auto"/>
          <w:kern w:val="2"/>
          <w:szCs w:val="24"/>
          <w:highlight w:val="none"/>
          <w:lang w:eastAsia="zh-CN"/>
        </w:rPr>
        <w:t xml:space="preserve">3.5 </w:t>
      </w:r>
      <w:r>
        <w:rPr>
          <w:rFonts w:hint="eastAsia" w:hAnsi="宋体" w:cs="Times New Roman"/>
          <w:color w:val="auto"/>
          <w:spacing w:val="-1"/>
          <w:kern w:val="2"/>
          <w:szCs w:val="24"/>
          <w:highlight w:val="none"/>
          <w:lang w:eastAsia="zh-CN"/>
        </w:rPr>
        <w:t>款商定或确定追加的付款和（或）延长的工期，并在收</w:t>
      </w:r>
      <w:r>
        <w:rPr>
          <w:rFonts w:hint="eastAsia" w:hAnsi="宋体" w:cs="Times New Roman"/>
          <w:color w:val="auto"/>
          <w:kern w:val="2"/>
          <w:szCs w:val="24"/>
          <w:highlight w:val="none"/>
          <w:lang w:eastAsia="zh-CN"/>
        </w:rPr>
        <w:t>到上述索赔通知书或有关索赔的进一步证明材料后的</w:t>
      </w:r>
      <w:r>
        <w:rPr>
          <w:rFonts w:hAnsi="宋体" w:cs="Times New Roman"/>
          <w:color w:val="auto"/>
          <w:kern w:val="2"/>
          <w:szCs w:val="24"/>
          <w:highlight w:val="none"/>
          <w:lang w:eastAsia="zh-CN"/>
        </w:rPr>
        <w:t xml:space="preserve">42 </w:t>
      </w:r>
      <w:r>
        <w:rPr>
          <w:rFonts w:hint="eastAsia" w:hAnsi="宋体" w:cs="Times New Roman"/>
          <w:color w:val="auto"/>
          <w:kern w:val="2"/>
          <w:szCs w:val="24"/>
          <w:highlight w:val="none"/>
          <w:lang w:eastAsia="zh-CN"/>
        </w:rPr>
        <w:t>天内</w:t>
      </w:r>
      <w:r>
        <w:rPr>
          <w:rFonts w:hint="eastAsia" w:hAnsi="宋体" w:cs="Times New Roman"/>
          <w:color w:val="auto"/>
          <w:spacing w:val="-84"/>
          <w:kern w:val="2"/>
          <w:szCs w:val="24"/>
          <w:highlight w:val="none"/>
          <w:lang w:eastAsia="zh-CN"/>
        </w:rPr>
        <w:t>，</w:t>
      </w:r>
      <w:r>
        <w:rPr>
          <w:rFonts w:hint="eastAsia" w:hAnsi="宋体" w:cs="Times New Roman"/>
          <w:color w:val="auto"/>
          <w:kern w:val="2"/>
          <w:szCs w:val="24"/>
          <w:highlight w:val="none"/>
          <w:lang w:eastAsia="zh-CN"/>
        </w:rPr>
        <w:t xml:space="preserve">将索赔处理结果报发 </w:t>
      </w:r>
      <w:r>
        <w:rPr>
          <w:rFonts w:hint="eastAsia" w:hAnsi="宋体" w:cs="Times New Roman"/>
          <w:color w:val="auto"/>
          <w:spacing w:val="-1"/>
          <w:kern w:val="2"/>
          <w:szCs w:val="24"/>
          <w:highlight w:val="none"/>
          <w:lang w:eastAsia="zh-CN"/>
        </w:rPr>
        <w:t>包人批准后答复承包人。如果承包人提出的索赔要求未能遵守第</w:t>
      </w:r>
      <w:r>
        <w:rPr>
          <w:rFonts w:hAnsi="宋体" w:cs="Times New Roman"/>
          <w:color w:val="auto"/>
          <w:spacing w:val="-7"/>
          <w:kern w:val="2"/>
          <w:szCs w:val="24"/>
          <w:highlight w:val="none"/>
          <w:lang w:eastAsia="zh-CN"/>
        </w:rPr>
        <w:t>23.1</w:t>
      </w:r>
      <w:r>
        <w:rPr>
          <w:rFonts w:hint="eastAsia" w:hAnsi="宋体" w:cs="Times New Roman"/>
          <w:color w:val="auto"/>
          <w:spacing w:val="-7"/>
          <w:kern w:val="2"/>
          <w:szCs w:val="24"/>
          <w:highlight w:val="none"/>
          <w:lang w:eastAsia="zh-CN"/>
        </w:rPr>
        <w:t>（</w:t>
      </w:r>
      <w:r>
        <w:rPr>
          <w:rFonts w:hAnsi="宋体" w:cs="Times New Roman"/>
          <w:color w:val="auto"/>
          <w:spacing w:val="-7"/>
          <w:kern w:val="2"/>
          <w:szCs w:val="24"/>
          <w:highlight w:val="none"/>
          <w:lang w:eastAsia="zh-CN"/>
        </w:rPr>
        <w:t>2</w:t>
      </w:r>
      <w:r>
        <w:rPr>
          <w:rFonts w:hint="eastAsia" w:hAnsi="宋体" w:cs="Times New Roman"/>
          <w:color w:val="auto"/>
          <w:spacing w:val="-7"/>
          <w:kern w:val="2"/>
          <w:szCs w:val="24"/>
          <w:highlight w:val="none"/>
          <w:lang w:eastAsia="zh-CN"/>
        </w:rPr>
        <w:t>）</w:t>
      </w:r>
      <w:r>
        <w:rPr>
          <w:rFonts w:hAnsi="宋体" w:cs="Times New Roman"/>
          <w:color w:val="auto"/>
          <w:spacing w:val="-7"/>
          <w:kern w:val="2"/>
          <w:szCs w:val="24"/>
          <w:highlight w:val="none"/>
          <w:lang w:eastAsia="zh-CN"/>
        </w:rPr>
        <w:t>~</w:t>
      </w:r>
      <w:r>
        <w:rPr>
          <w:rFonts w:hint="eastAsia" w:hAnsi="宋体" w:cs="Times New Roman"/>
          <w:color w:val="auto"/>
          <w:spacing w:val="-7"/>
          <w:kern w:val="2"/>
          <w:szCs w:val="24"/>
          <w:highlight w:val="none"/>
          <w:lang w:eastAsia="zh-CN"/>
        </w:rPr>
        <w:t>（</w:t>
      </w:r>
      <w:r>
        <w:rPr>
          <w:rFonts w:hAnsi="宋体" w:cs="Times New Roman"/>
          <w:color w:val="auto"/>
          <w:spacing w:val="-7"/>
          <w:kern w:val="2"/>
          <w:szCs w:val="24"/>
          <w:highlight w:val="none"/>
          <w:lang w:eastAsia="zh-CN"/>
        </w:rPr>
        <w:t>4</w:t>
      </w:r>
      <w:r>
        <w:rPr>
          <w:rFonts w:hint="eastAsia" w:hAnsi="宋体" w:cs="Times New Roman"/>
          <w:color w:val="auto"/>
          <w:spacing w:val="-7"/>
          <w:kern w:val="2"/>
          <w:szCs w:val="24"/>
          <w:highlight w:val="none"/>
          <w:lang w:eastAsia="zh-CN"/>
        </w:rPr>
        <w:t>）项</w:t>
      </w:r>
      <w:r>
        <w:rPr>
          <w:rFonts w:hint="eastAsia" w:hAnsi="宋体" w:cs="Times New Roman"/>
          <w:color w:val="auto"/>
          <w:kern w:val="2"/>
          <w:szCs w:val="24"/>
          <w:highlight w:val="none"/>
          <w:lang w:eastAsia="zh-CN"/>
        </w:rPr>
        <w:t>的规定，则承包人只限于索赔由监理人按当时记录予以核实的那部分款额和（或）工期延长天数。</w:t>
      </w:r>
    </w:p>
    <w:p w14:paraId="78A33445">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4" w:name="bookmark253"/>
      <w:bookmarkEnd w:id="254"/>
      <w:r>
        <w:rPr>
          <w:rFonts w:hAnsi="宋体" w:cs="Times New Roman"/>
          <w:color w:val="auto"/>
          <w:kern w:val="2"/>
          <w:szCs w:val="24"/>
          <w:highlight w:val="none"/>
          <w:lang w:eastAsia="zh-CN"/>
        </w:rPr>
        <w:t>24.</w:t>
      </w:r>
      <w:r>
        <w:rPr>
          <w:rFonts w:hint="eastAsia" w:hAnsi="宋体" w:cs="Times New Roman"/>
          <w:color w:val="auto"/>
          <w:kern w:val="2"/>
          <w:szCs w:val="24"/>
          <w:highlight w:val="none"/>
          <w:lang w:eastAsia="zh-CN"/>
        </w:rPr>
        <w:t>争议的解决</w:t>
      </w:r>
    </w:p>
    <w:p w14:paraId="219F0ABB">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5" w:name="bookmark254"/>
      <w:bookmarkEnd w:id="255"/>
      <w:r>
        <w:rPr>
          <w:rFonts w:hAnsi="宋体" w:cs="Times New Roman"/>
          <w:color w:val="auto"/>
          <w:kern w:val="2"/>
          <w:szCs w:val="24"/>
          <w:highlight w:val="none"/>
          <w:lang w:eastAsia="zh-CN"/>
        </w:rPr>
        <w:t>24.3</w:t>
      </w:r>
      <w:r>
        <w:rPr>
          <w:rFonts w:hint="eastAsia" w:hAnsi="宋体" w:cs="Times New Roman"/>
          <w:color w:val="auto"/>
          <w:kern w:val="2"/>
          <w:szCs w:val="24"/>
          <w:highlight w:val="none"/>
          <w:lang w:eastAsia="zh-CN"/>
        </w:rPr>
        <w:t>争议评审</w:t>
      </w:r>
    </w:p>
    <w:p w14:paraId="755093D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w:t>
      </w:r>
      <w:r>
        <w:rPr>
          <w:rFonts w:hAnsi="宋体" w:cs="Times New Roman"/>
          <w:color w:val="auto"/>
          <w:kern w:val="2"/>
          <w:szCs w:val="24"/>
          <w:highlight w:val="none"/>
          <w:lang w:eastAsia="zh-CN"/>
        </w:rPr>
        <w:t xml:space="preserve">24.3.1 </w:t>
      </w:r>
      <w:r>
        <w:rPr>
          <w:rFonts w:hint="eastAsia" w:hAnsi="宋体" w:cs="Times New Roman"/>
          <w:color w:val="auto"/>
          <w:kern w:val="2"/>
          <w:szCs w:val="24"/>
          <w:highlight w:val="none"/>
          <w:lang w:eastAsia="zh-CN"/>
        </w:rPr>
        <w:t>项补充：</w:t>
      </w:r>
    </w:p>
    <w:p w14:paraId="3EE3AD03">
      <w:pPr>
        <w:widowControl w:val="0"/>
        <w:kinsoku w:val="0"/>
        <w:overflowPunct w:val="0"/>
        <w:adjustRightInd w:val="0"/>
        <w:snapToGrid w:val="0"/>
        <w:spacing w:line="360" w:lineRule="auto"/>
        <w:ind w:firstLine="630" w:firstLineChars="3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争议评审组由</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人或</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7625ADE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w:t>
      </w:r>
      <w:r>
        <w:rPr>
          <w:rFonts w:hint="eastAsia" w:hAnsi="宋体" w:cs="Times New Roman"/>
          <w:color w:val="auto"/>
          <w:spacing w:val="-1"/>
          <w:kern w:val="2"/>
          <w:szCs w:val="24"/>
          <w:highlight w:val="none"/>
          <w:lang w:eastAsia="zh-CN"/>
        </w:rPr>
        <w:t>条</w:t>
      </w:r>
      <w:r>
        <w:rPr>
          <w:rFonts w:hint="eastAsia" w:hAnsi="宋体" w:cs="Times New Roman"/>
          <w:color w:val="auto"/>
          <w:kern w:val="2"/>
          <w:szCs w:val="24"/>
          <w:highlight w:val="none"/>
          <w:lang w:eastAsia="zh-CN"/>
        </w:rPr>
        <w:t>补充第</w:t>
      </w:r>
      <w:r>
        <w:rPr>
          <w:rFonts w:hAnsi="宋体" w:cs="Times New Roman"/>
          <w:color w:val="auto"/>
          <w:kern w:val="2"/>
          <w:szCs w:val="24"/>
          <w:highlight w:val="none"/>
          <w:lang w:eastAsia="zh-CN"/>
        </w:rPr>
        <w:t xml:space="preserve">24.4 </w:t>
      </w:r>
      <w:r>
        <w:rPr>
          <w:rFonts w:hint="eastAsia" w:hAnsi="宋体" w:cs="Times New Roman"/>
          <w:color w:val="auto"/>
          <w:kern w:val="2"/>
          <w:szCs w:val="24"/>
          <w:highlight w:val="none"/>
          <w:lang w:eastAsia="zh-CN"/>
        </w:rPr>
        <w:t>款、第</w:t>
      </w:r>
      <w:r>
        <w:rPr>
          <w:rFonts w:hAnsi="宋体" w:cs="Times New Roman"/>
          <w:color w:val="auto"/>
          <w:kern w:val="2"/>
          <w:szCs w:val="24"/>
          <w:highlight w:val="none"/>
          <w:lang w:eastAsia="zh-CN"/>
        </w:rPr>
        <w:t xml:space="preserve">24.5 </w:t>
      </w:r>
      <w:r>
        <w:rPr>
          <w:rFonts w:hint="eastAsia" w:hAnsi="宋体" w:cs="Times New Roman"/>
          <w:color w:val="auto"/>
          <w:kern w:val="2"/>
          <w:szCs w:val="24"/>
          <w:highlight w:val="none"/>
          <w:lang w:eastAsia="zh-CN"/>
        </w:rPr>
        <w:t>款（适用于采用仲裁方式最终解决争议的项</w:t>
      </w:r>
      <w:r>
        <w:rPr>
          <w:rFonts w:hint="eastAsia" w:hAnsi="宋体" w:cs="Times New Roman"/>
          <w:color w:val="auto"/>
          <w:spacing w:val="1"/>
          <w:kern w:val="2"/>
          <w:szCs w:val="24"/>
          <w:highlight w:val="none"/>
          <w:lang w:eastAsia="zh-CN"/>
        </w:rPr>
        <w:t>目</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w:t>
      </w:r>
    </w:p>
    <w:p w14:paraId="43E3EDB1">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6" w:name="bookmark255"/>
      <w:bookmarkEnd w:id="256"/>
      <w:r>
        <w:rPr>
          <w:rFonts w:hAnsi="宋体" w:cs="Times New Roman"/>
          <w:color w:val="auto"/>
          <w:kern w:val="2"/>
          <w:szCs w:val="24"/>
          <w:highlight w:val="none"/>
          <w:lang w:eastAsia="zh-CN"/>
        </w:rPr>
        <w:t>24.4</w:t>
      </w:r>
      <w:r>
        <w:rPr>
          <w:rFonts w:hint="eastAsia" w:hAnsi="宋体" w:cs="Times New Roman"/>
          <w:color w:val="auto"/>
          <w:kern w:val="2"/>
          <w:szCs w:val="24"/>
          <w:highlight w:val="none"/>
          <w:lang w:eastAsia="zh-CN"/>
        </w:rPr>
        <w:t>仲裁</w:t>
      </w:r>
    </w:p>
    <w:p w14:paraId="65EF3F62">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对于未能友好解决或未能通过争议评审解决的争议</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发包人或承包人任一方均有权提交给第</w:t>
      </w:r>
      <w:r>
        <w:rPr>
          <w:rFonts w:hAnsi="宋体" w:cs="Times New Roman"/>
          <w:color w:val="auto"/>
          <w:kern w:val="2"/>
          <w:szCs w:val="24"/>
          <w:highlight w:val="none"/>
          <w:lang w:eastAsia="zh-CN"/>
        </w:rPr>
        <w:t xml:space="preserve">24.1 </w:t>
      </w:r>
      <w:r>
        <w:rPr>
          <w:rFonts w:hint="eastAsia" w:hAnsi="宋体" w:cs="Times New Roman"/>
          <w:color w:val="auto"/>
          <w:kern w:val="2"/>
          <w:szCs w:val="24"/>
          <w:highlight w:val="none"/>
          <w:lang w:eastAsia="zh-CN"/>
        </w:rPr>
        <w:t>款约定的仲裁委员会仲裁。</w:t>
      </w:r>
    </w:p>
    <w:p w14:paraId="4AE17621">
      <w:pPr>
        <w:widowControl w:val="0"/>
        <w:kinsoku w:val="0"/>
        <w:overflowPunct w:val="0"/>
        <w:adjustRightInd w:val="0"/>
        <w:snapToGrid w:val="0"/>
        <w:spacing w:line="360" w:lineRule="auto"/>
        <w:ind w:firstLine="479"/>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仲裁可在交工之前或之后进行</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但发包人</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监理人和承包人各自的义务不得因在工程实施期间进行仲裁而有所改变。如果仲裁是在终止合同的情况下进行，则对合同工程应采取保护措施，措施费由败诉方承担。</w:t>
      </w:r>
    </w:p>
    <w:p w14:paraId="3DD7682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）仲裁裁决是终局性的并对发包人和承包人双方具有约束力。</w:t>
      </w:r>
    </w:p>
    <w:p w14:paraId="211434EF">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）全部仲裁费用应由败诉方承担；或按仲裁委员会裁决的比例分担。</w:t>
      </w:r>
    </w:p>
    <w:p w14:paraId="066E9747">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bookmarkStart w:id="257" w:name="bookmark256"/>
      <w:bookmarkEnd w:id="257"/>
      <w:r>
        <w:rPr>
          <w:rFonts w:hAnsi="宋体" w:cs="Times New Roman"/>
          <w:color w:val="auto"/>
          <w:kern w:val="2"/>
          <w:szCs w:val="24"/>
          <w:highlight w:val="none"/>
          <w:lang w:eastAsia="zh-CN"/>
        </w:rPr>
        <w:t>24.5</w:t>
      </w:r>
      <w:r>
        <w:rPr>
          <w:rFonts w:hint="eastAsia" w:hAnsi="宋体" w:cs="Times New Roman"/>
          <w:color w:val="auto"/>
          <w:kern w:val="2"/>
          <w:szCs w:val="24"/>
          <w:highlight w:val="none"/>
          <w:lang w:eastAsia="zh-CN"/>
        </w:rPr>
        <w:t>仲裁的执行</w:t>
      </w:r>
    </w:p>
    <w:p w14:paraId="6A800CA0">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（1）任何一方不履行仲裁机构的裁决的，对方可以向有管辖权的人民法院申请执行。</w:t>
      </w:r>
    </w:p>
    <w:p w14:paraId="05E4BD74">
      <w:pPr>
        <w:widowControl w:val="0"/>
        <w:kinsoku w:val="0"/>
        <w:overflowPunct w:val="0"/>
        <w:adjustRightInd w:val="0"/>
        <w:snapToGrid w:val="0"/>
        <w:spacing w:line="360" w:lineRule="auto"/>
        <w:ind w:firstLine="479"/>
        <w:jc w:val="both"/>
        <w:rPr>
          <w:rFonts w:hint="eastAsia" w:ascii="Times New Roman" w:hAnsi="宋体" w:eastAsia="宋体" w:cs="Times New Roman"/>
          <w:color w:val="auto"/>
          <w:kern w:val="2"/>
          <w:szCs w:val="24"/>
          <w:highlight w:val="none"/>
          <w:lang w:eastAsia="zh-CN"/>
        </w:rPr>
      </w:pPr>
      <w:r>
        <w:rPr>
          <w:rFonts w:hint="eastAsia" w:ascii="Times New Roman" w:hAnsi="宋体" w:eastAsia="宋体" w:cs="Times New Roman"/>
          <w:color w:val="auto"/>
          <w:kern w:val="2"/>
          <w:szCs w:val="24"/>
          <w:highlight w:val="none"/>
          <w:lang w:eastAsia="zh-CN"/>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2D648C28">
      <w:pPr>
        <w:rPr>
          <w:rFonts w:hint="eastAsia" w:hAnsi="宋体" w:cs="Times New Roman"/>
          <w:color w:val="auto"/>
          <w:kern w:val="2"/>
          <w:sz w:val="28"/>
          <w:szCs w:val="28"/>
          <w:highlight w:val="none"/>
          <w:lang w:eastAsia="zh-CN"/>
        </w:rPr>
      </w:pPr>
      <w:r>
        <w:rPr>
          <w:rFonts w:hint="eastAsia" w:hAnsi="宋体" w:cs="Times New Roman"/>
          <w:color w:val="auto"/>
          <w:kern w:val="2"/>
          <w:sz w:val="28"/>
          <w:szCs w:val="28"/>
          <w:highlight w:val="none"/>
          <w:lang w:eastAsia="zh-CN"/>
        </w:rPr>
        <w:br w:type="page"/>
      </w:r>
    </w:p>
    <w:p w14:paraId="05C9C8E7">
      <w:pPr>
        <w:widowControl w:val="0"/>
        <w:adjustRightInd w:val="0"/>
        <w:snapToGrid w:val="0"/>
        <w:spacing w:after="200" w:line="400" w:lineRule="exact"/>
        <w:jc w:val="center"/>
        <w:rPr>
          <w:rFonts w:hAnsi="宋体" w:cs="Times New Roman"/>
          <w:color w:val="auto"/>
          <w:kern w:val="2"/>
          <w:sz w:val="28"/>
          <w:szCs w:val="28"/>
          <w:highlight w:val="none"/>
          <w:lang w:eastAsia="zh-CN"/>
        </w:rPr>
      </w:pPr>
      <w:r>
        <w:rPr>
          <w:rFonts w:hint="eastAsia" w:hAnsi="宋体" w:cs="Times New Roman"/>
          <w:color w:val="auto"/>
          <w:kern w:val="2"/>
          <w:sz w:val="28"/>
          <w:szCs w:val="28"/>
          <w:highlight w:val="none"/>
          <w:lang w:eastAsia="zh-CN"/>
        </w:rPr>
        <w:t>B、项目专用合同条款</w:t>
      </w:r>
    </w:p>
    <w:p w14:paraId="66D336C8">
      <w:pPr>
        <w:widowControl w:val="0"/>
        <w:adjustRightInd w:val="0"/>
        <w:snapToGrid w:val="0"/>
        <w:spacing w:after="200" w:line="400" w:lineRule="exact"/>
        <w:ind w:firstLine="420" w:firstLineChars="200"/>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说明：</w:t>
      </w:r>
    </w:p>
    <w:p w14:paraId="34856F82">
      <w:pPr>
        <w:widowControl w:val="0"/>
        <w:adjustRightInd w:val="0"/>
        <w:snapToGrid w:val="0"/>
        <w:spacing w:after="200" w:line="400" w:lineRule="exact"/>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1.招标人在根据《公路工程标准施工招标文件》编制项目招标文件中的“项目 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5B1CCF26">
      <w:pPr>
        <w:widowControl w:val="0"/>
        <w:adjustRightInd w:val="0"/>
        <w:snapToGrid w:val="0"/>
        <w:spacing w:after="200" w:line="400" w:lineRule="exact"/>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2.项目专用合同条款的编号应与通用合同条款和公路工程专用合同条款一致。</w:t>
      </w:r>
    </w:p>
    <w:p w14:paraId="79C60749">
      <w:pPr>
        <w:widowControl w:val="0"/>
        <w:adjustRightInd w:val="0"/>
        <w:snapToGrid w:val="0"/>
        <w:spacing w:after="200" w:line="400" w:lineRule="exact"/>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3.项目专用合同条款可对下列内容进行补充和细化：</w:t>
      </w:r>
    </w:p>
    <w:p w14:paraId="09B4AB5F">
      <w:pPr>
        <w:widowControl w:val="0"/>
        <w:adjustRightInd w:val="0"/>
        <w:snapToGrid w:val="0"/>
        <w:spacing w:after="200" w:line="400" w:lineRule="exact"/>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（1）“通用合同条款”中明确指出“专用合同条款”可对“通用合同条款”进行修改 的内容（在“通用合同条款”中用“应按合同约定”“应按专用合同条款约定”“除合同另有约定外 除专用合同条款另有约定外 在专用合同条款中约定”等多种文字形式表达）；</w:t>
      </w:r>
    </w:p>
    <w:p w14:paraId="1F82CA80">
      <w:pPr>
        <w:widowControl w:val="0"/>
        <w:adjustRightInd w:val="0"/>
        <w:snapToGrid w:val="0"/>
        <w:spacing w:after="200" w:line="400" w:lineRule="exact"/>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（2）“公路工程专用合同条款”中明确指出“项目专用合同条款”可对“公路工程 专用合同条款”进行修改的内容（在“公路工程专用合同条款”中用“除项目专用合同条 款另有约定外 项目专用合同条款可能约定的”“项目专用合同条款约定的其他情形”等 多种文字形式表达）。</w:t>
      </w:r>
    </w:p>
    <w:p w14:paraId="7EE7801E">
      <w:pPr>
        <w:widowControl w:val="0"/>
        <w:adjustRightInd w:val="0"/>
        <w:snapToGrid w:val="0"/>
        <w:spacing w:after="200" w:line="400" w:lineRule="exact"/>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（3）其他需要补充、细化的内容。</w:t>
      </w:r>
    </w:p>
    <w:p w14:paraId="3DC625DD">
      <w:pPr>
        <w:widowControl w:val="0"/>
        <w:adjustRightInd w:val="0"/>
        <w:snapToGrid w:val="0"/>
        <w:spacing w:after="200" w:line="276" w:lineRule="auto"/>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br w:type="page"/>
      </w:r>
    </w:p>
    <w:p w14:paraId="250583B2">
      <w:pPr>
        <w:spacing w:line="360" w:lineRule="auto"/>
        <w:jc w:val="center"/>
        <w:rPr>
          <w:b/>
          <w:color w:val="auto"/>
          <w:sz w:val="28"/>
          <w:highlight w:val="none"/>
          <w:lang w:eastAsia="zh-CN"/>
        </w:rPr>
      </w:pPr>
      <w:bookmarkStart w:id="258" w:name="_Toc8226"/>
      <w:bookmarkStart w:id="259" w:name="_Toc294567665"/>
      <w:bookmarkStart w:id="260" w:name="_Toc334557674"/>
      <w:bookmarkStart w:id="261" w:name="_Toc294568158"/>
      <w:bookmarkStart w:id="262" w:name="_Toc70630289"/>
      <w:r>
        <w:rPr>
          <w:rFonts w:hint="eastAsia"/>
          <w:b/>
          <w:color w:val="auto"/>
          <w:sz w:val="28"/>
          <w:highlight w:val="none"/>
          <w:lang w:eastAsia="zh-CN"/>
        </w:rPr>
        <w:t>项目专用条款数据表</w:t>
      </w:r>
      <w:bookmarkEnd w:id="258"/>
      <w:bookmarkEnd w:id="259"/>
      <w:bookmarkEnd w:id="260"/>
      <w:bookmarkEnd w:id="261"/>
      <w:bookmarkEnd w:id="262"/>
    </w:p>
    <w:p w14:paraId="3B7E90A9">
      <w:pPr>
        <w:widowControl w:val="0"/>
        <w:adjustRightInd w:val="0"/>
        <w:snapToGrid w:val="0"/>
        <w:spacing w:after="200" w:line="276" w:lineRule="auto"/>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说明：本数据表是项目专用合同条款中适用于本项目的信息和数据的归纳与提示，是项目专用合同条款的组成部分。第八章“招标文件格式”的投标函附录中的数据（供投标人确认）与本表所列有重复。编写招标文件的单位应仔细校核，不使数据出现差错或不一致。</w:t>
      </w:r>
    </w:p>
    <w:p w14:paraId="4F854535">
      <w:pPr>
        <w:widowControl w:val="0"/>
        <w:adjustRightInd w:val="0"/>
        <w:snapToGrid w:val="0"/>
        <w:spacing w:after="200" w:line="276" w:lineRule="auto"/>
        <w:jc w:val="both"/>
        <w:rPr>
          <w:rFonts w:hAnsi="宋体" w:cs="Times New Roman"/>
          <w:color w:val="auto"/>
          <w:kern w:val="2"/>
          <w:szCs w:val="24"/>
          <w:highlight w:val="none"/>
          <w:lang w:eastAsia="zh-CN"/>
        </w:rPr>
      </w:pPr>
    </w:p>
    <w:tbl>
      <w:tblPr>
        <w:tblStyle w:val="51"/>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9"/>
        <w:gridCol w:w="1484"/>
        <w:gridCol w:w="7426"/>
      </w:tblGrid>
      <w:tr w14:paraId="26867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9" w:hRule="exact"/>
          <w:jc w:val="center"/>
        </w:trPr>
        <w:tc>
          <w:tcPr>
            <w:tcW w:w="729" w:type="dxa"/>
            <w:vAlign w:val="center"/>
          </w:tcPr>
          <w:p w14:paraId="5B4EDB39">
            <w:pPr>
              <w:widowControl w:val="0"/>
              <w:adjustRightInd w:val="0"/>
              <w:snapToGrid w:val="0"/>
              <w:rPr>
                <w:rFonts w:hAnsi="宋体" w:cs="Times New Roman"/>
                <w:b/>
                <w:color w:val="auto"/>
                <w:kern w:val="2"/>
                <w:szCs w:val="24"/>
                <w:highlight w:val="none"/>
                <w:lang w:eastAsia="zh-CN"/>
              </w:rPr>
            </w:pPr>
            <w:r>
              <w:rPr>
                <w:rFonts w:hint="eastAsia" w:hAnsi="宋体" w:cs="Times New Roman"/>
                <w:b/>
                <w:color w:val="auto"/>
                <w:kern w:val="2"/>
                <w:szCs w:val="24"/>
                <w:highlight w:val="none"/>
                <w:lang w:eastAsia="zh-CN"/>
              </w:rPr>
              <w:t>序号</w:t>
            </w:r>
          </w:p>
        </w:tc>
        <w:tc>
          <w:tcPr>
            <w:tcW w:w="1484" w:type="dxa"/>
            <w:vAlign w:val="center"/>
          </w:tcPr>
          <w:p w14:paraId="6A57342D">
            <w:pPr>
              <w:widowControl w:val="0"/>
              <w:adjustRightInd w:val="0"/>
              <w:snapToGrid w:val="0"/>
              <w:rPr>
                <w:rFonts w:hAnsi="宋体" w:cs="Times New Roman"/>
                <w:b/>
                <w:color w:val="auto"/>
                <w:kern w:val="2"/>
                <w:szCs w:val="24"/>
                <w:highlight w:val="none"/>
                <w:lang w:eastAsia="zh-CN"/>
              </w:rPr>
            </w:pPr>
            <w:r>
              <w:rPr>
                <w:rFonts w:hint="eastAsia" w:hAnsi="宋体" w:cs="Times New Roman"/>
                <w:b/>
                <w:color w:val="auto"/>
                <w:kern w:val="2"/>
                <w:szCs w:val="24"/>
                <w:highlight w:val="none"/>
                <w:lang w:eastAsia="zh-CN"/>
              </w:rPr>
              <w:t>条款号</w:t>
            </w:r>
          </w:p>
        </w:tc>
        <w:tc>
          <w:tcPr>
            <w:tcW w:w="7426" w:type="dxa"/>
            <w:vAlign w:val="center"/>
          </w:tcPr>
          <w:p w14:paraId="06504D60">
            <w:pPr>
              <w:widowControl w:val="0"/>
              <w:adjustRightInd w:val="0"/>
              <w:snapToGrid w:val="0"/>
              <w:rPr>
                <w:rFonts w:hAnsi="宋体" w:cs="Times New Roman"/>
                <w:b/>
                <w:color w:val="auto"/>
                <w:kern w:val="2"/>
                <w:szCs w:val="24"/>
                <w:highlight w:val="none"/>
                <w:lang w:eastAsia="zh-CN"/>
              </w:rPr>
            </w:pPr>
            <w:r>
              <w:rPr>
                <w:rFonts w:hint="eastAsia" w:hAnsi="宋体" w:cs="Times New Roman"/>
                <w:b/>
                <w:color w:val="auto"/>
                <w:kern w:val="2"/>
                <w:szCs w:val="24"/>
                <w:highlight w:val="none"/>
                <w:lang w:eastAsia="zh-CN"/>
              </w:rPr>
              <w:t>信息或数据</w:t>
            </w:r>
          </w:p>
        </w:tc>
      </w:tr>
      <w:tr w14:paraId="340DB9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exact"/>
          <w:jc w:val="center"/>
        </w:trPr>
        <w:tc>
          <w:tcPr>
            <w:tcW w:w="729" w:type="dxa"/>
            <w:vAlign w:val="center"/>
          </w:tcPr>
          <w:p w14:paraId="5B726BA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w:t>
            </w:r>
          </w:p>
        </w:tc>
        <w:tc>
          <w:tcPr>
            <w:tcW w:w="1484" w:type="dxa"/>
            <w:vAlign w:val="center"/>
          </w:tcPr>
          <w:p w14:paraId="6B34715A">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1.1.2.2</w:t>
            </w:r>
          </w:p>
        </w:tc>
        <w:tc>
          <w:tcPr>
            <w:tcW w:w="7426" w:type="dxa"/>
            <w:vAlign w:val="center"/>
          </w:tcPr>
          <w:p w14:paraId="508C637B">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发包人名称：龙陵县交通运输局</w:t>
            </w:r>
          </w:p>
          <w:p w14:paraId="3633047F">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地址：云南省保山市龙陵县兴农路1号</w:t>
            </w:r>
          </w:p>
          <w:p w14:paraId="7173AA90">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邮政编码：678300  </w:t>
            </w:r>
          </w:p>
        </w:tc>
      </w:tr>
      <w:tr w14:paraId="79297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729" w:type="dxa"/>
            <w:vAlign w:val="center"/>
          </w:tcPr>
          <w:p w14:paraId="0703DBE2">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w:t>
            </w:r>
          </w:p>
        </w:tc>
        <w:tc>
          <w:tcPr>
            <w:tcW w:w="1484" w:type="dxa"/>
            <w:vAlign w:val="center"/>
          </w:tcPr>
          <w:p w14:paraId="4F997199">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1.1.2.6</w:t>
            </w:r>
          </w:p>
        </w:tc>
        <w:tc>
          <w:tcPr>
            <w:tcW w:w="7426" w:type="dxa"/>
            <w:vAlign w:val="center"/>
          </w:tcPr>
          <w:p w14:paraId="6D0364DE">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监理人：由招标人自行确定</w:t>
            </w:r>
          </w:p>
          <w:p w14:paraId="3A112789">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地址：                        邮政编码：</w:t>
            </w:r>
          </w:p>
        </w:tc>
      </w:tr>
      <w:tr w14:paraId="42A94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exact"/>
          <w:jc w:val="center"/>
        </w:trPr>
        <w:tc>
          <w:tcPr>
            <w:tcW w:w="729" w:type="dxa"/>
            <w:vAlign w:val="center"/>
          </w:tcPr>
          <w:p w14:paraId="33569FC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3</w:t>
            </w:r>
          </w:p>
        </w:tc>
        <w:tc>
          <w:tcPr>
            <w:tcW w:w="1484" w:type="dxa"/>
            <w:vAlign w:val="center"/>
          </w:tcPr>
          <w:p w14:paraId="37B582D9">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1.1.4.5</w:t>
            </w:r>
          </w:p>
        </w:tc>
        <w:tc>
          <w:tcPr>
            <w:tcW w:w="7426" w:type="dxa"/>
            <w:vAlign w:val="center"/>
          </w:tcPr>
          <w:p w14:paraId="0A79B917">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缺陷责任期：自实际交工日期起计算</w:t>
            </w:r>
            <w:r>
              <w:rPr>
                <w:rFonts w:hint="eastAsia" w:hAnsi="宋体" w:cs="Times New Roman"/>
                <w:color w:val="auto"/>
                <w:kern w:val="2"/>
                <w:szCs w:val="24"/>
                <w:highlight w:val="none"/>
                <w:u w:val="single"/>
                <w:lang w:eastAsia="zh-CN"/>
              </w:rPr>
              <w:t xml:space="preserve"> 1 </w:t>
            </w:r>
            <w:r>
              <w:rPr>
                <w:rFonts w:hint="eastAsia" w:hAnsi="宋体" w:cs="Times New Roman"/>
                <w:color w:val="auto"/>
                <w:kern w:val="2"/>
                <w:szCs w:val="24"/>
                <w:highlight w:val="none"/>
                <w:lang w:eastAsia="zh-CN"/>
              </w:rPr>
              <w:t>年</w:t>
            </w:r>
          </w:p>
        </w:tc>
      </w:tr>
      <w:tr w14:paraId="73485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729" w:type="dxa"/>
            <w:vAlign w:val="center"/>
          </w:tcPr>
          <w:p w14:paraId="0E13F5A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4</w:t>
            </w:r>
          </w:p>
        </w:tc>
        <w:tc>
          <w:tcPr>
            <w:tcW w:w="1484" w:type="dxa"/>
            <w:vAlign w:val="center"/>
          </w:tcPr>
          <w:p w14:paraId="589DE1D3">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1.6.3</w:t>
            </w:r>
          </w:p>
        </w:tc>
        <w:tc>
          <w:tcPr>
            <w:tcW w:w="7426" w:type="dxa"/>
            <w:vAlign w:val="center"/>
          </w:tcPr>
          <w:p w14:paraId="19F8F0FB">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图纸需要修改和补充的，应由监理人取得发包人同意后，在该项工程或工程相应部位施工前</w:t>
            </w:r>
            <w:r>
              <w:rPr>
                <w:rFonts w:hint="eastAsia" w:hAnsi="宋体" w:cs="Times New Roman"/>
                <w:color w:val="auto"/>
                <w:kern w:val="2"/>
                <w:szCs w:val="24"/>
                <w:highlight w:val="none"/>
                <w:u w:val="single"/>
                <w:lang w:eastAsia="zh-CN"/>
              </w:rPr>
              <w:t xml:space="preserve"> 7 </w:t>
            </w:r>
            <w:r>
              <w:rPr>
                <w:rFonts w:hint="eastAsia" w:hAnsi="宋体" w:cs="Times New Roman"/>
                <w:color w:val="auto"/>
                <w:kern w:val="2"/>
                <w:szCs w:val="24"/>
                <w:highlight w:val="none"/>
                <w:lang w:eastAsia="zh-CN"/>
              </w:rPr>
              <w:t>天签发图纸修改图给承包人</w:t>
            </w:r>
          </w:p>
        </w:tc>
      </w:tr>
      <w:tr w14:paraId="282275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6" w:hRule="atLeast"/>
          <w:jc w:val="center"/>
        </w:trPr>
        <w:tc>
          <w:tcPr>
            <w:tcW w:w="729" w:type="dxa"/>
            <w:vAlign w:val="center"/>
          </w:tcPr>
          <w:p w14:paraId="4CA11FA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5</w:t>
            </w:r>
          </w:p>
        </w:tc>
        <w:tc>
          <w:tcPr>
            <w:tcW w:w="1484" w:type="dxa"/>
            <w:vAlign w:val="center"/>
          </w:tcPr>
          <w:p w14:paraId="0A39C482">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3.1.1</w:t>
            </w:r>
          </w:p>
        </w:tc>
        <w:tc>
          <w:tcPr>
            <w:tcW w:w="7426" w:type="dxa"/>
            <w:vAlign w:val="center"/>
          </w:tcPr>
          <w:p w14:paraId="250A7017">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监理人在行使下列权利前需要经发包人事先批准：</w:t>
            </w:r>
          </w:p>
          <w:p w14:paraId="7C1B9EFC">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（6）根据第15.3款发出的变更指示，其单项工程变更涉及的金额超过了该单项工程签约时合同价的</w:t>
            </w:r>
            <w:r>
              <w:rPr>
                <w:rFonts w:hint="eastAsia" w:hAnsi="宋体" w:cs="Times New Roman"/>
                <w:color w:val="auto"/>
                <w:kern w:val="2"/>
                <w:szCs w:val="24"/>
                <w:highlight w:val="none"/>
                <w:u w:val="single"/>
                <w:lang w:eastAsia="zh-CN"/>
              </w:rPr>
              <w:t xml:space="preserve">  /   </w:t>
            </w:r>
            <w:r>
              <w:rPr>
                <w:rFonts w:hint="eastAsia" w:hAnsi="宋体" w:cs="Times New Roman"/>
                <w:color w:val="auto"/>
                <w:kern w:val="2"/>
                <w:szCs w:val="24"/>
                <w:highlight w:val="none"/>
                <w:lang w:eastAsia="zh-CN"/>
              </w:rPr>
              <w:t>%或累计变更超过了签约合同价的</w:t>
            </w:r>
            <w:r>
              <w:rPr>
                <w:rFonts w:hint="eastAsia" w:hAnsi="宋体" w:cs="Times New Roman"/>
                <w:color w:val="auto"/>
                <w:kern w:val="2"/>
                <w:szCs w:val="24"/>
                <w:highlight w:val="none"/>
                <w:u w:val="single"/>
                <w:lang w:eastAsia="zh-CN"/>
              </w:rPr>
              <w:t xml:space="preserve">   /  </w:t>
            </w:r>
            <w:r>
              <w:rPr>
                <w:rFonts w:hint="eastAsia" w:hAnsi="宋体" w:cs="Times New Roman"/>
                <w:color w:val="auto"/>
                <w:kern w:val="2"/>
                <w:szCs w:val="24"/>
                <w:highlight w:val="none"/>
                <w:lang w:eastAsia="zh-CN"/>
              </w:rPr>
              <w:t>%</w:t>
            </w:r>
          </w:p>
        </w:tc>
      </w:tr>
      <w:tr w14:paraId="6D8FA7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0" w:hRule="exact"/>
          <w:jc w:val="center"/>
        </w:trPr>
        <w:tc>
          <w:tcPr>
            <w:tcW w:w="729" w:type="dxa"/>
            <w:vAlign w:val="center"/>
          </w:tcPr>
          <w:p w14:paraId="2782352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6</w:t>
            </w:r>
          </w:p>
        </w:tc>
        <w:tc>
          <w:tcPr>
            <w:tcW w:w="1484" w:type="dxa"/>
            <w:vAlign w:val="center"/>
          </w:tcPr>
          <w:p w14:paraId="68258319">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5.2.1</w:t>
            </w:r>
          </w:p>
        </w:tc>
        <w:tc>
          <w:tcPr>
            <w:tcW w:w="7426" w:type="dxa"/>
            <w:vAlign w:val="center"/>
          </w:tcPr>
          <w:p w14:paraId="40834F63">
            <w:pPr>
              <w:widowControl w:val="0"/>
              <w:adjustRightInd w:val="0"/>
              <w:snapToGrid w:val="0"/>
              <w:jc w:val="both"/>
              <w:rPr>
                <w:rFonts w:hAnsi="宋体" w:cs="Times New Roman"/>
                <w:color w:val="auto"/>
                <w:kern w:val="2"/>
                <w:szCs w:val="24"/>
                <w:highlight w:val="none"/>
                <w:u w:val="single"/>
                <w:lang w:eastAsia="zh-CN"/>
              </w:rPr>
            </w:pPr>
            <w:r>
              <w:rPr>
                <w:rFonts w:hint="eastAsia" w:hAnsi="宋体" w:cs="Times New Roman"/>
                <w:color w:val="auto"/>
                <w:kern w:val="2"/>
                <w:szCs w:val="24"/>
                <w:highlight w:val="none"/>
                <w:lang w:eastAsia="zh-CN"/>
              </w:rPr>
              <w:t>发包人是否提供材料或工程设备：</w:t>
            </w:r>
            <w:r>
              <w:rPr>
                <w:rFonts w:hint="eastAsia" w:hAnsi="宋体" w:cs="Times New Roman"/>
                <w:color w:val="auto"/>
                <w:kern w:val="2"/>
                <w:szCs w:val="24"/>
                <w:highlight w:val="none"/>
                <w:u w:val="single"/>
                <w:lang w:eastAsia="zh-CN"/>
              </w:rPr>
              <w:t>否</w:t>
            </w:r>
          </w:p>
        </w:tc>
      </w:tr>
      <w:tr w14:paraId="14123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0" w:hRule="exact"/>
          <w:jc w:val="center"/>
        </w:trPr>
        <w:tc>
          <w:tcPr>
            <w:tcW w:w="729" w:type="dxa"/>
            <w:vAlign w:val="center"/>
          </w:tcPr>
          <w:p w14:paraId="2F47BF3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7</w:t>
            </w:r>
          </w:p>
        </w:tc>
        <w:tc>
          <w:tcPr>
            <w:tcW w:w="1484" w:type="dxa"/>
            <w:vAlign w:val="center"/>
          </w:tcPr>
          <w:p w14:paraId="7B05AD48">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6.2</w:t>
            </w:r>
          </w:p>
        </w:tc>
        <w:tc>
          <w:tcPr>
            <w:tcW w:w="7426" w:type="dxa"/>
            <w:vAlign w:val="center"/>
          </w:tcPr>
          <w:p w14:paraId="56E74211">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发包人是否提供施工设备和临时设施：</w:t>
            </w:r>
            <w:r>
              <w:rPr>
                <w:rFonts w:hint="eastAsia" w:hAnsi="宋体" w:cs="Times New Roman"/>
                <w:color w:val="auto"/>
                <w:kern w:val="2"/>
                <w:szCs w:val="24"/>
                <w:highlight w:val="none"/>
                <w:u w:val="single"/>
                <w:lang w:eastAsia="zh-CN"/>
              </w:rPr>
              <w:t xml:space="preserve">否   </w:t>
            </w:r>
          </w:p>
        </w:tc>
      </w:tr>
      <w:tr w14:paraId="30CCC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2" w:hRule="exact"/>
          <w:jc w:val="center"/>
        </w:trPr>
        <w:tc>
          <w:tcPr>
            <w:tcW w:w="729" w:type="dxa"/>
            <w:vAlign w:val="center"/>
          </w:tcPr>
          <w:p w14:paraId="30829FB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8</w:t>
            </w:r>
          </w:p>
        </w:tc>
        <w:tc>
          <w:tcPr>
            <w:tcW w:w="1484" w:type="dxa"/>
            <w:vAlign w:val="center"/>
          </w:tcPr>
          <w:p w14:paraId="63B3B4E6">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8.1.1</w:t>
            </w:r>
          </w:p>
        </w:tc>
        <w:tc>
          <w:tcPr>
            <w:tcW w:w="7426" w:type="dxa"/>
            <w:vAlign w:val="center"/>
          </w:tcPr>
          <w:p w14:paraId="29CD3204">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本项目不适用</w:t>
            </w:r>
          </w:p>
        </w:tc>
      </w:tr>
      <w:tr w14:paraId="4DD51F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729" w:type="dxa"/>
            <w:vAlign w:val="center"/>
          </w:tcPr>
          <w:p w14:paraId="3416F351">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9</w:t>
            </w:r>
          </w:p>
        </w:tc>
        <w:tc>
          <w:tcPr>
            <w:tcW w:w="1484" w:type="dxa"/>
            <w:vAlign w:val="center"/>
          </w:tcPr>
          <w:p w14:paraId="1D8DAD27">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11.5</w:t>
            </w:r>
          </w:p>
        </w:tc>
        <w:tc>
          <w:tcPr>
            <w:tcW w:w="7426" w:type="dxa"/>
            <w:vAlign w:val="center"/>
          </w:tcPr>
          <w:p w14:paraId="4580434A">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逾期交工违约金：</w:t>
            </w:r>
            <w:r>
              <w:rPr>
                <w:rFonts w:hint="eastAsia" w:hAnsi="宋体" w:cs="Times New Roman"/>
                <w:color w:val="auto"/>
                <w:kern w:val="2"/>
                <w:szCs w:val="24"/>
                <w:highlight w:val="none"/>
                <w:u w:val="single"/>
                <w:lang w:val="en-US" w:eastAsia="zh-CN"/>
              </w:rPr>
              <w:t>100</w:t>
            </w:r>
            <w:r>
              <w:rPr>
                <w:rFonts w:hint="eastAsia" w:hAnsi="宋体" w:cs="Times New Roman"/>
                <w:color w:val="auto"/>
                <w:kern w:val="2"/>
                <w:szCs w:val="24"/>
                <w:highlight w:val="none"/>
                <w:u w:val="single"/>
                <w:lang w:eastAsia="zh-CN"/>
              </w:rPr>
              <w:t>00</w:t>
            </w:r>
            <w:r>
              <w:rPr>
                <w:rFonts w:hint="eastAsia" w:hAnsi="宋体" w:cs="Times New Roman"/>
                <w:color w:val="auto"/>
                <w:kern w:val="2"/>
                <w:szCs w:val="24"/>
                <w:highlight w:val="none"/>
                <w:lang w:eastAsia="zh-CN"/>
              </w:rPr>
              <w:t>元/天</w:t>
            </w:r>
          </w:p>
        </w:tc>
      </w:tr>
      <w:tr w14:paraId="5B3D85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729" w:type="dxa"/>
            <w:vAlign w:val="center"/>
          </w:tcPr>
          <w:p w14:paraId="0760907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10</w:t>
            </w:r>
          </w:p>
        </w:tc>
        <w:tc>
          <w:tcPr>
            <w:tcW w:w="1484" w:type="dxa"/>
            <w:vAlign w:val="center"/>
          </w:tcPr>
          <w:p w14:paraId="2944922D">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11.5</w:t>
            </w:r>
          </w:p>
        </w:tc>
        <w:tc>
          <w:tcPr>
            <w:tcW w:w="7426" w:type="dxa"/>
            <w:vAlign w:val="center"/>
          </w:tcPr>
          <w:p w14:paraId="1314B52D">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逾期交工违约金限额：</w:t>
            </w:r>
            <w:r>
              <w:rPr>
                <w:rFonts w:hint="eastAsia" w:hAnsi="宋体" w:cs="Times New Roman"/>
                <w:color w:val="auto"/>
                <w:kern w:val="2"/>
                <w:szCs w:val="24"/>
                <w:highlight w:val="none"/>
                <w:u w:val="single"/>
                <w:lang w:eastAsia="zh-CN"/>
              </w:rPr>
              <w:t xml:space="preserve"> 10 </w:t>
            </w:r>
            <w:r>
              <w:rPr>
                <w:rFonts w:hint="eastAsia" w:hAnsi="宋体" w:cs="Times New Roman"/>
                <w:color w:val="auto"/>
                <w:kern w:val="2"/>
                <w:szCs w:val="24"/>
                <w:highlight w:val="none"/>
                <w:lang w:eastAsia="zh-CN"/>
              </w:rPr>
              <w:t>%签约合同价</w:t>
            </w:r>
          </w:p>
        </w:tc>
      </w:tr>
      <w:tr w14:paraId="7DD4A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729" w:type="dxa"/>
            <w:vAlign w:val="center"/>
          </w:tcPr>
          <w:p w14:paraId="3A3CA95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w:t>
            </w:r>
          </w:p>
        </w:tc>
        <w:tc>
          <w:tcPr>
            <w:tcW w:w="1484" w:type="dxa"/>
            <w:vAlign w:val="center"/>
          </w:tcPr>
          <w:p w14:paraId="134B7FC1">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11.6</w:t>
            </w:r>
          </w:p>
        </w:tc>
        <w:tc>
          <w:tcPr>
            <w:tcW w:w="7426" w:type="dxa"/>
            <w:vAlign w:val="center"/>
          </w:tcPr>
          <w:p w14:paraId="58D2F155">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提前交工的奖金：</w:t>
            </w:r>
            <w:r>
              <w:rPr>
                <w:rFonts w:hint="eastAsia" w:hAnsi="宋体" w:cs="Times New Roman"/>
                <w:color w:val="auto"/>
                <w:kern w:val="2"/>
                <w:szCs w:val="24"/>
                <w:highlight w:val="none"/>
                <w:u w:val="single"/>
                <w:lang w:eastAsia="zh-CN"/>
              </w:rPr>
              <w:t>无</w:t>
            </w:r>
          </w:p>
        </w:tc>
      </w:tr>
      <w:tr w14:paraId="24852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729" w:type="dxa"/>
            <w:vAlign w:val="center"/>
          </w:tcPr>
          <w:p w14:paraId="3DA77768">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12</w:t>
            </w:r>
          </w:p>
        </w:tc>
        <w:tc>
          <w:tcPr>
            <w:tcW w:w="1484" w:type="dxa"/>
            <w:vAlign w:val="center"/>
          </w:tcPr>
          <w:p w14:paraId="3ADFA35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11.6</w:t>
            </w:r>
          </w:p>
        </w:tc>
        <w:tc>
          <w:tcPr>
            <w:tcW w:w="7426" w:type="dxa"/>
            <w:vAlign w:val="center"/>
          </w:tcPr>
          <w:p w14:paraId="52C67F76">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提前交工的奖金限额：</w:t>
            </w:r>
            <w:r>
              <w:rPr>
                <w:rFonts w:hint="eastAsia" w:hAnsi="宋体" w:cs="Times New Roman"/>
                <w:color w:val="auto"/>
                <w:kern w:val="2"/>
                <w:szCs w:val="24"/>
                <w:highlight w:val="none"/>
                <w:u w:val="single"/>
                <w:lang w:eastAsia="zh-CN"/>
              </w:rPr>
              <w:t>无</w:t>
            </w:r>
          </w:p>
        </w:tc>
      </w:tr>
      <w:tr w14:paraId="18C89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exact"/>
          <w:jc w:val="center"/>
        </w:trPr>
        <w:tc>
          <w:tcPr>
            <w:tcW w:w="729" w:type="dxa"/>
            <w:tcBorders>
              <w:top w:val="single" w:color="auto" w:sz="6" w:space="0"/>
              <w:left w:val="single" w:color="auto" w:sz="12" w:space="0"/>
              <w:bottom w:val="single" w:color="auto" w:sz="12" w:space="0"/>
              <w:right w:val="single" w:color="auto" w:sz="6" w:space="0"/>
            </w:tcBorders>
            <w:vAlign w:val="center"/>
          </w:tcPr>
          <w:p w14:paraId="598C546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13</w:t>
            </w:r>
          </w:p>
        </w:tc>
        <w:tc>
          <w:tcPr>
            <w:tcW w:w="1484" w:type="dxa"/>
            <w:tcBorders>
              <w:top w:val="single" w:color="auto" w:sz="6" w:space="0"/>
              <w:left w:val="single" w:color="auto" w:sz="6" w:space="0"/>
              <w:bottom w:val="single" w:color="auto" w:sz="12" w:space="0"/>
              <w:right w:val="single" w:color="auto" w:sz="6" w:space="0"/>
            </w:tcBorders>
            <w:vAlign w:val="center"/>
          </w:tcPr>
          <w:p w14:paraId="16638FE3">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15.2.2</w:t>
            </w:r>
          </w:p>
        </w:tc>
        <w:tc>
          <w:tcPr>
            <w:tcW w:w="7426" w:type="dxa"/>
            <w:tcBorders>
              <w:top w:val="single" w:color="auto" w:sz="6" w:space="0"/>
              <w:left w:val="single" w:color="auto" w:sz="6" w:space="0"/>
              <w:bottom w:val="single" w:color="auto" w:sz="12" w:space="0"/>
              <w:right w:val="single" w:color="auto" w:sz="12" w:space="0"/>
            </w:tcBorders>
            <w:vAlign w:val="center"/>
          </w:tcPr>
          <w:p w14:paraId="7CAA4613">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承包人提出的合理化建议降低了合同价格或者提高了工程经济效益的，发包人按所节约成本的</w:t>
            </w:r>
            <w:r>
              <w:rPr>
                <w:rFonts w:hint="eastAsia" w:hAnsi="宋体" w:cs="Times New Roman"/>
                <w:color w:val="auto"/>
                <w:kern w:val="2"/>
                <w:szCs w:val="24"/>
                <w:highlight w:val="none"/>
                <w:u w:val="single"/>
                <w:lang w:eastAsia="zh-CN"/>
              </w:rPr>
              <w:t xml:space="preserve"> / </w:t>
            </w:r>
            <w:r>
              <w:rPr>
                <w:rFonts w:hint="eastAsia" w:hAnsi="宋体" w:cs="Times New Roman"/>
                <w:color w:val="auto"/>
                <w:kern w:val="2"/>
                <w:szCs w:val="24"/>
                <w:highlight w:val="none"/>
                <w:lang w:eastAsia="zh-CN"/>
              </w:rPr>
              <w:t>%或增加收益的</w:t>
            </w:r>
            <w:r>
              <w:rPr>
                <w:rFonts w:hint="eastAsia" w:hAnsi="宋体" w:cs="Times New Roman"/>
                <w:color w:val="auto"/>
                <w:kern w:val="2"/>
                <w:szCs w:val="24"/>
                <w:highlight w:val="none"/>
                <w:u w:val="single"/>
                <w:lang w:eastAsia="zh-CN"/>
              </w:rPr>
              <w:t xml:space="preserve"> / </w:t>
            </w:r>
            <w:r>
              <w:rPr>
                <w:rFonts w:hint="eastAsia" w:hAnsi="宋体" w:cs="Times New Roman"/>
                <w:color w:val="auto"/>
                <w:kern w:val="2"/>
                <w:szCs w:val="24"/>
                <w:highlight w:val="none"/>
                <w:lang w:eastAsia="zh-CN"/>
              </w:rPr>
              <w:t>%给予奖励</w:t>
            </w:r>
          </w:p>
        </w:tc>
      </w:tr>
    </w:tbl>
    <w:p w14:paraId="0828D458">
      <w:pPr>
        <w:widowControl w:val="0"/>
        <w:adjustRightInd w:val="0"/>
        <w:snapToGrid w:val="0"/>
        <w:jc w:val="right"/>
        <w:rPr>
          <w:rFonts w:hAnsi="宋体" w:cs="Times New Roman"/>
          <w:color w:val="auto"/>
          <w:kern w:val="2"/>
          <w:szCs w:val="24"/>
          <w:highlight w:val="none"/>
          <w:lang w:eastAsia="zh-CN"/>
        </w:rPr>
      </w:pPr>
      <w:r>
        <w:rPr>
          <w:rFonts w:hAnsi="宋体" w:cs="Times New Roman"/>
          <w:color w:val="auto"/>
          <w:kern w:val="2"/>
          <w:szCs w:val="24"/>
          <w:highlight w:val="none"/>
          <w:lang w:eastAsia="zh-CN"/>
        </w:rPr>
        <w:br w:type="page"/>
      </w:r>
      <w:r>
        <w:rPr>
          <w:rFonts w:hint="eastAsia" w:hAnsi="宋体" w:cs="Times New Roman"/>
          <w:color w:val="auto"/>
          <w:kern w:val="2"/>
          <w:szCs w:val="24"/>
          <w:highlight w:val="none"/>
          <w:lang w:eastAsia="zh-CN"/>
        </w:rPr>
        <w:t>续上表</w:t>
      </w:r>
    </w:p>
    <w:tbl>
      <w:tblPr>
        <w:tblStyle w:val="51"/>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9"/>
        <w:gridCol w:w="1398"/>
        <w:gridCol w:w="7512"/>
      </w:tblGrid>
      <w:tr w14:paraId="6BE9CF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4" w:hRule="exact"/>
          <w:jc w:val="center"/>
        </w:trPr>
        <w:tc>
          <w:tcPr>
            <w:tcW w:w="729" w:type="dxa"/>
            <w:vAlign w:val="center"/>
          </w:tcPr>
          <w:p w14:paraId="73D6D231">
            <w:pPr>
              <w:widowControl w:val="0"/>
              <w:adjustRightInd w:val="0"/>
              <w:snapToGrid w:val="0"/>
              <w:rPr>
                <w:rFonts w:hAnsi="宋体" w:cs="Times New Roman"/>
                <w:b/>
                <w:color w:val="auto"/>
                <w:kern w:val="2"/>
                <w:szCs w:val="24"/>
                <w:highlight w:val="none"/>
                <w:lang w:eastAsia="zh-CN"/>
              </w:rPr>
            </w:pPr>
            <w:r>
              <w:rPr>
                <w:rFonts w:hint="eastAsia" w:hAnsi="宋体" w:cs="Times New Roman"/>
                <w:b/>
                <w:color w:val="auto"/>
                <w:kern w:val="2"/>
                <w:szCs w:val="24"/>
                <w:highlight w:val="none"/>
                <w:lang w:eastAsia="zh-CN"/>
              </w:rPr>
              <w:t>序号</w:t>
            </w:r>
          </w:p>
        </w:tc>
        <w:tc>
          <w:tcPr>
            <w:tcW w:w="1398" w:type="dxa"/>
            <w:vAlign w:val="center"/>
          </w:tcPr>
          <w:p w14:paraId="682C426B">
            <w:pPr>
              <w:widowControl w:val="0"/>
              <w:adjustRightInd w:val="0"/>
              <w:snapToGrid w:val="0"/>
              <w:rPr>
                <w:rFonts w:hAnsi="宋体" w:cs="Times New Roman"/>
                <w:b/>
                <w:color w:val="auto"/>
                <w:kern w:val="2"/>
                <w:szCs w:val="24"/>
                <w:highlight w:val="none"/>
                <w:lang w:eastAsia="zh-CN"/>
              </w:rPr>
            </w:pPr>
            <w:r>
              <w:rPr>
                <w:rFonts w:hint="eastAsia" w:hAnsi="宋体" w:cs="Times New Roman"/>
                <w:b/>
                <w:color w:val="auto"/>
                <w:kern w:val="2"/>
                <w:szCs w:val="24"/>
                <w:highlight w:val="none"/>
                <w:lang w:eastAsia="zh-CN"/>
              </w:rPr>
              <w:t>条款号</w:t>
            </w:r>
          </w:p>
        </w:tc>
        <w:tc>
          <w:tcPr>
            <w:tcW w:w="7512" w:type="dxa"/>
            <w:vAlign w:val="center"/>
          </w:tcPr>
          <w:p w14:paraId="7C4CBAAC">
            <w:pPr>
              <w:widowControl w:val="0"/>
              <w:adjustRightInd w:val="0"/>
              <w:snapToGrid w:val="0"/>
              <w:rPr>
                <w:rFonts w:hAnsi="宋体" w:cs="Times New Roman"/>
                <w:b/>
                <w:color w:val="auto"/>
                <w:kern w:val="2"/>
                <w:szCs w:val="24"/>
                <w:highlight w:val="none"/>
                <w:lang w:eastAsia="zh-CN"/>
              </w:rPr>
            </w:pPr>
            <w:r>
              <w:rPr>
                <w:rFonts w:hint="eastAsia" w:hAnsi="宋体" w:cs="Times New Roman"/>
                <w:b/>
                <w:color w:val="auto"/>
                <w:kern w:val="2"/>
                <w:szCs w:val="24"/>
                <w:highlight w:val="none"/>
                <w:lang w:eastAsia="zh-CN"/>
              </w:rPr>
              <w:t>信息或数据</w:t>
            </w:r>
          </w:p>
        </w:tc>
      </w:tr>
      <w:tr w14:paraId="38A73B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67" w:hRule="exact"/>
          <w:jc w:val="center"/>
        </w:trPr>
        <w:tc>
          <w:tcPr>
            <w:tcW w:w="729" w:type="dxa"/>
            <w:vAlign w:val="center"/>
          </w:tcPr>
          <w:p w14:paraId="7852492C">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14</w:t>
            </w:r>
          </w:p>
        </w:tc>
        <w:tc>
          <w:tcPr>
            <w:tcW w:w="1398" w:type="dxa"/>
            <w:vAlign w:val="center"/>
          </w:tcPr>
          <w:p w14:paraId="0481762C">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16.1</w:t>
            </w:r>
          </w:p>
        </w:tc>
        <w:tc>
          <w:tcPr>
            <w:tcW w:w="7512" w:type="dxa"/>
            <w:vAlign w:val="center"/>
          </w:tcPr>
          <w:p w14:paraId="06135F5C">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val="zh-CN" w:eastAsia="zh-CN"/>
              </w:rPr>
              <w:fldChar w:fldCharType="begin"/>
            </w:r>
            <w:r>
              <w:rPr>
                <w:rFonts w:hint="eastAsia" w:hAnsi="宋体" w:cs="Times New Roman"/>
                <w:color w:val="auto"/>
                <w:kern w:val="2"/>
                <w:szCs w:val="24"/>
                <w:highlight w:val="none"/>
                <w:lang w:val="zh-CN" w:eastAsia="zh-CN"/>
              </w:rPr>
              <w:instrText xml:space="preserve"> eq \o\ac(□,×)</w:instrText>
            </w:r>
            <w:r>
              <w:rPr>
                <w:rFonts w:hint="eastAsia" w:hAnsi="宋体" w:cs="Times New Roman"/>
                <w:color w:val="auto"/>
                <w:kern w:val="2"/>
                <w:szCs w:val="24"/>
                <w:highlight w:val="none"/>
                <w:lang w:val="zh-CN" w:eastAsia="zh-CN"/>
              </w:rPr>
              <w:fldChar w:fldCharType="end"/>
            </w:r>
            <w:r>
              <w:rPr>
                <w:rFonts w:hint="eastAsia" w:hAnsi="宋体" w:cs="Times New Roman"/>
                <w:color w:val="auto"/>
                <w:kern w:val="2"/>
                <w:szCs w:val="24"/>
                <w:highlight w:val="none"/>
                <w:lang w:eastAsia="zh-CN"/>
              </w:rPr>
              <w:t>因物价波动引起的价格调整按照</w:t>
            </w:r>
            <w:r>
              <w:rPr>
                <w:rFonts w:hint="eastAsia" w:hAnsi="宋体" w:cs="Times New Roman"/>
                <w:color w:val="auto"/>
                <w:kern w:val="2"/>
                <w:szCs w:val="24"/>
                <w:highlight w:val="none"/>
                <w:u w:val="single"/>
                <w:lang w:eastAsia="zh-CN"/>
              </w:rPr>
              <w:t>第16.1.1或16.1.2 项</w:t>
            </w:r>
            <w:r>
              <w:rPr>
                <w:rFonts w:hint="eastAsia" w:hAnsi="宋体" w:cs="Times New Roman"/>
                <w:color w:val="auto"/>
                <w:kern w:val="2"/>
                <w:szCs w:val="24"/>
                <w:highlight w:val="none"/>
                <w:lang w:eastAsia="zh-CN"/>
              </w:rPr>
              <w:t>约定的原则处理</w:t>
            </w:r>
          </w:p>
          <w:p w14:paraId="47E574C6">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若按第16.1.1项的约定采用价格调整公式进行调价，</w:t>
            </w:r>
            <w:r>
              <w:rPr>
                <w:rFonts w:hint="eastAsia" w:hAnsi="宋体" w:cs="Times New Roman"/>
                <w:color w:val="auto"/>
                <w:kern w:val="2"/>
                <w:szCs w:val="24"/>
                <w:highlight w:val="none"/>
                <w:u w:val="single"/>
                <w:lang w:eastAsia="zh-CN"/>
              </w:rPr>
              <w:t>每半年或一年</w:t>
            </w:r>
            <w:r>
              <w:rPr>
                <w:rFonts w:hint="eastAsia" w:hAnsi="宋体" w:cs="Times New Roman"/>
                <w:color w:val="auto"/>
                <w:kern w:val="2"/>
                <w:szCs w:val="24"/>
                <w:highlight w:val="none"/>
                <w:lang w:eastAsia="zh-CN"/>
              </w:rPr>
              <w:t>按价格调整公式进行一次调整</w:t>
            </w:r>
          </w:p>
          <w:p w14:paraId="4A4FE48D">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sz w:val="15"/>
                <w:szCs w:val="15"/>
                <w:highlight w:val="none"/>
                <w:bdr w:val="single" w:color="auto" w:sz="4" w:space="0"/>
                <w:lang w:eastAsia="zh-CN"/>
              </w:rPr>
              <w:t>√</w:t>
            </w:r>
            <w:r>
              <w:rPr>
                <w:rFonts w:hint="eastAsia" w:hAnsi="宋体" w:cs="Times New Roman"/>
                <w:color w:val="auto"/>
                <w:kern w:val="2"/>
                <w:szCs w:val="24"/>
                <w:highlight w:val="none"/>
                <w:lang w:eastAsia="zh-CN"/>
              </w:rPr>
              <w:t>合同期内不调价</w:t>
            </w:r>
          </w:p>
        </w:tc>
      </w:tr>
      <w:tr w14:paraId="13946D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exact"/>
          <w:jc w:val="center"/>
        </w:trPr>
        <w:tc>
          <w:tcPr>
            <w:tcW w:w="729" w:type="dxa"/>
            <w:vAlign w:val="center"/>
          </w:tcPr>
          <w:p w14:paraId="33BFB5F8">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15</w:t>
            </w:r>
          </w:p>
        </w:tc>
        <w:tc>
          <w:tcPr>
            <w:tcW w:w="1398" w:type="dxa"/>
            <w:vAlign w:val="center"/>
          </w:tcPr>
          <w:p w14:paraId="0AB45ACA">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17.2.1（1）</w:t>
            </w:r>
          </w:p>
        </w:tc>
        <w:tc>
          <w:tcPr>
            <w:tcW w:w="7512" w:type="dxa"/>
            <w:vAlign w:val="center"/>
          </w:tcPr>
          <w:p w14:paraId="4B4BAF04">
            <w:pPr>
              <w:widowControl w:val="0"/>
              <w:adjustRightInd w:val="0"/>
              <w:snapToGrid w:val="0"/>
              <w:jc w:val="both"/>
              <w:rPr>
                <w:rFonts w:hint="default" w:hAnsi="宋体" w:cs="Times New Roman"/>
                <w:color w:val="auto"/>
                <w:kern w:val="2"/>
                <w:szCs w:val="24"/>
                <w:highlight w:val="none"/>
                <w:lang w:val="en-US" w:eastAsia="zh-CN"/>
              </w:rPr>
            </w:pPr>
            <w:r>
              <w:rPr>
                <w:rFonts w:hint="eastAsia" w:hAnsi="宋体" w:cs="Times New Roman"/>
                <w:color w:val="auto"/>
                <w:kern w:val="2"/>
                <w:szCs w:val="24"/>
                <w:highlight w:val="none"/>
                <w:lang w:eastAsia="zh-CN"/>
              </w:rPr>
              <w:t>开工预付款金额：</w:t>
            </w:r>
            <w:r>
              <w:rPr>
                <w:rFonts w:hint="eastAsia" w:hAnsi="宋体" w:cs="Times New Roman"/>
                <w:color w:val="auto"/>
                <w:kern w:val="2"/>
                <w:szCs w:val="24"/>
                <w:highlight w:val="none"/>
                <w:u w:val="single"/>
                <w:lang w:val="en-US" w:eastAsia="zh-CN"/>
              </w:rPr>
              <w:t>无</w:t>
            </w:r>
          </w:p>
        </w:tc>
      </w:tr>
      <w:tr w14:paraId="02BA8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7" w:hRule="exact"/>
          <w:jc w:val="center"/>
        </w:trPr>
        <w:tc>
          <w:tcPr>
            <w:tcW w:w="729" w:type="dxa"/>
            <w:vAlign w:val="center"/>
          </w:tcPr>
          <w:p w14:paraId="4F5825F7">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16</w:t>
            </w:r>
          </w:p>
        </w:tc>
        <w:tc>
          <w:tcPr>
            <w:tcW w:w="1398" w:type="dxa"/>
            <w:vAlign w:val="center"/>
          </w:tcPr>
          <w:p w14:paraId="67CEC7CD">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17.2.1（</w:t>
            </w:r>
            <w:r>
              <w:rPr>
                <w:rFonts w:hint="eastAsia" w:hAnsi="宋体" w:cs="Times New Roman"/>
                <w:color w:val="auto"/>
                <w:kern w:val="2"/>
                <w:szCs w:val="24"/>
                <w:highlight w:val="none"/>
                <w:lang w:val="en-US" w:eastAsia="zh-CN"/>
              </w:rPr>
              <w:t>2</w:t>
            </w:r>
            <w:r>
              <w:rPr>
                <w:rFonts w:hint="eastAsia" w:hAnsi="宋体" w:cs="Times New Roman"/>
                <w:color w:val="auto"/>
                <w:kern w:val="2"/>
                <w:szCs w:val="24"/>
                <w:highlight w:val="none"/>
                <w:lang w:eastAsia="zh-CN"/>
              </w:rPr>
              <w:t>）</w:t>
            </w:r>
          </w:p>
        </w:tc>
        <w:tc>
          <w:tcPr>
            <w:tcW w:w="7512" w:type="dxa"/>
            <w:vAlign w:val="center"/>
          </w:tcPr>
          <w:p w14:paraId="1C524876">
            <w:pPr>
              <w:widowControl w:val="0"/>
              <w:adjustRightInd w:val="0"/>
              <w:snapToGrid w:val="0"/>
              <w:jc w:val="both"/>
              <w:rPr>
                <w:rFonts w:hint="default" w:hAnsi="宋体" w:cs="Times New Roman"/>
                <w:color w:val="auto"/>
                <w:kern w:val="2"/>
                <w:szCs w:val="24"/>
                <w:highlight w:val="none"/>
                <w:lang w:val="en-US" w:eastAsia="zh-CN"/>
              </w:rPr>
            </w:pPr>
            <w:r>
              <w:rPr>
                <w:rFonts w:hint="eastAsia" w:hAnsi="宋体" w:cs="Times New Roman"/>
                <w:color w:val="auto"/>
                <w:kern w:val="2"/>
                <w:szCs w:val="24"/>
                <w:highlight w:val="none"/>
                <w:lang w:eastAsia="zh-CN"/>
              </w:rPr>
              <w:t>材料、设备预付款比例：</w:t>
            </w:r>
            <w:r>
              <w:rPr>
                <w:rFonts w:hint="eastAsia" w:hAnsi="宋体" w:cs="Times New Roman"/>
                <w:color w:val="auto"/>
                <w:kern w:val="2"/>
                <w:szCs w:val="24"/>
                <w:highlight w:val="none"/>
                <w:u w:val="single"/>
                <w:lang w:val="en-US" w:eastAsia="zh-CN"/>
              </w:rPr>
              <w:t xml:space="preserve"> / </w:t>
            </w:r>
          </w:p>
        </w:tc>
      </w:tr>
      <w:tr w14:paraId="1A90AE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exact"/>
          <w:jc w:val="center"/>
        </w:trPr>
        <w:tc>
          <w:tcPr>
            <w:tcW w:w="729" w:type="dxa"/>
            <w:vAlign w:val="center"/>
          </w:tcPr>
          <w:p w14:paraId="0E825826">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w:t>
            </w:r>
          </w:p>
        </w:tc>
        <w:tc>
          <w:tcPr>
            <w:tcW w:w="1398" w:type="dxa"/>
            <w:vAlign w:val="center"/>
          </w:tcPr>
          <w:p w14:paraId="1DF93256">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17.3.2</w:t>
            </w:r>
          </w:p>
        </w:tc>
        <w:tc>
          <w:tcPr>
            <w:tcW w:w="7512" w:type="dxa"/>
            <w:vAlign w:val="center"/>
          </w:tcPr>
          <w:p w14:paraId="5A670A82">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承包人在每个付款周期末向监理人提交进度付款申请单的份数：</w:t>
            </w:r>
            <w:r>
              <w:rPr>
                <w:rFonts w:hint="eastAsia" w:hAnsi="宋体" w:cs="Times New Roman"/>
                <w:color w:val="auto"/>
                <w:kern w:val="2"/>
                <w:szCs w:val="24"/>
                <w:highlight w:val="none"/>
                <w:u w:val="single"/>
                <w:lang w:eastAsia="zh-CN"/>
              </w:rPr>
              <w:t xml:space="preserve"> 4</w:t>
            </w:r>
            <w:r>
              <w:rPr>
                <w:rFonts w:hint="eastAsia" w:hAnsi="宋体" w:cs="Times New Roman"/>
                <w:color w:val="auto"/>
                <w:kern w:val="2"/>
                <w:szCs w:val="24"/>
                <w:highlight w:val="none"/>
                <w:lang w:eastAsia="zh-CN"/>
              </w:rPr>
              <w:t>份</w:t>
            </w:r>
          </w:p>
        </w:tc>
      </w:tr>
      <w:tr w14:paraId="779042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exact"/>
          <w:jc w:val="center"/>
        </w:trPr>
        <w:tc>
          <w:tcPr>
            <w:tcW w:w="729" w:type="dxa"/>
            <w:vAlign w:val="center"/>
          </w:tcPr>
          <w:p w14:paraId="176E32C8">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18</w:t>
            </w:r>
          </w:p>
        </w:tc>
        <w:tc>
          <w:tcPr>
            <w:tcW w:w="1398" w:type="dxa"/>
            <w:vAlign w:val="center"/>
          </w:tcPr>
          <w:p w14:paraId="79A44EA2">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17.3.3（1）</w:t>
            </w:r>
          </w:p>
        </w:tc>
        <w:tc>
          <w:tcPr>
            <w:tcW w:w="7512" w:type="dxa"/>
            <w:vAlign w:val="center"/>
          </w:tcPr>
          <w:p w14:paraId="5BF752D1">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进度付款证书最低限额</w:t>
            </w:r>
            <w:r>
              <w:rPr>
                <w:rFonts w:hint="eastAsia" w:hAnsi="宋体" w:cs="Times New Roman"/>
                <w:color w:val="auto"/>
                <w:kern w:val="2"/>
                <w:szCs w:val="24"/>
                <w:highlight w:val="none"/>
                <w:u w:val="single"/>
                <w:lang w:eastAsia="zh-CN"/>
              </w:rPr>
              <w:t xml:space="preserve"> 50 </w:t>
            </w:r>
            <w:r>
              <w:rPr>
                <w:rFonts w:hint="eastAsia" w:hAnsi="宋体" w:cs="Times New Roman"/>
                <w:color w:val="auto"/>
                <w:kern w:val="2"/>
                <w:szCs w:val="24"/>
                <w:highlight w:val="none"/>
                <w:lang w:eastAsia="zh-CN"/>
              </w:rPr>
              <w:t>万元</w:t>
            </w:r>
          </w:p>
        </w:tc>
      </w:tr>
      <w:tr w14:paraId="3445C7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7" w:hRule="exact"/>
          <w:jc w:val="center"/>
        </w:trPr>
        <w:tc>
          <w:tcPr>
            <w:tcW w:w="729" w:type="dxa"/>
            <w:vAlign w:val="center"/>
          </w:tcPr>
          <w:p w14:paraId="4271417A">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19</w:t>
            </w:r>
          </w:p>
        </w:tc>
        <w:tc>
          <w:tcPr>
            <w:tcW w:w="1398" w:type="dxa"/>
            <w:vAlign w:val="center"/>
          </w:tcPr>
          <w:p w14:paraId="368C0C2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17.3.3（2）</w:t>
            </w:r>
          </w:p>
        </w:tc>
        <w:tc>
          <w:tcPr>
            <w:tcW w:w="7512" w:type="dxa"/>
            <w:vAlign w:val="center"/>
          </w:tcPr>
          <w:p w14:paraId="3E46EFF1">
            <w:pPr>
              <w:widowControl w:val="0"/>
              <w:adjustRightInd w:val="0"/>
              <w:snapToGrid w:val="0"/>
              <w:jc w:val="both"/>
              <w:rPr>
                <w:rFonts w:hint="default" w:hAnsi="宋体" w:cs="Times New Roman"/>
                <w:color w:val="auto"/>
                <w:kern w:val="2"/>
                <w:szCs w:val="24"/>
                <w:highlight w:val="none"/>
                <w:lang w:val="en-US" w:eastAsia="zh-CN"/>
              </w:rPr>
            </w:pPr>
            <w:r>
              <w:rPr>
                <w:rFonts w:hint="eastAsia" w:hAnsi="宋体" w:cs="Times New Roman"/>
                <w:color w:val="auto"/>
                <w:kern w:val="2"/>
                <w:szCs w:val="24"/>
                <w:highlight w:val="none"/>
                <w:lang w:eastAsia="zh-CN"/>
              </w:rPr>
              <w:t>逾期付款违约金的利率：</w:t>
            </w:r>
            <w:r>
              <w:rPr>
                <w:rFonts w:hint="eastAsia" w:hAnsi="宋体" w:cs="Times New Roman"/>
                <w:color w:val="auto"/>
                <w:kern w:val="2"/>
                <w:szCs w:val="24"/>
                <w:highlight w:val="none"/>
                <w:u w:val="single"/>
                <w:lang w:val="en-US" w:eastAsia="zh-CN"/>
              </w:rPr>
              <w:t xml:space="preserve"> </w:t>
            </w:r>
            <w:r>
              <w:rPr>
                <w:rFonts w:hint="eastAsia" w:hAnsi="宋体" w:cs="Times New Roman"/>
                <w:color w:val="auto"/>
                <w:kern w:val="2"/>
                <w:szCs w:val="24"/>
                <w:highlight w:val="none"/>
                <w:u w:val="single"/>
                <w:lang w:eastAsia="zh-CN"/>
              </w:rPr>
              <w:t>无</w:t>
            </w:r>
            <w:r>
              <w:rPr>
                <w:rFonts w:hint="eastAsia" w:hAnsi="宋体" w:cs="Times New Roman"/>
                <w:color w:val="auto"/>
                <w:kern w:val="2"/>
                <w:szCs w:val="24"/>
                <w:highlight w:val="none"/>
                <w:u w:val="single"/>
                <w:lang w:val="en-US" w:eastAsia="zh-CN"/>
              </w:rPr>
              <w:t xml:space="preserve"> </w:t>
            </w:r>
          </w:p>
        </w:tc>
      </w:tr>
      <w:tr w14:paraId="3C148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1" w:hRule="exact"/>
          <w:jc w:val="center"/>
        </w:trPr>
        <w:tc>
          <w:tcPr>
            <w:tcW w:w="729" w:type="dxa"/>
            <w:vAlign w:val="center"/>
          </w:tcPr>
          <w:p w14:paraId="4A31762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20</w:t>
            </w:r>
          </w:p>
        </w:tc>
        <w:tc>
          <w:tcPr>
            <w:tcW w:w="1398" w:type="dxa"/>
            <w:vAlign w:val="center"/>
          </w:tcPr>
          <w:p w14:paraId="2DE668E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17.3.5</w:t>
            </w:r>
          </w:p>
        </w:tc>
        <w:tc>
          <w:tcPr>
            <w:tcW w:w="7512" w:type="dxa"/>
            <w:vAlign w:val="center"/>
          </w:tcPr>
          <w:p w14:paraId="77B6198B">
            <w:pPr>
              <w:widowControl w:val="0"/>
              <w:adjustRightInd w:val="0"/>
              <w:snapToGrid w:val="0"/>
              <w:jc w:val="both"/>
              <w:rPr>
                <w:rFonts w:hint="eastAsia" w:hAnsi="宋体" w:cs="Times New Roman"/>
                <w:color w:val="auto"/>
                <w:kern w:val="2"/>
                <w:szCs w:val="24"/>
                <w:highlight w:val="none"/>
                <w:lang w:eastAsia="zh-CN"/>
              </w:rPr>
            </w:pPr>
            <w:r>
              <w:rPr>
                <w:rFonts w:hint="eastAsia" w:hAnsi="宋体" w:cs="Times New Roman"/>
                <w:color w:val="auto"/>
                <w:kern w:val="2"/>
                <w:szCs w:val="24"/>
                <w:highlight w:val="none"/>
                <w:lang w:eastAsia="zh-CN"/>
              </w:rPr>
              <w:t>农民工工资保证金：1、农民工工资支付严格按云南省人民政府令第166号的规定执行。</w:t>
            </w:r>
          </w:p>
          <w:p w14:paraId="49DD6579">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中标人必须在项目开工前，在工程建设项目所在地银行开设农民工工资（劳务费）专用账户，专项用于支付农民工工资。并按照人力资源和社会保障部等5部委农民工工资保证金缴存的有关规定到项目所在地社会保障部门按比例缴纳农民工工资保证金。农民工工资专用账户除发放工资外,不得用于其他用途，不得提取现金和开通网上银行等电子支付渠道。</w:t>
            </w:r>
          </w:p>
        </w:tc>
      </w:tr>
      <w:tr w14:paraId="149C8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54" w:hRule="exact"/>
          <w:jc w:val="center"/>
        </w:trPr>
        <w:tc>
          <w:tcPr>
            <w:tcW w:w="729" w:type="dxa"/>
            <w:vAlign w:val="center"/>
          </w:tcPr>
          <w:p w14:paraId="2D818E9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21</w:t>
            </w:r>
          </w:p>
        </w:tc>
        <w:tc>
          <w:tcPr>
            <w:tcW w:w="1398" w:type="dxa"/>
            <w:vAlign w:val="center"/>
          </w:tcPr>
          <w:p w14:paraId="464CE252">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17.4.1</w:t>
            </w:r>
          </w:p>
        </w:tc>
        <w:tc>
          <w:tcPr>
            <w:tcW w:w="7512" w:type="dxa"/>
            <w:vAlign w:val="center"/>
          </w:tcPr>
          <w:p w14:paraId="27A98F27">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质量保证金金额：</w:t>
            </w:r>
            <w:r>
              <w:rPr>
                <w:rFonts w:hint="eastAsia" w:hAnsi="宋体" w:cs="Times New Roman"/>
                <w:color w:val="auto"/>
                <w:kern w:val="2"/>
                <w:szCs w:val="24"/>
                <w:highlight w:val="none"/>
                <w:u w:val="single"/>
                <w:lang w:eastAsia="zh-CN"/>
              </w:rPr>
              <w:t xml:space="preserve"> 3 </w:t>
            </w:r>
            <w:r>
              <w:rPr>
                <w:rFonts w:hint="eastAsia" w:hAnsi="宋体" w:cs="Times New Roman"/>
                <w:color w:val="auto"/>
                <w:kern w:val="2"/>
                <w:szCs w:val="24"/>
                <w:highlight w:val="none"/>
                <w:lang w:eastAsia="zh-CN"/>
              </w:rPr>
              <w:t>%的结算价</w:t>
            </w:r>
          </w:p>
          <w:p w14:paraId="64720013">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 xml:space="preserve">质量保证金是否计付利息：    </w:t>
            </w:r>
          </w:p>
          <w:p w14:paraId="58C487D9">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val="zh-CN" w:eastAsia="zh-CN"/>
              </w:rPr>
              <w:fldChar w:fldCharType="begin"/>
            </w:r>
            <w:r>
              <w:rPr>
                <w:rFonts w:hint="eastAsia" w:hAnsi="宋体" w:cs="Times New Roman"/>
                <w:color w:val="auto"/>
                <w:kern w:val="2"/>
                <w:szCs w:val="24"/>
                <w:highlight w:val="none"/>
                <w:lang w:val="zh-CN" w:eastAsia="zh-CN"/>
              </w:rPr>
              <w:instrText xml:space="preserve"> eq \o\ac(□,×)</w:instrText>
            </w:r>
            <w:r>
              <w:rPr>
                <w:rFonts w:hint="eastAsia" w:hAnsi="宋体" w:cs="Times New Roman"/>
                <w:color w:val="auto"/>
                <w:kern w:val="2"/>
                <w:szCs w:val="24"/>
                <w:highlight w:val="none"/>
                <w:lang w:val="zh-CN" w:eastAsia="zh-CN"/>
              </w:rPr>
              <w:fldChar w:fldCharType="end"/>
            </w:r>
            <w:r>
              <w:rPr>
                <w:rFonts w:hint="eastAsia" w:hAnsi="宋体" w:cs="Times New Roman"/>
                <w:color w:val="auto"/>
                <w:kern w:val="2"/>
                <w:szCs w:val="24"/>
                <w:highlight w:val="none"/>
                <w:lang w:eastAsia="zh-CN"/>
              </w:rPr>
              <w:t>是，利息的计算方式：</w:t>
            </w:r>
          </w:p>
          <w:p w14:paraId="54B4759B">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sz w:val="15"/>
                <w:szCs w:val="15"/>
                <w:highlight w:val="none"/>
                <w:bdr w:val="single" w:color="auto" w:sz="4" w:space="0"/>
                <w:lang w:eastAsia="zh-CN"/>
              </w:rPr>
              <w:t>√</w:t>
            </w:r>
            <w:r>
              <w:rPr>
                <w:rFonts w:hint="eastAsia" w:hAnsi="宋体" w:cs="Times New Roman"/>
                <w:color w:val="auto"/>
                <w:kern w:val="2"/>
                <w:szCs w:val="24"/>
                <w:highlight w:val="none"/>
                <w:lang w:eastAsia="zh-CN"/>
              </w:rPr>
              <w:t>否</w:t>
            </w:r>
          </w:p>
        </w:tc>
      </w:tr>
      <w:tr w14:paraId="561ECE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8" w:hRule="exact"/>
          <w:jc w:val="center"/>
        </w:trPr>
        <w:tc>
          <w:tcPr>
            <w:tcW w:w="729" w:type="dxa"/>
            <w:vAlign w:val="center"/>
          </w:tcPr>
          <w:p w14:paraId="47D26893">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22</w:t>
            </w:r>
          </w:p>
        </w:tc>
        <w:tc>
          <w:tcPr>
            <w:tcW w:w="1398" w:type="dxa"/>
            <w:vAlign w:val="center"/>
          </w:tcPr>
          <w:p w14:paraId="2D5536C9">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17.5.1（1）</w:t>
            </w:r>
          </w:p>
        </w:tc>
        <w:tc>
          <w:tcPr>
            <w:tcW w:w="7512" w:type="dxa"/>
            <w:vAlign w:val="center"/>
          </w:tcPr>
          <w:p w14:paraId="5B290F6A">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承包人向监理人提交交工付款申请单（包括相关证明材料）的份数：</w:t>
            </w:r>
            <w:r>
              <w:rPr>
                <w:rFonts w:hint="eastAsia" w:hAnsi="宋体" w:cs="Times New Roman"/>
                <w:color w:val="auto"/>
                <w:kern w:val="2"/>
                <w:szCs w:val="24"/>
                <w:highlight w:val="none"/>
                <w:u w:val="single"/>
                <w:lang w:eastAsia="zh-CN"/>
              </w:rPr>
              <w:t xml:space="preserve"> 4  </w:t>
            </w:r>
            <w:r>
              <w:rPr>
                <w:rFonts w:hint="eastAsia" w:hAnsi="宋体" w:cs="Times New Roman"/>
                <w:color w:val="auto"/>
                <w:kern w:val="2"/>
                <w:szCs w:val="24"/>
                <w:highlight w:val="none"/>
                <w:lang w:eastAsia="zh-CN"/>
              </w:rPr>
              <w:t>份</w:t>
            </w:r>
          </w:p>
        </w:tc>
      </w:tr>
      <w:tr w14:paraId="61A68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exact"/>
          <w:jc w:val="center"/>
        </w:trPr>
        <w:tc>
          <w:tcPr>
            <w:tcW w:w="729" w:type="dxa"/>
            <w:vAlign w:val="center"/>
          </w:tcPr>
          <w:p w14:paraId="0737FE99">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23</w:t>
            </w:r>
          </w:p>
        </w:tc>
        <w:tc>
          <w:tcPr>
            <w:tcW w:w="1398" w:type="dxa"/>
            <w:vAlign w:val="center"/>
          </w:tcPr>
          <w:p w14:paraId="2966B39B">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17.6.1（1）</w:t>
            </w:r>
          </w:p>
        </w:tc>
        <w:tc>
          <w:tcPr>
            <w:tcW w:w="7512" w:type="dxa"/>
            <w:vAlign w:val="center"/>
          </w:tcPr>
          <w:p w14:paraId="187B2027">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承包人向监理人提交最终结清申请单（包括相关证明材料）的份数：</w:t>
            </w:r>
            <w:r>
              <w:rPr>
                <w:rFonts w:hint="eastAsia" w:hAnsi="宋体" w:cs="Times New Roman"/>
                <w:color w:val="auto"/>
                <w:kern w:val="2"/>
                <w:szCs w:val="24"/>
                <w:highlight w:val="none"/>
                <w:u w:val="single"/>
                <w:lang w:eastAsia="zh-CN"/>
              </w:rPr>
              <w:t xml:space="preserve"> 4 </w:t>
            </w:r>
            <w:r>
              <w:rPr>
                <w:rFonts w:hint="eastAsia" w:hAnsi="宋体" w:cs="Times New Roman"/>
                <w:color w:val="auto"/>
                <w:kern w:val="2"/>
                <w:szCs w:val="24"/>
                <w:highlight w:val="none"/>
                <w:lang w:eastAsia="zh-CN"/>
              </w:rPr>
              <w:t>份</w:t>
            </w:r>
          </w:p>
        </w:tc>
      </w:tr>
      <w:tr w14:paraId="7A9615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exact"/>
          <w:jc w:val="center"/>
        </w:trPr>
        <w:tc>
          <w:tcPr>
            <w:tcW w:w="729" w:type="dxa"/>
            <w:vAlign w:val="center"/>
          </w:tcPr>
          <w:p w14:paraId="189625C9">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24</w:t>
            </w:r>
          </w:p>
        </w:tc>
        <w:tc>
          <w:tcPr>
            <w:tcW w:w="1398" w:type="dxa"/>
            <w:vAlign w:val="center"/>
          </w:tcPr>
          <w:p w14:paraId="15BE3FF7">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18.2（2）</w:t>
            </w:r>
          </w:p>
        </w:tc>
        <w:tc>
          <w:tcPr>
            <w:tcW w:w="7512" w:type="dxa"/>
            <w:vAlign w:val="center"/>
          </w:tcPr>
          <w:p w14:paraId="6F1D0F24">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竣工资料的份数：</w:t>
            </w:r>
            <w:r>
              <w:rPr>
                <w:rFonts w:hint="eastAsia" w:hAnsi="宋体" w:cs="Times New Roman"/>
                <w:color w:val="auto"/>
                <w:kern w:val="2"/>
                <w:szCs w:val="24"/>
                <w:highlight w:val="none"/>
                <w:u w:val="single"/>
                <w:lang w:eastAsia="zh-CN"/>
              </w:rPr>
              <w:t xml:space="preserve"> 4 </w:t>
            </w:r>
            <w:r>
              <w:rPr>
                <w:rFonts w:hint="eastAsia" w:hAnsi="宋体" w:cs="Times New Roman"/>
                <w:color w:val="auto"/>
                <w:kern w:val="2"/>
                <w:szCs w:val="24"/>
                <w:highlight w:val="none"/>
                <w:lang w:eastAsia="zh-CN"/>
              </w:rPr>
              <w:t>份（应监理工程师要求增加）</w:t>
            </w:r>
          </w:p>
        </w:tc>
      </w:tr>
      <w:tr w14:paraId="191CC3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7" w:hRule="exact"/>
          <w:jc w:val="center"/>
        </w:trPr>
        <w:tc>
          <w:tcPr>
            <w:tcW w:w="729" w:type="dxa"/>
            <w:vAlign w:val="center"/>
          </w:tcPr>
          <w:p w14:paraId="6FF3A57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25</w:t>
            </w:r>
          </w:p>
        </w:tc>
        <w:tc>
          <w:tcPr>
            <w:tcW w:w="1398" w:type="dxa"/>
            <w:vAlign w:val="center"/>
          </w:tcPr>
          <w:p w14:paraId="42929871">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18.5.1</w:t>
            </w:r>
          </w:p>
        </w:tc>
        <w:tc>
          <w:tcPr>
            <w:tcW w:w="7512" w:type="dxa"/>
            <w:vAlign w:val="center"/>
          </w:tcPr>
          <w:p w14:paraId="1E5B7F31">
            <w:pPr>
              <w:widowControl w:val="0"/>
              <w:adjustRightInd w:val="0"/>
              <w:snapToGrid w:val="0"/>
              <w:jc w:val="both"/>
              <w:rPr>
                <w:rFonts w:hAnsi="宋体" w:cs="Times New Roman"/>
                <w:color w:val="auto"/>
                <w:kern w:val="2"/>
                <w:szCs w:val="24"/>
                <w:highlight w:val="none"/>
                <w:u w:val="single"/>
                <w:lang w:eastAsia="zh-CN"/>
              </w:rPr>
            </w:pPr>
            <w:r>
              <w:rPr>
                <w:rFonts w:hint="eastAsia" w:hAnsi="宋体" w:cs="Times New Roman"/>
                <w:color w:val="auto"/>
                <w:kern w:val="2"/>
                <w:szCs w:val="24"/>
                <w:highlight w:val="none"/>
                <w:lang w:eastAsia="zh-CN"/>
              </w:rPr>
              <w:t>单位工程或工程设备是否需投入施工期运行：</w:t>
            </w:r>
            <w:r>
              <w:rPr>
                <w:rFonts w:hint="eastAsia" w:hAnsi="宋体" w:cs="Times New Roman"/>
                <w:color w:val="auto"/>
                <w:kern w:val="2"/>
                <w:szCs w:val="24"/>
                <w:highlight w:val="none"/>
                <w:u w:val="single"/>
                <w:lang w:eastAsia="zh-CN"/>
              </w:rPr>
              <w:t>是</w:t>
            </w:r>
          </w:p>
        </w:tc>
      </w:tr>
      <w:tr w14:paraId="2191B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7" w:hRule="exact"/>
          <w:jc w:val="center"/>
        </w:trPr>
        <w:tc>
          <w:tcPr>
            <w:tcW w:w="729" w:type="dxa"/>
            <w:vAlign w:val="center"/>
          </w:tcPr>
          <w:p w14:paraId="54DB97B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26</w:t>
            </w:r>
          </w:p>
        </w:tc>
        <w:tc>
          <w:tcPr>
            <w:tcW w:w="1398" w:type="dxa"/>
            <w:vAlign w:val="center"/>
          </w:tcPr>
          <w:p w14:paraId="1F51B17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18.6.1</w:t>
            </w:r>
          </w:p>
        </w:tc>
        <w:tc>
          <w:tcPr>
            <w:tcW w:w="7512" w:type="dxa"/>
            <w:vAlign w:val="center"/>
          </w:tcPr>
          <w:p w14:paraId="76E533CB">
            <w:pPr>
              <w:widowControl w:val="0"/>
              <w:adjustRightInd w:val="0"/>
              <w:snapToGrid w:val="0"/>
              <w:jc w:val="both"/>
              <w:rPr>
                <w:rFonts w:hAnsi="宋体" w:cs="Times New Roman"/>
                <w:color w:val="auto"/>
                <w:kern w:val="2"/>
                <w:szCs w:val="24"/>
                <w:highlight w:val="none"/>
                <w:u w:val="single"/>
                <w:lang w:eastAsia="zh-CN"/>
              </w:rPr>
            </w:pPr>
            <w:r>
              <w:rPr>
                <w:rFonts w:hint="eastAsia" w:hAnsi="宋体" w:cs="Times New Roman"/>
                <w:color w:val="auto"/>
                <w:kern w:val="2"/>
                <w:szCs w:val="24"/>
                <w:highlight w:val="none"/>
                <w:lang w:eastAsia="zh-CN"/>
              </w:rPr>
              <w:t>本工程及工程设备是否进行试运行：</w:t>
            </w:r>
            <w:r>
              <w:rPr>
                <w:rFonts w:hint="eastAsia" w:hAnsi="宋体" w:cs="Times New Roman"/>
                <w:color w:val="auto"/>
                <w:kern w:val="2"/>
                <w:szCs w:val="24"/>
                <w:highlight w:val="none"/>
                <w:u w:val="single"/>
                <w:lang w:eastAsia="zh-CN"/>
              </w:rPr>
              <w:t xml:space="preserve"> 否 </w:t>
            </w:r>
          </w:p>
          <w:p w14:paraId="34F02F4A">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如本工程及工程设备需要进行试运行，试运行的具体规定如下：无</w:t>
            </w:r>
          </w:p>
        </w:tc>
      </w:tr>
      <w:tr w14:paraId="4DCF4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exact"/>
          <w:jc w:val="center"/>
        </w:trPr>
        <w:tc>
          <w:tcPr>
            <w:tcW w:w="729" w:type="dxa"/>
            <w:tcBorders>
              <w:top w:val="single" w:color="auto" w:sz="6" w:space="0"/>
              <w:left w:val="single" w:color="auto" w:sz="12" w:space="0"/>
              <w:bottom w:val="single" w:color="auto" w:sz="6" w:space="0"/>
              <w:right w:val="single" w:color="auto" w:sz="6" w:space="0"/>
            </w:tcBorders>
            <w:vAlign w:val="center"/>
          </w:tcPr>
          <w:p w14:paraId="7744DCF2">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27</w:t>
            </w:r>
          </w:p>
        </w:tc>
        <w:tc>
          <w:tcPr>
            <w:tcW w:w="1398" w:type="dxa"/>
            <w:tcBorders>
              <w:top w:val="single" w:color="auto" w:sz="6" w:space="0"/>
              <w:left w:val="single" w:color="auto" w:sz="6" w:space="0"/>
              <w:bottom w:val="single" w:color="auto" w:sz="6" w:space="0"/>
              <w:right w:val="single" w:color="auto" w:sz="6" w:space="0"/>
            </w:tcBorders>
            <w:vAlign w:val="center"/>
          </w:tcPr>
          <w:p w14:paraId="47236F1D">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19.7（1）</w:t>
            </w:r>
          </w:p>
        </w:tc>
        <w:tc>
          <w:tcPr>
            <w:tcW w:w="7512" w:type="dxa"/>
            <w:tcBorders>
              <w:top w:val="single" w:color="auto" w:sz="6" w:space="0"/>
              <w:left w:val="single" w:color="auto" w:sz="6" w:space="0"/>
              <w:bottom w:val="single" w:color="auto" w:sz="6" w:space="0"/>
              <w:right w:val="single" w:color="auto" w:sz="12" w:space="0"/>
            </w:tcBorders>
            <w:vAlign w:val="center"/>
          </w:tcPr>
          <w:p w14:paraId="14527908">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保修期：自实际交工日期起计算</w:t>
            </w:r>
            <w:r>
              <w:rPr>
                <w:rFonts w:hint="eastAsia" w:hAnsi="宋体" w:cs="Times New Roman"/>
                <w:color w:val="auto"/>
                <w:kern w:val="2"/>
                <w:szCs w:val="24"/>
                <w:highlight w:val="none"/>
                <w:u w:val="single"/>
                <w:lang w:eastAsia="zh-CN"/>
              </w:rPr>
              <w:t xml:space="preserve"> </w:t>
            </w:r>
            <w:r>
              <w:rPr>
                <w:rFonts w:hint="eastAsia" w:hAnsi="宋体" w:cs="Times New Roman"/>
                <w:color w:val="auto"/>
                <w:kern w:val="2"/>
                <w:szCs w:val="24"/>
                <w:highlight w:val="none"/>
                <w:u w:val="single"/>
                <w:lang w:val="en-US" w:eastAsia="zh-CN"/>
              </w:rPr>
              <w:t>1</w:t>
            </w:r>
            <w:r>
              <w:rPr>
                <w:rFonts w:hint="eastAsia" w:hAnsi="宋体" w:cs="Times New Roman"/>
                <w:color w:val="auto"/>
                <w:kern w:val="2"/>
                <w:szCs w:val="24"/>
                <w:highlight w:val="none"/>
                <w:u w:val="single"/>
                <w:lang w:eastAsia="zh-CN"/>
              </w:rPr>
              <w:t xml:space="preserve"> </w:t>
            </w:r>
            <w:r>
              <w:rPr>
                <w:rFonts w:hint="eastAsia" w:hAnsi="宋体" w:cs="Times New Roman"/>
                <w:color w:val="auto"/>
                <w:kern w:val="2"/>
                <w:szCs w:val="24"/>
                <w:highlight w:val="none"/>
                <w:lang w:eastAsia="zh-CN"/>
              </w:rPr>
              <w:t>年</w:t>
            </w:r>
          </w:p>
        </w:tc>
      </w:tr>
      <w:tr w14:paraId="197C2C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5" w:hRule="exact"/>
          <w:jc w:val="center"/>
        </w:trPr>
        <w:tc>
          <w:tcPr>
            <w:tcW w:w="729" w:type="dxa"/>
            <w:tcBorders>
              <w:top w:val="single" w:color="auto" w:sz="6" w:space="0"/>
              <w:left w:val="single" w:color="auto" w:sz="12" w:space="0"/>
              <w:bottom w:val="single" w:color="auto" w:sz="6" w:space="0"/>
              <w:right w:val="single" w:color="auto" w:sz="6" w:space="0"/>
            </w:tcBorders>
            <w:vAlign w:val="center"/>
          </w:tcPr>
          <w:p w14:paraId="059FE11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28</w:t>
            </w:r>
          </w:p>
        </w:tc>
        <w:tc>
          <w:tcPr>
            <w:tcW w:w="1398" w:type="dxa"/>
            <w:tcBorders>
              <w:top w:val="single" w:color="auto" w:sz="6" w:space="0"/>
              <w:left w:val="single" w:color="auto" w:sz="6" w:space="0"/>
              <w:bottom w:val="single" w:color="auto" w:sz="6" w:space="0"/>
              <w:right w:val="single" w:color="auto" w:sz="6" w:space="0"/>
            </w:tcBorders>
            <w:vAlign w:val="center"/>
          </w:tcPr>
          <w:p w14:paraId="7370BC3F">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20.1</w:t>
            </w:r>
          </w:p>
        </w:tc>
        <w:tc>
          <w:tcPr>
            <w:tcW w:w="7512" w:type="dxa"/>
            <w:tcBorders>
              <w:top w:val="single" w:color="auto" w:sz="6" w:space="0"/>
              <w:left w:val="single" w:color="auto" w:sz="6" w:space="0"/>
              <w:bottom w:val="single" w:color="auto" w:sz="6" w:space="0"/>
              <w:right w:val="single" w:color="auto" w:sz="12" w:space="0"/>
            </w:tcBorders>
            <w:vAlign w:val="center"/>
          </w:tcPr>
          <w:p w14:paraId="554873EC">
            <w:pPr>
              <w:widowControl w:val="0"/>
              <w:adjustRightInd w:val="0"/>
              <w:snapToGrid w:val="0"/>
              <w:jc w:val="both"/>
              <w:rPr>
                <w:rFonts w:hint="default" w:hAnsi="宋体" w:cs="Times New Roman"/>
                <w:color w:val="auto"/>
                <w:kern w:val="2"/>
                <w:szCs w:val="24"/>
                <w:highlight w:val="none"/>
                <w:lang w:val="en-US" w:eastAsia="zh-CN"/>
              </w:rPr>
            </w:pPr>
            <w:r>
              <w:rPr>
                <w:rFonts w:hint="eastAsia" w:hAnsi="宋体" w:cs="Times New Roman"/>
                <w:color w:val="auto"/>
                <w:kern w:val="2"/>
                <w:szCs w:val="24"/>
                <w:highlight w:val="none"/>
                <w:lang w:eastAsia="zh-CN"/>
              </w:rPr>
              <w:t>建筑工程一切险的保险费率：</w:t>
            </w:r>
            <w:r>
              <w:rPr>
                <w:rFonts w:hint="eastAsia" w:hAnsi="宋体" w:cs="Times New Roman"/>
                <w:b/>
                <w:color w:val="auto"/>
                <w:kern w:val="2"/>
                <w:szCs w:val="24"/>
                <w:highlight w:val="none"/>
                <w:u w:val="single"/>
                <w:lang w:eastAsia="zh-CN"/>
              </w:rPr>
              <w:t xml:space="preserve">  </w:t>
            </w:r>
            <w:r>
              <w:rPr>
                <w:rFonts w:hint="eastAsia" w:hAnsi="宋体" w:cs="Times New Roman"/>
                <w:b/>
                <w:color w:val="auto"/>
                <w:kern w:val="2"/>
                <w:szCs w:val="24"/>
                <w:highlight w:val="none"/>
                <w:u w:val="single"/>
                <w:lang w:val="en-US" w:eastAsia="zh-CN"/>
              </w:rPr>
              <w:t xml:space="preserve">以固化清单为准 </w:t>
            </w:r>
          </w:p>
        </w:tc>
      </w:tr>
      <w:tr w14:paraId="6294E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6" w:hRule="exact"/>
          <w:jc w:val="center"/>
        </w:trPr>
        <w:tc>
          <w:tcPr>
            <w:tcW w:w="729" w:type="dxa"/>
            <w:tcBorders>
              <w:top w:val="single" w:color="auto" w:sz="6" w:space="0"/>
              <w:left w:val="single" w:color="auto" w:sz="12" w:space="0"/>
              <w:bottom w:val="single" w:color="auto" w:sz="6" w:space="0"/>
              <w:right w:val="single" w:color="auto" w:sz="6" w:space="0"/>
            </w:tcBorders>
            <w:vAlign w:val="center"/>
          </w:tcPr>
          <w:p w14:paraId="261DDAE0">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30</w:t>
            </w:r>
          </w:p>
        </w:tc>
        <w:tc>
          <w:tcPr>
            <w:tcW w:w="1398" w:type="dxa"/>
            <w:tcBorders>
              <w:top w:val="single" w:color="auto" w:sz="6" w:space="0"/>
              <w:left w:val="single" w:color="auto" w:sz="6" w:space="0"/>
              <w:bottom w:val="single" w:color="auto" w:sz="6" w:space="0"/>
              <w:right w:val="single" w:color="auto" w:sz="6" w:space="0"/>
            </w:tcBorders>
            <w:vAlign w:val="center"/>
          </w:tcPr>
          <w:p w14:paraId="42EF55C4">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20.4.2</w:t>
            </w:r>
          </w:p>
        </w:tc>
        <w:tc>
          <w:tcPr>
            <w:tcW w:w="7512" w:type="dxa"/>
            <w:tcBorders>
              <w:top w:val="single" w:color="auto" w:sz="6" w:space="0"/>
              <w:left w:val="single" w:color="auto" w:sz="6" w:space="0"/>
              <w:bottom w:val="single" w:color="auto" w:sz="6" w:space="0"/>
              <w:right w:val="single" w:color="auto" w:sz="12" w:space="0"/>
            </w:tcBorders>
            <w:vAlign w:val="center"/>
          </w:tcPr>
          <w:p w14:paraId="43E57C23">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第三者责任险的最低投保金额：</w:t>
            </w:r>
            <w:r>
              <w:rPr>
                <w:rFonts w:hint="eastAsia" w:hAnsi="宋体" w:cs="Times New Roman"/>
                <w:color w:val="auto"/>
                <w:kern w:val="2"/>
                <w:szCs w:val="24"/>
                <w:highlight w:val="none"/>
                <w:u w:val="single"/>
                <w:lang w:eastAsia="zh-CN"/>
              </w:rPr>
              <w:t xml:space="preserve">   /  </w:t>
            </w:r>
            <w:r>
              <w:rPr>
                <w:rFonts w:hint="eastAsia" w:hAnsi="宋体" w:cs="Times New Roman"/>
                <w:color w:val="auto"/>
                <w:kern w:val="2"/>
                <w:szCs w:val="24"/>
                <w:highlight w:val="none"/>
                <w:lang w:eastAsia="zh-CN"/>
              </w:rPr>
              <w:t>万元，事故次数不限（不计免赔额）</w:t>
            </w:r>
          </w:p>
          <w:p w14:paraId="6920D118">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保险费率：</w:t>
            </w:r>
            <w:r>
              <w:rPr>
                <w:rFonts w:hint="eastAsia" w:hAnsi="宋体" w:cs="Times New Roman"/>
                <w:b/>
                <w:color w:val="auto"/>
                <w:kern w:val="2"/>
                <w:szCs w:val="24"/>
                <w:highlight w:val="none"/>
                <w:u w:val="single"/>
                <w:lang w:eastAsia="zh-CN"/>
              </w:rPr>
              <w:t>以固化清单为准</w:t>
            </w:r>
          </w:p>
        </w:tc>
      </w:tr>
      <w:tr w14:paraId="5BD3D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1" w:hRule="exact"/>
          <w:jc w:val="center"/>
        </w:trPr>
        <w:tc>
          <w:tcPr>
            <w:tcW w:w="729" w:type="dxa"/>
            <w:tcBorders>
              <w:top w:val="single" w:color="auto" w:sz="6" w:space="0"/>
              <w:left w:val="single" w:color="auto" w:sz="12" w:space="0"/>
              <w:bottom w:val="single" w:color="auto" w:sz="12" w:space="0"/>
              <w:right w:val="single" w:color="auto" w:sz="6" w:space="0"/>
            </w:tcBorders>
            <w:vAlign w:val="center"/>
          </w:tcPr>
          <w:p w14:paraId="52966F95">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31</w:t>
            </w:r>
          </w:p>
        </w:tc>
        <w:tc>
          <w:tcPr>
            <w:tcW w:w="1398" w:type="dxa"/>
            <w:tcBorders>
              <w:top w:val="single" w:color="auto" w:sz="6" w:space="0"/>
              <w:left w:val="single" w:color="auto" w:sz="6" w:space="0"/>
              <w:bottom w:val="single" w:color="auto" w:sz="12" w:space="0"/>
              <w:right w:val="single" w:color="auto" w:sz="6" w:space="0"/>
            </w:tcBorders>
            <w:vAlign w:val="center"/>
          </w:tcPr>
          <w:p w14:paraId="4B700AE2">
            <w:pPr>
              <w:widowControl w:val="0"/>
              <w:adjustRightInd w:val="0"/>
              <w:snapToGrid w:val="0"/>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24.1</w:t>
            </w:r>
          </w:p>
        </w:tc>
        <w:tc>
          <w:tcPr>
            <w:tcW w:w="7512" w:type="dxa"/>
            <w:tcBorders>
              <w:top w:val="single" w:color="auto" w:sz="6" w:space="0"/>
              <w:left w:val="single" w:color="auto" w:sz="6" w:space="0"/>
              <w:bottom w:val="single" w:color="auto" w:sz="12" w:space="0"/>
              <w:right w:val="single" w:color="auto" w:sz="12" w:space="0"/>
            </w:tcBorders>
            <w:vAlign w:val="center"/>
          </w:tcPr>
          <w:p w14:paraId="61792DD9">
            <w:pPr>
              <w:widowControl w:val="0"/>
              <w:adjustRightInd w:val="0"/>
              <w:snapToGrid w:val="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争议的最终解决方式：</w:t>
            </w:r>
            <w:r>
              <w:rPr>
                <w:rFonts w:hint="eastAsia" w:asciiTheme="minorEastAsia" w:hAnsiTheme="minorEastAsia" w:eastAsiaTheme="minorEastAsia"/>
                <w:color w:val="auto"/>
                <w:highlight w:val="none"/>
                <w:u w:val="single"/>
              </w:rPr>
              <w:t>诉讼</w:t>
            </w:r>
          </w:p>
          <w:p w14:paraId="38851AE7">
            <w:pPr>
              <w:widowControl w:val="0"/>
              <w:adjustRightInd w:val="0"/>
              <w:snapToGrid w:val="0"/>
              <w:jc w:val="both"/>
              <w:rPr>
                <w:rFonts w:hint="default" w:hAnsi="宋体" w:cs="Times New Roman"/>
                <w:color w:val="auto"/>
                <w:kern w:val="2"/>
                <w:szCs w:val="24"/>
                <w:highlight w:val="none"/>
                <w:lang w:val="en-US" w:eastAsia="zh-CN"/>
              </w:rPr>
            </w:pPr>
            <w:r>
              <w:rPr>
                <w:rFonts w:hint="eastAsia" w:hAnsi="宋体" w:cs="Times New Roman"/>
                <w:color w:val="auto"/>
                <w:kern w:val="2"/>
                <w:szCs w:val="24"/>
                <w:highlight w:val="none"/>
                <w:lang w:eastAsia="zh-CN"/>
              </w:rPr>
              <w:t>如采用仲裁，仲裁委员会名称：</w:t>
            </w:r>
            <w:r>
              <w:rPr>
                <w:rFonts w:hint="eastAsia" w:hAnsi="宋体" w:cs="Times New Roman"/>
                <w:color w:val="auto"/>
                <w:kern w:val="2"/>
                <w:szCs w:val="24"/>
                <w:highlight w:val="none"/>
                <w:u w:val="single"/>
                <w:lang w:val="en-US" w:eastAsia="zh-CN"/>
              </w:rPr>
              <w:t xml:space="preserve">   </w:t>
            </w:r>
            <w:r>
              <w:rPr>
                <w:rFonts w:hint="eastAsia" w:hAnsi="宋体" w:cs="Times New Roman"/>
                <w:color w:val="auto"/>
                <w:kern w:val="2"/>
                <w:szCs w:val="24"/>
                <w:highlight w:val="none"/>
                <w:u w:val="single"/>
                <w:lang w:eastAsia="zh-CN"/>
              </w:rPr>
              <w:t xml:space="preserve"> /</w:t>
            </w:r>
            <w:r>
              <w:rPr>
                <w:rFonts w:hint="eastAsia" w:hAnsi="宋体" w:cs="Times New Roman"/>
                <w:color w:val="auto"/>
                <w:kern w:val="2"/>
                <w:szCs w:val="24"/>
                <w:highlight w:val="none"/>
                <w:u w:val="single"/>
                <w:lang w:val="en-US" w:eastAsia="zh-CN"/>
              </w:rPr>
              <w:t xml:space="preserve">    </w:t>
            </w:r>
          </w:p>
        </w:tc>
      </w:tr>
    </w:tbl>
    <w:p w14:paraId="47E3CE25">
      <w:pPr>
        <w:spacing w:line="360" w:lineRule="auto"/>
        <w:jc w:val="center"/>
        <w:rPr>
          <w:b/>
          <w:color w:val="auto"/>
          <w:sz w:val="28"/>
          <w:highlight w:val="none"/>
          <w:lang w:eastAsia="zh-CN"/>
        </w:rPr>
      </w:pPr>
      <w:r>
        <w:rPr>
          <w:rFonts w:hAnsi="宋体" w:cs="Times New Roman"/>
          <w:b/>
          <w:bCs/>
          <w:color w:val="auto"/>
          <w:kern w:val="2"/>
          <w:szCs w:val="32"/>
          <w:highlight w:val="none"/>
          <w:lang w:eastAsia="zh-CN"/>
        </w:rPr>
        <w:br w:type="page"/>
      </w:r>
      <w:bookmarkStart w:id="263" w:name="_Toc70630290"/>
      <w:bookmarkStart w:id="264" w:name="_Toc334557675"/>
      <w:bookmarkStart w:id="265" w:name="_Toc16691"/>
      <w:bookmarkStart w:id="266" w:name="_Toc294568159"/>
      <w:bookmarkStart w:id="267" w:name="_Toc294567666"/>
      <w:r>
        <w:rPr>
          <w:rFonts w:hint="eastAsia"/>
          <w:b/>
          <w:color w:val="auto"/>
          <w:sz w:val="28"/>
          <w:highlight w:val="none"/>
          <w:lang w:eastAsia="zh-CN"/>
        </w:rPr>
        <w:t>项目专用合同条款</w:t>
      </w:r>
      <w:bookmarkEnd w:id="263"/>
      <w:bookmarkEnd w:id="264"/>
      <w:bookmarkEnd w:id="265"/>
      <w:bookmarkEnd w:id="266"/>
      <w:bookmarkEnd w:id="267"/>
    </w:p>
    <w:p w14:paraId="6A72E166">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1.4合同文件的优先顺序</w:t>
      </w:r>
    </w:p>
    <w:p w14:paraId="44FA0CFC">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本款细化为：</w:t>
      </w:r>
    </w:p>
    <w:p w14:paraId="293B5BF3">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组成合同的各项文件应互相解释，互为说明。解释合同文件的优先顺序如下：</w:t>
      </w:r>
    </w:p>
    <w:p w14:paraId="3F05ACCC">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(1)</w:t>
      </w:r>
      <w:r>
        <w:rPr>
          <w:rFonts w:hint="eastAsia" w:hAnsi="宋体" w:cs="Times New Roman"/>
          <w:color w:val="auto"/>
          <w:kern w:val="2"/>
          <w:sz w:val="21"/>
          <w:szCs w:val="21"/>
          <w:highlight w:val="none"/>
          <w:lang w:eastAsia="zh-CN"/>
        </w:rPr>
        <w:t>合同协议书及各种合同附件</w:t>
      </w: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含评标期间和合同谈判过程中的澄清文件和补充资料</w:t>
      </w: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w:t>
      </w:r>
    </w:p>
    <w:p w14:paraId="6527B918">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(2)</w:t>
      </w:r>
      <w:r>
        <w:rPr>
          <w:rFonts w:hint="eastAsia" w:hAnsi="宋体" w:cs="Times New Roman"/>
          <w:color w:val="auto"/>
          <w:kern w:val="2"/>
          <w:sz w:val="21"/>
          <w:szCs w:val="21"/>
          <w:highlight w:val="none"/>
          <w:lang w:eastAsia="zh-CN"/>
        </w:rPr>
        <w:t>中标通知书；</w:t>
      </w:r>
    </w:p>
    <w:p w14:paraId="34236CCA">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(3)</w:t>
      </w:r>
      <w:r>
        <w:rPr>
          <w:rFonts w:hint="eastAsia" w:hAnsi="宋体" w:cs="Times New Roman"/>
          <w:color w:val="auto"/>
          <w:kern w:val="2"/>
          <w:sz w:val="21"/>
          <w:szCs w:val="21"/>
          <w:highlight w:val="none"/>
          <w:lang w:eastAsia="zh-CN"/>
        </w:rPr>
        <w:t>投标函及投标函附录；</w:t>
      </w:r>
    </w:p>
    <w:p w14:paraId="0C252BBC">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(4)</w:t>
      </w:r>
      <w:r>
        <w:rPr>
          <w:rFonts w:hint="eastAsia" w:hAnsi="宋体" w:cs="Times New Roman"/>
          <w:color w:val="auto"/>
          <w:kern w:val="2"/>
          <w:sz w:val="21"/>
          <w:szCs w:val="21"/>
          <w:highlight w:val="none"/>
          <w:lang w:eastAsia="zh-CN"/>
        </w:rPr>
        <w:t>项目专用合同条款；</w:t>
      </w:r>
    </w:p>
    <w:p w14:paraId="0B0C1BC6">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(5)</w:t>
      </w:r>
      <w:r>
        <w:rPr>
          <w:rFonts w:hint="eastAsia" w:hAnsi="宋体" w:cs="Times New Roman"/>
          <w:color w:val="auto"/>
          <w:kern w:val="2"/>
          <w:sz w:val="21"/>
          <w:szCs w:val="21"/>
          <w:highlight w:val="none"/>
          <w:lang w:eastAsia="zh-CN"/>
        </w:rPr>
        <w:t>公路工程专用合同条款；</w:t>
      </w:r>
    </w:p>
    <w:p w14:paraId="6A37784B">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(6)</w:t>
      </w:r>
      <w:r>
        <w:rPr>
          <w:rFonts w:hint="eastAsia" w:hAnsi="宋体" w:cs="Times New Roman"/>
          <w:color w:val="auto"/>
          <w:kern w:val="2"/>
          <w:sz w:val="21"/>
          <w:szCs w:val="21"/>
          <w:highlight w:val="none"/>
          <w:lang w:eastAsia="zh-CN"/>
        </w:rPr>
        <w:t>通用合同条款；</w:t>
      </w:r>
    </w:p>
    <w:p w14:paraId="18A77D09">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(7)</w:t>
      </w:r>
      <w:r>
        <w:rPr>
          <w:rFonts w:hint="eastAsia" w:hAnsi="宋体" w:cs="Times New Roman"/>
          <w:color w:val="auto"/>
          <w:kern w:val="2"/>
          <w:sz w:val="21"/>
          <w:szCs w:val="21"/>
          <w:highlight w:val="none"/>
          <w:lang w:eastAsia="zh-CN"/>
        </w:rPr>
        <w:t>技术规范；</w:t>
      </w:r>
    </w:p>
    <w:p w14:paraId="728ED160">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(8)</w:t>
      </w:r>
      <w:r>
        <w:rPr>
          <w:rFonts w:hint="eastAsia" w:hAnsi="宋体" w:cs="Times New Roman"/>
          <w:color w:val="auto"/>
          <w:kern w:val="2"/>
          <w:sz w:val="21"/>
          <w:szCs w:val="21"/>
          <w:highlight w:val="none"/>
          <w:lang w:eastAsia="zh-CN"/>
        </w:rPr>
        <w:t>图纸；</w:t>
      </w:r>
    </w:p>
    <w:p w14:paraId="46EF40C1">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(9)</w:t>
      </w:r>
      <w:r>
        <w:rPr>
          <w:rFonts w:hint="eastAsia" w:hAnsi="宋体" w:cs="Times New Roman"/>
          <w:color w:val="auto"/>
          <w:kern w:val="2"/>
          <w:sz w:val="21"/>
          <w:szCs w:val="21"/>
          <w:highlight w:val="none"/>
          <w:lang w:eastAsia="zh-CN"/>
        </w:rPr>
        <w:t>已标价工程量清单；</w:t>
      </w:r>
    </w:p>
    <w:p w14:paraId="006C527F">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(10)</w:t>
      </w:r>
      <w:r>
        <w:rPr>
          <w:rFonts w:hint="eastAsia" w:hAnsi="宋体" w:cs="Times New Roman"/>
          <w:color w:val="auto"/>
          <w:kern w:val="2"/>
          <w:sz w:val="21"/>
          <w:szCs w:val="21"/>
          <w:highlight w:val="none"/>
          <w:lang w:eastAsia="zh-CN"/>
        </w:rPr>
        <w:t>承包人有关人员、设备投入的承诺及投标文件中的施工组织设计；</w:t>
      </w:r>
    </w:p>
    <w:p w14:paraId="6AB9DB1F">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(11</w:t>
      </w:r>
      <w:r>
        <w:rPr>
          <w:rFonts w:hint="eastAsia" w:hAnsi="宋体" w:cs="Times New Roman"/>
          <w:color w:val="auto"/>
          <w:kern w:val="2"/>
          <w:sz w:val="21"/>
          <w:szCs w:val="21"/>
          <w:highlight w:val="none"/>
          <w:lang w:eastAsia="zh-CN"/>
        </w:rPr>
        <w:t>)其他合同文件。</w:t>
      </w:r>
    </w:p>
    <w:p w14:paraId="2B4F20E2">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2.3 提供施工场地</w:t>
      </w:r>
    </w:p>
    <w:p w14:paraId="38CF35E8">
      <w:pPr>
        <w:widowControl w:val="0"/>
        <w:adjustRightInd w:val="0"/>
        <w:snapToGrid w:val="0"/>
        <w:spacing w:line="360" w:lineRule="auto"/>
        <w:ind w:firstLine="420" w:firstLineChars="200"/>
        <w:jc w:val="both"/>
        <w:rPr>
          <w:rFonts w:hAnsi="宋体" w:cs="Times New Roman"/>
          <w:bCs/>
          <w:color w:val="auto"/>
          <w:kern w:val="2"/>
          <w:sz w:val="21"/>
          <w:szCs w:val="21"/>
          <w:highlight w:val="none"/>
          <w:lang w:eastAsia="zh-CN"/>
        </w:rPr>
      </w:pPr>
      <w:r>
        <w:rPr>
          <w:rFonts w:hint="eastAsia" w:hAnsi="宋体" w:cs="Times New Roman"/>
          <w:bCs/>
          <w:color w:val="auto"/>
          <w:kern w:val="2"/>
          <w:sz w:val="21"/>
          <w:szCs w:val="21"/>
          <w:highlight w:val="none"/>
          <w:lang w:eastAsia="zh-CN"/>
        </w:rPr>
        <w:t>本款补充：</w:t>
      </w:r>
    </w:p>
    <w:p w14:paraId="61CF3858">
      <w:pPr>
        <w:widowControl w:val="0"/>
        <w:adjustRightInd w:val="0"/>
        <w:snapToGrid w:val="0"/>
        <w:spacing w:line="360" w:lineRule="auto"/>
        <w:ind w:firstLine="420" w:firstLineChars="200"/>
        <w:jc w:val="both"/>
        <w:rPr>
          <w:rFonts w:hAnsi="宋体" w:cs="Times New Roman"/>
          <w:bCs/>
          <w:color w:val="auto"/>
          <w:kern w:val="2"/>
          <w:sz w:val="21"/>
          <w:szCs w:val="21"/>
          <w:highlight w:val="none"/>
          <w:lang w:eastAsia="zh-CN"/>
        </w:rPr>
      </w:pPr>
      <w:r>
        <w:rPr>
          <w:rFonts w:hint="eastAsia" w:hAnsi="宋体" w:cs="Times New Roman"/>
          <w:bCs/>
          <w:color w:val="auto"/>
          <w:kern w:val="2"/>
          <w:sz w:val="21"/>
          <w:szCs w:val="21"/>
          <w:highlight w:val="none"/>
          <w:lang w:eastAsia="zh-CN"/>
        </w:rPr>
        <w:t>对本合同工程所需用土、石料、砂或其他当地材料的料场，承包人在现场调查及编标过程中均已核实，在合同实施过程中不论何种原因导致料场的变更以及在承包人认为变更料场方能实施本合同工程的部分或全部，由此而产生的税和费由承包人承担，合同单价不予调整，对不符合合同要求的上述场地，监理工程师有权制止承包人使用。</w:t>
      </w:r>
      <w:r>
        <w:rPr>
          <w:rFonts w:hint="eastAsia" w:hAnsi="宋体" w:cs="Times New Roman"/>
          <w:b/>
          <w:bCs w:val="0"/>
          <w:color w:val="auto"/>
          <w:kern w:val="2"/>
          <w:sz w:val="21"/>
          <w:szCs w:val="21"/>
          <w:highlight w:val="none"/>
          <w:lang w:eastAsia="zh-CN"/>
        </w:rPr>
        <w:t>预制场及钢筋加工场的选址，承包人在现场调查及编标过程中均已核实，产生的临时用地租用及手续费用或由此产生的罚款均由由承包人承担，合同单价不予调整</w:t>
      </w:r>
      <w:r>
        <w:rPr>
          <w:rFonts w:hint="eastAsia" w:hAnsi="宋体" w:cs="Times New Roman"/>
          <w:bCs/>
          <w:color w:val="auto"/>
          <w:kern w:val="2"/>
          <w:sz w:val="21"/>
          <w:szCs w:val="21"/>
          <w:highlight w:val="none"/>
          <w:lang w:eastAsia="zh-CN"/>
        </w:rPr>
        <w:t>。</w:t>
      </w:r>
    </w:p>
    <w:p w14:paraId="76DE3A47">
      <w:pPr>
        <w:widowControl w:val="0"/>
        <w:adjustRightInd w:val="0"/>
        <w:snapToGrid w:val="0"/>
        <w:spacing w:line="360" w:lineRule="auto"/>
        <w:ind w:firstLine="420" w:firstLineChars="200"/>
        <w:jc w:val="both"/>
        <w:rPr>
          <w:rFonts w:hAnsi="宋体" w:cs="Times New Roman"/>
          <w:bCs/>
          <w:color w:val="auto"/>
          <w:kern w:val="2"/>
          <w:sz w:val="21"/>
          <w:szCs w:val="21"/>
          <w:highlight w:val="none"/>
          <w:lang w:eastAsia="zh-CN"/>
        </w:rPr>
      </w:pPr>
      <w:r>
        <w:rPr>
          <w:rFonts w:hint="eastAsia" w:hAnsi="宋体" w:cs="Times New Roman"/>
          <w:bCs/>
          <w:color w:val="auto"/>
          <w:kern w:val="2"/>
          <w:sz w:val="21"/>
          <w:szCs w:val="21"/>
          <w:highlight w:val="none"/>
          <w:lang w:eastAsia="zh-CN"/>
        </w:rPr>
        <w:t>在施工过程中，业主有义务协助承包人办理料场租用手续及解决使用过程中的有关问题，但业主协助的成功与否，不免除根据合同文件规定承包人应承担的一切责任。所有因料场而产生的一切税和费，已包括在相关单价或总价中，业主不再单独支付任何费用。</w:t>
      </w:r>
    </w:p>
    <w:p w14:paraId="3A9256E4">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4.1承包人的一般义务</w:t>
      </w:r>
    </w:p>
    <w:p w14:paraId="081624BB">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4.1.10其他义务</w:t>
      </w:r>
    </w:p>
    <w:p w14:paraId="6F65043C">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第（4）细化为：</w:t>
      </w:r>
    </w:p>
    <w:p w14:paraId="174A24CC">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（4）承包人应履行的其他义务：</w:t>
      </w:r>
    </w:p>
    <w:p w14:paraId="5EBD69E7">
      <w:pPr>
        <w:widowControl w:val="0"/>
        <w:tabs>
          <w:tab w:val="left" w:pos="700"/>
        </w:tabs>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a、竣工验收时要求工程质量等级达到</w:t>
      </w:r>
      <w:r>
        <w:rPr>
          <w:rFonts w:hint="eastAsia" w:hAnsi="宋体" w:cs="Times New Roman"/>
          <w:b/>
          <w:color w:val="auto"/>
          <w:kern w:val="2"/>
          <w:sz w:val="21"/>
          <w:szCs w:val="21"/>
          <w:highlight w:val="none"/>
          <w:lang w:eastAsia="zh-CN"/>
        </w:rPr>
        <w:t>合格工程</w:t>
      </w:r>
      <w:r>
        <w:rPr>
          <w:rFonts w:hint="eastAsia" w:hAnsi="宋体" w:cs="Times New Roman"/>
          <w:color w:val="auto"/>
          <w:kern w:val="2"/>
          <w:sz w:val="21"/>
          <w:szCs w:val="21"/>
          <w:highlight w:val="none"/>
          <w:lang w:eastAsia="zh-CN"/>
        </w:rPr>
        <w:t>。</w:t>
      </w:r>
    </w:p>
    <w:p w14:paraId="2A0E9D68">
      <w:pPr>
        <w:widowControl w:val="0"/>
        <w:tabs>
          <w:tab w:val="left" w:pos="700"/>
        </w:tabs>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b、承包人要针对施工过程中出现紧急情况（含交通、施工、人身等紧急事故）时制定相应的应急措施，其费用包含在安全生产费中。</w:t>
      </w:r>
    </w:p>
    <w:p w14:paraId="347D3E4D">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c、承包人对其承包工程施工期间的职工聘（雇）用方式及劳动（劳务）合同执行到位，尤其是民工工资的发放计划及扰民处置措施要合理。无保留地执行通用条款第4.8款的相关规定。</w:t>
      </w:r>
    </w:p>
    <w:p w14:paraId="7C620B20">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d、监理单位或第三方检测单位进行检测时，承包人应提供作业方便，无条件予以配合，并配备2~3名辅助工作人员，费用在投标报价中考虑，不另行支付。</w:t>
      </w:r>
    </w:p>
    <w:p w14:paraId="3F637D33">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e、承包人应保护和保障发包人免于承担由于承包人的疏忽或不当行为造成的或与第4.1款所述有关的所有索赔、诉讼、损害赔偿、诉讼费、收费及其他的责任。</w:t>
      </w:r>
    </w:p>
    <w:p w14:paraId="59C9B48C">
      <w:pPr>
        <w:widowControl w:val="0"/>
        <w:tabs>
          <w:tab w:val="left" w:pos="700"/>
        </w:tabs>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f、机械设备操作应遵守当地有关部门对夜间施工的规定。</w:t>
      </w:r>
    </w:p>
    <w:p w14:paraId="3721C0A6">
      <w:pPr>
        <w:widowControl w:val="0"/>
        <w:tabs>
          <w:tab w:val="left" w:pos="3193"/>
        </w:tabs>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g、承包人需遵守国家和地方有关环境保护和水土保持的法律法规将其环境（自然及生态环境；水资源环境；大气环境、噪音及粉尘防治；固体废弃物处理；文物及宗教设施保护；重要设施保护；驻地环境）保护和水土保持措施实施到位。</w:t>
      </w:r>
    </w:p>
    <w:p w14:paraId="6D8EFE09">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4.6.3细化为：</w:t>
      </w:r>
    </w:p>
    <w:p w14:paraId="3C2FD557">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承包人安排在施工场地的主要管理人员和技术骨干应与承包人承诺的名单一致，并保持相对稳定。未经批准，上述人员不到位或被替换和发出进场通知7天内不到位的，将按下列规定进行处罚，项目负责人不到位的</w:t>
      </w:r>
      <w:r>
        <w:rPr>
          <w:rFonts w:hint="eastAsia" w:hAnsi="宋体" w:cs="Times New Roman"/>
          <w:b/>
          <w:color w:val="auto"/>
          <w:kern w:val="2"/>
          <w:sz w:val="21"/>
          <w:szCs w:val="21"/>
          <w:highlight w:val="none"/>
          <w:lang w:eastAsia="zh-CN"/>
        </w:rPr>
        <w:t>罚款1万元，</w:t>
      </w:r>
      <w:r>
        <w:rPr>
          <w:rFonts w:hint="eastAsia" w:hAnsi="宋体" w:cs="Times New Roman"/>
          <w:color w:val="auto"/>
          <w:kern w:val="2"/>
          <w:sz w:val="21"/>
          <w:szCs w:val="21"/>
          <w:highlight w:val="none"/>
          <w:lang w:eastAsia="zh-CN"/>
        </w:rPr>
        <w:t>项目负责人被替换的</w:t>
      </w:r>
      <w:r>
        <w:rPr>
          <w:rFonts w:hint="eastAsia" w:hAnsi="宋体" w:cs="Times New Roman"/>
          <w:b/>
          <w:color w:val="auto"/>
          <w:kern w:val="2"/>
          <w:sz w:val="21"/>
          <w:szCs w:val="21"/>
          <w:highlight w:val="none"/>
          <w:lang w:eastAsia="zh-CN"/>
        </w:rPr>
        <w:t>罚款1万元，其他管理人员或技术骨干不到位的罚款0.5万元/每人，被替换的罚款0.5万元/每人</w:t>
      </w:r>
      <w:r>
        <w:rPr>
          <w:rFonts w:hint="eastAsia" w:hAnsi="宋体" w:cs="Times New Roman"/>
          <w:color w:val="auto"/>
          <w:kern w:val="2"/>
          <w:sz w:val="21"/>
          <w:szCs w:val="21"/>
          <w:highlight w:val="none"/>
          <w:lang w:eastAsia="zh-CN"/>
        </w:rPr>
        <w:t xml:space="preserve">； </w:t>
      </w:r>
    </w:p>
    <w:p w14:paraId="10A4B61B">
      <w:pPr>
        <w:widowControl w:val="0"/>
        <w:adjustRightInd w:val="0"/>
        <w:snapToGrid w:val="0"/>
        <w:spacing w:line="360" w:lineRule="auto"/>
        <w:jc w:val="both"/>
        <w:rPr>
          <w:rFonts w:hAnsi="宋体" w:cs="Times New Roman"/>
          <w:color w:val="auto"/>
          <w:kern w:val="2"/>
          <w:sz w:val="21"/>
          <w:szCs w:val="21"/>
          <w:highlight w:val="none"/>
          <w:lang w:eastAsia="zh-CN"/>
        </w:rPr>
      </w:pPr>
      <w:bookmarkStart w:id="268" w:name="_Toc238269030"/>
      <w:bookmarkStart w:id="269" w:name="_Toc238268222"/>
      <w:r>
        <w:rPr>
          <w:rFonts w:hint="eastAsia" w:hAnsi="宋体" w:cs="Times New Roman"/>
          <w:b/>
          <w:color w:val="auto"/>
          <w:kern w:val="2"/>
          <w:sz w:val="21"/>
          <w:szCs w:val="21"/>
          <w:highlight w:val="none"/>
          <w:lang w:eastAsia="zh-CN"/>
        </w:rPr>
        <w:t>4.7撤换承包人项目经理和其他人员</w:t>
      </w:r>
    </w:p>
    <w:p w14:paraId="00747750">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段后补充：</w:t>
      </w:r>
    </w:p>
    <w:p w14:paraId="52D60091">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承包人在接到通知后7天内必须撤换监理工程师指定需要更换的人员，否则将视为违约。如承包人确需更换项目经理或项目总工，需经发包人同意，除发包人责令更换外不允许第二次更换。项目经理或项目总工一次性请假不得超过10天，累计请假不得超过30天。如发包人认为项目经理或项目总工不能担任本项目工作，发包人有权要求更换。</w:t>
      </w:r>
    </w:p>
    <w:p w14:paraId="1D9781CD">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4.10  承包人现场查勘</w:t>
      </w:r>
    </w:p>
    <w:p w14:paraId="786F798C">
      <w:pPr>
        <w:widowControl w:val="0"/>
        <w:adjustRightInd w:val="0"/>
        <w:snapToGrid w:val="0"/>
        <w:spacing w:line="360" w:lineRule="auto"/>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第4.10项补充：</w:t>
      </w:r>
    </w:p>
    <w:p w14:paraId="301B2511">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 xml:space="preserve"> 4.10.3 应认为，承包人在送交投标文件之前，已进行了现场考察，对现场和其周围环境以及可得到的有关资料进行了察看和核查，并已经查明以下方面内容：</w:t>
      </w:r>
    </w:p>
    <w:p w14:paraId="3CD514DA">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(1) 现场的地形地貌和特征；</w:t>
      </w:r>
    </w:p>
    <w:p w14:paraId="041EE702">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(2) 水文和气候条件；</w:t>
      </w:r>
    </w:p>
    <w:p w14:paraId="2BA7111E">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3</w:t>
      </w:r>
      <w:r>
        <w:rPr>
          <w:rFonts w:hAnsi="宋体" w:cs="Times New Roman"/>
          <w:color w:val="auto"/>
          <w:kern w:val="2"/>
          <w:sz w:val="21"/>
          <w:szCs w:val="21"/>
          <w:highlight w:val="none"/>
          <w:lang w:eastAsia="zh-CN"/>
        </w:rPr>
        <w:t xml:space="preserve">) </w:t>
      </w:r>
      <w:r>
        <w:rPr>
          <w:rFonts w:hint="eastAsia" w:hAnsi="宋体" w:cs="Times New Roman"/>
          <w:color w:val="auto"/>
          <w:kern w:val="2"/>
          <w:sz w:val="21"/>
          <w:szCs w:val="21"/>
          <w:highlight w:val="none"/>
          <w:lang w:eastAsia="zh-CN"/>
        </w:rPr>
        <w:t>实施和完成本合同工程及其缺陷的修复的工作范围、性质和所需用的材料采购和加工；</w:t>
      </w:r>
    </w:p>
    <w:p w14:paraId="24CCE84A">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4</w:t>
      </w: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 xml:space="preserve"> 取土场、弃土场、料场位置与状况；</w:t>
      </w:r>
    </w:p>
    <w:p w14:paraId="3632CD8A">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5</w:t>
      </w:r>
      <w:r>
        <w:rPr>
          <w:rFonts w:hAnsi="宋体" w:cs="Times New Roman"/>
          <w:color w:val="auto"/>
          <w:kern w:val="2"/>
          <w:sz w:val="21"/>
          <w:szCs w:val="21"/>
          <w:highlight w:val="none"/>
          <w:lang w:eastAsia="zh-CN"/>
        </w:rPr>
        <w:t xml:space="preserve">) </w:t>
      </w:r>
      <w:r>
        <w:rPr>
          <w:rFonts w:hint="eastAsia" w:hAnsi="宋体" w:cs="Times New Roman"/>
          <w:color w:val="auto"/>
          <w:kern w:val="2"/>
          <w:sz w:val="21"/>
          <w:szCs w:val="21"/>
          <w:highlight w:val="none"/>
          <w:lang w:eastAsia="zh-CN"/>
        </w:rPr>
        <w:t>进场道路和水、电、食宿供应条件；</w:t>
      </w:r>
    </w:p>
    <w:p w14:paraId="192D4B3B">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6</w:t>
      </w: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 xml:space="preserve"> 当地的乡规民约和风俗习惯。</w:t>
      </w:r>
    </w:p>
    <w:p w14:paraId="05257F8F">
      <w:pPr>
        <w:widowControl w:val="0"/>
        <w:adjustRightInd w:val="0"/>
        <w:snapToGrid w:val="0"/>
        <w:spacing w:line="360" w:lineRule="auto"/>
        <w:ind w:firstLine="315" w:firstLineChars="15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7</w:t>
      </w:r>
      <w:r>
        <w:rPr>
          <w:rFonts w:hAnsi="宋体" w:cs="Times New Roman"/>
          <w:color w:val="auto"/>
          <w:kern w:val="2"/>
          <w:sz w:val="21"/>
          <w:szCs w:val="21"/>
          <w:highlight w:val="none"/>
          <w:lang w:eastAsia="zh-CN"/>
        </w:rPr>
        <w:t>)</w:t>
      </w:r>
      <w:r>
        <w:rPr>
          <w:rFonts w:hint="eastAsia" w:hAnsi="宋体" w:cs="Times New Roman"/>
          <w:color w:val="auto"/>
          <w:kern w:val="2"/>
          <w:sz w:val="21"/>
          <w:szCs w:val="21"/>
          <w:highlight w:val="none"/>
          <w:lang w:eastAsia="zh-CN"/>
        </w:rPr>
        <w:t xml:space="preserve"> 现场考察应结合本工程的实际情况，对施工现场作周密布置，除充分考虑第9条规定外，还应对施工现场临近结构物的保护、使用地方道路的维护，以及施工用水的排放及排污作统一部署和安排。</w:t>
      </w:r>
    </w:p>
    <w:p w14:paraId="1644117E">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还应认为，承包人已取得可能对投标有影响或起作用的风险、意外等的必要资料；因此认为，承包人的投标文件是以业主所提供资料和他自己的察看和核查为依据的。</w:t>
      </w:r>
    </w:p>
    <w:p w14:paraId="46E27A9A">
      <w:pPr>
        <w:widowControl w:val="0"/>
        <w:autoSpaceDE w:val="0"/>
        <w:autoSpaceDN w:val="0"/>
        <w:adjustRightInd w:val="0"/>
        <w:snapToGrid w:val="0"/>
        <w:spacing w:line="360" w:lineRule="auto"/>
        <w:ind w:firstLine="424" w:firstLineChars="202"/>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承包人通过现场考察，对实施和完成本合同工程及缺陷修复所需的工、机、料费及管理费等全部费用已作了充分考虑。</w:t>
      </w:r>
    </w:p>
    <w:p w14:paraId="09216EEC">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4.11  不利物质条件</w:t>
      </w:r>
    </w:p>
    <w:p w14:paraId="54EF98B4">
      <w:pPr>
        <w:widowControl w:val="0"/>
        <w:adjustRightInd w:val="0"/>
        <w:snapToGrid w:val="0"/>
        <w:spacing w:line="360" w:lineRule="auto"/>
        <w:ind w:firstLine="315" w:firstLineChars="150"/>
        <w:jc w:val="both"/>
        <w:rPr>
          <w:rFonts w:hAnsi="宋体" w:cs="Times New Roman"/>
          <w:color w:val="auto"/>
          <w:kern w:val="2"/>
          <w:sz w:val="21"/>
          <w:szCs w:val="21"/>
          <w:highlight w:val="none"/>
          <w:u w:val="single"/>
          <w:lang w:eastAsia="zh-CN"/>
        </w:rPr>
      </w:pPr>
      <w:r>
        <w:rPr>
          <w:rFonts w:hint="eastAsia" w:hAnsi="宋体" w:cs="Times New Roman"/>
          <w:color w:val="auto"/>
          <w:kern w:val="2"/>
          <w:sz w:val="21"/>
          <w:szCs w:val="21"/>
          <w:highlight w:val="none"/>
          <w:lang w:eastAsia="zh-CN"/>
        </w:rPr>
        <w:t>4.11.1  不利物质条件的范围：</w:t>
      </w:r>
      <w:r>
        <w:rPr>
          <w:rFonts w:hint="eastAsia" w:hAnsi="宋体" w:cs="Times New Roman"/>
          <w:color w:val="auto"/>
          <w:kern w:val="2"/>
          <w:sz w:val="21"/>
          <w:szCs w:val="21"/>
          <w:highlight w:val="none"/>
          <w:u w:val="single"/>
          <w:lang w:eastAsia="zh-CN"/>
        </w:rPr>
        <w:t xml:space="preserve">               /            </w:t>
      </w:r>
    </w:p>
    <w:p w14:paraId="59E4368B">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7.  交通运输</w:t>
      </w:r>
    </w:p>
    <w:p w14:paraId="2C80CCC0">
      <w:pPr>
        <w:widowControl w:val="0"/>
        <w:autoSpaceDE w:val="0"/>
        <w:autoSpaceDN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第7.5项补充：</w:t>
      </w:r>
    </w:p>
    <w:p w14:paraId="7E59AF88">
      <w:pPr>
        <w:widowControl w:val="0"/>
        <w:adjustRightInd w:val="0"/>
        <w:snapToGrid w:val="0"/>
        <w:spacing w:line="360" w:lineRule="auto"/>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承包人在施工中利用原有地方道路作为施工便道时对已通车公路和原有设施都应妥善保护，确保安全畅通不得损坏，若因承包人在施工中损坏了原有公路设施，应进行修复或补偿，不论任何原因都由承包人承担全部责任并支付费用，并不得因此而延长工期。承包人应负责修建、维修、养护和管理施工所需的临时道路和交通设施，包括维修、养护和管理发包人提供的道路和交通设施，并承担相应费用。</w:t>
      </w:r>
    </w:p>
    <w:p w14:paraId="2D7C336D">
      <w:pPr>
        <w:widowControl w:val="0"/>
        <w:autoSpaceDE w:val="0"/>
        <w:autoSpaceDN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第7条补充</w:t>
      </w:r>
    </w:p>
    <w:p w14:paraId="73601AC0">
      <w:pPr>
        <w:widowControl w:val="0"/>
        <w:autoSpaceDE w:val="0"/>
        <w:autoSpaceDN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7.7项：施工期间必须维持交通运输畅通，配备足够的保通人员，并设置符合规定的反光安全警示标志牌，若因设计要求改移原有道路或施工对未作改移的公路干扰时，必须有详实可行的施工组织设计，并经监理工程师批准后，才能对设计工程开工。费用已包含在相关单价中，业主不负责此项费用。如果由于承包人未能对其负责的上述事项采取各种必要的措施而导致发生与此有关的人身伤亡、罚款、索赔、损失补偿、诉讼等费用及其它一切责任由承包人负责。承包人修建的临时道路和交通设施应免费提供发包人和监理人使用。</w:t>
      </w:r>
    </w:p>
    <w:p w14:paraId="2C338622">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第9.2.5项细化为：</w:t>
      </w:r>
    </w:p>
    <w:p w14:paraId="27432E3A">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除项目专用合同条款另有约定外，安全生产费用</w:t>
      </w:r>
      <w:r>
        <w:rPr>
          <w:rFonts w:hint="eastAsia" w:hAnsi="宋体" w:cs="Times New Roman"/>
          <w:b/>
          <w:bCs/>
          <w:color w:val="auto"/>
          <w:kern w:val="2"/>
          <w:sz w:val="21"/>
          <w:szCs w:val="21"/>
          <w:highlight w:val="none"/>
          <w:lang w:eastAsia="zh-CN"/>
        </w:rPr>
        <w:t>以建筑安装工程费为基数，按 1.5% 的费率计算</w:t>
      </w:r>
      <w:r>
        <w:rPr>
          <w:rFonts w:hint="eastAsia" w:hAnsi="宋体" w:cs="Times New Roman"/>
          <w:color w:val="auto"/>
          <w:kern w:val="2"/>
          <w:sz w:val="21"/>
          <w:szCs w:val="21"/>
          <w:highlight w:val="none"/>
          <w:lang w:eastAsia="zh-CN"/>
        </w:rPr>
        <w:t>。安全生产费用应用于施工安全防护用具及设施的采购和更新、安全施工措施的落实、安全生产条件的改善，不得挪作他用。如承包人在此基础上增加安全生产费用以满足项目是施工需要，则承包人应在本项目工程量清单其他相关子目的单价或总额价中予以考虑，发包人不再另行支付。因采取合同未约定的特殊防护措施增加的费用，由监理人按第3.5款商定或确定。</w:t>
      </w:r>
    </w:p>
    <w:bookmarkEnd w:id="268"/>
    <w:bookmarkEnd w:id="269"/>
    <w:p w14:paraId="0929277A">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9.4  环境保护</w:t>
      </w:r>
    </w:p>
    <w:p w14:paraId="52DE8D2C">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增加9.4.12款：</w:t>
      </w:r>
    </w:p>
    <w:p w14:paraId="39A6EDE6">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投标人应在施工组织设计中重点阐述项目沿线的环境保护措施，并承诺在施工过程中产生的废料、垃圾及不再需要的临时设施等应运送到指定的弃土场，若违反承诺沿线丢弃废料、垃圾及不再需要的临时设施等，自愿接受招标的处罚，按每平方米罚款1000元计算，罚款限额不超过合同价的5%。</w:t>
      </w:r>
    </w:p>
    <w:p w14:paraId="3CAC255A">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10.1  合同进度计划</w:t>
      </w:r>
    </w:p>
    <w:p w14:paraId="1DCB5893">
      <w:pPr>
        <w:widowControl w:val="0"/>
        <w:adjustRightInd w:val="0"/>
        <w:snapToGrid w:val="0"/>
        <w:spacing w:line="360" w:lineRule="auto"/>
        <w:ind w:firstLine="420" w:firstLineChars="200"/>
        <w:jc w:val="both"/>
        <w:rPr>
          <w:rFonts w:hAnsi="宋体" w:cs="Times New Roman"/>
          <w:color w:val="auto"/>
          <w:kern w:val="2"/>
          <w:sz w:val="21"/>
          <w:szCs w:val="21"/>
          <w:highlight w:val="none"/>
          <w:u w:val="single"/>
          <w:lang w:eastAsia="zh-CN"/>
        </w:rPr>
      </w:pPr>
      <w:r>
        <w:rPr>
          <w:rFonts w:hint="eastAsia" w:hAnsi="宋体" w:cs="Times New Roman"/>
          <w:color w:val="auto"/>
          <w:kern w:val="2"/>
          <w:sz w:val="21"/>
          <w:szCs w:val="21"/>
          <w:highlight w:val="none"/>
          <w:lang w:eastAsia="zh-CN"/>
        </w:rPr>
        <w:t>承包人编制施工方案的内容：</w:t>
      </w:r>
      <w:r>
        <w:rPr>
          <w:rFonts w:hint="eastAsia" w:hAnsi="宋体" w:cs="Times New Roman"/>
          <w:color w:val="auto"/>
          <w:kern w:val="2"/>
          <w:sz w:val="21"/>
          <w:szCs w:val="21"/>
          <w:highlight w:val="none"/>
          <w:u w:val="single"/>
          <w:lang w:eastAsia="zh-CN"/>
        </w:rPr>
        <w:t xml:space="preserve">               /            </w:t>
      </w:r>
    </w:p>
    <w:p w14:paraId="3EFFC375">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11.4  异常恶劣的气候条件</w:t>
      </w:r>
    </w:p>
    <w:p w14:paraId="07BB1802">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color w:val="auto"/>
          <w:kern w:val="2"/>
          <w:sz w:val="21"/>
          <w:szCs w:val="21"/>
          <w:highlight w:val="none"/>
          <w:lang w:eastAsia="zh-CN"/>
        </w:rPr>
        <w:t>异常恶劣的气候条件的范围：</w:t>
      </w:r>
      <w:r>
        <w:rPr>
          <w:rFonts w:hint="eastAsia" w:hAnsi="宋体" w:cs="Times New Roman"/>
          <w:color w:val="auto"/>
          <w:kern w:val="2"/>
          <w:sz w:val="21"/>
          <w:szCs w:val="21"/>
          <w:highlight w:val="none"/>
          <w:u w:val="single"/>
          <w:lang w:eastAsia="zh-CN"/>
        </w:rPr>
        <w:t xml:space="preserve">           /           </w:t>
      </w:r>
    </w:p>
    <w:p w14:paraId="578881CB">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12.1  承包人暂停施工的责任</w:t>
      </w:r>
    </w:p>
    <w:p w14:paraId="14FFD22F">
      <w:pPr>
        <w:widowControl w:val="0"/>
        <w:adjustRightInd w:val="0"/>
        <w:snapToGrid w:val="0"/>
        <w:spacing w:line="360" w:lineRule="auto"/>
        <w:ind w:firstLine="420" w:firstLineChars="200"/>
        <w:jc w:val="both"/>
        <w:rPr>
          <w:rFonts w:hAnsi="宋体" w:cs="Times New Roman"/>
          <w:b/>
          <w:color w:val="auto"/>
          <w:kern w:val="2"/>
          <w:sz w:val="21"/>
          <w:szCs w:val="21"/>
          <w:highlight w:val="none"/>
          <w:lang w:eastAsia="zh-CN"/>
        </w:rPr>
      </w:pPr>
      <w:r>
        <w:rPr>
          <w:rFonts w:hint="eastAsia" w:hAnsi="宋体" w:cs="Times New Roman"/>
          <w:color w:val="auto"/>
          <w:kern w:val="2"/>
          <w:sz w:val="21"/>
          <w:szCs w:val="21"/>
          <w:highlight w:val="none"/>
          <w:lang w:eastAsia="zh-CN"/>
        </w:rPr>
        <w:t>12.1（6）由承包人承担的其他暂停施工：</w:t>
      </w:r>
      <w:r>
        <w:rPr>
          <w:rFonts w:hint="eastAsia" w:hAnsi="宋体" w:cs="Times New Roman"/>
          <w:color w:val="auto"/>
          <w:kern w:val="2"/>
          <w:sz w:val="21"/>
          <w:szCs w:val="21"/>
          <w:highlight w:val="none"/>
          <w:u w:val="single"/>
          <w:lang w:eastAsia="zh-CN"/>
        </w:rPr>
        <w:t xml:space="preserve">         /                 </w:t>
      </w:r>
    </w:p>
    <w:p w14:paraId="52B01F2F">
      <w:pPr>
        <w:widowControl w:val="0"/>
        <w:adjustRightInd w:val="0"/>
        <w:snapToGrid w:val="0"/>
        <w:spacing w:line="360" w:lineRule="auto"/>
        <w:jc w:val="both"/>
        <w:rPr>
          <w:rFonts w:hAnsi="宋体" w:cs="Times New Roman"/>
          <w:b/>
          <w:color w:val="auto"/>
          <w:kern w:val="2"/>
          <w:sz w:val="21"/>
          <w:szCs w:val="21"/>
          <w:highlight w:val="none"/>
          <w:lang w:eastAsia="zh-CN"/>
        </w:rPr>
      </w:pPr>
      <w:r>
        <w:rPr>
          <w:rFonts w:hAnsi="宋体" w:cs="Times New Roman"/>
          <w:b/>
          <w:color w:val="auto"/>
          <w:kern w:val="2"/>
          <w:sz w:val="21"/>
          <w:szCs w:val="21"/>
          <w:highlight w:val="none"/>
          <w:lang w:eastAsia="zh-CN"/>
        </w:rPr>
        <w:t xml:space="preserve">17.1 </w:t>
      </w:r>
      <w:r>
        <w:rPr>
          <w:rFonts w:hint="eastAsia" w:hAnsi="宋体" w:cs="Times New Roman"/>
          <w:b/>
          <w:color w:val="auto"/>
          <w:kern w:val="2"/>
          <w:sz w:val="21"/>
          <w:szCs w:val="21"/>
          <w:highlight w:val="none"/>
          <w:lang w:eastAsia="zh-CN"/>
        </w:rPr>
        <w:t>计量</w:t>
      </w:r>
    </w:p>
    <w:p w14:paraId="4EE791AE">
      <w:pPr>
        <w:widowControl w:val="0"/>
        <w:tabs>
          <w:tab w:val="left" w:pos="8840"/>
        </w:tabs>
        <w:kinsoku w:val="0"/>
        <w:overflowPunct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Ansi="宋体" w:cs="Times New Roman"/>
          <w:color w:val="auto"/>
          <w:kern w:val="2"/>
          <w:sz w:val="21"/>
          <w:szCs w:val="21"/>
          <w:highlight w:val="none"/>
          <w:lang w:eastAsia="zh-CN"/>
        </w:rPr>
        <w:t xml:space="preserve">17.1.5  </w:t>
      </w:r>
      <w:r>
        <w:rPr>
          <w:rFonts w:hint="eastAsia" w:hAnsi="宋体" w:cs="Times New Roman"/>
          <w:color w:val="auto"/>
          <w:kern w:val="2"/>
          <w:sz w:val="21"/>
          <w:szCs w:val="21"/>
          <w:highlight w:val="none"/>
          <w:lang w:eastAsia="zh-CN"/>
        </w:rPr>
        <w:t>本项目工程量清单中总额价子目的支付原则和支付进度：</w:t>
      </w:r>
      <w:r>
        <w:rPr>
          <w:rFonts w:hint="eastAsia" w:hAnsi="宋体" w:cs="Times New Roman"/>
          <w:color w:val="auto"/>
          <w:kern w:val="2"/>
          <w:sz w:val="21"/>
          <w:szCs w:val="21"/>
          <w:highlight w:val="none"/>
          <w:u w:val="single"/>
          <w:lang w:eastAsia="zh-CN"/>
        </w:rPr>
        <w:t xml:space="preserve">         /           </w:t>
      </w:r>
    </w:p>
    <w:p w14:paraId="3ADF760A">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17.2.1预付款</w:t>
      </w:r>
    </w:p>
    <w:p w14:paraId="12041A1F">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 xml:space="preserve">本款细化为: </w:t>
      </w:r>
    </w:p>
    <w:p w14:paraId="7A34C3E5">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发包人应在监理人收到进度付款申请单后的28 天内，将进度应付款支付给承包人。发包人不按期支付的，按专用合同条款的约定支付逾期付款违约金。预付款必须专用于合同工程。</w:t>
      </w:r>
    </w:p>
    <w:p w14:paraId="20F304F8">
      <w:pPr>
        <w:widowControl w:val="0"/>
        <w:adjustRightInd w:val="0"/>
        <w:snapToGrid w:val="0"/>
        <w:spacing w:line="360" w:lineRule="auto"/>
        <w:jc w:val="both"/>
        <w:rPr>
          <w:rFonts w:hAnsi="宋体" w:cs="Times New Roman"/>
          <w:b/>
          <w:color w:val="auto"/>
          <w:kern w:val="2"/>
          <w:sz w:val="21"/>
          <w:szCs w:val="21"/>
          <w:highlight w:val="none"/>
          <w:lang w:eastAsia="zh-CN"/>
        </w:rPr>
      </w:pPr>
      <w:bookmarkStart w:id="270" w:name="bookmark265"/>
      <w:bookmarkEnd w:id="270"/>
      <w:r>
        <w:rPr>
          <w:rFonts w:hAnsi="宋体" w:cs="Times New Roman"/>
          <w:b/>
          <w:color w:val="auto"/>
          <w:kern w:val="2"/>
          <w:sz w:val="21"/>
          <w:szCs w:val="21"/>
          <w:highlight w:val="none"/>
          <w:lang w:eastAsia="zh-CN"/>
        </w:rPr>
        <w:t xml:space="preserve">17.3 </w:t>
      </w:r>
      <w:r>
        <w:rPr>
          <w:rFonts w:hint="eastAsia" w:hAnsi="宋体" w:cs="Times New Roman"/>
          <w:b/>
          <w:color w:val="auto"/>
          <w:kern w:val="2"/>
          <w:sz w:val="21"/>
          <w:szCs w:val="21"/>
          <w:highlight w:val="none"/>
          <w:lang w:eastAsia="zh-CN"/>
        </w:rPr>
        <w:t>工程进度付款</w:t>
      </w:r>
    </w:p>
    <w:p w14:paraId="6F6EAE28">
      <w:pPr>
        <w:widowControl w:val="0"/>
        <w:tabs>
          <w:tab w:val="left" w:pos="6790"/>
          <w:tab w:val="left" w:pos="7511"/>
        </w:tabs>
        <w:kinsoku w:val="0"/>
        <w:overflowPunct w:val="0"/>
        <w:adjustRightInd w:val="0"/>
        <w:snapToGrid w:val="0"/>
        <w:spacing w:line="360" w:lineRule="auto"/>
        <w:jc w:val="both"/>
        <w:rPr>
          <w:rFonts w:hAnsi="宋体" w:cs="宋体"/>
          <w:color w:val="auto"/>
          <w:kern w:val="2"/>
          <w:sz w:val="21"/>
          <w:szCs w:val="21"/>
          <w:highlight w:val="none"/>
          <w:u w:val="single"/>
          <w:lang w:eastAsia="zh-CN"/>
        </w:rPr>
      </w:pPr>
      <w:r>
        <w:rPr>
          <w:rFonts w:hint="eastAsia" w:hAnsi="宋体" w:cs="宋体"/>
          <w:color w:val="auto"/>
          <w:kern w:val="2"/>
          <w:sz w:val="21"/>
          <w:szCs w:val="21"/>
          <w:highlight w:val="none"/>
          <w:lang w:eastAsia="zh-CN"/>
        </w:rPr>
        <w:t>17.3.5  农民工工资保证金的缴存时间：</w:t>
      </w:r>
      <w:r>
        <w:rPr>
          <w:rFonts w:hint="eastAsia" w:hAnsi="宋体" w:cs="宋体"/>
          <w:color w:val="auto"/>
          <w:kern w:val="2"/>
          <w:sz w:val="21"/>
          <w:szCs w:val="21"/>
          <w:highlight w:val="none"/>
          <w:u w:val="single"/>
          <w:lang w:eastAsia="zh-CN"/>
        </w:rPr>
        <w:t xml:space="preserve">    项目开工前     </w:t>
      </w:r>
    </w:p>
    <w:p w14:paraId="518B4B2A">
      <w:pPr>
        <w:widowControl w:val="0"/>
        <w:tabs>
          <w:tab w:val="left" w:pos="6790"/>
          <w:tab w:val="left" w:pos="7511"/>
        </w:tabs>
        <w:kinsoku w:val="0"/>
        <w:overflowPunct w:val="0"/>
        <w:adjustRightInd w:val="0"/>
        <w:snapToGrid w:val="0"/>
        <w:spacing w:line="360" w:lineRule="auto"/>
        <w:ind w:firstLine="420" w:firstLineChars="200"/>
        <w:jc w:val="both"/>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农民工工资保证金的缴存金额：</w:t>
      </w:r>
      <w:r>
        <w:rPr>
          <w:rFonts w:hint="eastAsia" w:hAnsi="宋体" w:cs="宋体"/>
          <w:color w:val="auto"/>
          <w:kern w:val="2"/>
          <w:sz w:val="21"/>
          <w:szCs w:val="21"/>
          <w:highlight w:val="none"/>
          <w:u w:val="single"/>
          <w:lang w:eastAsia="zh-CN"/>
        </w:rPr>
        <w:t xml:space="preserve">   3 %的合同价格           </w:t>
      </w:r>
    </w:p>
    <w:p w14:paraId="751ECB0D">
      <w:pPr>
        <w:widowControl w:val="0"/>
        <w:tabs>
          <w:tab w:val="left" w:pos="6790"/>
          <w:tab w:val="left" w:pos="7511"/>
        </w:tabs>
        <w:kinsoku w:val="0"/>
        <w:overflowPunct w:val="0"/>
        <w:adjustRightInd w:val="0"/>
        <w:snapToGrid w:val="0"/>
        <w:spacing w:line="360" w:lineRule="auto"/>
        <w:ind w:firstLine="420" w:firstLineChars="200"/>
        <w:jc w:val="both"/>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农民工工资保证金的扣留条件：</w:t>
      </w:r>
      <w:r>
        <w:rPr>
          <w:rFonts w:hint="eastAsia" w:hAnsi="宋体" w:cs="宋体"/>
          <w:color w:val="auto"/>
          <w:kern w:val="2"/>
          <w:sz w:val="21"/>
          <w:szCs w:val="21"/>
          <w:highlight w:val="none"/>
          <w:u w:val="single"/>
          <w:lang w:eastAsia="zh-CN"/>
        </w:rPr>
        <w:t xml:space="preserve">   逾期未支付          </w:t>
      </w:r>
    </w:p>
    <w:p w14:paraId="26921C7D">
      <w:pPr>
        <w:widowControl w:val="0"/>
        <w:adjustRightInd w:val="0"/>
        <w:snapToGrid w:val="0"/>
        <w:spacing w:line="360" w:lineRule="auto"/>
        <w:ind w:firstLine="420" w:firstLineChars="200"/>
        <w:jc w:val="both"/>
        <w:rPr>
          <w:rFonts w:hAnsi="宋体" w:cs="宋体"/>
          <w:b/>
          <w:color w:val="auto"/>
          <w:kern w:val="2"/>
          <w:sz w:val="21"/>
          <w:szCs w:val="21"/>
          <w:highlight w:val="none"/>
          <w:lang w:eastAsia="zh-CN"/>
        </w:rPr>
      </w:pPr>
      <w:r>
        <w:rPr>
          <w:rFonts w:hint="eastAsia" w:hAnsi="宋体" w:cs="宋体"/>
          <w:color w:val="auto"/>
          <w:kern w:val="2"/>
          <w:sz w:val="21"/>
          <w:szCs w:val="21"/>
          <w:highlight w:val="none"/>
          <w:lang w:eastAsia="zh-CN"/>
        </w:rPr>
        <w:t>农民工工资保证金的返还时间：</w:t>
      </w:r>
      <w:r>
        <w:rPr>
          <w:rFonts w:hint="eastAsia" w:hAnsi="宋体" w:cs="宋体"/>
          <w:color w:val="auto"/>
          <w:kern w:val="2"/>
          <w:sz w:val="21"/>
          <w:szCs w:val="21"/>
          <w:highlight w:val="none"/>
          <w:u w:val="single"/>
          <w:lang w:eastAsia="zh-CN"/>
        </w:rPr>
        <w:tab/>
      </w:r>
      <w:r>
        <w:rPr>
          <w:rFonts w:hint="eastAsia" w:hAnsi="宋体" w:cs="宋体"/>
          <w:color w:val="auto"/>
          <w:kern w:val="2"/>
          <w:sz w:val="21"/>
          <w:szCs w:val="21"/>
          <w:highlight w:val="none"/>
          <w:u w:val="single"/>
          <w:lang w:eastAsia="zh-CN"/>
        </w:rPr>
        <w:t xml:space="preserve">工程竣工并结清农民工工资后28天内      </w:t>
      </w:r>
    </w:p>
    <w:p w14:paraId="380CC345">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17.6最终结清</w:t>
      </w:r>
    </w:p>
    <w:p w14:paraId="20D92EE9">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17.6.1最终结清申请单</w:t>
      </w:r>
    </w:p>
    <w:p w14:paraId="69BA14B3">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本项(1)目细化为：</w:t>
      </w:r>
    </w:p>
    <w:p w14:paraId="191AE3BF">
      <w:pPr>
        <w:widowControl w:val="0"/>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承包人向监理人提交最终结清申请单(包括相关证明材料)的份数在项目专用合同条款数据表中约定；期限：缺陷责任期终止证书签发后28天内。</w:t>
      </w:r>
    </w:p>
    <w:p w14:paraId="716D8DA2">
      <w:pPr>
        <w:widowControl w:val="0"/>
        <w:tabs>
          <w:tab w:val="left" w:pos="3193"/>
        </w:tabs>
        <w:adjustRightInd w:val="0"/>
        <w:snapToGrid w:val="0"/>
        <w:spacing w:line="360" w:lineRule="auto"/>
        <w:ind w:firstLine="420" w:firstLineChars="200"/>
        <w:jc w:val="both"/>
        <w:rPr>
          <w:rFonts w:hAnsi="宋体" w:cs="Times New Roman"/>
          <w:color w:val="auto"/>
          <w:kern w:val="2"/>
          <w:sz w:val="21"/>
          <w:szCs w:val="21"/>
          <w:highlight w:val="none"/>
          <w:lang w:eastAsia="zh-CN"/>
        </w:rPr>
      </w:pPr>
      <w:r>
        <w:rPr>
          <w:rFonts w:hint="eastAsia" w:hAnsi="宋体" w:cs="Times New Roman"/>
          <w:color w:val="auto"/>
          <w:kern w:val="2"/>
          <w:sz w:val="21"/>
          <w:szCs w:val="21"/>
          <w:highlight w:val="none"/>
          <w:lang w:eastAsia="zh-CN"/>
        </w:rPr>
        <w:t>最终结清申请单中的总金额应认为是代表了根据合同规定经审计认定应付给承包人的全部款项的最后结算。</w:t>
      </w:r>
    </w:p>
    <w:p w14:paraId="1810EBBD">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21.1  不可抗力的确认</w:t>
      </w:r>
    </w:p>
    <w:p w14:paraId="7D86D09F">
      <w:pPr>
        <w:widowControl w:val="0"/>
        <w:adjustRightInd w:val="0"/>
        <w:snapToGrid w:val="0"/>
        <w:spacing w:line="360" w:lineRule="auto"/>
        <w:ind w:firstLine="424" w:firstLineChars="202"/>
        <w:jc w:val="both"/>
        <w:rPr>
          <w:rFonts w:hAnsi="宋体" w:cs="Times New Roman"/>
          <w:color w:val="auto"/>
          <w:kern w:val="2"/>
          <w:sz w:val="21"/>
          <w:szCs w:val="21"/>
          <w:highlight w:val="none"/>
          <w:u w:val="single"/>
          <w:lang w:eastAsia="zh-CN"/>
        </w:rPr>
      </w:pPr>
      <w:r>
        <w:rPr>
          <w:rFonts w:hint="eastAsia" w:hAnsi="宋体" w:cs="Times New Roman"/>
          <w:color w:val="auto"/>
          <w:kern w:val="2"/>
          <w:sz w:val="21"/>
          <w:szCs w:val="21"/>
          <w:highlight w:val="none"/>
          <w:lang w:eastAsia="zh-CN"/>
        </w:rPr>
        <w:t>21.1.1（6）不可抗力的其他情形：</w:t>
      </w:r>
      <w:r>
        <w:rPr>
          <w:rFonts w:hint="eastAsia" w:hAnsi="宋体" w:cs="Times New Roman"/>
          <w:color w:val="auto"/>
          <w:kern w:val="2"/>
          <w:sz w:val="21"/>
          <w:szCs w:val="21"/>
          <w:highlight w:val="none"/>
          <w:u w:val="single"/>
          <w:lang w:eastAsia="zh-CN"/>
        </w:rPr>
        <w:t xml:space="preserve">            /         </w:t>
      </w:r>
    </w:p>
    <w:p w14:paraId="328BD7B3">
      <w:pPr>
        <w:widowControl w:val="0"/>
        <w:adjustRightInd w:val="0"/>
        <w:snapToGrid w:val="0"/>
        <w:spacing w:line="360" w:lineRule="auto"/>
        <w:jc w:val="both"/>
        <w:rPr>
          <w:rFonts w:hAnsi="宋体" w:cs="Times New Roman"/>
          <w:b/>
          <w:color w:val="auto"/>
          <w:kern w:val="2"/>
          <w:sz w:val="21"/>
          <w:szCs w:val="21"/>
          <w:highlight w:val="none"/>
          <w:lang w:eastAsia="zh-CN"/>
        </w:rPr>
      </w:pPr>
      <w:r>
        <w:rPr>
          <w:rFonts w:hint="eastAsia" w:hAnsi="宋体" w:cs="Times New Roman"/>
          <w:b/>
          <w:color w:val="auto"/>
          <w:kern w:val="2"/>
          <w:sz w:val="21"/>
          <w:szCs w:val="21"/>
          <w:highlight w:val="none"/>
          <w:lang w:eastAsia="zh-CN"/>
        </w:rPr>
        <w:t>22.1  承包人违约</w:t>
      </w:r>
    </w:p>
    <w:p w14:paraId="0DB24814">
      <w:pPr>
        <w:widowControl w:val="0"/>
        <w:adjustRightInd w:val="0"/>
        <w:snapToGrid w:val="0"/>
        <w:spacing w:line="360" w:lineRule="auto"/>
        <w:ind w:firstLine="315" w:firstLineChars="150"/>
        <w:jc w:val="both"/>
        <w:rPr>
          <w:rFonts w:hAnsi="宋体" w:cs="Times New Roman"/>
          <w:color w:val="auto"/>
          <w:kern w:val="2"/>
          <w:sz w:val="21"/>
          <w:szCs w:val="21"/>
          <w:highlight w:val="none"/>
          <w:u w:val="single"/>
          <w:lang w:eastAsia="zh-CN"/>
        </w:rPr>
      </w:pPr>
      <w:r>
        <w:rPr>
          <w:rFonts w:hint="eastAsia" w:hAnsi="宋体" w:cs="Times New Roman"/>
          <w:color w:val="auto"/>
          <w:kern w:val="2"/>
          <w:sz w:val="21"/>
          <w:szCs w:val="21"/>
          <w:highlight w:val="none"/>
          <w:lang w:eastAsia="zh-CN"/>
        </w:rPr>
        <w:t>22.1.2  当承包人发生第22.1.1项约定的违约情况时，发包人有权向承包人处以违约金，具体约定如下：</w:t>
      </w:r>
      <w:r>
        <w:rPr>
          <w:rFonts w:hint="eastAsia" w:hAnsi="宋体" w:cs="Times New Roman"/>
          <w:color w:val="auto"/>
          <w:kern w:val="2"/>
          <w:sz w:val="21"/>
          <w:szCs w:val="21"/>
          <w:highlight w:val="none"/>
          <w:u w:val="single"/>
          <w:lang w:eastAsia="zh-CN"/>
        </w:rPr>
        <w:t xml:space="preserve">            /       </w:t>
      </w:r>
    </w:p>
    <w:p w14:paraId="7DCF27B0">
      <w:pPr>
        <w:widowControl w:val="0"/>
        <w:adjustRightInd w:val="0"/>
        <w:snapToGrid w:val="0"/>
        <w:spacing w:line="360" w:lineRule="auto"/>
        <w:jc w:val="both"/>
        <w:rPr>
          <w:rFonts w:hAnsi="宋体" w:cs="Times New Roman"/>
          <w:b/>
          <w:color w:val="auto"/>
          <w:kern w:val="2"/>
          <w:sz w:val="21"/>
          <w:szCs w:val="21"/>
          <w:highlight w:val="none"/>
          <w:lang w:eastAsia="zh-CN"/>
        </w:rPr>
      </w:pPr>
      <w:r>
        <w:rPr>
          <w:rFonts w:hAnsi="宋体" w:cs="Times New Roman"/>
          <w:b/>
          <w:color w:val="auto"/>
          <w:kern w:val="2"/>
          <w:sz w:val="21"/>
          <w:szCs w:val="21"/>
          <w:highlight w:val="none"/>
          <w:lang w:eastAsia="zh-CN"/>
        </w:rPr>
        <w:t xml:space="preserve">22.2 </w:t>
      </w:r>
      <w:r>
        <w:rPr>
          <w:rFonts w:hint="eastAsia" w:hAnsi="宋体" w:cs="Times New Roman"/>
          <w:b/>
          <w:color w:val="auto"/>
          <w:kern w:val="2"/>
          <w:sz w:val="21"/>
          <w:szCs w:val="21"/>
          <w:highlight w:val="none"/>
          <w:lang w:eastAsia="zh-CN"/>
        </w:rPr>
        <w:t>发包人违约</w:t>
      </w:r>
    </w:p>
    <w:p w14:paraId="557FD98A">
      <w:pPr>
        <w:spacing w:line="360" w:lineRule="auto"/>
        <w:jc w:val="both"/>
        <w:rPr>
          <w:rFonts w:ascii="宋体" w:hAnsi="宋体"/>
          <w:color w:val="auto"/>
          <w:highlight w:val="none"/>
        </w:rPr>
      </w:pPr>
      <w:r>
        <w:rPr>
          <w:rFonts w:hint="eastAsia" w:hAnsi="宋体" w:cs="Times New Roman"/>
          <w:color w:val="auto"/>
          <w:kern w:val="2"/>
          <w:szCs w:val="24"/>
          <w:highlight w:val="none"/>
          <w:lang w:val="en-US" w:eastAsia="zh-CN"/>
        </w:rPr>
        <w:t xml:space="preserve">   </w:t>
      </w:r>
      <w:r>
        <w:rPr>
          <w:rFonts w:hAnsi="宋体" w:cs="Times New Roman"/>
          <w:color w:val="auto"/>
          <w:kern w:val="2"/>
          <w:szCs w:val="24"/>
          <w:highlight w:val="none"/>
          <w:lang w:eastAsia="zh-CN"/>
        </w:rPr>
        <w:t xml:space="preserve">22.2.2  </w:t>
      </w:r>
      <w:r>
        <w:rPr>
          <w:rFonts w:hint="eastAsia" w:hAnsi="宋体" w:cs="Times New Roman"/>
          <w:color w:val="auto"/>
          <w:kern w:val="2"/>
          <w:szCs w:val="24"/>
          <w:highlight w:val="none"/>
          <w:lang w:eastAsia="zh-CN"/>
        </w:rPr>
        <w:t>发包人无正当理由不按时返还履约保证金、质量保证金或农民工工资保证金的，发包人应向承包人支付的违约金如下：</w:t>
      </w:r>
      <w:r>
        <w:rPr>
          <w:rFonts w:hint="eastAsia" w:hAnsi="宋体" w:cs="Times New Roman"/>
          <w:color w:val="auto"/>
          <w:kern w:val="2"/>
          <w:sz w:val="21"/>
          <w:szCs w:val="21"/>
          <w:highlight w:val="none"/>
          <w:u w:val="single"/>
          <w:lang w:eastAsia="zh-CN"/>
        </w:rPr>
        <w:t xml:space="preserve">         /       </w:t>
      </w:r>
    </w:p>
    <w:p w14:paraId="448E0CE0">
      <w:pPr>
        <w:spacing w:line="360" w:lineRule="auto"/>
        <w:jc w:val="center"/>
        <w:rPr>
          <w:rFonts w:ascii="宋体" w:hAnsi="宋体"/>
          <w:color w:val="auto"/>
          <w:highlight w:val="none"/>
        </w:rPr>
      </w:pPr>
    </w:p>
    <w:p w14:paraId="1139825B">
      <w:pPr>
        <w:rPr>
          <w:color w:val="auto"/>
          <w:highlight w:val="none"/>
        </w:rPr>
      </w:pPr>
      <w:bookmarkStart w:id="271" w:name="_Toc294567667"/>
      <w:bookmarkStart w:id="272" w:name="_Toc350328100"/>
      <w:bookmarkStart w:id="273" w:name="_Toc350327533"/>
      <w:bookmarkStart w:id="274" w:name="_Toc70630291"/>
      <w:bookmarkStart w:id="275" w:name="_Toc294568160"/>
      <w:bookmarkStart w:id="276" w:name="_Toc350328596"/>
      <w:bookmarkStart w:id="277" w:name="_Toc24773"/>
      <w:bookmarkStart w:id="278" w:name="_Toc100841127"/>
      <w:r>
        <w:rPr>
          <w:color w:val="auto"/>
          <w:highlight w:val="none"/>
        </w:rPr>
        <w:br w:type="page"/>
      </w:r>
    </w:p>
    <w:p w14:paraId="5298DF8C">
      <w:pPr>
        <w:pStyle w:val="4"/>
        <w:adjustRightInd w:val="0"/>
        <w:snapToGrid w:val="0"/>
        <w:spacing w:before="120"/>
        <w:rPr>
          <w:color w:val="auto"/>
          <w:highlight w:val="none"/>
        </w:rPr>
      </w:pPr>
      <w:r>
        <w:rPr>
          <w:color w:val="auto"/>
          <w:highlight w:val="none"/>
        </w:rPr>
        <w:t>第三节</w:t>
      </w:r>
      <w:r>
        <w:rPr>
          <w:rFonts w:hint="eastAsia"/>
          <w:color w:val="auto"/>
          <w:highlight w:val="none"/>
        </w:rPr>
        <w:t xml:space="preserve">  </w:t>
      </w:r>
      <w:r>
        <w:rPr>
          <w:color w:val="auto"/>
          <w:highlight w:val="none"/>
        </w:rPr>
        <w:t>合同附件格式</w:t>
      </w:r>
      <w:bookmarkEnd w:id="271"/>
      <w:bookmarkEnd w:id="272"/>
      <w:bookmarkEnd w:id="273"/>
      <w:bookmarkEnd w:id="274"/>
      <w:bookmarkEnd w:id="275"/>
      <w:bookmarkEnd w:id="276"/>
      <w:bookmarkEnd w:id="277"/>
      <w:bookmarkEnd w:id="278"/>
    </w:p>
    <w:p w14:paraId="590DE896">
      <w:pPr>
        <w:adjustRightInd w:val="0"/>
        <w:snapToGrid w:val="0"/>
        <w:spacing w:line="360" w:lineRule="auto"/>
        <w:jc w:val="left"/>
        <w:rPr>
          <w:b/>
          <w:color w:val="auto"/>
          <w:highlight w:val="none"/>
          <w:lang w:eastAsia="zh-CN"/>
        </w:rPr>
      </w:pPr>
      <w:bookmarkStart w:id="279" w:name="_Toc350327534"/>
      <w:bookmarkStart w:id="280" w:name="_Toc294567668"/>
      <w:bookmarkStart w:id="281" w:name="_Toc15215"/>
      <w:bookmarkStart w:id="282" w:name="_Toc350328101"/>
      <w:bookmarkStart w:id="283" w:name="_Toc350328597"/>
      <w:bookmarkStart w:id="284" w:name="_Toc70630292"/>
      <w:bookmarkStart w:id="285" w:name="_Toc294568161"/>
      <w:r>
        <w:rPr>
          <w:b/>
          <w:color w:val="auto"/>
          <w:highlight w:val="none"/>
          <w:lang w:eastAsia="zh-CN"/>
        </w:rPr>
        <w:t>附件一</w:t>
      </w:r>
      <w:r>
        <w:rPr>
          <w:rFonts w:hint="eastAsia"/>
          <w:b/>
          <w:color w:val="auto"/>
          <w:highlight w:val="none"/>
          <w:lang w:eastAsia="zh-CN"/>
        </w:rPr>
        <w:t xml:space="preserve">  </w:t>
      </w:r>
      <w:r>
        <w:rPr>
          <w:b/>
          <w:color w:val="auto"/>
          <w:highlight w:val="none"/>
          <w:lang w:eastAsia="zh-CN"/>
        </w:rPr>
        <w:t>合同协议书</w:t>
      </w:r>
      <w:bookmarkEnd w:id="279"/>
      <w:bookmarkEnd w:id="280"/>
      <w:bookmarkEnd w:id="281"/>
      <w:bookmarkEnd w:id="282"/>
      <w:bookmarkEnd w:id="283"/>
      <w:bookmarkEnd w:id="284"/>
      <w:bookmarkEnd w:id="285"/>
    </w:p>
    <w:p w14:paraId="0B11463C">
      <w:pPr>
        <w:widowControl w:val="0"/>
        <w:adjustRightInd w:val="0"/>
        <w:snapToGrid w:val="0"/>
        <w:spacing w:after="200" w:line="360" w:lineRule="auto"/>
        <w:jc w:val="center"/>
        <w:rPr>
          <w:rFonts w:hAnsi="宋体" w:cs="Times New Roman"/>
          <w:b/>
          <w:color w:val="auto"/>
          <w:kern w:val="2"/>
          <w:sz w:val="32"/>
          <w:szCs w:val="32"/>
          <w:highlight w:val="none"/>
          <w:lang w:eastAsia="zh-CN"/>
        </w:rPr>
      </w:pPr>
      <w:r>
        <w:rPr>
          <w:rFonts w:hint="eastAsia" w:hAnsi="宋体" w:cs="Times New Roman"/>
          <w:b/>
          <w:color w:val="auto"/>
          <w:kern w:val="2"/>
          <w:sz w:val="32"/>
          <w:szCs w:val="32"/>
          <w:highlight w:val="none"/>
          <w:lang w:eastAsia="zh-CN"/>
        </w:rPr>
        <w:t>合同协议书</w:t>
      </w:r>
    </w:p>
    <w:p w14:paraId="2A225CD6">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（发包人名称，以下简称“发包人”）为实施（项目名称），已接受（承包人名称，以下简称“承包人”）对该项目标段施工的投标。 发包人和承包人共同达成如下协议。</w:t>
      </w:r>
    </w:p>
    <w:p w14:paraId="1564A647">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1．本项目</w:t>
      </w:r>
      <w:r>
        <w:rPr>
          <w:rFonts w:hint="eastAsia" w:hAnsi="宋体" w:cs="Times New Roman"/>
          <w:color w:val="auto"/>
          <w:kern w:val="2"/>
          <w:szCs w:val="24"/>
          <w:highlight w:val="none"/>
          <w:u w:val="single"/>
          <w:lang w:val="en-US" w:eastAsia="zh-CN"/>
        </w:rPr>
        <w:t xml:space="preserve">      （填写项目具体建设内容）                                      </w:t>
      </w:r>
      <w:r>
        <w:rPr>
          <w:rFonts w:hint="eastAsia" w:hAnsi="宋体" w:cs="Times New Roman"/>
          <w:color w:val="auto"/>
          <w:kern w:val="2"/>
          <w:szCs w:val="24"/>
          <w:highlight w:val="none"/>
          <w:lang w:eastAsia="zh-CN"/>
        </w:rPr>
        <w:t>。</w:t>
      </w:r>
    </w:p>
    <w:p w14:paraId="72A7CFB9">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w:t>
      </w:r>
      <w:r>
        <w:rPr>
          <w:rFonts w:hAnsi="宋体" w:cs="Times New Roman"/>
          <w:color w:val="auto"/>
          <w:kern w:val="2"/>
          <w:szCs w:val="24"/>
          <w:highlight w:val="none"/>
          <w:lang w:eastAsia="zh-CN"/>
        </w:rPr>
        <w:t xml:space="preserve">. </w:t>
      </w:r>
      <w:r>
        <w:rPr>
          <w:rFonts w:hint="eastAsia" w:hAnsi="宋体" w:cs="Times New Roman"/>
          <w:color w:val="auto"/>
          <w:kern w:val="2"/>
          <w:szCs w:val="24"/>
          <w:highlight w:val="none"/>
          <w:lang w:eastAsia="zh-CN"/>
        </w:rPr>
        <w:t>下列文件应视为构成合同文件的组成部分</w:t>
      </w:r>
      <w:r>
        <w:rPr>
          <w:rFonts w:hAnsi="宋体" w:cs="Times New Roman"/>
          <w:color w:val="auto"/>
          <w:kern w:val="2"/>
          <w:szCs w:val="24"/>
          <w:highlight w:val="none"/>
          <w:lang w:eastAsia="zh-CN"/>
        </w:rPr>
        <w:t>：</w:t>
      </w:r>
    </w:p>
    <w:p w14:paraId="5D3B4860">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（1）本协议书及各种合同附件（含评标期间和合同谈判过程中的澄清文件和补充资料）；</w:t>
      </w:r>
    </w:p>
    <w:p w14:paraId="72079F10">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（2）中标通知书；</w:t>
      </w:r>
    </w:p>
    <w:p w14:paraId="249B8798">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（3）补遗书；</w:t>
      </w:r>
    </w:p>
    <w:p w14:paraId="0C4F0F93">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（4）投标函及投标函附录；</w:t>
      </w:r>
    </w:p>
    <w:p w14:paraId="154E545D">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（5）项目专用合同条款；</w:t>
      </w:r>
    </w:p>
    <w:p w14:paraId="2B481031">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（6）公路工程专用合同条款；</w:t>
      </w:r>
    </w:p>
    <w:p w14:paraId="2D2F259B">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（7）通用合同条款；</w:t>
      </w:r>
    </w:p>
    <w:p w14:paraId="4E613013">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（8）技术规范；</w:t>
      </w:r>
    </w:p>
    <w:p w14:paraId="6254A0DB">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（9）图纸；</w:t>
      </w:r>
    </w:p>
    <w:p w14:paraId="16BA8486">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（10）已标价工程量清单；</w:t>
      </w:r>
    </w:p>
    <w:p w14:paraId="19D6A365">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（11）承包人有关人员、设备投入的承诺及投标文件中的施工组织设计；</w:t>
      </w:r>
    </w:p>
    <w:p w14:paraId="0ECF5E67">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（12）其他合同文件。</w:t>
      </w:r>
    </w:p>
    <w:p w14:paraId="75E5BE28">
      <w:pPr>
        <w:widowControl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上述合同文件互相补充和解释。如果合同文件之间存在矛盾或不一致之处，以上述文件的排列顺序在先者为准。</w:t>
      </w:r>
    </w:p>
    <w:p w14:paraId="24C8B2B1">
      <w:pPr>
        <w:widowControl w:val="0"/>
        <w:tabs>
          <w:tab w:val="left" w:pos="2304"/>
          <w:tab w:val="left" w:pos="3864"/>
        </w:tabs>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3. </w:t>
      </w:r>
      <w:r>
        <w:rPr>
          <w:rFonts w:hint="eastAsia" w:hAnsi="宋体" w:cs="Times New Roman"/>
          <w:color w:val="auto"/>
          <w:spacing w:val="1"/>
          <w:kern w:val="2"/>
          <w:szCs w:val="24"/>
          <w:highlight w:val="none"/>
          <w:lang w:eastAsia="zh-CN"/>
        </w:rPr>
        <w:t>根据工程量清单所列的预计数量和单价或总额价计算的签约合同价：人民</w:t>
      </w:r>
      <w:r>
        <w:rPr>
          <w:rFonts w:hint="eastAsia" w:hAnsi="宋体" w:cs="Times New Roman"/>
          <w:color w:val="auto"/>
          <w:kern w:val="2"/>
          <w:szCs w:val="24"/>
          <w:highlight w:val="none"/>
          <w:lang w:eastAsia="zh-CN"/>
        </w:rPr>
        <w:t>币</w:t>
      </w:r>
      <w:r>
        <w:rPr>
          <w:rFonts w:hint="eastAsia" w:hAnsi="宋体" w:cs="Times New Roman"/>
          <w:color w:val="auto"/>
          <w:spacing w:val="-1"/>
          <w:kern w:val="2"/>
          <w:szCs w:val="24"/>
          <w:highlight w:val="none"/>
          <w:lang w:eastAsia="zh-CN"/>
        </w:rPr>
        <w:t>（</w:t>
      </w:r>
      <w:r>
        <w:rPr>
          <w:rFonts w:hint="eastAsia" w:hAnsi="宋体" w:cs="Times New Roman"/>
          <w:color w:val="auto"/>
          <w:kern w:val="2"/>
          <w:szCs w:val="24"/>
          <w:highlight w:val="none"/>
          <w:lang w:eastAsia="zh-CN"/>
        </w:rPr>
        <w:t>大写）</w:t>
      </w:r>
      <w:r>
        <w:rPr>
          <w:rFonts w:hAnsi="宋体" w:cs="Times New Roman"/>
          <w:color w:val="auto"/>
          <w:kern w:val="2"/>
          <w:szCs w:val="24"/>
          <w:highlight w:val="none"/>
          <w:u w:val="single"/>
          <w:lang w:eastAsia="zh-CN"/>
        </w:rPr>
        <w:tab/>
      </w:r>
      <w:r>
        <w:rPr>
          <w:rFonts w:hint="eastAsia" w:hAnsi="宋体" w:cs="Times New Roman"/>
          <w:color w:val="auto"/>
          <w:w w:val="95"/>
          <w:kern w:val="2"/>
          <w:szCs w:val="24"/>
          <w:highlight w:val="none"/>
          <w:lang w:eastAsia="zh-CN"/>
        </w:rPr>
        <w:t>元</w:t>
      </w:r>
      <w:r>
        <w:rPr>
          <w:rFonts w:hint="eastAsia" w:hAnsi="宋体" w:cs="Times New Roman"/>
          <w:color w:val="auto"/>
          <w:spacing w:val="1"/>
          <w:w w:val="95"/>
          <w:kern w:val="2"/>
          <w:szCs w:val="24"/>
          <w:highlight w:val="none"/>
          <w:lang w:eastAsia="zh-CN"/>
        </w:rPr>
        <w:t>（</w:t>
      </w:r>
      <w:r>
        <w:rPr>
          <w:rFonts w:hAnsi="宋体" w:cs="Times New Roman"/>
          <w:color w:val="auto"/>
          <w:spacing w:val="-3"/>
          <w:w w:val="95"/>
          <w:kern w:val="2"/>
          <w:szCs w:val="24"/>
          <w:highlight w:val="none"/>
          <w:lang w:eastAsia="zh-CN"/>
        </w:rPr>
        <w:t>¥</w:t>
      </w:r>
      <w:r>
        <w:rPr>
          <w:rFonts w:hAnsi="宋体" w:cs="Times New Roman"/>
          <w:color w:val="auto"/>
          <w:spacing w:val="-3"/>
          <w:w w:val="95"/>
          <w:kern w:val="2"/>
          <w:szCs w:val="24"/>
          <w:highlight w:val="none"/>
          <w:u w:val="single"/>
          <w:lang w:eastAsia="zh-CN"/>
        </w:rPr>
        <w:tab/>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w:t>
      </w:r>
    </w:p>
    <w:p w14:paraId="2B9E81D3">
      <w:pPr>
        <w:widowControl w:val="0"/>
        <w:tabs>
          <w:tab w:val="left" w:pos="4421"/>
          <w:tab w:val="left" w:pos="8502"/>
        </w:tabs>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  </w:t>
      </w:r>
      <w:r>
        <w:rPr>
          <w:rFonts w:hint="eastAsia" w:hAnsi="宋体" w:cs="Times New Roman"/>
          <w:color w:val="auto"/>
          <w:kern w:val="2"/>
          <w:szCs w:val="24"/>
          <w:highlight w:val="none"/>
          <w:lang w:eastAsia="zh-CN"/>
        </w:rPr>
        <w:t>承包人项目经理：</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。承包人项目总工：</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w:t>
      </w:r>
    </w:p>
    <w:p w14:paraId="4FDE5F10">
      <w:pPr>
        <w:widowControl w:val="0"/>
        <w:tabs>
          <w:tab w:val="left" w:pos="4061"/>
          <w:tab w:val="left" w:pos="8382"/>
        </w:tabs>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5.  </w:t>
      </w:r>
      <w:r>
        <w:rPr>
          <w:rFonts w:hint="eastAsia" w:hAnsi="宋体" w:cs="Times New Roman"/>
          <w:color w:val="auto"/>
          <w:kern w:val="2"/>
          <w:szCs w:val="24"/>
          <w:highlight w:val="none"/>
          <w:lang w:eastAsia="zh-CN"/>
        </w:rPr>
        <w:t>工程质量符合</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标准。工程安全目标：</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w:t>
      </w:r>
    </w:p>
    <w:p w14:paraId="2BCE892D">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6.  </w:t>
      </w:r>
      <w:r>
        <w:rPr>
          <w:rFonts w:hint="eastAsia" w:hAnsi="宋体" w:cs="Times New Roman"/>
          <w:color w:val="auto"/>
          <w:kern w:val="2"/>
          <w:szCs w:val="24"/>
          <w:highlight w:val="none"/>
          <w:lang w:eastAsia="zh-CN"/>
        </w:rPr>
        <w:t>承包人承诺按合同约定承担工程的实施、完成及缺陷修复。</w:t>
      </w:r>
    </w:p>
    <w:p w14:paraId="21CEE82D">
      <w:pPr>
        <w:widowControl w:val="0"/>
        <w:kinsoku w:val="0"/>
        <w:overflowPunct w:val="0"/>
        <w:adjustRightInd w:val="0"/>
        <w:snapToGrid w:val="0"/>
        <w:spacing w:line="360" w:lineRule="auto"/>
        <w:ind w:firstLine="420" w:firstLineChars="200"/>
        <w:jc w:val="both"/>
        <w:rPr>
          <w:rFonts w:hAnsi="宋体" w:cs="Times New Roman"/>
          <w:color w:val="auto"/>
          <w:kern w:val="2"/>
          <w:sz w:val="15"/>
          <w:szCs w:val="24"/>
          <w:highlight w:val="none"/>
          <w:lang w:eastAsia="zh-CN"/>
        </w:rPr>
      </w:pPr>
      <w:r>
        <w:rPr>
          <w:rFonts w:hAnsi="宋体" w:cs="Times New Roman"/>
          <w:color w:val="auto"/>
          <w:kern w:val="2"/>
          <w:szCs w:val="24"/>
          <w:highlight w:val="none"/>
          <w:lang w:eastAsia="zh-CN"/>
        </w:rPr>
        <w:t xml:space="preserve">7.  </w:t>
      </w:r>
      <w:r>
        <w:rPr>
          <w:rFonts w:hint="eastAsia" w:hAnsi="宋体" w:cs="Times New Roman"/>
          <w:color w:val="auto"/>
          <w:kern w:val="2"/>
          <w:szCs w:val="24"/>
          <w:highlight w:val="none"/>
          <w:lang w:eastAsia="zh-CN"/>
        </w:rPr>
        <w:t>发包人承诺按合同约定的条件、时间和方式向承包人支付合同价款。</w:t>
      </w:r>
    </w:p>
    <w:p w14:paraId="7F386A78">
      <w:pPr>
        <w:widowControl w:val="0"/>
        <w:tabs>
          <w:tab w:val="left" w:pos="5622"/>
        </w:tabs>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8.  </w:t>
      </w:r>
      <w:r>
        <w:rPr>
          <w:rFonts w:hint="eastAsia" w:hAnsi="宋体" w:cs="Times New Roman"/>
          <w:color w:val="auto"/>
          <w:kern w:val="2"/>
          <w:szCs w:val="24"/>
          <w:highlight w:val="none"/>
          <w:lang w:eastAsia="zh-CN"/>
        </w:rPr>
        <w:t>承包人应按照监理人指示开工，工期为</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日历天。</w:t>
      </w:r>
    </w:p>
    <w:p w14:paraId="7D79D84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9.</w:t>
      </w:r>
      <w:r>
        <w:rPr>
          <w:rFonts w:hint="eastAsia" w:hAnsi="宋体" w:cs="Times New Roman"/>
          <w:color w:val="auto"/>
          <w:kern w:val="2"/>
          <w:szCs w:val="24"/>
          <w:highlight w:val="none"/>
          <w:lang w:val="en-US" w:eastAsia="zh-CN"/>
        </w:rPr>
        <w:t xml:space="preserve">  </w:t>
      </w:r>
      <w:r>
        <w:rPr>
          <w:rFonts w:hint="eastAsia" w:hAnsi="宋体" w:cs="Times New Roman"/>
          <w:color w:val="auto"/>
          <w:spacing w:val="2"/>
          <w:kern w:val="2"/>
          <w:szCs w:val="24"/>
          <w:highlight w:val="none"/>
          <w:lang w:eastAsia="zh-CN"/>
        </w:rPr>
        <w:t>本协议书在承包人提供履约保证金后，由双方法定代表人或其委托代理人</w:t>
      </w:r>
      <w:r>
        <w:rPr>
          <w:rFonts w:hint="eastAsia" w:hAnsi="宋体" w:cs="Times New Roman"/>
          <w:color w:val="auto"/>
          <w:kern w:val="2"/>
          <w:szCs w:val="24"/>
          <w:highlight w:val="none"/>
          <w:lang w:eastAsia="zh-CN"/>
        </w:rPr>
        <w:t>签署并加盖单位章后生效。全部工程完工后经交工验收合格、缺陷责任期满签发缺陷责任终止证书后失效。</w:t>
      </w:r>
    </w:p>
    <w:p w14:paraId="3503A9A7">
      <w:pPr>
        <w:widowControl w:val="0"/>
        <w:kinsoku w:val="0"/>
        <w:overflowPunct w:val="0"/>
        <w:adjustRightInd w:val="0"/>
        <w:snapToGrid w:val="0"/>
        <w:spacing w:line="360" w:lineRule="auto"/>
        <w:ind w:firstLine="420" w:firstLineChars="200"/>
        <w:jc w:val="both"/>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10. </w:t>
      </w:r>
      <w:r>
        <w:rPr>
          <w:rFonts w:hint="eastAsia" w:hAnsi="宋体" w:cs="Times New Roman"/>
          <w:color w:val="auto"/>
          <w:kern w:val="2"/>
          <w:szCs w:val="24"/>
          <w:highlight w:val="none"/>
          <w:lang w:eastAsia="zh-CN"/>
        </w:rPr>
        <w:t>本协议书正本二份、副本</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份，合同双方各执正本一份，副本</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份，当正本与副本的内容不一致时，以正本为准。</w:t>
      </w:r>
    </w:p>
    <w:p w14:paraId="691CBC57">
      <w:pPr>
        <w:widowControl w:val="0"/>
        <w:kinsoku w:val="0"/>
        <w:overflowPunct w:val="0"/>
        <w:adjustRightInd w:val="0"/>
        <w:snapToGrid w:val="0"/>
        <w:spacing w:line="360" w:lineRule="auto"/>
        <w:ind w:firstLine="404" w:firstLineChars="200"/>
        <w:jc w:val="both"/>
        <w:rPr>
          <w:rFonts w:hAnsi="宋体" w:cs="Times New Roman"/>
          <w:color w:val="auto"/>
          <w:kern w:val="2"/>
          <w:szCs w:val="24"/>
          <w:highlight w:val="none"/>
          <w:lang w:eastAsia="zh-CN"/>
        </w:rPr>
      </w:pPr>
      <w:r>
        <w:rPr>
          <w:rFonts w:hAnsi="宋体" w:cs="Times New Roman"/>
          <w:color w:val="auto"/>
          <w:spacing w:val="-4"/>
          <w:kern w:val="2"/>
          <w:szCs w:val="24"/>
          <w:highlight w:val="none"/>
          <w:lang w:eastAsia="zh-CN"/>
        </w:rPr>
        <w:t>11.</w:t>
      </w:r>
      <w:r>
        <w:rPr>
          <w:rFonts w:hint="eastAsia" w:hAnsi="宋体" w:cs="Times New Roman"/>
          <w:color w:val="auto"/>
          <w:spacing w:val="-4"/>
          <w:kern w:val="2"/>
          <w:szCs w:val="24"/>
          <w:highlight w:val="none"/>
          <w:lang w:val="en-US" w:eastAsia="zh-CN"/>
        </w:rPr>
        <w:t xml:space="preserve"> </w:t>
      </w:r>
      <w:r>
        <w:rPr>
          <w:rFonts w:hint="eastAsia" w:hAnsi="宋体" w:cs="Times New Roman"/>
          <w:color w:val="auto"/>
          <w:kern w:val="2"/>
          <w:szCs w:val="24"/>
          <w:highlight w:val="none"/>
          <w:lang w:eastAsia="zh-CN"/>
        </w:rPr>
        <w:t>合同未尽事宜，双方另行签订补充协议。补充协议是合同的组成部分。</w:t>
      </w:r>
    </w:p>
    <w:p w14:paraId="26072516">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p>
    <w:p w14:paraId="7D9CE00A">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p>
    <w:p w14:paraId="3A3680DD">
      <w:pPr>
        <w:widowControl w:val="0"/>
        <w:kinsoku w:val="0"/>
        <w:overflowPunct w:val="0"/>
        <w:adjustRightInd w:val="0"/>
        <w:snapToGrid w:val="0"/>
        <w:spacing w:line="360" w:lineRule="auto"/>
        <w:jc w:val="both"/>
        <w:rPr>
          <w:rFonts w:hAnsi="宋体" w:cs="Times New Roman"/>
          <w:color w:val="auto"/>
          <w:kern w:val="2"/>
          <w:szCs w:val="24"/>
          <w:highlight w:val="none"/>
          <w:lang w:eastAsia="zh-CN"/>
        </w:rPr>
      </w:pPr>
    </w:p>
    <w:p w14:paraId="7B1E60AF">
      <w:pPr>
        <w:widowControl w:val="0"/>
        <w:kinsoku w:val="0"/>
        <w:overflowPunct w:val="0"/>
        <w:adjustRightInd w:val="0"/>
        <w:snapToGrid w:val="0"/>
        <w:spacing w:line="360" w:lineRule="auto"/>
        <w:jc w:val="both"/>
        <w:rPr>
          <w:rFonts w:hAnsi="宋体" w:cs="Times New Roman"/>
          <w:color w:val="auto"/>
          <w:kern w:val="2"/>
          <w:sz w:val="17"/>
          <w:szCs w:val="24"/>
          <w:highlight w:val="none"/>
          <w:lang w:eastAsia="zh-CN"/>
        </w:rPr>
      </w:pPr>
    </w:p>
    <w:p w14:paraId="3443940F">
      <w:pPr>
        <w:widowControl w:val="0"/>
        <w:tabs>
          <w:tab w:val="left" w:pos="2871"/>
          <w:tab w:val="left" w:pos="4654"/>
          <w:tab w:val="left" w:pos="4894"/>
          <w:tab w:val="left" w:pos="7501"/>
        </w:tabs>
        <w:kinsoku w:val="0"/>
        <w:overflowPunct w:val="0"/>
        <w:adjustRightInd w:val="0"/>
        <w:snapToGrid w:val="0"/>
        <w:spacing w:line="360" w:lineRule="auto"/>
        <w:jc w:val="both"/>
        <w:rPr>
          <w:rFonts w:hint="eastAsia" w:hAnsi="宋体" w:cs="Times New Roman"/>
          <w:color w:val="auto"/>
          <w:kern w:val="2"/>
          <w:szCs w:val="24"/>
          <w:highlight w:val="none"/>
          <w:lang w:eastAsia="zh-CN"/>
        </w:rPr>
      </w:pPr>
      <w:r>
        <w:rPr>
          <w:rFonts w:hint="eastAsia" w:hAnsi="宋体" w:cs="Times New Roman"/>
          <w:color w:val="auto"/>
          <w:spacing w:val="-5"/>
          <w:kern w:val="2"/>
          <w:szCs w:val="24"/>
          <w:highlight w:val="none"/>
          <w:lang w:eastAsia="zh-CN"/>
        </w:rPr>
        <w:t>发包人：</w:t>
      </w:r>
      <w:r>
        <w:rPr>
          <w:rFonts w:hAnsi="宋体" w:cs="Times New Roman"/>
          <w:color w:val="auto"/>
          <w:spacing w:val="-5"/>
          <w:kern w:val="2"/>
          <w:szCs w:val="24"/>
          <w:highlight w:val="none"/>
          <w:u w:val="single"/>
          <w:lang w:eastAsia="zh-CN"/>
        </w:rPr>
        <w:tab/>
      </w:r>
      <w:r>
        <w:rPr>
          <w:rFonts w:hint="eastAsia" w:hAnsi="宋体" w:cs="Times New Roman"/>
          <w:color w:val="auto"/>
          <w:kern w:val="2"/>
          <w:szCs w:val="24"/>
          <w:highlight w:val="none"/>
          <w:lang w:eastAsia="zh-CN"/>
        </w:rPr>
        <w:t>（盖单位章）</w:t>
      </w:r>
      <w:r>
        <w:rPr>
          <w:rFonts w:hint="eastAsia" w:hAnsi="宋体" w:cs="Times New Roman"/>
          <w:color w:val="auto"/>
          <w:kern w:val="2"/>
          <w:szCs w:val="24"/>
          <w:highlight w:val="none"/>
          <w:lang w:eastAsia="zh-CN"/>
        </w:rPr>
        <w:tab/>
      </w:r>
      <w:r>
        <w:rPr>
          <w:rFonts w:hint="eastAsia" w:hAnsi="宋体" w:cs="Times New Roman"/>
          <w:color w:val="auto"/>
          <w:kern w:val="2"/>
          <w:szCs w:val="24"/>
          <w:highlight w:val="none"/>
          <w:lang w:eastAsia="zh-CN"/>
        </w:rPr>
        <w:tab/>
      </w:r>
      <w:r>
        <w:rPr>
          <w:rFonts w:hint="eastAsia" w:hAnsi="宋体" w:cs="Times New Roman"/>
          <w:color w:val="auto"/>
          <w:spacing w:val="-5"/>
          <w:kern w:val="2"/>
          <w:szCs w:val="24"/>
          <w:highlight w:val="none"/>
          <w:lang w:eastAsia="zh-CN"/>
        </w:rPr>
        <w:t>承包人：</w:t>
      </w:r>
      <w:r>
        <w:rPr>
          <w:rFonts w:hAnsi="宋体" w:cs="Times New Roman"/>
          <w:color w:val="auto"/>
          <w:spacing w:val="-5"/>
          <w:kern w:val="2"/>
          <w:szCs w:val="24"/>
          <w:highlight w:val="none"/>
          <w:u w:val="single"/>
          <w:lang w:eastAsia="zh-CN"/>
        </w:rPr>
        <w:tab/>
      </w:r>
      <w:r>
        <w:rPr>
          <w:rFonts w:hint="eastAsia" w:hAnsi="宋体" w:cs="Times New Roman"/>
          <w:color w:val="auto"/>
          <w:kern w:val="2"/>
          <w:szCs w:val="24"/>
          <w:highlight w:val="none"/>
          <w:lang w:eastAsia="zh-CN"/>
        </w:rPr>
        <w:t>（盖单位章）</w:t>
      </w:r>
    </w:p>
    <w:p w14:paraId="3846C814">
      <w:pPr>
        <w:widowControl w:val="0"/>
        <w:tabs>
          <w:tab w:val="left" w:pos="2871"/>
          <w:tab w:val="left" w:pos="4654"/>
          <w:tab w:val="left" w:pos="4894"/>
          <w:tab w:val="left" w:pos="7501"/>
        </w:tabs>
        <w:kinsoku w:val="0"/>
        <w:overflowPunct w:val="0"/>
        <w:adjustRightInd w:val="0"/>
        <w:snapToGrid w:val="0"/>
        <w:spacing w:line="360" w:lineRule="auto"/>
        <w:jc w:val="both"/>
        <w:rPr>
          <w:rFonts w:hint="default" w:hAnsi="宋体" w:cs="Times New Roman"/>
          <w:color w:val="auto"/>
          <w:kern w:val="2"/>
          <w:szCs w:val="24"/>
          <w:highlight w:val="none"/>
          <w:u w:val="single"/>
          <w:lang w:val="en-US" w:eastAsia="zh-CN"/>
        </w:rPr>
      </w:pPr>
      <w:r>
        <w:rPr>
          <w:rFonts w:hint="eastAsia" w:hAnsi="宋体" w:cs="Times New Roman"/>
          <w:color w:val="auto"/>
          <w:spacing w:val="-2"/>
          <w:kern w:val="2"/>
          <w:szCs w:val="24"/>
          <w:highlight w:val="none"/>
          <w:lang w:eastAsia="zh-CN"/>
        </w:rPr>
        <w:t>法定代表人或其委托代理人：</w:t>
      </w:r>
      <w:r>
        <w:rPr>
          <w:rFonts w:hint="eastAsia" w:hAnsi="宋体" w:cs="Times New Roman"/>
          <w:color w:val="auto"/>
          <w:kern w:val="2"/>
          <w:szCs w:val="24"/>
          <w:highlight w:val="none"/>
          <w:u w:val="single"/>
          <w:lang w:eastAsia="zh-CN"/>
        </w:rPr>
        <w:t>（签字）</w:t>
      </w:r>
      <w:r>
        <w:rPr>
          <w:rFonts w:hint="eastAsia" w:hAnsi="宋体" w:cs="Times New Roman"/>
          <w:color w:val="auto"/>
          <w:kern w:val="2"/>
          <w:szCs w:val="24"/>
          <w:highlight w:val="none"/>
          <w:u w:val="single"/>
          <w:lang w:val="en-US" w:eastAsia="zh-CN"/>
        </w:rPr>
        <w:t xml:space="preserve">    </w:t>
      </w:r>
      <w:r>
        <w:rPr>
          <w:rFonts w:hint="eastAsia" w:hAnsi="宋体" w:cs="Times New Roman"/>
          <w:color w:val="auto"/>
          <w:kern w:val="2"/>
          <w:szCs w:val="24"/>
          <w:highlight w:val="none"/>
          <w:lang w:eastAsia="zh-CN"/>
        </w:rPr>
        <w:tab/>
      </w:r>
      <w:r>
        <w:rPr>
          <w:rFonts w:hint="eastAsia" w:hAnsi="宋体" w:cs="Times New Roman"/>
          <w:color w:val="auto"/>
          <w:kern w:val="2"/>
          <w:szCs w:val="24"/>
          <w:highlight w:val="none"/>
          <w:lang w:val="en-US" w:eastAsia="zh-CN"/>
        </w:rPr>
        <w:t xml:space="preserve">   </w:t>
      </w:r>
      <w:r>
        <w:rPr>
          <w:rFonts w:hint="eastAsia" w:hAnsi="宋体" w:cs="Times New Roman"/>
          <w:color w:val="auto"/>
          <w:spacing w:val="-2"/>
          <w:kern w:val="2"/>
          <w:szCs w:val="24"/>
          <w:highlight w:val="none"/>
          <w:lang w:eastAsia="zh-CN"/>
        </w:rPr>
        <w:t>法定代表人或其委托代理人：</w:t>
      </w:r>
      <w:r>
        <w:rPr>
          <w:rFonts w:hint="eastAsia" w:hAnsi="宋体" w:cs="Times New Roman"/>
          <w:color w:val="auto"/>
          <w:kern w:val="2"/>
          <w:szCs w:val="24"/>
          <w:highlight w:val="none"/>
          <w:u w:val="single"/>
          <w:lang w:eastAsia="zh-CN"/>
        </w:rPr>
        <w:t>（签字）</w:t>
      </w:r>
      <w:r>
        <w:rPr>
          <w:rFonts w:hint="eastAsia" w:hAnsi="宋体" w:cs="Times New Roman"/>
          <w:color w:val="auto"/>
          <w:kern w:val="2"/>
          <w:szCs w:val="24"/>
          <w:highlight w:val="none"/>
          <w:u w:val="single"/>
          <w:lang w:val="en-US" w:eastAsia="zh-CN"/>
        </w:rPr>
        <w:t xml:space="preserve">  </w:t>
      </w:r>
    </w:p>
    <w:p w14:paraId="127663B3">
      <w:pPr>
        <w:widowControl w:val="0"/>
        <w:tabs>
          <w:tab w:val="left" w:pos="2064"/>
          <w:tab w:val="left" w:pos="2904"/>
          <w:tab w:val="left" w:pos="3744"/>
          <w:tab w:val="left" w:pos="5665"/>
          <w:tab w:val="left" w:pos="6745"/>
          <w:tab w:val="left" w:pos="7585"/>
          <w:tab w:val="left" w:pos="8425"/>
        </w:tabs>
        <w:kinsoku w:val="0"/>
        <w:overflowPunct w:val="0"/>
        <w:adjustRightInd w:val="0"/>
        <w:snapToGrid w:val="0"/>
        <w:spacing w:line="360" w:lineRule="auto"/>
        <w:jc w:val="both"/>
        <w:rPr>
          <w:rFonts w:hAnsi="宋体" w:cs="Times New Roman"/>
          <w:color w:val="auto"/>
          <w:kern w:val="2"/>
          <w:szCs w:val="24"/>
          <w:highlight w:val="none"/>
          <w:lang w:eastAsia="zh-CN"/>
        </w:rPr>
      </w:pP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年</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月</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日</w:t>
      </w:r>
      <w:r>
        <w:rPr>
          <w:rFonts w:hint="eastAsia" w:hAnsi="宋体" w:cs="Times New Roman"/>
          <w:color w:val="auto"/>
          <w:kern w:val="2"/>
          <w:szCs w:val="24"/>
          <w:highlight w:val="none"/>
          <w:lang w:eastAsia="zh-CN"/>
        </w:rPr>
        <w:tab/>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年</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月</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日</w:t>
      </w:r>
    </w:p>
    <w:p w14:paraId="797F20B2">
      <w:pPr>
        <w:widowControl w:val="0"/>
        <w:adjustRightInd w:val="0"/>
        <w:snapToGrid w:val="0"/>
        <w:spacing w:after="200" w:line="360" w:lineRule="auto"/>
        <w:ind w:firstLine="420" w:firstLineChars="200"/>
        <w:jc w:val="both"/>
        <w:rPr>
          <w:rFonts w:hAnsi="宋体" w:cs="Times New Roman"/>
          <w:color w:val="auto"/>
          <w:kern w:val="2"/>
          <w:szCs w:val="24"/>
          <w:highlight w:val="none"/>
          <w:lang w:eastAsia="zh-CN"/>
        </w:rPr>
      </w:pPr>
    </w:p>
    <w:p w14:paraId="01155C9E">
      <w:pPr>
        <w:jc w:val="left"/>
        <w:rPr>
          <w:b/>
          <w:color w:val="auto"/>
          <w:highlight w:val="none"/>
        </w:rPr>
      </w:pPr>
      <w:bookmarkStart w:id="286" w:name="_Toc70630293"/>
      <w:bookmarkStart w:id="287" w:name="_Toc31291"/>
      <w:r>
        <w:rPr>
          <w:b/>
          <w:color w:val="auto"/>
          <w:highlight w:val="none"/>
        </w:rPr>
        <w:br w:type="page"/>
      </w:r>
    </w:p>
    <w:p w14:paraId="1BF1A7E8">
      <w:pPr>
        <w:adjustRightInd w:val="0"/>
        <w:snapToGrid w:val="0"/>
        <w:spacing w:line="360" w:lineRule="auto"/>
        <w:jc w:val="left"/>
        <w:rPr>
          <w:b/>
          <w:color w:val="auto"/>
          <w:highlight w:val="none"/>
        </w:rPr>
      </w:pPr>
      <w:r>
        <w:rPr>
          <w:rFonts w:hint="eastAsia"/>
          <w:b/>
          <w:color w:val="auto"/>
          <w:highlight w:val="none"/>
        </w:rPr>
        <w:t>附件二</w:t>
      </w:r>
      <w:r>
        <w:rPr>
          <w:rFonts w:hint="eastAsia"/>
          <w:b/>
          <w:color w:val="auto"/>
          <w:highlight w:val="none"/>
          <w:lang w:eastAsia="zh-CN"/>
        </w:rPr>
        <w:t xml:space="preserve">  </w:t>
      </w:r>
      <w:r>
        <w:rPr>
          <w:rFonts w:hint="eastAsia"/>
          <w:b/>
          <w:color w:val="auto"/>
          <w:highlight w:val="none"/>
        </w:rPr>
        <w:t>廉政合同</w:t>
      </w:r>
      <w:bookmarkEnd w:id="286"/>
      <w:bookmarkEnd w:id="287"/>
    </w:p>
    <w:p w14:paraId="32D6447E">
      <w:pPr>
        <w:widowControl w:val="0"/>
        <w:kinsoku w:val="0"/>
        <w:overflowPunct w:val="0"/>
        <w:adjustRightInd w:val="0"/>
        <w:snapToGrid w:val="0"/>
        <w:spacing w:after="200" w:line="276" w:lineRule="auto"/>
        <w:jc w:val="center"/>
        <w:rPr>
          <w:rFonts w:hAnsi="宋体" w:cs="Times New Roman"/>
          <w:color w:val="auto"/>
          <w:kern w:val="2"/>
          <w:sz w:val="28"/>
          <w:szCs w:val="24"/>
          <w:highlight w:val="none"/>
          <w:lang w:eastAsia="zh-CN"/>
        </w:rPr>
      </w:pPr>
      <w:r>
        <w:rPr>
          <w:rFonts w:hint="eastAsia" w:hAnsi="宋体" w:cs="Times New Roman"/>
          <w:color w:val="auto"/>
          <w:kern w:val="2"/>
          <w:sz w:val="28"/>
          <w:szCs w:val="24"/>
          <w:highlight w:val="none"/>
          <w:lang w:eastAsia="zh-CN"/>
        </w:rPr>
        <w:t>廉政合同</w:t>
      </w:r>
    </w:p>
    <w:p w14:paraId="1C59E3F5">
      <w:pPr>
        <w:widowControl w:val="0"/>
        <w:tabs>
          <w:tab w:val="left" w:pos="2205"/>
          <w:tab w:val="left" w:pos="2544"/>
          <w:tab w:val="left" w:pos="6896"/>
          <w:tab w:val="left" w:pos="7859"/>
        </w:tabs>
        <w:kinsoku w:val="0"/>
        <w:overflowPunct w:val="0"/>
        <w:adjustRightInd w:val="0"/>
        <w:snapToGrid w:val="0"/>
        <w:spacing w:line="300" w:lineRule="auto"/>
        <w:ind w:firstLine="616"/>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根</w:t>
      </w:r>
      <w:r>
        <w:rPr>
          <w:rFonts w:hint="eastAsia" w:hAnsi="宋体" w:cs="Times New Roman"/>
          <w:color w:val="auto"/>
          <w:spacing w:val="-51"/>
          <w:kern w:val="2"/>
          <w:szCs w:val="24"/>
          <w:highlight w:val="none"/>
          <w:lang w:eastAsia="zh-CN"/>
        </w:rPr>
        <w:t>据</w:t>
      </w:r>
      <w:r>
        <w:rPr>
          <w:rFonts w:hint="eastAsia" w:hAnsi="宋体" w:cs="Times New Roman"/>
          <w:color w:val="auto"/>
          <w:spacing w:val="-51"/>
          <w:kern w:val="2"/>
          <w:szCs w:val="24"/>
          <w:highlight w:val="none"/>
          <w:lang w:val="en-US" w:eastAsia="zh-CN"/>
        </w:rPr>
        <w:t xml:space="preserve">                         </w:t>
      </w:r>
      <w:r>
        <w:rPr>
          <w:rFonts w:hint="eastAsia" w:hAnsi="宋体" w:cs="Times New Roman"/>
          <w:color w:val="auto"/>
          <w:kern w:val="2"/>
          <w:szCs w:val="24"/>
          <w:highlight w:val="none"/>
          <w:lang w:eastAsia="zh-CN"/>
        </w:rPr>
        <w:t>《关于在交通基础设施建设中加强廉政建设的若干意见</w:t>
      </w:r>
      <w:r>
        <w:rPr>
          <w:rFonts w:hint="eastAsia" w:hAnsi="宋体" w:cs="Times New Roman"/>
          <w:color w:val="auto"/>
          <w:spacing w:val="-51"/>
          <w:kern w:val="2"/>
          <w:szCs w:val="24"/>
          <w:highlight w:val="none"/>
          <w:lang w:eastAsia="zh-CN"/>
        </w:rPr>
        <w:t>》</w:t>
      </w:r>
      <w:r>
        <w:rPr>
          <w:rFonts w:hint="eastAsia" w:hAnsi="宋体" w:cs="Times New Roman"/>
          <w:color w:val="auto"/>
          <w:spacing w:val="-51"/>
          <w:kern w:val="2"/>
          <w:szCs w:val="24"/>
          <w:highlight w:val="none"/>
          <w:lang w:val="en-US" w:eastAsia="zh-CN"/>
        </w:rPr>
        <w:t xml:space="preserve">                             </w:t>
      </w:r>
      <w:r>
        <w:rPr>
          <w:rFonts w:hint="eastAsia" w:hAnsi="宋体" w:cs="Times New Roman"/>
          <w:color w:val="auto"/>
          <w:kern w:val="2"/>
          <w:szCs w:val="24"/>
          <w:highlight w:val="none"/>
          <w:lang w:eastAsia="zh-CN"/>
        </w:rPr>
        <w:t>以及有关工程建设</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廉政建设的规定</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为做好工程建设中的党风廉政建设</w:t>
      </w:r>
      <w:r>
        <w:rPr>
          <w:rFonts w:hint="eastAsia" w:hAnsi="宋体" w:cs="Times New Roman"/>
          <w:color w:val="auto"/>
          <w:spacing w:val="-29"/>
          <w:kern w:val="2"/>
          <w:szCs w:val="24"/>
          <w:highlight w:val="none"/>
          <w:lang w:eastAsia="zh-CN"/>
        </w:rPr>
        <w:t>，</w:t>
      </w:r>
      <w:r>
        <w:rPr>
          <w:rFonts w:hint="eastAsia" w:hAnsi="宋体" w:cs="Times New Roman"/>
          <w:color w:val="auto"/>
          <w:kern w:val="2"/>
          <w:szCs w:val="24"/>
          <w:highlight w:val="none"/>
          <w:lang w:eastAsia="zh-CN"/>
        </w:rPr>
        <w:t>保证工程建设高效优质，保证建设资金的安全和有效使用以及投资效益，</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（项目名称）的项</w:t>
      </w:r>
      <w:r>
        <w:rPr>
          <w:rFonts w:hint="eastAsia" w:hAnsi="宋体" w:cs="Times New Roman"/>
          <w:color w:val="auto"/>
          <w:spacing w:val="1"/>
          <w:kern w:val="2"/>
          <w:szCs w:val="24"/>
          <w:highlight w:val="none"/>
          <w:lang w:eastAsia="zh-CN"/>
        </w:rPr>
        <w:t>目法人</w:t>
      </w:r>
      <w:r>
        <w:rPr>
          <w:rFonts w:hAnsi="宋体" w:cs="Times New Roman"/>
          <w:color w:val="auto"/>
          <w:spacing w:val="1"/>
          <w:kern w:val="2"/>
          <w:szCs w:val="24"/>
          <w:highlight w:val="none"/>
          <w:u w:val="single"/>
          <w:lang w:eastAsia="zh-CN"/>
        </w:rPr>
        <w:tab/>
      </w:r>
      <w:r>
        <w:rPr>
          <w:rFonts w:hint="eastAsia" w:hAnsi="宋体" w:cs="Times New Roman"/>
          <w:color w:val="auto"/>
          <w:spacing w:val="1"/>
          <w:kern w:val="2"/>
          <w:szCs w:val="24"/>
          <w:highlight w:val="none"/>
          <w:lang w:eastAsia="zh-CN"/>
        </w:rPr>
        <w:t>（项目法人名称，以下简称</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发包人</w:t>
      </w:r>
      <w:r>
        <w:rPr>
          <w:rFonts w:hAnsi="宋体" w:cs="Times New Roman"/>
          <w:color w:val="auto"/>
          <w:spacing w:val="1"/>
          <w:kern w:val="2"/>
          <w:szCs w:val="24"/>
          <w:highlight w:val="none"/>
          <w:lang w:eastAsia="zh-CN"/>
        </w:rPr>
        <w:t>”</w:t>
      </w:r>
      <w:r>
        <w:rPr>
          <w:rFonts w:hint="eastAsia" w:hAnsi="宋体" w:cs="Times New Roman"/>
          <w:color w:val="auto"/>
          <w:spacing w:val="1"/>
          <w:kern w:val="2"/>
          <w:szCs w:val="24"/>
          <w:highlight w:val="none"/>
          <w:lang w:eastAsia="zh-CN"/>
        </w:rPr>
        <w:t>）与该项目</w:t>
      </w:r>
      <w:r>
        <w:rPr>
          <w:rFonts w:hAnsi="宋体" w:cs="Times New Roman"/>
          <w:color w:val="auto"/>
          <w:spacing w:val="1"/>
          <w:kern w:val="2"/>
          <w:szCs w:val="24"/>
          <w:highlight w:val="none"/>
          <w:u w:val="single"/>
          <w:lang w:eastAsia="zh-CN"/>
        </w:rPr>
        <w:tab/>
      </w:r>
      <w:r>
        <w:rPr>
          <w:rFonts w:hint="eastAsia" w:hAnsi="宋体" w:cs="Times New Roman"/>
          <w:color w:val="auto"/>
          <w:spacing w:val="1"/>
          <w:kern w:val="2"/>
          <w:szCs w:val="24"/>
          <w:highlight w:val="none"/>
          <w:lang w:eastAsia="zh-CN"/>
        </w:rPr>
        <w:t>标段的施</w:t>
      </w:r>
      <w:r>
        <w:rPr>
          <w:rFonts w:hint="eastAsia" w:hAnsi="宋体" w:cs="Times New Roman"/>
          <w:color w:val="auto"/>
          <w:kern w:val="2"/>
          <w:szCs w:val="24"/>
          <w:highlight w:val="none"/>
          <w:lang w:eastAsia="zh-CN"/>
        </w:rPr>
        <w:t>工单</w:t>
      </w:r>
      <w:r>
        <w:rPr>
          <w:rFonts w:hint="eastAsia" w:hAnsi="宋体" w:cs="Times New Roman"/>
          <w:color w:val="auto"/>
          <w:spacing w:val="-1"/>
          <w:kern w:val="2"/>
          <w:szCs w:val="24"/>
          <w:highlight w:val="none"/>
          <w:lang w:eastAsia="zh-CN"/>
        </w:rPr>
        <w:t>位</w:t>
      </w:r>
      <w:r>
        <w:rPr>
          <w:rFonts w:hAnsi="宋体" w:cs="Times New Roman"/>
          <w:color w:val="auto"/>
          <w:spacing w:val="-1"/>
          <w:kern w:val="2"/>
          <w:szCs w:val="24"/>
          <w:highlight w:val="none"/>
          <w:u w:val="single"/>
          <w:lang w:eastAsia="zh-CN"/>
        </w:rPr>
        <w:tab/>
      </w:r>
      <w:r>
        <w:rPr>
          <w:rFonts w:hAnsi="宋体" w:cs="Times New Roman"/>
          <w:color w:val="auto"/>
          <w:spacing w:val="-1"/>
          <w:kern w:val="2"/>
          <w:szCs w:val="24"/>
          <w:highlight w:val="none"/>
          <w:u w:val="single"/>
          <w:lang w:eastAsia="zh-CN"/>
        </w:rPr>
        <w:tab/>
      </w:r>
      <w:r>
        <w:rPr>
          <w:rFonts w:hint="eastAsia" w:hAnsi="宋体" w:cs="Times New Roman"/>
          <w:color w:val="auto"/>
          <w:kern w:val="2"/>
          <w:szCs w:val="24"/>
          <w:highlight w:val="none"/>
          <w:lang w:eastAsia="zh-CN"/>
        </w:rPr>
        <w:t>（施工单位名称，以下简称</w:t>
      </w:r>
      <w:r>
        <w:rPr>
          <w:rFonts w:hAnsi="宋体" w:cs="Times New Roman"/>
          <w:color w:val="auto"/>
          <w:spacing w:val="-1"/>
          <w:kern w:val="2"/>
          <w:szCs w:val="24"/>
          <w:highlight w:val="none"/>
          <w:lang w:eastAsia="zh-CN"/>
        </w:rPr>
        <w:t>“</w:t>
      </w:r>
      <w:r>
        <w:rPr>
          <w:rFonts w:hint="eastAsia" w:hAnsi="宋体" w:cs="Times New Roman"/>
          <w:color w:val="auto"/>
          <w:kern w:val="2"/>
          <w:szCs w:val="24"/>
          <w:highlight w:val="none"/>
          <w:lang w:eastAsia="zh-CN"/>
        </w:rPr>
        <w:t>承包人</w:t>
      </w:r>
      <w:r>
        <w:rPr>
          <w:rFonts w:hAnsi="宋体" w:cs="Times New Roman"/>
          <w:color w:val="auto"/>
          <w:spacing w:val="-1"/>
          <w:kern w:val="2"/>
          <w:szCs w:val="24"/>
          <w:highlight w:val="none"/>
          <w:lang w:eastAsia="zh-CN"/>
        </w:rPr>
        <w:t>”</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lang w:eastAsia="zh-CN"/>
        </w:rPr>
        <w:t>，特</w:t>
      </w:r>
      <w:r>
        <w:rPr>
          <w:rFonts w:hint="eastAsia" w:hAnsi="宋体" w:cs="Times New Roman"/>
          <w:color w:val="auto"/>
          <w:spacing w:val="2"/>
          <w:kern w:val="2"/>
          <w:szCs w:val="24"/>
          <w:highlight w:val="none"/>
          <w:lang w:eastAsia="zh-CN"/>
        </w:rPr>
        <w:t>订</w:t>
      </w:r>
      <w:r>
        <w:rPr>
          <w:rFonts w:hint="eastAsia" w:hAnsi="宋体" w:cs="Times New Roman"/>
          <w:color w:val="auto"/>
          <w:kern w:val="2"/>
          <w:szCs w:val="24"/>
          <w:highlight w:val="none"/>
          <w:lang w:eastAsia="zh-CN"/>
        </w:rPr>
        <w:t>立如下合同。</w:t>
      </w:r>
    </w:p>
    <w:p w14:paraId="5336DD85">
      <w:pPr>
        <w:widowControl w:val="0"/>
        <w:kinsoku w:val="0"/>
        <w:overflowPunct w:val="0"/>
        <w:adjustRightInd w:val="0"/>
        <w:snapToGrid w:val="0"/>
        <w:spacing w:line="300" w:lineRule="auto"/>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1.  </w:t>
      </w:r>
      <w:r>
        <w:rPr>
          <w:rFonts w:hint="eastAsia" w:hAnsi="宋体" w:cs="Times New Roman"/>
          <w:color w:val="auto"/>
          <w:kern w:val="2"/>
          <w:szCs w:val="24"/>
          <w:highlight w:val="none"/>
          <w:lang w:eastAsia="zh-CN"/>
        </w:rPr>
        <w:t>发包人和承包人双方的权利和义务</w:t>
      </w:r>
    </w:p>
    <w:p w14:paraId="51ECC5C0">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）严格遵守党的政策规定和国家有关法律法规及交通运输部的有关规定。</w:t>
      </w:r>
    </w:p>
    <w:p w14:paraId="72A52E1A">
      <w:pPr>
        <w:widowControl w:val="0"/>
        <w:tabs>
          <w:tab w:val="left" w:pos="3408"/>
          <w:tab w:val="left" w:pos="5456"/>
        </w:tabs>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）严格执行</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（项目名称）</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标段施工合同文件，自觉按合同办事。</w:t>
      </w:r>
    </w:p>
    <w:p w14:paraId="02A5A34C">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）双方的业务活动坚持公开、公正、诚信、透明的原则（法律认定的商业秘密和合同文件另有规定除外</w:t>
      </w:r>
      <w:r>
        <w:rPr>
          <w:rFonts w:hint="eastAsia" w:hAnsi="宋体" w:cs="Times New Roman"/>
          <w:color w:val="auto"/>
          <w:spacing w:val="-120"/>
          <w:kern w:val="2"/>
          <w:szCs w:val="24"/>
          <w:highlight w:val="none"/>
          <w:lang w:eastAsia="zh-CN"/>
        </w:rPr>
        <w:t>）</w:t>
      </w:r>
      <w:r>
        <w:rPr>
          <w:rFonts w:hint="eastAsia" w:hAnsi="宋体" w:cs="Times New Roman"/>
          <w:color w:val="auto"/>
          <w:spacing w:val="-44"/>
          <w:kern w:val="2"/>
          <w:szCs w:val="24"/>
          <w:highlight w:val="none"/>
          <w:lang w:eastAsia="zh-CN"/>
        </w:rPr>
        <w:t>，</w:t>
      </w:r>
      <w:r>
        <w:rPr>
          <w:rFonts w:hint="eastAsia" w:hAnsi="宋体" w:cs="Times New Roman"/>
          <w:color w:val="auto"/>
          <w:kern w:val="2"/>
          <w:szCs w:val="24"/>
          <w:highlight w:val="none"/>
          <w:lang w:eastAsia="zh-CN"/>
        </w:rPr>
        <w:t>不得损害国家和集体利益</w:t>
      </w:r>
      <w:r>
        <w:rPr>
          <w:rFonts w:hint="eastAsia" w:hAnsi="宋体" w:cs="Times New Roman"/>
          <w:color w:val="auto"/>
          <w:spacing w:val="-43"/>
          <w:kern w:val="2"/>
          <w:szCs w:val="24"/>
          <w:highlight w:val="none"/>
          <w:lang w:eastAsia="zh-CN"/>
        </w:rPr>
        <w:t>，</w:t>
      </w:r>
      <w:r>
        <w:rPr>
          <w:rFonts w:hint="eastAsia" w:hAnsi="宋体" w:cs="Times New Roman"/>
          <w:color w:val="auto"/>
          <w:kern w:val="2"/>
          <w:szCs w:val="24"/>
          <w:highlight w:val="none"/>
          <w:lang w:eastAsia="zh-CN"/>
        </w:rPr>
        <w:t>不得违反工程建设管理 规章制度。</w:t>
      </w:r>
    </w:p>
    <w:p w14:paraId="51C64E01">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）建立健全廉政制度，开展廉政教育，设立廉政告示牌，公布举报电话，监督并认真查处违法违纪行为。</w:t>
      </w:r>
    </w:p>
    <w:p w14:paraId="6A59E53F">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5</w:t>
      </w:r>
      <w:r>
        <w:rPr>
          <w:rFonts w:hint="eastAsia" w:hAnsi="宋体" w:cs="Times New Roman"/>
          <w:color w:val="auto"/>
          <w:kern w:val="2"/>
          <w:szCs w:val="24"/>
          <w:highlight w:val="none"/>
          <w:lang w:eastAsia="zh-CN"/>
        </w:rPr>
        <w:t>）发现对方在业务活动中有违反廉政规定的行为，有及时提醒对方纠正的权利和义务。</w:t>
      </w:r>
    </w:p>
    <w:p w14:paraId="2F55ED3B">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6</w:t>
      </w:r>
      <w:r>
        <w:rPr>
          <w:rFonts w:hint="eastAsia" w:hAnsi="宋体" w:cs="Times New Roman"/>
          <w:color w:val="auto"/>
          <w:kern w:val="2"/>
          <w:szCs w:val="24"/>
          <w:highlight w:val="none"/>
          <w:lang w:eastAsia="zh-CN"/>
        </w:rPr>
        <w:t>）发现对方严重违反本合同义务条款的行为，有向其上级有关部门举报、建议给予处理并要求告知处理结果的权利。</w:t>
      </w:r>
    </w:p>
    <w:p w14:paraId="0A4E1A4C">
      <w:pPr>
        <w:widowControl w:val="0"/>
        <w:kinsoku w:val="0"/>
        <w:overflowPunct w:val="0"/>
        <w:adjustRightInd w:val="0"/>
        <w:snapToGrid w:val="0"/>
        <w:spacing w:line="300" w:lineRule="auto"/>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2.  </w:t>
      </w:r>
      <w:r>
        <w:rPr>
          <w:rFonts w:hint="eastAsia" w:hAnsi="宋体" w:cs="Times New Roman"/>
          <w:color w:val="auto"/>
          <w:kern w:val="2"/>
          <w:szCs w:val="24"/>
          <w:highlight w:val="none"/>
          <w:lang w:eastAsia="zh-CN"/>
        </w:rPr>
        <w:t>发包人的义务</w:t>
      </w:r>
    </w:p>
    <w:p w14:paraId="71198C18">
      <w:pPr>
        <w:widowControl w:val="0"/>
        <w:kinsoku w:val="0"/>
        <w:overflowPunct w:val="0"/>
        <w:adjustRightInd w:val="0"/>
        <w:snapToGrid w:val="0"/>
        <w:spacing w:line="300" w:lineRule="auto"/>
        <w:ind w:firstLine="420" w:firstLineChars="200"/>
        <w:jc w:val="left"/>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）发包人及其工作人员不得索要或接受承包人的礼金、有价证券和贵重物</w:t>
      </w:r>
      <w:r>
        <w:rPr>
          <w:rFonts w:hint="eastAsia" w:hAnsi="宋体" w:cs="Times New Roman"/>
          <w:color w:val="auto"/>
          <w:spacing w:val="-1"/>
          <w:kern w:val="2"/>
          <w:szCs w:val="24"/>
          <w:highlight w:val="none"/>
          <w:lang w:eastAsia="zh-CN"/>
        </w:rPr>
        <w:t>品，不得让承包人报销任何应由发包人或发包人工作人员个人支付的费用等。</w:t>
      </w:r>
    </w:p>
    <w:p w14:paraId="05DCED78">
      <w:pPr>
        <w:widowControl w:val="0"/>
        <w:kinsoku w:val="0"/>
        <w:overflowPunct w:val="0"/>
        <w:adjustRightInd w:val="0"/>
        <w:snapToGrid w:val="0"/>
        <w:spacing w:line="300" w:lineRule="auto"/>
        <w:ind w:firstLine="420" w:firstLineChars="200"/>
        <w:jc w:val="left"/>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）发包人工作人员不得参加承包人安排的超标准宴请和娱乐活动；不得接</w:t>
      </w:r>
      <w:r>
        <w:rPr>
          <w:rFonts w:hint="eastAsia" w:hAnsi="宋体" w:cs="Times New Roman"/>
          <w:color w:val="auto"/>
          <w:spacing w:val="-1"/>
          <w:kern w:val="2"/>
          <w:szCs w:val="24"/>
          <w:highlight w:val="none"/>
          <w:lang w:eastAsia="zh-CN"/>
        </w:rPr>
        <w:t>受承包人提供的通信工具、交通工具和高档办公用品等。</w:t>
      </w:r>
    </w:p>
    <w:p w14:paraId="28BC7074">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kern w:val="2"/>
          <w:szCs w:val="24"/>
          <w:highlight w:val="none"/>
          <w:lang w:eastAsia="zh-CN"/>
        </w:rPr>
        <w:t>）发包人及其工作人员不得要求或者接受承包人为其住房装修、婚丧嫁娶活动、配偶子女的工作安排以及出国出境、旅游等提供方便等。</w:t>
      </w:r>
    </w:p>
    <w:p w14:paraId="77607BD0">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）发包人工作人员及其配偶、子女不得从事与发包人工程有关的材料设备供应、工程分包、劳务等经济活动等。</w:t>
      </w:r>
    </w:p>
    <w:p w14:paraId="247AFC6D">
      <w:pPr>
        <w:widowControl w:val="0"/>
        <w:kinsoku w:val="0"/>
        <w:overflowPunct w:val="0"/>
        <w:adjustRightInd w:val="0"/>
        <w:snapToGrid w:val="0"/>
        <w:spacing w:line="300" w:lineRule="auto"/>
        <w:ind w:firstLine="420" w:firstLineChars="200"/>
        <w:jc w:val="left"/>
        <w:rPr>
          <w:rFonts w:hAnsi="宋体" w:cs="Times New Roman"/>
          <w:color w:val="auto"/>
          <w:spacing w:val="-1"/>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5</w:t>
      </w:r>
      <w:r>
        <w:rPr>
          <w:rFonts w:hint="eastAsia" w:hAnsi="宋体" w:cs="Times New Roman"/>
          <w:color w:val="auto"/>
          <w:spacing w:val="-104"/>
          <w:kern w:val="2"/>
          <w:szCs w:val="24"/>
          <w:highlight w:val="none"/>
          <w:lang w:eastAsia="zh-CN"/>
        </w:rPr>
        <w:t xml:space="preserve">）       </w:t>
      </w:r>
      <w:r>
        <w:rPr>
          <w:rFonts w:hint="eastAsia" w:hAnsi="宋体" w:cs="Times New Roman"/>
          <w:color w:val="auto"/>
          <w:kern w:val="2"/>
          <w:szCs w:val="24"/>
          <w:highlight w:val="none"/>
          <w:lang w:eastAsia="zh-CN"/>
        </w:rPr>
        <w:t>发包人及其工作</w:t>
      </w:r>
      <w:r>
        <w:rPr>
          <w:rFonts w:hint="eastAsia" w:hAnsi="宋体" w:cs="Times New Roman"/>
          <w:color w:val="auto"/>
          <w:spacing w:val="2"/>
          <w:kern w:val="2"/>
          <w:szCs w:val="24"/>
          <w:highlight w:val="none"/>
          <w:lang w:eastAsia="zh-CN"/>
        </w:rPr>
        <w:t>人</w:t>
      </w:r>
      <w:r>
        <w:rPr>
          <w:rFonts w:hint="eastAsia" w:hAnsi="宋体" w:cs="Times New Roman"/>
          <w:color w:val="auto"/>
          <w:kern w:val="2"/>
          <w:szCs w:val="24"/>
          <w:highlight w:val="none"/>
          <w:lang w:eastAsia="zh-CN"/>
        </w:rPr>
        <w:t>员不得以任何理由</w:t>
      </w:r>
      <w:r>
        <w:rPr>
          <w:rFonts w:hint="eastAsia" w:hAnsi="宋体" w:cs="Times New Roman"/>
          <w:color w:val="auto"/>
          <w:spacing w:val="1"/>
          <w:kern w:val="2"/>
          <w:szCs w:val="24"/>
          <w:highlight w:val="none"/>
          <w:lang w:eastAsia="zh-CN"/>
        </w:rPr>
        <w:t>向</w:t>
      </w:r>
      <w:r>
        <w:rPr>
          <w:rFonts w:hint="eastAsia" w:hAnsi="宋体" w:cs="Times New Roman"/>
          <w:color w:val="auto"/>
          <w:kern w:val="2"/>
          <w:szCs w:val="24"/>
          <w:highlight w:val="none"/>
          <w:lang w:eastAsia="zh-CN"/>
        </w:rPr>
        <w:t>承包人推荐分包单位或推销材料，</w:t>
      </w:r>
      <w:r>
        <w:rPr>
          <w:rFonts w:hint="eastAsia" w:hAnsi="宋体" w:cs="Times New Roman"/>
          <w:color w:val="auto"/>
          <w:spacing w:val="-1"/>
          <w:kern w:val="2"/>
          <w:szCs w:val="24"/>
          <w:highlight w:val="none"/>
          <w:lang w:eastAsia="zh-CN"/>
        </w:rPr>
        <w:t>不得要求承包人购买合同规定外的材料和设备。</w:t>
      </w:r>
    </w:p>
    <w:p w14:paraId="1FD1B04A">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6</w:t>
      </w:r>
      <w:r>
        <w:rPr>
          <w:rFonts w:hint="eastAsia" w:hAnsi="宋体" w:cs="Times New Roman"/>
          <w:color w:val="auto"/>
          <w:kern w:val="2"/>
          <w:szCs w:val="24"/>
          <w:highlight w:val="none"/>
          <w:lang w:eastAsia="zh-CN"/>
        </w:rPr>
        <w:t>）发包人工作人员要秉公办事，不准营私舞弊，不准利用职权从事各种个人有偿中介活动和安排个人施工队伍。</w:t>
      </w:r>
    </w:p>
    <w:p w14:paraId="7BBB8A98">
      <w:pPr>
        <w:widowControl w:val="0"/>
        <w:kinsoku w:val="0"/>
        <w:overflowPunct w:val="0"/>
        <w:adjustRightInd w:val="0"/>
        <w:snapToGrid w:val="0"/>
        <w:spacing w:line="300" w:lineRule="auto"/>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3.  </w:t>
      </w:r>
      <w:r>
        <w:rPr>
          <w:rFonts w:hint="eastAsia" w:hAnsi="宋体" w:cs="Times New Roman"/>
          <w:color w:val="auto"/>
          <w:kern w:val="2"/>
          <w:szCs w:val="24"/>
          <w:highlight w:val="none"/>
          <w:lang w:eastAsia="zh-CN"/>
        </w:rPr>
        <w:t>承包人的义务</w:t>
      </w:r>
    </w:p>
    <w:p w14:paraId="259A41F8">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kern w:val="2"/>
          <w:szCs w:val="24"/>
          <w:highlight w:val="none"/>
          <w:lang w:eastAsia="zh-CN"/>
        </w:rPr>
        <w:t>）承包人不得以任何理由向发包人及其工作人员行贿或馈赠礼金、有价证券、贵重礼品。</w:t>
      </w:r>
    </w:p>
    <w:p w14:paraId="78FBCD59">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kern w:val="2"/>
          <w:szCs w:val="24"/>
          <w:highlight w:val="none"/>
          <w:lang w:eastAsia="zh-CN"/>
        </w:rPr>
        <w:t>）承包人不得以任何名义为发包人及其工作人员报销应由发包人单位或个人支付的任何费用。</w:t>
      </w:r>
    </w:p>
    <w:p w14:paraId="4CBAC215">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3</w:t>
      </w:r>
      <w:r>
        <w:rPr>
          <w:rFonts w:hint="eastAsia" w:hAnsi="宋体" w:cs="Times New Roman"/>
          <w:color w:val="auto"/>
          <w:spacing w:val="-104"/>
          <w:kern w:val="2"/>
          <w:szCs w:val="24"/>
          <w:highlight w:val="none"/>
          <w:lang w:eastAsia="zh-CN"/>
        </w:rPr>
        <w:t>）</w:t>
      </w:r>
      <w:r>
        <w:rPr>
          <w:rFonts w:hint="eastAsia" w:hAnsi="宋体" w:cs="Times New Roman"/>
          <w:color w:val="auto"/>
          <w:kern w:val="2"/>
          <w:szCs w:val="24"/>
          <w:highlight w:val="none"/>
          <w:lang w:eastAsia="zh-CN"/>
        </w:rPr>
        <w:t>承包人不得以任</w:t>
      </w:r>
      <w:r>
        <w:rPr>
          <w:rFonts w:hint="eastAsia" w:hAnsi="宋体" w:cs="Times New Roman"/>
          <w:color w:val="auto"/>
          <w:spacing w:val="2"/>
          <w:kern w:val="2"/>
          <w:szCs w:val="24"/>
          <w:highlight w:val="none"/>
          <w:lang w:eastAsia="zh-CN"/>
        </w:rPr>
        <w:t>何</w:t>
      </w:r>
      <w:r>
        <w:rPr>
          <w:rFonts w:hint="eastAsia" w:hAnsi="宋体" w:cs="Times New Roman"/>
          <w:color w:val="auto"/>
          <w:kern w:val="2"/>
          <w:szCs w:val="24"/>
          <w:highlight w:val="none"/>
          <w:lang w:eastAsia="zh-CN"/>
        </w:rPr>
        <w:t>理由安排发包人工作人员参加超标准宴请及娱乐活动。</w:t>
      </w:r>
    </w:p>
    <w:p w14:paraId="5300E7CB">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4</w:t>
      </w:r>
      <w:r>
        <w:rPr>
          <w:rFonts w:hint="eastAsia" w:hAnsi="宋体" w:cs="Times New Roman"/>
          <w:color w:val="auto"/>
          <w:kern w:val="2"/>
          <w:szCs w:val="24"/>
          <w:highlight w:val="none"/>
          <w:lang w:eastAsia="zh-CN"/>
        </w:rPr>
        <w:t>）承包人不得为发包人单位和个人购置或提供通信工具、交通工具和高档办公用品等。</w:t>
      </w:r>
    </w:p>
    <w:p w14:paraId="3862E16D">
      <w:pPr>
        <w:widowControl w:val="0"/>
        <w:kinsoku w:val="0"/>
        <w:overflowPunct w:val="0"/>
        <w:adjustRightInd w:val="0"/>
        <w:snapToGrid w:val="0"/>
        <w:spacing w:line="300" w:lineRule="auto"/>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4.  </w:t>
      </w:r>
      <w:r>
        <w:rPr>
          <w:rFonts w:hint="eastAsia" w:hAnsi="宋体" w:cs="Times New Roman"/>
          <w:color w:val="auto"/>
          <w:kern w:val="2"/>
          <w:szCs w:val="24"/>
          <w:highlight w:val="none"/>
          <w:lang w:eastAsia="zh-CN"/>
        </w:rPr>
        <w:t>违约责任</w:t>
      </w:r>
    </w:p>
    <w:p w14:paraId="32D2D2A8">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1</w:t>
      </w:r>
      <w:r>
        <w:rPr>
          <w:rFonts w:hint="eastAsia" w:hAnsi="宋体" w:cs="Times New Roman"/>
          <w:color w:val="auto"/>
          <w:spacing w:val="-27"/>
          <w:kern w:val="2"/>
          <w:szCs w:val="24"/>
          <w:highlight w:val="none"/>
          <w:lang w:eastAsia="zh-CN"/>
        </w:rPr>
        <w:t>）</w:t>
      </w:r>
      <w:r>
        <w:rPr>
          <w:rFonts w:hint="eastAsia" w:hAnsi="宋体" w:cs="Times New Roman"/>
          <w:color w:val="auto"/>
          <w:kern w:val="2"/>
          <w:szCs w:val="24"/>
          <w:highlight w:val="none"/>
          <w:lang w:eastAsia="zh-CN"/>
        </w:rPr>
        <w:t>发包人及其工作人员违反本合同第</w:t>
      </w:r>
      <w:r>
        <w:rPr>
          <w:rFonts w:hAnsi="宋体" w:cs="Times New Roman"/>
          <w:color w:val="auto"/>
          <w:kern w:val="2"/>
          <w:szCs w:val="24"/>
          <w:highlight w:val="none"/>
          <w:lang w:eastAsia="zh-CN"/>
        </w:rPr>
        <w:t>1</w:t>
      </w:r>
      <w:r>
        <w:rPr>
          <w:rFonts w:hint="eastAsia" w:hAnsi="宋体" w:cs="Times New Roman"/>
          <w:color w:val="auto"/>
          <w:spacing w:val="-27"/>
          <w:kern w:val="2"/>
          <w:szCs w:val="24"/>
          <w:highlight w:val="none"/>
          <w:lang w:eastAsia="zh-CN"/>
        </w:rPr>
        <w:t>、</w:t>
      </w:r>
      <w:r>
        <w:rPr>
          <w:rFonts w:hAnsi="宋体" w:cs="Times New Roman"/>
          <w:color w:val="auto"/>
          <w:kern w:val="2"/>
          <w:szCs w:val="24"/>
          <w:highlight w:val="none"/>
          <w:lang w:eastAsia="zh-CN"/>
        </w:rPr>
        <w:t xml:space="preserve">2 </w:t>
      </w:r>
      <w:r>
        <w:rPr>
          <w:rFonts w:hint="eastAsia" w:hAnsi="宋体" w:cs="Times New Roman"/>
          <w:color w:val="auto"/>
          <w:kern w:val="2"/>
          <w:szCs w:val="24"/>
          <w:highlight w:val="none"/>
          <w:lang w:eastAsia="zh-CN"/>
        </w:rPr>
        <w:t>条</w:t>
      </w:r>
      <w:r>
        <w:rPr>
          <w:rFonts w:hint="eastAsia" w:hAnsi="宋体" w:cs="Times New Roman"/>
          <w:color w:val="auto"/>
          <w:spacing w:val="-27"/>
          <w:kern w:val="2"/>
          <w:szCs w:val="24"/>
          <w:highlight w:val="none"/>
          <w:lang w:eastAsia="zh-CN"/>
        </w:rPr>
        <w:t>，</w:t>
      </w:r>
      <w:r>
        <w:rPr>
          <w:rFonts w:hint="eastAsia" w:hAnsi="宋体" w:cs="Times New Roman"/>
          <w:color w:val="auto"/>
          <w:kern w:val="2"/>
          <w:szCs w:val="24"/>
          <w:highlight w:val="none"/>
          <w:lang w:eastAsia="zh-CN"/>
        </w:rPr>
        <w:t>按管理权限</w:t>
      </w:r>
      <w:r>
        <w:rPr>
          <w:rFonts w:hint="eastAsia" w:hAnsi="宋体" w:cs="Times New Roman"/>
          <w:color w:val="auto"/>
          <w:spacing w:val="-27"/>
          <w:kern w:val="2"/>
          <w:szCs w:val="24"/>
          <w:highlight w:val="none"/>
          <w:lang w:eastAsia="zh-CN"/>
        </w:rPr>
        <w:t>，</w:t>
      </w:r>
      <w:r>
        <w:rPr>
          <w:rFonts w:hint="eastAsia" w:hAnsi="宋体" w:cs="Times New Roman"/>
          <w:color w:val="auto"/>
          <w:spacing w:val="2"/>
          <w:kern w:val="2"/>
          <w:szCs w:val="24"/>
          <w:highlight w:val="none"/>
          <w:lang w:eastAsia="zh-CN"/>
        </w:rPr>
        <w:t>依</w:t>
      </w:r>
      <w:r>
        <w:rPr>
          <w:rFonts w:hint="eastAsia" w:hAnsi="宋体" w:cs="Times New Roman"/>
          <w:color w:val="auto"/>
          <w:kern w:val="2"/>
          <w:szCs w:val="24"/>
          <w:highlight w:val="none"/>
          <w:lang w:eastAsia="zh-CN"/>
        </w:rPr>
        <w:t>据有关规定给予党纪、政纪或组织处理；涉嫌犯罪的，移交司法机关追究刑事责任；给承包人单位造成经济损失的，应予以赔偿。</w:t>
      </w:r>
    </w:p>
    <w:p w14:paraId="4197B8F5">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w:t>
      </w:r>
      <w:r>
        <w:rPr>
          <w:rFonts w:hAnsi="宋体" w:cs="Times New Roman"/>
          <w:color w:val="auto"/>
          <w:kern w:val="2"/>
          <w:szCs w:val="24"/>
          <w:highlight w:val="none"/>
          <w:lang w:eastAsia="zh-CN"/>
        </w:rPr>
        <w:t>2</w:t>
      </w:r>
      <w:r>
        <w:rPr>
          <w:rFonts w:hint="eastAsia" w:hAnsi="宋体" w:cs="Times New Roman"/>
          <w:color w:val="auto"/>
          <w:spacing w:val="-27"/>
          <w:kern w:val="2"/>
          <w:szCs w:val="24"/>
          <w:highlight w:val="none"/>
          <w:lang w:eastAsia="zh-CN"/>
        </w:rPr>
        <w:t>）</w:t>
      </w:r>
      <w:r>
        <w:rPr>
          <w:rFonts w:hint="eastAsia" w:hAnsi="宋体" w:cs="Times New Roman"/>
          <w:color w:val="auto"/>
          <w:kern w:val="2"/>
          <w:szCs w:val="24"/>
          <w:highlight w:val="none"/>
          <w:lang w:eastAsia="zh-CN"/>
        </w:rPr>
        <w:t>承包人及其工作人员违反本合同第</w:t>
      </w:r>
      <w:r>
        <w:rPr>
          <w:rFonts w:hAnsi="宋体" w:cs="Times New Roman"/>
          <w:color w:val="auto"/>
          <w:kern w:val="2"/>
          <w:szCs w:val="24"/>
          <w:highlight w:val="none"/>
          <w:lang w:eastAsia="zh-CN"/>
        </w:rPr>
        <w:t>1</w:t>
      </w:r>
      <w:r>
        <w:rPr>
          <w:rFonts w:hint="eastAsia" w:hAnsi="宋体" w:cs="Times New Roman"/>
          <w:color w:val="auto"/>
          <w:spacing w:val="-27"/>
          <w:kern w:val="2"/>
          <w:szCs w:val="24"/>
          <w:highlight w:val="none"/>
          <w:lang w:eastAsia="zh-CN"/>
        </w:rPr>
        <w:t>、</w:t>
      </w:r>
      <w:r>
        <w:rPr>
          <w:rFonts w:hAnsi="宋体" w:cs="Times New Roman"/>
          <w:color w:val="auto"/>
          <w:kern w:val="2"/>
          <w:szCs w:val="24"/>
          <w:highlight w:val="none"/>
          <w:lang w:eastAsia="zh-CN"/>
        </w:rPr>
        <w:t xml:space="preserve">3 </w:t>
      </w:r>
      <w:r>
        <w:rPr>
          <w:rFonts w:hint="eastAsia" w:hAnsi="宋体" w:cs="Times New Roman"/>
          <w:color w:val="auto"/>
          <w:kern w:val="2"/>
          <w:szCs w:val="24"/>
          <w:highlight w:val="none"/>
          <w:lang w:eastAsia="zh-CN"/>
        </w:rPr>
        <w:t>条</w:t>
      </w:r>
      <w:r>
        <w:rPr>
          <w:rFonts w:hint="eastAsia" w:hAnsi="宋体" w:cs="Times New Roman"/>
          <w:color w:val="auto"/>
          <w:spacing w:val="-27"/>
          <w:kern w:val="2"/>
          <w:szCs w:val="24"/>
          <w:highlight w:val="none"/>
          <w:lang w:eastAsia="zh-CN"/>
        </w:rPr>
        <w:t>，</w:t>
      </w:r>
      <w:r>
        <w:rPr>
          <w:rFonts w:hint="eastAsia" w:hAnsi="宋体" w:cs="Times New Roman"/>
          <w:color w:val="auto"/>
          <w:kern w:val="2"/>
          <w:szCs w:val="24"/>
          <w:highlight w:val="none"/>
          <w:lang w:eastAsia="zh-CN"/>
        </w:rPr>
        <w:t>按管理权限</w:t>
      </w:r>
      <w:r>
        <w:rPr>
          <w:rFonts w:hint="eastAsia" w:hAnsi="宋体" w:cs="Times New Roman"/>
          <w:color w:val="auto"/>
          <w:spacing w:val="-27"/>
          <w:kern w:val="2"/>
          <w:szCs w:val="24"/>
          <w:highlight w:val="none"/>
          <w:lang w:eastAsia="zh-CN"/>
        </w:rPr>
        <w:t>，</w:t>
      </w:r>
      <w:r>
        <w:rPr>
          <w:rFonts w:hint="eastAsia" w:hAnsi="宋体" w:cs="Times New Roman"/>
          <w:color w:val="auto"/>
          <w:spacing w:val="2"/>
          <w:kern w:val="2"/>
          <w:szCs w:val="24"/>
          <w:highlight w:val="none"/>
          <w:lang w:eastAsia="zh-CN"/>
        </w:rPr>
        <w:t>依</w:t>
      </w:r>
      <w:r>
        <w:rPr>
          <w:rFonts w:hint="eastAsia" w:hAnsi="宋体" w:cs="Times New Roman"/>
          <w:color w:val="auto"/>
          <w:kern w:val="2"/>
          <w:szCs w:val="24"/>
          <w:highlight w:val="none"/>
          <w:lang w:eastAsia="zh-CN"/>
        </w:rPr>
        <w:t>据有关规定给予党纪、政纪或组织处理；给发包人单位造成经济损失的，应予以赔偿；情节严重的，发包人建议交通运输主管部门给予承包人一至三年内不得进入其主管的公路建设市场的处罚。</w:t>
      </w:r>
    </w:p>
    <w:p w14:paraId="3A791BF7">
      <w:pPr>
        <w:widowControl w:val="0"/>
        <w:kinsoku w:val="0"/>
        <w:overflowPunct w:val="0"/>
        <w:adjustRightInd w:val="0"/>
        <w:snapToGrid w:val="0"/>
        <w:spacing w:line="300" w:lineRule="auto"/>
        <w:ind w:firstLine="616"/>
        <w:jc w:val="left"/>
        <w:rPr>
          <w:rFonts w:hAnsi="宋体" w:cs="Times New Roman"/>
          <w:color w:val="auto"/>
          <w:spacing w:val="-1"/>
          <w:kern w:val="2"/>
          <w:szCs w:val="24"/>
          <w:highlight w:val="none"/>
          <w:lang w:eastAsia="zh-CN"/>
        </w:rPr>
      </w:pPr>
      <w:r>
        <w:rPr>
          <w:rFonts w:hAnsi="宋体" w:cs="Times New Roman"/>
          <w:color w:val="auto"/>
          <w:kern w:val="2"/>
          <w:szCs w:val="24"/>
          <w:highlight w:val="none"/>
          <w:lang w:eastAsia="zh-CN"/>
        </w:rPr>
        <w:t>5.</w:t>
      </w:r>
      <w:r>
        <w:rPr>
          <w:rFonts w:hint="eastAsia" w:hAnsi="宋体" w:cs="Times New Roman"/>
          <w:color w:val="auto"/>
          <w:spacing w:val="2"/>
          <w:kern w:val="2"/>
          <w:szCs w:val="24"/>
          <w:highlight w:val="none"/>
          <w:lang w:eastAsia="zh-CN"/>
        </w:rPr>
        <w:t>双方约定：本合同由双方或双方上级单位的纪检监察部门负责监督执行。</w:t>
      </w:r>
      <w:r>
        <w:rPr>
          <w:rFonts w:hint="eastAsia" w:hAnsi="宋体" w:cs="Times New Roman"/>
          <w:color w:val="auto"/>
          <w:kern w:val="2"/>
          <w:szCs w:val="24"/>
          <w:highlight w:val="none"/>
          <w:lang w:eastAsia="zh-CN"/>
        </w:rPr>
        <w:t>由发包人或发包人上级单位的纪检监察部门约请承包人或承包人上级单位纪检监察</w:t>
      </w:r>
      <w:r>
        <w:rPr>
          <w:rFonts w:hint="eastAsia" w:hAnsi="宋体" w:cs="Times New Roman"/>
          <w:color w:val="auto"/>
          <w:spacing w:val="-1"/>
          <w:kern w:val="2"/>
          <w:szCs w:val="24"/>
          <w:highlight w:val="none"/>
          <w:lang w:eastAsia="zh-CN"/>
        </w:rPr>
        <w:t>部门对本合同执行情况进行检查，提出在本合同规定范围内的裁定意见。</w:t>
      </w:r>
    </w:p>
    <w:p w14:paraId="471F1D9F">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6. </w:t>
      </w:r>
      <w:r>
        <w:rPr>
          <w:rFonts w:hint="eastAsia" w:hAnsi="宋体" w:cs="Times New Roman"/>
          <w:color w:val="auto"/>
          <w:kern w:val="2"/>
          <w:szCs w:val="24"/>
          <w:highlight w:val="none"/>
          <w:lang w:eastAsia="zh-CN"/>
        </w:rPr>
        <w:t>本合同有效期为发包人和承包人签署之日起至该工程项目竣工验收后止。</w:t>
      </w:r>
    </w:p>
    <w:p w14:paraId="4B889FBE">
      <w:pPr>
        <w:widowControl w:val="0"/>
        <w:tabs>
          <w:tab w:val="left" w:pos="3372"/>
        </w:tabs>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 xml:space="preserve">7. </w:t>
      </w:r>
      <w:r>
        <w:rPr>
          <w:rFonts w:hint="eastAsia" w:hAnsi="宋体" w:cs="Times New Roman"/>
          <w:color w:val="auto"/>
          <w:spacing w:val="2"/>
          <w:kern w:val="2"/>
          <w:szCs w:val="24"/>
          <w:highlight w:val="none"/>
          <w:lang w:eastAsia="zh-CN"/>
        </w:rPr>
        <w:t>本合同作为</w:t>
      </w:r>
      <w:r>
        <w:rPr>
          <w:rFonts w:hAnsi="宋体" w:cs="Times New Roman"/>
          <w:color w:val="auto"/>
          <w:spacing w:val="2"/>
          <w:kern w:val="2"/>
          <w:szCs w:val="24"/>
          <w:highlight w:val="none"/>
          <w:u w:val="single"/>
          <w:lang w:eastAsia="zh-CN"/>
        </w:rPr>
        <w:tab/>
      </w:r>
      <w:r>
        <w:rPr>
          <w:rFonts w:hint="eastAsia" w:hAnsi="宋体" w:cs="Times New Roman"/>
          <w:color w:val="auto"/>
          <w:spacing w:val="2"/>
          <w:kern w:val="2"/>
          <w:szCs w:val="24"/>
          <w:highlight w:val="none"/>
          <w:lang w:eastAsia="zh-CN"/>
        </w:rPr>
        <w:t>（项目名称）</w:t>
      </w:r>
      <w:r>
        <w:rPr>
          <w:rFonts w:hint="eastAsia" w:hAnsi="宋体" w:cs="Times New Roman"/>
          <w:color w:val="auto"/>
          <w:spacing w:val="1"/>
          <w:kern w:val="2"/>
          <w:szCs w:val="24"/>
          <w:highlight w:val="none"/>
          <w:lang w:eastAsia="zh-CN"/>
        </w:rPr>
        <w:t>标段施工合同的附件，与工程施</w:t>
      </w:r>
      <w:r>
        <w:rPr>
          <w:rFonts w:hint="eastAsia" w:hAnsi="宋体" w:cs="Times New Roman"/>
          <w:color w:val="auto"/>
          <w:kern w:val="2"/>
          <w:szCs w:val="24"/>
          <w:highlight w:val="none"/>
          <w:lang w:eastAsia="zh-CN"/>
        </w:rPr>
        <w:t>工合同具有同等的法律效力，经合同双方签署后立即生效。</w:t>
      </w:r>
    </w:p>
    <w:p w14:paraId="31E71ECA">
      <w:pPr>
        <w:widowControl w:val="0"/>
        <w:kinsoku w:val="0"/>
        <w:overflowPunct w:val="0"/>
        <w:adjustRightInd w:val="0"/>
        <w:snapToGrid w:val="0"/>
        <w:spacing w:line="300" w:lineRule="auto"/>
        <w:ind w:firstLine="420" w:firstLineChars="200"/>
        <w:jc w:val="left"/>
        <w:rPr>
          <w:rFonts w:hAnsi="宋体" w:cs="Times New Roman"/>
          <w:color w:val="auto"/>
          <w:kern w:val="2"/>
          <w:szCs w:val="24"/>
          <w:highlight w:val="none"/>
          <w:lang w:eastAsia="zh-CN"/>
        </w:rPr>
      </w:pPr>
      <w:r>
        <w:rPr>
          <w:rFonts w:hAnsi="宋体" w:cs="Times New Roman"/>
          <w:color w:val="auto"/>
          <w:kern w:val="2"/>
          <w:szCs w:val="24"/>
          <w:highlight w:val="none"/>
          <w:lang w:eastAsia="zh-CN"/>
        </w:rPr>
        <w:t>8.</w:t>
      </w:r>
      <w:r>
        <w:rPr>
          <w:rFonts w:hint="eastAsia" w:hAnsi="宋体" w:cs="Times New Roman"/>
          <w:color w:val="auto"/>
          <w:spacing w:val="2"/>
          <w:kern w:val="2"/>
          <w:szCs w:val="24"/>
          <w:highlight w:val="none"/>
          <w:lang w:eastAsia="zh-CN"/>
        </w:rPr>
        <w:t>本合同一式四份，由发包人和承包人各执一份，送交发包人和承包人的监</w:t>
      </w:r>
      <w:r>
        <w:rPr>
          <w:rFonts w:hint="eastAsia" w:hAnsi="宋体" w:cs="Times New Roman"/>
          <w:color w:val="auto"/>
          <w:kern w:val="2"/>
          <w:szCs w:val="24"/>
          <w:highlight w:val="none"/>
          <w:lang w:eastAsia="zh-CN"/>
        </w:rPr>
        <w:t>督单位各一份。</w:t>
      </w:r>
    </w:p>
    <w:p w14:paraId="29676C4C">
      <w:pPr>
        <w:widowControl w:val="0"/>
        <w:kinsoku w:val="0"/>
        <w:overflowPunct w:val="0"/>
        <w:adjustRightInd w:val="0"/>
        <w:snapToGrid w:val="0"/>
        <w:spacing w:line="300" w:lineRule="auto"/>
        <w:jc w:val="left"/>
        <w:rPr>
          <w:rFonts w:hAnsi="宋体" w:cs="Times New Roman"/>
          <w:color w:val="auto"/>
          <w:kern w:val="2"/>
          <w:sz w:val="35"/>
          <w:szCs w:val="24"/>
          <w:highlight w:val="none"/>
          <w:lang w:eastAsia="zh-CN"/>
        </w:rPr>
      </w:pPr>
    </w:p>
    <w:p w14:paraId="050E2C49">
      <w:pPr>
        <w:widowControl w:val="0"/>
        <w:tabs>
          <w:tab w:val="left" w:pos="2871"/>
          <w:tab w:val="left" w:pos="4894"/>
          <w:tab w:val="left" w:pos="7501"/>
          <w:tab w:val="left" w:pos="7981"/>
        </w:tabs>
        <w:kinsoku w:val="0"/>
        <w:overflowPunct w:val="0"/>
        <w:adjustRightInd w:val="0"/>
        <w:snapToGrid w:val="0"/>
        <w:spacing w:line="300" w:lineRule="auto"/>
        <w:jc w:val="left"/>
        <w:rPr>
          <w:rFonts w:hint="eastAsia" w:hAnsi="宋体" w:cs="Times New Roman"/>
          <w:color w:val="auto"/>
          <w:kern w:val="2"/>
          <w:szCs w:val="24"/>
          <w:highlight w:val="none"/>
          <w:lang w:eastAsia="zh-CN"/>
        </w:rPr>
      </w:pPr>
      <w:r>
        <w:rPr>
          <w:rFonts w:hint="eastAsia" w:hAnsi="宋体" w:cs="Times New Roman"/>
          <w:color w:val="auto"/>
          <w:spacing w:val="-5"/>
          <w:kern w:val="2"/>
          <w:szCs w:val="24"/>
          <w:highlight w:val="none"/>
          <w:lang w:eastAsia="zh-CN"/>
        </w:rPr>
        <w:t>发包人：</w:t>
      </w:r>
      <w:r>
        <w:rPr>
          <w:rFonts w:hAnsi="宋体" w:cs="Times New Roman"/>
          <w:color w:val="auto"/>
          <w:spacing w:val="-5"/>
          <w:kern w:val="2"/>
          <w:szCs w:val="24"/>
          <w:highlight w:val="none"/>
          <w:u w:val="single"/>
          <w:lang w:eastAsia="zh-CN"/>
        </w:rPr>
        <w:tab/>
      </w:r>
      <w:r>
        <w:rPr>
          <w:rFonts w:hint="eastAsia" w:hAnsi="宋体" w:cs="Times New Roman"/>
          <w:color w:val="auto"/>
          <w:kern w:val="2"/>
          <w:szCs w:val="24"/>
          <w:highlight w:val="none"/>
          <w:lang w:eastAsia="zh-CN"/>
        </w:rPr>
        <w:t>（盖单位章）</w:t>
      </w:r>
      <w:r>
        <w:rPr>
          <w:rFonts w:hint="eastAsia" w:hAnsi="宋体" w:cs="Times New Roman"/>
          <w:color w:val="auto"/>
          <w:kern w:val="2"/>
          <w:szCs w:val="24"/>
          <w:highlight w:val="none"/>
          <w:lang w:eastAsia="zh-CN"/>
        </w:rPr>
        <w:tab/>
      </w:r>
      <w:r>
        <w:rPr>
          <w:rFonts w:hint="eastAsia" w:hAnsi="宋体" w:cs="Times New Roman"/>
          <w:color w:val="auto"/>
          <w:spacing w:val="-5"/>
          <w:kern w:val="2"/>
          <w:szCs w:val="24"/>
          <w:highlight w:val="none"/>
          <w:lang w:eastAsia="zh-CN"/>
        </w:rPr>
        <w:t>承包人：</w:t>
      </w:r>
      <w:r>
        <w:rPr>
          <w:rFonts w:hAnsi="宋体" w:cs="Times New Roman"/>
          <w:color w:val="auto"/>
          <w:spacing w:val="-5"/>
          <w:kern w:val="2"/>
          <w:szCs w:val="24"/>
          <w:highlight w:val="none"/>
          <w:u w:val="single"/>
          <w:lang w:eastAsia="zh-CN"/>
        </w:rPr>
        <w:tab/>
      </w:r>
      <w:r>
        <w:rPr>
          <w:rFonts w:hint="eastAsia" w:hAnsi="宋体" w:cs="Times New Roman"/>
          <w:color w:val="auto"/>
          <w:kern w:val="2"/>
          <w:szCs w:val="24"/>
          <w:highlight w:val="none"/>
          <w:lang w:eastAsia="zh-CN"/>
        </w:rPr>
        <w:t>（盖单位章）</w:t>
      </w:r>
    </w:p>
    <w:p w14:paraId="32701C77">
      <w:pPr>
        <w:widowControl w:val="0"/>
        <w:tabs>
          <w:tab w:val="left" w:pos="2871"/>
          <w:tab w:val="left" w:pos="4894"/>
          <w:tab w:val="left" w:pos="7501"/>
          <w:tab w:val="left" w:pos="7981"/>
        </w:tabs>
        <w:kinsoku w:val="0"/>
        <w:overflowPunct w:val="0"/>
        <w:adjustRightInd w:val="0"/>
        <w:snapToGrid w:val="0"/>
        <w:spacing w:line="300" w:lineRule="auto"/>
        <w:jc w:val="left"/>
        <w:rPr>
          <w:rFonts w:hAnsi="宋体" w:cs="Times New Roman"/>
          <w:color w:val="auto"/>
          <w:kern w:val="2"/>
          <w:szCs w:val="24"/>
          <w:highlight w:val="none"/>
          <w:lang w:eastAsia="zh-CN"/>
        </w:rPr>
      </w:pPr>
      <w:r>
        <w:rPr>
          <w:rFonts w:hint="eastAsia" w:hAnsi="宋体" w:cs="Times New Roman"/>
          <w:color w:val="auto"/>
          <w:kern w:val="2"/>
          <w:szCs w:val="24"/>
          <w:highlight w:val="none"/>
          <w:lang w:eastAsia="zh-CN"/>
        </w:rPr>
        <w:t>法定代表人或其</w:t>
      </w:r>
      <w:r>
        <w:rPr>
          <w:rFonts w:hint="eastAsia" w:hAnsi="宋体" w:cs="Times New Roman"/>
          <w:color w:val="auto"/>
          <w:spacing w:val="-1"/>
          <w:kern w:val="2"/>
          <w:szCs w:val="24"/>
          <w:highlight w:val="none"/>
          <w:lang w:eastAsia="zh-CN"/>
        </w:rPr>
        <w:t>委</w:t>
      </w:r>
      <w:r>
        <w:rPr>
          <w:rFonts w:hint="eastAsia" w:hAnsi="宋体" w:cs="Times New Roman"/>
          <w:color w:val="auto"/>
          <w:kern w:val="2"/>
          <w:szCs w:val="24"/>
          <w:highlight w:val="none"/>
          <w:u w:val="none"/>
          <w:lang w:eastAsia="zh-CN"/>
        </w:rPr>
        <w:t>托</w:t>
      </w:r>
      <w:r>
        <w:rPr>
          <w:rFonts w:hint="eastAsia" w:hAnsi="宋体" w:cs="Times New Roman"/>
          <w:color w:val="auto"/>
          <w:kern w:val="2"/>
          <w:szCs w:val="24"/>
          <w:highlight w:val="none"/>
          <w:lang w:eastAsia="zh-CN"/>
        </w:rPr>
        <w:t>代理人：</w:t>
      </w:r>
      <w:r>
        <w:rPr>
          <w:rFonts w:hint="eastAsia" w:hAnsi="宋体" w:cs="Times New Roman"/>
          <w:color w:val="auto"/>
          <w:kern w:val="2"/>
          <w:szCs w:val="24"/>
          <w:highlight w:val="none"/>
          <w:u w:val="single"/>
          <w:lang w:val="en-US" w:eastAsia="zh-CN"/>
        </w:rPr>
        <w:t xml:space="preserve">     </w:t>
      </w:r>
      <w:r>
        <w:rPr>
          <w:rFonts w:hint="eastAsia" w:hAnsi="宋体" w:cs="Times New Roman"/>
          <w:color w:val="auto"/>
          <w:kern w:val="2"/>
          <w:szCs w:val="24"/>
          <w:highlight w:val="none"/>
          <w:u w:val="single"/>
          <w:lang w:eastAsia="zh-CN"/>
        </w:rPr>
        <w:t>（</w:t>
      </w:r>
      <w:r>
        <w:rPr>
          <w:rFonts w:hint="eastAsia" w:hAnsi="宋体" w:cs="Times New Roman"/>
          <w:color w:val="auto"/>
          <w:kern w:val="2"/>
          <w:szCs w:val="24"/>
          <w:highlight w:val="none"/>
          <w:lang w:eastAsia="zh-CN"/>
        </w:rPr>
        <w:t xml:space="preserve">签字）       </w:t>
      </w:r>
      <w:r>
        <w:rPr>
          <w:rFonts w:hint="eastAsia" w:hAnsi="宋体" w:cs="Times New Roman"/>
          <w:color w:val="auto"/>
          <w:kern w:val="2"/>
          <w:szCs w:val="24"/>
          <w:highlight w:val="none"/>
          <w:lang w:val="en-US" w:eastAsia="zh-CN"/>
        </w:rPr>
        <w:t xml:space="preserve"> </w:t>
      </w:r>
      <w:r>
        <w:rPr>
          <w:rFonts w:hint="eastAsia" w:hAnsi="宋体" w:cs="Times New Roman"/>
          <w:color w:val="auto"/>
          <w:kern w:val="2"/>
          <w:szCs w:val="24"/>
          <w:highlight w:val="none"/>
          <w:lang w:eastAsia="zh-CN"/>
        </w:rPr>
        <w:t>法定代表人或其委托代理人</w:t>
      </w:r>
      <w:r>
        <w:rPr>
          <w:rFonts w:hint="eastAsia" w:hAnsi="宋体" w:cs="Times New Roman"/>
          <w:color w:val="auto"/>
          <w:spacing w:val="-40"/>
          <w:kern w:val="2"/>
          <w:szCs w:val="24"/>
          <w:highlight w:val="none"/>
          <w:lang w:eastAsia="zh-CN"/>
        </w:rPr>
        <w:t>：</w:t>
      </w:r>
      <w:r>
        <w:rPr>
          <w:rFonts w:hAnsi="宋体" w:cs="Times New Roman"/>
          <w:color w:val="auto"/>
          <w:spacing w:val="-40"/>
          <w:kern w:val="2"/>
          <w:szCs w:val="24"/>
          <w:highlight w:val="none"/>
          <w:u w:val="single"/>
          <w:lang w:eastAsia="zh-CN"/>
        </w:rPr>
        <w:tab/>
      </w:r>
      <w:r>
        <w:rPr>
          <w:rFonts w:hint="eastAsia" w:hAnsi="宋体" w:cs="Times New Roman"/>
          <w:color w:val="auto"/>
          <w:spacing w:val="-40"/>
          <w:kern w:val="2"/>
          <w:szCs w:val="24"/>
          <w:highlight w:val="none"/>
          <w:u w:val="single"/>
          <w:lang w:val="en-US" w:eastAsia="zh-CN"/>
        </w:rPr>
        <w:t xml:space="preserve">          </w:t>
      </w:r>
      <w:r>
        <w:rPr>
          <w:rFonts w:hint="eastAsia" w:hAnsi="宋体" w:cs="Times New Roman"/>
          <w:color w:val="auto"/>
          <w:kern w:val="2"/>
          <w:szCs w:val="24"/>
          <w:highlight w:val="none"/>
          <w:u w:val="single"/>
          <w:lang w:eastAsia="zh-CN"/>
        </w:rPr>
        <w:t>（</w:t>
      </w:r>
      <w:r>
        <w:rPr>
          <w:rFonts w:hint="eastAsia" w:hAnsi="宋体" w:cs="Times New Roman"/>
          <w:color w:val="auto"/>
          <w:kern w:val="2"/>
          <w:szCs w:val="24"/>
          <w:highlight w:val="none"/>
          <w:lang w:eastAsia="zh-CN"/>
        </w:rPr>
        <w:t>签字）</w:t>
      </w:r>
    </w:p>
    <w:p w14:paraId="7FE6E47A">
      <w:pPr>
        <w:widowControl w:val="0"/>
        <w:tabs>
          <w:tab w:val="left" w:pos="2064"/>
          <w:tab w:val="left" w:pos="2904"/>
          <w:tab w:val="left" w:pos="3984"/>
          <w:tab w:val="left" w:pos="4824"/>
          <w:tab w:val="left" w:pos="5665"/>
          <w:tab w:val="left" w:pos="6745"/>
          <w:tab w:val="left" w:pos="7585"/>
          <w:tab w:val="left" w:pos="8425"/>
        </w:tabs>
        <w:kinsoku w:val="0"/>
        <w:overflowPunct w:val="0"/>
        <w:adjustRightInd w:val="0"/>
        <w:snapToGrid w:val="0"/>
        <w:spacing w:line="300" w:lineRule="auto"/>
        <w:ind w:firstLine="839"/>
        <w:jc w:val="left"/>
        <w:rPr>
          <w:rFonts w:hAnsi="宋体" w:cs="Times New Roman"/>
          <w:color w:val="auto"/>
          <w:kern w:val="2"/>
          <w:szCs w:val="24"/>
          <w:highlight w:val="none"/>
          <w:lang w:eastAsia="zh-CN"/>
        </w:rPr>
      </w:pP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年</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月</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日</w:t>
      </w:r>
      <w:r>
        <w:rPr>
          <w:rFonts w:hint="eastAsia" w:hAnsi="宋体" w:cs="Times New Roman"/>
          <w:color w:val="auto"/>
          <w:kern w:val="2"/>
          <w:szCs w:val="24"/>
          <w:highlight w:val="none"/>
          <w:lang w:eastAsia="zh-CN"/>
        </w:rPr>
        <w:tab/>
      </w:r>
      <w:r>
        <w:rPr>
          <w:rFonts w:hint="eastAsia" w:hAnsi="宋体" w:cs="Times New Roman"/>
          <w:color w:val="auto"/>
          <w:kern w:val="2"/>
          <w:szCs w:val="24"/>
          <w:highlight w:val="none"/>
          <w:lang w:eastAsia="zh-CN"/>
        </w:rPr>
        <w:tab/>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年</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月</w:t>
      </w:r>
      <w:r>
        <w:rPr>
          <w:rFonts w:hAnsi="宋体" w:cs="Times New Roman"/>
          <w:color w:val="auto"/>
          <w:kern w:val="2"/>
          <w:szCs w:val="24"/>
          <w:highlight w:val="none"/>
          <w:u w:val="single"/>
          <w:lang w:eastAsia="zh-CN"/>
        </w:rPr>
        <w:tab/>
      </w:r>
      <w:r>
        <w:rPr>
          <w:rFonts w:hint="eastAsia" w:hAnsi="宋体" w:cs="Times New Roman"/>
          <w:color w:val="auto"/>
          <w:kern w:val="2"/>
          <w:szCs w:val="24"/>
          <w:highlight w:val="none"/>
          <w:lang w:eastAsia="zh-CN"/>
        </w:rPr>
        <w:t xml:space="preserve">日 </w:t>
      </w:r>
    </w:p>
    <w:p w14:paraId="31C0C862">
      <w:pPr>
        <w:spacing w:line="360" w:lineRule="auto"/>
        <w:jc w:val="both"/>
        <w:rPr>
          <w:rFonts w:ascii="宋体" w:hAnsi="宋体"/>
          <w:color w:val="auto"/>
          <w:highlight w:val="none"/>
        </w:rPr>
      </w:pPr>
      <w:r>
        <w:rPr>
          <w:rFonts w:hint="eastAsia" w:hAnsi="宋体" w:cs="Times New Roman"/>
          <w:color w:val="auto"/>
          <w:kern w:val="2"/>
          <w:szCs w:val="24"/>
          <w:highlight w:val="none"/>
          <w:lang w:eastAsia="zh-CN"/>
        </w:rPr>
        <w:t>发包</w:t>
      </w:r>
      <w:r>
        <w:rPr>
          <w:rFonts w:hint="eastAsia" w:hAnsi="宋体" w:cs="Times New Roman"/>
          <w:color w:val="auto"/>
          <w:spacing w:val="-1"/>
          <w:kern w:val="2"/>
          <w:szCs w:val="24"/>
          <w:highlight w:val="none"/>
          <w:lang w:eastAsia="zh-CN"/>
        </w:rPr>
        <w:t>人</w:t>
      </w:r>
      <w:r>
        <w:rPr>
          <w:rFonts w:hint="eastAsia" w:hAnsi="宋体" w:cs="Times New Roman"/>
          <w:color w:val="auto"/>
          <w:kern w:val="2"/>
          <w:szCs w:val="24"/>
          <w:highlight w:val="none"/>
          <w:lang w:eastAsia="zh-CN"/>
        </w:rPr>
        <w:t>监督单位</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u w:val="single"/>
          <w:lang w:eastAsia="zh-CN"/>
        </w:rPr>
        <w:t>（全称</w:t>
      </w:r>
      <w:r>
        <w:rPr>
          <w:rFonts w:hint="eastAsia" w:hAnsi="宋体" w:cs="Times New Roman"/>
          <w:color w:val="auto"/>
          <w:spacing w:val="-120"/>
          <w:kern w:val="2"/>
          <w:szCs w:val="24"/>
          <w:highlight w:val="none"/>
          <w:u w:val="single"/>
          <w:lang w:eastAsia="zh-CN"/>
        </w:rPr>
        <w:t>）</w:t>
      </w:r>
      <w:r>
        <w:rPr>
          <w:rFonts w:hint="eastAsia" w:hAnsi="宋体" w:cs="Times New Roman"/>
          <w:color w:val="auto"/>
          <w:kern w:val="2"/>
          <w:szCs w:val="24"/>
          <w:highlight w:val="none"/>
          <w:u w:val="single"/>
          <w:lang w:eastAsia="zh-CN"/>
        </w:rPr>
        <w:t>（盖单位章）</w:t>
      </w:r>
      <w:r>
        <w:rPr>
          <w:rFonts w:hint="eastAsia" w:hAnsi="宋体" w:cs="Times New Roman"/>
          <w:color w:val="auto"/>
          <w:kern w:val="2"/>
          <w:szCs w:val="24"/>
          <w:highlight w:val="none"/>
          <w:lang w:eastAsia="zh-CN"/>
        </w:rPr>
        <w:tab/>
      </w:r>
      <w:r>
        <w:rPr>
          <w:rFonts w:hint="eastAsia" w:hAnsi="宋体" w:cs="Times New Roman"/>
          <w:color w:val="auto"/>
          <w:kern w:val="2"/>
          <w:szCs w:val="24"/>
          <w:highlight w:val="none"/>
          <w:lang w:val="en-US" w:eastAsia="zh-CN"/>
        </w:rPr>
        <w:t xml:space="preserve">               </w:t>
      </w:r>
      <w:r>
        <w:rPr>
          <w:rFonts w:hint="eastAsia" w:hAnsi="宋体" w:cs="Times New Roman"/>
          <w:color w:val="auto"/>
          <w:kern w:val="2"/>
          <w:szCs w:val="24"/>
          <w:highlight w:val="none"/>
          <w:lang w:eastAsia="zh-CN"/>
        </w:rPr>
        <w:t>承包人监督单位</w:t>
      </w:r>
      <w:r>
        <w:rPr>
          <w:rFonts w:hint="eastAsia" w:hAnsi="宋体" w:cs="Times New Roman"/>
          <w:color w:val="auto"/>
          <w:spacing w:val="-120"/>
          <w:kern w:val="2"/>
          <w:szCs w:val="24"/>
          <w:highlight w:val="none"/>
          <w:lang w:eastAsia="zh-CN"/>
        </w:rPr>
        <w:t>：</w:t>
      </w:r>
      <w:r>
        <w:rPr>
          <w:rFonts w:hint="eastAsia" w:hAnsi="宋体" w:cs="Times New Roman"/>
          <w:color w:val="auto"/>
          <w:kern w:val="2"/>
          <w:szCs w:val="24"/>
          <w:highlight w:val="none"/>
          <w:u w:val="single"/>
          <w:lang w:eastAsia="zh-CN"/>
        </w:rPr>
        <w:t>（全称</w:t>
      </w:r>
      <w:r>
        <w:rPr>
          <w:rFonts w:hint="eastAsia" w:hAnsi="宋体" w:cs="Times New Roman"/>
          <w:color w:val="auto"/>
          <w:spacing w:val="-120"/>
          <w:kern w:val="2"/>
          <w:szCs w:val="24"/>
          <w:highlight w:val="none"/>
          <w:u w:val="single"/>
          <w:lang w:eastAsia="zh-CN"/>
        </w:rPr>
        <w:t>）</w:t>
      </w:r>
      <w:r>
        <w:rPr>
          <w:rFonts w:hint="eastAsia" w:hAnsi="宋体" w:cs="Times New Roman"/>
          <w:color w:val="auto"/>
          <w:kern w:val="2"/>
          <w:szCs w:val="24"/>
          <w:highlight w:val="none"/>
          <w:u w:val="single"/>
          <w:lang w:eastAsia="zh-CN"/>
        </w:rPr>
        <w:t>（盖单位章）</w:t>
      </w:r>
    </w:p>
    <w:p w14:paraId="039BFD1E">
      <w:pPr>
        <w:spacing w:line="360" w:lineRule="auto"/>
        <w:jc w:val="center"/>
        <w:rPr>
          <w:rFonts w:ascii="宋体" w:hAnsi="宋体"/>
          <w:color w:val="auto"/>
          <w:sz w:val="21"/>
          <w:szCs w:val="21"/>
          <w:highlight w:val="none"/>
        </w:rPr>
      </w:pPr>
    </w:p>
    <w:p w14:paraId="2138EC61">
      <w:pPr>
        <w:spacing w:line="360" w:lineRule="auto"/>
        <w:jc w:val="center"/>
        <w:rPr>
          <w:rFonts w:ascii="宋体" w:hAnsi="宋体"/>
          <w:color w:val="auto"/>
          <w:sz w:val="21"/>
          <w:szCs w:val="21"/>
          <w:highlight w:val="none"/>
        </w:rPr>
      </w:pPr>
    </w:p>
    <w:p w14:paraId="6534E0C8">
      <w:pPr>
        <w:spacing w:line="360" w:lineRule="auto"/>
        <w:jc w:val="center"/>
        <w:rPr>
          <w:rFonts w:ascii="宋体" w:hAnsi="宋体"/>
          <w:color w:val="auto"/>
          <w:sz w:val="21"/>
          <w:szCs w:val="21"/>
          <w:highlight w:val="none"/>
        </w:rPr>
      </w:pPr>
    </w:p>
    <w:p w14:paraId="49E9FD27">
      <w:pPr>
        <w:spacing w:line="360" w:lineRule="auto"/>
        <w:jc w:val="center"/>
        <w:rPr>
          <w:rFonts w:ascii="宋体" w:hAnsi="宋体"/>
          <w:color w:val="auto"/>
          <w:sz w:val="21"/>
          <w:szCs w:val="21"/>
          <w:highlight w:val="none"/>
        </w:rPr>
      </w:pPr>
    </w:p>
    <w:p w14:paraId="538F0C4E">
      <w:pPr>
        <w:spacing w:line="360" w:lineRule="auto"/>
        <w:jc w:val="center"/>
        <w:rPr>
          <w:rFonts w:ascii="宋体" w:hAnsi="宋体"/>
          <w:color w:val="auto"/>
          <w:sz w:val="21"/>
          <w:szCs w:val="21"/>
          <w:highlight w:val="none"/>
        </w:rPr>
      </w:pPr>
    </w:p>
    <w:p w14:paraId="34CDB5C4">
      <w:pPr>
        <w:spacing w:line="360" w:lineRule="auto"/>
        <w:jc w:val="center"/>
        <w:rPr>
          <w:rFonts w:ascii="宋体" w:hAnsi="宋体"/>
          <w:color w:val="auto"/>
          <w:sz w:val="21"/>
          <w:szCs w:val="21"/>
          <w:highlight w:val="none"/>
        </w:rPr>
      </w:pPr>
    </w:p>
    <w:p w14:paraId="29E584B1">
      <w:pPr>
        <w:spacing w:line="360" w:lineRule="auto"/>
        <w:jc w:val="center"/>
        <w:rPr>
          <w:rFonts w:ascii="宋体" w:hAnsi="宋体"/>
          <w:color w:val="auto"/>
          <w:sz w:val="21"/>
          <w:szCs w:val="21"/>
          <w:highlight w:val="none"/>
        </w:rPr>
      </w:pPr>
    </w:p>
    <w:p w14:paraId="6188C9A8">
      <w:pPr>
        <w:spacing w:line="360" w:lineRule="auto"/>
        <w:jc w:val="center"/>
        <w:rPr>
          <w:rFonts w:ascii="宋体" w:hAnsi="宋体"/>
          <w:color w:val="auto"/>
          <w:sz w:val="21"/>
          <w:szCs w:val="21"/>
          <w:highlight w:val="none"/>
        </w:rPr>
      </w:pPr>
    </w:p>
    <w:p w14:paraId="70741A9B">
      <w:pPr>
        <w:spacing w:line="360" w:lineRule="auto"/>
        <w:jc w:val="center"/>
        <w:rPr>
          <w:rFonts w:ascii="宋体" w:hAnsi="宋体"/>
          <w:color w:val="auto"/>
          <w:sz w:val="21"/>
          <w:szCs w:val="21"/>
          <w:highlight w:val="none"/>
        </w:rPr>
      </w:pPr>
    </w:p>
    <w:p w14:paraId="5A1C6CB2">
      <w:pPr>
        <w:spacing w:line="360" w:lineRule="auto"/>
        <w:jc w:val="center"/>
        <w:rPr>
          <w:rFonts w:ascii="宋体" w:hAnsi="宋体"/>
          <w:color w:val="auto"/>
          <w:sz w:val="21"/>
          <w:szCs w:val="21"/>
          <w:highlight w:val="none"/>
        </w:rPr>
      </w:pPr>
    </w:p>
    <w:p w14:paraId="3DACFBF5">
      <w:pPr>
        <w:spacing w:line="360" w:lineRule="auto"/>
        <w:jc w:val="center"/>
        <w:rPr>
          <w:rFonts w:ascii="宋体" w:hAnsi="宋体"/>
          <w:color w:val="auto"/>
          <w:sz w:val="21"/>
          <w:szCs w:val="21"/>
          <w:highlight w:val="none"/>
        </w:rPr>
      </w:pPr>
    </w:p>
    <w:p w14:paraId="7D4029C0">
      <w:pPr>
        <w:spacing w:line="360" w:lineRule="auto"/>
        <w:jc w:val="center"/>
        <w:rPr>
          <w:rFonts w:ascii="宋体" w:hAnsi="宋体"/>
          <w:color w:val="auto"/>
          <w:sz w:val="21"/>
          <w:szCs w:val="21"/>
          <w:highlight w:val="none"/>
        </w:rPr>
      </w:pPr>
    </w:p>
    <w:p w14:paraId="65E301CA">
      <w:pPr>
        <w:spacing w:line="360" w:lineRule="auto"/>
        <w:jc w:val="center"/>
        <w:rPr>
          <w:rFonts w:ascii="宋体" w:hAnsi="宋体"/>
          <w:color w:val="auto"/>
          <w:sz w:val="21"/>
          <w:szCs w:val="21"/>
          <w:highlight w:val="none"/>
        </w:rPr>
      </w:pPr>
    </w:p>
    <w:p w14:paraId="7050369C">
      <w:pPr>
        <w:spacing w:line="360" w:lineRule="auto"/>
        <w:jc w:val="center"/>
        <w:rPr>
          <w:rFonts w:ascii="宋体" w:hAnsi="宋体"/>
          <w:color w:val="auto"/>
          <w:sz w:val="21"/>
          <w:szCs w:val="21"/>
          <w:highlight w:val="none"/>
        </w:rPr>
      </w:pPr>
    </w:p>
    <w:p w14:paraId="6A5C5BA6">
      <w:pPr>
        <w:spacing w:line="360" w:lineRule="auto"/>
        <w:jc w:val="center"/>
        <w:rPr>
          <w:rFonts w:ascii="宋体" w:hAnsi="宋体"/>
          <w:color w:val="auto"/>
          <w:sz w:val="21"/>
          <w:szCs w:val="21"/>
          <w:highlight w:val="none"/>
        </w:rPr>
      </w:pPr>
    </w:p>
    <w:p w14:paraId="435C3092">
      <w:pPr>
        <w:spacing w:line="360" w:lineRule="auto"/>
        <w:jc w:val="center"/>
        <w:rPr>
          <w:rFonts w:ascii="宋体" w:hAnsi="宋体"/>
          <w:color w:val="auto"/>
          <w:sz w:val="21"/>
          <w:szCs w:val="21"/>
          <w:highlight w:val="none"/>
        </w:rPr>
      </w:pPr>
    </w:p>
    <w:p w14:paraId="58CBD0A4">
      <w:pPr>
        <w:spacing w:line="360" w:lineRule="auto"/>
        <w:jc w:val="center"/>
        <w:rPr>
          <w:rFonts w:ascii="宋体" w:hAnsi="宋体"/>
          <w:color w:val="auto"/>
          <w:sz w:val="21"/>
          <w:szCs w:val="21"/>
          <w:highlight w:val="none"/>
        </w:rPr>
      </w:pPr>
    </w:p>
    <w:p w14:paraId="246C2F45">
      <w:pPr>
        <w:spacing w:line="360" w:lineRule="auto"/>
        <w:jc w:val="center"/>
        <w:rPr>
          <w:rFonts w:ascii="宋体" w:hAnsi="宋体"/>
          <w:color w:val="auto"/>
          <w:sz w:val="21"/>
          <w:szCs w:val="21"/>
          <w:highlight w:val="none"/>
        </w:rPr>
      </w:pPr>
    </w:p>
    <w:p w14:paraId="4D316E20">
      <w:pPr>
        <w:spacing w:line="360" w:lineRule="auto"/>
        <w:jc w:val="center"/>
        <w:rPr>
          <w:rFonts w:ascii="宋体" w:hAnsi="宋体"/>
          <w:color w:val="auto"/>
          <w:sz w:val="21"/>
          <w:szCs w:val="21"/>
          <w:highlight w:val="none"/>
        </w:rPr>
      </w:pPr>
    </w:p>
    <w:p w14:paraId="5E5C3BE1">
      <w:pPr>
        <w:spacing w:line="360" w:lineRule="auto"/>
        <w:jc w:val="center"/>
        <w:rPr>
          <w:rFonts w:ascii="宋体" w:hAnsi="宋体"/>
          <w:color w:val="auto"/>
          <w:highlight w:val="none"/>
        </w:rPr>
      </w:pPr>
    </w:p>
    <w:p w14:paraId="4AFCEF68">
      <w:pPr>
        <w:spacing w:line="360" w:lineRule="auto"/>
        <w:jc w:val="center"/>
        <w:rPr>
          <w:rFonts w:ascii="宋体" w:hAnsi="宋体"/>
          <w:color w:val="auto"/>
          <w:highlight w:val="none"/>
        </w:rPr>
      </w:pPr>
    </w:p>
    <w:p w14:paraId="02B1E7DF">
      <w:pPr>
        <w:spacing w:line="360" w:lineRule="auto"/>
        <w:jc w:val="center"/>
        <w:rPr>
          <w:rFonts w:ascii="宋体" w:hAnsi="宋体"/>
          <w:color w:val="auto"/>
          <w:highlight w:val="none"/>
        </w:rPr>
      </w:pPr>
    </w:p>
    <w:p w14:paraId="757DB0B7">
      <w:pPr>
        <w:spacing w:line="360" w:lineRule="auto"/>
        <w:jc w:val="center"/>
        <w:rPr>
          <w:rFonts w:ascii="宋体" w:hAnsi="宋体"/>
          <w:color w:val="auto"/>
          <w:highlight w:val="none"/>
        </w:rPr>
      </w:pPr>
    </w:p>
    <w:p w14:paraId="6F07EC72">
      <w:pPr>
        <w:spacing w:line="360" w:lineRule="auto"/>
        <w:jc w:val="center"/>
        <w:rPr>
          <w:rFonts w:ascii="宋体" w:hAnsi="宋体"/>
          <w:color w:val="auto"/>
          <w:highlight w:val="none"/>
        </w:rPr>
      </w:pPr>
    </w:p>
    <w:p w14:paraId="1199C998">
      <w:pPr>
        <w:spacing w:line="360" w:lineRule="auto"/>
        <w:jc w:val="center"/>
        <w:rPr>
          <w:rFonts w:ascii="宋体" w:hAnsi="宋体"/>
          <w:color w:val="auto"/>
          <w:highlight w:val="none"/>
        </w:rPr>
      </w:pPr>
    </w:p>
    <w:p w14:paraId="4580DB71">
      <w:pPr>
        <w:spacing w:line="360" w:lineRule="auto"/>
        <w:jc w:val="center"/>
        <w:rPr>
          <w:rFonts w:ascii="宋体" w:hAnsi="宋体"/>
          <w:color w:val="auto"/>
          <w:highlight w:val="none"/>
        </w:rPr>
      </w:pPr>
    </w:p>
    <w:p w14:paraId="1F4CC37C">
      <w:pPr>
        <w:spacing w:line="360" w:lineRule="auto"/>
        <w:jc w:val="center"/>
        <w:rPr>
          <w:rFonts w:ascii="宋体" w:hAnsi="宋体"/>
          <w:color w:val="auto"/>
          <w:highlight w:val="none"/>
        </w:rPr>
      </w:pPr>
    </w:p>
    <w:p w14:paraId="6F43E252">
      <w:pPr>
        <w:spacing w:line="360" w:lineRule="auto"/>
        <w:jc w:val="center"/>
        <w:rPr>
          <w:rFonts w:ascii="宋体" w:hAnsi="宋体"/>
          <w:color w:val="auto"/>
          <w:highlight w:val="none"/>
        </w:rPr>
      </w:pPr>
    </w:p>
    <w:p w14:paraId="503555C6">
      <w:pPr>
        <w:spacing w:line="360" w:lineRule="auto"/>
        <w:jc w:val="center"/>
        <w:rPr>
          <w:rFonts w:ascii="宋体" w:hAnsi="宋体"/>
          <w:color w:val="auto"/>
          <w:highlight w:val="none"/>
        </w:rPr>
      </w:pPr>
    </w:p>
    <w:p w14:paraId="1686CE4D">
      <w:pPr>
        <w:spacing w:line="360" w:lineRule="auto"/>
        <w:jc w:val="center"/>
        <w:rPr>
          <w:rFonts w:ascii="宋体" w:hAnsi="宋体"/>
          <w:color w:val="auto"/>
          <w:highlight w:val="none"/>
        </w:rPr>
      </w:pPr>
    </w:p>
    <w:p w14:paraId="3D86FC5B">
      <w:pPr>
        <w:spacing w:line="360" w:lineRule="auto"/>
        <w:jc w:val="center"/>
        <w:rPr>
          <w:b/>
          <w:color w:val="auto"/>
          <w:sz w:val="32"/>
          <w:szCs w:val="32"/>
          <w:highlight w:val="none"/>
        </w:rPr>
      </w:pPr>
      <w:r>
        <w:rPr>
          <w:rFonts w:hint="eastAsia" w:hAnsi="宋体"/>
          <w:b/>
          <w:color w:val="auto"/>
          <w:sz w:val="32"/>
          <w:highlight w:val="none"/>
        </w:rPr>
        <w:t>第四章</w:t>
      </w:r>
      <w:r>
        <w:rPr>
          <w:rFonts w:hAnsi="宋体"/>
          <w:b/>
          <w:color w:val="auto"/>
          <w:sz w:val="32"/>
          <w:highlight w:val="none"/>
        </w:rPr>
        <w:t xml:space="preserve">  </w:t>
      </w:r>
      <w:r>
        <w:rPr>
          <w:rFonts w:hint="eastAsia" w:hAnsi="宋体"/>
          <w:b/>
          <w:color w:val="auto"/>
          <w:sz w:val="32"/>
          <w:highlight w:val="none"/>
        </w:rPr>
        <w:t>响应文件格式</w:t>
      </w:r>
    </w:p>
    <w:p w14:paraId="60B3B953">
      <w:pPr>
        <w:spacing w:line="360" w:lineRule="auto"/>
        <w:jc w:val="left"/>
        <w:rPr>
          <w:color w:val="auto"/>
          <w:sz w:val="24"/>
          <w:highlight w:val="none"/>
        </w:rPr>
      </w:pPr>
    </w:p>
    <w:p w14:paraId="754E7336">
      <w:pPr>
        <w:spacing w:line="360" w:lineRule="auto"/>
        <w:jc w:val="center"/>
        <w:rPr>
          <w:rFonts w:ascii="宋体" w:hAnsi="宋体"/>
          <w:color w:val="auto"/>
          <w:szCs w:val="21"/>
          <w:highlight w:val="none"/>
        </w:rPr>
      </w:pPr>
    </w:p>
    <w:p w14:paraId="7AC939BA">
      <w:pPr>
        <w:spacing w:line="360" w:lineRule="auto"/>
        <w:jc w:val="center"/>
        <w:rPr>
          <w:rFonts w:ascii="宋体" w:hAnsi="宋体"/>
          <w:color w:val="auto"/>
          <w:highlight w:val="none"/>
        </w:rPr>
      </w:pPr>
    </w:p>
    <w:p w14:paraId="05BE8AF7">
      <w:pPr>
        <w:spacing w:line="360" w:lineRule="auto"/>
        <w:jc w:val="center"/>
        <w:rPr>
          <w:rFonts w:ascii="宋体" w:hAnsi="宋体"/>
          <w:color w:val="auto"/>
          <w:highlight w:val="none"/>
        </w:rPr>
      </w:pPr>
    </w:p>
    <w:p w14:paraId="40828621">
      <w:pPr>
        <w:spacing w:line="360" w:lineRule="auto"/>
        <w:jc w:val="center"/>
        <w:rPr>
          <w:rFonts w:ascii="宋体" w:hAnsi="宋体"/>
          <w:color w:val="auto"/>
          <w:highlight w:val="none"/>
        </w:rPr>
      </w:pPr>
    </w:p>
    <w:p w14:paraId="42C04F87">
      <w:pPr>
        <w:spacing w:line="360" w:lineRule="auto"/>
        <w:jc w:val="center"/>
        <w:rPr>
          <w:rFonts w:ascii="宋体" w:hAnsi="宋体"/>
          <w:color w:val="auto"/>
          <w:highlight w:val="none"/>
        </w:rPr>
      </w:pPr>
    </w:p>
    <w:p w14:paraId="667CB13F">
      <w:pPr>
        <w:spacing w:line="360" w:lineRule="auto"/>
        <w:jc w:val="center"/>
        <w:rPr>
          <w:rFonts w:ascii="宋体" w:hAnsi="宋体"/>
          <w:color w:val="auto"/>
          <w:highlight w:val="none"/>
        </w:rPr>
      </w:pPr>
    </w:p>
    <w:p w14:paraId="42CDE39F">
      <w:pPr>
        <w:spacing w:line="360" w:lineRule="auto"/>
        <w:jc w:val="center"/>
        <w:rPr>
          <w:rFonts w:ascii="宋体" w:hAnsi="宋体"/>
          <w:color w:val="auto"/>
          <w:highlight w:val="none"/>
        </w:rPr>
      </w:pPr>
    </w:p>
    <w:p w14:paraId="50273ACB">
      <w:pPr>
        <w:spacing w:line="360" w:lineRule="auto"/>
        <w:jc w:val="center"/>
        <w:rPr>
          <w:rFonts w:ascii="宋体" w:hAnsi="宋体"/>
          <w:color w:val="auto"/>
          <w:highlight w:val="none"/>
        </w:rPr>
      </w:pPr>
    </w:p>
    <w:p w14:paraId="2A0AEE09">
      <w:pPr>
        <w:spacing w:line="360" w:lineRule="auto"/>
        <w:jc w:val="center"/>
        <w:rPr>
          <w:rFonts w:ascii="宋体" w:hAnsi="宋体"/>
          <w:color w:val="auto"/>
          <w:highlight w:val="none"/>
        </w:rPr>
      </w:pPr>
    </w:p>
    <w:p w14:paraId="714880E8">
      <w:pPr>
        <w:spacing w:line="360" w:lineRule="auto"/>
        <w:jc w:val="center"/>
        <w:rPr>
          <w:rFonts w:ascii="宋体" w:hAnsi="宋体"/>
          <w:color w:val="auto"/>
          <w:highlight w:val="none"/>
        </w:rPr>
      </w:pPr>
    </w:p>
    <w:p w14:paraId="68CA7CD6">
      <w:pPr>
        <w:spacing w:line="360" w:lineRule="auto"/>
        <w:jc w:val="center"/>
        <w:rPr>
          <w:rFonts w:ascii="宋体" w:hAnsi="宋体"/>
          <w:color w:val="auto"/>
          <w:highlight w:val="none"/>
        </w:rPr>
      </w:pPr>
    </w:p>
    <w:p w14:paraId="4D629CA8">
      <w:pPr>
        <w:spacing w:line="360" w:lineRule="auto"/>
        <w:jc w:val="center"/>
        <w:rPr>
          <w:rFonts w:ascii="宋体" w:hAnsi="宋体"/>
          <w:color w:val="auto"/>
          <w:highlight w:val="none"/>
        </w:rPr>
      </w:pPr>
    </w:p>
    <w:bookmarkEnd w:id="145"/>
    <w:bookmarkEnd w:id="146"/>
    <w:p w14:paraId="4CEF1035">
      <w:pPr>
        <w:spacing w:line="360" w:lineRule="auto"/>
        <w:jc w:val="left"/>
        <w:rPr>
          <w:color w:val="auto"/>
          <w:sz w:val="24"/>
          <w:highlight w:val="none"/>
        </w:rPr>
      </w:pPr>
    </w:p>
    <w:p w14:paraId="4C6736CE">
      <w:pPr>
        <w:rPr>
          <w:b/>
          <w:color w:val="auto"/>
          <w:sz w:val="32"/>
          <w:szCs w:val="32"/>
          <w:highlight w:val="none"/>
          <w:u w:val="single"/>
        </w:rPr>
      </w:pPr>
      <w:r>
        <w:rPr>
          <w:b/>
          <w:color w:val="auto"/>
          <w:sz w:val="32"/>
          <w:szCs w:val="32"/>
          <w:highlight w:val="none"/>
          <w:u w:val="single"/>
        </w:rPr>
        <w:br w:type="page"/>
      </w:r>
    </w:p>
    <w:p w14:paraId="57203775">
      <w:pPr>
        <w:rPr>
          <w:rFonts w:hAnsi="宋体"/>
          <w:b/>
          <w:color w:val="auto"/>
          <w:sz w:val="28"/>
          <w:szCs w:val="28"/>
          <w:highlight w:val="none"/>
        </w:rPr>
      </w:pPr>
      <w:r>
        <w:rPr>
          <w:rFonts w:hint="eastAsia" w:hAnsi="宋体"/>
          <w:b/>
          <w:color w:val="auto"/>
          <w:sz w:val="28"/>
          <w:szCs w:val="28"/>
          <w:highlight w:val="none"/>
        </w:rPr>
        <w:t>磋商响应文件封面格式</w:t>
      </w:r>
    </w:p>
    <w:p w14:paraId="78C50A05">
      <w:pPr>
        <w:spacing w:line="360" w:lineRule="auto"/>
        <w:jc w:val="center"/>
        <w:rPr>
          <w:b/>
          <w:color w:val="auto"/>
          <w:sz w:val="48"/>
          <w:szCs w:val="48"/>
          <w:highlight w:val="none"/>
        </w:rPr>
      </w:pPr>
    </w:p>
    <w:p w14:paraId="3CE90385">
      <w:pPr>
        <w:spacing w:line="360" w:lineRule="auto"/>
        <w:jc w:val="center"/>
        <w:rPr>
          <w:rFonts w:hint="eastAsia" w:ascii="Times New Roman" w:hAnsi="Times New Roman" w:eastAsia="宋体" w:cs="Times New Roman"/>
          <w:b/>
          <w:color w:val="auto"/>
          <w:sz w:val="44"/>
          <w:szCs w:val="52"/>
          <w:highlight w:val="none"/>
          <w:lang w:eastAsia="zh-CN"/>
        </w:rPr>
      </w:pPr>
      <w:r>
        <w:rPr>
          <w:rFonts w:hint="eastAsia" w:ascii="Times New Roman" w:hAnsi="Times New Roman" w:eastAsia="宋体" w:cs="Times New Roman"/>
          <w:b/>
          <w:color w:val="auto"/>
          <w:sz w:val="44"/>
          <w:szCs w:val="52"/>
          <w:highlight w:val="none"/>
          <w:lang w:val="en-US" w:eastAsia="zh-CN"/>
        </w:rPr>
        <w:t xml:space="preserve">碧寨乡水库垭口至庙房垭口农村公路建设项目 </w:t>
      </w:r>
    </w:p>
    <w:p w14:paraId="63027E0B">
      <w:pPr>
        <w:spacing w:line="360" w:lineRule="auto"/>
        <w:jc w:val="center"/>
        <w:rPr>
          <w:color w:val="auto"/>
          <w:sz w:val="24"/>
          <w:highlight w:val="none"/>
        </w:rPr>
      </w:pPr>
    </w:p>
    <w:p w14:paraId="55C6DD36">
      <w:pPr>
        <w:spacing w:line="360" w:lineRule="auto"/>
        <w:jc w:val="center"/>
        <w:rPr>
          <w:color w:val="auto"/>
          <w:sz w:val="24"/>
          <w:highlight w:val="none"/>
        </w:rPr>
      </w:pPr>
    </w:p>
    <w:p w14:paraId="7CC9B1E4">
      <w:pPr>
        <w:spacing w:line="360" w:lineRule="auto"/>
        <w:jc w:val="center"/>
        <w:rPr>
          <w:color w:val="auto"/>
          <w:sz w:val="24"/>
          <w:highlight w:val="none"/>
        </w:rPr>
      </w:pPr>
    </w:p>
    <w:p w14:paraId="0857AA66">
      <w:pPr>
        <w:spacing w:line="360" w:lineRule="auto"/>
        <w:jc w:val="center"/>
        <w:rPr>
          <w:color w:val="auto"/>
          <w:sz w:val="24"/>
          <w:highlight w:val="none"/>
        </w:rPr>
      </w:pPr>
    </w:p>
    <w:p w14:paraId="1DC8574D">
      <w:pPr>
        <w:spacing w:line="360" w:lineRule="auto"/>
        <w:jc w:val="center"/>
        <w:rPr>
          <w:color w:val="auto"/>
          <w:sz w:val="24"/>
          <w:highlight w:val="none"/>
        </w:rPr>
      </w:pPr>
    </w:p>
    <w:p w14:paraId="4D9CFC13">
      <w:pPr>
        <w:spacing w:line="360" w:lineRule="auto"/>
        <w:jc w:val="center"/>
        <w:rPr>
          <w:color w:val="auto"/>
          <w:sz w:val="24"/>
          <w:highlight w:val="none"/>
        </w:rPr>
      </w:pPr>
    </w:p>
    <w:p w14:paraId="61323ED2">
      <w:pPr>
        <w:spacing w:line="360" w:lineRule="auto"/>
        <w:jc w:val="center"/>
        <w:rPr>
          <w:color w:val="auto"/>
          <w:sz w:val="24"/>
          <w:highlight w:val="none"/>
        </w:rPr>
      </w:pPr>
    </w:p>
    <w:p w14:paraId="25248085">
      <w:pPr>
        <w:pStyle w:val="27"/>
        <w:spacing w:line="360" w:lineRule="auto"/>
        <w:jc w:val="center"/>
        <w:rPr>
          <w:rFonts w:ascii="Times New Roman"/>
          <w:b/>
          <w:color w:val="auto"/>
          <w:sz w:val="66"/>
          <w:szCs w:val="84"/>
          <w:highlight w:val="none"/>
        </w:rPr>
      </w:pPr>
      <w:r>
        <w:rPr>
          <w:rFonts w:hint="eastAsia" w:ascii="Times New Roman"/>
          <w:b/>
          <w:color w:val="auto"/>
          <w:sz w:val="66"/>
          <w:szCs w:val="84"/>
          <w:highlight w:val="none"/>
        </w:rPr>
        <w:t>竞争性磋商响应文件</w:t>
      </w:r>
    </w:p>
    <w:p w14:paraId="381C1A09">
      <w:pPr>
        <w:pStyle w:val="27"/>
        <w:spacing w:line="360" w:lineRule="auto"/>
        <w:ind w:firstLine="3046" w:firstLineChars="1088"/>
        <w:rPr>
          <w:rFonts w:hint="eastAsia" w:ascii="Times New Roman"/>
          <w:b/>
          <w:color w:val="auto"/>
          <w:sz w:val="28"/>
          <w:szCs w:val="28"/>
          <w:highlight w:val="none"/>
        </w:rPr>
      </w:pPr>
    </w:p>
    <w:p w14:paraId="6CEF7D49">
      <w:pPr>
        <w:pStyle w:val="27"/>
        <w:spacing w:line="360" w:lineRule="auto"/>
        <w:ind w:firstLine="3046" w:firstLineChars="1088"/>
        <w:rPr>
          <w:rFonts w:ascii="Times New Roman"/>
          <w:b/>
          <w:color w:val="auto"/>
          <w:sz w:val="28"/>
          <w:szCs w:val="28"/>
          <w:highlight w:val="none"/>
          <w:u w:val="single"/>
        </w:rPr>
      </w:pPr>
      <w:r>
        <w:rPr>
          <w:rFonts w:hint="eastAsia" w:ascii="Times New Roman"/>
          <w:b/>
          <w:color w:val="auto"/>
          <w:sz w:val="28"/>
          <w:szCs w:val="28"/>
          <w:highlight w:val="none"/>
        </w:rPr>
        <w:t>采购编号：</w:t>
      </w:r>
      <w:r>
        <w:rPr>
          <w:rFonts w:ascii="Times New Roman"/>
          <w:b/>
          <w:color w:val="auto"/>
          <w:sz w:val="28"/>
          <w:szCs w:val="28"/>
          <w:highlight w:val="none"/>
          <w:u w:val="single"/>
        </w:rPr>
        <w:t xml:space="preserve">              </w:t>
      </w:r>
    </w:p>
    <w:p w14:paraId="79AF80FA">
      <w:pPr>
        <w:spacing w:line="360" w:lineRule="auto"/>
        <w:jc w:val="center"/>
        <w:rPr>
          <w:color w:val="auto"/>
          <w:sz w:val="24"/>
          <w:highlight w:val="none"/>
        </w:rPr>
      </w:pPr>
    </w:p>
    <w:p w14:paraId="712A3B47">
      <w:pPr>
        <w:spacing w:line="360" w:lineRule="auto"/>
        <w:jc w:val="center"/>
        <w:rPr>
          <w:color w:val="auto"/>
          <w:sz w:val="24"/>
          <w:highlight w:val="none"/>
        </w:rPr>
      </w:pPr>
    </w:p>
    <w:p w14:paraId="59335B4C">
      <w:pPr>
        <w:spacing w:line="360" w:lineRule="auto"/>
        <w:jc w:val="center"/>
        <w:rPr>
          <w:color w:val="auto"/>
          <w:sz w:val="24"/>
          <w:highlight w:val="none"/>
        </w:rPr>
      </w:pPr>
    </w:p>
    <w:p w14:paraId="4A13BEC0">
      <w:pPr>
        <w:spacing w:line="360" w:lineRule="auto"/>
        <w:jc w:val="center"/>
        <w:rPr>
          <w:color w:val="auto"/>
          <w:sz w:val="24"/>
          <w:highlight w:val="none"/>
        </w:rPr>
      </w:pPr>
    </w:p>
    <w:p w14:paraId="0BFB04FD">
      <w:pPr>
        <w:spacing w:line="360" w:lineRule="auto"/>
        <w:jc w:val="center"/>
        <w:rPr>
          <w:color w:val="auto"/>
          <w:sz w:val="24"/>
          <w:highlight w:val="none"/>
        </w:rPr>
      </w:pPr>
    </w:p>
    <w:p w14:paraId="1A74135C">
      <w:pPr>
        <w:spacing w:line="360" w:lineRule="auto"/>
        <w:jc w:val="center"/>
        <w:rPr>
          <w:color w:val="auto"/>
          <w:sz w:val="24"/>
          <w:highlight w:val="none"/>
        </w:rPr>
      </w:pPr>
    </w:p>
    <w:p w14:paraId="67B8D203">
      <w:pPr>
        <w:spacing w:line="360" w:lineRule="auto"/>
        <w:jc w:val="center"/>
        <w:rPr>
          <w:color w:val="auto"/>
          <w:sz w:val="24"/>
          <w:highlight w:val="none"/>
        </w:rPr>
      </w:pPr>
    </w:p>
    <w:p w14:paraId="68312465">
      <w:pPr>
        <w:spacing w:line="360" w:lineRule="auto"/>
        <w:jc w:val="center"/>
        <w:rPr>
          <w:color w:val="auto"/>
          <w:sz w:val="24"/>
          <w:highlight w:val="none"/>
        </w:rPr>
      </w:pPr>
    </w:p>
    <w:p w14:paraId="18488153">
      <w:pPr>
        <w:spacing w:line="360" w:lineRule="auto"/>
        <w:ind w:left="840" w:leftChars="0" w:firstLine="420" w:firstLineChars="0"/>
        <w:rPr>
          <w:color w:val="auto"/>
          <w:sz w:val="24"/>
          <w:highlight w:val="none"/>
        </w:rPr>
      </w:pPr>
      <w:r>
        <w:rPr>
          <w:rFonts w:hint="eastAsia"/>
          <w:color w:val="auto"/>
          <w:sz w:val="24"/>
          <w:highlight w:val="none"/>
        </w:rPr>
        <w:t>磋商申请人：</w:t>
      </w:r>
      <w:r>
        <w:rPr>
          <w:color w:val="auto"/>
          <w:sz w:val="24"/>
          <w:highlight w:val="none"/>
          <w:u w:val="single"/>
        </w:rPr>
        <w:t xml:space="preserve">                                 </w:t>
      </w:r>
      <w:r>
        <w:rPr>
          <w:rFonts w:hint="eastAsia"/>
          <w:color w:val="auto"/>
          <w:sz w:val="24"/>
          <w:highlight w:val="none"/>
        </w:rPr>
        <w:t>（电子签章）</w:t>
      </w:r>
    </w:p>
    <w:p w14:paraId="698392B9">
      <w:pPr>
        <w:spacing w:line="360" w:lineRule="auto"/>
        <w:ind w:left="840" w:leftChars="0" w:firstLine="420" w:firstLineChars="0"/>
        <w:rPr>
          <w:color w:val="auto"/>
          <w:sz w:val="24"/>
          <w:highlight w:val="none"/>
        </w:rPr>
      </w:pPr>
      <w:r>
        <w:rPr>
          <w:rFonts w:hint="eastAsia"/>
          <w:color w:val="auto"/>
          <w:sz w:val="24"/>
          <w:highlight w:val="none"/>
        </w:rPr>
        <w:t>法定代表人（负责人）或其委托代理人：</w:t>
      </w:r>
      <w:r>
        <w:rPr>
          <w:color w:val="auto"/>
          <w:sz w:val="24"/>
          <w:highlight w:val="none"/>
          <w:u w:val="single"/>
        </w:rPr>
        <w:t xml:space="preserve">           </w:t>
      </w:r>
      <w:r>
        <w:rPr>
          <w:rFonts w:hint="eastAsia"/>
          <w:color w:val="auto"/>
          <w:sz w:val="24"/>
          <w:highlight w:val="none"/>
        </w:rPr>
        <w:t>（签字或电子签章）</w:t>
      </w:r>
    </w:p>
    <w:p w14:paraId="1ECBB4EB">
      <w:pPr>
        <w:spacing w:line="360" w:lineRule="auto"/>
        <w:ind w:firstLine="1980" w:firstLineChars="825"/>
        <w:jc w:val="center"/>
        <w:rPr>
          <w:color w:val="auto"/>
          <w:sz w:val="24"/>
          <w:highlight w:val="none"/>
        </w:rPr>
      </w:pPr>
    </w:p>
    <w:p w14:paraId="3EF90D64">
      <w:pPr>
        <w:ind w:firstLine="3120" w:firstLineChars="1300"/>
        <w:rPr>
          <w:b/>
          <w:color w:val="auto"/>
          <w:sz w:val="32"/>
          <w:szCs w:val="32"/>
          <w:highlight w:val="none"/>
          <w:u w:val="single"/>
        </w:rPr>
      </w:pPr>
      <w:r>
        <w:rPr>
          <w:color w:val="auto"/>
          <w:sz w:val="24"/>
          <w:highlight w:val="none"/>
          <w:u w:val="single"/>
        </w:rPr>
        <w:t xml:space="preserve">       </w:t>
      </w:r>
      <w:r>
        <w:rPr>
          <w:rFonts w:hint="eastAsia"/>
          <w:color w:val="auto"/>
          <w:sz w:val="24"/>
          <w:highlight w:val="none"/>
        </w:rPr>
        <w:t>年</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rFonts w:hint="eastAsia"/>
          <w:color w:val="auto"/>
          <w:sz w:val="24"/>
          <w:highlight w:val="none"/>
        </w:rPr>
        <w:t>日</w:t>
      </w:r>
    </w:p>
    <w:p w14:paraId="088BD61C">
      <w:pPr>
        <w:rPr>
          <w:rFonts w:hint="eastAsia" w:hAnsi="宋体"/>
          <w:b/>
          <w:color w:val="auto"/>
          <w:sz w:val="28"/>
          <w:szCs w:val="28"/>
          <w:highlight w:val="none"/>
        </w:rPr>
      </w:pPr>
    </w:p>
    <w:p w14:paraId="1AEC6470">
      <w:pPr>
        <w:rPr>
          <w:rFonts w:hint="eastAsia" w:hAnsi="宋体"/>
          <w:b/>
          <w:color w:val="auto"/>
          <w:sz w:val="28"/>
          <w:szCs w:val="28"/>
          <w:highlight w:val="none"/>
        </w:rPr>
      </w:pPr>
    </w:p>
    <w:p w14:paraId="05157EE4">
      <w:pPr>
        <w:pStyle w:val="3"/>
        <w:jc w:val="center"/>
        <w:rPr>
          <w:color w:val="auto"/>
          <w:highlight w:val="none"/>
        </w:rPr>
      </w:pPr>
      <w:r>
        <w:rPr>
          <w:rFonts w:hint="eastAsia"/>
          <w:color w:val="auto"/>
          <w:highlight w:val="none"/>
        </w:rPr>
        <w:t>报价一览表</w:t>
      </w:r>
    </w:p>
    <w:p w14:paraId="332325F9">
      <w:pPr>
        <w:rPr>
          <w:color w:val="auto"/>
          <w:highlight w:val="none"/>
        </w:rPr>
      </w:pPr>
    </w:p>
    <w:p w14:paraId="404B9FC6">
      <w:pPr>
        <w:pStyle w:val="27"/>
        <w:rPr>
          <w:rFonts w:ascii="Times New Roman"/>
          <w:color w:val="auto"/>
          <w:highlight w:val="none"/>
          <w:u w:val="single"/>
        </w:rPr>
      </w:pPr>
      <w:r>
        <w:rPr>
          <w:rFonts w:hint="eastAsia"/>
          <w:b/>
          <w:color w:val="auto"/>
          <w:highlight w:val="none"/>
        </w:rPr>
        <w:t>项目名称：</w:t>
      </w:r>
      <w:r>
        <w:rPr>
          <w:b/>
          <w:color w:val="auto"/>
          <w:highlight w:val="none"/>
          <w:u w:val="single"/>
        </w:rPr>
        <w:t xml:space="preserve">                   </w:t>
      </w:r>
      <w:r>
        <w:rPr>
          <w:b/>
          <w:color w:val="auto"/>
          <w:highlight w:val="none"/>
        </w:rPr>
        <w:t xml:space="preserve">                   </w:t>
      </w:r>
      <w:r>
        <w:rPr>
          <w:rFonts w:hint="eastAsia"/>
          <w:b/>
          <w:color w:val="auto"/>
          <w:highlight w:val="none"/>
        </w:rPr>
        <w:t xml:space="preserve">    采购编号：</w:t>
      </w:r>
      <w:r>
        <w:rPr>
          <w:b/>
          <w:color w:val="auto"/>
          <w:highlight w:val="none"/>
          <w:u w:val="single"/>
        </w:rPr>
        <w:t xml:space="preserve">              </w:t>
      </w:r>
    </w:p>
    <w:tbl>
      <w:tblPr>
        <w:tblStyle w:val="51"/>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6"/>
        <w:gridCol w:w="2262"/>
        <w:gridCol w:w="2675"/>
        <w:gridCol w:w="1781"/>
        <w:gridCol w:w="957"/>
      </w:tblGrid>
      <w:tr w14:paraId="3BAE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2326" w:type="dxa"/>
            <w:vAlign w:val="center"/>
          </w:tcPr>
          <w:p w14:paraId="5C7A73DB">
            <w:pPr>
              <w:jc w:val="center"/>
              <w:rPr>
                <w:rFonts w:ascii="宋体" w:hAnsi="宋体" w:cs="宋体-18030"/>
                <w:color w:val="auto"/>
                <w:szCs w:val="21"/>
                <w:highlight w:val="none"/>
              </w:rPr>
            </w:pPr>
            <w:r>
              <w:rPr>
                <w:rFonts w:hint="eastAsia" w:ascii="宋体" w:hAnsi="宋体" w:cs="宋体-18030"/>
                <w:color w:val="auto"/>
                <w:szCs w:val="21"/>
                <w:highlight w:val="none"/>
              </w:rPr>
              <w:t>磋商总价报价</w:t>
            </w:r>
          </w:p>
          <w:p w14:paraId="4CC36C48">
            <w:pPr>
              <w:jc w:val="center"/>
              <w:rPr>
                <w:rFonts w:ascii="宋体" w:hAnsi="宋体" w:cs="宋体-18030"/>
                <w:color w:val="auto"/>
                <w:szCs w:val="21"/>
                <w:highlight w:val="none"/>
              </w:rPr>
            </w:pPr>
            <w:r>
              <w:rPr>
                <w:rFonts w:hint="eastAsia" w:ascii="宋体" w:hAnsi="宋体" w:cs="宋体-18030"/>
                <w:color w:val="auto"/>
                <w:szCs w:val="21"/>
                <w:highlight w:val="none"/>
              </w:rPr>
              <w:t>（人民币：元）</w:t>
            </w:r>
          </w:p>
        </w:tc>
        <w:tc>
          <w:tcPr>
            <w:tcW w:w="2262" w:type="dxa"/>
            <w:vAlign w:val="center"/>
          </w:tcPr>
          <w:p w14:paraId="0CF97D4A">
            <w:pPr>
              <w:spacing w:line="360" w:lineRule="auto"/>
              <w:jc w:val="center"/>
              <w:rPr>
                <w:rFonts w:ascii="宋体" w:cs="宋体-18030"/>
                <w:color w:val="auto"/>
                <w:szCs w:val="21"/>
                <w:highlight w:val="none"/>
              </w:rPr>
            </w:pPr>
            <w:r>
              <w:rPr>
                <w:rFonts w:hint="eastAsia" w:ascii="宋体" w:cs="宋体-18030"/>
                <w:color w:val="auto"/>
                <w:szCs w:val="21"/>
                <w:highlight w:val="none"/>
              </w:rPr>
              <w:t>合同履行期限（项目完成期限）</w:t>
            </w:r>
          </w:p>
        </w:tc>
        <w:tc>
          <w:tcPr>
            <w:tcW w:w="2675" w:type="dxa"/>
            <w:vAlign w:val="center"/>
          </w:tcPr>
          <w:p w14:paraId="6553D40F">
            <w:pPr>
              <w:spacing w:line="360" w:lineRule="auto"/>
              <w:jc w:val="center"/>
              <w:rPr>
                <w:rFonts w:ascii="宋体" w:cs="宋体-18030"/>
                <w:color w:val="auto"/>
                <w:szCs w:val="21"/>
                <w:highlight w:val="none"/>
              </w:rPr>
            </w:pPr>
            <w:r>
              <w:rPr>
                <w:rFonts w:hint="eastAsia" w:ascii="宋体" w:cs="宋体-18030"/>
                <w:color w:val="auto"/>
                <w:szCs w:val="21"/>
                <w:highlight w:val="none"/>
              </w:rPr>
              <w:t>项目经理</w:t>
            </w:r>
          </w:p>
        </w:tc>
        <w:tc>
          <w:tcPr>
            <w:tcW w:w="1781" w:type="dxa"/>
            <w:vAlign w:val="center"/>
          </w:tcPr>
          <w:p w14:paraId="7FEB7FED">
            <w:pPr>
              <w:spacing w:line="360" w:lineRule="auto"/>
              <w:jc w:val="center"/>
              <w:rPr>
                <w:rFonts w:hint="eastAsia" w:ascii="宋体" w:cs="宋体-18030"/>
                <w:color w:val="auto"/>
                <w:szCs w:val="21"/>
                <w:highlight w:val="none"/>
              </w:rPr>
            </w:pPr>
          </w:p>
          <w:p w14:paraId="11027A85">
            <w:pPr>
              <w:spacing w:line="360" w:lineRule="auto"/>
              <w:jc w:val="center"/>
              <w:rPr>
                <w:rFonts w:ascii="宋体" w:cs="宋体-18030"/>
                <w:color w:val="auto"/>
                <w:szCs w:val="21"/>
                <w:highlight w:val="none"/>
              </w:rPr>
            </w:pPr>
            <w:r>
              <w:rPr>
                <w:rFonts w:hint="eastAsia" w:ascii="宋体" w:cs="宋体-18030"/>
                <w:color w:val="auto"/>
                <w:szCs w:val="21"/>
                <w:highlight w:val="none"/>
              </w:rPr>
              <w:t>质量承诺</w:t>
            </w:r>
          </w:p>
          <w:p w14:paraId="38371F46">
            <w:pPr>
              <w:spacing w:line="360" w:lineRule="auto"/>
              <w:jc w:val="center"/>
              <w:rPr>
                <w:rFonts w:ascii="宋体" w:cs="宋体-18030"/>
                <w:color w:val="auto"/>
                <w:szCs w:val="21"/>
                <w:highlight w:val="none"/>
              </w:rPr>
            </w:pPr>
          </w:p>
        </w:tc>
        <w:tc>
          <w:tcPr>
            <w:tcW w:w="957" w:type="dxa"/>
            <w:vAlign w:val="center"/>
          </w:tcPr>
          <w:p w14:paraId="68523FF5">
            <w:pPr>
              <w:spacing w:line="360" w:lineRule="auto"/>
              <w:jc w:val="center"/>
              <w:rPr>
                <w:rFonts w:ascii="宋体" w:cs="宋体-18030"/>
                <w:color w:val="auto"/>
                <w:szCs w:val="21"/>
                <w:highlight w:val="none"/>
              </w:rPr>
            </w:pPr>
            <w:r>
              <w:rPr>
                <w:rFonts w:hint="eastAsia" w:ascii="宋体" w:hAnsi="宋体" w:cs="宋体-18030"/>
                <w:color w:val="auto"/>
                <w:szCs w:val="21"/>
                <w:highlight w:val="none"/>
              </w:rPr>
              <w:t>备</w:t>
            </w:r>
            <w:r>
              <w:rPr>
                <w:rFonts w:ascii="宋体" w:hAnsi="宋体" w:cs="宋体-18030"/>
                <w:color w:val="auto"/>
                <w:szCs w:val="21"/>
                <w:highlight w:val="none"/>
              </w:rPr>
              <w:t xml:space="preserve"> </w:t>
            </w:r>
            <w:r>
              <w:rPr>
                <w:rFonts w:hint="eastAsia" w:ascii="宋体" w:hAnsi="宋体" w:cs="宋体-18030"/>
                <w:color w:val="auto"/>
                <w:szCs w:val="21"/>
                <w:highlight w:val="none"/>
              </w:rPr>
              <w:t>注</w:t>
            </w:r>
          </w:p>
        </w:tc>
      </w:tr>
      <w:tr w14:paraId="40A4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2326" w:type="dxa"/>
            <w:vAlign w:val="center"/>
          </w:tcPr>
          <w:p w14:paraId="776D9F56">
            <w:pPr>
              <w:widowControl/>
              <w:rPr>
                <w:rFonts w:ascii="宋体"/>
                <w:color w:val="auto"/>
                <w:szCs w:val="21"/>
                <w:highlight w:val="none"/>
                <w:u w:val="single"/>
              </w:rPr>
            </w:pPr>
          </w:p>
        </w:tc>
        <w:tc>
          <w:tcPr>
            <w:tcW w:w="2262" w:type="dxa"/>
            <w:vAlign w:val="center"/>
          </w:tcPr>
          <w:p w14:paraId="447A3F14">
            <w:pPr>
              <w:spacing w:line="360" w:lineRule="auto"/>
              <w:rPr>
                <w:rFonts w:ascii="宋体" w:cs="宋体-18030"/>
                <w:color w:val="auto"/>
                <w:szCs w:val="21"/>
                <w:highlight w:val="none"/>
              </w:rPr>
            </w:pPr>
          </w:p>
        </w:tc>
        <w:tc>
          <w:tcPr>
            <w:tcW w:w="2675" w:type="dxa"/>
            <w:vAlign w:val="center"/>
          </w:tcPr>
          <w:p w14:paraId="0D6260FD">
            <w:pPr>
              <w:spacing w:line="360" w:lineRule="auto"/>
              <w:rPr>
                <w:rFonts w:ascii="宋体" w:cs="宋体-18030"/>
                <w:color w:val="auto"/>
                <w:szCs w:val="21"/>
                <w:highlight w:val="none"/>
              </w:rPr>
            </w:pPr>
            <w:r>
              <w:rPr>
                <w:rFonts w:hint="eastAsia" w:ascii="宋体" w:cs="宋体-18030"/>
                <w:color w:val="auto"/>
                <w:szCs w:val="21"/>
                <w:highlight w:val="none"/>
              </w:rPr>
              <w:t>姓名：</w:t>
            </w:r>
          </w:p>
          <w:p w14:paraId="61BF02A2">
            <w:pPr>
              <w:spacing w:line="360" w:lineRule="auto"/>
              <w:rPr>
                <w:rFonts w:ascii="宋体" w:cs="宋体-18030"/>
                <w:color w:val="auto"/>
                <w:szCs w:val="21"/>
                <w:highlight w:val="none"/>
              </w:rPr>
            </w:pPr>
          </w:p>
          <w:p w14:paraId="20F29867">
            <w:pPr>
              <w:spacing w:line="360" w:lineRule="auto"/>
              <w:rPr>
                <w:rFonts w:ascii="宋体" w:cs="宋体-18030"/>
                <w:color w:val="auto"/>
                <w:szCs w:val="21"/>
                <w:highlight w:val="none"/>
              </w:rPr>
            </w:pPr>
            <w:r>
              <w:rPr>
                <w:rFonts w:hint="eastAsia" w:ascii="宋体" w:cs="宋体-18030"/>
                <w:color w:val="auto"/>
                <w:szCs w:val="21"/>
                <w:highlight w:val="none"/>
                <w:lang w:eastAsia="zh-CN"/>
              </w:rPr>
              <w:t>注册</w:t>
            </w:r>
            <w:r>
              <w:rPr>
                <w:rFonts w:hint="eastAsia" w:ascii="宋体" w:cs="宋体-18030"/>
                <w:color w:val="auto"/>
                <w:szCs w:val="21"/>
                <w:highlight w:val="none"/>
              </w:rPr>
              <w:t>证书编号：</w:t>
            </w:r>
          </w:p>
        </w:tc>
        <w:tc>
          <w:tcPr>
            <w:tcW w:w="1781" w:type="dxa"/>
            <w:vAlign w:val="center"/>
          </w:tcPr>
          <w:p w14:paraId="62D1AB53">
            <w:pPr>
              <w:spacing w:line="360" w:lineRule="auto"/>
              <w:jc w:val="center"/>
              <w:rPr>
                <w:rFonts w:hint="eastAsia" w:ascii="宋体" w:eastAsia="宋体" w:cs="宋体-18030"/>
                <w:color w:val="auto"/>
                <w:szCs w:val="21"/>
                <w:highlight w:val="none"/>
                <w:lang w:eastAsia="zh-CN"/>
              </w:rPr>
            </w:pPr>
          </w:p>
        </w:tc>
        <w:tc>
          <w:tcPr>
            <w:tcW w:w="957" w:type="dxa"/>
            <w:vAlign w:val="center"/>
          </w:tcPr>
          <w:p w14:paraId="388116EE">
            <w:pPr>
              <w:spacing w:line="360" w:lineRule="auto"/>
              <w:rPr>
                <w:rFonts w:ascii="宋体" w:cs="宋体-18030"/>
                <w:color w:val="auto"/>
                <w:szCs w:val="21"/>
                <w:highlight w:val="none"/>
              </w:rPr>
            </w:pPr>
          </w:p>
        </w:tc>
      </w:tr>
      <w:tr w14:paraId="48DD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14F7BDD3">
            <w:pPr>
              <w:spacing w:line="360" w:lineRule="auto"/>
              <w:rPr>
                <w:rFonts w:ascii="宋体" w:hAnsi="宋体" w:cs="宋体-18030"/>
                <w:color w:val="auto"/>
                <w:szCs w:val="21"/>
                <w:highlight w:val="none"/>
              </w:rPr>
            </w:pPr>
            <w:r>
              <w:rPr>
                <w:rFonts w:hint="eastAsia" w:ascii="宋体" w:hAnsi="宋体" w:cs="宋体-18030"/>
                <w:color w:val="auto"/>
                <w:szCs w:val="21"/>
                <w:highlight w:val="none"/>
              </w:rPr>
              <w:t>磋商申请人（电子签章）：</w:t>
            </w:r>
            <w:r>
              <w:rPr>
                <w:rFonts w:ascii="宋体" w:hAnsi="宋体" w:cs="宋体-18030"/>
                <w:color w:val="auto"/>
                <w:szCs w:val="21"/>
                <w:highlight w:val="none"/>
              </w:rPr>
              <w:t xml:space="preserve">             </w:t>
            </w:r>
          </w:p>
          <w:p w14:paraId="4028D80D">
            <w:pPr>
              <w:spacing w:line="360" w:lineRule="auto"/>
              <w:rPr>
                <w:rFonts w:ascii="宋体" w:hAnsi="宋体" w:cs="宋体-18030"/>
                <w:color w:val="auto"/>
                <w:szCs w:val="21"/>
                <w:highlight w:val="none"/>
              </w:rPr>
            </w:pPr>
          </w:p>
          <w:p w14:paraId="5B05EEA7">
            <w:pPr>
              <w:spacing w:line="360" w:lineRule="auto"/>
              <w:rPr>
                <w:rFonts w:ascii="宋体" w:cs="宋体-18030"/>
                <w:color w:val="auto"/>
                <w:szCs w:val="21"/>
                <w:highlight w:val="none"/>
              </w:rPr>
            </w:pPr>
            <w:r>
              <w:rPr>
                <w:rFonts w:hint="eastAsia" w:ascii="宋体" w:hAnsi="宋体" w:cs="宋体-18030"/>
                <w:color w:val="auto"/>
                <w:szCs w:val="21"/>
                <w:highlight w:val="none"/>
              </w:rPr>
              <w:t>法定代表人（负责人）或其授权代表（签字或电子签章）：</w:t>
            </w:r>
          </w:p>
          <w:p w14:paraId="2AFD5818">
            <w:pPr>
              <w:spacing w:line="360" w:lineRule="auto"/>
              <w:rPr>
                <w:rFonts w:ascii="宋体" w:hAnsi="宋体" w:cs="宋体-18030"/>
                <w:color w:val="auto"/>
                <w:szCs w:val="21"/>
                <w:highlight w:val="none"/>
              </w:rPr>
            </w:pPr>
            <w:r>
              <w:rPr>
                <w:rFonts w:ascii="宋体" w:hAnsi="宋体" w:cs="宋体-18030"/>
                <w:color w:val="auto"/>
                <w:szCs w:val="21"/>
                <w:highlight w:val="none"/>
              </w:rPr>
              <w:t xml:space="preserve"> </w:t>
            </w:r>
          </w:p>
          <w:p w14:paraId="59AD39B9">
            <w:pPr>
              <w:spacing w:line="360" w:lineRule="auto"/>
              <w:rPr>
                <w:rFonts w:ascii="宋体" w:cs="宋体-18030"/>
                <w:color w:val="auto"/>
                <w:szCs w:val="21"/>
                <w:highlight w:val="none"/>
              </w:rPr>
            </w:pPr>
            <w:r>
              <w:rPr>
                <w:rFonts w:hint="eastAsia" w:ascii="宋体" w:hAnsi="宋体" w:cs="宋体-18030"/>
                <w:color w:val="auto"/>
                <w:szCs w:val="21"/>
                <w:highlight w:val="none"/>
              </w:rPr>
              <w:t>日期：</w:t>
            </w:r>
          </w:p>
        </w:tc>
      </w:tr>
    </w:tbl>
    <w:p w14:paraId="435B2F1B">
      <w:pPr>
        <w:rPr>
          <w:rFonts w:hint="eastAsia" w:hAnsi="宋体"/>
          <w:b/>
          <w:color w:val="auto"/>
          <w:sz w:val="28"/>
          <w:szCs w:val="28"/>
          <w:highlight w:val="none"/>
        </w:rPr>
      </w:pPr>
    </w:p>
    <w:p w14:paraId="13ABB66D">
      <w:pPr>
        <w:rPr>
          <w:rFonts w:hint="eastAsia" w:hAnsi="宋体"/>
          <w:b/>
          <w:color w:val="auto"/>
          <w:sz w:val="28"/>
          <w:szCs w:val="28"/>
          <w:highlight w:val="none"/>
        </w:rPr>
      </w:pPr>
    </w:p>
    <w:p w14:paraId="70B8755A">
      <w:pPr>
        <w:spacing w:line="360" w:lineRule="auto"/>
        <w:jc w:val="center"/>
        <w:rPr>
          <w:color w:val="auto"/>
          <w:sz w:val="24"/>
          <w:highlight w:val="none"/>
        </w:rPr>
      </w:pPr>
    </w:p>
    <w:p w14:paraId="7EE4CB24">
      <w:pPr>
        <w:spacing w:line="360" w:lineRule="auto"/>
        <w:jc w:val="center"/>
        <w:rPr>
          <w:b/>
          <w:color w:val="auto"/>
          <w:sz w:val="24"/>
          <w:highlight w:val="none"/>
        </w:rPr>
      </w:pPr>
      <w:r>
        <w:rPr>
          <w:color w:val="auto"/>
          <w:sz w:val="24"/>
          <w:highlight w:val="none"/>
        </w:rPr>
        <w:br w:type="page"/>
      </w:r>
      <w:bookmarkStart w:id="288" w:name="_Toc383175508"/>
    </w:p>
    <w:bookmarkEnd w:id="288"/>
    <w:p w14:paraId="46F6AF65">
      <w:pPr>
        <w:spacing w:line="360" w:lineRule="auto"/>
        <w:jc w:val="center"/>
        <w:rPr>
          <w:rFonts w:hint="eastAsia" w:ascii="Times New Roman" w:hAnsi="Times New Roman" w:eastAsia="宋体" w:cs="Times New Roman"/>
          <w:b/>
          <w:color w:val="auto"/>
          <w:sz w:val="28"/>
          <w:szCs w:val="28"/>
          <w:highlight w:val="none"/>
          <w:lang w:eastAsia="zh-CN"/>
        </w:rPr>
      </w:pPr>
      <w:bookmarkStart w:id="289" w:name="_Toc347849247"/>
      <w:bookmarkStart w:id="290" w:name="_Toc383175509"/>
      <w:r>
        <w:rPr>
          <w:rFonts w:hint="eastAsia" w:ascii="Times New Roman" w:hAnsi="Times New Roman" w:eastAsia="宋体" w:cs="Times New Roman"/>
          <w:b/>
          <w:color w:val="auto"/>
          <w:sz w:val="28"/>
          <w:szCs w:val="28"/>
          <w:highlight w:val="none"/>
          <w:lang w:eastAsia="zh-CN"/>
        </w:rPr>
        <w:t>一、资格文件</w:t>
      </w:r>
    </w:p>
    <w:p w14:paraId="687A30D1">
      <w:pPr>
        <w:spacing w:line="360" w:lineRule="auto"/>
        <w:jc w:val="left"/>
        <w:rPr>
          <w:rFonts w:hint="eastAsia" w:ascii="Times New Roman" w:hAnsi="Times New Roman" w:eastAsia="宋体" w:cs="Times New Roman"/>
          <w:b/>
          <w:color w:val="auto"/>
          <w:sz w:val="28"/>
          <w:szCs w:val="28"/>
          <w:highlight w:val="none"/>
          <w:lang w:eastAsia="zh-CN"/>
        </w:rPr>
      </w:pPr>
      <w:r>
        <w:rPr>
          <w:rFonts w:hint="eastAsia" w:ascii="Times New Roman" w:hAnsi="Times New Roman" w:eastAsia="宋体" w:cs="Times New Roman"/>
          <w:b/>
          <w:color w:val="auto"/>
          <w:sz w:val="28"/>
          <w:szCs w:val="28"/>
          <w:highlight w:val="none"/>
        </w:rPr>
        <w:t>格式1</w:t>
      </w:r>
      <w:r>
        <w:rPr>
          <w:rFonts w:hint="eastAsia" w:ascii="Times New Roman" w:hAnsi="Times New Roman" w:eastAsia="宋体" w:cs="Times New Roman"/>
          <w:b/>
          <w:color w:val="auto"/>
          <w:sz w:val="28"/>
          <w:szCs w:val="28"/>
          <w:highlight w:val="none"/>
          <w:lang w:eastAsia="zh-CN"/>
        </w:rPr>
        <w:t>：</w:t>
      </w:r>
    </w:p>
    <w:p w14:paraId="1918D8E6">
      <w:pPr>
        <w:pStyle w:val="3"/>
        <w:spacing w:before="0"/>
        <w:rPr>
          <w:rFonts w:ascii="Times New Roman" w:hAnsi="Times New Roman"/>
          <w:bCs w:val="0"/>
          <w:color w:val="auto"/>
          <w:szCs w:val="28"/>
          <w:highlight w:val="none"/>
        </w:rPr>
      </w:pPr>
      <w:r>
        <w:rPr>
          <w:rFonts w:hint="eastAsia" w:ascii="Times New Roman" w:hAnsi="Times New Roman"/>
          <w:bCs w:val="0"/>
          <w:color w:val="auto"/>
          <w:szCs w:val="28"/>
          <w:highlight w:val="none"/>
        </w:rPr>
        <w:t>资格审查申请函</w:t>
      </w:r>
    </w:p>
    <w:p w14:paraId="339C60E0">
      <w:pPr>
        <w:spacing w:line="360" w:lineRule="auto"/>
        <w:jc w:val="left"/>
        <w:rPr>
          <w:rFonts w:ascii="宋体"/>
          <w:color w:val="auto"/>
          <w:szCs w:val="21"/>
          <w:highlight w:val="none"/>
        </w:rPr>
      </w:pPr>
      <w:r>
        <w:rPr>
          <w:rFonts w:hint="eastAsia" w:ascii="宋体" w:hAnsi="宋体"/>
          <w:color w:val="auto"/>
          <w:szCs w:val="21"/>
          <w:highlight w:val="none"/>
        </w:rPr>
        <w:t>致：</w:t>
      </w:r>
      <w:r>
        <w:rPr>
          <w:rFonts w:ascii="宋体" w:hAnsi="宋体"/>
          <w:color w:val="auto"/>
          <w:szCs w:val="21"/>
          <w:highlight w:val="none"/>
          <w:u w:val="single"/>
        </w:rPr>
        <w:t xml:space="preserve">               </w:t>
      </w:r>
      <w:r>
        <w:rPr>
          <w:rFonts w:hint="eastAsia" w:ascii="宋体" w:hAnsi="宋体"/>
          <w:color w:val="auto"/>
          <w:szCs w:val="21"/>
          <w:highlight w:val="none"/>
          <w:u w:val="single"/>
        </w:rPr>
        <w:t>（采购人名称）</w:t>
      </w:r>
    </w:p>
    <w:p w14:paraId="3846BAC2">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（采购项目名称）</w:t>
      </w:r>
      <w:r>
        <w:rPr>
          <w:rFonts w:ascii="宋体" w:hAnsi="宋体"/>
          <w:color w:val="auto"/>
          <w:szCs w:val="21"/>
          <w:highlight w:val="none"/>
          <w:u w:val="single"/>
        </w:rPr>
        <w:t xml:space="preserve">   </w:t>
      </w:r>
      <w:r>
        <w:rPr>
          <w:rFonts w:hint="eastAsia" w:ascii="宋体" w:hAnsi="宋体"/>
          <w:color w:val="auto"/>
          <w:szCs w:val="21"/>
          <w:highlight w:val="none"/>
        </w:rPr>
        <w:t>（采购编号：</w:t>
      </w:r>
      <w:r>
        <w:rPr>
          <w:rFonts w:ascii="宋体" w:hAnsi="宋体"/>
          <w:color w:val="auto"/>
          <w:szCs w:val="21"/>
          <w:highlight w:val="none"/>
          <w:u w:val="single"/>
        </w:rPr>
        <w:t xml:space="preserve">          </w:t>
      </w:r>
      <w:r>
        <w:rPr>
          <w:rFonts w:hint="eastAsia" w:ascii="宋体" w:hAnsi="宋体"/>
          <w:color w:val="auto"/>
          <w:szCs w:val="21"/>
          <w:highlight w:val="none"/>
        </w:rPr>
        <w:t>）项目竞争性磋商文件的全部内容，我方正式授权下述签字人</w:t>
      </w:r>
      <w:r>
        <w:rPr>
          <w:rFonts w:ascii="宋体" w:hAnsi="宋体"/>
          <w:color w:val="auto"/>
          <w:szCs w:val="21"/>
          <w:highlight w:val="none"/>
          <w:u w:val="single"/>
        </w:rPr>
        <w:t xml:space="preserve">   </w:t>
      </w:r>
      <w:r>
        <w:rPr>
          <w:rFonts w:hint="eastAsia" w:ascii="宋体" w:hAnsi="宋体"/>
          <w:color w:val="auto"/>
          <w:szCs w:val="21"/>
          <w:highlight w:val="none"/>
          <w:u w:val="single"/>
        </w:rPr>
        <w:t>（姓名和职务）</w:t>
      </w:r>
      <w:r>
        <w:rPr>
          <w:rFonts w:ascii="宋体" w:hAnsi="宋体"/>
          <w:color w:val="auto"/>
          <w:szCs w:val="21"/>
          <w:highlight w:val="none"/>
          <w:u w:val="single"/>
        </w:rPr>
        <w:t xml:space="preserve">     </w:t>
      </w:r>
      <w:r>
        <w:rPr>
          <w:rFonts w:hint="eastAsia" w:ascii="宋体" w:hAnsi="宋体"/>
          <w:color w:val="auto"/>
          <w:szCs w:val="21"/>
          <w:highlight w:val="none"/>
        </w:rPr>
        <w:t>全权代表</w:t>
      </w:r>
      <w:r>
        <w:rPr>
          <w:rFonts w:ascii="宋体" w:hAnsi="宋体"/>
          <w:color w:val="auto"/>
          <w:szCs w:val="21"/>
          <w:highlight w:val="none"/>
          <w:u w:val="single"/>
        </w:rPr>
        <w:t xml:space="preserve">  </w:t>
      </w:r>
      <w:r>
        <w:rPr>
          <w:rFonts w:hint="eastAsia" w:ascii="宋体" w:hAnsi="宋体"/>
          <w:color w:val="auto"/>
          <w:szCs w:val="21"/>
          <w:highlight w:val="none"/>
          <w:u w:val="single"/>
        </w:rPr>
        <w:t>（磋商申请人全称）</w:t>
      </w:r>
      <w:r>
        <w:rPr>
          <w:rFonts w:ascii="宋体" w:hAnsi="宋体"/>
          <w:color w:val="auto"/>
          <w:szCs w:val="21"/>
          <w:highlight w:val="none"/>
          <w:u w:val="single"/>
        </w:rPr>
        <w:t xml:space="preserve">   </w:t>
      </w:r>
      <w:r>
        <w:rPr>
          <w:rFonts w:hint="eastAsia" w:ascii="宋体" w:hAnsi="宋体"/>
          <w:color w:val="auto"/>
          <w:szCs w:val="21"/>
          <w:highlight w:val="none"/>
        </w:rPr>
        <w:t>参加磋商，并提交资格审查申请</w:t>
      </w:r>
      <w:r>
        <w:rPr>
          <w:rFonts w:hint="eastAsia" w:ascii="宋体" w:hAnsi="宋体"/>
          <w:color w:val="auto"/>
          <w:szCs w:val="21"/>
          <w:highlight w:val="none"/>
          <w:lang w:eastAsia="zh-CN"/>
        </w:rPr>
        <w:t>电子</w:t>
      </w:r>
      <w:r>
        <w:rPr>
          <w:rFonts w:hint="eastAsia" w:ascii="宋体" w:hAnsi="宋体"/>
          <w:color w:val="auto"/>
          <w:szCs w:val="21"/>
          <w:highlight w:val="none"/>
        </w:rPr>
        <w:t>文件</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ascii="宋体" w:hAnsi="宋体"/>
          <w:color w:val="auto"/>
          <w:szCs w:val="21"/>
          <w:highlight w:val="none"/>
          <w:u w:val="single"/>
        </w:rPr>
        <w:t xml:space="preserve"> </w:t>
      </w:r>
      <w:r>
        <w:rPr>
          <w:rFonts w:hint="eastAsia" w:ascii="宋体" w:hAnsi="宋体"/>
          <w:color w:val="auto"/>
          <w:szCs w:val="21"/>
          <w:highlight w:val="none"/>
        </w:rPr>
        <w:t>份。</w:t>
      </w:r>
    </w:p>
    <w:p w14:paraId="0010C73A">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据此申请书，签字人兹宣布同意如下：</w:t>
      </w:r>
    </w:p>
    <w:p w14:paraId="70B157E2">
      <w:pPr>
        <w:spacing w:line="360" w:lineRule="auto"/>
        <w:ind w:firstLine="420" w:firstLineChars="200"/>
        <w:jc w:val="left"/>
        <w:rPr>
          <w:rFonts w:ascii="宋体"/>
          <w:color w:val="auto"/>
          <w:szCs w:val="21"/>
          <w:highlight w:val="none"/>
        </w:rPr>
      </w:pPr>
      <w:r>
        <w:rPr>
          <w:rFonts w:hint="eastAsia" w:ascii="宋体"/>
          <w:color w:val="auto"/>
          <w:szCs w:val="21"/>
          <w:highlight w:val="none"/>
        </w:rPr>
        <w:t>1.</w:t>
      </w:r>
      <w:r>
        <w:rPr>
          <w:rFonts w:hint="eastAsia" w:ascii="宋体" w:hAnsi="宋体"/>
          <w:color w:val="auto"/>
          <w:szCs w:val="21"/>
          <w:highlight w:val="none"/>
        </w:rPr>
        <w:t>我方同意</w:t>
      </w:r>
      <w:r>
        <w:rPr>
          <w:rFonts w:hint="eastAsia" w:ascii="宋体"/>
          <w:color w:val="auto"/>
          <w:szCs w:val="21"/>
          <w:highlight w:val="none"/>
        </w:rPr>
        <w:t>将按竞争性磋商文件的规定履行合同责任和义务。</w:t>
      </w:r>
    </w:p>
    <w:p w14:paraId="0A7C993F">
      <w:pPr>
        <w:spacing w:line="360" w:lineRule="auto"/>
        <w:ind w:firstLine="420" w:firstLineChars="200"/>
        <w:jc w:val="left"/>
        <w:rPr>
          <w:rFonts w:ascii="宋体"/>
          <w:color w:val="auto"/>
          <w:szCs w:val="21"/>
          <w:highlight w:val="none"/>
        </w:rPr>
      </w:pPr>
      <w:r>
        <w:rPr>
          <w:rFonts w:hint="eastAsia" w:ascii="宋体"/>
          <w:color w:val="auto"/>
          <w:szCs w:val="21"/>
          <w:highlight w:val="none"/>
        </w:rPr>
        <w:t>2.</w:t>
      </w:r>
      <w:r>
        <w:rPr>
          <w:rFonts w:hint="eastAsia" w:ascii="宋体" w:hAnsi="宋体"/>
          <w:color w:val="auto"/>
          <w:szCs w:val="21"/>
          <w:highlight w:val="none"/>
        </w:rPr>
        <w:t>我方</w:t>
      </w:r>
      <w:r>
        <w:rPr>
          <w:rFonts w:hint="eastAsia" w:ascii="宋体"/>
          <w:color w:val="auto"/>
          <w:szCs w:val="21"/>
          <w:highlight w:val="none"/>
        </w:rPr>
        <w:t>已详细审查全部竞争性磋商文件，包括修改文件以及全部参考资料和所有附件。我们完全理解并认为该磋商文件公平公正，不存在倾向性，且同意放弃对这方面有不明及误解的权利。</w:t>
      </w:r>
    </w:p>
    <w:p w14:paraId="36A4FFD5">
      <w:pPr>
        <w:spacing w:line="360" w:lineRule="auto"/>
        <w:ind w:firstLine="420" w:firstLineChars="200"/>
        <w:jc w:val="left"/>
        <w:rPr>
          <w:rFonts w:ascii="宋体"/>
          <w:color w:val="auto"/>
          <w:szCs w:val="21"/>
          <w:highlight w:val="none"/>
        </w:rPr>
      </w:pPr>
      <w:r>
        <w:rPr>
          <w:rFonts w:hint="eastAsia" w:ascii="宋体"/>
          <w:color w:val="auto"/>
          <w:szCs w:val="21"/>
          <w:highlight w:val="none"/>
        </w:rPr>
        <w:t>3.本磋商自响应文件开启之日起有效期为</w:t>
      </w:r>
      <w:r>
        <w:rPr>
          <w:rFonts w:hint="eastAsia" w:ascii="宋体"/>
          <w:color w:val="auto"/>
          <w:szCs w:val="21"/>
          <w:highlight w:val="none"/>
          <w:lang w:eastAsia="zh-CN"/>
        </w:rPr>
        <w:t>60天</w:t>
      </w:r>
      <w:r>
        <w:rPr>
          <w:rFonts w:hint="eastAsia" w:ascii="宋体"/>
          <w:color w:val="auto"/>
          <w:szCs w:val="21"/>
          <w:highlight w:val="none"/>
        </w:rPr>
        <w:t>。</w:t>
      </w:r>
    </w:p>
    <w:p w14:paraId="03876DE8">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4.我方同意磋商申请人须知中关于没收保证金的规定。</w:t>
      </w:r>
    </w:p>
    <w:p w14:paraId="19207C1B">
      <w:pPr>
        <w:spacing w:line="360" w:lineRule="auto"/>
        <w:ind w:firstLine="420" w:firstLineChars="200"/>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.同意应贵方要求提供与本次磋商有关的任何数据和资料，并保证数据和资料的完整性和真实性。</w:t>
      </w:r>
    </w:p>
    <w:p w14:paraId="0F542462">
      <w:pPr>
        <w:spacing w:line="360" w:lineRule="auto"/>
        <w:ind w:firstLine="420" w:firstLineChars="200"/>
        <w:jc w:val="left"/>
        <w:rPr>
          <w:rFonts w:ascii="宋体"/>
          <w:color w:val="auto"/>
          <w:szCs w:val="21"/>
          <w:highlight w:val="none"/>
        </w:rPr>
      </w:pPr>
      <w:r>
        <w:rPr>
          <w:rFonts w:hint="eastAsia" w:ascii="宋体"/>
          <w:color w:val="auto"/>
          <w:szCs w:val="21"/>
          <w:highlight w:val="none"/>
        </w:rPr>
        <w:t>6.同意因资格条件不符合资格要求不得再参与磋商的规定。</w:t>
      </w:r>
    </w:p>
    <w:p w14:paraId="60B85D7D">
      <w:pPr>
        <w:spacing w:line="360" w:lineRule="auto"/>
        <w:ind w:firstLine="420" w:firstLineChars="200"/>
        <w:jc w:val="left"/>
        <w:rPr>
          <w:rFonts w:ascii="宋体"/>
          <w:color w:val="auto"/>
          <w:szCs w:val="21"/>
          <w:highlight w:val="none"/>
        </w:rPr>
      </w:pPr>
    </w:p>
    <w:p w14:paraId="105E06B2">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与本次磋商有关的正式通讯地址为：</w:t>
      </w:r>
    </w:p>
    <w:p w14:paraId="2B1E02DD">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邮政编码：</w:t>
      </w:r>
      <w:r>
        <w:rPr>
          <w:rFonts w:ascii="宋体" w:hAnsi="宋体"/>
          <w:color w:val="auto"/>
          <w:szCs w:val="21"/>
          <w:highlight w:val="none"/>
          <w:u w:val="single"/>
        </w:rPr>
        <w:t xml:space="preserve">                </w:t>
      </w:r>
    </w:p>
    <w:p w14:paraId="0D54676B">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电</w:t>
      </w:r>
      <w:r>
        <w:rPr>
          <w:rFonts w:ascii="宋体" w:hAnsi="宋体"/>
          <w:color w:val="auto"/>
          <w:szCs w:val="21"/>
          <w:highlight w:val="none"/>
        </w:rPr>
        <w:t xml:space="preserve">    </w:t>
      </w:r>
      <w:r>
        <w:rPr>
          <w:rFonts w:hint="eastAsia" w:ascii="宋体" w:hAnsi="宋体"/>
          <w:color w:val="auto"/>
          <w:szCs w:val="21"/>
          <w:highlight w:val="none"/>
        </w:rPr>
        <w:t>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w:t>
      </w:r>
      <w:r>
        <w:rPr>
          <w:rFonts w:ascii="宋体" w:hAnsi="宋体"/>
          <w:color w:val="auto"/>
          <w:szCs w:val="21"/>
          <w:highlight w:val="none"/>
        </w:rPr>
        <w:t xml:space="preserve">    </w:t>
      </w:r>
      <w:r>
        <w:rPr>
          <w:rFonts w:hint="eastAsia" w:ascii="宋体" w:hAnsi="宋体"/>
          <w:color w:val="auto"/>
          <w:szCs w:val="21"/>
          <w:highlight w:val="none"/>
        </w:rPr>
        <w:t>真：</w:t>
      </w:r>
      <w:r>
        <w:rPr>
          <w:rFonts w:hint="eastAsia" w:ascii="宋体" w:hAnsi="宋体"/>
          <w:color w:val="auto"/>
          <w:szCs w:val="21"/>
          <w:highlight w:val="none"/>
          <w:u w:val="single"/>
        </w:rPr>
        <w:t>　　　　　　　　</w:t>
      </w:r>
    </w:p>
    <w:p w14:paraId="6D93C648">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开户名称：</w:t>
      </w:r>
      <w:r>
        <w:rPr>
          <w:rFonts w:ascii="宋体" w:hAnsi="宋体"/>
          <w:color w:val="auto"/>
          <w:szCs w:val="21"/>
          <w:highlight w:val="none"/>
          <w:u w:val="single"/>
        </w:rPr>
        <w:t xml:space="preserve">                                                    </w:t>
      </w:r>
    </w:p>
    <w:p w14:paraId="6E2F4E4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开户银行：</w:t>
      </w:r>
      <w:r>
        <w:rPr>
          <w:rFonts w:ascii="宋体" w:hAnsi="宋体"/>
          <w:color w:val="auto"/>
          <w:szCs w:val="21"/>
          <w:highlight w:val="none"/>
          <w:u w:val="single"/>
        </w:rPr>
        <w:t xml:space="preserve">                                                    </w:t>
      </w:r>
    </w:p>
    <w:p w14:paraId="47C73EC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帐</w:t>
      </w:r>
      <w:r>
        <w:rPr>
          <w:rFonts w:ascii="宋体" w:hAnsi="宋体"/>
          <w:color w:val="auto"/>
          <w:szCs w:val="21"/>
          <w:highlight w:val="none"/>
        </w:rPr>
        <w:t xml:space="preserve">    </w:t>
      </w:r>
      <w:r>
        <w:rPr>
          <w:rFonts w:hint="eastAsia" w:ascii="宋体" w:hAnsi="宋体"/>
          <w:color w:val="auto"/>
          <w:szCs w:val="21"/>
          <w:highlight w:val="none"/>
        </w:rPr>
        <w:t>号：</w:t>
      </w:r>
      <w:r>
        <w:rPr>
          <w:rFonts w:ascii="宋体" w:hAnsi="宋体"/>
          <w:color w:val="auto"/>
          <w:szCs w:val="21"/>
          <w:highlight w:val="none"/>
          <w:u w:val="single"/>
        </w:rPr>
        <w:t xml:space="preserve">                                                    </w:t>
      </w:r>
    </w:p>
    <w:p w14:paraId="04013820">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u w:val="single"/>
        </w:rPr>
        <w:t xml:space="preserve">              </w:t>
      </w:r>
      <w:r>
        <w:rPr>
          <w:rFonts w:hint="eastAsia" w:ascii="宋体" w:hAnsi="宋体"/>
          <w:color w:val="auto"/>
          <w:szCs w:val="21"/>
          <w:highlight w:val="none"/>
          <w:u w:val="single"/>
        </w:rPr>
        <w:t>（全称）</w:t>
      </w:r>
      <w:r>
        <w:rPr>
          <w:rFonts w:ascii="宋体" w:hAnsi="宋体"/>
          <w:color w:val="auto"/>
          <w:szCs w:val="21"/>
          <w:highlight w:val="none"/>
          <w:u w:val="single"/>
        </w:rPr>
        <w:t xml:space="preserve">                     </w:t>
      </w:r>
      <w:r>
        <w:rPr>
          <w:rFonts w:hint="eastAsia" w:ascii="宋体" w:hAnsi="宋体"/>
          <w:color w:val="auto"/>
          <w:szCs w:val="21"/>
          <w:highlight w:val="none"/>
        </w:rPr>
        <w:t>（电子签章）</w:t>
      </w:r>
    </w:p>
    <w:p w14:paraId="6CCC4EF9">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法定代表人（负责人）或其委托代理人：</w:t>
      </w:r>
      <w:r>
        <w:rPr>
          <w:rFonts w:ascii="宋体" w:hAnsi="宋体"/>
          <w:color w:val="auto"/>
          <w:szCs w:val="21"/>
          <w:highlight w:val="none"/>
          <w:u w:val="single"/>
        </w:rPr>
        <w:t xml:space="preserve">                             </w:t>
      </w:r>
      <w:r>
        <w:rPr>
          <w:rFonts w:hint="eastAsia" w:ascii="宋体" w:hAnsi="宋体"/>
          <w:color w:val="auto"/>
          <w:szCs w:val="21"/>
          <w:highlight w:val="none"/>
        </w:rPr>
        <w:t>（签字或电子签章）</w:t>
      </w:r>
    </w:p>
    <w:p w14:paraId="294E6035">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7D29FA75">
      <w:pPr>
        <w:spacing w:line="360" w:lineRule="auto"/>
        <w:jc w:val="left"/>
        <w:rPr>
          <w:color w:val="auto"/>
          <w:szCs w:val="21"/>
          <w:highlight w:val="none"/>
        </w:rPr>
      </w:pPr>
    </w:p>
    <w:p w14:paraId="75036714">
      <w:pPr>
        <w:spacing w:line="360" w:lineRule="auto"/>
        <w:jc w:val="center"/>
        <w:rPr>
          <w:b/>
          <w:color w:val="auto"/>
          <w:sz w:val="44"/>
          <w:szCs w:val="44"/>
          <w:highlight w:val="none"/>
        </w:rPr>
      </w:pPr>
    </w:p>
    <w:p w14:paraId="787FC5CE">
      <w:pPr>
        <w:spacing w:line="360" w:lineRule="auto"/>
        <w:jc w:val="center"/>
        <w:rPr>
          <w:b/>
          <w:color w:val="auto"/>
          <w:sz w:val="44"/>
          <w:szCs w:val="44"/>
          <w:highlight w:val="none"/>
        </w:rPr>
      </w:pPr>
    </w:p>
    <w:p w14:paraId="2D9F0622">
      <w:pPr>
        <w:spacing w:line="360" w:lineRule="auto"/>
        <w:jc w:val="center"/>
        <w:rPr>
          <w:b/>
          <w:color w:val="auto"/>
          <w:sz w:val="44"/>
          <w:szCs w:val="44"/>
          <w:highlight w:val="none"/>
        </w:rPr>
      </w:pPr>
    </w:p>
    <w:p w14:paraId="60A5F899">
      <w:pPr>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br w:type="page"/>
      </w:r>
    </w:p>
    <w:p w14:paraId="4CA46C68">
      <w:pPr>
        <w:pStyle w:val="3"/>
        <w:spacing w:before="0"/>
        <w:jc w:val="left"/>
        <w:rPr>
          <w:rFonts w:hint="eastAsia" w:eastAsia="宋体"/>
          <w:color w:val="auto"/>
          <w:szCs w:val="21"/>
          <w:highlight w:val="none"/>
          <w:lang w:val="en-US" w:eastAsia="zh-CN"/>
        </w:rPr>
      </w:pPr>
      <w:r>
        <w:rPr>
          <w:rFonts w:hint="eastAsia" w:ascii="Times New Roman" w:hAnsi="Times New Roman"/>
          <w:bCs w:val="0"/>
          <w:color w:val="auto"/>
          <w:szCs w:val="28"/>
          <w:highlight w:val="none"/>
        </w:rPr>
        <w:t>格式</w:t>
      </w:r>
      <w:bookmarkEnd w:id="289"/>
      <w:bookmarkEnd w:id="290"/>
      <w:r>
        <w:rPr>
          <w:rFonts w:hint="eastAsia" w:ascii="Times New Roman" w:hAnsi="Times New Roman"/>
          <w:bCs w:val="0"/>
          <w:color w:val="auto"/>
          <w:szCs w:val="28"/>
          <w:highlight w:val="none"/>
          <w:lang w:val="en-US" w:eastAsia="zh-CN"/>
        </w:rPr>
        <w:t>2：</w:t>
      </w:r>
    </w:p>
    <w:p w14:paraId="437324D4">
      <w:pPr>
        <w:pStyle w:val="3"/>
        <w:spacing w:before="0"/>
        <w:rPr>
          <w:rFonts w:ascii="Times New Roman" w:hAnsi="Times New Roman"/>
          <w:bCs w:val="0"/>
          <w:color w:val="auto"/>
          <w:highlight w:val="none"/>
        </w:rPr>
      </w:pPr>
      <w:bookmarkStart w:id="291" w:name="_Toc383175510"/>
      <w:bookmarkStart w:id="292" w:name="_Toc347849248"/>
      <w:r>
        <w:rPr>
          <w:rFonts w:hint="eastAsia" w:ascii="Times New Roman" w:hAnsi="Times New Roman"/>
          <w:bCs w:val="0"/>
          <w:color w:val="auto"/>
          <w:highlight w:val="none"/>
        </w:rPr>
        <w:t>资格证明文件</w:t>
      </w:r>
      <w:bookmarkEnd w:id="291"/>
      <w:bookmarkEnd w:id="292"/>
    </w:p>
    <w:p w14:paraId="0ECE73D2">
      <w:pPr>
        <w:spacing w:line="360" w:lineRule="auto"/>
        <w:jc w:val="left"/>
        <w:rPr>
          <w:color w:val="auto"/>
          <w:sz w:val="24"/>
          <w:highlight w:val="none"/>
        </w:rPr>
      </w:pPr>
    </w:p>
    <w:p w14:paraId="25227CEB">
      <w:pPr>
        <w:spacing w:line="360" w:lineRule="auto"/>
        <w:ind w:firstLine="420" w:firstLineChars="200"/>
        <w:rPr>
          <w:color w:val="auto"/>
          <w:highlight w:val="none"/>
        </w:rPr>
      </w:pPr>
      <w:r>
        <w:rPr>
          <w:rFonts w:hint="eastAsia"/>
          <w:color w:val="auto"/>
          <w:highlight w:val="none"/>
        </w:rPr>
        <w:t>1</w:t>
      </w:r>
      <w:r>
        <w:rPr>
          <w:color w:val="auto"/>
          <w:highlight w:val="none"/>
        </w:rPr>
        <w:t xml:space="preserve">. </w:t>
      </w:r>
      <w:r>
        <w:rPr>
          <w:rFonts w:hint="eastAsia"/>
          <w:color w:val="auto"/>
          <w:highlight w:val="none"/>
        </w:rPr>
        <w:t>所附格式要求填写的全部内容都必须填写。</w:t>
      </w:r>
    </w:p>
    <w:p w14:paraId="192A76D0">
      <w:pPr>
        <w:spacing w:line="360" w:lineRule="auto"/>
        <w:ind w:firstLine="420" w:firstLineChars="200"/>
        <w:rPr>
          <w:color w:val="auto"/>
          <w:highlight w:val="none"/>
        </w:rPr>
      </w:pPr>
      <w:r>
        <w:rPr>
          <w:rFonts w:hint="eastAsia"/>
          <w:color w:val="auto"/>
          <w:highlight w:val="none"/>
        </w:rPr>
        <w:t>2</w:t>
      </w:r>
      <w:r>
        <w:rPr>
          <w:color w:val="auto"/>
          <w:highlight w:val="none"/>
        </w:rPr>
        <w:t xml:space="preserve">. </w:t>
      </w:r>
      <w:r>
        <w:rPr>
          <w:rFonts w:hint="eastAsia"/>
          <w:color w:val="auto"/>
          <w:highlight w:val="none"/>
        </w:rPr>
        <w:t>磋商申请人提交的材料将被</w:t>
      </w:r>
      <w:r>
        <w:rPr>
          <w:rFonts w:hint="eastAsia"/>
          <w:color w:val="auto"/>
          <w:szCs w:val="21"/>
          <w:highlight w:val="none"/>
        </w:rPr>
        <w:t>保密，但不退还。</w:t>
      </w:r>
    </w:p>
    <w:p w14:paraId="689965F4">
      <w:pPr>
        <w:spacing w:line="360" w:lineRule="auto"/>
        <w:ind w:firstLine="480" w:firstLineChars="200"/>
        <w:rPr>
          <w:color w:val="auto"/>
          <w:sz w:val="24"/>
          <w:highlight w:val="none"/>
        </w:rPr>
      </w:pPr>
    </w:p>
    <w:p w14:paraId="0C2245E9">
      <w:pPr>
        <w:pStyle w:val="27"/>
        <w:spacing w:line="360" w:lineRule="auto"/>
        <w:jc w:val="center"/>
        <w:rPr>
          <w:rFonts w:ascii="Times New Roman"/>
          <w:b/>
          <w:bCs/>
          <w:color w:val="auto"/>
          <w:sz w:val="28"/>
          <w:szCs w:val="28"/>
          <w:highlight w:val="none"/>
        </w:rPr>
      </w:pPr>
      <w:r>
        <w:rPr>
          <w:rFonts w:ascii="Times New Roman"/>
          <w:color w:val="auto"/>
          <w:sz w:val="24"/>
          <w:highlight w:val="none"/>
        </w:rPr>
        <w:br w:type="page"/>
      </w:r>
      <w:r>
        <w:rPr>
          <w:rFonts w:hint="eastAsia" w:ascii="Times New Roman"/>
          <w:b/>
          <w:bCs/>
          <w:color w:val="auto"/>
          <w:sz w:val="28"/>
          <w:szCs w:val="28"/>
          <w:highlight w:val="none"/>
        </w:rPr>
        <w:t>格式</w:t>
      </w:r>
      <w:r>
        <w:rPr>
          <w:rFonts w:hint="eastAsia" w:ascii="Times New Roman"/>
          <w:b/>
          <w:bCs/>
          <w:color w:val="auto"/>
          <w:sz w:val="28"/>
          <w:szCs w:val="28"/>
          <w:highlight w:val="none"/>
          <w:lang w:val="en-US" w:eastAsia="zh-CN"/>
        </w:rPr>
        <w:t>2</w:t>
      </w:r>
      <w:r>
        <w:rPr>
          <w:rFonts w:ascii="Times New Roman"/>
          <w:b/>
          <w:bCs/>
          <w:color w:val="auto"/>
          <w:sz w:val="28"/>
          <w:szCs w:val="28"/>
          <w:highlight w:val="none"/>
        </w:rPr>
        <w:t>-1</w:t>
      </w:r>
      <w:r>
        <w:rPr>
          <w:rFonts w:hint="eastAsia" w:ascii="Times New Roman"/>
          <w:b/>
          <w:bCs/>
          <w:color w:val="auto"/>
          <w:sz w:val="28"/>
          <w:szCs w:val="28"/>
          <w:highlight w:val="none"/>
        </w:rPr>
        <w:t>：磋商申请人应具有独立承担民事责任的能力</w:t>
      </w:r>
    </w:p>
    <w:p w14:paraId="3D507248">
      <w:pPr>
        <w:keepNext/>
        <w:spacing w:line="360" w:lineRule="auto"/>
        <w:jc w:val="center"/>
        <w:rPr>
          <w:rFonts w:hint="eastAsia" w:ascii="宋体" w:hAnsi="宋体" w:eastAsia="宋体" w:cs="宋体"/>
          <w:b/>
          <w:bCs/>
          <w:color w:val="auto"/>
          <w:sz w:val="28"/>
          <w:szCs w:val="28"/>
          <w:highlight w:val="none"/>
        </w:rPr>
      </w:pPr>
    </w:p>
    <w:p w14:paraId="05C15C69">
      <w:pPr>
        <w:keepNext/>
        <w:spacing w:line="360" w:lineRule="auto"/>
        <w:jc w:val="center"/>
        <w:rPr>
          <w:rFonts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提供有效营业执照等证书证件</w:t>
      </w:r>
    </w:p>
    <w:p w14:paraId="14A1E70A">
      <w:pPr>
        <w:spacing w:line="460" w:lineRule="exact"/>
        <w:jc w:val="center"/>
        <w:rPr>
          <w:rFonts w:ascii="宋体" w:hAnsi="宋体" w:eastAsia="宋体" w:cs="宋体"/>
          <w:color w:val="auto"/>
          <w:sz w:val="24"/>
          <w:szCs w:val="24"/>
          <w:highlight w:val="none"/>
        </w:rPr>
      </w:pPr>
    </w:p>
    <w:p w14:paraId="7E90FFF3">
      <w:pPr>
        <w:pStyle w:val="27"/>
        <w:spacing w:line="360" w:lineRule="auto"/>
        <w:jc w:val="center"/>
        <w:rPr>
          <w:color w:val="auto"/>
          <w:highlight w:val="none"/>
        </w:rPr>
      </w:pPr>
      <w:r>
        <w:rPr>
          <w:rFonts w:hint="eastAsia" w:ascii="宋体" w:hAnsi="宋体" w:eastAsia="宋体" w:cs="宋体"/>
          <w:color w:val="auto"/>
          <w:szCs w:val="21"/>
          <w:highlight w:val="none"/>
        </w:rPr>
        <w:t>磋商申请人有效的《营业执照》、《中华人民共和国组织机构代码证》、《税务登记证》（或统一社会信用代码证）或其他组织证件或自然人身份证件等能证明具有独立承担民事责任能力的证明材料。</w:t>
      </w:r>
    </w:p>
    <w:p w14:paraId="6A719F4D">
      <w:pPr>
        <w:rPr>
          <w:color w:val="auto"/>
          <w:highlight w:val="none"/>
        </w:rPr>
      </w:pPr>
    </w:p>
    <w:p w14:paraId="335A0772">
      <w:pPr>
        <w:spacing w:line="360" w:lineRule="auto"/>
        <w:jc w:val="center"/>
        <w:rPr>
          <w:color w:val="auto"/>
          <w:sz w:val="32"/>
          <w:szCs w:val="32"/>
          <w:highlight w:val="none"/>
        </w:rPr>
      </w:pPr>
    </w:p>
    <w:p w14:paraId="038B1230">
      <w:pPr>
        <w:spacing w:line="360" w:lineRule="auto"/>
        <w:jc w:val="center"/>
        <w:rPr>
          <w:color w:val="auto"/>
          <w:sz w:val="32"/>
          <w:szCs w:val="32"/>
          <w:highlight w:val="none"/>
        </w:rPr>
      </w:pPr>
      <w:r>
        <w:rPr>
          <w:color w:val="auto"/>
          <w:sz w:val="32"/>
          <w:szCs w:val="32"/>
          <w:highlight w:val="none"/>
        </w:rPr>
        <w:br w:type="page"/>
      </w:r>
    </w:p>
    <w:p w14:paraId="7776D954">
      <w:pPr>
        <w:spacing w:line="360" w:lineRule="auto"/>
        <w:jc w:val="center"/>
        <w:rPr>
          <w:color w:val="auto"/>
          <w:sz w:val="32"/>
          <w:szCs w:val="32"/>
          <w:highlight w:val="none"/>
        </w:rPr>
      </w:pPr>
      <w:r>
        <w:rPr>
          <w:rFonts w:hint="eastAsia"/>
          <w:b/>
          <w:bCs/>
          <w:color w:val="auto"/>
          <w:sz w:val="28"/>
          <w:szCs w:val="28"/>
          <w:highlight w:val="none"/>
          <w:lang w:val="en-US" w:eastAsia="zh-CN"/>
        </w:rPr>
        <w:t>2.</w:t>
      </w:r>
      <w:r>
        <w:rPr>
          <w:rFonts w:hint="eastAsia"/>
          <w:b/>
          <w:bCs/>
          <w:color w:val="auto"/>
          <w:sz w:val="28"/>
          <w:szCs w:val="28"/>
          <w:highlight w:val="none"/>
        </w:rPr>
        <w:t>法定代表人（负责人）身份证明书</w:t>
      </w:r>
    </w:p>
    <w:p w14:paraId="224D7427">
      <w:pPr>
        <w:spacing w:line="360" w:lineRule="auto"/>
        <w:jc w:val="center"/>
        <w:rPr>
          <w:b/>
          <w:color w:val="auto"/>
          <w:sz w:val="30"/>
          <w:szCs w:val="30"/>
          <w:highlight w:val="none"/>
        </w:rPr>
      </w:pPr>
    </w:p>
    <w:p w14:paraId="5CA136AC">
      <w:pPr>
        <w:spacing w:line="360" w:lineRule="auto"/>
        <w:rPr>
          <w:color w:val="auto"/>
          <w:szCs w:val="21"/>
          <w:highlight w:val="none"/>
        </w:rPr>
      </w:pPr>
      <w:r>
        <w:rPr>
          <w:rFonts w:hint="eastAsia"/>
          <w:color w:val="auto"/>
          <w:szCs w:val="21"/>
          <w:highlight w:val="none"/>
        </w:rPr>
        <w:t>磋商申请人名称：</w:t>
      </w:r>
      <w:r>
        <w:rPr>
          <w:color w:val="auto"/>
          <w:szCs w:val="21"/>
          <w:highlight w:val="none"/>
          <w:u w:val="single"/>
        </w:rPr>
        <w:t xml:space="preserve">                        </w:t>
      </w:r>
    </w:p>
    <w:p w14:paraId="62C6E843">
      <w:pPr>
        <w:spacing w:line="360" w:lineRule="auto"/>
        <w:rPr>
          <w:color w:val="auto"/>
          <w:szCs w:val="21"/>
          <w:highlight w:val="none"/>
        </w:rPr>
      </w:pPr>
      <w:r>
        <w:rPr>
          <w:rFonts w:hint="eastAsia"/>
          <w:color w:val="auto"/>
          <w:szCs w:val="21"/>
          <w:highlight w:val="none"/>
        </w:rPr>
        <w:t>单位性质：</w:t>
      </w:r>
      <w:r>
        <w:rPr>
          <w:color w:val="auto"/>
          <w:szCs w:val="21"/>
          <w:highlight w:val="none"/>
          <w:u w:val="single"/>
        </w:rPr>
        <w:t xml:space="preserve">                          </w:t>
      </w:r>
    </w:p>
    <w:p w14:paraId="28DE0D7B">
      <w:pPr>
        <w:spacing w:line="360" w:lineRule="auto"/>
        <w:rPr>
          <w:color w:val="auto"/>
          <w:szCs w:val="21"/>
          <w:highlight w:val="none"/>
        </w:rPr>
      </w:pPr>
      <w:r>
        <w:rPr>
          <w:rFonts w:hint="eastAsia"/>
          <w:color w:val="auto"/>
          <w:szCs w:val="21"/>
          <w:highlight w:val="none"/>
        </w:rPr>
        <w:t>成立时间：</w:t>
      </w: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3CB751D4">
      <w:pPr>
        <w:spacing w:line="360" w:lineRule="auto"/>
        <w:rPr>
          <w:color w:val="auto"/>
          <w:szCs w:val="21"/>
          <w:highlight w:val="none"/>
        </w:rPr>
      </w:pPr>
      <w:r>
        <w:rPr>
          <w:rFonts w:hint="eastAsia"/>
          <w:color w:val="auto"/>
          <w:szCs w:val="21"/>
          <w:highlight w:val="none"/>
        </w:rPr>
        <w:t>经营期限：</w:t>
      </w:r>
      <w:r>
        <w:rPr>
          <w:color w:val="auto"/>
          <w:szCs w:val="21"/>
          <w:highlight w:val="none"/>
          <w:u w:val="single"/>
        </w:rPr>
        <w:t xml:space="preserve">                          </w:t>
      </w:r>
    </w:p>
    <w:p w14:paraId="0D5CAE53">
      <w:pPr>
        <w:spacing w:line="360" w:lineRule="auto"/>
        <w:rPr>
          <w:color w:val="auto"/>
          <w:szCs w:val="21"/>
          <w:highlight w:val="none"/>
        </w:rPr>
      </w:pPr>
      <w:r>
        <w:rPr>
          <w:rFonts w:hint="eastAsia"/>
          <w:color w:val="auto"/>
          <w:szCs w:val="21"/>
          <w:highlight w:val="none"/>
        </w:rPr>
        <w:t>姓名：</w:t>
      </w:r>
      <w:r>
        <w:rPr>
          <w:color w:val="auto"/>
          <w:szCs w:val="21"/>
          <w:highlight w:val="none"/>
          <w:u w:val="single"/>
        </w:rPr>
        <w:t xml:space="preserve">            </w:t>
      </w:r>
      <w:r>
        <w:rPr>
          <w:rFonts w:hint="eastAsia"/>
          <w:color w:val="auto"/>
          <w:szCs w:val="21"/>
          <w:highlight w:val="none"/>
        </w:rPr>
        <w:t>性别：</w:t>
      </w:r>
      <w:r>
        <w:rPr>
          <w:color w:val="auto"/>
          <w:szCs w:val="21"/>
          <w:highlight w:val="none"/>
          <w:u w:val="single"/>
        </w:rPr>
        <w:t xml:space="preserve">            </w:t>
      </w:r>
      <w:r>
        <w:rPr>
          <w:rFonts w:hint="eastAsia"/>
          <w:color w:val="auto"/>
          <w:szCs w:val="21"/>
          <w:highlight w:val="none"/>
        </w:rPr>
        <w:t>年龄：</w:t>
      </w:r>
      <w:r>
        <w:rPr>
          <w:color w:val="auto"/>
          <w:szCs w:val="21"/>
          <w:highlight w:val="none"/>
          <w:u w:val="single"/>
        </w:rPr>
        <w:t xml:space="preserve">            </w:t>
      </w:r>
      <w:r>
        <w:rPr>
          <w:rFonts w:hint="eastAsia"/>
          <w:color w:val="auto"/>
          <w:szCs w:val="21"/>
          <w:highlight w:val="none"/>
        </w:rPr>
        <w:t>职务：</w:t>
      </w:r>
      <w:r>
        <w:rPr>
          <w:color w:val="auto"/>
          <w:szCs w:val="21"/>
          <w:highlight w:val="none"/>
          <w:u w:val="single"/>
        </w:rPr>
        <w:t xml:space="preserve">            </w:t>
      </w:r>
    </w:p>
    <w:p w14:paraId="3E5E8577">
      <w:pPr>
        <w:spacing w:line="360" w:lineRule="auto"/>
        <w:rPr>
          <w:color w:val="auto"/>
          <w:szCs w:val="21"/>
          <w:highlight w:val="none"/>
        </w:rPr>
      </w:pPr>
      <w:r>
        <w:rPr>
          <w:rFonts w:hint="eastAsia"/>
          <w:color w:val="auto"/>
          <w:szCs w:val="21"/>
          <w:highlight w:val="none"/>
        </w:rPr>
        <w:t>系</w:t>
      </w:r>
      <w:r>
        <w:rPr>
          <w:color w:val="auto"/>
          <w:szCs w:val="21"/>
          <w:highlight w:val="none"/>
          <w:u w:val="single"/>
        </w:rPr>
        <w:t xml:space="preserve">                        </w:t>
      </w:r>
      <w:r>
        <w:rPr>
          <w:rFonts w:hint="eastAsia"/>
          <w:color w:val="auto"/>
          <w:szCs w:val="21"/>
          <w:highlight w:val="none"/>
        </w:rPr>
        <w:t>（磋商申请人名称）的法定代表人（负责人）。</w:t>
      </w:r>
    </w:p>
    <w:p w14:paraId="3EC51002">
      <w:pPr>
        <w:spacing w:line="360" w:lineRule="auto"/>
        <w:ind w:firstLine="420" w:firstLineChars="200"/>
        <w:rPr>
          <w:color w:val="auto"/>
          <w:szCs w:val="21"/>
          <w:highlight w:val="none"/>
        </w:rPr>
      </w:pPr>
    </w:p>
    <w:p w14:paraId="20620FD9">
      <w:pPr>
        <w:spacing w:line="360" w:lineRule="auto"/>
        <w:ind w:firstLine="420" w:firstLineChars="200"/>
        <w:rPr>
          <w:color w:val="auto"/>
          <w:szCs w:val="21"/>
          <w:highlight w:val="none"/>
        </w:rPr>
      </w:pPr>
      <w:r>
        <w:rPr>
          <w:rFonts w:hint="eastAsia"/>
          <w:color w:val="auto"/>
          <w:szCs w:val="21"/>
          <w:highlight w:val="none"/>
        </w:rPr>
        <w:t>特此证明。</w:t>
      </w:r>
    </w:p>
    <w:p w14:paraId="06668CC2">
      <w:pPr>
        <w:spacing w:line="360" w:lineRule="auto"/>
        <w:rPr>
          <w:b/>
          <w:bCs/>
          <w:color w:val="auto"/>
          <w:sz w:val="24"/>
          <w:highlight w:val="none"/>
        </w:rPr>
      </w:pPr>
    </w:p>
    <w:p w14:paraId="1927D0B3">
      <w:pPr>
        <w:spacing w:line="360" w:lineRule="auto"/>
        <w:rPr>
          <w:color w:val="auto"/>
          <w:szCs w:val="21"/>
          <w:highlight w:val="none"/>
        </w:rPr>
      </w:pPr>
      <w:r>
        <w:rPr>
          <w:rFonts w:hint="eastAsia"/>
          <w:b/>
          <w:bCs/>
          <w:color w:val="auto"/>
          <w:szCs w:val="21"/>
          <w:highlight w:val="none"/>
        </w:rPr>
        <w:t>注</w:t>
      </w:r>
      <w:r>
        <w:rPr>
          <w:b/>
          <w:bCs/>
          <w:color w:val="auto"/>
          <w:szCs w:val="21"/>
          <w:highlight w:val="none"/>
        </w:rPr>
        <w:t>:</w:t>
      </w:r>
      <w:r>
        <w:rPr>
          <w:rFonts w:hint="eastAsia"/>
          <w:b/>
          <w:bCs/>
          <w:color w:val="auto"/>
          <w:szCs w:val="21"/>
          <w:highlight w:val="none"/>
        </w:rPr>
        <w:t>后附法定代表人（负责人）身份证复印件。</w:t>
      </w:r>
    </w:p>
    <w:p w14:paraId="4A7E58C5">
      <w:pPr>
        <w:spacing w:line="360" w:lineRule="auto"/>
        <w:rPr>
          <w:color w:val="auto"/>
          <w:szCs w:val="21"/>
          <w:highlight w:val="none"/>
        </w:rPr>
      </w:pPr>
    </w:p>
    <w:p w14:paraId="1153F0CA">
      <w:pPr>
        <w:spacing w:line="360" w:lineRule="auto"/>
        <w:ind w:left="3780" w:leftChars="1800"/>
        <w:rPr>
          <w:color w:val="auto"/>
          <w:szCs w:val="21"/>
          <w:highlight w:val="none"/>
        </w:rPr>
      </w:pPr>
      <w:r>
        <w:rPr>
          <w:rFonts w:hint="eastAsia"/>
          <w:color w:val="auto"/>
          <w:szCs w:val="21"/>
          <w:highlight w:val="none"/>
        </w:rPr>
        <w:t>磋商申请人：</w:t>
      </w:r>
      <w:r>
        <w:rPr>
          <w:color w:val="auto"/>
          <w:szCs w:val="21"/>
          <w:highlight w:val="none"/>
          <w:u w:val="single"/>
        </w:rPr>
        <w:t xml:space="preserve">                    </w:t>
      </w:r>
      <w:r>
        <w:rPr>
          <w:rFonts w:hint="eastAsia"/>
          <w:color w:val="auto"/>
          <w:szCs w:val="21"/>
          <w:highlight w:val="none"/>
        </w:rPr>
        <w:t>（电子签章）</w:t>
      </w:r>
    </w:p>
    <w:p w14:paraId="4349936F">
      <w:pPr>
        <w:spacing w:line="360" w:lineRule="auto"/>
        <w:ind w:left="3780" w:leftChars="1800"/>
        <w:rPr>
          <w:color w:val="auto"/>
          <w:szCs w:val="21"/>
          <w:highlight w:val="none"/>
        </w:rPr>
      </w:pP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70776871">
      <w:pPr>
        <w:spacing w:line="360" w:lineRule="auto"/>
        <w:rPr>
          <w:color w:val="auto"/>
          <w:szCs w:val="21"/>
          <w:highlight w:val="none"/>
        </w:rPr>
      </w:pPr>
    </w:p>
    <w:p w14:paraId="0E2A52B7">
      <w:pPr>
        <w:pStyle w:val="27"/>
        <w:spacing w:line="360" w:lineRule="auto"/>
        <w:rPr>
          <w:rFonts w:ascii="Times New Roman"/>
          <w:b/>
          <w:color w:val="auto"/>
          <w:sz w:val="28"/>
          <w:szCs w:val="28"/>
          <w:highlight w:val="none"/>
        </w:rPr>
      </w:pPr>
      <w:r>
        <w:rPr>
          <w:rFonts w:ascii="Times New Roman"/>
          <w:b/>
          <w:color w:val="auto"/>
          <w:highlight w:val="none"/>
        </w:rPr>
        <w:br w:type="page"/>
      </w:r>
    </w:p>
    <w:p w14:paraId="1323DF94">
      <w:pPr>
        <w:spacing w:line="360" w:lineRule="auto"/>
        <w:jc w:val="center"/>
        <w:rPr>
          <w:color w:val="auto"/>
          <w:sz w:val="32"/>
          <w:szCs w:val="32"/>
          <w:highlight w:val="none"/>
        </w:rPr>
      </w:pPr>
      <w:r>
        <w:rPr>
          <w:rFonts w:hint="eastAsia"/>
          <w:b/>
          <w:bCs/>
          <w:color w:val="auto"/>
          <w:sz w:val="28"/>
          <w:szCs w:val="28"/>
          <w:highlight w:val="none"/>
          <w:lang w:val="en-US" w:eastAsia="zh-CN"/>
        </w:rPr>
        <w:t>3.</w:t>
      </w:r>
      <w:r>
        <w:rPr>
          <w:rFonts w:hint="eastAsia"/>
          <w:b/>
          <w:bCs/>
          <w:color w:val="auto"/>
          <w:sz w:val="28"/>
          <w:szCs w:val="28"/>
          <w:highlight w:val="none"/>
        </w:rPr>
        <w:t>法定代表人（负责人）授权委托书</w:t>
      </w:r>
    </w:p>
    <w:p w14:paraId="0F2399F0">
      <w:pPr>
        <w:spacing w:line="360" w:lineRule="auto"/>
        <w:rPr>
          <w:color w:val="auto"/>
          <w:szCs w:val="21"/>
          <w:highlight w:val="none"/>
        </w:rPr>
      </w:pPr>
    </w:p>
    <w:p w14:paraId="45136422">
      <w:pPr>
        <w:spacing w:line="360" w:lineRule="auto"/>
        <w:ind w:firstLine="420" w:firstLineChars="200"/>
        <w:rPr>
          <w:color w:val="auto"/>
          <w:szCs w:val="21"/>
          <w:highlight w:val="none"/>
        </w:rPr>
      </w:pPr>
    </w:p>
    <w:p w14:paraId="1BA9D021">
      <w:pPr>
        <w:spacing w:line="360" w:lineRule="auto"/>
        <w:ind w:firstLine="420" w:firstLineChars="200"/>
        <w:rPr>
          <w:color w:val="auto"/>
          <w:szCs w:val="21"/>
          <w:highlight w:val="none"/>
        </w:rPr>
      </w:pPr>
      <w:r>
        <w:rPr>
          <w:rFonts w:hint="eastAsia"/>
          <w:color w:val="auto"/>
          <w:szCs w:val="21"/>
          <w:highlight w:val="none"/>
        </w:rPr>
        <w:t>本授权书声明：</w:t>
      </w:r>
      <w:r>
        <w:rPr>
          <w:color w:val="auto"/>
          <w:szCs w:val="21"/>
          <w:highlight w:val="none"/>
          <w:u w:val="single"/>
        </w:rPr>
        <w:t xml:space="preserve">       </w:t>
      </w:r>
      <w:r>
        <w:rPr>
          <w:rFonts w:hint="eastAsia"/>
          <w:color w:val="auto"/>
          <w:szCs w:val="21"/>
          <w:highlight w:val="none"/>
          <w:u w:val="single"/>
        </w:rPr>
        <w:t>（磋商申请人全称）</w:t>
      </w:r>
      <w:r>
        <w:rPr>
          <w:color w:val="auto"/>
          <w:szCs w:val="21"/>
          <w:highlight w:val="none"/>
          <w:u w:val="single"/>
        </w:rPr>
        <w:t xml:space="preserve">     </w:t>
      </w:r>
      <w:r>
        <w:rPr>
          <w:rFonts w:hint="eastAsia"/>
          <w:color w:val="auto"/>
          <w:szCs w:val="21"/>
          <w:highlight w:val="none"/>
        </w:rPr>
        <w:t>的法定代表人（负责人）代表本公司授权</w:t>
      </w:r>
      <w:r>
        <w:rPr>
          <w:color w:val="auto"/>
          <w:szCs w:val="21"/>
          <w:highlight w:val="none"/>
          <w:u w:val="single"/>
        </w:rPr>
        <w:t xml:space="preserve">   </w:t>
      </w:r>
      <w:r>
        <w:rPr>
          <w:rFonts w:hint="eastAsia"/>
          <w:color w:val="auto"/>
          <w:szCs w:val="21"/>
          <w:highlight w:val="none"/>
          <w:u w:val="single"/>
        </w:rPr>
        <w:t>（委托代理人姓名）</w:t>
      </w:r>
      <w:r>
        <w:rPr>
          <w:color w:val="auto"/>
          <w:szCs w:val="21"/>
          <w:highlight w:val="none"/>
          <w:u w:val="single"/>
        </w:rPr>
        <w:t xml:space="preserve">   </w:t>
      </w:r>
      <w:r>
        <w:rPr>
          <w:rFonts w:hint="eastAsia"/>
          <w:color w:val="auto"/>
          <w:szCs w:val="21"/>
          <w:highlight w:val="none"/>
        </w:rPr>
        <w:t>为本公司合法代理人，以本单位名义亲自出席参加贵方组织的</w:t>
      </w:r>
      <w:r>
        <w:rPr>
          <w:color w:val="auto"/>
          <w:szCs w:val="21"/>
          <w:highlight w:val="none"/>
          <w:u w:val="single"/>
        </w:rPr>
        <w:t xml:space="preserve">    </w:t>
      </w:r>
      <w:r>
        <w:rPr>
          <w:rFonts w:hint="eastAsia"/>
          <w:color w:val="auto"/>
          <w:szCs w:val="21"/>
          <w:highlight w:val="none"/>
          <w:u w:val="single"/>
        </w:rPr>
        <w:t>（采购项目名称）</w:t>
      </w:r>
      <w:r>
        <w:rPr>
          <w:color w:val="auto"/>
          <w:szCs w:val="21"/>
          <w:highlight w:val="none"/>
          <w:u w:val="single"/>
        </w:rPr>
        <w:t xml:space="preserve">    </w:t>
      </w:r>
      <w:r>
        <w:rPr>
          <w:rFonts w:hint="eastAsia"/>
          <w:color w:val="auto"/>
          <w:szCs w:val="21"/>
          <w:highlight w:val="none"/>
        </w:rPr>
        <w:t>项目（采购编号：</w:t>
      </w:r>
      <w:r>
        <w:rPr>
          <w:color w:val="auto"/>
          <w:szCs w:val="21"/>
          <w:highlight w:val="none"/>
          <w:u w:val="single"/>
        </w:rPr>
        <w:t xml:space="preserve">          </w:t>
      </w:r>
      <w:r>
        <w:rPr>
          <w:rFonts w:hint="eastAsia"/>
          <w:color w:val="auto"/>
          <w:szCs w:val="21"/>
          <w:highlight w:val="none"/>
        </w:rPr>
        <w:t>）的磋商。代理人在本项目磋商过程中所签署的一切文件和处理与之有关的一切事务，我方均予承认。</w:t>
      </w:r>
    </w:p>
    <w:p w14:paraId="596EF90E">
      <w:pPr>
        <w:spacing w:line="360" w:lineRule="auto"/>
        <w:ind w:firstLine="420" w:firstLineChars="200"/>
        <w:rPr>
          <w:color w:val="auto"/>
          <w:szCs w:val="21"/>
          <w:highlight w:val="none"/>
        </w:rPr>
      </w:pPr>
      <w:r>
        <w:rPr>
          <w:rFonts w:hint="eastAsia"/>
          <w:color w:val="auto"/>
          <w:szCs w:val="21"/>
          <w:highlight w:val="none"/>
        </w:rPr>
        <w:t>代理人无转委托权。</w:t>
      </w:r>
    </w:p>
    <w:p w14:paraId="0A49FA18">
      <w:pPr>
        <w:spacing w:line="360" w:lineRule="auto"/>
        <w:ind w:firstLine="420" w:firstLineChars="200"/>
        <w:rPr>
          <w:color w:val="auto"/>
          <w:szCs w:val="21"/>
          <w:highlight w:val="none"/>
        </w:rPr>
      </w:pPr>
    </w:p>
    <w:p w14:paraId="385A00D0">
      <w:pPr>
        <w:spacing w:line="360" w:lineRule="auto"/>
        <w:ind w:firstLine="420" w:firstLineChars="200"/>
        <w:rPr>
          <w:color w:val="auto"/>
          <w:szCs w:val="21"/>
          <w:highlight w:val="none"/>
        </w:rPr>
      </w:pPr>
      <w:r>
        <w:rPr>
          <w:rFonts w:hint="eastAsia"/>
          <w:color w:val="auto"/>
          <w:szCs w:val="21"/>
          <w:highlight w:val="none"/>
        </w:rPr>
        <w:t>磋商申请人：</w:t>
      </w:r>
      <w:r>
        <w:rPr>
          <w:color w:val="auto"/>
          <w:szCs w:val="21"/>
          <w:highlight w:val="none"/>
          <w:u w:val="single"/>
        </w:rPr>
        <w:t xml:space="preserve">        </w:t>
      </w:r>
      <w:r>
        <w:rPr>
          <w:rFonts w:hint="eastAsia"/>
          <w:color w:val="auto"/>
          <w:szCs w:val="21"/>
          <w:highlight w:val="none"/>
          <w:u w:val="single"/>
        </w:rPr>
        <w:t>（全称）</w:t>
      </w:r>
      <w:r>
        <w:rPr>
          <w:color w:val="auto"/>
          <w:szCs w:val="21"/>
          <w:highlight w:val="none"/>
          <w:u w:val="single"/>
        </w:rPr>
        <w:t xml:space="preserve">      </w:t>
      </w:r>
      <w:r>
        <w:rPr>
          <w:rFonts w:hint="eastAsia"/>
          <w:color w:val="auto"/>
          <w:szCs w:val="21"/>
          <w:highlight w:val="none"/>
        </w:rPr>
        <w:t>（电子签章）</w:t>
      </w:r>
    </w:p>
    <w:p w14:paraId="223A0645">
      <w:pPr>
        <w:spacing w:line="360" w:lineRule="auto"/>
        <w:ind w:firstLine="420" w:firstLineChars="200"/>
        <w:rPr>
          <w:color w:val="auto"/>
          <w:szCs w:val="21"/>
          <w:highlight w:val="none"/>
        </w:rPr>
      </w:pPr>
      <w:r>
        <w:rPr>
          <w:rFonts w:hint="eastAsia"/>
          <w:color w:val="auto"/>
          <w:szCs w:val="21"/>
          <w:highlight w:val="none"/>
        </w:rPr>
        <w:t>法定代表人（负责人）：</w:t>
      </w:r>
      <w:r>
        <w:rPr>
          <w:color w:val="auto"/>
          <w:szCs w:val="21"/>
          <w:highlight w:val="none"/>
          <w:u w:val="single"/>
        </w:rPr>
        <w:t xml:space="preserve">                      </w:t>
      </w:r>
      <w:r>
        <w:rPr>
          <w:rFonts w:hint="eastAsia" w:ascii="宋体" w:hAnsi="宋体"/>
          <w:color w:val="auto"/>
          <w:szCs w:val="21"/>
          <w:highlight w:val="none"/>
        </w:rPr>
        <w:t>（签字或电子签章）</w:t>
      </w:r>
    </w:p>
    <w:p w14:paraId="1002304D">
      <w:pPr>
        <w:spacing w:line="360" w:lineRule="auto"/>
        <w:ind w:firstLine="420" w:firstLineChars="200"/>
        <w:rPr>
          <w:color w:val="auto"/>
          <w:szCs w:val="21"/>
          <w:highlight w:val="none"/>
        </w:rPr>
      </w:pPr>
      <w:r>
        <w:rPr>
          <w:rFonts w:hint="eastAsia"/>
          <w:color w:val="auto"/>
          <w:szCs w:val="21"/>
          <w:highlight w:val="none"/>
        </w:rPr>
        <w:t>法定代表人（负责人）身份证号码：</w:t>
      </w:r>
      <w:r>
        <w:rPr>
          <w:color w:val="auto"/>
          <w:szCs w:val="21"/>
          <w:highlight w:val="none"/>
          <w:u w:val="single"/>
        </w:rPr>
        <w:t xml:space="preserve">                             </w:t>
      </w:r>
    </w:p>
    <w:p w14:paraId="26E717D2">
      <w:pPr>
        <w:spacing w:line="360" w:lineRule="auto"/>
        <w:ind w:firstLine="420" w:firstLineChars="200"/>
        <w:rPr>
          <w:rFonts w:hint="eastAsia" w:ascii="宋体" w:hAnsi="宋体" w:eastAsia="宋体" w:cs="宋体"/>
          <w:color w:val="auto"/>
          <w:highlight w:val="none"/>
        </w:rPr>
      </w:pPr>
    </w:p>
    <w:p w14:paraId="4051E369">
      <w:pPr>
        <w:spacing w:line="360" w:lineRule="auto"/>
        <w:ind w:firstLine="420" w:firstLineChars="200"/>
        <w:rPr>
          <w:rFonts w:ascii="宋体" w:hAnsi="宋体" w:eastAsia="宋体" w:cs="宋体"/>
          <w:color w:val="auto"/>
          <w:highlight w:val="none"/>
        </w:rPr>
      </w:pPr>
      <w:r>
        <w:rPr>
          <w:rFonts w:hint="eastAsia" w:ascii="宋体" w:hAnsi="宋体" w:cs="宋体"/>
          <w:color w:val="auto"/>
          <w:highlight w:val="none"/>
          <w:lang w:eastAsia="zh-CN"/>
        </w:rPr>
        <w:t>附</w:t>
      </w:r>
      <w:r>
        <w:rPr>
          <w:rFonts w:hint="eastAsia" w:ascii="宋体" w:hAnsi="宋体" w:eastAsia="宋体" w:cs="宋体"/>
          <w:color w:val="auto"/>
          <w:highlight w:val="none"/>
        </w:rPr>
        <w:t>委托代理人相关信息</w:t>
      </w:r>
    </w:p>
    <w:p w14:paraId="275A198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p>
    <w:p w14:paraId="009F95E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p>
    <w:p w14:paraId="484ACF4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代理人身份证号码：</w:t>
      </w:r>
      <w:r>
        <w:rPr>
          <w:rFonts w:hint="eastAsia" w:ascii="宋体" w:hAnsi="宋体" w:eastAsia="宋体" w:cs="宋体"/>
          <w:color w:val="auto"/>
          <w:highlight w:val="none"/>
          <w:u w:val="single"/>
        </w:rPr>
        <w:t xml:space="preserve">                       </w:t>
      </w:r>
    </w:p>
    <w:p w14:paraId="641E2F36">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委托代理人详细地址：</w:t>
      </w:r>
      <w:r>
        <w:rPr>
          <w:rFonts w:hint="eastAsia" w:ascii="宋体" w:hAnsi="宋体" w:eastAsia="宋体" w:cs="宋体"/>
          <w:color w:val="auto"/>
          <w:highlight w:val="none"/>
          <w:u w:val="single"/>
        </w:rPr>
        <w:t xml:space="preserve">                      </w:t>
      </w:r>
    </w:p>
    <w:p w14:paraId="5E47048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23EAA648">
      <w:pPr>
        <w:spacing w:line="360" w:lineRule="auto"/>
        <w:ind w:firstLine="420" w:firstLineChars="200"/>
        <w:rPr>
          <w:color w:val="auto"/>
          <w:szCs w:val="21"/>
          <w:highlight w:val="none"/>
          <w:u w:val="singl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CF1643D">
      <w:pPr>
        <w:spacing w:line="360" w:lineRule="auto"/>
        <w:ind w:firstLine="420" w:firstLineChars="200"/>
        <w:rPr>
          <w:color w:val="auto"/>
          <w:szCs w:val="21"/>
          <w:highlight w:val="none"/>
        </w:rPr>
      </w:pPr>
    </w:p>
    <w:p w14:paraId="1539F002">
      <w:pPr>
        <w:spacing w:line="360" w:lineRule="auto"/>
        <w:ind w:firstLine="420" w:firstLineChars="200"/>
        <w:rPr>
          <w:rFonts w:hint="eastAsia"/>
          <w:color w:val="auto"/>
          <w:szCs w:val="21"/>
          <w:highlight w:val="none"/>
        </w:rPr>
      </w:pPr>
    </w:p>
    <w:p w14:paraId="1C959D6A">
      <w:pPr>
        <w:spacing w:line="360" w:lineRule="auto"/>
        <w:ind w:firstLine="420" w:firstLineChars="200"/>
        <w:rPr>
          <w:color w:val="auto"/>
          <w:szCs w:val="21"/>
          <w:highlight w:val="none"/>
        </w:rPr>
      </w:pPr>
    </w:p>
    <w:p w14:paraId="1E4A4DF6">
      <w:pPr>
        <w:spacing w:line="460" w:lineRule="exact"/>
        <w:jc w:val="center"/>
        <w:rPr>
          <w:rFonts w:ascii="宋体" w:hAnsi="宋体" w:eastAsia="宋体" w:cs="宋体"/>
          <w:b/>
          <w:bCs/>
          <w:color w:val="auto"/>
          <w:sz w:val="28"/>
          <w:szCs w:val="28"/>
          <w:highlight w:val="none"/>
        </w:rPr>
      </w:pPr>
      <w:bookmarkStart w:id="293" w:name="_Toc383175511"/>
      <w:r>
        <w:rPr>
          <w:rFonts w:hint="eastAsia" w:ascii="Times New Roman" w:hAnsi="Times New Roman"/>
          <w:color w:val="auto"/>
          <w:kern w:val="2"/>
          <w:sz w:val="21"/>
          <w:szCs w:val="21"/>
          <w:highlight w:val="none"/>
        </w:rPr>
        <w:t>注</w:t>
      </w:r>
      <w:r>
        <w:rPr>
          <w:rFonts w:hint="eastAsia"/>
          <w:color w:val="auto"/>
          <w:kern w:val="2"/>
          <w:sz w:val="21"/>
          <w:szCs w:val="21"/>
          <w:highlight w:val="none"/>
          <w:lang w:eastAsia="zh-CN"/>
        </w:rPr>
        <w:t>：</w:t>
      </w:r>
      <w:r>
        <w:rPr>
          <w:rFonts w:hint="eastAsia" w:ascii="Times New Roman" w:hAnsi="Times New Roman"/>
          <w:color w:val="auto"/>
          <w:kern w:val="2"/>
          <w:sz w:val="21"/>
          <w:szCs w:val="21"/>
          <w:highlight w:val="none"/>
        </w:rPr>
        <w:t>后附被授权人身份证复印件</w:t>
      </w:r>
      <w:r>
        <w:rPr>
          <w:b w:val="0"/>
          <w:color w:val="auto"/>
          <w:szCs w:val="21"/>
          <w:highlight w:val="none"/>
        </w:rPr>
        <w:br w:type="page"/>
      </w:r>
      <w:bookmarkStart w:id="294" w:name="_Toc347494222"/>
      <w:bookmarkStart w:id="295" w:name="_Toc383175512"/>
      <w:bookmarkStart w:id="296" w:name="_Toc347849249"/>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磋商申请人提供联合体情况申明</w:t>
      </w:r>
    </w:p>
    <w:p w14:paraId="2D9001C1">
      <w:pPr>
        <w:spacing w:line="480" w:lineRule="exact"/>
        <w:jc w:val="center"/>
        <w:rPr>
          <w:rFonts w:ascii="宋体" w:hAnsi="宋体" w:eastAsia="宋体" w:cs="宋体"/>
          <w:b/>
          <w:bCs/>
          <w:color w:val="auto"/>
          <w:sz w:val="30"/>
          <w:highlight w:val="none"/>
        </w:rPr>
      </w:pPr>
    </w:p>
    <w:p w14:paraId="3EB7768B">
      <w:pPr>
        <w:spacing w:line="480" w:lineRule="exact"/>
        <w:jc w:val="center"/>
        <w:rPr>
          <w:rFonts w:ascii="宋体" w:hAnsi="宋体" w:eastAsia="宋体" w:cs="宋体"/>
          <w:b/>
          <w:bCs/>
          <w:color w:val="auto"/>
          <w:sz w:val="30"/>
          <w:highlight w:val="none"/>
        </w:rPr>
      </w:pPr>
      <w:r>
        <w:rPr>
          <w:rFonts w:hint="eastAsia" w:ascii="宋体" w:hAnsi="宋体" w:cs="宋体"/>
          <w:b/>
          <w:bCs/>
          <w:color w:val="auto"/>
          <w:sz w:val="21"/>
          <w:szCs w:val="18"/>
          <w:highlight w:val="none"/>
          <w:lang w:eastAsia="zh-CN"/>
        </w:rPr>
        <w:t>（</w:t>
      </w:r>
      <w:r>
        <w:rPr>
          <w:rFonts w:hint="eastAsia" w:ascii="宋体" w:hAnsi="宋体" w:eastAsia="宋体" w:cs="宋体"/>
          <w:b/>
          <w:bCs/>
          <w:color w:val="auto"/>
          <w:sz w:val="21"/>
          <w:szCs w:val="18"/>
          <w:highlight w:val="none"/>
        </w:rPr>
        <w:t>磋商申请人若</w:t>
      </w:r>
      <w:r>
        <w:rPr>
          <w:rFonts w:hint="eastAsia" w:ascii="宋体" w:hAnsi="宋体" w:cs="宋体"/>
          <w:b/>
          <w:bCs/>
          <w:color w:val="auto"/>
          <w:sz w:val="21"/>
          <w:szCs w:val="18"/>
          <w:highlight w:val="none"/>
          <w:lang w:eastAsia="zh-CN"/>
        </w:rPr>
        <w:t>为联合体，需提供联合体协议，若</w:t>
      </w:r>
      <w:r>
        <w:rPr>
          <w:rFonts w:hint="eastAsia" w:ascii="宋体" w:hAnsi="宋体" w:eastAsia="宋体" w:cs="宋体"/>
          <w:b/>
          <w:bCs/>
          <w:color w:val="auto"/>
          <w:sz w:val="21"/>
          <w:szCs w:val="18"/>
          <w:highlight w:val="none"/>
        </w:rPr>
        <w:t>不属于联合体请</w:t>
      </w:r>
      <w:r>
        <w:rPr>
          <w:rFonts w:hint="eastAsia" w:ascii="宋体" w:hAnsi="宋体" w:cs="宋体"/>
          <w:b/>
          <w:bCs/>
          <w:color w:val="auto"/>
          <w:sz w:val="21"/>
          <w:szCs w:val="18"/>
          <w:highlight w:val="none"/>
          <w:lang w:eastAsia="zh-CN"/>
        </w:rPr>
        <w:t>提供申明书，申明书</w:t>
      </w:r>
      <w:r>
        <w:rPr>
          <w:rFonts w:hint="eastAsia" w:ascii="宋体" w:hAnsi="宋体" w:eastAsia="宋体" w:cs="宋体"/>
          <w:b/>
          <w:bCs/>
          <w:color w:val="auto"/>
          <w:sz w:val="21"/>
          <w:szCs w:val="18"/>
          <w:highlight w:val="none"/>
        </w:rPr>
        <w:t>按以下格式填写</w:t>
      </w:r>
      <w:r>
        <w:rPr>
          <w:rFonts w:hint="eastAsia" w:ascii="宋体" w:hAnsi="宋体" w:cs="宋体"/>
          <w:b/>
          <w:bCs/>
          <w:color w:val="auto"/>
          <w:sz w:val="21"/>
          <w:szCs w:val="18"/>
          <w:highlight w:val="none"/>
          <w:lang w:eastAsia="zh-CN"/>
        </w:rPr>
        <w:t>）</w:t>
      </w:r>
    </w:p>
    <w:p w14:paraId="2D5DC5B4">
      <w:pPr>
        <w:spacing w:line="480" w:lineRule="exact"/>
        <w:jc w:val="center"/>
        <w:rPr>
          <w:rFonts w:hint="eastAsia" w:ascii="宋体" w:hAnsi="宋体" w:eastAsia="宋体" w:cs="宋体"/>
          <w:b/>
          <w:bCs/>
          <w:color w:val="auto"/>
          <w:sz w:val="30"/>
          <w:highlight w:val="none"/>
        </w:rPr>
      </w:pPr>
    </w:p>
    <w:p w14:paraId="7C4A6B7E">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 xml:space="preserve">申 明 书 </w:t>
      </w:r>
    </w:p>
    <w:p w14:paraId="43DDE943">
      <w:pPr>
        <w:spacing w:line="480" w:lineRule="exact"/>
        <w:rPr>
          <w:rFonts w:ascii="宋体" w:hAnsi="宋体" w:eastAsia="宋体" w:cs="宋体"/>
          <w:b/>
          <w:bCs/>
          <w:color w:val="auto"/>
          <w:sz w:val="24"/>
          <w:szCs w:val="24"/>
          <w:highlight w:val="none"/>
        </w:rPr>
      </w:pPr>
    </w:p>
    <w:p w14:paraId="30ED43F7">
      <w:pPr>
        <w:spacing w:line="480" w:lineRule="exact"/>
        <w:rPr>
          <w:rFonts w:ascii="宋体" w:hAnsi="宋体" w:eastAsia="宋体" w:cs="宋体"/>
          <w:b/>
          <w:color w:val="auto"/>
          <w:szCs w:val="21"/>
          <w:highlight w:val="none"/>
          <w:u w:val="single"/>
        </w:rPr>
      </w:pP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（采购人名称）       </w:t>
      </w:r>
    </w:p>
    <w:p w14:paraId="432EAAD0">
      <w:pPr>
        <w:spacing w:line="500" w:lineRule="exact"/>
        <w:rPr>
          <w:rFonts w:ascii="宋体" w:hAnsi="宋体" w:eastAsia="宋体" w:cs="宋体"/>
          <w:b/>
          <w:color w:val="auto"/>
          <w:szCs w:val="21"/>
          <w:highlight w:val="none"/>
        </w:rPr>
      </w:pPr>
    </w:p>
    <w:p w14:paraId="5BB7FA2F">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1"/>
          <w:szCs w:val="21"/>
          <w:highlight w:val="none"/>
        </w:rPr>
        <w:t>在审阅了贵方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竞争性磋商文件包括确已收到第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号补充文件（若有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若没有任何补遗、更正的，请填写“/”</w:t>
      </w:r>
      <w:r>
        <w:rPr>
          <w:rFonts w:hint="eastAsia" w:ascii="宋体" w:hAnsi="宋体" w:eastAsia="宋体" w:cs="宋体"/>
          <w:color w:val="auto"/>
          <w:sz w:val="21"/>
          <w:szCs w:val="21"/>
          <w:highlight w:val="none"/>
        </w:rPr>
        <w:t>），我方被授权签字人在此申明我方就本项目</w:t>
      </w:r>
      <w:r>
        <w:rPr>
          <w:rFonts w:hint="eastAsia" w:ascii="宋体" w:hAnsi="宋体" w:eastAsia="宋体" w:cs="宋体"/>
          <w:color w:val="auto"/>
          <w:sz w:val="21"/>
          <w:szCs w:val="21"/>
          <w:highlight w:val="none"/>
          <w:lang w:val="en-US" w:eastAsia="zh-CN"/>
        </w:rPr>
        <w:t>采购活动</w:t>
      </w:r>
      <w:r>
        <w:rPr>
          <w:rFonts w:hint="eastAsia" w:ascii="宋体" w:hAnsi="宋体" w:eastAsia="宋体" w:cs="宋体"/>
          <w:color w:val="auto"/>
          <w:sz w:val="21"/>
          <w:szCs w:val="21"/>
          <w:highlight w:val="none"/>
        </w:rPr>
        <w:t>为独立参与磋商，我方不属于</w:t>
      </w:r>
      <w:r>
        <w:rPr>
          <w:rFonts w:hint="eastAsia" w:ascii="宋体" w:hAnsi="宋体" w:eastAsia="宋体" w:cs="宋体"/>
          <w:b/>
          <w:color w:val="auto"/>
          <w:sz w:val="21"/>
          <w:szCs w:val="21"/>
          <w:highlight w:val="none"/>
        </w:rPr>
        <w:t>联合体。</w:t>
      </w:r>
    </w:p>
    <w:p w14:paraId="35C7EB13">
      <w:pPr>
        <w:spacing w:line="500" w:lineRule="exact"/>
        <w:ind w:firstLine="420" w:firstLineChars="200"/>
        <w:jc w:val="left"/>
        <w:rPr>
          <w:rFonts w:hint="eastAsia" w:ascii="宋体" w:hAnsi="宋体" w:eastAsia="宋体" w:cs="宋体"/>
          <w:color w:val="auto"/>
          <w:sz w:val="21"/>
          <w:szCs w:val="21"/>
          <w:highlight w:val="none"/>
        </w:rPr>
      </w:pPr>
    </w:p>
    <w:p w14:paraId="443B587A">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法定代表人（负责人）或被授权人（签字或盖章）： </w:t>
      </w:r>
    </w:p>
    <w:p w14:paraId="5B9BC667">
      <w:pPr>
        <w:spacing w:line="500" w:lineRule="exact"/>
        <w:ind w:firstLine="4620" w:firstLineChars="2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单位公章：</w:t>
      </w:r>
    </w:p>
    <w:p w14:paraId="46DAB913">
      <w:pPr>
        <w:spacing w:line="500" w:lineRule="exact"/>
        <w:jc w:val="left"/>
        <w:rPr>
          <w:rFonts w:ascii="宋体" w:hAnsi="宋体" w:eastAsia="宋体" w:cs="宋体"/>
          <w:color w:val="auto"/>
          <w:szCs w:val="21"/>
          <w:highlight w:val="none"/>
        </w:rPr>
      </w:pPr>
      <w:r>
        <w:rPr>
          <w:rFonts w:hint="eastAsia" w:ascii="宋体" w:hAnsi="宋体" w:eastAsia="宋体" w:cs="宋体"/>
          <w:color w:val="auto"/>
          <w:sz w:val="21"/>
          <w:szCs w:val="21"/>
          <w:highlight w:val="none"/>
        </w:rPr>
        <w:t>　　　　　　　　　　　　　　　　　　　　　　　年　　月    日</w:t>
      </w:r>
    </w:p>
    <w:p w14:paraId="30379C3C">
      <w:pPr>
        <w:rPr>
          <w:b w:val="0"/>
          <w:color w:val="auto"/>
          <w:szCs w:val="21"/>
          <w:highlight w:val="none"/>
        </w:rPr>
      </w:pPr>
    </w:p>
    <w:p w14:paraId="378797C8">
      <w:pPr>
        <w:rPr>
          <w:rFonts w:hint="eastAsia" w:ascii="Times New Roman"/>
          <w:color w:val="auto"/>
          <w:szCs w:val="28"/>
          <w:highlight w:val="none"/>
        </w:rPr>
      </w:pPr>
      <w:r>
        <w:rPr>
          <w:rFonts w:hint="eastAsia" w:ascii="Times New Roman"/>
          <w:color w:val="auto"/>
          <w:szCs w:val="28"/>
          <w:highlight w:val="none"/>
        </w:rPr>
        <w:br w:type="page"/>
      </w:r>
    </w:p>
    <w:p w14:paraId="7557B3B7">
      <w:pPr>
        <w:pStyle w:val="3"/>
        <w:jc w:val="left"/>
        <w:rPr>
          <w:color w:val="auto"/>
          <w:highlight w:val="none"/>
        </w:rPr>
      </w:pPr>
      <w:r>
        <w:rPr>
          <w:rFonts w:hint="eastAsia" w:ascii="Times New Roman"/>
          <w:color w:val="auto"/>
          <w:szCs w:val="28"/>
          <w:highlight w:val="none"/>
        </w:rPr>
        <w:t>格式</w:t>
      </w:r>
      <w:r>
        <w:rPr>
          <w:rFonts w:hint="eastAsia" w:ascii="Times New Roman"/>
          <w:color w:val="auto"/>
          <w:szCs w:val="28"/>
          <w:highlight w:val="none"/>
          <w:lang w:val="en-US" w:eastAsia="zh-CN"/>
        </w:rPr>
        <w:t>2</w:t>
      </w:r>
      <w:r>
        <w:rPr>
          <w:rFonts w:ascii="Times New Roman"/>
          <w:color w:val="auto"/>
          <w:szCs w:val="28"/>
          <w:highlight w:val="none"/>
        </w:rPr>
        <w:t>-</w:t>
      </w:r>
      <w:r>
        <w:rPr>
          <w:rFonts w:hint="eastAsia" w:ascii="Times New Roman"/>
          <w:color w:val="auto"/>
          <w:szCs w:val="28"/>
          <w:highlight w:val="none"/>
          <w:lang w:val="en-US" w:eastAsia="zh-CN"/>
        </w:rPr>
        <w:t>2</w:t>
      </w:r>
      <w:r>
        <w:rPr>
          <w:rFonts w:hint="eastAsia" w:ascii="Times New Roman"/>
          <w:color w:val="auto"/>
          <w:szCs w:val="28"/>
          <w:highlight w:val="none"/>
        </w:rPr>
        <w:t>：</w:t>
      </w:r>
    </w:p>
    <w:p w14:paraId="07521D04">
      <w:pPr>
        <w:pStyle w:val="3"/>
        <w:ind w:left="425"/>
        <w:rPr>
          <w:color w:val="auto"/>
          <w:highlight w:val="none"/>
        </w:rPr>
      </w:pPr>
      <w:r>
        <w:rPr>
          <w:rFonts w:hint="eastAsia"/>
          <w:color w:val="auto"/>
          <w:highlight w:val="none"/>
        </w:rPr>
        <w:t>具有良好的商业信誉和健全的财务会计制度</w:t>
      </w:r>
    </w:p>
    <w:p w14:paraId="7D51BA71">
      <w:pPr>
        <w:spacing w:line="360" w:lineRule="auto"/>
        <w:rPr>
          <w:rFonts w:ascii="Times New Roman" w:hAnsi="Times New Roman" w:eastAsia="宋体" w:cs="Times New Roman"/>
          <w:color w:val="auto"/>
          <w:kern w:val="0"/>
          <w:sz w:val="22"/>
          <w:szCs w:val="22"/>
          <w:highlight w:val="none"/>
        </w:rPr>
      </w:pPr>
      <w:r>
        <w:rPr>
          <w:rFonts w:ascii="Times New Roman" w:hAnsi="Times New Roman" w:eastAsia="宋体" w:cs="Times New Roman"/>
          <w:color w:val="auto"/>
          <w:kern w:val="0"/>
          <w:sz w:val="22"/>
          <w:szCs w:val="22"/>
          <w:highlight w:val="none"/>
        </w:rPr>
        <w:t>1.</w:t>
      </w:r>
      <w:r>
        <w:rPr>
          <w:rFonts w:hint="eastAsia" w:ascii="Times New Roman" w:hAnsi="Times New Roman" w:eastAsia="宋体" w:cs="Times New Roman"/>
          <w:color w:val="auto"/>
          <w:kern w:val="0"/>
          <w:sz w:val="22"/>
          <w:szCs w:val="22"/>
          <w:highlight w:val="none"/>
        </w:rPr>
        <w:t>具有良好的商业信誉</w:t>
      </w:r>
      <w:r>
        <w:rPr>
          <w:rFonts w:hint="eastAsia" w:ascii="Times New Roman" w:hAnsi="Times New Roman" w:eastAsia="宋体" w:cs="Times New Roman"/>
          <w:color w:val="auto"/>
          <w:kern w:val="0"/>
          <w:sz w:val="22"/>
          <w:szCs w:val="22"/>
          <w:highlight w:val="none"/>
          <w:lang w:eastAsia="zh-CN"/>
        </w:rPr>
        <w:t>：</w:t>
      </w:r>
      <w:r>
        <w:rPr>
          <w:rFonts w:ascii="Times New Roman" w:hAnsi="Times New Roman" w:eastAsia="宋体" w:cs="Times New Roman"/>
          <w:color w:val="auto"/>
          <w:kern w:val="0"/>
          <w:sz w:val="22"/>
          <w:szCs w:val="22"/>
          <w:highlight w:val="none"/>
        </w:rPr>
        <w:t>提供具有良好商业信誉声明（格式自拟</w:t>
      </w:r>
      <w:r>
        <w:rPr>
          <w:rFonts w:hint="eastAsia" w:ascii="Times New Roman" w:hAnsi="Times New Roman" w:eastAsia="宋体" w:cs="Times New Roman"/>
          <w:color w:val="auto"/>
          <w:kern w:val="0"/>
          <w:sz w:val="22"/>
          <w:szCs w:val="22"/>
          <w:highlight w:val="none"/>
        </w:rPr>
        <w:t>，加盖投标单位公章确认</w:t>
      </w:r>
      <w:r>
        <w:rPr>
          <w:rFonts w:ascii="Times New Roman" w:hAnsi="Times New Roman" w:eastAsia="宋体" w:cs="Times New Roman"/>
          <w:color w:val="auto"/>
          <w:kern w:val="0"/>
          <w:sz w:val="22"/>
          <w:szCs w:val="22"/>
          <w:highlight w:val="none"/>
        </w:rPr>
        <w:t>）</w:t>
      </w:r>
    </w:p>
    <w:p w14:paraId="04300B1A">
      <w:pPr>
        <w:spacing w:line="360" w:lineRule="auto"/>
        <w:rPr>
          <w:rFonts w:ascii="Times New Roman" w:hAnsi="Times New Roman" w:eastAsia="宋体" w:cs="Times New Roman"/>
          <w:color w:val="auto"/>
          <w:kern w:val="0"/>
          <w:sz w:val="22"/>
          <w:szCs w:val="22"/>
          <w:highlight w:val="none"/>
        </w:rPr>
      </w:pPr>
    </w:p>
    <w:p w14:paraId="3B45C079">
      <w:pPr>
        <w:spacing w:line="360" w:lineRule="auto"/>
        <w:rPr>
          <w:color w:val="auto"/>
          <w:kern w:val="0"/>
          <w:sz w:val="22"/>
          <w:szCs w:val="22"/>
          <w:highlight w:val="none"/>
        </w:rPr>
      </w:pPr>
    </w:p>
    <w:p w14:paraId="383FB188">
      <w:pPr>
        <w:spacing w:line="360" w:lineRule="auto"/>
        <w:rPr>
          <w:color w:val="auto"/>
          <w:kern w:val="0"/>
          <w:sz w:val="22"/>
          <w:szCs w:val="22"/>
          <w:highlight w:val="none"/>
        </w:rPr>
      </w:pPr>
      <w:r>
        <w:rPr>
          <w:rFonts w:hint="eastAsia"/>
          <w:color w:val="auto"/>
          <w:kern w:val="0"/>
          <w:sz w:val="22"/>
          <w:szCs w:val="22"/>
          <w:highlight w:val="none"/>
        </w:rPr>
        <w:t>2.</w:t>
      </w:r>
      <w:r>
        <w:rPr>
          <w:rFonts w:hint="eastAsia"/>
          <w:color w:val="auto"/>
          <w:kern w:val="0"/>
          <w:sz w:val="22"/>
          <w:szCs w:val="22"/>
          <w:highlight w:val="none"/>
          <w:lang w:eastAsia="zh-CN"/>
        </w:rPr>
        <w:t>具有</w:t>
      </w:r>
      <w:r>
        <w:rPr>
          <w:rFonts w:hint="eastAsia"/>
          <w:color w:val="auto"/>
          <w:kern w:val="0"/>
          <w:sz w:val="22"/>
          <w:szCs w:val="22"/>
          <w:highlight w:val="none"/>
        </w:rPr>
        <w:t>健全的财务会计制度</w:t>
      </w:r>
      <w:r>
        <w:rPr>
          <w:rFonts w:hint="eastAsia"/>
          <w:color w:val="auto"/>
          <w:kern w:val="0"/>
          <w:sz w:val="22"/>
          <w:szCs w:val="22"/>
          <w:highlight w:val="none"/>
          <w:lang w:eastAsia="zh-CN"/>
        </w:rPr>
        <w:t>：</w:t>
      </w:r>
      <w:r>
        <w:rPr>
          <w:rFonts w:hint="eastAsia"/>
          <w:color w:val="auto"/>
          <w:kern w:val="0"/>
          <w:sz w:val="22"/>
          <w:szCs w:val="22"/>
          <w:highlight w:val="none"/>
        </w:rPr>
        <w:t>提供磋商申请人</w:t>
      </w:r>
      <w:r>
        <w:rPr>
          <w:rFonts w:hint="eastAsia"/>
          <w:color w:val="auto"/>
          <w:kern w:val="0"/>
          <w:sz w:val="22"/>
          <w:szCs w:val="22"/>
          <w:highlight w:val="none"/>
          <w:lang w:eastAsia="zh-CN"/>
        </w:rPr>
        <w:t>2024年度或2025年度</w:t>
      </w:r>
      <w:r>
        <w:rPr>
          <w:rFonts w:hint="eastAsia"/>
          <w:color w:val="auto"/>
          <w:kern w:val="0"/>
          <w:sz w:val="22"/>
          <w:szCs w:val="22"/>
          <w:highlight w:val="none"/>
        </w:rPr>
        <w:t>经审计的财务报告；磋商申请人（含新成立的单位）无法提供</w:t>
      </w:r>
      <w:r>
        <w:rPr>
          <w:rFonts w:hint="eastAsia"/>
          <w:color w:val="auto"/>
          <w:kern w:val="0"/>
          <w:sz w:val="22"/>
          <w:szCs w:val="22"/>
          <w:highlight w:val="none"/>
          <w:lang w:eastAsia="zh-CN"/>
        </w:rPr>
        <w:t>2024年度或2025年度</w:t>
      </w:r>
      <w:r>
        <w:rPr>
          <w:rFonts w:hint="eastAsia"/>
          <w:color w:val="auto"/>
          <w:kern w:val="0"/>
          <w:sz w:val="22"/>
          <w:szCs w:val="22"/>
          <w:highlight w:val="none"/>
        </w:rPr>
        <w:t>经审计的财务报告的，提供银行出具的资信证明或担保机构出具的投标担保函等能证明具有健全的财务会计制度的证明材料。</w:t>
      </w:r>
    </w:p>
    <w:p w14:paraId="13D89CA3">
      <w:pPr>
        <w:rPr>
          <w:rFonts w:hint="eastAsia"/>
          <w:b/>
          <w:color w:val="auto"/>
          <w:sz w:val="28"/>
          <w:szCs w:val="28"/>
          <w:highlight w:val="none"/>
        </w:rPr>
      </w:pPr>
      <w:r>
        <w:rPr>
          <w:rFonts w:hint="eastAsia"/>
          <w:b/>
          <w:color w:val="auto"/>
          <w:sz w:val="28"/>
          <w:szCs w:val="28"/>
          <w:highlight w:val="none"/>
        </w:rPr>
        <w:br w:type="page"/>
      </w:r>
    </w:p>
    <w:p w14:paraId="1B6E523A">
      <w:pPr>
        <w:spacing w:line="360" w:lineRule="auto"/>
        <w:jc w:val="left"/>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w:t>
      </w:r>
      <w:r>
        <w:rPr>
          <w:b/>
          <w:color w:val="auto"/>
          <w:sz w:val="28"/>
          <w:szCs w:val="28"/>
          <w:highlight w:val="none"/>
        </w:rPr>
        <w:t>-</w:t>
      </w:r>
      <w:r>
        <w:rPr>
          <w:rFonts w:hint="eastAsia"/>
          <w:b/>
          <w:color w:val="auto"/>
          <w:sz w:val="28"/>
          <w:szCs w:val="28"/>
          <w:highlight w:val="none"/>
          <w:lang w:val="en-US" w:eastAsia="zh-CN"/>
        </w:rPr>
        <w:t>3</w:t>
      </w:r>
      <w:r>
        <w:rPr>
          <w:rFonts w:hint="eastAsia"/>
          <w:b/>
          <w:color w:val="auto"/>
          <w:sz w:val="28"/>
          <w:szCs w:val="28"/>
          <w:highlight w:val="none"/>
        </w:rPr>
        <w:t>：</w:t>
      </w:r>
    </w:p>
    <w:p w14:paraId="38F2E456">
      <w:pPr>
        <w:spacing w:line="360" w:lineRule="auto"/>
        <w:jc w:val="center"/>
        <w:rPr>
          <w:b/>
          <w:bCs/>
          <w:color w:val="auto"/>
          <w:sz w:val="28"/>
          <w:szCs w:val="28"/>
          <w:highlight w:val="none"/>
        </w:rPr>
      </w:pPr>
      <w:r>
        <w:rPr>
          <w:rFonts w:hint="eastAsia"/>
          <w:b/>
          <w:color w:val="auto"/>
          <w:sz w:val="28"/>
          <w:szCs w:val="28"/>
          <w:highlight w:val="none"/>
        </w:rPr>
        <w:t>有依法缴纳税收和社会保障资金的良好记录</w:t>
      </w:r>
    </w:p>
    <w:p w14:paraId="33E9FDAF">
      <w:pPr>
        <w:tabs>
          <w:tab w:val="right" w:pos="9660"/>
        </w:tabs>
        <w:spacing w:line="360" w:lineRule="auto"/>
        <w:ind w:left="420"/>
        <w:jc w:val="left"/>
        <w:rPr>
          <w:color w:val="auto"/>
          <w:sz w:val="30"/>
          <w:szCs w:val="30"/>
          <w:highlight w:val="none"/>
        </w:rPr>
      </w:pPr>
    </w:p>
    <w:p w14:paraId="65B7479D">
      <w:pPr>
        <w:bidi w:val="0"/>
        <w:rPr>
          <w:rFonts w:hint="eastAsia"/>
          <w:highlight w:val="none"/>
        </w:rPr>
      </w:pPr>
      <w:r>
        <w:rPr>
          <w:rFonts w:hint="eastAsia"/>
          <w:highlight w:val="none"/>
          <w:lang w:eastAsia="zh-CN"/>
        </w:rPr>
        <w:t>提供磋商申请人2025年8月至今任意三个月份的依法缴纳税收凭证及社会保险证明材料</w:t>
      </w:r>
      <w:r>
        <w:rPr>
          <w:rFonts w:hint="eastAsia"/>
          <w:highlight w:val="none"/>
        </w:rPr>
        <w:t>。</w:t>
      </w:r>
    </w:p>
    <w:p w14:paraId="7D093CAF">
      <w:pPr>
        <w:spacing w:line="360" w:lineRule="auto"/>
        <w:ind w:firstLine="420" w:firstLineChars="200"/>
        <w:jc w:val="left"/>
        <w:rPr>
          <w:rFonts w:hint="eastAsia" w:ascii="宋体" w:hAnsi="宋体" w:eastAsia="宋体" w:cs="宋体"/>
          <w:color w:val="auto"/>
          <w:sz w:val="21"/>
          <w:szCs w:val="21"/>
          <w:highlight w:val="none"/>
        </w:rPr>
      </w:pPr>
    </w:p>
    <w:p w14:paraId="15323232">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24396B3F">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依法缴纳税收凭证：税务局税收通用缴款书复印件或银行电子缴税（费）凭证复印件或税务局出具纳税情况的相关证明复印件，磋商申请人若有免税情况，请出具税务机关出具的免税证明材料，未发生税收的磋商申请人（含新成立的单位）请提供纳税零申报证明材料。磋商申请人若为自然人的不需要提供此项材料，但须提供磋商申请人为自然人的书面声明函。</w:t>
      </w:r>
    </w:p>
    <w:p w14:paraId="7A929D0F">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依法缴纳社会保险证明：社会保险费缴款书复印件或银行电子缴税（费）凭证复印件或社保管理部门出具的有效的缴款证明复印件，本年度新成立的磋商申请人提供社会保障登记证明相关证明材料。磋商申请人若为自然人的不需要提供此项材料，但须提供磋商申请人为自然人的书面声明函。</w:t>
      </w:r>
    </w:p>
    <w:p w14:paraId="0CB91B35">
      <w:pPr>
        <w:spacing w:line="360" w:lineRule="auto"/>
        <w:ind w:firstLine="420" w:firstLineChars="200"/>
        <w:jc w:val="left"/>
        <w:rPr>
          <w:rFonts w:hint="eastAsia" w:ascii="宋体" w:hAnsi="宋体" w:eastAsia="宋体" w:cs="宋体"/>
          <w:b/>
          <w:bCs/>
          <w:color w:val="auto"/>
          <w:sz w:val="21"/>
          <w:szCs w:val="21"/>
          <w:highlight w:val="none"/>
        </w:rPr>
      </w:pPr>
    </w:p>
    <w:p w14:paraId="38A6C315">
      <w:pPr>
        <w:rPr>
          <w:color w:val="auto"/>
          <w:highlight w:val="none"/>
        </w:rPr>
      </w:pPr>
    </w:p>
    <w:p w14:paraId="5571876E">
      <w:pPr>
        <w:rPr>
          <w:color w:val="auto"/>
          <w:highlight w:val="none"/>
        </w:rPr>
      </w:pPr>
    </w:p>
    <w:p w14:paraId="7D2D13EE">
      <w:pPr>
        <w:rPr>
          <w:color w:val="auto"/>
          <w:highlight w:val="none"/>
        </w:rPr>
      </w:pPr>
    </w:p>
    <w:p w14:paraId="5DCF4322">
      <w:pPr>
        <w:rPr>
          <w:color w:val="auto"/>
          <w:highlight w:val="none"/>
        </w:rPr>
      </w:pPr>
    </w:p>
    <w:p w14:paraId="4EDD8542">
      <w:pPr>
        <w:rPr>
          <w:color w:val="auto"/>
          <w:highlight w:val="none"/>
        </w:rPr>
      </w:pPr>
    </w:p>
    <w:p w14:paraId="1998172E">
      <w:pPr>
        <w:rPr>
          <w:color w:val="auto"/>
          <w:highlight w:val="none"/>
        </w:rPr>
      </w:pPr>
    </w:p>
    <w:p w14:paraId="2EC30509">
      <w:pPr>
        <w:widowControl/>
        <w:jc w:val="left"/>
        <w:rPr>
          <w:b/>
          <w:color w:val="auto"/>
          <w:sz w:val="28"/>
          <w:szCs w:val="28"/>
          <w:highlight w:val="none"/>
        </w:rPr>
      </w:pPr>
      <w:r>
        <w:rPr>
          <w:b/>
          <w:color w:val="auto"/>
          <w:sz w:val="28"/>
          <w:szCs w:val="28"/>
          <w:highlight w:val="none"/>
        </w:rPr>
        <w:br w:type="page"/>
      </w:r>
    </w:p>
    <w:p w14:paraId="56B8BF17">
      <w:pPr>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2-4</w:t>
      </w:r>
      <w:r>
        <w:rPr>
          <w:rFonts w:hint="eastAsia"/>
          <w:b/>
          <w:color w:val="auto"/>
          <w:sz w:val="28"/>
          <w:szCs w:val="28"/>
          <w:highlight w:val="none"/>
        </w:rPr>
        <w:t>：</w:t>
      </w:r>
    </w:p>
    <w:p w14:paraId="6A052D61">
      <w:pPr>
        <w:jc w:val="center"/>
        <w:rPr>
          <w:b/>
          <w:color w:val="auto"/>
          <w:sz w:val="28"/>
          <w:szCs w:val="28"/>
          <w:highlight w:val="none"/>
        </w:rPr>
      </w:pPr>
      <w:r>
        <w:rPr>
          <w:rFonts w:hint="eastAsia"/>
          <w:b/>
          <w:color w:val="auto"/>
          <w:sz w:val="28"/>
          <w:szCs w:val="28"/>
          <w:highlight w:val="none"/>
        </w:rPr>
        <w:t>具备履行合同所必需的设备和专业技术能力</w:t>
      </w:r>
    </w:p>
    <w:p w14:paraId="3FE9855E">
      <w:pPr>
        <w:rPr>
          <w:color w:val="auto"/>
          <w:highlight w:val="none"/>
        </w:rPr>
      </w:pPr>
    </w:p>
    <w:p w14:paraId="5D16DECB">
      <w:pPr>
        <w:rPr>
          <w:rFonts w:hint="eastAsia"/>
          <w:color w:val="auto"/>
          <w:highlight w:val="none"/>
          <w:lang w:val="en-US" w:eastAsia="zh-CN"/>
        </w:rPr>
      </w:pPr>
    </w:p>
    <w:p w14:paraId="62928E45">
      <w:pPr>
        <w:rPr>
          <w:rFonts w:hint="eastAsia"/>
          <w:color w:val="auto"/>
          <w:highlight w:val="none"/>
          <w:lang w:val="en-US" w:eastAsia="zh-CN"/>
        </w:rPr>
      </w:pPr>
    </w:p>
    <w:p w14:paraId="6E19CE11">
      <w:pPr>
        <w:rPr>
          <w:rFonts w:hint="eastAsia"/>
          <w:color w:val="auto"/>
          <w:highlight w:val="none"/>
        </w:rPr>
      </w:pPr>
      <w:r>
        <w:rPr>
          <w:rFonts w:hint="eastAsia"/>
          <w:color w:val="auto"/>
          <w:highlight w:val="none"/>
          <w:lang w:val="en-US" w:eastAsia="zh-CN"/>
        </w:rPr>
        <w:t>1.</w:t>
      </w:r>
      <w:r>
        <w:rPr>
          <w:rFonts w:hint="eastAsia"/>
          <w:color w:val="auto"/>
          <w:highlight w:val="none"/>
        </w:rPr>
        <w:t>提供能证明其具有项目实施能力的设备设施清单（格式自拟，加盖公章确认）；</w:t>
      </w:r>
    </w:p>
    <w:p w14:paraId="12C015D9">
      <w:pPr>
        <w:rPr>
          <w:rFonts w:hint="eastAsia"/>
          <w:color w:val="auto"/>
          <w:highlight w:val="none"/>
        </w:rPr>
      </w:pPr>
    </w:p>
    <w:p w14:paraId="5C420E66">
      <w:pPr>
        <w:rPr>
          <w:rFonts w:hint="eastAsia"/>
          <w:color w:val="auto"/>
          <w:highlight w:val="none"/>
        </w:rPr>
      </w:pPr>
    </w:p>
    <w:p w14:paraId="56BA9CFF">
      <w:pPr>
        <w:rPr>
          <w:rFonts w:hint="eastAsia"/>
          <w:color w:val="auto"/>
          <w:highlight w:val="none"/>
        </w:rPr>
      </w:pPr>
    </w:p>
    <w:p w14:paraId="12E764A5">
      <w:pPr>
        <w:rPr>
          <w:color w:val="auto"/>
          <w:highlight w:val="none"/>
        </w:rPr>
      </w:pPr>
      <w:r>
        <w:rPr>
          <w:rFonts w:hint="eastAsia"/>
          <w:color w:val="auto"/>
          <w:highlight w:val="none"/>
          <w:lang w:val="en-US" w:eastAsia="zh-CN"/>
        </w:rPr>
        <w:t>2.</w:t>
      </w:r>
      <w:r>
        <w:rPr>
          <w:rFonts w:hint="eastAsia"/>
          <w:color w:val="auto"/>
          <w:highlight w:val="none"/>
        </w:rPr>
        <w:t>提供人员配置清单</w:t>
      </w:r>
      <w:r>
        <w:rPr>
          <w:rFonts w:hint="eastAsia"/>
          <w:color w:val="auto"/>
          <w:szCs w:val="21"/>
          <w:highlight w:val="none"/>
        </w:rPr>
        <w:t>或人员配置承诺</w:t>
      </w:r>
      <w:r>
        <w:rPr>
          <w:rFonts w:hint="eastAsia"/>
          <w:color w:val="auto"/>
          <w:highlight w:val="none"/>
        </w:rPr>
        <w:t>（格式自拟，加盖公章确认）。</w:t>
      </w:r>
    </w:p>
    <w:p w14:paraId="47E4E5D9">
      <w:pPr>
        <w:rPr>
          <w:color w:val="auto"/>
          <w:highlight w:val="none"/>
        </w:rPr>
      </w:pPr>
    </w:p>
    <w:p w14:paraId="52E7BD05">
      <w:pPr>
        <w:rPr>
          <w:color w:val="auto"/>
          <w:highlight w:val="none"/>
        </w:rPr>
      </w:pPr>
    </w:p>
    <w:p w14:paraId="3328A931">
      <w:pPr>
        <w:rPr>
          <w:color w:val="auto"/>
          <w:highlight w:val="none"/>
        </w:rPr>
      </w:pPr>
    </w:p>
    <w:p w14:paraId="18A383E3">
      <w:pPr>
        <w:rPr>
          <w:b/>
          <w:bCs/>
          <w:color w:val="auto"/>
          <w:highlight w:val="none"/>
        </w:rPr>
      </w:pPr>
      <w:r>
        <w:rPr>
          <w:rFonts w:hint="eastAsia"/>
          <w:b/>
          <w:bCs/>
          <w:color w:val="auto"/>
          <w:highlight w:val="none"/>
          <w:lang w:eastAsia="zh-CN"/>
        </w:rPr>
        <w:t>注：</w:t>
      </w:r>
      <w:r>
        <w:rPr>
          <w:rFonts w:hint="eastAsia"/>
          <w:b/>
          <w:bCs/>
          <w:color w:val="auto"/>
          <w:highlight w:val="none"/>
        </w:rPr>
        <w:t>供应商自行说明，格式自拟；供应商若认为在其所递交的响应文件中相关部分内容已可以体现或证明供应商具有履行合同所必需的设备和专业技术能力，供应商应在此说明详见响应文件中的哪些部分内容，或在此说明响应文件中哪些部分内容可以体现出来。</w:t>
      </w:r>
    </w:p>
    <w:p w14:paraId="61188E04">
      <w:pPr>
        <w:widowControl/>
        <w:jc w:val="left"/>
        <w:rPr>
          <w:b/>
          <w:color w:val="auto"/>
          <w:sz w:val="28"/>
          <w:szCs w:val="28"/>
          <w:highlight w:val="none"/>
        </w:rPr>
      </w:pPr>
      <w:r>
        <w:rPr>
          <w:b/>
          <w:color w:val="auto"/>
          <w:sz w:val="28"/>
          <w:szCs w:val="28"/>
          <w:highlight w:val="none"/>
        </w:rPr>
        <w:br w:type="page"/>
      </w:r>
    </w:p>
    <w:p w14:paraId="61CE8427">
      <w:pPr>
        <w:widowControl/>
        <w:jc w:val="left"/>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2-5</w:t>
      </w:r>
      <w:r>
        <w:rPr>
          <w:rFonts w:hint="eastAsia"/>
          <w:b/>
          <w:color w:val="auto"/>
          <w:sz w:val="28"/>
          <w:szCs w:val="28"/>
          <w:highlight w:val="none"/>
        </w:rPr>
        <w:t>：</w:t>
      </w:r>
    </w:p>
    <w:p w14:paraId="426B0433">
      <w:pPr>
        <w:widowControl/>
        <w:jc w:val="center"/>
        <w:rPr>
          <w:b/>
          <w:bCs/>
          <w:color w:val="auto"/>
          <w:sz w:val="28"/>
          <w:szCs w:val="28"/>
          <w:highlight w:val="none"/>
        </w:rPr>
      </w:pPr>
      <w:r>
        <w:rPr>
          <w:rFonts w:hint="eastAsia"/>
          <w:b/>
          <w:bCs/>
          <w:color w:val="auto"/>
          <w:sz w:val="28"/>
          <w:szCs w:val="28"/>
          <w:highlight w:val="none"/>
        </w:rPr>
        <w:t>无重大违法记录声明</w:t>
      </w:r>
    </w:p>
    <w:p w14:paraId="0DDB6F1D">
      <w:pPr>
        <w:spacing w:line="360" w:lineRule="auto"/>
        <w:ind w:firstLine="420" w:firstLineChars="200"/>
        <w:jc w:val="left"/>
        <w:rPr>
          <w:rFonts w:ascii="宋体" w:hAnsi="宋体" w:cs="宋体"/>
          <w:color w:val="auto"/>
          <w:szCs w:val="21"/>
          <w:highlight w:val="none"/>
        </w:rPr>
      </w:pPr>
      <w:r>
        <w:rPr>
          <w:rFonts w:hint="eastAsia" w:ascii="宋体" w:hAnsi="宋体" w:eastAsia="宋体" w:cs="宋体"/>
          <w:color w:val="auto"/>
          <w:sz w:val="21"/>
          <w:szCs w:val="21"/>
          <w:highlight w:val="none"/>
        </w:rPr>
        <w:t>磋商申请人必须提供“参加政府采购活动</w:t>
      </w:r>
      <w:r>
        <w:rPr>
          <w:rFonts w:hint="eastAsia" w:ascii="宋体" w:hAnsi="宋体" w:cs="宋体"/>
          <w:color w:val="auto"/>
          <w:sz w:val="21"/>
          <w:szCs w:val="21"/>
          <w:highlight w:val="none"/>
          <w:lang w:eastAsia="zh-CN"/>
        </w:rPr>
        <w:t>前</w:t>
      </w:r>
      <w:r>
        <w:rPr>
          <w:rFonts w:hint="eastAsia" w:ascii="宋体" w:hAnsi="宋体" w:eastAsia="宋体" w:cs="宋体"/>
          <w:color w:val="auto"/>
          <w:sz w:val="21"/>
          <w:szCs w:val="21"/>
          <w:highlight w:val="none"/>
        </w:rPr>
        <w:t>3年内在经营活动中没有重大违法记录的书面声明”（重大违法记录是指：因违法经营受到刑事处罚或者责令停产停业、吊销许可证或者执照、较大数额罚款等行政处罚）。</w:t>
      </w:r>
      <w:r>
        <w:rPr>
          <w:rFonts w:hint="eastAsia" w:ascii="宋体" w:hAnsi="宋体" w:eastAsia="宋体" w:cs="宋体"/>
          <w:color w:val="auto"/>
          <w:szCs w:val="21"/>
          <w:highlight w:val="none"/>
        </w:rPr>
        <w:t>格式自拟（加盖公章确认）</w:t>
      </w:r>
    </w:p>
    <w:p w14:paraId="2053C950">
      <w:pPr>
        <w:spacing w:line="440" w:lineRule="exact"/>
        <w:ind w:left="1" w:firstLine="424" w:firstLineChars="177"/>
        <w:rPr>
          <w:rFonts w:ascii="宋体" w:cs="宋体"/>
          <w:color w:val="auto"/>
          <w:sz w:val="24"/>
          <w:highlight w:val="none"/>
        </w:rPr>
      </w:pPr>
    </w:p>
    <w:p w14:paraId="232222CF">
      <w:pPr>
        <w:spacing w:line="360" w:lineRule="auto"/>
        <w:rPr>
          <w:color w:val="auto"/>
          <w:szCs w:val="21"/>
          <w:highlight w:val="none"/>
        </w:rPr>
      </w:pPr>
    </w:p>
    <w:p w14:paraId="5FFBE9C6">
      <w:pPr>
        <w:spacing w:line="360" w:lineRule="auto"/>
        <w:rPr>
          <w:b/>
          <w:color w:val="auto"/>
          <w:sz w:val="28"/>
          <w:szCs w:val="28"/>
          <w:highlight w:val="none"/>
        </w:rPr>
      </w:pPr>
    </w:p>
    <w:p w14:paraId="55DEC184">
      <w:pPr>
        <w:widowControl/>
        <w:jc w:val="left"/>
        <w:rPr>
          <w:b/>
          <w:color w:val="auto"/>
          <w:sz w:val="28"/>
          <w:szCs w:val="28"/>
          <w:highlight w:val="none"/>
        </w:rPr>
      </w:pPr>
      <w:r>
        <w:rPr>
          <w:b/>
          <w:color w:val="auto"/>
          <w:sz w:val="28"/>
          <w:szCs w:val="28"/>
          <w:highlight w:val="none"/>
        </w:rPr>
        <w:br w:type="page"/>
      </w:r>
    </w:p>
    <w:p w14:paraId="4D64FA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2-6</w:t>
      </w:r>
      <w:r>
        <w:rPr>
          <w:rFonts w:hint="eastAsia"/>
          <w:b/>
          <w:color w:val="auto"/>
          <w:sz w:val="28"/>
          <w:szCs w:val="28"/>
          <w:highlight w:val="none"/>
        </w:rPr>
        <w:t>：</w:t>
      </w:r>
    </w:p>
    <w:p w14:paraId="044A77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color w:val="auto"/>
          <w:sz w:val="28"/>
          <w:szCs w:val="28"/>
          <w:highlight w:val="none"/>
          <w:lang w:eastAsia="zh-CN"/>
        </w:rPr>
      </w:pPr>
      <w:r>
        <w:rPr>
          <w:rFonts w:hint="eastAsia"/>
          <w:b/>
          <w:color w:val="auto"/>
          <w:sz w:val="28"/>
          <w:szCs w:val="28"/>
          <w:highlight w:val="none"/>
          <w:lang w:eastAsia="zh-CN"/>
        </w:rPr>
        <w:t>特定资格要求</w:t>
      </w:r>
    </w:p>
    <w:p w14:paraId="5ABF83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1.磋商申请人必须具备建设主管部门颁发的公路工程施工总承包叁级及以上资质证书，并提供合法有效的安全生产许可证书（有效期内）。【</w:t>
      </w:r>
      <w:r>
        <w:rPr>
          <w:rFonts w:hint="eastAsia" w:ascii="宋体" w:hAnsi="宋体" w:eastAsia="宋体" w:cs="宋体"/>
          <w:b/>
          <w:bCs/>
          <w:color w:val="auto"/>
          <w:sz w:val="21"/>
          <w:szCs w:val="21"/>
          <w:highlight w:val="none"/>
          <w:lang w:val="en-US" w:eastAsia="zh-CN"/>
        </w:rPr>
        <w:t>附企业相关资质证书、安全生产许可证等</w:t>
      </w:r>
      <w:r>
        <w:rPr>
          <w:rFonts w:hint="eastAsia" w:ascii="宋体" w:hAnsi="宋体" w:eastAsia="宋体" w:cs="宋体"/>
          <w:color w:val="auto"/>
          <w:sz w:val="21"/>
          <w:szCs w:val="21"/>
          <w:highlight w:val="none"/>
          <w:lang w:val="en-US" w:eastAsia="zh-CN"/>
        </w:rPr>
        <w:t>】</w:t>
      </w:r>
    </w:p>
    <w:p w14:paraId="22F2260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0E23CD29">
      <w:pPr>
        <w:numPr>
          <w:ilvl w:val="0"/>
          <w:numId w:val="6"/>
        </w:numPr>
        <w:spacing w:line="51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Times New Roman"/>
          <w:color w:val="auto"/>
          <w:szCs w:val="21"/>
          <w:highlight w:val="none"/>
          <w:u w:val="none"/>
          <w:lang w:eastAsia="zh-CN"/>
        </w:rPr>
        <w:t>拟派往本工程的项目经理须具备公路工程专业二级注册建造师及以上资格等级证书及建造师安全生产考核合格证书B证（有效期内），项目经理不得存在在建（待建）工程的情况（提供书面声明）；拟投入本工程的项目总工必须具备工程师及以上职称。</w:t>
      </w:r>
      <w:r>
        <w:rPr>
          <w:rFonts w:hint="eastAsia" w:ascii="宋体" w:hAnsi="宋体" w:eastAsia="宋体" w:cs="宋体"/>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附项目经理执业资格证、注册证、安全生产考核合格证书B证等以及声明函</w:t>
      </w:r>
      <w:r>
        <w:rPr>
          <w:rFonts w:hint="eastAsia" w:ascii="宋体" w:hAnsi="宋体" w:eastAsia="宋体" w:cs="宋体"/>
          <w:color w:val="auto"/>
          <w:sz w:val="21"/>
          <w:szCs w:val="21"/>
          <w:highlight w:val="none"/>
          <w:lang w:val="en-US" w:eastAsia="zh-CN"/>
        </w:rPr>
        <w:t>】</w:t>
      </w:r>
    </w:p>
    <w:p w14:paraId="7ED96D38">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44F1107C">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19852692">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4AB73285">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44390F2E">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510D8872">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19633767">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12818EDF">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68C8E415">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2F3C71E">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B55D476">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11F2A82F">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0652465">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50C848E6">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7672AA7E">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34BEE0D">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077C52F4">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3DDE9DA6">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63A0CD2B">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3192FE9C">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4F58974E">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7CE8CBC0">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5471F332">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068FE175">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C826AC7">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00071F8">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2BE62CB7">
      <w:pPr>
        <w:spacing w:line="360" w:lineRule="auto"/>
        <w:ind w:firstLine="420" w:firstLineChars="200"/>
        <w:jc w:val="left"/>
        <w:rPr>
          <w:rFonts w:hint="eastAsia" w:ascii="宋体" w:hAnsi="宋体" w:eastAsia="宋体" w:cs="宋体"/>
          <w:color w:val="auto"/>
          <w:sz w:val="21"/>
          <w:szCs w:val="21"/>
          <w:highlight w:val="none"/>
          <w:lang w:val="en-US" w:eastAsia="zh-CN"/>
        </w:rPr>
      </w:pPr>
    </w:p>
    <w:p w14:paraId="7DA00A7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业绩要求：</w:t>
      </w:r>
      <w:r>
        <w:rPr>
          <w:rFonts w:hint="eastAsia" w:ascii="宋体" w:hAnsi="宋体"/>
          <w:color w:val="auto"/>
          <w:szCs w:val="21"/>
          <w:highlight w:val="none"/>
        </w:rPr>
        <w:t>磋商申请人近三年内</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2023年1月1日至今</w:t>
      </w:r>
      <w:r>
        <w:rPr>
          <w:rFonts w:hint="eastAsia" w:ascii="宋体" w:hAnsi="宋体"/>
          <w:color w:val="auto"/>
          <w:szCs w:val="21"/>
          <w:highlight w:val="none"/>
          <w:lang w:eastAsia="zh-CN"/>
        </w:rPr>
        <w:t>）具有至少</w:t>
      </w:r>
      <w:r>
        <w:rPr>
          <w:rFonts w:hint="eastAsia" w:ascii="宋体" w:hAnsi="宋体"/>
          <w:color w:val="auto"/>
          <w:szCs w:val="21"/>
          <w:highlight w:val="none"/>
          <w:lang w:val="en-US" w:eastAsia="zh-CN"/>
        </w:rPr>
        <w:t>1项公路工程施工项目业绩，类似项目业绩证明材料须提供中标通知书或合同协议书等，新成立不足1年的企业业绩不做要求（如企业新增公路工程施工总承包资质不足1年，可视为新成立企业，但必须提供相关资质增项的证明材料）。（公路工程包括：公路工程、桥梁工程、公路与桥梁工程、交通土建、隧道（地下结构）工程、交通工程等。）</w:t>
      </w:r>
      <w:r>
        <w:rPr>
          <w:rFonts w:hint="eastAsia" w:ascii="宋体" w:hAnsi="宋体" w:eastAsia="宋体" w:cs="宋体"/>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附中标通知书或合同协议书等</w:t>
      </w:r>
      <w:r>
        <w:rPr>
          <w:rFonts w:hint="eastAsia" w:ascii="宋体" w:hAnsi="宋体" w:eastAsia="宋体" w:cs="宋体"/>
          <w:color w:val="auto"/>
          <w:sz w:val="21"/>
          <w:szCs w:val="21"/>
          <w:highlight w:val="none"/>
          <w:lang w:val="en-US" w:eastAsia="zh-CN"/>
        </w:rPr>
        <w:t>】</w:t>
      </w:r>
    </w:p>
    <w:p w14:paraId="4D075F90">
      <w:pPr>
        <w:pStyle w:val="3"/>
        <w:jc w:val="center"/>
        <w:rPr>
          <w:bCs w:val="0"/>
          <w:color w:val="auto"/>
          <w:sz w:val="28"/>
          <w:szCs w:val="28"/>
          <w:highlight w:val="none"/>
        </w:rPr>
      </w:pPr>
      <w:r>
        <w:rPr>
          <w:rFonts w:hint="eastAsia" w:ascii="Times New Roman" w:hAnsi="Times New Roman"/>
          <w:bCs w:val="0"/>
          <w:color w:val="auto"/>
          <w:sz w:val="28"/>
          <w:szCs w:val="28"/>
          <w:highlight w:val="none"/>
        </w:rPr>
        <w:t>类似项目经验的证明材料</w:t>
      </w:r>
    </w:p>
    <w:p w14:paraId="0037EA8E">
      <w:pPr>
        <w:spacing w:line="500" w:lineRule="exact"/>
        <w:ind w:firstLine="313" w:firstLineChars="112"/>
        <w:jc w:val="center"/>
        <w:rPr>
          <w:b/>
          <w:bCs/>
          <w:color w:val="auto"/>
          <w:sz w:val="21"/>
          <w:szCs w:val="21"/>
          <w:highlight w:val="none"/>
        </w:rPr>
      </w:pPr>
      <w:r>
        <w:rPr>
          <w:rFonts w:hint="eastAsia"/>
          <w:b/>
          <w:bCs/>
          <w:color w:val="auto"/>
          <w:sz w:val="28"/>
          <w:szCs w:val="28"/>
          <w:highlight w:val="none"/>
        </w:rPr>
        <w:t>在建和已完成工程项目情况（</w:t>
      </w:r>
      <w:r>
        <w:rPr>
          <w:rFonts w:hint="eastAsia"/>
          <w:b/>
          <w:bCs/>
          <w:color w:val="auto"/>
          <w:sz w:val="28"/>
          <w:szCs w:val="28"/>
          <w:highlight w:val="none"/>
          <w:lang w:val="en-US" w:eastAsia="zh-CN"/>
        </w:rPr>
        <w:t>2023年1月1日至今</w:t>
      </w:r>
      <w:r>
        <w:rPr>
          <w:rFonts w:hint="eastAsia"/>
          <w:b/>
          <w:bCs/>
          <w:color w:val="auto"/>
          <w:sz w:val="28"/>
          <w:szCs w:val="28"/>
          <w:highlight w:val="none"/>
        </w:rPr>
        <w:t>）</w:t>
      </w:r>
    </w:p>
    <w:p w14:paraId="60F0F4ED">
      <w:pPr>
        <w:rPr>
          <w:rFonts w:ascii="宋体" w:hAnsi="宋体"/>
          <w:color w:val="auto"/>
          <w:sz w:val="21"/>
          <w:szCs w:val="21"/>
          <w:highlight w:val="none"/>
          <w:lang w:val="zh-CN"/>
        </w:rPr>
      </w:pPr>
    </w:p>
    <w:tbl>
      <w:tblPr>
        <w:tblStyle w:val="51"/>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922"/>
        <w:gridCol w:w="925"/>
        <w:gridCol w:w="925"/>
        <w:gridCol w:w="926"/>
        <w:gridCol w:w="926"/>
        <w:gridCol w:w="1413"/>
        <w:gridCol w:w="926"/>
        <w:gridCol w:w="926"/>
        <w:gridCol w:w="926"/>
      </w:tblGrid>
      <w:tr w14:paraId="24F6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26052E94">
            <w:pPr>
              <w:jc w:val="center"/>
              <w:rPr>
                <w:rFonts w:ascii="宋体" w:hAnsi="宋体"/>
                <w:color w:val="auto"/>
                <w:sz w:val="21"/>
                <w:szCs w:val="21"/>
                <w:highlight w:val="none"/>
              </w:rPr>
            </w:pPr>
            <w:r>
              <w:rPr>
                <w:rFonts w:ascii="宋体" w:hAnsi="宋体"/>
                <w:color w:val="auto"/>
                <w:sz w:val="21"/>
                <w:szCs w:val="21"/>
                <w:highlight w:val="none"/>
              </w:rPr>
              <w:t>序号</w:t>
            </w:r>
          </w:p>
        </w:tc>
        <w:tc>
          <w:tcPr>
            <w:tcW w:w="922" w:type="dxa"/>
            <w:vAlign w:val="center"/>
          </w:tcPr>
          <w:p w14:paraId="7D4B0D8C">
            <w:pPr>
              <w:jc w:val="center"/>
              <w:rPr>
                <w:rFonts w:ascii="宋体" w:hAnsi="宋体"/>
                <w:color w:val="auto"/>
                <w:sz w:val="21"/>
                <w:szCs w:val="21"/>
                <w:highlight w:val="none"/>
              </w:rPr>
            </w:pPr>
            <w:r>
              <w:rPr>
                <w:rFonts w:ascii="宋体" w:hAnsi="宋体"/>
                <w:color w:val="auto"/>
                <w:sz w:val="21"/>
                <w:szCs w:val="21"/>
                <w:highlight w:val="none"/>
              </w:rPr>
              <w:t>项目名称</w:t>
            </w:r>
          </w:p>
        </w:tc>
        <w:tc>
          <w:tcPr>
            <w:tcW w:w="925" w:type="dxa"/>
            <w:vAlign w:val="center"/>
          </w:tcPr>
          <w:p w14:paraId="7B31834E">
            <w:pPr>
              <w:jc w:val="center"/>
              <w:rPr>
                <w:rFonts w:ascii="宋体" w:hAnsi="宋体"/>
                <w:color w:val="auto"/>
                <w:sz w:val="21"/>
                <w:szCs w:val="21"/>
                <w:highlight w:val="none"/>
              </w:rPr>
            </w:pPr>
            <w:r>
              <w:rPr>
                <w:rFonts w:ascii="宋体" w:hAnsi="宋体"/>
                <w:color w:val="auto"/>
                <w:sz w:val="21"/>
                <w:szCs w:val="21"/>
                <w:highlight w:val="none"/>
              </w:rPr>
              <w:t>项目规模</w:t>
            </w:r>
          </w:p>
        </w:tc>
        <w:tc>
          <w:tcPr>
            <w:tcW w:w="925" w:type="dxa"/>
            <w:vAlign w:val="center"/>
          </w:tcPr>
          <w:p w14:paraId="595777EE">
            <w:pPr>
              <w:jc w:val="center"/>
              <w:rPr>
                <w:rFonts w:ascii="宋体" w:hAnsi="宋体"/>
                <w:color w:val="auto"/>
                <w:sz w:val="21"/>
                <w:szCs w:val="21"/>
                <w:highlight w:val="none"/>
              </w:rPr>
            </w:pPr>
            <w:r>
              <w:rPr>
                <w:rFonts w:ascii="宋体" w:hAnsi="宋体"/>
                <w:color w:val="auto"/>
                <w:sz w:val="21"/>
                <w:szCs w:val="21"/>
                <w:highlight w:val="none"/>
              </w:rPr>
              <w:t>发包人</w:t>
            </w:r>
          </w:p>
          <w:p w14:paraId="5632BF5B">
            <w:pPr>
              <w:jc w:val="center"/>
              <w:rPr>
                <w:rFonts w:ascii="宋体" w:hAnsi="宋体"/>
                <w:color w:val="auto"/>
                <w:sz w:val="21"/>
                <w:szCs w:val="21"/>
                <w:highlight w:val="none"/>
              </w:rPr>
            </w:pPr>
            <w:r>
              <w:rPr>
                <w:rFonts w:ascii="宋体" w:hAnsi="宋体"/>
                <w:color w:val="auto"/>
                <w:sz w:val="21"/>
                <w:szCs w:val="21"/>
                <w:highlight w:val="none"/>
              </w:rPr>
              <w:t>名称</w:t>
            </w:r>
          </w:p>
        </w:tc>
        <w:tc>
          <w:tcPr>
            <w:tcW w:w="926" w:type="dxa"/>
            <w:vAlign w:val="center"/>
          </w:tcPr>
          <w:p w14:paraId="4A09F284">
            <w:pPr>
              <w:jc w:val="center"/>
              <w:rPr>
                <w:rFonts w:ascii="宋体" w:hAnsi="宋体"/>
                <w:color w:val="auto"/>
                <w:sz w:val="21"/>
                <w:szCs w:val="21"/>
                <w:highlight w:val="none"/>
              </w:rPr>
            </w:pPr>
            <w:r>
              <w:rPr>
                <w:rFonts w:ascii="宋体" w:hAnsi="宋体"/>
                <w:color w:val="auto"/>
                <w:sz w:val="21"/>
                <w:szCs w:val="21"/>
                <w:highlight w:val="none"/>
              </w:rPr>
              <w:t>发包人联系人及电话</w:t>
            </w:r>
          </w:p>
        </w:tc>
        <w:tc>
          <w:tcPr>
            <w:tcW w:w="926" w:type="dxa"/>
            <w:vAlign w:val="center"/>
          </w:tcPr>
          <w:p w14:paraId="3BEA41D4">
            <w:pPr>
              <w:jc w:val="center"/>
              <w:rPr>
                <w:rFonts w:ascii="宋体" w:hAnsi="宋体"/>
                <w:color w:val="auto"/>
                <w:sz w:val="21"/>
                <w:szCs w:val="21"/>
                <w:highlight w:val="none"/>
              </w:rPr>
            </w:pPr>
            <w:r>
              <w:rPr>
                <w:rFonts w:ascii="宋体" w:hAnsi="宋体"/>
                <w:color w:val="auto"/>
                <w:sz w:val="21"/>
                <w:szCs w:val="21"/>
                <w:highlight w:val="none"/>
              </w:rPr>
              <w:t>合同价格</w:t>
            </w:r>
          </w:p>
        </w:tc>
        <w:tc>
          <w:tcPr>
            <w:tcW w:w="1413" w:type="dxa"/>
            <w:vAlign w:val="center"/>
          </w:tcPr>
          <w:p w14:paraId="3821FBDB">
            <w:pPr>
              <w:jc w:val="center"/>
              <w:rPr>
                <w:rFonts w:ascii="宋体" w:hAnsi="宋体"/>
                <w:color w:val="auto"/>
                <w:sz w:val="21"/>
                <w:szCs w:val="21"/>
                <w:highlight w:val="none"/>
              </w:rPr>
            </w:pPr>
            <w:r>
              <w:rPr>
                <w:rFonts w:ascii="宋体" w:hAnsi="宋体"/>
                <w:color w:val="auto"/>
                <w:sz w:val="21"/>
                <w:szCs w:val="21"/>
                <w:highlight w:val="none"/>
              </w:rPr>
              <w:t>开、竣工日期</w:t>
            </w:r>
          </w:p>
        </w:tc>
        <w:tc>
          <w:tcPr>
            <w:tcW w:w="926" w:type="dxa"/>
            <w:vAlign w:val="center"/>
          </w:tcPr>
          <w:p w14:paraId="5FA09F93">
            <w:pPr>
              <w:jc w:val="center"/>
              <w:rPr>
                <w:rFonts w:ascii="宋体" w:hAnsi="宋体"/>
                <w:color w:val="auto"/>
                <w:sz w:val="21"/>
                <w:szCs w:val="21"/>
                <w:highlight w:val="none"/>
              </w:rPr>
            </w:pPr>
            <w:r>
              <w:rPr>
                <w:rFonts w:ascii="宋体" w:hAnsi="宋体"/>
                <w:color w:val="auto"/>
                <w:sz w:val="21"/>
                <w:szCs w:val="21"/>
                <w:highlight w:val="none"/>
              </w:rPr>
              <w:t>工程质量</w:t>
            </w:r>
          </w:p>
        </w:tc>
        <w:tc>
          <w:tcPr>
            <w:tcW w:w="926" w:type="dxa"/>
            <w:vAlign w:val="center"/>
          </w:tcPr>
          <w:p w14:paraId="627E4E8F">
            <w:pPr>
              <w:jc w:val="center"/>
              <w:rPr>
                <w:rFonts w:ascii="宋体" w:hAnsi="宋体"/>
                <w:color w:val="auto"/>
                <w:sz w:val="21"/>
                <w:szCs w:val="21"/>
                <w:highlight w:val="none"/>
              </w:rPr>
            </w:pPr>
            <w:r>
              <w:rPr>
                <w:rFonts w:ascii="宋体" w:hAnsi="宋体"/>
                <w:color w:val="auto"/>
                <w:sz w:val="21"/>
                <w:szCs w:val="21"/>
                <w:highlight w:val="none"/>
              </w:rPr>
              <w:t>项目经理</w:t>
            </w:r>
          </w:p>
        </w:tc>
        <w:tc>
          <w:tcPr>
            <w:tcW w:w="926" w:type="dxa"/>
            <w:vAlign w:val="center"/>
          </w:tcPr>
          <w:p w14:paraId="506AD040">
            <w:pPr>
              <w:jc w:val="center"/>
              <w:rPr>
                <w:rFonts w:ascii="宋体" w:hAnsi="宋体"/>
                <w:color w:val="auto"/>
                <w:sz w:val="21"/>
                <w:szCs w:val="21"/>
                <w:highlight w:val="none"/>
              </w:rPr>
            </w:pPr>
            <w:r>
              <w:rPr>
                <w:rFonts w:ascii="宋体" w:hAnsi="宋体"/>
                <w:color w:val="auto"/>
                <w:sz w:val="21"/>
                <w:szCs w:val="21"/>
                <w:highlight w:val="none"/>
              </w:rPr>
              <w:t>技术负责人</w:t>
            </w:r>
          </w:p>
        </w:tc>
      </w:tr>
      <w:tr w14:paraId="6FFE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47702F64">
            <w:pPr>
              <w:jc w:val="center"/>
              <w:rPr>
                <w:rFonts w:ascii="宋体" w:hAnsi="宋体"/>
                <w:color w:val="auto"/>
                <w:sz w:val="21"/>
                <w:szCs w:val="21"/>
                <w:highlight w:val="none"/>
              </w:rPr>
            </w:pPr>
            <w:r>
              <w:rPr>
                <w:rFonts w:ascii="宋体" w:hAnsi="宋体"/>
                <w:color w:val="auto"/>
                <w:sz w:val="21"/>
                <w:szCs w:val="21"/>
                <w:highlight w:val="none"/>
              </w:rPr>
              <w:t>1</w:t>
            </w:r>
          </w:p>
        </w:tc>
        <w:tc>
          <w:tcPr>
            <w:tcW w:w="922" w:type="dxa"/>
            <w:vAlign w:val="center"/>
          </w:tcPr>
          <w:p w14:paraId="1BE792D1">
            <w:pPr>
              <w:jc w:val="center"/>
              <w:rPr>
                <w:rFonts w:ascii="宋体" w:hAnsi="宋体"/>
                <w:color w:val="auto"/>
                <w:sz w:val="21"/>
                <w:szCs w:val="21"/>
                <w:highlight w:val="none"/>
              </w:rPr>
            </w:pPr>
          </w:p>
        </w:tc>
        <w:tc>
          <w:tcPr>
            <w:tcW w:w="925" w:type="dxa"/>
            <w:vAlign w:val="center"/>
          </w:tcPr>
          <w:p w14:paraId="5E361302">
            <w:pPr>
              <w:jc w:val="center"/>
              <w:rPr>
                <w:rFonts w:ascii="宋体" w:hAnsi="宋体"/>
                <w:color w:val="auto"/>
                <w:sz w:val="21"/>
                <w:szCs w:val="21"/>
                <w:highlight w:val="none"/>
              </w:rPr>
            </w:pPr>
          </w:p>
        </w:tc>
        <w:tc>
          <w:tcPr>
            <w:tcW w:w="925" w:type="dxa"/>
            <w:vAlign w:val="center"/>
          </w:tcPr>
          <w:p w14:paraId="3B9AB3A9">
            <w:pPr>
              <w:jc w:val="center"/>
              <w:rPr>
                <w:rFonts w:ascii="宋体" w:hAnsi="宋体"/>
                <w:color w:val="auto"/>
                <w:sz w:val="21"/>
                <w:szCs w:val="21"/>
                <w:highlight w:val="none"/>
              </w:rPr>
            </w:pPr>
          </w:p>
        </w:tc>
        <w:tc>
          <w:tcPr>
            <w:tcW w:w="926" w:type="dxa"/>
            <w:vAlign w:val="center"/>
          </w:tcPr>
          <w:p w14:paraId="21A7A07D">
            <w:pPr>
              <w:jc w:val="center"/>
              <w:rPr>
                <w:rFonts w:ascii="宋体" w:hAnsi="宋体"/>
                <w:color w:val="auto"/>
                <w:sz w:val="21"/>
                <w:szCs w:val="21"/>
                <w:highlight w:val="none"/>
              </w:rPr>
            </w:pPr>
          </w:p>
        </w:tc>
        <w:tc>
          <w:tcPr>
            <w:tcW w:w="926" w:type="dxa"/>
            <w:vAlign w:val="center"/>
          </w:tcPr>
          <w:p w14:paraId="0BA13370">
            <w:pPr>
              <w:jc w:val="center"/>
              <w:rPr>
                <w:rFonts w:ascii="宋体" w:hAnsi="宋体"/>
                <w:color w:val="auto"/>
                <w:sz w:val="21"/>
                <w:szCs w:val="21"/>
                <w:highlight w:val="none"/>
              </w:rPr>
            </w:pPr>
          </w:p>
        </w:tc>
        <w:tc>
          <w:tcPr>
            <w:tcW w:w="1413" w:type="dxa"/>
            <w:vAlign w:val="center"/>
          </w:tcPr>
          <w:p w14:paraId="475B0F35">
            <w:pPr>
              <w:jc w:val="center"/>
              <w:rPr>
                <w:rFonts w:ascii="宋体" w:hAnsi="宋体"/>
                <w:color w:val="auto"/>
                <w:sz w:val="21"/>
                <w:szCs w:val="21"/>
                <w:highlight w:val="none"/>
              </w:rPr>
            </w:pPr>
          </w:p>
        </w:tc>
        <w:tc>
          <w:tcPr>
            <w:tcW w:w="926" w:type="dxa"/>
            <w:vAlign w:val="center"/>
          </w:tcPr>
          <w:p w14:paraId="31CAC5FF">
            <w:pPr>
              <w:jc w:val="center"/>
              <w:rPr>
                <w:rFonts w:ascii="宋体" w:hAnsi="宋体"/>
                <w:color w:val="auto"/>
                <w:sz w:val="21"/>
                <w:szCs w:val="21"/>
                <w:highlight w:val="none"/>
              </w:rPr>
            </w:pPr>
          </w:p>
        </w:tc>
        <w:tc>
          <w:tcPr>
            <w:tcW w:w="926" w:type="dxa"/>
            <w:vAlign w:val="center"/>
          </w:tcPr>
          <w:p w14:paraId="63A657CB">
            <w:pPr>
              <w:jc w:val="center"/>
              <w:rPr>
                <w:rFonts w:ascii="宋体" w:hAnsi="宋体"/>
                <w:color w:val="auto"/>
                <w:sz w:val="21"/>
                <w:szCs w:val="21"/>
                <w:highlight w:val="none"/>
              </w:rPr>
            </w:pPr>
          </w:p>
        </w:tc>
        <w:tc>
          <w:tcPr>
            <w:tcW w:w="926" w:type="dxa"/>
            <w:vAlign w:val="center"/>
          </w:tcPr>
          <w:p w14:paraId="2200BCEF">
            <w:pPr>
              <w:jc w:val="center"/>
              <w:rPr>
                <w:rFonts w:ascii="宋体" w:hAnsi="宋体"/>
                <w:color w:val="auto"/>
                <w:sz w:val="21"/>
                <w:szCs w:val="21"/>
                <w:highlight w:val="none"/>
              </w:rPr>
            </w:pPr>
          </w:p>
        </w:tc>
      </w:tr>
      <w:tr w14:paraId="760E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316E3200">
            <w:pPr>
              <w:jc w:val="center"/>
              <w:rPr>
                <w:rFonts w:ascii="宋体" w:hAnsi="宋体"/>
                <w:color w:val="auto"/>
                <w:sz w:val="21"/>
                <w:szCs w:val="21"/>
                <w:highlight w:val="none"/>
              </w:rPr>
            </w:pPr>
            <w:r>
              <w:rPr>
                <w:rFonts w:ascii="宋体" w:hAnsi="宋体"/>
                <w:color w:val="auto"/>
                <w:sz w:val="21"/>
                <w:szCs w:val="21"/>
                <w:highlight w:val="none"/>
              </w:rPr>
              <w:t>2</w:t>
            </w:r>
          </w:p>
        </w:tc>
        <w:tc>
          <w:tcPr>
            <w:tcW w:w="922" w:type="dxa"/>
            <w:vAlign w:val="center"/>
          </w:tcPr>
          <w:p w14:paraId="3E7A2868">
            <w:pPr>
              <w:jc w:val="center"/>
              <w:rPr>
                <w:rFonts w:ascii="宋体" w:hAnsi="宋体"/>
                <w:color w:val="auto"/>
                <w:sz w:val="21"/>
                <w:szCs w:val="21"/>
                <w:highlight w:val="none"/>
              </w:rPr>
            </w:pPr>
          </w:p>
        </w:tc>
        <w:tc>
          <w:tcPr>
            <w:tcW w:w="925" w:type="dxa"/>
            <w:vAlign w:val="center"/>
          </w:tcPr>
          <w:p w14:paraId="3305C554">
            <w:pPr>
              <w:jc w:val="center"/>
              <w:rPr>
                <w:rFonts w:ascii="宋体" w:hAnsi="宋体"/>
                <w:color w:val="auto"/>
                <w:sz w:val="21"/>
                <w:szCs w:val="21"/>
                <w:highlight w:val="none"/>
              </w:rPr>
            </w:pPr>
          </w:p>
        </w:tc>
        <w:tc>
          <w:tcPr>
            <w:tcW w:w="925" w:type="dxa"/>
            <w:vAlign w:val="center"/>
          </w:tcPr>
          <w:p w14:paraId="01A66CCB">
            <w:pPr>
              <w:jc w:val="center"/>
              <w:rPr>
                <w:rFonts w:ascii="宋体" w:hAnsi="宋体"/>
                <w:color w:val="auto"/>
                <w:sz w:val="21"/>
                <w:szCs w:val="21"/>
                <w:highlight w:val="none"/>
              </w:rPr>
            </w:pPr>
          </w:p>
        </w:tc>
        <w:tc>
          <w:tcPr>
            <w:tcW w:w="926" w:type="dxa"/>
            <w:vAlign w:val="center"/>
          </w:tcPr>
          <w:p w14:paraId="311F5B42">
            <w:pPr>
              <w:jc w:val="center"/>
              <w:rPr>
                <w:rFonts w:ascii="宋体" w:hAnsi="宋体"/>
                <w:color w:val="auto"/>
                <w:sz w:val="21"/>
                <w:szCs w:val="21"/>
                <w:highlight w:val="none"/>
              </w:rPr>
            </w:pPr>
          </w:p>
        </w:tc>
        <w:tc>
          <w:tcPr>
            <w:tcW w:w="926" w:type="dxa"/>
            <w:vAlign w:val="center"/>
          </w:tcPr>
          <w:p w14:paraId="6A9D4384">
            <w:pPr>
              <w:jc w:val="center"/>
              <w:rPr>
                <w:rFonts w:ascii="宋体" w:hAnsi="宋体"/>
                <w:color w:val="auto"/>
                <w:sz w:val="21"/>
                <w:szCs w:val="21"/>
                <w:highlight w:val="none"/>
              </w:rPr>
            </w:pPr>
          </w:p>
        </w:tc>
        <w:tc>
          <w:tcPr>
            <w:tcW w:w="1413" w:type="dxa"/>
            <w:vAlign w:val="center"/>
          </w:tcPr>
          <w:p w14:paraId="05181F3D">
            <w:pPr>
              <w:jc w:val="center"/>
              <w:rPr>
                <w:rFonts w:ascii="宋体" w:hAnsi="宋体"/>
                <w:color w:val="auto"/>
                <w:sz w:val="21"/>
                <w:szCs w:val="21"/>
                <w:highlight w:val="none"/>
              </w:rPr>
            </w:pPr>
          </w:p>
        </w:tc>
        <w:tc>
          <w:tcPr>
            <w:tcW w:w="926" w:type="dxa"/>
            <w:vAlign w:val="center"/>
          </w:tcPr>
          <w:p w14:paraId="68323362">
            <w:pPr>
              <w:jc w:val="center"/>
              <w:rPr>
                <w:rFonts w:ascii="宋体" w:hAnsi="宋体"/>
                <w:color w:val="auto"/>
                <w:sz w:val="21"/>
                <w:szCs w:val="21"/>
                <w:highlight w:val="none"/>
              </w:rPr>
            </w:pPr>
          </w:p>
        </w:tc>
        <w:tc>
          <w:tcPr>
            <w:tcW w:w="926" w:type="dxa"/>
            <w:vAlign w:val="center"/>
          </w:tcPr>
          <w:p w14:paraId="30B5CBAD">
            <w:pPr>
              <w:jc w:val="center"/>
              <w:rPr>
                <w:rFonts w:ascii="宋体" w:hAnsi="宋体"/>
                <w:color w:val="auto"/>
                <w:sz w:val="21"/>
                <w:szCs w:val="21"/>
                <w:highlight w:val="none"/>
              </w:rPr>
            </w:pPr>
          </w:p>
        </w:tc>
        <w:tc>
          <w:tcPr>
            <w:tcW w:w="926" w:type="dxa"/>
            <w:vAlign w:val="center"/>
          </w:tcPr>
          <w:p w14:paraId="71B8C86B">
            <w:pPr>
              <w:jc w:val="center"/>
              <w:rPr>
                <w:rFonts w:ascii="宋体" w:hAnsi="宋体"/>
                <w:color w:val="auto"/>
                <w:sz w:val="21"/>
                <w:szCs w:val="21"/>
                <w:highlight w:val="none"/>
              </w:rPr>
            </w:pPr>
          </w:p>
        </w:tc>
      </w:tr>
      <w:tr w14:paraId="3178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3193717F">
            <w:pPr>
              <w:jc w:val="center"/>
              <w:rPr>
                <w:rFonts w:ascii="宋体" w:hAnsi="宋体"/>
                <w:color w:val="auto"/>
                <w:sz w:val="21"/>
                <w:szCs w:val="21"/>
                <w:highlight w:val="none"/>
              </w:rPr>
            </w:pPr>
            <w:r>
              <w:rPr>
                <w:rFonts w:ascii="宋体" w:hAnsi="宋体"/>
                <w:color w:val="auto"/>
                <w:sz w:val="21"/>
                <w:szCs w:val="21"/>
                <w:highlight w:val="none"/>
              </w:rPr>
              <w:t>3</w:t>
            </w:r>
          </w:p>
        </w:tc>
        <w:tc>
          <w:tcPr>
            <w:tcW w:w="922" w:type="dxa"/>
            <w:vAlign w:val="center"/>
          </w:tcPr>
          <w:p w14:paraId="64D03E36">
            <w:pPr>
              <w:jc w:val="center"/>
              <w:rPr>
                <w:rFonts w:ascii="宋体" w:hAnsi="宋体"/>
                <w:color w:val="auto"/>
                <w:sz w:val="21"/>
                <w:szCs w:val="21"/>
                <w:highlight w:val="none"/>
              </w:rPr>
            </w:pPr>
          </w:p>
        </w:tc>
        <w:tc>
          <w:tcPr>
            <w:tcW w:w="925" w:type="dxa"/>
            <w:vAlign w:val="center"/>
          </w:tcPr>
          <w:p w14:paraId="245927D4">
            <w:pPr>
              <w:jc w:val="center"/>
              <w:rPr>
                <w:rFonts w:ascii="宋体" w:hAnsi="宋体"/>
                <w:color w:val="auto"/>
                <w:sz w:val="21"/>
                <w:szCs w:val="21"/>
                <w:highlight w:val="none"/>
              </w:rPr>
            </w:pPr>
          </w:p>
        </w:tc>
        <w:tc>
          <w:tcPr>
            <w:tcW w:w="925" w:type="dxa"/>
            <w:vAlign w:val="center"/>
          </w:tcPr>
          <w:p w14:paraId="61E85DC1">
            <w:pPr>
              <w:jc w:val="center"/>
              <w:rPr>
                <w:rFonts w:ascii="宋体" w:hAnsi="宋体"/>
                <w:color w:val="auto"/>
                <w:sz w:val="21"/>
                <w:szCs w:val="21"/>
                <w:highlight w:val="none"/>
              </w:rPr>
            </w:pPr>
          </w:p>
        </w:tc>
        <w:tc>
          <w:tcPr>
            <w:tcW w:w="926" w:type="dxa"/>
            <w:vAlign w:val="center"/>
          </w:tcPr>
          <w:p w14:paraId="2D612061">
            <w:pPr>
              <w:jc w:val="center"/>
              <w:rPr>
                <w:rFonts w:ascii="宋体" w:hAnsi="宋体"/>
                <w:color w:val="auto"/>
                <w:sz w:val="21"/>
                <w:szCs w:val="21"/>
                <w:highlight w:val="none"/>
              </w:rPr>
            </w:pPr>
          </w:p>
        </w:tc>
        <w:tc>
          <w:tcPr>
            <w:tcW w:w="926" w:type="dxa"/>
            <w:vAlign w:val="center"/>
          </w:tcPr>
          <w:p w14:paraId="11995782">
            <w:pPr>
              <w:jc w:val="center"/>
              <w:rPr>
                <w:rFonts w:ascii="宋体" w:hAnsi="宋体"/>
                <w:color w:val="auto"/>
                <w:sz w:val="21"/>
                <w:szCs w:val="21"/>
                <w:highlight w:val="none"/>
              </w:rPr>
            </w:pPr>
          </w:p>
        </w:tc>
        <w:tc>
          <w:tcPr>
            <w:tcW w:w="1413" w:type="dxa"/>
            <w:vAlign w:val="center"/>
          </w:tcPr>
          <w:p w14:paraId="4080DFF4">
            <w:pPr>
              <w:jc w:val="center"/>
              <w:rPr>
                <w:rFonts w:ascii="宋体" w:hAnsi="宋体"/>
                <w:color w:val="auto"/>
                <w:sz w:val="21"/>
                <w:szCs w:val="21"/>
                <w:highlight w:val="none"/>
              </w:rPr>
            </w:pPr>
          </w:p>
        </w:tc>
        <w:tc>
          <w:tcPr>
            <w:tcW w:w="926" w:type="dxa"/>
            <w:vAlign w:val="center"/>
          </w:tcPr>
          <w:p w14:paraId="6CBC7624">
            <w:pPr>
              <w:jc w:val="center"/>
              <w:rPr>
                <w:rFonts w:ascii="宋体" w:hAnsi="宋体"/>
                <w:color w:val="auto"/>
                <w:sz w:val="21"/>
                <w:szCs w:val="21"/>
                <w:highlight w:val="none"/>
              </w:rPr>
            </w:pPr>
          </w:p>
        </w:tc>
        <w:tc>
          <w:tcPr>
            <w:tcW w:w="926" w:type="dxa"/>
            <w:vAlign w:val="center"/>
          </w:tcPr>
          <w:p w14:paraId="4B7E8CB8">
            <w:pPr>
              <w:jc w:val="center"/>
              <w:rPr>
                <w:rFonts w:ascii="宋体" w:hAnsi="宋体"/>
                <w:color w:val="auto"/>
                <w:sz w:val="21"/>
                <w:szCs w:val="21"/>
                <w:highlight w:val="none"/>
              </w:rPr>
            </w:pPr>
          </w:p>
        </w:tc>
        <w:tc>
          <w:tcPr>
            <w:tcW w:w="926" w:type="dxa"/>
            <w:vAlign w:val="center"/>
          </w:tcPr>
          <w:p w14:paraId="308D2593">
            <w:pPr>
              <w:jc w:val="center"/>
              <w:rPr>
                <w:rFonts w:ascii="宋体" w:hAnsi="宋体"/>
                <w:color w:val="auto"/>
                <w:sz w:val="21"/>
                <w:szCs w:val="21"/>
                <w:highlight w:val="none"/>
              </w:rPr>
            </w:pPr>
          </w:p>
        </w:tc>
      </w:tr>
      <w:tr w14:paraId="2D80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485EBBA1">
            <w:pPr>
              <w:jc w:val="center"/>
              <w:rPr>
                <w:rFonts w:ascii="宋体" w:hAnsi="宋体"/>
                <w:color w:val="auto"/>
                <w:sz w:val="21"/>
                <w:szCs w:val="21"/>
                <w:highlight w:val="none"/>
              </w:rPr>
            </w:pPr>
            <w:r>
              <w:rPr>
                <w:rFonts w:ascii="宋体" w:hAnsi="宋体"/>
                <w:color w:val="auto"/>
                <w:sz w:val="21"/>
                <w:szCs w:val="21"/>
                <w:highlight w:val="none"/>
              </w:rPr>
              <w:t>4</w:t>
            </w:r>
          </w:p>
        </w:tc>
        <w:tc>
          <w:tcPr>
            <w:tcW w:w="922" w:type="dxa"/>
            <w:vAlign w:val="center"/>
          </w:tcPr>
          <w:p w14:paraId="5B5DBB3C">
            <w:pPr>
              <w:jc w:val="center"/>
              <w:rPr>
                <w:rFonts w:ascii="宋体" w:hAnsi="宋体"/>
                <w:color w:val="auto"/>
                <w:sz w:val="21"/>
                <w:szCs w:val="21"/>
                <w:highlight w:val="none"/>
              </w:rPr>
            </w:pPr>
          </w:p>
        </w:tc>
        <w:tc>
          <w:tcPr>
            <w:tcW w:w="925" w:type="dxa"/>
            <w:vAlign w:val="center"/>
          </w:tcPr>
          <w:p w14:paraId="1DCA0DFF">
            <w:pPr>
              <w:jc w:val="center"/>
              <w:rPr>
                <w:rFonts w:ascii="宋体" w:hAnsi="宋体"/>
                <w:color w:val="auto"/>
                <w:sz w:val="21"/>
                <w:szCs w:val="21"/>
                <w:highlight w:val="none"/>
              </w:rPr>
            </w:pPr>
          </w:p>
        </w:tc>
        <w:tc>
          <w:tcPr>
            <w:tcW w:w="925" w:type="dxa"/>
            <w:vAlign w:val="center"/>
          </w:tcPr>
          <w:p w14:paraId="368CBE84">
            <w:pPr>
              <w:jc w:val="center"/>
              <w:rPr>
                <w:rFonts w:ascii="宋体" w:hAnsi="宋体"/>
                <w:color w:val="auto"/>
                <w:sz w:val="21"/>
                <w:szCs w:val="21"/>
                <w:highlight w:val="none"/>
              </w:rPr>
            </w:pPr>
          </w:p>
        </w:tc>
        <w:tc>
          <w:tcPr>
            <w:tcW w:w="926" w:type="dxa"/>
            <w:vAlign w:val="center"/>
          </w:tcPr>
          <w:p w14:paraId="798CC702">
            <w:pPr>
              <w:jc w:val="center"/>
              <w:rPr>
                <w:rFonts w:ascii="宋体" w:hAnsi="宋体"/>
                <w:color w:val="auto"/>
                <w:sz w:val="21"/>
                <w:szCs w:val="21"/>
                <w:highlight w:val="none"/>
              </w:rPr>
            </w:pPr>
          </w:p>
        </w:tc>
        <w:tc>
          <w:tcPr>
            <w:tcW w:w="926" w:type="dxa"/>
            <w:vAlign w:val="center"/>
          </w:tcPr>
          <w:p w14:paraId="142540A0">
            <w:pPr>
              <w:jc w:val="center"/>
              <w:rPr>
                <w:rFonts w:ascii="宋体" w:hAnsi="宋体"/>
                <w:color w:val="auto"/>
                <w:sz w:val="21"/>
                <w:szCs w:val="21"/>
                <w:highlight w:val="none"/>
              </w:rPr>
            </w:pPr>
          </w:p>
        </w:tc>
        <w:tc>
          <w:tcPr>
            <w:tcW w:w="1413" w:type="dxa"/>
            <w:vAlign w:val="center"/>
          </w:tcPr>
          <w:p w14:paraId="059971D2">
            <w:pPr>
              <w:jc w:val="center"/>
              <w:rPr>
                <w:rFonts w:ascii="宋体" w:hAnsi="宋体"/>
                <w:color w:val="auto"/>
                <w:sz w:val="21"/>
                <w:szCs w:val="21"/>
                <w:highlight w:val="none"/>
              </w:rPr>
            </w:pPr>
          </w:p>
        </w:tc>
        <w:tc>
          <w:tcPr>
            <w:tcW w:w="926" w:type="dxa"/>
            <w:vAlign w:val="center"/>
          </w:tcPr>
          <w:p w14:paraId="4C2E18D6">
            <w:pPr>
              <w:jc w:val="center"/>
              <w:rPr>
                <w:rFonts w:ascii="宋体" w:hAnsi="宋体"/>
                <w:color w:val="auto"/>
                <w:sz w:val="21"/>
                <w:szCs w:val="21"/>
                <w:highlight w:val="none"/>
              </w:rPr>
            </w:pPr>
          </w:p>
        </w:tc>
        <w:tc>
          <w:tcPr>
            <w:tcW w:w="926" w:type="dxa"/>
            <w:vAlign w:val="center"/>
          </w:tcPr>
          <w:p w14:paraId="3517CA9E">
            <w:pPr>
              <w:jc w:val="center"/>
              <w:rPr>
                <w:rFonts w:ascii="宋体" w:hAnsi="宋体"/>
                <w:color w:val="auto"/>
                <w:sz w:val="21"/>
                <w:szCs w:val="21"/>
                <w:highlight w:val="none"/>
              </w:rPr>
            </w:pPr>
          </w:p>
        </w:tc>
        <w:tc>
          <w:tcPr>
            <w:tcW w:w="926" w:type="dxa"/>
            <w:vAlign w:val="center"/>
          </w:tcPr>
          <w:p w14:paraId="34ACDF7C">
            <w:pPr>
              <w:jc w:val="center"/>
              <w:rPr>
                <w:rFonts w:ascii="宋体" w:hAnsi="宋体"/>
                <w:color w:val="auto"/>
                <w:sz w:val="21"/>
                <w:szCs w:val="21"/>
                <w:highlight w:val="none"/>
              </w:rPr>
            </w:pPr>
          </w:p>
        </w:tc>
      </w:tr>
      <w:tr w14:paraId="016C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525109CE">
            <w:pPr>
              <w:jc w:val="center"/>
              <w:rPr>
                <w:rFonts w:ascii="宋体" w:hAnsi="宋体"/>
                <w:color w:val="auto"/>
                <w:sz w:val="21"/>
                <w:szCs w:val="21"/>
                <w:highlight w:val="none"/>
              </w:rPr>
            </w:pPr>
            <w:r>
              <w:rPr>
                <w:rFonts w:ascii="宋体" w:hAnsi="宋体"/>
                <w:color w:val="auto"/>
                <w:sz w:val="21"/>
                <w:szCs w:val="21"/>
                <w:highlight w:val="none"/>
              </w:rPr>
              <w:t>……</w:t>
            </w:r>
          </w:p>
        </w:tc>
        <w:tc>
          <w:tcPr>
            <w:tcW w:w="922" w:type="dxa"/>
            <w:vAlign w:val="center"/>
          </w:tcPr>
          <w:p w14:paraId="0EBA6445">
            <w:pPr>
              <w:jc w:val="center"/>
              <w:rPr>
                <w:rFonts w:ascii="宋体" w:hAnsi="宋体"/>
                <w:color w:val="auto"/>
                <w:sz w:val="21"/>
                <w:szCs w:val="21"/>
                <w:highlight w:val="none"/>
              </w:rPr>
            </w:pPr>
          </w:p>
        </w:tc>
        <w:tc>
          <w:tcPr>
            <w:tcW w:w="925" w:type="dxa"/>
            <w:vAlign w:val="center"/>
          </w:tcPr>
          <w:p w14:paraId="10CA92F5">
            <w:pPr>
              <w:jc w:val="center"/>
              <w:rPr>
                <w:rFonts w:ascii="宋体" w:hAnsi="宋体"/>
                <w:color w:val="auto"/>
                <w:sz w:val="21"/>
                <w:szCs w:val="21"/>
                <w:highlight w:val="none"/>
              </w:rPr>
            </w:pPr>
          </w:p>
        </w:tc>
        <w:tc>
          <w:tcPr>
            <w:tcW w:w="925" w:type="dxa"/>
            <w:vAlign w:val="center"/>
          </w:tcPr>
          <w:p w14:paraId="10762AEC">
            <w:pPr>
              <w:jc w:val="center"/>
              <w:rPr>
                <w:rFonts w:ascii="宋体" w:hAnsi="宋体"/>
                <w:color w:val="auto"/>
                <w:sz w:val="21"/>
                <w:szCs w:val="21"/>
                <w:highlight w:val="none"/>
              </w:rPr>
            </w:pPr>
          </w:p>
        </w:tc>
        <w:tc>
          <w:tcPr>
            <w:tcW w:w="926" w:type="dxa"/>
            <w:vAlign w:val="center"/>
          </w:tcPr>
          <w:p w14:paraId="6DDBEBAD">
            <w:pPr>
              <w:jc w:val="center"/>
              <w:rPr>
                <w:rFonts w:ascii="宋体" w:hAnsi="宋体"/>
                <w:color w:val="auto"/>
                <w:sz w:val="21"/>
                <w:szCs w:val="21"/>
                <w:highlight w:val="none"/>
              </w:rPr>
            </w:pPr>
          </w:p>
        </w:tc>
        <w:tc>
          <w:tcPr>
            <w:tcW w:w="926" w:type="dxa"/>
            <w:vAlign w:val="center"/>
          </w:tcPr>
          <w:p w14:paraId="42FBC80A">
            <w:pPr>
              <w:jc w:val="center"/>
              <w:rPr>
                <w:rFonts w:ascii="宋体" w:hAnsi="宋体"/>
                <w:color w:val="auto"/>
                <w:sz w:val="21"/>
                <w:szCs w:val="21"/>
                <w:highlight w:val="none"/>
              </w:rPr>
            </w:pPr>
          </w:p>
        </w:tc>
        <w:tc>
          <w:tcPr>
            <w:tcW w:w="1413" w:type="dxa"/>
            <w:vAlign w:val="center"/>
          </w:tcPr>
          <w:p w14:paraId="3056F10F">
            <w:pPr>
              <w:jc w:val="center"/>
              <w:rPr>
                <w:rFonts w:ascii="宋体" w:hAnsi="宋体"/>
                <w:color w:val="auto"/>
                <w:sz w:val="21"/>
                <w:szCs w:val="21"/>
                <w:highlight w:val="none"/>
              </w:rPr>
            </w:pPr>
          </w:p>
        </w:tc>
        <w:tc>
          <w:tcPr>
            <w:tcW w:w="926" w:type="dxa"/>
            <w:vAlign w:val="center"/>
          </w:tcPr>
          <w:p w14:paraId="2592C50A">
            <w:pPr>
              <w:jc w:val="center"/>
              <w:rPr>
                <w:rFonts w:ascii="宋体" w:hAnsi="宋体"/>
                <w:color w:val="auto"/>
                <w:sz w:val="21"/>
                <w:szCs w:val="21"/>
                <w:highlight w:val="none"/>
              </w:rPr>
            </w:pPr>
          </w:p>
        </w:tc>
        <w:tc>
          <w:tcPr>
            <w:tcW w:w="926" w:type="dxa"/>
            <w:vAlign w:val="center"/>
          </w:tcPr>
          <w:p w14:paraId="58131352">
            <w:pPr>
              <w:jc w:val="center"/>
              <w:rPr>
                <w:rFonts w:ascii="宋体" w:hAnsi="宋体"/>
                <w:color w:val="auto"/>
                <w:sz w:val="21"/>
                <w:szCs w:val="21"/>
                <w:highlight w:val="none"/>
              </w:rPr>
            </w:pPr>
          </w:p>
        </w:tc>
        <w:tc>
          <w:tcPr>
            <w:tcW w:w="926" w:type="dxa"/>
            <w:vAlign w:val="center"/>
          </w:tcPr>
          <w:p w14:paraId="55CA64E3">
            <w:pPr>
              <w:jc w:val="center"/>
              <w:rPr>
                <w:rFonts w:ascii="宋体" w:hAnsi="宋体"/>
                <w:color w:val="auto"/>
                <w:sz w:val="21"/>
                <w:szCs w:val="21"/>
                <w:highlight w:val="none"/>
              </w:rPr>
            </w:pPr>
          </w:p>
        </w:tc>
      </w:tr>
    </w:tbl>
    <w:p w14:paraId="1622DC75">
      <w:pPr>
        <w:spacing w:line="440" w:lineRule="exact"/>
        <w:ind w:left="2"/>
        <w:jc w:val="left"/>
        <w:rPr>
          <w:rFonts w:ascii="宋体" w:hAnsi="宋体"/>
          <w:color w:val="auto"/>
          <w:sz w:val="21"/>
          <w:szCs w:val="21"/>
          <w:highlight w:val="none"/>
        </w:rPr>
      </w:pPr>
    </w:p>
    <w:p w14:paraId="1B078B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ascii="宋体" w:hAnsi="宋体"/>
          <w:color w:val="auto"/>
          <w:sz w:val="21"/>
          <w:szCs w:val="21"/>
          <w:highlight w:val="none"/>
        </w:rPr>
        <w:t>备注：本表后附</w:t>
      </w:r>
      <w:r>
        <w:rPr>
          <w:rFonts w:hint="eastAsia" w:ascii="宋体" w:hAnsi="宋体"/>
          <w:color w:val="auto"/>
          <w:sz w:val="21"/>
          <w:szCs w:val="21"/>
          <w:highlight w:val="none"/>
          <w:lang w:eastAsia="zh-CN"/>
        </w:rPr>
        <w:t>中标通知书或</w:t>
      </w:r>
      <w:r>
        <w:rPr>
          <w:rFonts w:hint="eastAsia" w:ascii="宋体" w:hAnsi="宋体"/>
          <w:color w:val="auto"/>
          <w:sz w:val="21"/>
          <w:szCs w:val="21"/>
          <w:highlight w:val="none"/>
        </w:rPr>
        <w:t>合同协议书</w:t>
      </w:r>
      <w:r>
        <w:rPr>
          <w:rFonts w:ascii="宋体" w:hAnsi="宋体"/>
          <w:color w:val="auto"/>
          <w:sz w:val="21"/>
          <w:szCs w:val="21"/>
          <w:highlight w:val="none"/>
        </w:rPr>
        <w:t>复印件,并标明序号。</w:t>
      </w:r>
    </w:p>
    <w:p w14:paraId="6602795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38BE87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磋商申请人在磋商响应截止日期前</w:t>
      </w:r>
      <w:r>
        <w:rPr>
          <w:rFonts w:hint="eastAsia" w:ascii="宋体" w:hAnsi="宋体" w:eastAsia="宋体" w:cs="宋体"/>
          <w:color w:val="auto"/>
          <w:sz w:val="21"/>
          <w:szCs w:val="21"/>
          <w:highlight w:val="none"/>
          <w:lang w:val="en-US" w:eastAsia="zh-CN"/>
        </w:rPr>
        <w:t>未被列入“信用中国”网站“失信被执行人”（中国执行信息公开网）、“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0636332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999F4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单位负责人为同一人或者存在直接控股、管理关系的不同磋商申请人，不得参加同一合同项下的政府采购活动。【</w:t>
      </w:r>
      <w:r>
        <w:rPr>
          <w:rFonts w:hint="eastAsia" w:ascii="宋体" w:hAnsi="宋体" w:eastAsia="宋体" w:cs="宋体"/>
          <w:b/>
          <w:bCs/>
          <w:color w:val="auto"/>
          <w:sz w:val="21"/>
          <w:szCs w:val="21"/>
          <w:highlight w:val="none"/>
          <w:lang w:val="en-US" w:eastAsia="zh-CN"/>
        </w:rPr>
        <w:t>提供书面声明，加盖公章确认</w:t>
      </w:r>
      <w:r>
        <w:rPr>
          <w:rFonts w:hint="eastAsia" w:ascii="宋体" w:hAnsi="宋体" w:eastAsia="宋体" w:cs="宋体"/>
          <w:color w:val="auto"/>
          <w:sz w:val="21"/>
          <w:szCs w:val="21"/>
          <w:highlight w:val="none"/>
          <w:lang w:val="en-US" w:eastAsia="zh-CN"/>
        </w:rPr>
        <w:t>】</w:t>
      </w:r>
    </w:p>
    <w:p w14:paraId="01442C2B">
      <w:pPr>
        <w:pStyle w:val="3"/>
        <w:ind w:left="425"/>
        <w:rPr>
          <w:rFonts w:hAnsi="宋体"/>
          <w:color w:val="auto"/>
          <w:szCs w:val="28"/>
          <w:highlight w:val="none"/>
        </w:rPr>
      </w:pPr>
      <w:r>
        <w:rPr>
          <w:rFonts w:hint="eastAsia" w:ascii="宋体" w:hAnsi="宋体"/>
          <w:color w:val="auto"/>
          <w:szCs w:val="28"/>
          <w:highlight w:val="none"/>
        </w:rPr>
        <w:t>磋商申请人无直接控股、管理关系书面声明函</w:t>
      </w:r>
    </w:p>
    <w:p w14:paraId="6225C096">
      <w:pPr>
        <w:snapToGrid w:val="0"/>
        <w:spacing w:line="280" w:lineRule="exact"/>
        <w:rPr>
          <w:rFonts w:ascii="宋体" w:hAnsi="宋体"/>
          <w:color w:val="auto"/>
          <w:szCs w:val="21"/>
          <w:highlight w:val="none"/>
          <w:u w:val="single"/>
        </w:rPr>
      </w:pPr>
      <w:r>
        <w:rPr>
          <w:rFonts w:hint="eastAsia" w:ascii="宋体" w:hAnsi="宋体"/>
          <w:color w:val="auto"/>
          <w:szCs w:val="21"/>
          <w:highlight w:val="none"/>
          <w:u w:val="single"/>
        </w:rPr>
        <w:t>保山广驰招标代理有限公司：</w:t>
      </w:r>
    </w:p>
    <w:p w14:paraId="31573E3A">
      <w:pPr>
        <w:snapToGrid w:val="0"/>
        <w:spacing w:line="280" w:lineRule="exact"/>
        <w:rPr>
          <w:rFonts w:ascii="宋体" w:hAnsi="宋体"/>
          <w:color w:val="auto"/>
          <w:szCs w:val="21"/>
          <w:highlight w:val="none"/>
        </w:rPr>
      </w:pPr>
    </w:p>
    <w:p w14:paraId="2F0E4071">
      <w:pPr>
        <w:snapToGrid w:val="0"/>
        <w:spacing w:line="280" w:lineRule="exact"/>
        <w:rPr>
          <w:rFonts w:ascii="宋体" w:hAnsi="宋体"/>
          <w:color w:val="auto"/>
          <w:szCs w:val="21"/>
          <w:highlight w:val="none"/>
        </w:rPr>
      </w:pPr>
      <w:r>
        <w:rPr>
          <w:rFonts w:hint="eastAsia" w:ascii="宋体" w:hAnsi="宋体"/>
          <w:color w:val="auto"/>
          <w:szCs w:val="21"/>
          <w:highlight w:val="none"/>
        </w:rPr>
        <w:t xml:space="preserve">一、下述公司负责人与我公司单位负责人为同一人：（如无则本项填写“无”）  </w:t>
      </w:r>
    </w:p>
    <w:p w14:paraId="066DCB18">
      <w:pPr>
        <w:snapToGrid w:val="0"/>
        <w:spacing w:line="280" w:lineRule="exac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p>
    <w:p w14:paraId="2DCC0D70">
      <w:pPr>
        <w:snapToGrid w:val="0"/>
        <w:spacing w:line="280" w:lineRule="exac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p>
    <w:p w14:paraId="68E686BD">
      <w:pPr>
        <w:snapToGrid w:val="0"/>
        <w:spacing w:line="280" w:lineRule="exact"/>
        <w:rPr>
          <w:rFonts w:ascii="宋体" w:hAnsi="宋体"/>
          <w:color w:val="auto"/>
          <w:szCs w:val="21"/>
          <w:highlight w:val="none"/>
          <w:u w:val="single"/>
        </w:rPr>
      </w:pPr>
      <w:r>
        <w:rPr>
          <w:rFonts w:ascii="宋体" w:hAnsi="宋体"/>
          <w:color w:val="auto"/>
          <w:szCs w:val="21"/>
          <w:highlight w:val="none"/>
        </w:rPr>
        <w:t>3.</w:t>
      </w:r>
      <w:r>
        <w:rPr>
          <w:rFonts w:ascii="宋体" w:hAnsi="宋体"/>
          <w:color w:val="auto"/>
          <w:szCs w:val="21"/>
          <w:highlight w:val="none"/>
          <w:u w:val="single"/>
        </w:rPr>
        <w:t xml:space="preserve">                              </w:t>
      </w:r>
    </w:p>
    <w:p w14:paraId="0F493AF6">
      <w:pPr>
        <w:snapToGrid w:val="0"/>
        <w:spacing w:line="280" w:lineRule="exact"/>
        <w:rPr>
          <w:rFonts w:ascii="宋体" w:hAnsi="宋体"/>
          <w:color w:val="auto"/>
          <w:szCs w:val="21"/>
          <w:highlight w:val="none"/>
        </w:rPr>
      </w:pPr>
      <w:r>
        <w:rPr>
          <w:rFonts w:hint="eastAsia" w:ascii="宋体" w:hAnsi="宋体"/>
          <w:color w:val="auto"/>
          <w:szCs w:val="21"/>
          <w:highlight w:val="none"/>
        </w:rPr>
        <w:t>……</w:t>
      </w:r>
    </w:p>
    <w:p w14:paraId="69A80531">
      <w:pPr>
        <w:snapToGrid w:val="0"/>
        <w:spacing w:line="280" w:lineRule="exact"/>
        <w:rPr>
          <w:rFonts w:ascii="宋体" w:hAnsi="宋体"/>
          <w:color w:val="auto"/>
          <w:szCs w:val="21"/>
          <w:highlight w:val="none"/>
        </w:rPr>
      </w:pPr>
      <w:r>
        <w:rPr>
          <w:rFonts w:hint="eastAsia" w:ascii="宋体" w:hAnsi="宋体"/>
          <w:color w:val="auto"/>
          <w:szCs w:val="21"/>
          <w:highlight w:val="none"/>
        </w:rPr>
        <w:t>（可自行添加）</w:t>
      </w:r>
    </w:p>
    <w:p w14:paraId="214F113C">
      <w:pPr>
        <w:snapToGrid w:val="0"/>
        <w:spacing w:line="280" w:lineRule="exact"/>
        <w:rPr>
          <w:rFonts w:ascii="宋体" w:hAnsi="宋体"/>
          <w:color w:val="auto"/>
          <w:szCs w:val="21"/>
          <w:highlight w:val="none"/>
        </w:rPr>
      </w:pPr>
      <w:r>
        <w:rPr>
          <w:rFonts w:hint="eastAsia" w:ascii="宋体" w:hAnsi="宋体"/>
          <w:color w:val="auto"/>
          <w:szCs w:val="21"/>
          <w:highlight w:val="none"/>
        </w:rPr>
        <w:t xml:space="preserve">二、我公司与下述公司存在直接控股关系：（如无则本项填写“无”） </w:t>
      </w:r>
    </w:p>
    <w:p w14:paraId="17C3168D">
      <w:pPr>
        <w:snapToGrid w:val="0"/>
        <w:spacing w:line="280" w:lineRule="exac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p>
    <w:p w14:paraId="73631602">
      <w:pPr>
        <w:snapToGrid w:val="0"/>
        <w:spacing w:line="280" w:lineRule="exac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p>
    <w:p w14:paraId="393B394C">
      <w:pPr>
        <w:snapToGrid w:val="0"/>
        <w:spacing w:line="280" w:lineRule="exact"/>
        <w:rPr>
          <w:rFonts w:ascii="宋体" w:hAnsi="宋体"/>
          <w:color w:val="auto"/>
          <w:szCs w:val="21"/>
          <w:highlight w:val="none"/>
          <w:u w:val="single"/>
        </w:rPr>
      </w:pPr>
      <w:r>
        <w:rPr>
          <w:rFonts w:ascii="宋体" w:hAnsi="宋体"/>
          <w:color w:val="auto"/>
          <w:szCs w:val="21"/>
          <w:highlight w:val="none"/>
        </w:rPr>
        <w:t>3.</w:t>
      </w:r>
      <w:r>
        <w:rPr>
          <w:rFonts w:ascii="宋体" w:hAnsi="宋体"/>
          <w:color w:val="auto"/>
          <w:szCs w:val="21"/>
          <w:highlight w:val="none"/>
          <w:u w:val="single"/>
        </w:rPr>
        <w:t xml:space="preserve">                              </w:t>
      </w:r>
    </w:p>
    <w:p w14:paraId="7F786BFE">
      <w:pPr>
        <w:snapToGrid w:val="0"/>
        <w:spacing w:line="280" w:lineRule="exact"/>
        <w:rPr>
          <w:rFonts w:ascii="宋体" w:hAnsi="宋体"/>
          <w:color w:val="auto"/>
          <w:szCs w:val="21"/>
          <w:highlight w:val="none"/>
        </w:rPr>
      </w:pPr>
      <w:r>
        <w:rPr>
          <w:rFonts w:hint="eastAsia" w:ascii="宋体" w:hAnsi="宋体"/>
          <w:color w:val="auto"/>
          <w:szCs w:val="21"/>
          <w:highlight w:val="none"/>
        </w:rPr>
        <w:t>……</w:t>
      </w:r>
    </w:p>
    <w:p w14:paraId="483A5157">
      <w:pPr>
        <w:snapToGrid w:val="0"/>
        <w:spacing w:line="280" w:lineRule="exact"/>
        <w:rPr>
          <w:rFonts w:ascii="宋体" w:hAnsi="宋体"/>
          <w:color w:val="auto"/>
          <w:szCs w:val="21"/>
          <w:highlight w:val="none"/>
        </w:rPr>
      </w:pPr>
      <w:r>
        <w:rPr>
          <w:rFonts w:hint="eastAsia" w:ascii="宋体" w:hAnsi="宋体"/>
          <w:color w:val="auto"/>
          <w:szCs w:val="21"/>
          <w:highlight w:val="none"/>
        </w:rPr>
        <w:t>（可自行添加）</w:t>
      </w:r>
    </w:p>
    <w:p w14:paraId="15B690D5">
      <w:pPr>
        <w:snapToGrid w:val="0"/>
        <w:spacing w:line="280" w:lineRule="exact"/>
        <w:rPr>
          <w:rFonts w:ascii="宋体" w:hAnsi="宋体"/>
          <w:color w:val="auto"/>
          <w:szCs w:val="21"/>
          <w:highlight w:val="none"/>
        </w:rPr>
      </w:pPr>
    </w:p>
    <w:p w14:paraId="33B10DB1">
      <w:pPr>
        <w:snapToGrid w:val="0"/>
        <w:spacing w:line="280" w:lineRule="exact"/>
        <w:rPr>
          <w:rFonts w:ascii="宋体" w:hAnsi="宋体"/>
          <w:color w:val="auto"/>
          <w:szCs w:val="21"/>
          <w:highlight w:val="none"/>
        </w:rPr>
      </w:pPr>
      <w:r>
        <w:rPr>
          <w:rFonts w:hint="eastAsia" w:ascii="宋体" w:hAnsi="宋体"/>
          <w:color w:val="auto"/>
          <w:szCs w:val="21"/>
          <w:highlight w:val="none"/>
        </w:rPr>
        <w:t xml:space="preserve">三、我公司与下述公司存在直接管理关系：（如无则本项填写“无”） </w:t>
      </w:r>
    </w:p>
    <w:p w14:paraId="2F696522">
      <w:pPr>
        <w:snapToGrid w:val="0"/>
        <w:spacing w:line="280" w:lineRule="exac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p>
    <w:p w14:paraId="3613CC9C">
      <w:pPr>
        <w:snapToGrid w:val="0"/>
        <w:spacing w:line="280" w:lineRule="exac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p>
    <w:p w14:paraId="3654D1CA">
      <w:pPr>
        <w:snapToGrid w:val="0"/>
        <w:spacing w:line="280" w:lineRule="exact"/>
        <w:rPr>
          <w:rFonts w:ascii="宋体" w:hAnsi="宋体"/>
          <w:color w:val="auto"/>
          <w:szCs w:val="21"/>
          <w:highlight w:val="none"/>
          <w:u w:val="single"/>
        </w:rPr>
      </w:pPr>
      <w:r>
        <w:rPr>
          <w:rFonts w:ascii="宋体" w:hAnsi="宋体"/>
          <w:color w:val="auto"/>
          <w:szCs w:val="21"/>
          <w:highlight w:val="none"/>
        </w:rPr>
        <w:t>3.</w:t>
      </w:r>
      <w:r>
        <w:rPr>
          <w:rFonts w:ascii="宋体" w:hAnsi="宋体"/>
          <w:color w:val="auto"/>
          <w:szCs w:val="21"/>
          <w:highlight w:val="none"/>
          <w:u w:val="single"/>
        </w:rPr>
        <w:t xml:space="preserve">                              </w:t>
      </w:r>
    </w:p>
    <w:p w14:paraId="3B7C9C46">
      <w:pPr>
        <w:snapToGrid w:val="0"/>
        <w:spacing w:line="280" w:lineRule="exact"/>
        <w:rPr>
          <w:rFonts w:ascii="宋体" w:hAnsi="宋体"/>
          <w:color w:val="auto"/>
          <w:szCs w:val="21"/>
          <w:highlight w:val="none"/>
        </w:rPr>
      </w:pPr>
      <w:r>
        <w:rPr>
          <w:rFonts w:hint="eastAsia" w:ascii="宋体" w:hAnsi="宋体"/>
          <w:color w:val="auto"/>
          <w:szCs w:val="21"/>
          <w:highlight w:val="none"/>
        </w:rPr>
        <w:t>……</w:t>
      </w:r>
    </w:p>
    <w:p w14:paraId="491654FC">
      <w:pPr>
        <w:snapToGrid w:val="0"/>
        <w:spacing w:line="280" w:lineRule="exact"/>
        <w:rPr>
          <w:rFonts w:ascii="宋体" w:hAnsi="宋体"/>
          <w:color w:val="auto"/>
          <w:szCs w:val="21"/>
          <w:highlight w:val="none"/>
        </w:rPr>
      </w:pPr>
      <w:r>
        <w:rPr>
          <w:rFonts w:hint="eastAsia" w:ascii="宋体" w:hAnsi="宋体"/>
          <w:color w:val="auto"/>
          <w:szCs w:val="21"/>
          <w:highlight w:val="none"/>
        </w:rPr>
        <w:t>（可自行添加）</w:t>
      </w:r>
    </w:p>
    <w:p w14:paraId="06EB42A0">
      <w:pPr>
        <w:spacing w:line="280" w:lineRule="exact"/>
        <w:ind w:firstLine="420" w:firstLineChars="200"/>
        <w:rPr>
          <w:rFonts w:ascii="宋体" w:hAnsi="宋体"/>
          <w:color w:val="auto"/>
          <w:szCs w:val="21"/>
          <w:highlight w:val="none"/>
        </w:rPr>
      </w:pPr>
      <w:r>
        <w:rPr>
          <w:rFonts w:hint="eastAsia" w:ascii="宋体" w:hAnsi="宋体"/>
          <w:color w:val="auto"/>
          <w:szCs w:val="21"/>
          <w:highlight w:val="none"/>
        </w:rPr>
        <w:t>我单位郑重声明：与本单位负责人为同一人或者与本单位存在直接控股关系、管理关系的供应商未参与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(项目名称) </w:t>
      </w:r>
      <w:r>
        <w:rPr>
          <w:rFonts w:ascii="宋体" w:hAnsi="宋体"/>
          <w:color w:val="auto"/>
          <w:szCs w:val="21"/>
          <w:highlight w:val="none"/>
          <w:u w:val="single"/>
        </w:rPr>
        <w:t xml:space="preserve">     </w:t>
      </w:r>
      <w:r>
        <w:rPr>
          <w:rFonts w:hint="eastAsia" w:ascii="宋体" w:hAnsi="宋体"/>
          <w:color w:val="auto"/>
          <w:szCs w:val="21"/>
          <w:highlight w:val="none"/>
        </w:rPr>
        <w:t xml:space="preserve">同一合同项下的投标。 </w:t>
      </w:r>
    </w:p>
    <w:p w14:paraId="212BCE96">
      <w:pPr>
        <w:spacing w:line="28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我单位保证上述声明真实、有效、可查。 </w:t>
      </w:r>
    </w:p>
    <w:p w14:paraId="28A87C9E">
      <w:pPr>
        <w:spacing w:line="28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特此声明。 </w:t>
      </w:r>
    </w:p>
    <w:p w14:paraId="614B9E27">
      <w:pPr>
        <w:spacing w:line="360" w:lineRule="auto"/>
        <w:rPr>
          <w:rFonts w:ascii="宋体" w:hAnsi="宋体"/>
          <w:color w:val="auto"/>
          <w:szCs w:val="21"/>
          <w:highlight w:val="none"/>
        </w:rPr>
      </w:pPr>
    </w:p>
    <w:p w14:paraId="48F2F751">
      <w:pPr>
        <w:spacing w:line="360" w:lineRule="auto"/>
        <w:ind w:firstLine="2730" w:firstLineChars="1300"/>
        <w:rPr>
          <w:rFonts w:ascii="宋体" w:hAns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lang w:eastAsia="zh-CN"/>
        </w:rPr>
        <w:t>电子签</w:t>
      </w:r>
      <w:r>
        <w:rPr>
          <w:rFonts w:ascii="宋体" w:hAnsi="宋体"/>
          <w:color w:val="auto"/>
          <w:szCs w:val="21"/>
          <w:highlight w:val="none"/>
        </w:rPr>
        <w:t>章）</w:t>
      </w:r>
    </w:p>
    <w:p w14:paraId="6B3297CF">
      <w:pPr>
        <w:spacing w:line="360" w:lineRule="auto"/>
        <w:ind w:firstLine="2730" w:firstLineChars="1300"/>
        <w:rPr>
          <w:rFonts w:ascii="宋体" w:hAnsi="宋体"/>
          <w:color w:val="auto"/>
          <w:szCs w:val="21"/>
          <w:highlight w:val="none"/>
        </w:rPr>
      </w:pPr>
      <w:r>
        <w:rPr>
          <w:rFonts w:ascii="宋体" w:hAnsi="宋体"/>
          <w:color w:val="auto"/>
          <w:szCs w:val="21"/>
          <w:highlight w:val="none"/>
        </w:rPr>
        <w:t>法定代表人</w:t>
      </w:r>
      <w:r>
        <w:rPr>
          <w:rFonts w:hint="eastAsia"/>
          <w:color w:val="auto"/>
          <w:highlight w:val="none"/>
        </w:rPr>
        <w:t>（负责人）</w:t>
      </w:r>
      <w:r>
        <w:rPr>
          <w:rFonts w:ascii="宋体" w:hAnsi="宋体"/>
          <w:color w:val="auto"/>
          <w:szCs w:val="21"/>
          <w:highlight w:val="none"/>
        </w:rPr>
        <w:t>或其委托代理人：</w:t>
      </w:r>
      <w:r>
        <w:rPr>
          <w:rFonts w:ascii="宋体" w:hAnsi="宋体"/>
          <w:color w:val="auto"/>
          <w:szCs w:val="21"/>
          <w:highlight w:val="none"/>
          <w:u w:val="single"/>
        </w:rPr>
        <w:t xml:space="preserve">          </w:t>
      </w:r>
      <w:r>
        <w:rPr>
          <w:rFonts w:ascii="宋体" w:hAnsi="宋体"/>
          <w:color w:val="auto"/>
          <w:szCs w:val="21"/>
          <w:highlight w:val="none"/>
        </w:rPr>
        <w:t>（签字</w:t>
      </w:r>
      <w:r>
        <w:rPr>
          <w:rFonts w:hint="eastAsia" w:ascii="宋体" w:hAnsi="宋体"/>
          <w:color w:val="auto"/>
          <w:szCs w:val="21"/>
          <w:highlight w:val="none"/>
        </w:rPr>
        <w:t>或盖章</w:t>
      </w:r>
      <w:r>
        <w:rPr>
          <w:rFonts w:ascii="宋体" w:hAnsi="宋体"/>
          <w:color w:val="auto"/>
          <w:szCs w:val="21"/>
          <w:highlight w:val="none"/>
        </w:rPr>
        <w:t>）</w:t>
      </w:r>
    </w:p>
    <w:p w14:paraId="4236E56C">
      <w:pPr>
        <w:spacing w:line="360" w:lineRule="auto"/>
        <w:ind w:firstLine="3780" w:firstLineChars="1800"/>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p>
    <w:p w14:paraId="6E62D81E">
      <w:pPr>
        <w:rPr>
          <w:rFonts w:ascii="宋体" w:hAnsi="宋体"/>
          <w:b/>
          <w:color w:val="auto"/>
          <w:szCs w:val="21"/>
          <w:highlight w:val="none"/>
        </w:rPr>
      </w:pPr>
    </w:p>
    <w:p w14:paraId="03A071E1">
      <w:pPr>
        <w:spacing w:line="320" w:lineRule="exact"/>
        <w:rPr>
          <w:rFonts w:ascii="宋体" w:hAnsi="宋体"/>
          <w:b/>
          <w:color w:val="auto"/>
          <w:szCs w:val="21"/>
          <w:highlight w:val="none"/>
        </w:rPr>
      </w:pPr>
      <w:r>
        <w:rPr>
          <w:rFonts w:ascii="宋体" w:hAnsi="宋体"/>
          <w:b/>
          <w:color w:val="auto"/>
          <w:szCs w:val="21"/>
          <w:highlight w:val="none"/>
        </w:rPr>
        <w:t>注</w:t>
      </w:r>
      <w:r>
        <w:rPr>
          <w:rFonts w:hint="eastAsia" w:ascii="宋体" w:hAnsi="宋体"/>
          <w:b/>
          <w:color w:val="auto"/>
          <w:szCs w:val="21"/>
          <w:highlight w:val="none"/>
        </w:rPr>
        <w:t>：</w:t>
      </w:r>
    </w:p>
    <w:p w14:paraId="62E15095">
      <w:pPr>
        <w:spacing w:line="320" w:lineRule="exact"/>
        <w:ind w:firstLine="420" w:firstLineChars="200"/>
        <w:rPr>
          <w:rFonts w:ascii="宋体" w:hAnsi="宋体"/>
          <w:b/>
          <w:color w:val="auto"/>
          <w:szCs w:val="21"/>
          <w:highlight w:val="none"/>
        </w:rPr>
      </w:pPr>
      <w:r>
        <w:rPr>
          <w:rFonts w:hint="eastAsia" w:ascii="宋体" w:hAnsi="宋体"/>
          <w:b/>
          <w:color w:val="auto"/>
          <w:szCs w:val="21"/>
          <w:highlight w:val="none"/>
        </w:rPr>
        <w:t>1、</w:t>
      </w:r>
      <w:r>
        <w:rPr>
          <w:rFonts w:ascii="宋体" w:hAnsi="宋体"/>
          <w:b/>
          <w:color w:val="auto"/>
          <w:szCs w:val="21"/>
          <w:highlight w:val="none"/>
        </w:rPr>
        <w:t>单位负责人</w:t>
      </w:r>
      <w:r>
        <w:rPr>
          <w:rFonts w:hint="eastAsia" w:ascii="宋体" w:hAnsi="宋体"/>
          <w:b/>
          <w:color w:val="auto"/>
          <w:szCs w:val="21"/>
          <w:highlight w:val="none"/>
        </w:rPr>
        <w:t>，是指单位法定代表人或者法律、行政法规规定代表单位行使职权的主要负责人。</w:t>
      </w:r>
    </w:p>
    <w:p w14:paraId="071ABA71">
      <w:pPr>
        <w:spacing w:line="320" w:lineRule="exact"/>
        <w:ind w:firstLine="420" w:firstLineChars="200"/>
        <w:rPr>
          <w:rFonts w:ascii="宋体" w:hAnsi="宋体"/>
          <w:b/>
          <w:color w:val="auto"/>
          <w:szCs w:val="21"/>
          <w:highlight w:val="none"/>
        </w:rPr>
      </w:pPr>
      <w:r>
        <w:rPr>
          <w:rFonts w:ascii="宋体" w:hAnsi="宋体"/>
          <w:b/>
          <w:color w:val="auto"/>
          <w:szCs w:val="21"/>
          <w:highlight w:val="none"/>
        </w:rPr>
        <w:t>2</w:t>
      </w:r>
      <w:r>
        <w:rPr>
          <w:rFonts w:hint="eastAsia" w:ascii="宋体" w:hAnsi="宋体"/>
          <w:b/>
          <w:color w:val="auto"/>
          <w:szCs w:val="21"/>
          <w:highlight w:val="none"/>
        </w:rPr>
        <w:t>、</w:t>
      </w:r>
      <w:r>
        <w:rPr>
          <w:rFonts w:ascii="宋体" w:hAnsi="宋体"/>
          <w:b/>
          <w:color w:val="auto"/>
          <w:szCs w:val="21"/>
          <w:highlight w:val="none"/>
        </w:rPr>
        <w:t>直接控股关系</w:t>
      </w:r>
      <w:r>
        <w:rPr>
          <w:rFonts w:hint="eastAsia" w:ascii="宋体" w:hAnsi="宋体"/>
          <w:b/>
          <w:color w:val="auto"/>
          <w:szCs w:val="21"/>
          <w:highlight w:val="none"/>
        </w:rPr>
        <w:t>，</w:t>
      </w:r>
      <w:r>
        <w:rPr>
          <w:rFonts w:ascii="宋体" w:hAnsi="宋体"/>
          <w:b/>
          <w:color w:val="auto"/>
          <w:szCs w:val="21"/>
          <w:highlight w:val="none"/>
        </w:rPr>
        <w:t>是指单位或个人股东的直接控股关系</w:t>
      </w:r>
      <w:r>
        <w:rPr>
          <w:rFonts w:hint="eastAsia" w:ascii="宋体" w:hAnsi="宋体"/>
          <w:b/>
          <w:color w:val="auto"/>
          <w:szCs w:val="21"/>
          <w:highlight w:val="none"/>
        </w:rPr>
        <w:t>；</w:t>
      </w:r>
      <w:r>
        <w:rPr>
          <w:rFonts w:ascii="宋体" w:hAnsi="宋体"/>
          <w:b/>
          <w:color w:val="auto"/>
          <w:szCs w:val="21"/>
          <w:highlight w:val="none"/>
        </w:rPr>
        <w:t>控股股东</w:t>
      </w:r>
      <w:r>
        <w:rPr>
          <w:rFonts w:hint="eastAsia" w:ascii="宋体" w:hAnsi="宋体"/>
          <w:b/>
          <w:color w:val="auto"/>
          <w:szCs w:val="21"/>
          <w:highlight w:val="none"/>
        </w:rPr>
        <w:t>，</w:t>
      </w:r>
      <w:r>
        <w:rPr>
          <w:rFonts w:ascii="宋体" w:hAnsi="宋体"/>
          <w:b/>
          <w:color w:val="auto"/>
          <w:szCs w:val="21"/>
          <w:highlight w:val="none"/>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color w:val="auto"/>
          <w:szCs w:val="21"/>
          <w:highlight w:val="none"/>
        </w:rPr>
        <w:t>。</w:t>
      </w:r>
    </w:p>
    <w:p w14:paraId="542C0488">
      <w:pPr>
        <w:spacing w:line="320" w:lineRule="exact"/>
        <w:ind w:firstLine="420" w:firstLineChars="200"/>
        <w:rPr>
          <w:rFonts w:hint="eastAsia" w:ascii="宋体" w:hAnsi="宋体" w:cs="Times New Roman"/>
          <w:color w:val="auto"/>
          <w:sz w:val="21"/>
          <w:szCs w:val="21"/>
          <w:highlight w:val="none"/>
        </w:rPr>
      </w:pPr>
      <w:r>
        <w:rPr>
          <w:rFonts w:hint="eastAsia" w:ascii="宋体" w:hAnsi="宋体"/>
          <w:b/>
          <w:color w:val="auto"/>
          <w:szCs w:val="21"/>
          <w:highlight w:val="none"/>
        </w:rPr>
        <w:t>3、直接</w:t>
      </w:r>
      <w:r>
        <w:rPr>
          <w:rFonts w:ascii="宋体" w:hAnsi="宋体"/>
          <w:b/>
          <w:color w:val="auto"/>
          <w:szCs w:val="21"/>
          <w:highlight w:val="none"/>
        </w:rPr>
        <w:t>管理关系</w:t>
      </w:r>
      <w:r>
        <w:rPr>
          <w:rFonts w:hint="eastAsia" w:ascii="宋体" w:hAnsi="宋体"/>
          <w:b/>
          <w:color w:val="auto"/>
          <w:szCs w:val="21"/>
          <w:highlight w:val="none"/>
        </w:rPr>
        <w:t>，</w:t>
      </w:r>
      <w:r>
        <w:rPr>
          <w:rFonts w:ascii="宋体" w:hAnsi="宋体"/>
          <w:b/>
          <w:color w:val="auto"/>
          <w:szCs w:val="21"/>
          <w:highlight w:val="none"/>
        </w:rPr>
        <w:t>是指不具有出资持股关系的其他单位之间存在的直接管理与被管理关系</w:t>
      </w:r>
      <w:r>
        <w:rPr>
          <w:rFonts w:hint="eastAsia" w:ascii="宋体" w:hAnsi="宋体"/>
          <w:b/>
          <w:color w:val="auto"/>
          <w:szCs w:val="21"/>
          <w:highlight w:val="none"/>
        </w:rPr>
        <w:t>，</w:t>
      </w:r>
      <w:r>
        <w:rPr>
          <w:rFonts w:ascii="宋体" w:hAnsi="宋体"/>
          <w:b/>
          <w:color w:val="auto"/>
          <w:szCs w:val="21"/>
          <w:highlight w:val="none"/>
        </w:rPr>
        <w:t>如上下级关系的事业单位和团体组织</w:t>
      </w:r>
      <w:r>
        <w:rPr>
          <w:rFonts w:hint="eastAsia" w:ascii="宋体" w:hAnsi="宋体"/>
          <w:b/>
          <w:color w:val="auto"/>
          <w:szCs w:val="21"/>
          <w:highlight w:val="none"/>
        </w:rPr>
        <w:t>。</w:t>
      </w:r>
      <w:r>
        <w:rPr>
          <w:rFonts w:hint="eastAsia" w:ascii="宋体" w:hAnsi="宋体"/>
          <w:b/>
          <w:color w:val="auto"/>
          <w:szCs w:val="21"/>
          <w:highlight w:val="none"/>
        </w:rPr>
        <w:br w:type="page"/>
      </w:r>
    </w:p>
    <w:p w14:paraId="1B028E5F">
      <w:pPr>
        <w:spacing w:line="440" w:lineRule="exact"/>
        <w:ind w:left="1" w:leftChars="-2" w:hanging="5" w:hangingChars="2"/>
        <w:jc w:val="center"/>
        <w:rPr>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3</w:t>
      </w:r>
      <w:r>
        <w:rPr>
          <w:rFonts w:hint="eastAsia"/>
          <w:b/>
          <w:color w:val="auto"/>
          <w:sz w:val="28"/>
          <w:szCs w:val="28"/>
          <w:highlight w:val="none"/>
        </w:rPr>
        <w:t>：《中小企业声明函》或《残疾人福利性单位声明函》或《监狱企业声明函》</w:t>
      </w:r>
    </w:p>
    <w:p w14:paraId="058E1268">
      <w:pPr>
        <w:rPr>
          <w:rFonts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注：磋商申请人应对其提交的《中小企业声明函》、《残疾人福利性单位声明函》、《监狱企业声明函》的真实性负责，提交的声明函不真实的，应承担相应的法律责任。</w:t>
      </w:r>
    </w:p>
    <w:p w14:paraId="73253B8E">
      <w:pPr>
        <w:rPr>
          <w:rFonts w:asciiTheme="minorEastAsia" w:hAnsiTheme="minorEastAsia" w:eastAsiaTheme="minorEastAsia"/>
          <w:b/>
          <w:bCs/>
          <w:color w:val="auto"/>
          <w:sz w:val="21"/>
          <w:szCs w:val="21"/>
          <w:highlight w:val="none"/>
        </w:rPr>
      </w:pPr>
    </w:p>
    <w:p w14:paraId="7793058B">
      <w:pPr>
        <w:pStyle w:val="155"/>
        <w:widowControl/>
        <w:numPr>
          <w:ilvl w:val="0"/>
          <w:numId w:val="7"/>
        </w:numPr>
        <w:ind w:firstLineChars="0"/>
        <w:jc w:val="left"/>
        <w:rPr>
          <w:rFonts w:ascii="宋体" w:hAnsi="宋体"/>
          <w:b/>
          <w:color w:val="auto"/>
          <w:sz w:val="21"/>
          <w:szCs w:val="21"/>
          <w:highlight w:val="none"/>
        </w:rPr>
      </w:pPr>
      <w:r>
        <w:rPr>
          <w:rFonts w:hint="eastAsia" w:ascii="宋体" w:hAnsi="宋体"/>
          <w:b/>
          <w:color w:val="auto"/>
          <w:sz w:val="21"/>
          <w:szCs w:val="21"/>
          <w:highlight w:val="none"/>
        </w:rPr>
        <w:t>中小企业声明函（工程、服务）</w:t>
      </w:r>
    </w:p>
    <w:p w14:paraId="021AA746">
      <w:pPr>
        <w:pStyle w:val="19"/>
        <w:spacing w:before="5"/>
        <w:rPr>
          <w:rFonts w:ascii="宋体" w:hAnsi="宋体" w:cs="仿宋"/>
          <w:b/>
          <w:bCs/>
          <w:color w:val="auto"/>
          <w:sz w:val="21"/>
          <w:szCs w:val="21"/>
          <w:highlight w:val="none"/>
        </w:rPr>
      </w:pPr>
      <w:r>
        <w:rPr>
          <w:rFonts w:hint="eastAsia" w:ascii="宋体" w:hAnsi="宋体" w:cs="仿宋"/>
          <w:b/>
          <w:bCs/>
          <w:color w:val="auto"/>
          <w:sz w:val="21"/>
          <w:szCs w:val="21"/>
          <w:highlight w:val="none"/>
        </w:rPr>
        <w:t xml:space="preserve"> </w:t>
      </w:r>
    </w:p>
    <w:p w14:paraId="75092DE1">
      <w:pPr>
        <w:pStyle w:val="19"/>
        <w:spacing w:line="360" w:lineRule="auto"/>
        <w:ind w:right="415" w:firstLine="473"/>
        <w:rPr>
          <w:rFonts w:ascii="宋体" w:hAnsi="宋体"/>
          <w:color w:val="auto"/>
          <w:sz w:val="21"/>
          <w:szCs w:val="21"/>
          <w:highlight w:val="none"/>
        </w:rPr>
      </w:pPr>
      <w:r>
        <w:rPr>
          <w:rFonts w:hint="eastAsia" w:ascii="宋体" w:hAnsi="宋体"/>
          <w:color w:val="auto"/>
          <w:sz w:val="21"/>
          <w:szCs w:val="21"/>
          <w:highlight w:val="none"/>
        </w:rPr>
        <w:t>本公司（联合体）郑重声明，根据《政府采购促进中小企业发展管理办法》（财库﹝2020﹞46 号）的规定，本公司（联合体）参加</w:t>
      </w:r>
      <w:r>
        <w:rPr>
          <w:rFonts w:hint="eastAsia" w:ascii="宋体" w:hAnsi="宋体"/>
          <w:iCs/>
          <w:color w:val="auto"/>
          <w:sz w:val="21"/>
          <w:szCs w:val="21"/>
          <w:highlight w:val="none"/>
          <w:u w:val="single"/>
        </w:rPr>
        <w:t>（单位名称）</w:t>
      </w:r>
      <w:r>
        <w:rPr>
          <w:rFonts w:hint="eastAsia" w:ascii="宋体" w:hAnsi="宋体"/>
          <w:color w:val="auto"/>
          <w:sz w:val="21"/>
          <w:szCs w:val="21"/>
          <w:highlight w:val="none"/>
        </w:rPr>
        <w:t>的</w:t>
      </w:r>
      <w:r>
        <w:rPr>
          <w:rFonts w:hint="eastAsia" w:ascii="宋体" w:hAnsi="宋体"/>
          <w:iCs/>
          <w:color w:val="auto"/>
          <w:sz w:val="21"/>
          <w:szCs w:val="21"/>
          <w:highlight w:val="none"/>
          <w:u w:val="single"/>
        </w:rPr>
        <w:t>（项目名称）</w:t>
      </w:r>
      <w:r>
        <w:rPr>
          <w:rFonts w:hint="eastAsia" w:ascii="宋体" w:hAnsi="宋体"/>
          <w:color w:val="auto"/>
          <w:sz w:val="21"/>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074E5A7B">
      <w:pPr>
        <w:pStyle w:val="19"/>
        <w:spacing w:line="360" w:lineRule="auto"/>
        <w:ind w:right="415" w:firstLine="473"/>
        <w:rPr>
          <w:rFonts w:ascii="宋体" w:hAnsi="宋体"/>
          <w:color w:val="auto"/>
          <w:sz w:val="21"/>
          <w:szCs w:val="21"/>
          <w:highlight w:val="none"/>
          <w:u w:val="single"/>
        </w:rPr>
      </w:pPr>
      <w:r>
        <w:rPr>
          <w:rFonts w:hint="eastAsia" w:ascii="宋体" w:hAnsi="宋体"/>
          <w:color w:val="auto"/>
          <w:sz w:val="21"/>
          <w:szCs w:val="21"/>
          <w:highlight w:val="none"/>
        </w:rPr>
        <w:t>1.</w:t>
      </w:r>
      <w:r>
        <w:rPr>
          <w:rFonts w:hint="eastAsia" w:ascii="宋体" w:hAnsi="宋体"/>
          <w:iCs/>
          <w:color w:val="auto"/>
          <w:sz w:val="21"/>
          <w:szCs w:val="21"/>
          <w:highlight w:val="none"/>
          <w:u w:val="single"/>
        </w:rPr>
        <w:t>（标的名称）</w:t>
      </w:r>
      <w:r>
        <w:rPr>
          <w:rFonts w:hint="eastAsia" w:ascii="宋体" w:hAnsi="宋体"/>
          <w:iCs/>
          <w:color w:val="auto"/>
          <w:sz w:val="21"/>
          <w:szCs w:val="21"/>
          <w:highlight w:val="none"/>
          <w:u w:val="single"/>
          <w:lang w:val="en-US" w:eastAsia="zh-CN"/>
        </w:rPr>
        <w:t xml:space="preserve">  </w:t>
      </w:r>
      <w:r>
        <w:rPr>
          <w:rFonts w:hint="eastAsia" w:ascii="宋体" w:hAnsi="宋体"/>
          <w:color w:val="auto"/>
          <w:sz w:val="21"/>
          <w:szCs w:val="21"/>
          <w:highlight w:val="none"/>
          <w:u w:val="single"/>
        </w:rPr>
        <w:t>，属于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（采购文件中明确的所属行业）</w:t>
      </w:r>
      <w:r>
        <w:rPr>
          <w:rFonts w:hint="eastAsia" w:ascii="宋体" w:hAnsi="宋体"/>
          <w:color w:val="auto"/>
          <w:sz w:val="21"/>
          <w:szCs w:val="21"/>
          <w:highlight w:val="none"/>
          <w:u w:val="single"/>
        </w:rPr>
        <w:t>；承建（承接）企业为</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（企业名称）</w:t>
      </w:r>
      <w:r>
        <w:rPr>
          <w:rFonts w:hint="eastAsia" w:ascii="宋体" w:hAnsi="宋体"/>
          <w:color w:val="auto"/>
          <w:sz w:val="21"/>
          <w:szCs w:val="21"/>
          <w:highlight w:val="none"/>
          <w:u w:val="single"/>
        </w:rPr>
        <w:t xml:space="preserve">，从业人员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人，营业收入为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万元，资产总额为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万元，属于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（中型企业、小型企业、微型企业）</w:t>
      </w:r>
      <w:r>
        <w:rPr>
          <w:rFonts w:hint="eastAsia" w:ascii="宋体" w:hAnsi="宋体"/>
          <w:color w:val="auto"/>
          <w:sz w:val="21"/>
          <w:szCs w:val="21"/>
          <w:highlight w:val="none"/>
          <w:u w:val="single"/>
        </w:rPr>
        <w:t>；</w:t>
      </w:r>
    </w:p>
    <w:p w14:paraId="70B92EBE">
      <w:pPr>
        <w:pStyle w:val="19"/>
        <w:spacing w:line="360" w:lineRule="auto"/>
        <w:ind w:right="415" w:firstLine="473"/>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iCs/>
          <w:color w:val="auto"/>
          <w:sz w:val="21"/>
          <w:szCs w:val="21"/>
          <w:highlight w:val="none"/>
          <w:u w:val="single"/>
        </w:rPr>
        <w:t>（标的名称）</w:t>
      </w:r>
      <w:r>
        <w:rPr>
          <w:rFonts w:hint="eastAsia" w:ascii="宋体" w:hAnsi="宋体"/>
          <w:iCs/>
          <w:color w:val="auto"/>
          <w:sz w:val="21"/>
          <w:szCs w:val="21"/>
          <w:highlight w:val="none"/>
          <w:u w:val="single"/>
          <w:lang w:val="en-US" w:eastAsia="zh-CN"/>
        </w:rPr>
        <w:t xml:space="preserve">   </w:t>
      </w:r>
      <w:r>
        <w:rPr>
          <w:rFonts w:hint="eastAsia" w:ascii="宋体" w:hAnsi="宋体"/>
          <w:color w:val="auto"/>
          <w:sz w:val="21"/>
          <w:szCs w:val="21"/>
          <w:highlight w:val="none"/>
          <w:u w:val="single"/>
        </w:rPr>
        <w:t>，属于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（采购文件中明确的所属行业）</w:t>
      </w:r>
      <w:r>
        <w:rPr>
          <w:rFonts w:hint="eastAsia" w:ascii="宋体" w:hAnsi="宋体"/>
          <w:color w:val="auto"/>
          <w:sz w:val="21"/>
          <w:szCs w:val="21"/>
          <w:highlight w:val="none"/>
          <w:u w:val="single"/>
        </w:rPr>
        <w:t>；承建（承接）企业为</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（企业名称）</w:t>
      </w:r>
      <w:r>
        <w:rPr>
          <w:rFonts w:hint="eastAsia" w:ascii="宋体" w:hAnsi="宋体"/>
          <w:color w:val="auto"/>
          <w:sz w:val="21"/>
          <w:szCs w:val="21"/>
          <w:highlight w:val="none"/>
          <w:u w:val="single"/>
        </w:rPr>
        <w:t xml:space="preserve">，从业人员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人，营业收入为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万元，资产总额为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万元，属于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（中型企业、小型企业、微型企业）</w:t>
      </w:r>
      <w:r>
        <w:rPr>
          <w:rFonts w:hint="eastAsia" w:ascii="宋体" w:hAnsi="宋体"/>
          <w:color w:val="auto"/>
          <w:sz w:val="21"/>
          <w:szCs w:val="21"/>
          <w:highlight w:val="none"/>
          <w:u w:val="single"/>
        </w:rPr>
        <w:t>；</w:t>
      </w:r>
    </w:p>
    <w:p w14:paraId="50D694E7">
      <w:pPr>
        <w:pStyle w:val="19"/>
        <w:spacing w:before="11" w:line="360" w:lineRule="auto"/>
        <w:ind w:left="860"/>
        <w:rPr>
          <w:rFonts w:ascii="宋体" w:hAnsi="宋体"/>
          <w:color w:val="auto"/>
          <w:sz w:val="21"/>
          <w:szCs w:val="21"/>
          <w:highlight w:val="none"/>
        </w:rPr>
      </w:pPr>
      <w:r>
        <w:rPr>
          <w:rFonts w:hint="eastAsia" w:ascii="宋体" w:hAnsi="宋体"/>
          <w:color w:val="auto"/>
          <w:sz w:val="21"/>
          <w:szCs w:val="21"/>
          <w:highlight w:val="none"/>
        </w:rPr>
        <w:t>……</w:t>
      </w:r>
    </w:p>
    <w:p w14:paraId="06E6CB80">
      <w:pPr>
        <w:pStyle w:val="19"/>
        <w:spacing w:before="108" w:line="360" w:lineRule="auto"/>
        <w:ind w:right="417" w:firstLine="645"/>
        <w:rPr>
          <w:rFonts w:ascii="宋体" w:hAnsi="宋体"/>
          <w:color w:val="auto"/>
          <w:sz w:val="21"/>
          <w:szCs w:val="21"/>
          <w:highlight w:val="none"/>
        </w:rPr>
      </w:pPr>
      <w:r>
        <w:rPr>
          <w:rFonts w:hint="eastAsia" w:ascii="宋体" w:hAnsi="宋体"/>
          <w:color w:val="auto"/>
          <w:sz w:val="21"/>
          <w:szCs w:val="21"/>
          <w:highlight w:val="none"/>
        </w:rPr>
        <w:t>以上企业，不属于大企业的分支机构，不存在控股股东为大企业的情形，也不存在与大企业的负责人为同一人的情形。</w:t>
      </w:r>
    </w:p>
    <w:p w14:paraId="28520225">
      <w:pPr>
        <w:pStyle w:val="19"/>
        <w:spacing w:line="360" w:lineRule="auto"/>
        <w:ind w:right="375" w:firstLine="640"/>
        <w:rPr>
          <w:rFonts w:ascii="宋体" w:hAnsi="宋体"/>
          <w:color w:val="auto"/>
          <w:sz w:val="21"/>
          <w:szCs w:val="21"/>
          <w:highlight w:val="none"/>
        </w:rPr>
      </w:pPr>
      <w:r>
        <w:rPr>
          <w:rFonts w:hint="eastAsia" w:ascii="宋体" w:hAnsi="宋体"/>
          <w:color w:val="auto"/>
          <w:sz w:val="21"/>
          <w:szCs w:val="21"/>
          <w:highlight w:val="none"/>
        </w:rPr>
        <w:t>本企业对上述声明内容的真实性负责。如有虚假，将依法承担相应责任。</w:t>
      </w:r>
    </w:p>
    <w:p w14:paraId="7566ADD1">
      <w:pPr>
        <w:pStyle w:val="19"/>
        <w:spacing w:before="29" w:line="360" w:lineRule="auto"/>
        <w:ind w:left="4060" w:right="2166"/>
        <w:rPr>
          <w:rFonts w:ascii="宋体" w:hAnsi="宋体"/>
          <w:color w:val="auto"/>
          <w:sz w:val="21"/>
          <w:szCs w:val="21"/>
          <w:highlight w:val="none"/>
        </w:rPr>
      </w:pPr>
    </w:p>
    <w:p w14:paraId="08AE2C19">
      <w:pPr>
        <w:pStyle w:val="19"/>
        <w:spacing w:before="29" w:line="360" w:lineRule="auto"/>
        <w:ind w:left="4060" w:right="2166"/>
        <w:rPr>
          <w:rFonts w:hint="eastAsia" w:ascii="宋体" w:hAnsi="宋体"/>
          <w:color w:val="auto"/>
          <w:sz w:val="21"/>
          <w:szCs w:val="21"/>
          <w:highlight w:val="none"/>
        </w:rPr>
      </w:pPr>
      <w:r>
        <w:rPr>
          <w:rFonts w:hint="eastAsia" w:ascii="宋体" w:hAnsi="宋体"/>
          <w:color w:val="auto"/>
          <w:sz w:val="21"/>
          <w:szCs w:val="21"/>
          <w:highlight w:val="none"/>
        </w:rPr>
        <w:t>企业名称（盖章）：</w:t>
      </w:r>
    </w:p>
    <w:p w14:paraId="4D2C84B2">
      <w:pPr>
        <w:pStyle w:val="19"/>
        <w:spacing w:before="29" w:line="360" w:lineRule="auto"/>
        <w:ind w:left="4060" w:right="2166"/>
        <w:rPr>
          <w:rFonts w:ascii="宋体" w:hAnsi="宋体"/>
          <w:color w:val="auto"/>
          <w:sz w:val="21"/>
          <w:szCs w:val="21"/>
          <w:highlight w:val="none"/>
        </w:rPr>
      </w:pPr>
      <w:r>
        <w:rPr>
          <w:rFonts w:hint="eastAsia" w:ascii="宋体" w:hAnsi="宋体"/>
          <w:color w:val="auto"/>
          <w:sz w:val="21"/>
          <w:szCs w:val="21"/>
          <w:highlight w:val="none"/>
        </w:rPr>
        <w:t>日期：</w:t>
      </w:r>
    </w:p>
    <w:p w14:paraId="4239AEB8">
      <w:pPr>
        <w:spacing w:line="360" w:lineRule="auto"/>
        <w:rPr>
          <w:rFonts w:ascii="宋体" w:hAnsi="宋体"/>
          <w:color w:val="auto"/>
          <w:sz w:val="21"/>
          <w:szCs w:val="21"/>
          <w:highlight w:val="none"/>
        </w:rPr>
      </w:pPr>
    </w:p>
    <w:p w14:paraId="6E4F28A3">
      <w:pPr>
        <w:pStyle w:val="19"/>
        <w:spacing w:before="156" w:line="360" w:lineRule="auto"/>
        <w:ind w:right="374" w:firstLine="420" w:firstLineChars="200"/>
        <w:rPr>
          <w:rFonts w:ascii="宋体" w:hAnsi="宋体"/>
          <w:b/>
          <w:bCs/>
          <w:color w:val="auto"/>
          <w:sz w:val="21"/>
          <w:szCs w:val="21"/>
          <w:highlight w:val="none"/>
        </w:rPr>
      </w:pPr>
      <w:r>
        <w:rPr>
          <w:rFonts w:hint="eastAsia" w:ascii="宋体" w:hAnsi="宋体"/>
          <w:b/>
          <w:bCs/>
          <w:color w:val="auto"/>
          <w:sz w:val="21"/>
          <w:szCs w:val="21"/>
          <w:highlight w:val="none"/>
        </w:rPr>
        <w:t>注：从业人员、营业收入、资产总额填报上一年度数据，无上一年度数据的新成立企业可不填报。</w:t>
      </w:r>
    </w:p>
    <w:p w14:paraId="18733EB1">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r>
    </w:p>
    <w:p w14:paraId="1A2C5C78">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（2）《残疾人福利性单位声明函》格式</w:t>
      </w:r>
    </w:p>
    <w:p w14:paraId="1EBDF257">
      <w:pPr>
        <w:rPr>
          <w:rFonts w:asciiTheme="minorEastAsia" w:hAnsiTheme="minorEastAsia" w:eastAsiaTheme="minorEastAsia"/>
          <w:b/>
          <w:color w:val="auto"/>
          <w:sz w:val="21"/>
          <w:szCs w:val="21"/>
          <w:highlight w:val="none"/>
        </w:rPr>
      </w:pPr>
    </w:p>
    <w:p w14:paraId="662A2E64">
      <w:pPr>
        <w:spacing w:line="588" w:lineRule="exact"/>
        <w:jc w:val="center"/>
        <w:rPr>
          <w:rFonts w:asciiTheme="minorEastAsia" w:hAnsiTheme="minorEastAsia" w:eastAsiaTheme="minorEastAsia"/>
          <w:b/>
          <w:color w:val="auto"/>
          <w:spacing w:val="6"/>
          <w:sz w:val="21"/>
          <w:szCs w:val="21"/>
          <w:highlight w:val="none"/>
        </w:rPr>
      </w:pPr>
      <w:r>
        <w:rPr>
          <w:rFonts w:hint="eastAsia" w:asciiTheme="minorEastAsia" w:hAnsiTheme="minorEastAsia" w:eastAsiaTheme="minorEastAsia"/>
          <w:b/>
          <w:color w:val="auto"/>
          <w:spacing w:val="6"/>
          <w:sz w:val="21"/>
          <w:szCs w:val="21"/>
          <w:highlight w:val="none"/>
        </w:rPr>
        <w:t>残疾人福利性单位声明函</w:t>
      </w:r>
    </w:p>
    <w:p w14:paraId="2804C5D1">
      <w:pPr>
        <w:jc w:val="cente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（不属于残疾人福利性单位的无需填写）</w:t>
      </w:r>
    </w:p>
    <w:p w14:paraId="528AB893">
      <w:pPr>
        <w:rPr>
          <w:rFonts w:asciiTheme="minorEastAsia" w:hAnsiTheme="minorEastAsia" w:eastAsiaTheme="minorEastAsia"/>
          <w:b/>
          <w:color w:val="auto"/>
          <w:sz w:val="21"/>
          <w:szCs w:val="21"/>
          <w:highlight w:val="none"/>
        </w:rPr>
      </w:pPr>
    </w:p>
    <w:p w14:paraId="69F1CF0D">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本单位郑重声明，根据《财政部 民政部 中国残疾人联合会关于促进残疾人就业政府采购政策的通知》（财库〔2017〕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331DCB6C">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本单位对上述声明的真实性负责。如有虚假，将依法承担相应责任。</w:t>
      </w:r>
    </w:p>
    <w:p w14:paraId="4759F908">
      <w:pPr>
        <w:spacing w:line="360" w:lineRule="auto"/>
        <w:ind w:firstLine="420" w:firstLineChars="200"/>
        <w:rPr>
          <w:rFonts w:asciiTheme="minorEastAsia" w:hAnsiTheme="minorEastAsia" w:eastAsiaTheme="minorEastAsia"/>
          <w:color w:val="auto"/>
          <w:sz w:val="21"/>
          <w:szCs w:val="21"/>
          <w:highlight w:val="none"/>
        </w:rPr>
      </w:pPr>
    </w:p>
    <w:p w14:paraId="7C52E228">
      <w:pPr>
        <w:spacing w:line="360" w:lineRule="auto"/>
        <w:ind w:firstLine="420" w:firstLineChars="200"/>
        <w:rPr>
          <w:rFonts w:asciiTheme="minorEastAsia" w:hAnsiTheme="minorEastAsia" w:eastAsiaTheme="minorEastAsia"/>
          <w:color w:val="auto"/>
          <w:sz w:val="21"/>
          <w:szCs w:val="21"/>
          <w:highlight w:val="none"/>
        </w:rPr>
      </w:pPr>
    </w:p>
    <w:p w14:paraId="46AFD096">
      <w:pPr>
        <w:spacing w:line="360" w:lineRule="auto"/>
        <w:ind w:firstLine="420" w:firstLineChars="200"/>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注：请单独列出所供残疾人福利性单位制造的货物产品或提供的服务或实施的工程的单价和总价。</w:t>
      </w:r>
    </w:p>
    <w:p w14:paraId="05F9DE35">
      <w:pPr>
        <w:spacing w:line="360" w:lineRule="auto"/>
        <w:ind w:firstLine="420" w:firstLineChars="200"/>
        <w:rPr>
          <w:rFonts w:asciiTheme="minorEastAsia" w:hAnsiTheme="minorEastAsia" w:eastAsiaTheme="minorEastAsia"/>
          <w:color w:val="auto"/>
          <w:sz w:val="21"/>
          <w:szCs w:val="21"/>
          <w:highlight w:val="none"/>
        </w:rPr>
      </w:pPr>
    </w:p>
    <w:p w14:paraId="61800428">
      <w:pPr>
        <w:spacing w:line="360" w:lineRule="auto"/>
        <w:ind w:left="4620" w:leftChars="0"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磋商申请人（电子签章）：</w:t>
      </w:r>
    </w:p>
    <w:p w14:paraId="2FBA42E4">
      <w:pPr>
        <w:spacing w:line="360" w:lineRule="auto"/>
        <w:ind w:left="4620" w:leftChars="0"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日 期：</w:t>
      </w:r>
    </w:p>
    <w:p w14:paraId="6C40986D">
      <w:pPr>
        <w:spacing w:line="360" w:lineRule="auto"/>
        <w:ind w:firstLine="420" w:firstLineChars="200"/>
        <w:rPr>
          <w:rFonts w:asciiTheme="minorEastAsia" w:hAnsiTheme="minorEastAsia" w:eastAsiaTheme="minorEastAsia"/>
          <w:color w:val="auto"/>
          <w:sz w:val="21"/>
          <w:szCs w:val="21"/>
          <w:highlight w:val="none"/>
        </w:rPr>
      </w:pPr>
    </w:p>
    <w:p w14:paraId="58A31DCD">
      <w:pPr>
        <w:spacing w:line="360" w:lineRule="auto"/>
        <w:ind w:firstLine="420" w:firstLineChars="200"/>
        <w:rPr>
          <w:rFonts w:asciiTheme="minorEastAsia" w:hAnsiTheme="minorEastAsia" w:eastAsiaTheme="minorEastAsia"/>
          <w:color w:val="auto"/>
          <w:sz w:val="21"/>
          <w:szCs w:val="21"/>
          <w:highlight w:val="none"/>
        </w:rPr>
      </w:pPr>
    </w:p>
    <w:p w14:paraId="6655630E">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磋商申请人提供的《残疾人福利性单位声明函》与事实不符的，依照《政府采购法》第七十七条第一款的规定追究法律责任。</w:t>
      </w:r>
    </w:p>
    <w:p w14:paraId="5A6A3FCF">
      <w:pPr>
        <w:rPr>
          <w:rFonts w:asciiTheme="minorEastAsia" w:hAnsiTheme="minorEastAsia" w:eastAsiaTheme="minorEastAsia"/>
          <w:b/>
          <w:color w:val="auto"/>
          <w:sz w:val="21"/>
          <w:szCs w:val="21"/>
          <w:highlight w:val="none"/>
        </w:rPr>
      </w:pPr>
    </w:p>
    <w:p w14:paraId="109B4DF2">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r>
    </w:p>
    <w:p w14:paraId="53FBC6C5">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（3）《监狱企业声明函》格式</w:t>
      </w:r>
    </w:p>
    <w:p w14:paraId="106C59E0">
      <w:pPr>
        <w:spacing w:line="588" w:lineRule="exact"/>
        <w:jc w:val="center"/>
        <w:rPr>
          <w:rFonts w:asciiTheme="minorEastAsia" w:hAnsiTheme="minorEastAsia" w:eastAsiaTheme="minorEastAsia"/>
          <w:b/>
          <w:color w:val="auto"/>
          <w:spacing w:val="6"/>
          <w:sz w:val="21"/>
          <w:szCs w:val="21"/>
          <w:highlight w:val="none"/>
        </w:rPr>
      </w:pPr>
    </w:p>
    <w:p w14:paraId="2C569CD4">
      <w:pPr>
        <w:spacing w:line="588" w:lineRule="exact"/>
        <w:jc w:val="center"/>
        <w:rPr>
          <w:rFonts w:asciiTheme="minorEastAsia" w:hAnsiTheme="minorEastAsia" w:eastAsiaTheme="minorEastAsia"/>
          <w:b/>
          <w:color w:val="auto"/>
          <w:spacing w:val="6"/>
          <w:sz w:val="21"/>
          <w:szCs w:val="21"/>
          <w:highlight w:val="none"/>
        </w:rPr>
      </w:pPr>
      <w:r>
        <w:rPr>
          <w:rFonts w:hint="eastAsia" w:asciiTheme="minorEastAsia" w:hAnsiTheme="minorEastAsia" w:eastAsiaTheme="minorEastAsia"/>
          <w:b/>
          <w:color w:val="auto"/>
          <w:spacing w:val="6"/>
          <w:sz w:val="21"/>
          <w:szCs w:val="21"/>
          <w:highlight w:val="none"/>
        </w:rPr>
        <w:t>监狱企业声明函</w:t>
      </w:r>
    </w:p>
    <w:p w14:paraId="214F7D0F">
      <w:pPr>
        <w:jc w:val="cente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（不属于监狱企业的无需填写）</w:t>
      </w:r>
    </w:p>
    <w:p w14:paraId="38F630BD">
      <w:pPr>
        <w:spacing w:line="360" w:lineRule="auto"/>
        <w:ind w:firstLine="420" w:firstLineChars="200"/>
        <w:rPr>
          <w:rFonts w:asciiTheme="minorEastAsia" w:hAnsiTheme="minorEastAsia" w:eastAsiaTheme="minorEastAsia"/>
          <w:color w:val="auto"/>
          <w:sz w:val="21"/>
          <w:szCs w:val="21"/>
          <w:highlight w:val="none"/>
        </w:rPr>
      </w:pPr>
    </w:p>
    <w:p w14:paraId="13587D5A">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公司郑重声明，根据《关于政府采购支持监狱企业发展有关问题的通知》 （财库[2014]68 号）的规定，本公司为监狱企业。</w:t>
      </w:r>
    </w:p>
    <w:p w14:paraId="4CA1B701">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根据上述标准，我公司属于监狱企业的理由为：   。</w:t>
      </w:r>
    </w:p>
    <w:p w14:paraId="609F17B9">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本公司为参加 </w:t>
      </w:r>
      <w:r>
        <w:rPr>
          <w:rFonts w:hint="eastAsia" w:asciiTheme="minorEastAsia" w:hAnsiTheme="minorEastAsia" w:eastAsiaTheme="minorEastAsia"/>
          <w:color w:val="auto"/>
          <w:sz w:val="21"/>
          <w:szCs w:val="21"/>
          <w:highlight w:val="none"/>
          <w:u w:val="single"/>
        </w:rPr>
        <w:t>（项目名称） （招标编号：）</w:t>
      </w:r>
      <w:r>
        <w:rPr>
          <w:rFonts w:hint="eastAsia" w:asciiTheme="minorEastAsia" w:hAnsiTheme="minorEastAsia" w:eastAsiaTheme="minorEastAsia"/>
          <w:color w:val="auto"/>
          <w:sz w:val="21"/>
          <w:szCs w:val="21"/>
          <w:highlight w:val="none"/>
        </w:rPr>
        <w:t>采购活动提供本企业（填写制造的货物，由本企业承担工程、提供服务）。</w:t>
      </w:r>
    </w:p>
    <w:p w14:paraId="28915EEA">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本条所称货物不包括使用大型企业注册商标的货物和服务。</w:t>
      </w:r>
    </w:p>
    <w:p w14:paraId="41639E79">
      <w:pPr>
        <w:spacing w:line="360" w:lineRule="auto"/>
        <w:ind w:firstLine="420" w:firstLineChars="200"/>
        <w:rPr>
          <w:rFonts w:asciiTheme="minorEastAsia" w:hAnsiTheme="minorEastAsia" w:eastAsiaTheme="minorEastAsia"/>
          <w:color w:val="auto"/>
          <w:sz w:val="21"/>
          <w:szCs w:val="21"/>
          <w:highlight w:val="none"/>
        </w:rPr>
      </w:pPr>
    </w:p>
    <w:p w14:paraId="56EA589C">
      <w:pPr>
        <w:spacing w:line="360" w:lineRule="auto"/>
        <w:ind w:firstLine="420" w:firstLineChars="200"/>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rPr>
        <w:t>本公司对上述声明的真实性负责。如有虚假，将依法承担相应责任</w:t>
      </w:r>
      <w:r>
        <w:rPr>
          <w:rFonts w:hint="eastAsia" w:asciiTheme="minorEastAsia" w:hAnsiTheme="minorEastAsia" w:eastAsiaTheme="minorEastAsia"/>
          <w:color w:val="auto"/>
          <w:sz w:val="21"/>
          <w:szCs w:val="21"/>
          <w:highlight w:val="none"/>
          <w:lang w:eastAsia="zh-CN"/>
        </w:rPr>
        <w:t>。</w:t>
      </w:r>
    </w:p>
    <w:p w14:paraId="6AEC6820">
      <w:pPr>
        <w:spacing w:line="360" w:lineRule="auto"/>
        <w:ind w:firstLine="420" w:firstLineChars="200"/>
        <w:rPr>
          <w:rFonts w:asciiTheme="minorEastAsia" w:hAnsiTheme="minorEastAsia" w:eastAsiaTheme="minorEastAsia"/>
          <w:color w:val="auto"/>
          <w:sz w:val="21"/>
          <w:szCs w:val="21"/>
          <w:highlight w:val="none"/>
        </w:rPr>
      </w:pPr>
    </w:p>
    <w:p w14:paraId="5B99509C">
      <w:pPr>
        <w:spacing w:line="360" w:lineRule="auto"/>
        <w:ind w:left="4620" w:leftChars="0"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磋商申请人（电子签章）：</w:t>
      </w:r>
    </w:p>
    <w:p w14:paraId="2BAEEC49">
      <w:pPr>
        <w:spacing w:line="360" w:lineRule="auto"/>
        <w:ind w:left="4620" w:leftChars="0"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日 期：</w:t>
      </w:r>
    </w:p>
    <w:p w14:paraId="415B16B2">
      <w:pPr>
        <w:spacing w:line="360" w:lineRule="auto"/>
        <w:ind w:firstLine="420" w:firstLineChars="200"/>
        <w:rPr>
          <w:rFonts w:asciiTheme="minorEastAsia" w:hAnsiTheme="minorEastAsia" w:eastAsiaTheme="minorEastAsia"/>
          <w:color w:val="auto"/>
          <w:sz w:val="21"/>
          <w:szCs w:val="21"/>
          <w:highlight w:val="none"/>
        </w:rPr>
      </w:pPr>
    </w:p>
    <w:p w14:paraId="64FD8D45">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w:t>
      </w:r>
    </w:p>
    <w:p w14:paraId="5744C306">
      <w:pPr>
        <w:spacing w:line="360" w:lineRule="auto"/>
        <w:ind w:firstLine="420" w:firstLineChars="200"/>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w:t>
      </w:r>
      <w:r>
        <w:rPr>
          <w:rFonts w:hint="eastAsia" w:asciiTheme="minorEastAsia" w:hAnsiTheme="minorEastAsia" w:eastAsiaTheme="minorEastAsia"/>
          <w:color w:val="auto"/>
          <w:sz w:val="21"/>
          <w:szCs w:val="21"/>
          <w:highlight w:val="none"/>
          <w:lang w:eastAsia="zh-CN"/>
        </w:rPr>
        <w:t>。</w:t>
      </w:r>
    </w:p>
    <w:p w14:paraId="3200BEAF">
      <w:pPr>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请单独列出所供监狱企业制造的货物产品或提供的服务或实施的工程的单价和总价。</w:t>
      </w:r>
    </w:p>
    <w:p w14:paraId="67789F9E">
      <w:pPr>
        <w:rPr>
          <w:rFonts w:hint="eastAsia" w:ascii="宋体" w:hAnsi="宋体"/>
          <w:b/>
          <w:color w:val="auto"/>
          <w:sz w:val="21"/>
          <w:szCs w:val="21"/>
          <w:highlight w:val="none"/>
        </w:rPr>
      </w:pPr>
      <w:r>
        <w:rPr>
          <w:rFonts w:hint="eastAsia" w:ascii="宋体" w:hAnsi="宋体"/>
          <w:b/>
          <w:color w:val="auto"/>
          <w:sz w:val="21"/>
          <w:szCs w:val="21"/>
          <w:highlight w:val="none"/>
        </w:rPr>
        <w:br w:type="page"/>
      </w:r>
    </w:p>
    <w:p w14:paraId="55D18537">
      <w:pPr>
        <w:spacing w:line="500" w:lineRule="exact"/>
        <w:ind w:firstLine="432" w:firstLineChars="206"/>
        <w:rPr>
          <w:rFonts w:hint="eastAsia" w:ascii="宋体" w:hAnsi="宋体"/>
          <w:b/>
          <w:color w:val="auto"/>
          <w:sz w:val="21"/>
          <w:szCs w:val="21"/>
          <w:highlight w:val="none"/>
        </w:rPr>
      </w:pPr>
      <w:r>
        <w:rPr>
          <w:rFonts w:hint="eastAsia" w:ascii="宋体" w:hAnsi="宋体"/>
          <w:b/>
          <w:color w:val="auto"/>
          <w:sz w:val="21"/>
          <w:szCs w:val="21"/>
          <w:highlight w:val="none"/>
        </w:rPr>
        <w:t>关于中小企业：</w:t>
      </w:r>
    </w:p>
    <w:p w14:paraId="33B74120">
      <w:pPr>
        <w:spacing w:line="500" w:lineRule="exact"/>
        <w:ind w:firstLine="432" w:firstLineChars="206"/>
        <w:rPr>
          <w:rFonts w:hint="eastAsia" w:ascii="宋体" w:hAnsi="宋体"/>
          <w:b/>
          <w:color w:val="auto"/>
          <w:sz w:val="21"/>
          <w:szCs w:val="21"/>
          <w:highlight w:val="none"/>
        </w:rPr>
      </w:pPr>
      <w:r>
        <w:rPr>
          <w:rFonts w:hint="eastAsia" w:ascii="宋体" w:hAnsi="宋体"/>
          <w:b/>
          <w:color w:val="auto"/>
          <w:sz w:val="21"/>
          <w:szCs w:val="21"/>
          <w:highlight w:val="none"/>
        </w:rPr>
        <w:t>落实政府采购相关政策内容</w:t>
      </w:r>
    </w:p>
    <w:p w14:paraId="0244062B">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1.根据“国家统计局关于印发《统计上大中小微型企业划分办法（2017）》的通知”，《政府采购促进中小企业发展管理办法》（财库〔2020〕46 号）的规定。 </w:t>
      </w:r>
    </w:p>
    <w:p w14:paraId="0E8FC5F0">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（1）符合中小企业划分标准； </w:t>
      </w:r>
    </w:p>
    <w:p w14:paraId="705953C8">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（2）提供本企业制造的货物、承担的工程或者服务，或者提供其他中小企业制造的货物。本项所称货物不包括使用大型企业注册商标的货物。 </w:t>
      </w:r>
    </w:p>
    <w:p w14:paraId="0860A823">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2.请供应商根据“国家统计局关于印发《统计上大中小微型企业划分办法（2017）》的通知”、《政府采购促进中小企业发展管理办法》（财库〔2020〕46 号）的规定，提供《中小企业声明函》，未提供的在价格评分时不进行扣除。供应商对《中小企业声明函》的真实性负责。 </w:t>
      </w:r>
    </w:p>
    <w:p w14:paraId="45E5A299">
      <w:pPr>
        <w:spacing w:line="400" w:lineRule="atLeast"/>
        <w:ind w:firstLine="420" w:firstLineChars="200"/>
        <w:jc w:val="center"/>
        <w:rPr>
          <w:rFonts w:hint="eastAsia" w:ascii="宋体" w:hAnsi="宋体"/>
          <w:color w:val="auto"/>
          <w:sz w:val="21"/>
          <w:szCs w:val="21"/>
          <w:highlight w:val="none"/>
        </w:rPr>
      </w:pPr>
    </w:p>
    <w:p w14:paraId="025E93A3">
      <w:pPr>
        <w:spacing w:line="400" w:lineRule="atLeast"/>
        <w:ind w:firstLine="420" w:firstLineChars="200"/>
        <w:jc w:val="center"/>
        <w:rPr>
          <w:rFonts w:hint="eastAsia" w:ascii="宋体" w:hAnsi="宋体"/>
          <w:b/>
          <w:color w:val="auto"/>
          <w:sz w:val="21"/>
          <w:szCs w:val="21"/>
          <w:highlight w:val="none"/>
        </w:rPr>
      </w:pPr>
      <w:r>
        <w:rPr>
          <w:rFonts w:hint="eastAsia" w:ascii="宋体" w:hAnsi="宋体"/>
          <w:b/>
          <w:color w:val="auto"/>
          <w:sz w:val="21"/>
          <w:szCs w:val="21"/>
          <w:highlight w:val="none"/>
        </w:rPr>
        <w:t>统计上大中小微型企业划分标准</w:t>
      </w:r>
    </w:p>
    <w:tbl>
      <w:tblPr>
        <w:tblStyle w:val="5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1843"/>
        <w:gridCol w:w="937"/>
        <w:gridCol w:w="1169"/>
        <w:gridCol w:w="1818"/>
        <w:gridCol w:w="1504"/>
        <w:gridCol w:w="949"/>
      </w:tblGrid>
      <w:tr w14:paraId="568E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419" w:type="dxa"/>
            <w:vAlign w:val="center"/>
          </w:tcPr>
          <w:p w14:paraId="2130BB2E">
            <w:pPr>
              <w:jc w:val="center"/>
              <w:rPr>
                <w:rFonts w:ascii="宋体" w:hAnsi="宋体" w:cs="仿宋"/>
                <w:b/>
                <w:color w:val="auto"/>
                <w:sz w:val="21"/>
                <w:szCs w:val="21"/>
                <w:highlight w:val="none"/>
              </w:rPr>
            </w:pPr>
            <w:r>
              <w:rPr>
                <w:rFonts w:ascii="宋体" w:hAnsi="宋体" w:cs="仿宋"/>
                <w:b/>
                <w:color w:val="auto"/>
                <w:sz w:val="21"/>
                <w:szCs w:val="21"/>
                <w:highlight w:val="none"/>
              </w:rPr>
              <w:t>行业名称</w:t>
            </w:r>
          </w:p>
        </w:tc>
        <w:tc>
          <w:tcPr>
            <w:tcW w:w="1843" w:type="dxa"/>
            <w:vAlign w:val="center"/>
          </w:tcPr>
          <w:p w14:paraId="3F8E4202">
            <w:pPr>
              <w:jc w:val="center"/>
              <w:rPr>
                <w:rFonts w:ascii="宋体" w:hAnsi="宋体" w:cs="仿宋"/>
                <w:b/>
                <w:color w:val="auto"/>
                <w:sz w:val="21"/>
                <w:szCs w:val="21"/>
                <w:highlight w:val="none"/>
              </w:rPr>
            </w:pPr>
            <w:r>
              <w:rPr>
                <w:rFonts w:ascii="宋体" w:hAnsi="宋体" w:cs="仿宋"/>
                <w:b/>
                <w:color w:val="auto"/>
                <w:sz w:val="21"/>
                <w:szCs w:val="21"/>
                <w:highlight w:val="none"/>
              </w:rPr>
              <w:t>指标名称</w:t>
            </w:r>
          </w:p>
        </w:tc>
        <w:tc>
          <w:tcPr>
            <w:tcW w:w="937" w:type="dxa"/>
            <w:vAlign w:val="center"/>
          </w:tcPr>
          <w:p w14:paraId="508D9DA5">
            <w:pPr>
              <w:jc w:val="center"/>
              <w:rPr>
                <w:rFonts w:ascii="宋体" w:hAnsi="宋体" w:cs="仿宋"/>
                <w:b/>
                <w:color w:val="auto"/>
                <w:sz w:val="21"/>
                <w:szCs w:val="21"/>
                <w:highlight w:val="none"/>
              </w:rPr>
            </w:pPr>
            <w:r>
              <w:rPr>
                <w:rFonts w:ascii="宋体" w:hAnsi="宋体" w:cs="仿宋"/>
                <w:b/>
                <w:color w:val="auto"/>
                <w:sz w:val="21"/>
                <w:szCs w:val="21"/>
                <w:highlight w:val="none"/>
              </w:rPr>
              <w:t>计量</w:t>
            </w:r>
            <w:r>
              <w:rPr>
                <w:rFonts w:ascii="宋体" w:hAnsi="宋体" w:cs="仿宋"/>
                <w:b/>
                <w:color w:val="auto"/>
                <w:sz w:val="21"/>
                <w:szCs w:val="21"/>
                <w:highlight w:val="none"/>
              </w:rPr>
              <w:br w:type="textWrapping"/>
            </w:r>
            <w:r>
              <w:rPr>
                <w:rFonts w:ascii="宋体" w:hAnsi="宋体" w:cs="仿宋"/>
                <w:b/>
                <w:color w:val="auto"/>
                <w:sz w:val="21"/>
                <w:szCs w:val="21"/>
                <w:highlight w:val="none"/>
              </w:rPr>
              <w:t>单位</w:t>
            </w:r>
          </w:p>
        </w:tc>
        <w:tc>
          <w:tcPr>
            <w:tcW w:w="1169" w:type="dxa"/>
            <w:vAlign w:val="center"/>
          </w:tcPr>
          <w:p w14:paraId="25C21A6E">
            <w:pPr>
              <w:jc w:val="center"/>
              <w:rPr>
                <w:rFonts w:ascii="宋体" w:hAnsi="宋体" w:cs="仿宋"/>
                <w:b/>
                <w:color w:val="auto"/>
                <w:sz w:val="21"/>
                <w:szCs w:val="21"/>
                <w:highlight w:val="none"/>
              </w:rPr>
            </w:pPr>
            <w:r>
              <w:rPr>
                <w:rFonts w:ascii="宋体" w:hAnsi="宋体" w:cs="仿宋"/>
                <w:b/>
                <w:color w:val="auto"/>
                <w:sz w:val="21"/>
                <w:szCs w:val="21"/>
                <w:highlight w:val="none"/>
              </w:rPr>
              <w:t>大型</w:t>
            </w:r>
          </w:p>
        </w:tc>
        <w:tc>
          <w:tcPr>
            <w:tcW w:w="1818" w:type="dxa"/>
            <w:vAlign w:val="center"/>
          </w:tcPr>
          <w:p w14:paraId="199E1C50">
            <w:pPr>
              <w:jc w:val="center"/>
              <w:rPr>
                <w:rFonts w:ascii="宋体" w:hAnsi="宋体" w:cs="仿宋"/>
                <w:b/>
                <w:color w:val="auto"/>
                <w:sz w:val="21"/>
                <w:szCs w:val="21"/>
                <w:highlight w:val="none"/>
              </w:rPr>
            </w:pPr>
            <w:r>
              <w:rPr>
                <w:rFonts w:ascii="宋体" w:hAnsi="宋体" w:cs="仿宋"/>
                <w:b/>
                <w:color w:val="auto"/>
                <w:sz w:val="21"/>
                <w:szCs w:val="21"/>
                <w:highlight w:val="none"/>
              </w:rPr>
              <w:t>中型</w:t>
            </w:r>
          </w:p>
        </w:tc>
        <w:tc>
          <w:tcPr>
            <w:tcW w:w="1504" w:type="dxa"/>
            <w:vAlign w:val="center"/>
          </w:tcPr>
          <w:p w14:paraId="5E3E2D09">
            <w:pPr>
              <w:jc w:val="center"/>
              <w:rPr>
                <w:rFonts w:ascii="宋体" w:hAnsi="宋体" w:cs="仿宋"/>
                <w:b/>
                <w:color w:val="auto"/>
                <w:sz w:val="21"/>
                <w:szCs w:val="21"/>
                <w:highlight w:val="none"/>
              </w:rPr>
            </w:pPr>
            <w:r>
              <w:rPr>
                <w:rFonts w:ascii="宋体" w:hAnsi="宋体" w:cs="仿宋"/>
                <w:b/>
                <w:color w:val="auto"/>
                <w:sz w:val="21"/>
                <w:szCs w:val="21"/>
                <w:highlight w:val="none"/>
              </w:rPr>
              <w:t>小型</w:t>
            </w:r>
          </w:p>
        </w:tc>
        <w:tc>
          <w:tcPr>
            <w:tcW w:w="949" w:type="dxa"/>
            <w:vAlign w:val="center"/>
          </w:tcPr>
          <w:p w14:paraId="3D7D78F1">
            <w:pPr>
              <w:jc w:val="center"/>
              <w:rPr>
                <w:rFonts w:ascii="宋体" w:hAnsi="宋体" w:cs="仿宋"/>
                <w:b/>
                <w:color w:val="auto"/>
                <w:sz w:val="21"/>
                <w:szCs w:val="21"/>
                <w:highlight w:val="none"/>
              </w:rPr>
            </w:pPr>
            <w:r>
              <w:rPr>
                <w:rFonts w:ascii="宋体" w:hAnsi="宋体" w:cs="仿宋"/>
                <w:b/>
                <w:color w:val="auto"/>
                <w:sz w:val="21"/>
                <w:szCs w:val="21"/>
                <w:highlight w:val="none"/>
              </w:rPr>
              <w:t>微型</w:t>
            </w:r>
          </w:p>
        </w:tc>
      </w:tr>
      <w:tr w14:paraId="7942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50B21CE3">
            <w:pPr>
              <w:jc w:val="center"/>
              <w:rPr>
                <w:rFonts w:ascii="宋体" w:hAnsi="宋体" w:cs="仿宋"/>
                <w:color w:val="auto"/>
                <w:sz w:val="21"/>
                <w:szCs w:val="21"/>
                <w:highlight w:val="none"/>
              </w:rPr>
            </w:pPr>
            <w:r>
              <w:rPr>
                <w:rFonts w:ascii="宋体" w:hAnsi="宋体" w:cs="仿宋"/>
                <w:color w:val="auto"/>
                <w:sz w:val="21"/>
                <w:szCs w:val="21"/>
                <w:highlight w:val="none"/>
              </w:rPr>
              <w:t>农、林、牧、渔业</w:t>
            </w:r>
          </w:p>
        </w:tc>
        <w:tc>
          <w:tcPr>
            <w:tcW w:w="1843" w:type="dxa"/>
            <w:vAlign w:val="center"/>
          </w:tcPr>
          <w:p w14:paraId="3BE1409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614358AA">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1B8247F">
            <w:pPr>
              <w:jc w:val="center"/>
              <w:rPr>
                <w:rFonts w:ascii="宋体" w:hAnsi="宋体" w:cs="仿宋"/>
                <w:color w:val="auto"/>
                <w:sz w:val="21"/>
                <w:szCs w:val="21"/>
                <w:highlight w:val="none"/>
              </w:rPr>
            </w:pPr>
            <w:r>
              <w:rPr>
                <w:rFonts w:ascii="宋体" w:hAnsi="宋体" w:cs="仿宋"/>
                <w:color w:val="auto"/>
                <w:sz w:val="21"/>
                <w:szCs w:val="21"/>
                <w:highlight w:val="none"/>
              </w:rPr>
              <w:t>Y≥20000</w:t>
            </w:r>
          </w:p>
        </w:tc>
        <w:tc>
          <w:tcPr>
            <w:tcW w:w="1818" w:type="dxa"/>
            <w:vAlign w:val="center"/>
          </w:tcPr>
          <w:p w14:paraId="573D39F1">
            <w:pPr>
              <w:jc w:val="center"/>
              <w:rPr>
                <w:rFonts w:ascii="宋体" w:hAnsi="宋体" w:cs="仿宋"/>
                <w:color w:val="auto"/>
                <w:sz w:val="21"/>
                <w:szCs w:val="21"/>
                <w:highlight w:val="none"/>
              </w:rPr>
            </w:pPr>
            <w:r>
              <w:rPr>
                <w:rFonts w:ascii="宋体" w:hAnsi="宋体" w:cs="仿宋"/>
                <w:color w:val="auto"/>
                <w:sz w:val="21"/>
                <w:szCs w:val="21"/>
                <w:highlight w:val="none"/>
              </w:rPr>
              <w:t>500≤Y＜20000</w:t>
            </w:r>
          </w:p>
        </w:tc>
        <w:tc>
          <w:tcPr>
            <w:tcW w:w="1504" w:type="dxa"/>
            <w:vAlign w:val="center"/>
          </w:tcPr>
          <w:p w14:paraId="21BBEC56">
            <w:pPr>
              <w:jc w:val="center"/>
              <w:rPr>
                <w:rFonts w:ascii="宋体" w:hAnsi="宋体" w:cs="仿宋"/>
                <w:color w:val="auto"/>
                <w:sz w:val="21"/>
                <w:szCs w:val="21"/>
                <w:highlight w:val="none"/>
              </w:rPr>
            </w:pPr>
            <w:r>
              <w:rPr>
                <w:rFonts w:ascii="宋体" w:hAnsi="宋体" w:cs="仿宋"/>
                <w:color w:val="auto"/>
                <w:sz w:val="21"/>
                <w:szCs w:val="21"/>
                <w:highlight w:val="none"/>
              </w:rPr>
              <w:t>50≤Y＜500</w:t>
            </w:r>
          </w:p>
        </w:tc>
        <w:tc>
          <w:tcPr>
            <w:tcW w:w="949" w:type="dxa"/>
            <w:vAlign w:val="center"/>
          </w:tcPr>
          <w:p w14:paraId="0B57050A">
            <w:pPr>
              <w:jc w:val="center"/>
              <w:rPr>
                <w:rFonts w:ascii="宋体" w:hAnsi="宋体" w:cs="仿宋"/>
                <w:color w:val="auto"/>
                <w:sz w:val="21"/>
                <w:szCs w:val="21"/>
                <w:highlight w:val="none"/>
              </w:rPr>
            </w:pPr>
            <w:r>
              <w:rPr>
                <w:rFonts w:ascii="宋体" w:hAnsi="宋体" w:cs="仿宋"/>
                <w:color w:val="auto"/>
                <w:sz w:val="21"/>
                <w:szCs w:val="21"/>
                <w:highlight w:val="none"/>
              </w:rPr>
              <w:t>Y＜50</w:t>
            </w:r>
          </w:p>
        </w:tc>
      </w:tr>
      <w:tr w14:paraId="686A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E748B1F">
            <w:pPr>
              <w:jc w:val="center"/>
              <w:rPr>
                <w:rFonts w:ascii="宋体" w:hAnsi="宋体" w:cs="仿宋"/>
                <w:color w:val="auto"/>
                <w:sz w:val="21"/>
                <w:szCs w:val="21"/>
                <w:highlight w:val="none"/>
              </w:rPr>
            </w:pPr>
            <w:r>
              <w:rPr>
                <w:rFonts w:ascii="宋体" w:hAnsi="宋体" w:cs="仿宋"/>
                <w:color w:val="auto"/>
                <w:sz w:val="21"/>
                <w:szCs w:val="21"/>
                <w:highlight w:val="none"/>
              </w:rPr>
              <w:t>工业 *</w:t>
            </w:r>
          </w:p>
        </w:tc>
        <w:tc>
          <w:tcPr>
            <w:tcW w:w="1843" w:type="dxa"/>
            <w:vAlign w:val="center"/>
          </w:tcPr>
          <w:p w14:paraId="5F78EE41">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19D92CED">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369DB2C3">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6FE04586">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1859E4E8">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0B482EF2">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6EB0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03FDBE7">
            <w:pPr>
              <w:jc w:val="center"/>
              <w:rPr>
                <w:rFonts w:ascii="宋体" w:hAnsi="宋体" w:cs="仿宋"/>
                <w:color w:val="auto"/>
                <w:sz w:val="21"/>
                <w:szCs w:val="21"/>
                <w:highlight w:val="none"/>
              </w:rPr>
            </w:pPr>
          </w:p>
        </w:tc>
        <w:tc>
          <w:tcPr>
            <w:tcW w:w="1843" w:type="dxa"/>
            <w:vAlign w:val="center"/>
          </w:tcPr>
          <w:p w14:paraId="31831317">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89B11CE">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CCED51E">
            <w:pPr>
              <w:jc w:val="center"/>
              <w:rPr>
                <w:rFonts w:ascii="宋体" w:hAnsi="宋体" w:cs="仿宋"/>
                <w:color w:val="auto"/>
                <w:sz w:val="21"/>
                <w:szCs w:val="21"/>
                <w:highlight w:val="none"/>
              </w:rPr>
            </w:pPr>
            <w:r>
              <w:rPr>
                <w:rFonts w:ascii="宋体" w:hAnsi="宋体" w:cs="仿宋"/>
                <w:color w:val="auto"/>
                <w:sz w:val="21"/>
                <w:szCs w:val="21"/>
                <w:highlight w:val="none"/>
              </w:rPr>
              <w:t>Y≥40000</w:t>
            </w:r>
          </w:p>
        </w:tc>
        <w:tc>
          <w:tcPr>
            <w:tcW w:w="1818" w:type="dxa"/>
            <w:vAlign w:val="center"/>
          </w:tcPr>
          <w:p w14:paraId="4AC7B43E">
            <w:pPr>
              <w:jc w:val="center"/>
              <w:rPr>
                <w:rFonts w:ascii="宋体" w:hAnsi="宋体" w:cs="仿宋"/>
                <w:color w:val="auto"/>
                <w:sz w:val="21"/>
                <w:szCs w:val="21"/>
                <w:highlight w:val="none"/>
              </w:rPr>
            </w:pPr>
            <w:r>
              <w:rPr>
                <w:rFonts w:ascii="宋体" w:hAnsi="宋体" w:cs="仿宋"/>
                <w:color w:val="auto"/>
                <w:sz w:val="21"/>
                <w:szCs w:val="21"/>
                <w:highlight w:val="none"/>
              </w:rPr>
              <w:t>2000≤Y＜40000</w:t>
            </w:r>
          </w:p>
        </w:tc>
        <w:tc>
          <w:tcPr>
            <w:tcW w:w="1504" w:type="dxa"/>
            <w:vAlign w:val="center"/>
          </w:tcPr>
          <w:p w14:paraId="065E41EC">
            <w:pPr>
              <w:jc w:val="center"/>
              <w:rPr>
                <w:rFonts w:ascii="宋体" w:hAnsi="宋体" w:cs="仿宋"/>
                <w:color w:val="auto"/>
                <w:sz w:val="21"/>
                <w:szCs w:val="21"/>
                <w:highlight w:val="none"/>
              </w:rPr>
            </w:pPr>
            <w:r>
              <w:rPr>
                <w:rFonts w:ascii="宋体" w:hAnsi="宋体" w:cs="仿宋"/>
                <w:color w:val="auto"/>
                <w:sz w:val="21"/>
                <w:szCs w:val="21"/>
                <w:highlight w:val="none"/>
              </w:rPr>
              <w:t>300≤Y＜2000</w:t>
            </w:r>
          </w:p>
        </w:tc>
        <w:tc>
          <w:tcPr>
            <w:tcW w:w="949" w:type="dxa"/>
            <w:vAlign w:val="center"/>
          </w:tcPr>
          <w:p w14:paraId="3E47063A">
            <w:pPr>
              <w:jc w:val="center"/>
              <w:rPr>
                <w:rFonts w:ascii="宋体" w:hAnsi="宋体" w:cs="仿宋"/>
                <w:color w:val="auto"/>
                <w:sz w:val="21"/>
                <w:szCs w:val="21"/>
                <w:highlight w:val="none"/>
              </w:rPr>
            </w:pPr>
            <w:r>
              <w:rPr>
                <w:rFonts w:ascii="宋体" w:hAnsi="宋体" w:cs="仿宋"/>
                <w:color w:val="auto"/>
                <w:sz w:val="21"/>
                <w:szCs w:val="21"/>
                <w:highlight w:val="none"/>
              </w:rPr>
              <w:t>Y＜300</w:t>
            </w:r>
          </w:p>
        </w:tc>
      </w:tr>
      <w:tr w14:paraId="314D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A57A362">
            <w:pPr>
              <w:jc w:val="center"/>
              <w:rPr>
                <w:rFonts w:ascii="宋体" w:hAnsi="宋体" w:cs="仿宋"/>
                <w:color w:val="auto"/>
                <w:sz w:val="21"/>
                <w:szCs w:val="21"/>
                <w:highlight w:val="none"/>
              </w:rPr>
            </w:pPr>
            <w:r>
              <w:rPr>
                <w:rFonts w:ascii="宋体" w:hAnsi="宋体" w:cs="仿宋"/>
                <w:color w:val="auto"/>
                <w:sz w:val="21"/>
                <w:szCs w:val="21"/>
                <w:highlight w:val="none"/>
              </w:rPr>
              <w:t>建筑业</w:t>
            </w:r>
          </w:p>
        </w:tc>
        <w:tc>
          <w:tcPr>
            <w:tcW w:w="1843" w:type="dxa"/>
            <w:vAlign w:val="center"/>
          </w:tcPr>
          <w:p w14:paraId="2C881074">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23A02D9C">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437C0389">
            <w:pPr>
              <w:jc w:val="center"/>
              <w:rPr>
                <w:rFonts w:ascii="宋体" w:hAnsi="宋体" w:cs="仿宋"/>
                <w:color w:val="auto"/>
                <w:sz w:val="21"/>
                <w:szCs w:val="21"/>
                <w:highlight w:val="none"/>
              </w:rPr>
            </w:pPr>
            <w:r>
              <w:rPr>
                <w:rFonts w:ascii="宋体" w:hAnsi="宋体" w:cs="仿宋"/>
                <w:color w:val="auto"/>
                <w:sz w:val="21"/>
                <w:szCs w:val="21"/>
                <w:highlight w:val="none"/>
              </w:rPr>
              <w:t>Y≥80000</w:t>
            </w:r>
          </w:p>
        </w:tc>
        <w:tc>
          <w:tcPr>
            <w:tcW w:w="1818" w:type="dxa"/>
            <w:vAlign w:val="center"/>
          </w:tcPr>
          <w:p w14:paraId="266B49A6">
            <w:pPr>
              <w:jc w:val="center"/>
              <w:rPr>
                <w:rFonts w:ascii="宋体" w:hAnsi="宋体" w:cs="仿宋"/>
                <w:color w:val="auto"/>
                <w:sz w:val="21"/>
                <w:szCs w:val="21"/>
                <w:highlight w:val="none"/>
              </w:rPr>
            </w:pPr>
            <w:r>
              <w:rPr>
                <w:rFonts w:ascii="宋体" w:hAnsi="宋体" w:cs="仿宋"/>
                <w:color w:val="auto"/>
                <w:sz w:val="21"/>
                <w:szCs w:val="21"/>
                <w:highlight w:val="none"/>
              </w:rPr>
              <w:t>6000≤Y＜80000</w:t>
            </w:r>
          </w:p>
        </w:tc>
        <w:tc>
          <w:tcPr>
            <w:tcW w:w="1504" w:type="dxa"/>
            <w:vAlign w:val="center"/>
          </w:tcPr>
          <w:p w14:paraId="30354B70">
            <w:pPr>
              <w:jc w:val="center"/>
              <w:rPr>
                <w:rFonts w:ascii="宋体" w:hAnsi="宋体" w:cs="仿宋"/>
                <w:color w:val="auto"/>
                <w:sz w:val="21"/>
                <w:szCs w:val="21"/>
                <w:highlight w:val="none"/>
              </w:rPr>
            </w:pPr>
            <w:r>
              <w:rPr>
                <w:rFonts w:ascii="宋体" w:hAnsi="宋体" w:cs="仿宋"/>
                <w:color w:val="auto"/>
                <w:sz w:val="21"/>
                <w:szCs w:val="21"/>
                <w:highlight w:val="none"/>
              </w:rPr>
              <w:t>300≤Y＜6000</w:t>
            </w:r>
          </w:p>
        </w:tc>
        <w:tc>
          <w:tcPr>
            <w:tcW w:w="949" w:type="dxa"/>
            <w:vAlign w:val="center"/>
          </w:tcPr>
          <w:p w14:paraId="41345F18">
            <w:pPr>
              <w:jc w:val="center"/>
              <w:rPr>
                <w:rFonts w:ascii="宋体" w:hAnsi="宋体" w:cs="仿宋"/>
                <w:color w:val="auto"/>
                <w:sz w:val="21"/>
                <w:szCs w:val="21"/>
                <w:highlight w:val="none"/>
              </w:rPr>
            </w:pPr>
            <w:r>
              <w:rPr>
                <w:rFonts w:ascii="宋体" w:hAnsi="宋体" w:cs="仿宋"/>
                <w:color w:val="auto"/>
                <w:sz w:val="21"/>
                <w:szCs w:val="21"/>
                <w:highlight w:val="none"/>
              </w:rPr>
              <w:t>Y＜300</w:t>
            </w:r>
          </w:p>
        </w:tc>
      </w:tr>
      <w:tr w14:paraId="6BC8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596769C">
            <w:pPr>
              <w:jc w:val="center"/>
              <w:rPr>
                <w:rFonts w:ascii="宋体" w:hAnsi="宋体" w:cs="仿宋"/>
                <w:color w:val="auto"/>
                <w:sz w:val="21"/>
                <w:szCs w:val="21"/>
                <w:highlight w:val="none"/>
              </w:rPr>
            </w:pPr>
          </w:p>
        </w:tc>
        <w:tc>
          <w:tcPr>
            <w:tcW w:w="1843" w:type="dxa"/>
            <w:vAlign w:val="center"/>
          </w:tcPr>
          <w:p w14:paraId="6E4F28E9">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40678059">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6AC4742">
            <w:pPr>
              <w:jc w:val="center"/>
              <w:rPr>
                <w:rFonts w:ascii="宋体" w:hAnsi="宋体" w:cs="仿宋"/>
                <w:color w:val="auto"/>
                <w:sz w:val="21"/>
                <w:szCs w:val="21"/>
                <w:highlight w:val="none"/>
              </w:rPr>
            </w:pPr>
            <w:r>
              <w:rPr>
                <w:rFonts w:ascii="宋体" w:hAnsi="宋体" w:cs="仿宋"/>
                <w:color w:val="auto"/>
                <w:sz w:val="21"/>
                <w:szCs w:val="21"/>
                <w:highlight w:val="none"/>
              </w:rPr>
              <w:t>Z≥80000</w:t>
            </w:r>
          </w:p>
        </w:tc>
        <w:tc>
          <w:tcPr>
            <w:tcW w:w="1818" w:type="dxa"/>
            <w:vAlign w:val="center"/>
          </w:tcPr>
          <w:p w14:paraId="2790C9E1">
            <w:pPr>
              <w:jc w:val="center"/>
              <w:rPr>
                <w:rFonts w:ascii="宋体" w:hAnsi="宋体" w:cs="仿宋"/>
                <w:color w:val="auto"/>
                <w:sz w:val="21"/>
                <w:szCs w:val="21"/>
                <w:highlight w:val="none"/>
              </w:rPr>
            </w:pPr>
            <w:r>
              <w:rPr>
                <w:rFonts w:ascii="宋体" w:hAnsi="宋体" w:cs="仿宋"/>
                <w:color w:val="auto"/>
                <w:sz w:val="21"/>
                <w:szCs w:val="21"/>
                <w:highlight w:val="none"/>
              </w:rPr>
              <w:t>5000≤Z＜80000</w:t>
            </w:r>
          </w:p>
        </w:tc>
        <w:tc>
          <w:tcPr>
            <w:tcW w:w="1504" w:type="dxa"/>
            <w:vAlign w:val="center"/>
          </w:tcPr>
          <w:p w14:paraId="6BE3B165">
            <w:pPr>
              <w:jc w:val="center"/>
              <w:rPr>
                <w:rFonts w:ascii="宋体" w:hAnsi="宋体" w:cs="仿宋"/>
                <w:color w:val="auto"/>
                <w:sz w:val="21"/>
                <w:szCs w:val="21"/>
                <w:highlight w:val="none"/>
              </w:rPr>
            </w:pPr>
            <w:r>
              <w:rPr>
                <w:rFonts w:ascii="宋体" w:hAnsi="宋体" w:cs="仿宋"/>
                <w:color w:val="auto"/>
                <w:sz w:val="21"/>
                <w:szCs w:val="21"/>
                <w:highlight w:val="none"/>
              </w:rPr>
              <w:t>300≤Z＜5000</w:t>
            </w:r>
          </w:p>
        </w:tc>
        <w:tc>
          <w:tcPr>
            <w:tcW w:w="949" w:type="dxa"/>
            <w:vAlign w:val="center"/>
          </w:tcPr>
          <w:p w14:paraId="15D64946">
            <w:pPr>
              <w:jc w:val="center"/>
              <w:rPr>
                <w:rFonts w:ascii="宋体" w:hAnsi="宋体" w:cs="仿宋"/>
                <w:color w:val="auto"/>
                <w:sz w:val="21"/>
                <w:szCs w:val="21"/>
                <w:highlight w:val="none"/>
              </w:rPr>
            </w:pPr>
            <w:r>
              <w:rPr>
                <w:rFonts w:ascii="宋体" w:hAnsi="宋体" w:cs="仿宋"/>
                <w:color w:val="auto"/>
                <w:sz w:val="21"/>
                <w:szCs w:val="21"/>
                <w:highlight w:val="none"/>
              </w:rPr>
              <w:t>Z＜300</w:t>
            </w:r>
          </w:p>
        </w:tc>
      </w:tr>
      <w:tr w14:paraId="6FF4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3683260">
            <w:pPr>
              <w:jc w:val="center"/>
              <w:rPr>
                <w:rFonts w:ascii="宋体" w:hAnsi="宋体" w:cs="仿宋"/>
                <w:color w:val="auto"/>
                <w:sz w:val="21"/>
                <w:szCs w:val="21"/>
                <w:highlight w:val="none"/>
              </w:rPr>
            </w:pPr>
            <w:r>
              <w:rPr>
                <w:rFonts w:ascii="宋体" w:hAnsi="宋体" w:cs="仿宋"/>
                <w:color w:val="auto"/>
                <w:sz w:val="21"/>
                <w:szCs w:val="21"/>
                <w:highlight w:val="none"/>
              </w:rPr>
              <w:t>批发业</w:t>
            </w:r>
          </w:p>
        </w:tc>
        <w:tc>
          <w:tcPr>
            <w:tcW w:w="1843" w:type="dxa"/>
            <w:vAlign w:val="center"/>
          </w:tcPr>
          <w:p w14:paraId="17999DE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1DDB9554">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312F61C">
            <w:pPr>
              <w:jc w:val="center"/>
              <w:rPr>
                <w:rFonts w:ascii="宋体" w:hAnsi="宋体" w:cs="仿宋"/>
                <w:color w:val="auto"/>
                <w:sz w:val="21"/>
                <w:szCs w:val="21"/>
                <w:highlight w:val="none"/>
              </w:rPr>
            </w:pPr>
            <w:r>
              <w:rPr>
                <w:rFonts w:ascii="宋体" w:hAnsi="宋体" w:cs="仿宋"/>
                <w:color w:val="auto"/>
                <w:sz w:val="21"/>
                <w:szCs w:val="21"/>
                <w:highlight w:val="none"/>
              </w:rPr>
              <w:t>X≥200</w:t>
            </w:r>
          </w:p>
        </w:tc>
        <w:tc>
          <w:tcPr>
            <w:tcW w:w="1818" w:type="dxa"/>
            <w:vAlign w:val="center"/>
          </w:tcPr>
          <w:p w14:paraId="5CA2BBC0">
            <w:pPr>
              <w:jc w:val="center"/>
              <w:rPr>
                <w:rFonts w:ascii="宋体" w:hAnsi="宋体" w:cs="仿宋"/>
                <w:color w:val="auto"/>
                <w:sz w:val="21"/>
                <w:szCs w:val="21"/>
                <w:highlight w:val="none"/>
              </w:rPr>
            </w:pPr>
            <w:r>
              <w:rPr>
                <w:rFonts w:ascii="宋体" w:hAnsi="宋体" w:cs="仿宋"/>
                <w:color w:val="auto"/>
                <w:sz w:val="21"/>
                <w:szCs w:val="21"/>
                <w:highlight w:val="none"/>
              </w:rPr>
              <w:t>20≤X＜200</w:t>
            </w:r>
          </w:p>
        </w:tc>
        <w:tc>
          <w:tcPr>
            <w:tcW w:w="1504" w:type="dxa"/>
            <w:vAlign w:val="center"/>
          </w:tcPr>
          <w:p w14:paraId="5CCB06E8">
            <w:pPr>
              <w:jc w:val="center"/>
              <w:rPr>
                <w:rFonts w:ascii="宋体" w:hAnsi="宋体" w:cs="仿宋"/>
                <w:color w:val="auto"/>
                <w:sz w:val="21"/>
                <w:szCs w:val="21"/>
                <w:highlight w:val="none"/>
              </w:rPr>
            </w:pPr>
            <w:r>
              <w:rPr>
                <w:rFonts w:ascii="宋体" w:hAnsi="宋体" w:cs="仿宋"/>
                <w:color w:val="auto"/>
                <w:sz w:val="21"/>
                <w:szCs w:val="21"/>
                <w:highlight w:val="none"/>
              </w:rPr>
              <w:t>5≤X＜20</w:t>
            </w:r>
          </w:p>
        </w:tc>
        <w:tc>
          <w:tcPr>
            <w:tcW w:w="949" w:type="dxa"/>
            <w:vAlign w:val="center"/>
          </w:tcPr>
          <w:p w14:paraId="52FDDE85">
            <w:pPr>
              <w:jc w:val="center"/>
              <w:rPr>
                <w:rFonts w:ascii="宋体" w:hAnsi="宋体" w:cs="仿宋"/>
                <w:color w:val="auto"/>
                <w:sz w:val="21"/>
                <w:szCs w:val="21"/>
                <w:highlight w:val="none"/>
              </w:rPr>
            </w:pPr>
            <w:r>
              <w:rPr>
                <w:rFonts w:ascii="宋体" w:hAnsi="宋体" w:cs="仿宋"/>
                <w:color w:val="auto"/>
                <w:sz w:val="21"/>
                <w:szCs w:val="21"/>
                <w:highlight w:val="none"/>
              </w:rPr>
              <w:t>X＜5</w:t>
            </w:r>
          </w:p>
        </w:tc>
      </w:tr>
      <w:tr w14:paraId="704C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3B5CD8F">
            <w:pPr>
              <w:jc w:val="center"/>
              <w:rPr>
                <w:rFonts w:ascii="宋体" w:hAnsi="宋体" w:cs="仿宋"/>
                <w:color w:val="auto"/>
                <w:sz w:val="21"/>
                <w:szCs w:val="21"/>
                <w:highlight w:val="none"/>
              </w:rPr>
            </w:pPr>
          </w:p>
        </w:tc>
        <w:tc>
          <w:tcPr>
            <w:tcW w:w="1843" w:type="dxa"/>
            <w:vAlign w:val="center"/>
          </w:tcPr>
          <w:p w14:paraId="76CB699F">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27A7B891">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DD03A4D">
            <w:pPr>
              <w:jc w:val="center"/>
              <w:rPr>
                <w:rFonts w:ascii="宋体" w:hAnsi="宋体" w:cs="仿宋"/>
                <w:color w:val="auto"/>
                <w:sz w:val="21"/>
                <w:szCs w:val="21"/>
                <w:highlight w:val="none"/>
              </w:rPr>
            </w:pPr>
            <w:r>
              <w:rPr>
                <w:rFonts w:ascii="宋体" w:hAnsi="宋体" w:cs="仿宋"/>
                <w:color w:val="auto"/>
                <w:sz w:val="21"/>
                <w:szCs w:val="21"/>
                <w:highlight w:val="none"/>
              </w:rPr>
              <w:t>Y≥40000</w:t>
            </w:r>
          </w:p>
        </w:tc>
        <w:tc>
          <w:tcPr>
            <w:tcW w:w="1818" w:type="dxa"/>
            <w:vAlign w:val="center"/>
          </w:tcPr>
          <w:p w14:paraId="4B778842">
            <w:pPr>
              <w:jc w:val="center"/>
              <w:rPr>
                <w:rFonts w:ascii="宋体" w:hAnsi="宋体" w:cs="仿宋"/>
                <w:color w:val="auto"/>
                <w:sz w:val="21"/>
                <w:szCs w:val="21"/>
                <w:highlight w:val="none"/>
              </w:rPr>
            </w:pPr>
            <w:r>
              <w:rPr>
                <w:rFonts w:ascii="宋体" w:hAnsi="宋体" w:cs="仿宋"/>
                <w:color w:val="auto"/>
                <w:sz w:val="21"/>
                <w:szCs w:val="21"/>
                <w:highlight w:val="none"/>
              </w:rPr>
              <w:t>5000≤Y＜40000</w:t>
            </w:r>
          </w:p>
        </w:tc>
        <w:tc>
          <w:tcPr>
            <w:tcW w:w="1504" w:type="dxa"/>
            <w:vAlign w:val="center"/>
          </w:tcPr>
          <w:p w14:paraId="5344790A">
            <w:pPr>
              <w:jc w:val="center"/>
              <w:rPr>
                <w:rFonts w:ascii="宋体" w:hAnsi="宋体" w:cs="仿宋"/>
                <w:color w:val="auto"/>
                <w:sz w:val="21"/>
                <w:szCs w:val="21"/>
                <w:highlight w:val="none"/>
              </w:rPr>
            </w:pPr>
            <w:r>
              <w:rPr>
                <w:rFonts w:ascii="宋体" w:hAnsi="宋体" w:cs="仿宋"/>
                <w:color w:val="auto"/>
                <w:sz w:val="21"/>
                <w:szCs w:val="21"/>
                <w:highlight w:val="none"/>
              </w:rPr>
              <w:t>1000≤Y＜5000</w:t>
            </w:r>
          </w:p>
        </w:tc>
        <w:tc>
          <w:tcPr>
            <w:tcW w:w="949" w:type="dxa"/>
            <w:vAlign w:val="center"/>
          </w:tcPr>
          <w:p w14:paraId="1F500CB3">
            <w:pPr>
              <w:jc w:val="center"/>
              <w:rPr>
                <w:rFonts w:ascii="宋体" w:hAnsi="宋体" w:cs="仿宋"/>
                <w:color w:val="auto"/>
                <w:sz w:val="21"/>
                <w:szCs w:val="21"/>
                <w:highlight w:val="none"/>
              </w:rPr>
            </w:pPr>
            <w:r>
              <w:rPr>
                <w:rFonts w:ascii="宋体" w:hAnsi="宋体" w:cs="仿宋"/>
                <w:color w:val="auto"/>
                <w:sz w:val="21"/>
                <w:szCs w:val="21"/>
                <w:highlight w:val="none"/>
              </w:rPr>
              <w:t>Y＜1000</w:t>
            </w:r>
          </w:p>
        </w:tc>
      </w:tr>
      <w:tr w14:paraId="16DE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A01FD53">
            <w:pPr>
              <w:jc w:val="center"/>
              <w:rPr>
                <w:rFonts w:ascii="宋体" w:hAnsi="宋体" w:cs="仿宋"/>
                <w:color w:val="auto"/>
                <w:sz w:val="21"/>
                <w:szCs w:val="21"/>
                <w:highlight w:val="none"/>
              </w:rPr>
            </w:pPr>
            <w:r>
              <w:rPr>
                <w:rFonts w:ascii="宋体" w:hAnsi="宋体" w:cs="仿宋"/>
                <w:color w:val="auto"/>
                <w:sz w:val="21"/>
                <w:szCs w:val="21"/>
                <w:highlight w:val="none"/>
              </w:rPr>
              <w:t>零售业</w:t>
            </w:r>
          </w:p>
        </w:tc>
        <w:tc>
          <w:tcPr>
            <w:tcW w:w="1843" w:type="dxa"/>
            <w:vAlign w:val="center"/>
          </w:tcPr>
          <w:p w14:paraId="23ABD164">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4943120">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63B3AFCA">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0E4071E">
            <w:pPr>
              <w:jc w:val="center"/>
              <w:rPr>
                <w:rFonts w:ascii="宋体" w:hAnsi="宋体" w:cs="仿宋"/>
                <w:color w:val="auto"/>
                <w:sz w:val="21"/>
                <w:szCs w:val="21"/>
                <w:highlight w:val="none"/>
              </w:rPr>
            </w:pPr>
            <w:r>
              <w:rPr>
                <w:rFonts w:ascii="宋体" w:hAnsi="宋体" w:cs="仿宋"/>
                <w:color w:val="auto"/>
                <w:sz w:val="21"/>
                <w:szCs w:val="21"/>
                <w:highlight w:val="none"/>
              </w:rPr>
              <w:t>50≤X＜300</w:t>
            </w:r>
          </w:p>
        </w:tc>
        <w:tc>
          <w:tcPr>
            <w:tcW w:w="1504" w:type="dxa"/>
            <w:vAlign w:val="center"/>
          </w:tcPr>
          <w:p w14:paraId="0510D069">
            <w:pPr>
              <w:jc w:val="center"/>
              <w:rPr>
                <w:rFonts w:ascii="宋体" w:hAnsi="宋体" w:cs="仿宋"/>
                <w:color w:val="auto"/>
                <w:sz w:val="21"/>
                <w:szCs w:val="21"/>
                <w:highlight w:val="none"/>
              </w:rPr>
            </w:pPr>
            <w:r>
              <w:rPr>
                <w:rFonts w:ascii="宋体" w:hAnsi="宋体" w:cs="仿宋"/>
                <w:color w:val="auto"/>
                <w:sz w:val="21"/>
                <w:szCs w:val="21"/>
                <w:highlight w:val="none"/>
              </w:rPr>
              <w:t>10≤X＜50</w:t>
            </w:r>
          </w:p>
        </w:tc>
        <w:tc>
          <w:tcPr>
            <w:tcW w:w="949" w:type="dxa"/>
            <w:vAlign w:val="center"/>
          </w:tcPr>
          <w:p w14:paraId="6CAAEBD3">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7524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42135F6">
            <w:pPr>
              <w:jc w:val="center"/>
              <w:rPr>
                <w:rFonts w:ascii="宋体" w:hAnsi="宋体" w:cs="仿宋"/>
                <w:color w:val="auto"/>
                <w:sz w:val="21"/>
                <w:szCs w:val="21"/>
                <w:highlight w:val="none"/>
              </w:rPr>
            </w:pPr>
          </w:p>
        </w:tc>
        <w:tc>
          <w:tcPr>
            <w:tcW w:w="1843" w:type="dxa"/>
            <w:vAlign w:val="center"/>
          </w:tcPr>
          <w:p w14:paraId="084D51B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2CF7359B">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5C026C5D">
            <w:pPr>
              <w:jc w:val="center"/>
              <w:rPr>
                <w:rFonts w:ascii="宋体" w:hAnsi="宋体" w:cs="仿宋"/>
                <w:color w:val="auto"/>
                <w:sz w:val="21"/>
                <w:szCs w:val="21"/>
                <w:highlight w:val="none"/>
              </w:rPr>
            </w:pPr>
            <w:r>
              <w:rPr>
                <w:rFonts w:ascii="宋体" w:hAnsi="宋体" w:cs="仿宋"/>
                <w:color w:val="auto"/>
                <w:sz w:val="21"/>
                <w:szCs w:val="21"/>
                <w:highlight w:val="none"/>
              </w:rPr>
              <w:t>Y≥20000</w:t>
            </w:r>
          </w:p>
        </w:tc>
        <w:tc>
          <w:tcPr>
            <w:tcW w:w="1818" w:type="dxa"/>
            <w:vAlign w:val="center"/>
          </w:tcPr>
          <w:p w14:paraId="318490AE">
            <w:pPr>
              <w:jc w:val="center"/>
              <w:rPr>
                <w:rFonts w:ascii="宋体" w:hAnsi="宋体" w:cs="仿宋"/>
                <w:color w:val="auto"/>
                <w:sz w:val="21"/>
                <w:szCs w:val="21"/>
                <w:highlight w:val="none"/>
              </w:rPr>
            </w:pPr>
            <w:r>
              <w:rPr>
                <w:rFonts w:ascii="宋体" w:hAnsi="宋体" w:cs="仿宋"/>
                <w:color w:val="auto"/>
                <w:sz w:val="21"/>
                <w:szCs w:val="21"/>
                <w:highlight w:val="none"/>
              </w:rPr>
              <w:t>500≤Y＜20000</w:t>
            </w:r>
          </w:p>
        </w:tc>
        <w:tc>
          <w:tcPr>
            <w:tcW w:w="1504" w:type="dxa"/>
            <w:vAlign w:val="center"/>
          </w:tcPr>
          <w:p w14:paraId="6FD9932A">
            <w:pPr>
              <w:jc w:val="center"/>
              <w:rPr>
                <w:rFonts w:ascii="宋体" w:hAnsi="宋体" w:cs="仿宋"/>
                <w:color w:val="auto"/>
                <w:sz w:val="21"/>
                <w:szCs w:val="21"/>
                <w:highlight w:val="none"/>
              </w:rPr>
            </w:pPr>
            <w:r>
              <w:rPr>
                <w:rFonts w:ascii="宋体" w:hAnsi="宋体" w:cs="仿宋"/>
                <w:color w:val="auto"/>
                <w:sz w:val="21"/>
                <w:szCs w:val="21"/>
                <w:highlight w:val="none"/>
              </w:rPr>
              <w:t>100≤Y＜500</w:t>
            </w:r>
          </w:p>
        </w:tc>
        <w:tc>
          <w:tcPr>
            <w:tcW w:w="949" w:type="dxa"/>
            <w:vAlign w:val="center"/>
          </w:tcPr>
          <w:p w14:paraId="23A7ACCD">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5FBB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B6650F6">
            <w:pPr>
              <w:jc w:val="center"/>
              <w:rPr>
                <w:rFonts w:ascii="宋体" w:hAnsi="宋体" w:cs="仿宋"/>
                <w:color w:val="auto"/>
                <w:sz w:val="21"/>
                <w:szCs w:val="21"/>
                <w:highlight w:val="none"/>
              </w:rPr>
            </w:pPr>
            <w:r>
              <w:rPr>
                <w:rFonts w:ascii="宋体" w:hAnsi="宋体" w:cs="仿宋"/>
                <w:color w:val="auto"/>
                <w:sz w:val="21"/>
                <w:szCs w:val="21"/>
                <w:highlight w:val="none"/>
              </w:rPr>
              <w:t>交通运输业 *</w:t>
            </w:r>
          </w:p>
        </w:tc>
        <w:tc>
          <w:tcPr>
            <w:tcW w:w="1843" w:type="dxa"/>
            <w:vAlign w:val="center"/>
          </w:tcPr>
          <w:p w14:paraId="1F67E52B">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1F1EE0E">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27CF3B01">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0E70301F">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30EE965C">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7A074EDC">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3458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6808F8C">
            <w:pPr>
              <w:jc w:val="center"/>
              <w:rPr>
                <w:rFonts w:ascii="宋体" w:hAnsi="宋体" w:cs="仿宋"/>
                <w:color w:val="auto"/>
                <w:sz w:val="21"/>
                <w:szCs w:val="21"/>
                <w:highlight w:val="none"/>
              </w:rPr>
            </w:pPr>
          </w:p>
        </w:tc>
        <w:tc>
          <w:tcPr>
            <w:tcW w:w="1843" w:type="dxa"/>
            <w:vAlign w:val="center"/>
          </w:tcPr>
          <w:p w14:paraId="2ADA4CF2">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FF5F553">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2647002">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67059429">
            <w:pPr>
              <w:jc w:val="center"/>
              <w:rPr>
                <w:rFonts w:ascii="宋体" w:hAnsi="宋体" w:cs="仿宋"/>
                <w:color w:val="auto"/>
                <w:sz w:val="21"/>
                <w:szCs w:val="21"/>
                <w:highlight w:val="none"/>
              </w:rPr>
            </w:pPr>
            <w:r>
              <w:rPr>
                <w:rFonts w:ascii="宋体" w:hAnsi="宋体" w:cs="仿宋"/>
                <w:color w:val="auto"/>
                <w:sz w:val="21"/>
                <w:szCs w:val="21"/>
                <w:highlight w:val="none"/>
              </w:rPr>
              <w:t>3000≤Y＜30000</w:t>
            </w:r>
          </w:p>
        </w:tc>
        <w:tc>
          <w:tcPr>
            <w:tcW w:w="1504" w:type="dxa"/>
            <w:vAlign w:val="center"/>
          </w:tcPr>
          <w:p w14:paraId="6505F18F">
            <w:pPr>
              <w:jc w:val="center"/>
              <w:rPr>
                <w:rFonts w:ascii="宋体" w:hAnsi="宋体" w:cs="仿宋"/>
                <w:color w:val="auto"/>
                <w:sz w:val="21"/>
                <w:szCs w:val="21"/>
                <w:highlight w:val="none"/>
              </w:rPr>
            </w:pPr>
            <w:r>
              <w:rPr>
                <w:rFonts w:ascii="宋体" w:hAnsi="宋体" w:cs="仿宋"/>
                <w:color w:val="auto"/>
                <w:sz w:val="21"/>
                <w:szCs w:val="21"/>
                <w:highlight w:val="none"/>
              </w:rPr>
              <w:t>200≤Y＜3000</w:t>
            </w:r>
          </w:p>
        </w:tc>
        <w:tc>
          <w:tcPr>
            <w:tcW w:w="949" w:type="dxa"/>
            <w:vAlign w:val="center"/>
          </w:tcPr>
          <w:p w14:paraId="44178488">
            <w:pPr>
              <w:jc w:val="center"/>
              <w:rPr>
                <w:rFonts w:ascii="宋体" w:hAnsi="宋体" w:cs="仿宋"/>
                <w:color w:val="auto"/>
                <w:sz w:val="21"/>
                <w:szCs w:val="21"/>
                <w:highlight w:val="none"/>
              </w:rPr>
            </w:pPr>
            <w:r>
              <w:rPr>
                <w:rFonts w:ascii="宋体" w:hAnsi="宋体" w:cs="仿宋"/>
                <w:color w:val="auto"/>
                <w:sz w:val="21"/>
                <w:szCs w:val="21"/>
                <w:highlight w:val="none"/>
              </w:rPr>
              <w:t>Y＜200</w:t>
            </w:r>
          </w:p>
        </w:tc>
      </w:tr>
      <w:tr w14:paraId="43D8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1F2F83C">
            <w:pPr>
              <w:jc w:val="center"/>
              <w:rPr>
                <w:rFonts w:ascii="宋体" w:hAnsi="宋体" w:cs="仿宋"/>
                <w:color w:val="auto"/>
                <w:sz w:val="21"/>
                <w:szCs w:val="21"/>
                <w:highlight w:val="none"/>
              </w:rPr>
            </w:pPr>
            <w:r>
              <w:rPr>
                <w:rFonts w:ascii="宋体" w:hAnsi="宋体" w:cs="仿宋"/>
                <w:color w:val="auto"/>
                <w:sz w:val="21"/>
                <w:szCs w:val="21"/>
                <w:highlight w:val="none"/>
              </w:rPr>
              <w:t>仓储业*</w:t>
            </w:r>
          </w:p>
        </w:tc>
        <w:tc>
          <w:tcPr>
            <w:tcW w:w="1843" w:type="dxa"/>
            <w:vAlign w:val="center"/>
          </w:tcPr>
          <w:p w14:paraId="41A3D5D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2F01515F">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27A66176">
            <w:pPr>
              <w:jc w:val="center"/>
              <w:rPr>
                <w:rFonts w:ascii="宋体" w:hAnsi="宋体" w:cs="仿宋"/>
                <w:color w:val="auto"/>
                <w:sz w:val="21"/>
                <w:szCs w:val="21"/>
                <w:highlight w:val="none"/>
              </w:rPr>
            </w:pPr>
            <w:r>
              <w:rPr>
                <w:rFonts w:ascii="宋体" w:hAnsi="宋体" w:cs="仿宋"/>
                <w:color w:val="auto"/>
                <w:sz w:val="21"/>
                <w:szCs w:val="21"/>
                <w:highlight w:val="none"/>
              </w:rPr>
              <w:t>X≥200</w:t>
            </w:r>
          </w:p>
        </w:tc>
        <w:tc>
          <w:tcPr>
            <w:tcW w:w="1818" w:type="dxa"/>
            <w:vAlign w:val="center"/>
          </w:tcPr>
          <w:p w14:paraId="19317389">
            <w:pPr>
              <w:jc w:val="center"/>
              <w:rPr>
                <w:rFonts w:ascii="宋体" w:hAnsi="宋体" w:cs="仿宋"/>
                <w:color w:val="auto"/>
                <w:sz w:val="21"/>
                <w:szCs w:val="21"/>
                <w:highlight w:val="none"/>
              </w:rPr>
            </w:pPr>
            <w:r>
              <w:rPr>
                <w:rFonts w:ascii="宋体" w:hAnsi="宋体" w:cs="仿宋"/>
                <w:color w:val="auto"/>
                <w:sz w:val="21"/>
                <w:szCs w:val="21"/>
                <w:highlight w:val="none"/>
              </w:rPr>
              <w:t>100≤X＜200</w:t>
            </w:r>
          </w:p>
        </w:tc>
        <w:tc>
          <w:tcPr>
            <w:tcW w:w="1504" w:type="dxa"/>
            <w:vAlign w:val="center"/>
          </w:tcPr>
          <w:p w14:paraId="15DFADC7">
            <w:pPr>
              <w:jc w:val="center"/>
              <w:rPr>
                <w:rFonts w:ascii="宋体" w:hAnsi="宋体" w:cs="仿宋"/>
                <w:color w:val="auto"/>
                <w:sz w:val="21"/>
                <w:szCs w:val="21"/>
                <w:highlight w:val="none"/>
              </w:rPr>
            </w:pPr>
            <w:r>
              <w:rPr>
                <w:rFonts w:ascii="宋体" w:hAnsi="宋体" w:cs="仿宋"/>
                <w:color w:val="auto"/>
                <w:sz w:val="21"/>
                <w:szCs w:val="21"/>
                <w:highlight w:val="none"/>
              </w:rPr>
              <w:t>20≤X＜100</w:t>
            </w:r>
          </w:p>
        </w:tc>
        <w:tc>
          <w:tcPr>
            <w:tcW w:w="949" w:type="dxa"/>
            <w:vAlign w:val="center"/>
          </w:tcPr>
          <w:p w14:paraId="32709F8B">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26372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976F47F">
            <w:pPr>
              <w:jc w:val="center"/>
              <w:rPr>
                <w:rFonts w:ascii="宋体" w:hAnsi="宋体" w:cs="仿宋"/>
                <w:color w:val="auto"/>
                <w:sz w:val="21"/>
                <w:szCs w:val="21"/>
                <w:highlight w:val="none"/>
              </w:rPr>
            </w:pPr>
          </w:p>
        </w:tc>
        <w:tc>
          <w:tcPr>
            <w:tcW w:w="1843" w:type="dxa"/>
            <w:vAlign w:val="center"/>
          </w:tcPr>
          <w:p w14:paraId="604EA83D">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EA2D943">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D664CD5">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0C50F6A3">
            <w:pPr>
              <w:jc w:val="center"/>
              <w:rPr>
                <w:rFonts w:ascii="宋体" w:hAnsi="宋体" w:cs="仿宋"/>
                <w:color w:val="auto"/>
                <w:sz w:val="21"/>
                <w:szCs w:val="21"/>
                <w:highlight w:val="none"/>
              </w:rPr>
            </w:pPr>
            <w:r>
              <w:rPr>
                <w:rFonts w:ascii="宋体" w:hAnsi="宋体" w:cs="仿宋"/>
                <w:color w:val="auto"/>
                <w:sz w:val="21"/>
                <w:szCs w:val="21"/>
                <w:highlight w:val="none"/>
              </w:rPr>
              <w:t>1000≤Y＜30000</w:t>
            </w:r>
          </w:p>
        </w:tc>
        <w:tc>
          <w:tcPr>
            <w:tcW w:w="1504" w:type="dxa"/>
            <w:vAlign w:val="center"/>
          </w:tcPr>
          <w:p w14:paraId="79B87693">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486D453F">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7507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A06EAC0">
            <w:pPr>
              <w:jc w:val="center"/>
              <w:rPr>
                <w:rFonts w:ascii="宋体" w:hAnsi="宋体" w:cs="仿宋"/>
                <w:color w:val="auto"/>
                <w:sz w:val="21"/>
                <w:szCs w:val="21"/>
                <w:highlight w:val="none"/>
              </w:rPr>
            </w:pPr>
            <w:r>
              <w:rPr>
                <w:rFonts w:ascii="宋体" w:hAnsi="宋体" w:cs="仿宋"/>
                <w:color w:val="auto"/>
                <w:sz w:val="21"/>
                <w:szCs w:val="21"/>
                <w:highlight w:val="none"/>
              </w:rPr>
              <w:t>邮政业</w:t>
            </w:r>
          </w:p>
        </w:tc>
        <w:tc>
          <w:tcPr>
            <w:tcW w:w="1843" w:type="dxa"/>
            <w:vAlign w:val="center"/>
          </w:tcPr>
          <w:p w14:paraId="0C567E26">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1AAE0CA">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0B0800DD">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7AD9230D">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67026C8A">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3AD5336D">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72AC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8076F42">
            <w:pPr>
              <w:jc w:val="center"/>
              <w:rPr>
                <w:rFonts w:ascii="宋体" w:hAnsi="宋体" w:cs="仿宋"/>
                <w:color w:val="auto"/>
                <w:sz w:val="21"/>
                <w:szCs w:val="21"/>
                <w:highlight w:val="none"/>
              </w:rPr>
            </w:pPr>
          </w:p>
        </w:tc>
        <w:tc>
          <w:tcPr>
            <w:tcW w:w="1843" w:type="dxa"/>
            <w:vAlign w:val="center"/>
          </w:tcPr>
          <w:p w14:paraId="51EC2CC2">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1E3CB4F7">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CB088DC">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466D2B34">
            <w:pPr>
              <w:jc w:val="center"/>
              <w:rPr>
                <w:rFonts w:ascii="宋体" w:hAnsi="宋体" w:cs="仿宋"/>
                <w:color w:val="auto"/>
                <w:sz w:val="21"/>
                <w:szCs w:val="21"/>
                <w:highlight w:val="none"/>
              </w:rPr>
            </w:pPr>
            <w:r>
              <w:rPr>
                <w:rFonts w:ascii="宋体" w:hAnsi="宋体" w:cs="仿宋"/>
                <w:color w:val="auto"/>
                <w:sz w:val="21"/>
                <w:szCs w:val="21"/>
                <w:highlight w:val="none"/>
              </w:rPr>
              <w:t>2000≤Y＜30000</w:t>
            </w:r>
          </w:p>
        </w:tc>
        <w:tc>
          <w:tcPr>
            <w:tcW w:w="1504" w:type="dxa"/>
            <w:vAlign w:val="center"/>
          </w:tcPr>
          <w:p w14:paraId="00AD272B">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37CACC1B">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3EBE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D22DF6D">
            <w:pPr>
              <w:jc w:val="center"/>
              <w:rPr>
                <w:rFonts w:ascii="宋体" w:hAnsi="宋体" w:cs="仿宋"/>
                <w:color w:val="auto"/>
                <w:sz w:val="21"/>
                <w:szCs w:val="21"/>
                <w:highlight w:val="none"/>
              </w:rPr>
            </w:pPr>
            <w:r>
              <w:rPr>
                <w:rFonts w:ascii="宋体" w:hAnsi="宋体" w:cs="仿宋"/>
                <w:color w:val="auto"/>
                <w:sz w:val="21"/>
                <w:szCs w:val="21"/>
                <w:highlight w:val="none"/>
              </w:rPr>
              <w:t>住宿业</w:t>
            </w:r>
          </w:p>
        </w:tc>
        <w:tc>
          <w:tcPr>
            <w:tcW w:w="1843" w:type="dxa"/>
            <w:vAlign w:val="center"/>
          </w:tcPr>
          <w:p w14:paraId="66D241D0">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346F46C7">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429DEA57">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C693230">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3816E0DF">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C34E598">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0099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038B47F">
            <w:pPr>
              <w:jc w:val="center"/>
              <w:rPr>
                <w:rFonts w:ascii="宋体" w:hAnsi="宋体" w:cs="仿宋"/>
                <w:color w:val="auto"/>
                <w:sz w:val="21"/>
                <w:szCs w:val="21"/>
                <w:highlight w:val="none"/>
              </w:rPr>
            </w:pPr>
          </w:p>
        </w:tc>
        <w:tc>
          <w:tcPr>
            <w:tcW w:w="1843" w:type="dxa"/>
            <w:vAlign w:val="center"/>
          </w:tcPr>
          <w:p w14:paraId="7EF04EA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0190BB6F">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A35C7E7">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623A130C">
            <w:pPr>
              <w:jc w:val="center"/>
              <w:rPr>
                <w:rFonts w:ascii="宋体" w:hAnsi="宋体" w:cs="仿宋"/>
                <w:color w:val="auto"/>
                <w:sz w:val="21"/>
                <w:szCs w:val="21"/>
                <w:highlight w:val="none"/>
              </w:rPr>
            </w:pPr>
            <w:r>
              <w:rPr>
                <w:rFonts w:ascii="宋体" w:hAnsi="宋体" w:cs="仿宋"/>
                <w:color w:val="auto"/>
                <w:sz w:val="21"/>
                <w:szCs w:val="21"/>
                <w:highlight w:val="none"/>
              </w:rPr>
              <w:t>2000≤Y＜10000</w:t>
            </w:r>
          </w:p>
        </w:tc>
        <w:tc>
          <w:tcPr>
            <w:tcW w:w="1504" w:type="dxa"/>
            <w:vAlign w:val="center"/>
          </w:tcPr>
          <w:p w14:paraId="32BEE105">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6979042F">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3066E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C70B0A7">
            <w:pPr>
              <w:jc w:val="center"/>
              <w:rPr>
                <w:rFonts w:ascii="宋体" w:hAnsi="宋体" w:cs="仿宋"/>
                <w:color w:val="auto"/>
                <w:sz w:val="21"/>
                <w:szCs w:val="21"/>
                <w:highlight w:val="none"/>
              </w:rPr>
            </w:pPr>
            <w:r>
              <w:rPr>
                <w:rFonts w:ascii="宋体" w:hAnsi="宋体" w:cs="仿宋"/>
                <w:color w:val="auto"/>
                <w:sz w:val="21"/>
                <w:szCs w:val="21"/>
                <w:highlight w:val="none"/>
              </w:rPr>
              <w:t>餐饮业</w:t>
            </w:r>
          </w:p>
        </w:tc>
        <w:tc>
          <w:tcPr>
            <w:tcW w:w="1843" w:type="dxa"/>
            <w:vAlign w:val="center"/>
          </w:tcPr>
          <w:p w14:paraId="1F0D5761">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277DFBE7">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7698F7C8">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68B50DD">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00E2CE5E">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52146476">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2A85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A95D170">
            <w:pPr>
              <w:jc w:val="center"/>
              <w:rPr>
                <w:rFonts w:ascii="宋体" w:hAnsi="宋体" w:cs="仿宋"/>
                <w:color w:val="auto"/>
                <w:sz w:val="21"/>
                <w:szCs w:val="21"/>
                <w:highlight w:val="none"/>
              </w:rPr>
            </w:pPr>
          </w:p>
        </w:tc>
        <w:tc>
          <w:tcPr>
            <w:tcW w:w="1843" w:type="dxa"/>
            <w:vAlign w:val="center"/>
          </w:tcPr>
          <w:p w14:paraId="7AB45227">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D218E2C">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9A908C9">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29980628">
            <w:pPr>
              <w:jc w:val="center"/>
              <w:rPr>
                <w:rFonts w:ascii="宋体" w:hAnsi="宋体" w:cs="仿宋"/>
                <w:color w:val="auto"/>
                <w:sz w:val="21"/>
                <w:szCs w:val="21"/>
                <w:highlight w:val="none"/>
              </w:rPr>
            </w:pPr>
            <w:r>
              <w:rPr>
                <w:rFonts w:ascii="宋体" w:hAnsi="宋体" w:cs="仿宋"/>
                <w:color w:val="auto"/>
                <w:sz w:val="21"/>
                <w:szCs w:val="21"/>
                <w:highlight w:val="none"/>
              </w:rPr>
              <w:t>2000≤Y＜10000</w:t>
            </w:r>
          </w:p>
        </w:tc>
        <w:tc>
          <w:tcPr>
            <w:tcW w:w="1504" w:type="dxa"/>
            <w:vAlign w:val="center"/>
          </w:tcPr>
          <w:p w14:paraId="03997616">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57336D79">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400F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3DD5FB2">
            <w:pPr>
              <w:jc w:val="center"/>
              <w:rPr>
                <w:rFonts w:ascii="宋体" w:hAnsi="宋体" w:cs="仿宋"/>
                <w:color w:val="auto"/>
                <w:sz w:val="21"/>
                <w:szCs w:val="21"/>
                <w:highlight w:val="none"/>
              </w:rPr>
            </w:pPr>
            <w:r>
              <w:rPr>
                <w:rFonts w:ascii="宋体" w:hAnsi="宋体" w:cs="仿宋"/>
                <w:color w:val="auto"/>
                <w:sz w:val="21"/>
                <w:szCs w:val="21"/>
                <w:highlight w:val="none"/>
              </w:rPr>
              <w:t>信息传输业 *</w:t>
            </w:r>
          </w:p>
        </w:tc>
        <w:tc>
          <w:tcPr>
            <w:tcW w:w="1843" w:type="dxa"/>
            <w:vAlign w:val="center"/>
          </w:tcPr>
          <w:p w14:paraId="28561B31">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7F9BEA5B">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4AE2EA94">
            <w:pPr>
              <w:jc w:val="center"/>
              <w:rPr>
                <w:rFonts w:ascii="宋体" w:hAnsi="宋体" w:cs="仿宋"/>
                <w:color w:val="auto"/>
                <w:sz w:val="21"/>
                <w:szCs w:val="21"/>
                <w:highlight w:val="none"/>
              </w:rPr>
            </w:pPr>
            <w:r>
              <w:rPr>
                <w:rFonts w:ascii="宋体" w:hAnsi="宋体" w:cs="仿宋"/>
                <w:color w:val="auto"/>
                <w:sz w:val="21"/>
                <w:szCs w:val="21"/>
                <w:highlight w:val="none"/>
              </w:rPr>
              <w:t>X≥2000</w:t>
            </w:r>
          </w:p>
        </w:tc>
        <w:tc>
          <w:tcPr>
            <w:tcW w:w="1818" w:type="dxa"/>
            <w:vAlign w:val="center"/>
          </w:tcPr>
          <w:p w14:paraId="0FCBD1E2">
            <w:pPr>
              <w:jc w:val="center"/>
              <w:rPr>
                <w:rFonts w:ascii="宋体" w:hAnsi="宋体" w:cs="仿宋"/>
                <w:color w:val="auto"/>
                <w:sz w:val="21"/>
                <w:szCs w:val="21"/>
                <w:highlight w:val="none"/>
              </w:rPr>
            </w:pPr>
            <w:r>
              <w:rPr>
                <w:rFonts w:ascii="宋体" w:hAnsi="宋体" w:cs="仿宋"/>
                <w:color w:val="auto"/>
                <w:sz w:val="21"/>
                <w:szCs w:val="21"/>
                <w:highlight w:val="none"/>
              </w:rPr>
              <w:t>100≤X＜2000</w:t>
            </w:r>
          </w:p>
        </w:tc>
        <w:tc>
          <w:tcPr>
            <w:tcW w:w="1504" w:type="dxa"/>
            <w:vAlign w:val="center"/>
          </w:tcPr>
          <w:p w14:paraId="3AC62625">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10FF91C">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46E7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E693288">
            <w:pPr>
              <w:jc w:val="center"/>
              <w:rPr>
                <w:rFonts w:ascii="宋体" w:hAnsi="宋体" w:cs="仿宋"/>
                <w:color w:val="auto"/>
                <w:sz w:val="21"/>
                <w:szCs w:val="21"/>
                <w:highlight w:val="none"/>
              </w:rPr>
            </w:pPr>
          </w:p>
        </w:tc>
        <w:tc>
          <w:tcPr>
            <w:tcW w:w="1843" w:type="dxa"/>
            <w:vAlign w:val="center"/>
          </w:tcPr>
          <w:p w14:paraId="7A963600">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66EECD4E">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372795E">
            <w:pPr>
              <w:jc w:val="center"/>
              <w:rPr>
                <w:rFonts w:ascii="宋体" w:hAnsi="宋体" w:cs="仿宋"/>
                <w:color w:val="auto"/>
                <w:sz w:val="21"/>
                <w:szCs w:val="21"/>
                <w:highlight w:val="none"/>
              </w:rPr>
            </w:pPr>
            <w:r>
              <w:rPr>
                <w:rFonts w:ascii="宋体" w:hAnsi="宋体" w:cs="仿宋"/>
                <w:color w:val="auto"/>
                <w:sz w:val="21"/>
                <w:szCs w:val="21"/>
                <w:highlight w:val="none"/>
              </w:rPr>
              <w:t>Y≥100000</w:t>
            </w:r>
          </w:p>
        </w:tc>
        <w:tc>
          <w:tcPr>
            <w:tcW w:w="1818" w:type="dxa"/>
            <w:vAlign w:val="center"/>
          </w:tcPr>
          <w:p w14:paraId="41A91AEE">
            <w:pPr>
              <w:jc w:val="center"/>
              <w:rPr>
                <w:rFonts w:ascii="宋体" w:hAnsi="宋体" w:cs="仿宋"/>
                <w:color w:val="auto"/>
                <w:sz w:val="21"/>
                <w:szCs w:val="21"/>
                <w:highlight w:val="none"/>
              </w:rPr>
            </w:pPr>
            <w:r>
              <w:rPr>
                <w:rFonts w:ascii="宋体" w:hAnsi="宋体" w:cs="仿宋"/>
                <w:color w:val="auto"/>
                <w:sz w:val="21"/>
                <w:szCs w:val="21"/>
                <w:highlight w:val="none"/>
              </w:rPr>
              <w:t>1000≤Y＜100000</w:t>
            </w:r>
          </w:p>
        </w:tc>
        <w:tc>
          <w:tcPr>
            <w:tcW w:w="1504" w:type="dxa"/>
            <w:vAlign w:val="center"/>
          </w:tcPr>
          <w:p w14:paraId="07540DCC">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311EBB55">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5456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FC282F5">
            <w:pPr>
              <w:jc w:val="center"/>
              <w:rPr>
                <w:rFonts w:ascii="宋体" w:hAnsi="宋体" w:cs="仿宋"/>
                <w:color w:val="auto"/>
                <w:sz w:val="21"/>
                <w:szCs w:val="21"/>
                <w:highlight w:val="none"/>
              </w:rPr>
            </w:pPr>
            <w:r>
              <w:rPr>
                <w:rFonts w:ascii="宋体" w:hAnsi="宋体" w:cs="仿宋"/>
                <w:color w:val="auto"/>
                <w:sz w:val="21"/>
                <w:szCs w:val="21"/>
                <w:highlight w:val="none"/>
              </w:rPr>
              <w:t>软件和信息技术服务业</w:t>
            </w:r>
          </w:p>
        </w:tc>
        <w:tc>
          <w:tcPr>
            <w:tcW w:w="1843" w:type="dxa"/>
            <w:vAlign w:val="center"/>
          </w:tcPr>
          <w:p w14:paraId="400F5865">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C6E40FD">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0B15C7AD">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4E0B10F7">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3BD53371">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956FC80">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06B50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C929569">
            <w:pPr>
              <w:jc w:val="center"/>
              <w:rPr>
                <w:rFonts w:ascii="宋体" w:hAnsi="宋体" w:cs="仿宋"/>
                <w:color w:val="auto"/>
                <w:sz w:val="21"/>
                <w:szCs w:val="21"/>
                <w:highlight w:val="none"/>
              </w:rPr>
            </w:pPr>
          </w:p>
        </w:tc>
        <w:tc>
          <w:tcPr>
            <w:tcW w:w="1843" w:type="dxa"/>
            <w:vAlign w:val="center"/>
          </w:tcPr>
          <w:p w14:paraId="1FF155A8">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5B09106">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1F9833EC">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5D66451A">
            <w:pPr>
              <w:jc w:val="center"/>
              <w:rPr>
                <w:rFonts w:ascii="宋体" w:hAnsi="宋体" w:cs="仿宋"/>
                <w:color w:val="auto"/>
                <w:sz w:val="21"/>
                <w:szCs w:val="21"/>
                <w:highlight w:val="none"/>
              </w:rPr>
            </w:pPr>
            <w:r>
              <w:rPr>
                <w:rFonts w:ascii="宋体" w:hAnsi="宋体" w:cs="仿宋"/>
                <w:color w:val="auto"/>
                <w:sz w:val="21"/>
                <w:szCs w:val="21"/>
                <w:highlight w:val="none"/>
              </w:rPr>
              <w:t>1000≤Y＜10000</w:t>
            </w:r>
          </w:p>
        </w:tc>
        <w:tc>
          <w:tcPr>
            <w:tcW w:w="1504" w:type="dxa"/>
            <w:vAlign w:val="center"/>
          </w:tcPr>
          <w:p w14:paraId="56232808">
            <w:pPr>
              <w:jc w:val="center"/>
              <w:rPr>
                <w:rFonts w:ascii="宋体" w:hAnsi="宋体" w:cs="仿宋"/>
                <w:color w:val="auto"/>
                <w:sz w:val="21"/>
                <w:szCs w:val="21"/>
                <w:highlight w:val="none"/>
              </w:rPr>
            </w:pPr>
            <w:r>
              <w:rPr>
                <w:rFonts w:ascii="宋体" w:hAnsi="宋体" w:cs="仿宋"/>
                <w:color w:val="auto"/>
                <w:sz w:val="21"/>
                <w:szCs w:val="21"/>
                <w:highlight w:val="none"/>
              </w:rPr>
              <w:t>50≤Y＜1000</w:t>
            </w:r>
          </w:p>
        </w:tc>
        <w:tc>
          <w:tcPr>
            <w:tcW w:w="949" w:type="dxa"/>
            <w:vAlign w:val="center"/>
          </w:tcPr>
          <w:p w14:paraId="1391FA71">
            <w:pPr>
              <w:jc w:val="center"/>
              <w:rPr>
                <w:rFonts w:ascii="宋体" w:hAnsi="宋体" w:cs="仿宋"/>
                <w:color w:val="auto"/>
                <w:sz w:val="21"/>
                <w:szCs w:val="21"/>
                <w:highlight w:val="none"/>
              </w:rPr>
            </w:pPr>
            <w:r>
              <w:rPr>
                <w:rFonts w:ascii="宋体" w:hAnsi="宋体" w:cs="仿宋"/>
                <w:color w:val="auto"/>
                <w:sz w:val="21"/>
                <w:szCs w:val="21"/>
                <w:highlight w:val="none"/>
              </w:rPr>
              <w:t>Y＜50</w:t>
            </w:r>
          </w:p>
        </w:tc>
      </w:tr>
      <w:tr w14:paraId="7D35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C82F2AA">
            <w:pPr>
              <w:jc w:val="center"/>
              <w:rPr>
                <w:rFonts w:ascii="宋体" w:hAnsi="宋体" w:cs="仿宋"/>
                <w:color w:val="auto"/>
                <w:sz w:val="21"/>
                <w:szCs w:val="21"/>
                <w:highlight w:val="none"/>
              </w:rPr>
            </w:pPr>
            <w:r>
              <w:rPr>
                <w:rFonts w:ascii="宋体" w:hAnsi="宋体" w:cs="仿宋"/>
                <w:color w:val="auto"/>
                <w:sz w:val="21"/>
                <w:szCs w:val="21"/>
                <w:highlight w:val="none"/>
              </w:rPr>
              <w:t>房地产开发经营</w:t>
            </w:r>
          </w:p>
        </w:tc>
        <w:tc>
          <w:tcPr>
            <w:tcW w:w="1843" w:type="dxa"/>
            <w:vAlign w:val="center"/>
          </w:tcPr>
          <w:p w14:paraId="2D82F01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0F0DC076">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CC477F2">
            <w:pPr>
              <w:jc w:val="center"/>
              <w:rPr>
                <w:rFonts w:ascii="宋体" w:hAnsi="宋体" w:cs="仿宋"/>
                <w:color w:val="auto"/>
                <w:sz w:val="21"/>
                <w:szCs w:val="21"/>
                <w:highlight w:val="none"/>
              </w:rPr>
            </w:pPr>
            <w:r>
              <w:rPr>
                <w:rFonts w:ascii="宋体" w:hAnsi="宋体" w:cs="仿宋"/>
                <w:color w:val="auto"/>
                <w:sz w:val="21"/>
                <w:szCs w:val="21"/>
                <w:highlight w:val="none"/>
              </w:rPr>
              <w:t>Y≥200000</w:t>
            </w:r>
          </w:p>
        </w:tc>
        <w:tc>
          <w:tcPr>
            <w:tcW w:w="1818" w:type="dxa"/>
            <w:vAlign w:val="center"/>
          </w:tcPr>
          <w:p w14:paraId="0964CBB4">
            <w:pPr>
              <w:jc w:val="center"/>
              <w:rPr>
                <w:rFonts w:ascii="宋体" w:hAnsi="宋体" w:cs="仿宋"/>
                <w:color w:val="auto"/>
                <w:sz w:val="21"/>
                <w:szCs w:val="21"/>
                <w:highlight w:val="none"/>
              </w:rPr>
            </w:pPr>
            <w:r>
              <w:rPr>
                <w:rFonts w:ascii="宋体" w:hAnsi="宋体" w:cs="仿宋"/>
                <w:color w:val="auto"/>
                <w:sz w:val="21"/>
                <w:szCs w:val="21"/>
                <w:highlight w:val="none"/>
              </w:rPr>
              <w:t>1000≤Y＜200000</w:t>
            </w:r>
          </w:p>
        </w:tc>
        <w:tc>
          <w:tcPr>
            <w:tcW w:w="1504" w:type="dxa"/>
            <w:vAlign w:val="center"/>
          </w:tcPr>
          <w:p w14:paraId="4EC6F6C0">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3066088F">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6084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2C0A086">
            <w:pPr>
              <w:jc w:val="center"/>
              <w:rPr>
                <w:rFonts w:ascii="宋体" w:hAnsi="宋体" w:cs="仿宋"/>
                <w:color w:val="auto"/>
                <w:sz w:val="21"/>
                <w:szCs w:val="21"/>
                <w:highlight w:val="none"/>
              </w:rPr>
            </w:pPr>
          </w:p>
        </w:tc>
        <w:tc>
          <w:tcPr>
            <w:tcW w:w="1843" w:type="dxa"/>
            <w:vAlign w:val="center"/>
          </w:tcPr>
          <w:p w14:paraId="52C79A3C">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2B7051DA">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1A4CCFCF">
            <w:pPr>
              <w:jc w:val="center"/>
              <w:rPr>
                <w:rFonts w:ascii="宋体" w:hAnsi="宋体" w:cs="仿宋"/>
                <w:color w:val="auto"/>
                <w:sz w:val="21"/>
                <w:szCs w:val="21"/>
                <w:highlight w:val="none"/>
              </w:rPr>
            </w:pPr>
            <w:r>
              <w:rPr>
                <w:rFonts w:ascii="宋体" w:hAnsi="宋体" w:cs="仿宋"/>
                <w:color w:val="auto"/>
                <w:sz w:val="21"/>
                <w:szCs w:val="21"/>
                <w:highlight w:val="none"/>
              </w:rPr>
              <w:t>Z≥10000</w:t>
            </w:r>
          </w:p>
        </w:tc>
        <w:tc>
          <w:tcPr>
            <w:tcW w:w="1818" w:type="dxa"/>
            <w:vAlign w:val="center"/>
          </w:tcPr>
          <w:p w14:paraId="6601D1C5">
            <w:pPr>
              <w:jc w:val="center"/>
              <w:rPr>
                <w:rFonts w:ascii="宋体" w:hAnsi="宋体" w:cs="仿宋"/>
                <w:color w:val="auto"/>
                <w:sz w:val="21"/>
                <w:szCs w:val="21"/>
                <w:highlight w:val="none"/>
              </w:rPr>
            </w:pPr>
            <w:r>
              <w:rPr>
                <w:rFonts w:ascii="宋体" w:hAnsi="宋体" w:cs="仿宋"/>
                <w:color w:val="auto"/>
                <w:sz w:val="21"/>
                <w:szCs w:val="21"/>
                <w:highlight w:val="none"/>
              </w:rPr>
              <w:t>5000≤Z＜10000</w:t>
            </w:r>
          </w:p>
        </w:tc>
        <w:tc>
          <w:tcPr>
            <w:tcW w:w="1504" w:type="dxa"/>
            <w:vAlign w:val="center"/>
          </w:tcPr>
          <w:p w14:paraId="25F6177D">
            <w:pPr>
              <w:jc w:val="center"/>
              <w:rPr>
                <w:rFonts w:ascii="宋体" w:hAnsi="宋体" w:cs="仿宋"/>
                <w:color w:val="auto"/>
                <w:sz w:val="21"/>
                <w:szCs w:val="21"/>
                <w:highlight w:val="none"/>
              </w:rPr>
            </w:pPr>
            <w:r>
              <w:rPr>
                <w:rFonts w:ascii="宋体" w:hAnsi="宋体" w:cs="仿宋"/>
                <w:color w:val="auto"/>
                <w:sz w:val="21"/>
                <w:szCs w:val="21"/>
                <w:highlight w:val="none"/>
              </w:rPr>
              <w:t>2000≤Z＜5000</w:t>
            </w:r>
          </w:p>
        </w:tc>
        <w:tc>
          <w:tcPr>
            <w:tcW w:w="949" w:type="dxa"/>
            <w:vAlign w:val="center"/>
          </w:tcPr>
          <w:p w14:paraId="45292E7A">
            <w:pPr>
              <w:jc w:val="center"/>
              <w:rPr>
                <w:rFonts w:ascii="宋体" w:hAnsi="宋体" w:cs="仿宋"/>
                <w:color w:val="auto"/>
                <w:sz w:val="21"/>
                <w:szCs w:val="21"/>
                <w:highlight w:val="none"/>
              </w:rPr>
            </w:pPr>
            <w:r>
              <w:rPr>
                <w:rFonts w:ascii="宋体" w:hAnsi="宋体" w:cs="仿宋"/>
                <w:color w:val="auto"/>
                <w:sz w:val="21"/>
                <w:szCs w:val="21"/>
                <w:highlight w:val="none"/>
              </w:rPr>
              <w:t>Z＜2000</w:t>
            </w:r>
          </w:p>
        </w:tc>
      </w:tr>
      <w:tr w14:paraId="290B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C36CC72">
            <w:pPr>
              <w:jc w:val="center"/>
              <w:rPr>
                <w:rFonts w:ascii="宋体" w:hAnsi="宋体" w:cs="仿宋"/>
                <w:color w:val="auto"/>
                <w:sz w:val="21"/>
                <w:szCs w:val="21"/>
                <w:highlight w:val="none"/>
              </w:rPr>
            </w:pPr>
            <w:r>
              <w:rPr>
                <w:rFonts w:ascii="宋体" w:hAnsi="宋体" w:cs="仿宋"/>
                <w:color w:val="auto"/>
                <w:sz w:val="21"/>
                <w:szCs w:val="21"/>
                <w:highlight w:val="none"/>
              </w:rPr>
              <w:t>物业管理</w:t>
            </w:r>
          </w:p>
        </w:tc>
        <w:tc>
          <w:tcPr>
            <w:tcW w:w="1843" w:type="dxa"/>
            <w:vAlign w:val="center"/>
          </w:tcPr>
          <w:p w14:paraId="36DA6C6E">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03DB428">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74408F90">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13A0D520">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5593CB04">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949" w:type="dxa"/>
            <w:vAlign w:val="center"/>
          </w:tcPr>
          <w:p w14:paraId="1844C83B">
            <w:pPr>
              <w:jc w:val="center"/>
              <w:rPr>
                <w:rFonts w:ascii="宋体" w:hAnsi="宋体" w:cs="仿宋"/>
                <w:color w:val="auto"/>
                <w:sz w:val="21"/>
                <w:szCs w:val="21"/>
                <w:highlight w:val="none"/>
              </w:rPr>
            </w:pPr>
            <w:r>
              <w:rPr>
                <w:rFonts w:ascii="宋体" w:hAnsi="宋体" w:cs="仿宋"/>
                <w:color w:val="auto"/>
                <w:sz w:val="21"/>
                <w:szCs w:val="21"/>
                <w:highlight w:val="none"/>
              </w:rPr>
              <w:t>X＜100</w:t>
            </w:r>
          </w:p>
        </w:tc>
      </w:tr>
      <w:tr w14:paraId="6C89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656DCB9">
            <w:pPr>
              <w:jc w:val="center"/>
              <w:rPr>
                <w:rFonts w:ascii="宋体" w:hAnsi="宋体" w:cs="仿宋"/>
                <w:color w:val="auto"/>
                <w:sz w:val="21"/>
                <w:szCs w:val="21"/>
                <w:highlight w:val="none"/>
              </w:rPr>
            </w:pPr>
          </w:p>
        </w:tc>
        <w:tc>
          <w:tcPr>
            <w:tcW w:w="1843" w:type="dxa"/>
            <w:vAlign w:val="center"/>
          </w:tcPr>
          <w:p w14:paraId="46D2720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602DE67">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47F3F802">
            <w:pPr>
              <w:jc w:val="center"/>
              <w:rPr>
                <w:rFonts w:ascii="宋体" w:hAnsi="宋体" w:cs="仿宋"/>
                <w:color w:val="auto"/>
                <w:sz w:val="21"/>
                <w:szCs w:val="21"/>
                <w:highlight w:val="none"/>
              </w:rPr>
            </w:pPr>
            <w:r>
              <w:rPr>
                <w:rFonts w:ascii="宋体" w:hAnsi="宋体" w:cs="仿宋"/>
                <w:color w:val="auto"/>
                <w:sz w:val="21"/>
                <w:szCs w:val="21"/>
                <w:highlight w:val="none"/>
              </w:rPr>
              <w:t>Y≥5000</w:t>
            </w:r>
          </w:p>
        </w:tc>
        <w:tc>
          <w:tcPr>
            <w:tcW w:w="1818" w:type="dxa"/>
            <w:vAlign w:val="center"/>
          </w:tcPr>
          <w:p w14:paraId="3C64ABD7">
            <w:pPr>
              <w:jc w:val="center"/>
              <w:rPr>
                <w:rFonts w:ascii="宋体" w:hAnsi="宋体" w:cs="仿宋"/>
                <w:color w:val="auto"/>
                <w:sz w:val="21"/>
                <w:szCs w:val="21"/>
                <w:highlight w:val="none"/>
              </w:rPr>
            </w:pPr>
            <w:r>
              <w:rPr>
                <w:rFonts w:ascii="宋体" w:hAnsi="宋体" w:cs="仿宋"/>
                <w:color w:val="auto"/>
                <w:sz w:val="21"/>
                <w:szCs w:val="21"/>
                <w:highlight w:val="none"/>
              </w:rPr>
              <w:t>1000≤Y＜5000</w:t>
            </w:r>
          </w:p>
        </w:tc>
        <w:tc>
          <w:tcPr>
            <w:tcW w:w="1504" w:type="dxa"/>
            <w:vAlign w:val="center"/>
          </w:tcPr>
          <w:p w14:paraId="24205327">
            <w:pPr>
              <w:jc w:val="center"/>
              <w:rPr>
                <w:rFonts w:ascii="宋体" w:hAnsi="宋体" w:cs="仿宋"/>
                <w:color w:val="auto"/>
                <w:sz w:val="21"/>
                <w:szCs w:val="21"/>
                <w:highlight w:val="none"/>
              </w:rPr>
            </w:pPr>
            <w:r>
              <w:rPr>
                <w:rFonts w:ascii="宋体" w:hAnsi="宋体" w:cs="仿宋"/>
                <w:color w:val="auto"/>
                <w:sz w:val="21"/>
                <w:szCs w:val="21"/>
                <w:highlight w:val="none"/>
              </w:rPr>
              <w:t>500≤Y＜1000</w:t>
            </w:r>
          </w:p>
        </w:tc>
        <w:tc>
          <w:tcPr>
            <w:tcW w:w="949" w:type="dxa"/>
            <w:vAlign w:val="center"/>
          </w:tcPr>
          <w:p w14:paraId="1E577163">
            <w:pPr>
              <w:jc w:val="center"/>
              <w:rPr>
                <w:rFonts w:ascii="宋体" w:hAnsi="宋体" w:cs="仿宋"/>
                <w:color w:val="auto"/>
                <w:sz w:val="21"/>
                <w:szCs w:val="21"/>
                <w:highlight w:val="none"/>
              </w:rPr>
            </w:pPr>
            <w:r>
              <w:rPr>
                <w:rFonts w:ascii="宋体" w:hAnsi="宋体" w:cs="仿宋"/>
                <w:color w:val="auto"/>
                <w:sz w:val="21"/>
                <w:szCs w:val="21"/>
                <w:highlight w:val="none"/>
              </w:rPr>
              <w:t>Y＜500</w:t>
            </w:r>
          </w:p>
        </w:tc>
      </w:tr>
      <w:tr w14:paraId="3C9D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6097285">
            <w:pPr>
              <w:jc w:val="center"/>
              <w:rPr>
                <w:rFonts w:ascii="宋体" w:hAnsi="宋体" w:cs="仿宋"/>
                <w:color w:val="auto"/>
                <w:sz w:val="21"/>
                <w:szCs w:val="21"/>
                <w:highlight w:val="none"/>
              </w:rPr>
            </w:pPr>
            <w:r>
              <w:rPr>
                <w:rFonts w:ascii="宋体" w:hAnsi="宋体" w:cs="仿宋"/>
                <w:color w:val="auto"/>
                <w:sz w:val="21"/>
                <w:szCs w:val="21"/>
                <w:highlight w:val="none"/>
              </w:rPr>
              <w:t>租赁和商务服务业</w:t>
            </w:r>
          </w:p>
        </w:tc>
        <w:tc>
          <w:tcPr>
            <w:tcW w:w="1843" w:type="dxa"/>
            <w:vAlign w:val="center"/>
          </w:tcPr>
          <w:p w14:paraId="645D0665">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68205433">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1590DBDC">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53A1841">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590F5573">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3F71A299">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0103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47A10B1">
            <w:pPr>
              <w:jc w:val="center"/>
              <w:rPr>
                <w:rFonts w:ascii="宋体" w:hAnsi="宋体" w:cs="仿宋"/>
                <w:color w:val="auto"/>
                <w:sz w:val="21"/>
                <w:szCs w:val="21"/>
                <w:highlight w:val="none"/>
              </w:rPr>
            </w:pPr>
          </w:p>
        </w:tc>
        <w:tc>
          <w:tcPr>
            <w:tcW w:w="1843" w:type="dxa"/>
            <w:vAlign w:val="center"/>
          </w:tcPr>
          <w:p w14:paraId="7A7C1CE8">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05FE5AE8">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E7FD9FA">
            <w:pPr>
              <w:jc w:val="center"/>
              <w:rPr>
                <w:rFonts w:ascii="宋体" w:hAnsi="宋体" w:cs="仿宋"/>
                <w:color w:val="auto"/>
                <w:sz w:val="21"/>
                <w:szCs w:val="21"/>
                <w:highlight w:val="none"/>
              </w:rPr>
            </w:pPr>
            <w:r>
              <w:rPr>
                <w:rFonts w:ascii="宋体" w:hAnsi="宋体" w:cs="仿宋"/>
                <w:color w:val="auto"/>
                <w:sz w:val="21"/>
                <w:szCs w:val="21"/>
                <w:highlight w:val="none"/>
              </w:rPr>
              <w:t>Z≥120000</w:t>
            </w:r>
          </w:p>
        </w:tc>
        <w:tc>
          <w:tcPr>
            <w:tcW w:w="1818" w:type="dxa"/>
            <w:vAlign w:val="center"/>
          </w:tcPr>
          <w:p w14:paraId="63F95341">
            <w:pPr>
              <w:jc w:val="center"/>
              <w:rPr>
                <w:rFonts w:ascii="宋体" w:hAnsi="宋体" w:cs="仿宋"/>
                <w:color w:val="auto"/>
                <w:sz w:val="21"/>
                <w:szCs w:val="21"/>
                <w:highlight w:val="none"/>
              </w:rPr>
            </w:pPr>
            <w:r>
              <w:rPr>
                <w:rFonts w:ascii="宋体" w:hAnsi="宋体" w:cs="仿宋"/>
                <w:color w:val="auto"/>
                <w:sz w:val="21"/>
                <w:szCs w:val="21"/>
                <w:highlight w:val="none"/>
              </w:rPr>
              <w:t>8000≤Z＜120000</w:t>
            </w:r>
          </w:p>
        </w:tc>
        <w:tc>
          <w:tcPr>
            <w:tcW w:w="1504" w:type="dxa"/>
            <w:vAlign w:val="center"/>
          </w:tcPr>
          <w:p w14:paraId="18B44D14">
            <w:pPr>
              <w:jc w:val="center"/>
              <w:rPr>
                <w:rFonts w:ascii="宋体" w:hAnsi="宋体" w:cs="仿宋"/>
                <w:color w:val="auto"/>
                <w:sz w:val="21"/>
                <w:szCs w:val="21"/>
                <w:highlight w:val="none"/>
              </w:rPr>
            </w:pPr>
            <w:r>
              <w:rPr>
                <w:rFonts w:ascii="宋体" w:hAnsi="宋体" w:cs="仿宋"/>
                <w:color w:val="auto"/>
                <w:sz w:val="21"/>
                <w:szCs w:val="21"/>
                <w:highlight w:val="none"/>
              </w:rPr>
              <w:t>100≤Z＜8000</w:t>
            </w:r>
          </w:p>
        </w:tc>
        <w:tc>
          <w:tcPr>
            <w:tcW w:w="949" w:type="dxa"/>
            <w:vAlign w:val="center"/>
          </w:tcPr>
          <w:p w14:paraId="2B00A018">
            <w:pPr>
              <w:jc w:val="center"/>
              <w:rPr>
                <w:rFonts w:ascii="宋体" w:hAnsi="宋体" w:cs="仿宋"/>
                <w:color w:val="auto"/>
                <w:sz w:val="21"/>
                <w:szCs w:val="21"/>
                <w:highlight w:val="none"/>
              </w:rPr>
            </w:pPr>
            <w:r>
              <w:rPr>
                <w:rFonts w:ascii="宋体" w:hAnsi="宋体" w:cs="仿宋"/>
                <w:color w:val="auto"/>
                <w:sz w:val="21"/>
                <w:szCs w:val="21"/>
                <w:highlight w:val="none"/>
              </w:rPr>
              <w:t>Z＜100</w:t>
            </w:r>
          </w:p>
        </w:tc>
      </w:tr>
      <w:tr w14:paraId="0A3B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15FDB629">
            <w:pPr>
              <w:jc w:val="center"/>
              <w:rPr>
                <w:rFonts w:ascii="宋体" w:hAnsi="宋体" w:cs="仿宋"/>
                <w:color w:val="auto"/>
                <w:sz w:val="21"/>
                <w:szCs w:val="21"/>
                <w:highlight w:val="none"/>
              </w:rPr>
            </w:pPr>
            <w:r>
              <w:rPr>
                <w:rFonts w:ascii="宋体" w:hAnsi="宋体" w:cs="仿宋"/>
                <w:color w:val="auto"/>
                <w:sz w:val="21"/>
                <w:szCs w:val="21"/>
                <w:highlight w:val="none"/>
              </w:rPr>
              <w:t>其他未列明行业 *</w:t>
            </w:r>
          </w:p>
        </w:tc>
        <w:tc>
          <w:tcPr>
            <w:tcW w:w="1843" w:type="dxa"/>
            <w:vAlign w:val="center"/>
          </w:tcPr>
          <w:p w14:paraId="3B608B5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414A75BD">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E86C097">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014F0E5C">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79612B29">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B21030C">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bl>
    <w:p w14:paraId="74EDE225">
      <w:pPr>
        <w:spacing w:line="400" w:lineRule="atLeast"/>
        <w:ind w:firstLine="420" w:firstLineChars="200"/>
        <w:jc w:val="center"/>
        <w:rPr>
          <w:rFonts w:hint="eastAsia" w:ascii="宋体" w:hAnsi="宋体"/>
          <w:b/>
          <w:color w:val="auto"/>
          <w:sz w:val="21"/>
          <w:szCs w:val="21"/>
          <w:highlight w:val="none"/>
        </w:rPr>
      </w:pPr>
    </w:p>
    <w:p w14:paraId="5E9C467B">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说明：</w:t>
      </w:r>
    </w:p>
    <w:p w14:paraId="022412C4">
      <w:pPr>
        <w:spacing w:line="500" w:lineRule="atLeast"/>
        <w:ind w:firstLine="420" w:firstLineChars="200"/>
        <w:jc w:val="left"/>
        <w:rPr>
          <w:rFonts w:hint="eastAsia" w:ascii="宋体" w:hAnsi="宋体"/>
          <w:b/>
          <w:bCs/>
          <w:color w:val="auto"/>
          <w:sz w:val="21"/>
          <w:szCs w:val="21"/>
          <w:highlight w:val="none"/>
        </w:rPr>
      </w:pPr>
      <w:r>
        <w:rPr>
          <w:rFonts w:hint="eastAsia" w:ascii="宋体" w:hAnsi="宋体"/>
          <w:color w:val="auto"/>
          <w:sz w:val="21"/>
          <w:szCs w:val="21"/>
          <w:highlight w:val="none"/>
        </w:rPr>
        <w:t>（1）</w:t>
      </w:r>
      <w:r>
        <w:rPr>
          <w:rFonts w:hint="eastAsia" w:ascii="宋体" w:hAnsi="宋体"/>
          <w:b/>
          <w:bCs/>
          <w:color w:val="auto"/>
          <w:sz w:val="21"/>
          <w:szCs w:val="21"/>
          <w:highlight w:val="none"/>
        </w:rPr>
        <w:t>大型、中型和小型企业须同时满足所列指标的下限，否则下划一档；微型企业只须满足所列指标中的一项即可。</w:t>
      </w:r>
    </w:p>
    <w:p w14:paraId="43806969">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61ADE9A">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5A5A86E">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2.监狱企业 </w:t>
      </w:r>
    </w:p>
    <w:p w14:paraId="590EFA0E">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   根据财政部《司法部关于政府采购支持监狱企业发展有关问题》的通知（财库〔2014〕6879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7AD75572">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3.残疾人福利性单位 </w:t>
      </w:r>
    </w:p>
    <w:p w14:paraId="3CB81DC5">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（1）根据《财政部 民政部 中国残疾人联合会关于促进残疾人就业政府采购政策的通知》，享受政府采购支持政策的残疾人福利性单位应当同时满足以下条件： </w:t>
      </w:r>
    </w:p>
    <w:p w14:paraId="5DF4DBE7">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 ①安置的残疾人占本单位在职职工人数的比例不低于 25%（含 25%），并且安置的残疾人人数不少于 10 人（含 10 人）； </w:t>
      </w:r>
    </w:p>
    <w:p w14:paraId="7C46F12A">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②依法与安置的每位残疾人签订了一年以上（含一年）的劳动合同或服务协议； </w:t>
      </w:r>
    </w:p>
    <w:p w14:paraId="6CC0B64F">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③为安置的每位残疾人按月足额缴纳了基本养老保险、基本医疗保险、失业保险、工伤保险和生育保险等社会保险费； </w:t>
      </w:r>
    </w:p>
    <w:p w14:paraId="2E00807C">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④通过银行等金融机构向安置的每位残疾人，按月支付了不低于单位所在区县适用的经省级人民政府批准的月最低工资标准的工资； </w:t>
      </w:r>
    </w:p>
    <w:p w14:paraId="5D49B6E6">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⑤提供本单位制造的货物、承担的工程或者服务（以下简称产品），或者提供其他残疾人福利性单位制造的货物（不包括使用非残疾人福利性单位注册商标的货物）。 </w:t>
      </w:r>
    </w:p>
    <w:p w14:paraId="75B59CFA">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60086907">
      <w:pPr>
        <w:spacing w:line="500" w:lineRule="atLeast"/>
        <w:ind w:firstLine="420" w:firstLineChars="200"/>
        <w:jc w:val="left"/>
        <w:rPr>
          <w:rFonts w:hint="eastAsia" w:ascii="Times New Roman" w:hAnsi="Times New Roman" w:cs="Times New Roman"/>
          <w:b/>
          <w:color w:val="auto"/>
          <w:sz w:val="28"/>
          <w:szCs w:val="28"/>
          <w:highlight w:val="none"/>
          <w:lang w:eastAsia="zh-CN"/>
        </w:rPr>
      </w:pPr>
      <w:r>
        <w:rPr>
          <w:rFonts w:hint="eastAsia" w:ascii="宋体" w:hAnsi="宋体" w:eastAsia="宋体" w:cs="Times New Roman"/>
          <w:color w:val="auto"/>
          <w:sz w:val="21"/>
          <w:szCs w:val="21"/>
          <w:highlight w:val="none"/>
        </w:rPr>
        <w:t>（2）符合条件的残疾人福利性单位在参加政府采购活动时，应当提供《残疾人福利性单位声明函》，并对声明的真实性负责。</w:t>
      </w:r>
    </w:p>
    <w:p w14:paraId="68C61374">
      <w:pPr>
        <w:rPr>
          <w:b w:val="0"/>
          <w:color w:val="auto"/>
          <w:szCs w:val="21"/>
          <w:highlight w:val="none"/>
        </w:rPr>
      </w:pPr>
    </w:p>
    <w:bookmarkEnd w:id="293"/>
    <w:bookmarkEnd w:id="294"/>
    <w:bookmarkEnd w:id="295"/>
    <w:bookmarkEnd w:id="296"/>
    <w:p w14:paraId="0F8C4891">
      <w:pPr>
        <w:spacing w:line="440" w:lineRule="exact"/>
        <w:ind w:left="1" w:firstLine="424" w:firstLineChars="177"/>
        <w:rPr>
          <w:rFonts w:ascii="宋体" w:cs="宋体"/>
          <w:color w:val="auto"/>
          <w:sz w:val="24"/>
          <w:highlight w:val="none"/>
        </w:rPr>
      </w:pPr>
    </w:p>
    <w:p w14:paraId="6D1E8573">
      <w:pPr>
        <w:spacing w:line="360" w:lineRule="auto"/>
        <w:rPr>
          <w:color w:val="auto"/>
          <w:szCs w:val="21"/>
          <w:highlight w:val="none"/>
        </w:rPr>
      </w:pPr>
    </w:p>
    <w:p w14:paraId="7CBB1F5D">
      <w:pPr>
        <w:spacing w:line="360" w:lineRule="auto"/>
        <w:rPr>
          <w:b/>
          <w:color w:val="auto"/>
          <w:sz w:val="28"/>
          <w:szCs w:val="28"/>
          <w:highlight w:val="none"/>
        </w:rPr>
      </w:pPr>
    </w:p>
    <w:p w14:paraId="203C0997">
      <w:pPr>
        <w:widowControl/>
        <w:jc w:val="left"/>
        <w:rPr>
          <w:b/>
          <w:color w:val="auto"/>
          <w:sz w:val="28"/>
          <w:szCs w:val="28"/>
          <w:highlight w:val="none"/>
        </w:rPr>
      </w:pPr>
      <w:r>
        <w:rPr>
          <w:b/>
          <w:color w:val="auto"/>
          <w:sz w:val="28"/>
          <w:szCs w:val="28"/>
          <w:highlight w:val="none"/>
        </w:rPr>
        <w:br w:type="page"/>
      </w:r>
    </w:p>
    <w:p w14:paraId="7BAB9E02">
      <w:pPr>
        <w:rPr>
          <w:rFonts w:hint="eastAsia" w:ascii="Times New Roman" w:hAnsi="Times New Roman" w:cs="Times New Roman"/>
          <w:b/>
          <w:color w:val="auto"/>
          <w:sz w:val="28"/>
          <w:szCs w:val="28"/>
          <w:highlight w:val="none"/>
          <w:lang w:val="en-US" w:eastAsia="zh-CN"/>
        </w:rPr>
      </w:pPr>
      <w:bookmarkStart w:id="297" w:name="_Toc347849251"/>
      <w:bookmarkStart w:id="298" w:name="_Toc383175514"/>
      <w:r>
        <w:rPr>
          <w:rFonts w:hint="eastAsia" w:ascii="Times New Roman" w:hAnsi="Times New Roman" w:cs="Times New Roman"/>
          <w:b/>
          <w:color w:val="auto"/>
          <w:sz w:val="28"/>
          <w:szCs w:val="28"/>
          <w:highlight w:val="none"/>
          <w:lang w:eastAsia="zh-CN"/>
        </w:rPr>
        <w:t>格式</w:t>
      </w:r>
      <w:r>
        <w:rPr>
          <w:rFonts w:hint="eastAsia" w:cs="Times New Roman"/>
          <w:b/>
          <w:color w:val="auto"/>
          <w:sz w:val="28"/>
          <w:szCs w:val="28"/>
          <w:highlight w:val="none"/>
          <w:lang w:val="en-US" w:eastAsia="zh-CN"/>
        </w:rPr>
        <w:t>4</w:t>
      </w:r>
      <w:r>
        <w:rPr>
          <w:rFonts w:hint="eastAsia" w:ascii="Times New Roman" w:hAnsi="Times New Roman" w:cs="Times New Roman"/>
          <w:b/>
          <w:color w:val="auto"/>
          <w:sz w:val="28"/>
          <w:szCs w:val="28"/>
          <w:highlight w:val="none"/>
          <w:lang w:val="en-US" w:eastAsia="zh-CN"/>
        </w:rPr>
        <w:t>：</w:t>
      </w:r>
    </w:p>
    <w:p w14:paraId="6B7BB1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lang w:eastAsia="zh-CN"/>
        </w:rPr>
        <w:t>磋商文件要求或磋商申请人</w:t>
      </w:r>
      <w:r>
        <w:rPr>
          <w:rFonts w:hint="eastAsia" w:ascii="Times New Roman" w:hAnsi="Times New Roman" w:cs="Times New Roman"/>
          <w:b/>
          <w:color w:val="auto"/>
          <w:sz w:val="28"/>
          <w:szCs w:val="28"/>
          <w:highlight w:val="none"/>
        </w:rPr>
        <w:t>认为需要提供的其他资格证明材料（如有）</w:t>
      </w:r>
    </w:p>
    <w:p w14:paraId="426B08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r>
        <w:rPr>
          <w:rFonts w:hint="eastAsia"/>
          <w:color w:val="auto"/>
          <w:highlight w:val="none"/>
        </w:rPr>
        <w:t>（内容格式自拟）</w:t>
      </w:r>
    </w:p>
    <w:p w14:paraId="6671E3DA">
      <w:pPr>
        <w:pStyle w:val="3"/>
        <w:spacing w:before="0"/>
        <w:jc w:val="center"/>
        <w:rPr>
          <w:rFonts w:hint="eastAsia" w:ascii="Times New Roman" w:hAnsi="Times New Roman"/>
          <w:bCs w:val="0"/>
          <w:color w:val="auto"/>
          <w:szCs w:val="28"/>
          <w:highlight w:val="none"/>
          <w:lang w:eastAsia="zh-CN"/>
        </w:rPr>
      </w:pPr>
    </w:p>
    <w:p w14:paraId="3B2B33B5">
      <w:pPr>
        <w:pStyle w:val="3"/>
        <w:spacing w:before="0"/>
        <w:jc w:val="center"/>
        <w:rPr>
          <w:rFonts w:hint="eastAsia" w:ascii="Times New Roman" w:hAnsi="Times New Roman"/>
          <w:bCs w:val="0"/>
          <w:color w:val="auto"/>
          <w:szCs w:val="28"/>
          <w:highlight w:val="none"/>
          <w:lang w:eastAsia="zh-CN"/>
        </w:rPr>
      </w:pPr>
    </w:p>
    <w:p w14:paraId="4309CD11">
      <w:pPr>
        <w:pStyle w:val="3"/>
        <w:spacing w:before="0"/>
        <w:jc w:val="center"/>
        <w:rPr>
          <w:rFonts w:hint="eastAsia" w:ascii="Times New Roman" w:hAnsi="Times New Roman"/>
          <w:bCs w:val="0"/>
          <w:color w:val="auto"/>
          <w:szCs w:val="28"/>
          <w:highlight w:val="none"/>
          <w:lang w:eastAsia="zh-CN"/>
        </w:rPr>
      </w:pPr>
    </w:p>
    <w:p w14:paraId="57480E8A">
      <w:pPr>
        <w:pStyle w:val="3"/>
        <w:spacing w:before="0"/>
        <w:jc w:val="both"/>
        <w:rPr>
          <w:rFonts w:hint="eastAsia" w:ascii="Times New Roman" w:hAnsi="Times New Roman"/>
          <w:bCs w:val="0"/>
          <w:color w:val="auto"/>
          <w:szCs w:val="28"/>
          <w:highlight w:val="none"/>
          <w:lang w:eastAsia="zh-CN"/>
        </w:rPr>
      </w:pPr>
    </w:p>
    <w:p w14:paraId="5FEAA4B1">
      <w:pPr>
        <w:pStyle w:val="3"/>
        <w:spacing w:before="0"/>
        <w:jc w:val="both"/>
        <w:rPr>
          <w:rFonts w:hint="eastAsia" w:ascii="Times New Roman" w:hAnsi="Times New Roman"/>
          <w:bCs w:val="0"/>
          <w:color w:val="auto"/>
          <w:szCs w:val="28"/>
          <w:highlight w:val="none"/>
          <w:lang w:eastAsia="zh-CN"/>
        </w:rPr>
      </w:pPr>
    </w:p>
    <w:p w14:paraId="6020650E">
      <w:pPr>
        <w:pStyle w:val="3"/>
        <w:spacing w:before="0"/>
        <w:jc w:val="both"/>
        <w:rPr>
          <w:rFonts w:hint="eastAsia" w:ascii="Times New Roman" w:hAnsi="Times New Roman"/>
          <w:bCs w:val="0"/>
          <w:color w:val="auto"/>
          <w:szCs w:val="28"/>
          <w:highlight w:val="none"/>
          <w:lang w:eastAsia="zh-CN"/>
        </w:rPr>
      </w:pPr>
    </w:p>
    <w:p w14:paraId="1020FF64">
      <w:pPr>
        <w:pStyle w:val="3"/>
        <w:spacing w:before="0"/>
        <w:jc w:val="both"/>
        <w:rPr>
          <w:rFonts w:hint="eastAsia" w:ascii="Times New Roman" w:hAnsi="Times New Roman"/>
          <w:bCs w:val="0"/>
          <w:color w:val="auto"/>
          <w:szCs w:val="28"/>
          <w:highlight w:val="none"/>
          <w:lang w:eastAsia="zh-CN"/>
        </w:rPr>
      </w:pPr>
    </w:p>
    <w:p w14:paraId="3490C810">
      <w:pPr>
        <w:pStyle w:val="3"/>
        <w:spacing w:before="0"/>
        <w:jc w:val="both"/>
        <w:rPr>
          <w:rFonts w:hint="eastAsia" w:ascii="Times New Roman" w:hAnsi="Times New Roman"/>
          <w:bCs w:val="0"/>
          <w:color w:val="auto"/>
          <w:szCs w:val="28"/>
          <w:highlight w:val="none"/>
          <w:lang w:eastAsia="zh-CN"/>
        </w:rPr>
      </w:pPr>
    </w:p>
    <w:p w14:paraId="1AF21D89">
      <w:pPr>
        <w:pStyle w:val="3"/>
        <w:spacing w:before="0"/>
        <w:jc w:val="both"/>
        <w:rPr>
          <w:rFonts w:hint="eastAsia" w:ascii="Times New Roman" w:hAnsi="Times New Roman"/>
          <w:bCs w:val="0"/>
          <w:color w:val="auto"/>
          <w:szCs w:val="28"/>
          <w:highlight w:val="none"/>
          <w:lang w:eastAsia="zh-CN"/>
        </w:rPr>
      </w:pPr>
    </w:p>
    <w:p w14:paraId="66754D33">
      <w:pPr>
        <w:pStyle w:val="3"/>
        <w:spacing w:before="0"/>
        <w:jc w:val="both"/>
        <w:rPr>
          <w:rFonts w:hint="eastAsia" w:ascii="Times New Roman" w:hAnsi="Times New Roman"/>
          <w:bCs w:val="0"/>
          <w:color w:val="auto"/>
          <w:szCs w:val="28"/>
          <w:highlight w:val="none"/>
          <w:lang w:eastAsia="zh-CN"/>
        </w:rPr>
      </w:pPr>
    </w:p>
    <w:p w14:paraId="497929F5">
      <w:pPr>
        <w:pStyle w:val="3"/>
        <w:spacing w:before="0"/>
        <w:jc w:val="both"/>
        <w:rPr>
          <w:rFonts w:hint="eastAsia" w:ascii="Times New Roman" w:hAnsi="Times New Roman"/>
          <w:bCs w:val="0"/>
          <w:color w:val="auto"/>
          <w:szCs w:val="28"/>
          <w:highlight w:val="none"/>
          <w:lang w:eastAsia="zh-CN"/>
        </w:rPr>
      </w:pPr>
    </w:p>
    <w:p w14:paraId="7FDF827B">
      <w:pPr>
        <w:pStyle w:val="3"/>
        <w:spacing w:before="0"/>
        <w:jc w:val="both"/>
        <w:rPr>
          <w:rFonts w:hint="eastAsia" w:ascii="Times New Roman" w:hAnsi="Times New Roman"/>
          <w:bCs w:val="0"/>
          <w:color w:val="auto"/>
          <w:szCs w:val="28"/>
          <w:highlight w:val="none"/>
          <w:lang w:eastAsia="zh-CN"/>
        </w:rPr>
      </w:pPr>
    </w:p>
    <w:p w14:paraId="412848A3">
      <w:pPr>
        <w:pStyle w:val="3"/>
        <w:spacing w:before="0"/>
        <w:jc w:val="both"/>
        <w:rPr>
          <w:rFonts w:hint="eastAsia" w:ascii="Times New Roman" w:hAnsi="Times New Roman"/>
          <w:bCs w:val="0"/>
          <w:color w:val="auto"/>
          <w:szCs w:val="28"/>
          <w:highlight w:val="none"/>
          <w:lang w:eastAsia="zh-CN"/>
        </w:rPr>
      </w:pPr>
    </w:p>
    <w:p w14:paraId="4082F13D">
      <w:pPr>
        <w:pStyle w:val="3"/>
        <w:spacing w:before="0"/>
        <w:jc w:val="both"/>
        <w:rPr>
          <w:rFonts w:hint="eastAsia" w:ascii="Times New Roman" w:hAnsi="Times New Roman"/>
          <w:bCs w:val="0"/>
          <w:color w:val="auto"/>
          <w:szCs w:val="28"/>
          <w:highlight w:val="none"/>
          <w:lang w:eastAsia="zh-CN"/>
        </w:rPr>
      </w:pPr>
    </w:p>
    <w:p w14:paraId="7A29C0F5">
      <w:pPr>
        <w:rPr>
          <w:rFonts w:hint="eastAsia"/>
          <w:color w:val="auto"/>
          <w:highlight w:val="none"/>
          <w:lang w:eastAsia="zh-CN"/>
        </w:rPr>
      </w:pPr>
    </w:p>
    <w:p w14:paraId="2E63322E">
      <w:pPr>
        <w:pStyle w:val="3"/>
        <w:spacing w:before="0"/>
        <w:ind w:firstLine="320" w:firstLineChars="100"/>
        <w:jc w:val="center"/>
        <w:rPr>
          <w:rFonts w:hint="eastAsia" w:ascii="Times New Roman" w:hAnsi="Times New Roman" w:eastAsia="宋体"/>
          <w:bCs w:val="0"/>
          <w:color w:val="auto"/>
          <w:szCs w:val="28"/>
          <w:highlight w:val="none"/>
          <w:lang w:eastAsia="zh-CN"/>
        </w:rPr>
      </w:pPr>
      <w:r>
        <w:rPr>
          <w:rFonts w:hint="eastAsia" w:ascii="Times New Roman" w:hAnsi="Times New Roman"/>
          <w:bCs w:val="0"/>
          <w:color w:val="auto"/>
          <w:szCs w:val="28"/>
          <w:highlight w:val="none"/>
          <w:lang w:eastAsia="zh-CN"/>
        </w:rPr>
        <w:t>二、报价文件</w:t>
      </w:r>
    </w:p>
    <w:bookmarkEnd w:id="297"/>
    <w:bookmarkEnd w:id="298"/>
    <w:p w14:paraId="351363F2">
      <w:pPr>
        <w:pStyle w:val="3"/>
        <w:jc w:val="both"/>
        <w:rPr>
          <w:rFonts w:hint="eastAsia" w:ascii="Times New Roman" w:hAnsi="Times New Roman"/>
          <w:bCs w:val="0"/>
          <w:color w:val="auto"/>
          <w:szCs w:val="28"/>
          <w:highlight w:val="none"/>
        </w:rPr>
      </w:pPr>
      <w:bookmarkStart w:id="299" w:name="_Toc383175516"/>
      <w:bookmarkStart w:id="300" w:name="_Toc347849253"/>
      <w:bookmarkStart w:id="301" w:name="_Toc346496609"/>
      <w:bookmarkStart w:id="302" w:name="_Toc232509438"/>
      <w:bookmarkStart w:id="303" w:name="_Toc267641379"/>
      <w:bookmarkStart w:id="304" w:name="_Toc327344860"/>
      <w:r>
        <w:rPr>
          <w:rFonts w:hint="eastAsia" w:ascii="Times New Roman" w:hAnsi="Times New Roman"/>
          <w:bCs w:val="0"/>
          <w:color w:val="auto"/>
          <w:szCs w:val="28"/>
          <w:highlight w:val="none"/>
        </w:rPr>
        <w:t>格式</w:t>
      </w:r>
      <w:bookmarkEnd w:id="299"/>
      <w:bookmarkEnd w:id="300"/>
      <w:r>
        <w:rPr>
          <w:rFonts w:hint="eastAsia" w:ascii="Times New Roman" w:hAnsi="Times New Roman"/>
          <w:bCs w:val="0"/>
          <w:color w:val="auto"/>
          <w:szCs w:val="28"/>
          <w:highlight w:val="none"/>
          <w:lang w:val="en-US" w:eastAsia="zh-CN"/>
        </w:rPr>
        <w:t>1</w:t>
      </w:r>
      <w:r>
        <w:rPr>
          <w:rFonts w:hint="eastAsia" w:ascii="Times New Roman" w:hAnsi="Times New Roman"/>
          <w:bCs w:val="0"/>
          <w:color w:val="auto"/>
          <w:szCs w:val="28"/>
          <w:highlight w:val="none"/>
        </w:rPr>
        <w:t>：</w:t>
      </w:r>
      <w:bookmarkStart w:id="305" w:name="_Toc347849254"/>
      <w:bookmarkStart w:id="306" w:name="_Toc383175517"/>
    </w:p>
    <w:p w14:paraId="25078BD6">
      <w:pPr>
        <w:pStyle w:val="3"/>
        <w:jc w:val="center"/>
        <w:rPr>
          <w:color w:val="auto"/>
          <w:highlight w:val="none"/>
        </w:rPr>
      </w:pPr>
      <w:r>
        <w:rPr>
          <w:rFonts w:hint="eastAsia"/>
          <w:color w:val="auto"/>
          <w:highlight w:val="none"/>
        </w:rPr>
        <w:t>报价一览表</w:t>
      </w:r>
      <w:bookmarkEnd w:id="301"/>
      <w:bookmarkEnd w:id="305"/>
      <w:bookmarkEnd w:id="306"/>
    </w:p>
    <w:p w14:paraId="478CDF67">
      <w:pPr>
        <w:rPr>
          <w:color w:val="auto"/>
          <w:highlight w:val="none"/>
        </w:rPr>
      </w:pPr>
    </w:p>
    <w:p w14:paraId="21F3B9CC">
      <w:pPr>
        <w:pStyle w:val="27"/>
        <w:rPr>
          <w:color w:val="auto"/>
          <w:highlight w:val="none"/>
        </w:rPr>
      </w:pPr>
      <w:r>
        <w:rPr>
          <w:rFonts w:hint="eastAsia"/>
          <w:b/>
          <w:color w:val="auto"/>
          <w:highlight w:val="none"/>
        </w:rPr>
        <w:t>项目名称：</w:t>
      </w:r>
      <w:r>
        <w:rPr>
          <w:b/>
          <w:color w:val="auto"/>
          <w:highlight w:val="none"/>
          <w:u w:val="single"/>
        </w:rPr>
        <w:t xml:space="preserve">                   </w:t>
      </w:r>
      <w:r>
        <w:rPr>
          <w:b/>
          <w:color w:val="auto"/>
          <w:highlight w:val="none"/>
        </w:rPr>
        <w:t xml:space="preserve">                   </w:t>
      </w:r>
      <w:r>
        <w:rPr>
          <w:rFonts w:hint="eastAsia"/>
          <w:b/>
          <w:color w:val="auto"/>
          <w:highlight w:val="none"/>
        </w:rPr>
        <w:t xml:space="preserve">    采购编号：</w:t>
      </w:r>
      <w:r>
        <w:rPr>
          <w:b/>
          <w:color w:val="auto"/>
          <w:highlight w:val="none"/>
          <w:u w:val="single"/>
        </w:rPr>
        <w:t xml:space="preserve">              </w:t>
      </w:r>
      <w:bookmarkEnd w:id="302"/>
      <w:bookmarkEnd w:id="303"/>
      <w:bookmarkEnd w:id="304"/>
      <w:bookmarkStart w:id="307" w:name="_Toc347849257"/>
      <w:bookmarkStart w:id="308" w:name="_Toc383175519"/>
    </w:p>
    <w:tbl>
      <w:tblPr>
        <w:tblStyle w:val="51"/>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6"/>
        <w:gridCol w:w="2262"/>
        <w:gridCol w:w="2675"/>
        <w:gridCol w:w="1781"/>
        <w:gridCol w:w="957"/>
      </w:tblGrid>
      <w:tr w14:paraId="63FA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2326" w:type="dxa"/>
            <w:vAlign w:val="center"/>
          </w:tcPr>
          <w:p w14:paraId="76FAA5A6">
            <w:pPr>
              <w:jc w:val="center"/>
              <w:rPr>
                <w:rFonts w:ascii="宋体" w:hAnsi="宋体" w:cs="宋体-18030"/>
                <w:color w:val="auto"/>
                <w:szCs w:val="21"/>
                <w:highlight w:val="none"/>
              </w:rPr>
            </w:pPr>
            <w:r>
              <w:rPr>
                <w:rFonts w:hint="eastAsia" w:ascii="宋体" w:hAnsi="宋体" w:cs="宋体-18030"/>
                <w:color w:val="auto"/>
                <w:szCs w:val="21"/>
                <w:highlight w:val="none"/>
              </w:rPr>
              <w:t>磋商总价报价</w:t>
            </w:r>
          </w:p>
          <w:p w14:paraId="129FD2A5">
            <w:pPr>
              <w:jc w:val="center"/>
              <w:rPr>
                <w:rFonts w:ascii="宋体" w:hAnsi="宋体" w:cs="宋体-18030"/>
                <w:color w:val="auto"/>
                <w:szCs w:val="21"/>
                <w:highlight w:val="none"/>
              </w:rPr>
            </w:pPr>
            <w:r>
              <w:rPr>
                <w:rFonts w:hint="eastAsia" w:ascii="宋体" w:hAnsi="宋体" w:cs="宋体-18030"/>
                <w:color w:val="auto"/>
                <w:szCs w:val="21"/>
                <w:highlight w:val="none"/>
              </w:rPr>
              <w:t>（人民币：元）</w:t>
            </w:r>
          </w:p>
        </w:tc>
        <w:tc>
          <w:tcPr>
            <w:tcW w:w="2262" w:type="dxa"/>
            <w:vAlign w:val="center"/>
          </w:tcPr>
          <w:p w14:paraId="673F36F5">
            <w:pPr>
              <w:spacing w:line="360" w:lineRule="auto"/>
              <w:jc w:val="center"/>
              <w:rPr>
                <w:rFonts w:ascii="宋体" w:cs="宋体-18030"/>
                <w:color w:val="auto"/>
                <w:szCs w:val="21"/>
                <w:highlight w:val="none"/>
              </w:rPr>
            </w:pPr>
            <w:r>
              <w:rPr>
                <w:rFonts w:hint="eastAsia" w:ascii="宋体" w:cs="宋体-18030"/>
                <w:color w:val="auto"/>
                <w:szCs w:val="21"/>
                <w:highlight w:val="none"/>
              </w:rPr>
              <w:t>合同履行期限（项目完成期限）</w:t>
            </w:r>
          </w:p>
        </w:tc>
        <w:tc>
          <w:tcPr>
            <w:tcW w:w="2675" w:type="dxa"/>
            <w:vAlign w:val="center"/>
          </w:tcPr>
          <w:p w14:paraId="0EC3AB5C">
            <w:pPr>
              <w:spacing w:line="360" w:lineRule="auto"/>
              <w:jc w:val="center"/>
              <w:rPr>
                <w:rFonts w:ascii="宋体" w:cs="宋体-18030"/>
                <w:color w:val="auto"/>
                <w:szCs w:val="21"/>
                <w:highlight w:val="none"/>
              </w:rPr>
            </w:pPr>
            <w:r>
              <w:rPr>
                <w:rFonts w:hint="eastAsia" w:ascii="宋体" w:cs="宋体-18030"/>
                <w:color w:val="auto"/>
                <w:szCs w:val="21"/>
                <w:highlight w:val="none"/>
              </w:rPr>
              <w:t>项目经理</w:t>
            </w:r>
          </w:p>
        </w:tc>
        <w:tc>
          <w:tcPr>
            <w:tcW w:w="1781" w:type="dxa"/>
            <w:vAlign w:val="center"/>
          </w:tcPr>
          <w:p w14:paraId="05221934">
            <w:pPr>
              <w:spacing w:line="360" w:lineRule="auto"/>
              <w:jc w:val="center"/>
              <w:rPr>
                <w:rFonts w:hint="eastAsia" w:ascii="宋体" w:cs="宋体-18030"/>
                <w:color w:val="auto"/>
                <w:szCs w:val="21"/>
                <w:highlight w:val="none"/>
              </w:rPr>
            </w:pPr>
          </w:p>
          <w:p w14:paraId="35E7153B">
            <w:pPr>
              <w:spacing w:line="360" w:lineRule="auto"/>
              <w:jc w:val="center"/>
              <w:rPr>
                <w:rFonts w:ascii="宋体" w:cs="宋体-18030"/>
                <w:color w:val="auto"/>
                <w:szCs w:val="21"/>
                <w:highlight w:val="none"/>
              </w:rPr>
            </w:pPr>
            <w:r>
              <w:rPr>
                <w:rFonts w:hint="eastAsia" w:ascii="宋体" w:cs="宋体-18030"/>
                <w:color w:val="auto"/>
                <w:szCs w:val="21"/>
                <w:highlight w:val="none"/>
              </w:rPr>
              <w:t>质量承诺</w:t>
            </w:r>
          </w:p>
          <w:p w14:paraId="6A2A1242">
            <w:pPr>
              <w:spacing w:line="360" w:lineRule="auto"/>
              <w:jc w:val="center"/>
              <w:rPr>
                <w:rFonts w:ascii="宋体" w:cs="宋体-18030"/>
                <w:color w:val="auto"/>
                <w:szCs w:val="21"/>
                <w:highlight w:val="none"/>
              </w:rPr>
            </w:pPr>
          </w:p>
        </w:tc>
        <w:tc>
          <w:tcPr>
            <w:tcW w:w="957" w:type="dxa"/>
            <w:vAlign w:val="center"/>
          </w:tcPr>
          <w:p w14:paraId="6EB3B020">
            <w:pPr>
              <w:spacing w:line="360" w:lineRule="auto"/>
              <w:jc w:val="center"/>
              <w:rPr>
                <w:rFonts w:ascii="宋体" w:cs="宋体-18030"/>
                <w:color w:val="auto"/>
                <w:szCs w:val="21"/>
                <w:highlight w:val="none"/>
              </w:rPr>
            </w:pPr>
            <w:r>
              <w:rPr>
                <w:rFonts w:hint="eastAsia" w:ascii="宋体" w:hAnsi="宋体" w:cs="宋体-18030"/>
                <w:color w:val="auto"/>
                <w:szCs w:val="21"/>
                <w:highlight w:val="none"/>
              </w:rPr>
              <w:t>备</w:t>
            </w:r>
            <w:r>
              <w:rPr>
                <w:rFonts w:ascii="宋体" w:hAnsi="宋体" w:cs="宋体-18030"/>
                <w:color w:val="auto"/>
                <w:szCs w:val="21"/>
                <w:highlight w:val="none"/>
              </w:rPr>
              <w:t xml:space="preserve"> </w:t>
            </w:r>
            <w:r>
              <w:rPr>
                <w:rFonts w:hint="eastAsia" w:ascii="宋体" w:hAnsi="宋体" w:cs="宋体-18030"/>
                <w:color w:val="auto"/>
                <w:szCs w:val="21"/>
                <w:highlight w:val="none"/>
              </w:rPr>
              <w:t>注</w:t>
            </w:r>
          </w:p>
        </w:tc>
      </w:tr>
      <w:tr w14:paraId="0BDC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2326" w:type="dxa"/>
            <w:vAlign w:val="center"/>
          </w:tcPr>
          <w:p w14:paraId="69DC78FA">
            <w:pPr>
              <w:widowControl/>
              <w:rPr>
                <w:rFonts w:ascii="宋体"/>
                <w:color w:val="auto"/>
                <w:szCs w:val="21"/>
                <w:highlight w:val="none"/>
                <w:u w:val="single"/>
              </w:rPr>
            </w:pPr>
          </w:p>
        </w:tc>
        <w:tc>
          <w:tcPr>
            <w:tcW w:w="2262" w:type="dxa"/>
            <w:vAlign w:val="center"/>
          </w:tcPr>
          <w:p w14:paraId="4E835F0D">
            <w:pPr>
              <w:spacing w:line="360" w:lineRule="auto"/>
              <w:rPr>
                <w:rFonts w:ascii="宋体" w:cs="宋体-18030"/>
                <w:color w:val="auto"/>
                <w:szCs w:val="21"/>
                <w:highlight w:val="none"/>
              </w:rPr>
            </w:pPr>
          </w:p>
        </w:tc>
        <w:tc>
          <w:tcPr>
            <w:tcW w:w="2675" w:type="dxa"/>
            <w:vAlign w:val="center"/>
          </w:tcPr>
          <w:p w14:paraId="7FCBFB3F">
            <w:pPr>
              <w:spacing w:line="360" w:lineRule="auto"/>
              <w:rPr>
                <w:rFonts w:ascii="宋体" w:cs="宋体-18030"/>
                <w:color w:val="auto"/>
                <w:szCs w:val="21"/>
                <w:highlight w:val="none"/>
              </w:rPr>
            </w:pPr>
            <w:r>
              <w:rPr>
                <w:rFonts w:hint="eastAsia" w:ascii="宋体" w:cs="宋体-18030"/>
                <w:color w:val="auto"/>
                <w:szCs w:val="21"/>
                <w:highlight w:val="none"/>
              </w:rPr>
              <w:t>姓名：</w:t>
            </w:r>
          </w:p>
          <w:p w14:paraId="5D35CAB3">
            <w:pPr>
              <w:spacing w:line="360" w:lineRule="auto"/>
              <w:rPr>
                <w:rFonts w:ascii="宋体" w:cs="宋体-18030"/>
                <w:color w:val="auto"/>
                <w:szCs w:val="21"/>
                <w:highlight w:val="none"/>
              </w:rPr>
            </w:pPr>
          </w:p>
          <w:p w14:paraId="46752FC3">
            <w:pPr>
              <w:spacing w:line="360" w:lineRule="auto"/>
              <w:rPr>
                <w:rFonts w:ascii="宋体" w:cs="宋体-18030"/>
                <w:color w:val="auto"/>
                <w:szCs w:val="21"/>
                <w:highlight w:val="none"/>
              </w:rPr>
            </w:pPr>
            <w:r>
              <w:rPr>
                <w:rFonts w:hint="eastAsia" w:ascii="宋体" w:cs="宋体-18030"/>
                <w:color w:val="auto"/>
                <w:szCs w:val="21"/>
                <w:highlight w:val="none"/>
                <w:lang w:eastAsia="zh-CN"/>
              </w:rPr>
              <w:t>注册</w:t>
            </w:r>
            <w:r>
              <w:rPr>
                <w:rFonts w:hint="eastAsia" w:ascii="宋体" w:cs="宋体-18030"/>
                <w:color w:val="auto"/>
                <w:szCs w:val="21"/>
                <w:highlight w:val="none"/>
              </w:rPr>
              <w:t>证书编号：</w:t>
            </w:r>
          </w:p>
        </w:tc>
        <w:tc>
          <w:tcPr>
            <w:tcW w:w="1781" w:type="dxa"/>
            <w:vAlign w:val="center"/>
          </w:tcPr>
          <w:p w14:paraId="0F601BBE">
            <w:pPr>
              <w:spacing w:line="360" w:lineRule="auto"/>
              <w:jc w:val="center"/>
              <w:rPr>
                <w:rFonts w:hint="eastAsia" w:ascii="宋体" w:eastAsia="宋体" w:cs="宋体-18030"/>
                <w:color w:val="auto"/>
                <w:szCs w:val="21"/>
                <w:highlight w:val="none"/>
                <w:lang w:eastAsia="zh-CN"/>
              </w:rPr>
            </w:pPr>
          </w:p>
        </w:tc>
        <w:tc>
          <w:tcPr>
            <w:tcW w:w="957" w:type="dxa"/>
            <w:vAlign w:val="center"/>
          </w:tcPr>
          <w:p w14:paraId="513D18F7">
            <w:pPr>
              <w:spacing w:line="360" w:lineRule="auto"/>
              <w:rPr>
                <w:rFonts w:ascii="宋体" w:cs="宋体-18030"/>
                <w:color w:val="auto"/>
                <w:szCs w:val="21"/>
                <w:highlight w:val="none"/>
              </w:rPr>
            </w:pPr>
          </w:p>
        </w:tc>
      </w:tr>
      <w:tr w14:paraId="2BF7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2D4A1530">
            <w:pPr>
              <w:spacing w:line="360" w:lineRule="auto"/>
              <w:rPr>
                <w:rFonts w:ascii="宋体" w:hAnsi="宋体" w:cs="宋体-18030"/>
                <w:color w:val="auto"/>
                <w:szCs w:val="21"/>
                <w:highlight w:val="none"/>
              </w:rPr>
            </w:pPr>
            <w:r>
              <w:rPr>
                <w:rFonts w:hint="eastAsia" w:ascii="宋体" w:hAnsi="宋体" w:cs="宋体-18030"/>
                <w:color w:val="auto"/>
                <w:szCs w:val="21"/>
                <w:highlight w:val="none"/>
              </w:rPr>
              <w:t>磋商申请人（电子签章）：</w:t>
            </w:r>
            <w:r>
              <w:rPr>
                <w:rFonts w:ascii="宋体" w:hAnsi="宋体" w:cs="宋体-18030"/>
                <w:color w:val="auto"/>
                <w:szCs w:val="21"/>
                <w:highlight w:val="none"/>
              </w:rPr>
              <w:t xml:space="preserve">             </w:t>
            </w:r>
          </w:p>
          <w:p w14:paraId="16D4E87E">
            <w:pPr>
              <w:spacing w:line="360" w:lineRule="auto"/>
              <w:rPr>
                <w:rFonts w:ascii="宋体" w:hAnsi="宋体" w:cs="宋体-18030"/>
                <w:color w:val="auto"/>
                <w:szCs w:val="21"/>
                <w:highlight w:val="none"/>
              </w:rPr>
            </w:pPr>
          </w:p>
          <w:p w14:paraId="3AED08C9">
            <w:pPr>
              <w:spacing w:line="360" w:lineRule="auto"/>
              <w:rPr>
                <w:rFonts w:ascii="宋体" w:cs="宋体-18030"/>
                <w:color w:val="auto"/>
                <w:szCs w:val="21"/>
                <w:highlight w:val="none"/>
              </w:rPr>
            </w:pPr>
            <w:r>
              <w:rPr>
                <w:rFonts w:hint="eastAsia" w:ascii="宋体" w:hAnsi="宋体" w:cs="宋体-18030"/>
                <w:color w:val="auto"/>
                <w:szCs w:val="21"/>
                <w:highlight w:val="none"/>
              </w:rPr>
              <w:t>法定代表人（负责人）或其授权代表（签字或电子签章）：</w:t>
            </w:r>
          </w:p>
          <w:p w14:paraId="54F43685">
            <w:pPr>
              <w:spacing w:line="360" w:lineRule="auto"/>
              <w:rPr>
                <w:rFonts w:ascii="宋体" w:hAnsi="宋体" w:cs="宋体-18030"/>
                <w:color w:val="auto"/>
                <w:szCs w:val="21"/>
                <w:highlight w:val="none"/>
              </w:rPr>
            </w:pPr>
            <w:r>
              <w:rPr>
                <w:rFonts w:ascii="宋体" w:hAnsi="宋体" w:cs="宋体-18030"/>
                <w:color w:val="auto"/>
                <w:szCs w:val="21"/>
                <w:highlight w:val="none"/>
              </w:rPr>
              <w:t xml:space="preserve"> </w:t>
            </w:r>
          </w:p>
          <w:p w14:paraId="155A427D">
            <w:pPr>
              <w:spacing w:line="360" w:lineRule="auto"/>
              <w:rPr>
                <w:rFonts w:ascii="宋体" w:cs="宋体-18030"/>
                <w:color w:val="auto"/>
                <w:szCs w:val="21"/>
                <w:highlight w:val="none"/>
              </w:rPr>
            </w:pPr>
            <w:r>
              <w:rPr>
                <w:rFonts w:hint="eastAsia" w:ascii="宋体" w:hAnsi="宋体" w:cs="宋体-18030"/>
                <w:color w:val="auto"/>
                <w:szCs w:val="21"/>
                <w:highlight w:val="none"/>
              </w:rPr>
              <w:t>日期：</w:t>
            </w:r>
          </w:p>
        </w:tc>
      </w:tr>
    </w:tbl>
    <w:p w14:paraId="1F9353DB">
      <w:pPr>
        <w:rPr>
          <w:color w:val="auto"/>
          <w:highlight w:val="none"/>
        </w:rPr>
        <w:sectPr>
          <w:headerReference r:id="rId8" w:type="first"/>
          <w:footerReference r:id="rId9" w:type="first"/>
          <w:pgSz w:w="11906" w:h="16838"/>
          <w:pgMar w:top="936" w:right="1134" w:bottom="1089" w:left="1134" w:header="567" w:footer="680" w:gutter="0"/>
          <w:pgNumType w:fmt="decimal"/>
          <w:cols w:space="720" w:num="1"/>
          <w:docGrid w:type="linesAndChars" w:linePitch="312" w:charSpace="0"/>
        </w:sectPr>
      </w:pPr>
    </w:p>
    <w:p w14:paraId="3316E507">
      <w:pPr>
        <w:pStyle w:val="3"/>
        <w:ind w:left="10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2</w:t>
      </w:r>
      <w:r>
        <w:rPr>
          <w:rFonts w:ascii="Times New Roman" w:hAnsi="Times New Roman"/>
          <w:bCs w:val="0"/>
          <w:color w:val="auto"/>
          <w:szCs w:val="28"/>
          <w:highlight w:val="none"/>
        </w:rPr>
        <w:t>：</w:t>
      </w:r>
    </w:p>
    <w:p w14:paraId="465ADDBD">
      <w:pPr>
        <w:pStyle w:val="3"/>
        <w:ind w:left="103"/>
        <w:jc w:val="center"/>
        <w:rPr>
          <w:rFonts w:hint="eastAsia" w:ascii="Times New Roman" w:hAnsi="Times New Roman"/>
          <w:bCs w:val="0"/>
          <w:color w:val="auto"/>
          <w:szCs w:val="28"/>
          <w:highlight w:val="none"/>
          <w:lang w:eastAsia="zh-CN"/>
        </w:rPr>
      </w:pPr>
      <w:r>
        <w:rPr>
          <w:rFonts w:hint="eastAsia" w:ascii="Times New Roman" w:hAnsi="Times New Roman"/>
          <w:bCs w:val="0"/>
          <w:color w:val="auto"/>
          <w:szCs w:val="28"/>
          <w:highlight w:val="none"/>
        </w:rPr>
        <w:t>竞争性磋商报价</w:t>
      </w:r>
      <w:r>
        <w:rPr>
          <w:rFonts w:hint="eastAsia" w:ascii="Times New Roman" w:hAnsi="Times New Roman"/>
          <w:bCs w:val="0"/>
          <w:color w:val="auto"/>
          <w:szCs w:val="28"/>
          <w:highlight w:val="none"/>
          <w:lang w:eastAsia="zh-CN"/>
        </w:rPr>
        <w:t>明细表</w:t>
      </w:r>
    </w:p>
    <w:p w14:paraId="18376768">
      <w:pPr>
        <w:spacing w:line="460" w:lineRule="exact"/>
        <w:ind w:firstLine="422" w:firstLineChars="200"/>
        <w:jc w:val="both"/>
        <w:rPr>
          <w:rFonts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lang w:eastAsia="zh-CN"/>
        </w:rPr>
        <w:t>注：此后附</w:t>
      </w:r>
      <w:r>
        <w:rPr>
          <w:rFonts w:ascii="宋体" w:hAnsi="宋体" w:eastAsia="宋体" w:cs="Times New Roman"/>
          <w:b/>
          <w:bCs/>
          <w:color w:val="auto"/>
          <w:sz w:val="21"/>
          <w:szCs w:val="21"/>
          <w:highlight w:val="none"/>
        </w:rPr>
        <w:t>已标价工程量清单</w:t>
      </w:r>
    </w:p>
    <w:p w14:paraId="07CDD87E">
      <w:pPr>
        <w:spacing w:line="460" w:lineRule="exact"/>
        <w:ind w:firstLine="420" w:firstLineChars="200"/>
        <w:rPr>
          <w:rFonts w:ascii="宋体" w:hAnsi="宋体"/>
          <w:color w:val="auto"/>
          <w:sz w:val="21"/>
          <w:szCs w:val="21"/>
          <w:highlight w:val="none"/>
        </w:rPr>
      </w:pPr>
      <w:r>
        <w:rPr>
          <w:rFonts w:ascii="宋体" w:hAnsi="宋体"/>
          <w:color w:val="auto"/>
          <w:sz w:val="21"/>
          <w:szCs w:val="21"/>
          <w:highlight w:val="none"/>
        </w:rPr>
        <w:t>说明：</w:t>
      </w:r>
    </w:p>
    <w:p w14:paraId="5DC88FC7">
      <w:pPr>
        <w:spacing w:line="460" w:lineRule="exact"/>
        <w:ind w:firstLine="420" w:firstLineChars="200"/>
        <w:rPr>
          <w:rFonts w:ascii="宋体" w:hAnsi="宋体"/>
          <w:color w:val="auto"/>
          <w:sz w:val="21"/>
          <w:szCs w:val="21"/>
          <w:highlight w:val="none"/>
        </w:rPr>
      </w:pPr>
      <w:r>
        <w:rPr>
          <w:rFonts w:ascii="宋体" w:hAnsi="宋体"/>
          <w:color w:val="auto"/>
          <w:sz w:val="21"/>
          <w:szCs w:val="21"/>
          <w:highlight w:val="none"/>
        </w:rPr>
        <w:t>1、已标价工程量清单按第五章“工程量清单”中的相关清单表格式填写。构成合同文件的已标价工程量清单包括第五章“工程量清单”有关工程量清单、最终报价以及其他说明的内容。</w:t>
      </w:r>
    </w:p>
    <w:p w14:paraId="4593CE5C">
      <w:pPr>
        <w:spacing w:line="460" w:lineRule="exact"/>
        <w:ind w:firstLine="422" w:firstLineChars="200"/>
        <w:rPr>
          <w:rFonts w:ascii="宋体" w:hAnsi="宋体"/>
          <w:b/>
          <w:color w:val="auto"/>
          <w:sz w:val="21"/>
          <w:szCs w:val="21"/>
          <w:highlight w:val="none"/>
        </w:rPr>
      </w:pPr>
      <w:r>
        <w:rPr>
          <w:rFonts w:ascii="宋体" w:hAnsi="宋体"/>
          <w:b/>
          <w:color w:val="auto"/>
          <w:sz w:val="21"/>
          <w:szCs w:val="21"/>
          <w:highlight w:val="none"/>
        </w:rPr>
        <w:t>2、</w:t>
      </w:r>
      <w:r>
        <w:rPr>
          <w:rFonts w:hint="eastAsia" w:ascii="宋体" w:hAnsi="宋体"/>
          <w:b/>
          <w:bCs/>
          <w:color w:val="auto"/>
          <w:sz w:val="21"/>
          <w:szCs w:val="21"/>
          <w:highlight w:val="none"/>
        </w:rPr>
        <w:t>磋商申请人的已标价工程量清单可以按竞争性磋商文件（包括工程量清单）中提供的格式制作，也可按磋商申请人制作磋商报价预算书时的预算软件制作(除填写固化清单外，必须提供完整的报价预算书)，执行交通运输部 2018 年 12 月 17 日发布的《公路工程建设项目概算预算编制办法》（JTG 3830—2018）；交通运输部部颁《公路工程预算定额》（JTG/T 3832-2018）；交通运输部部颁《公路工程机械台班费用定额》(JTG/T3833—2018)； 《公路工程工程量清单计量规范》 云南省地方标准（DB53/T 2001.1-2014）；《云南省清单模板2014-1.0.0》 ；云南省交通运输厅发布《公路工程建设项目估算概算预算编制办法补充规定》（云交建设[2019]34 号）；交通运输部关于调整《公路工程建设项目投资估算编制办法》（JTG 3820-2018） 和《公路工程建设项目概算预算编制办法》（JTG 3820-2018）中“税 金”有关规定的公告（交通部 2019 年第 26 号公告）；云南省交通运输厅关于印发《云南省公路工程造价监督管理办法》《云南省交通运输工程造价定额管理办法》《云南省公路工程工程量标准清单管理办法》的通知（云交规〔2020〕3号）；依据《财政部税务总局海关总署关于深化增值税改革有关政策公告》（财政部税务总局海关总署公告2019年第39号）等有关规定及国家、省、市有关交通工程工程量清单编制的政府指导性文件，但必须包含竞争性磋商文件中规定的内容，除报价一览表外其它报价格式不作为否决的必要条件。</w:t>
      </w:r>
    </w:p>
    <w:p w14:paraId="52A596A3">
      <w:pPr>
        <w:adjustRightInd w:val="0"/>
        <w:snapToGrid w:val="0"/>
        <w:ind w:firstLine="594" w:firstLineChars="200"/>
        <w:jc w:val="right"/>
        <w:rPr>
          <w:rFonts w:ascii="宋体" w:hAnsi="宋体"/>
          <w:b/>
          <w:color w:val="auto"/>
          <w:spacing w:val="8"/>
          <w:sz w:val="28"/>
          <w:highlight w:val="none"/>
          <w:bdr w:val="single" w:color="auto" w:sz="4" w:space="0"/>
        </w:rPr>
      </w:pPr>
    </w:p>
    <w:p w14:paraId="5AAC56B8">
      <w:pPr>
        <w:adjustRightInd w:val="0"/>
        <w:snapToGrid w:val="0"/>
        <w:ind w:firstLine="594" w:firstLineChars="200"/>
        <w:jc w:val="right"/>
        <w:rPr>
          <w:rFonts w:ascii="宋体" w:hAnsi="宋体"/>
          <w:b/>
          <w:color w:val="auto"/>
          <w:spacing w:val="8"/>
          <w:sz w:val="28"/>
          <w:highlight w:val="none"/>
          <w:bdr w:val="single" w:color="auto" w:sz="4" w:space="0"/>
        </w:rPr>
      </w:pPr>
    </w:p>
    <w:p w14:paraId="2E8DFDAF">
      <w:pPr>
        <w:adjustRightInd w:val="0"/>
        <w:snapToGrid w:val="0"/>
        <w:ind w:firstLine="594" w:firstLineChars="200"/>
        <w:jc w:val="right"/>
        <w:rPr>
          <w:rFonts w:ascii="宋体" w:hAnsi="宋体"/>
          <w:b/>
          <w:color w:val="auto"/>
          <w:spacing w:val="8"/>
          <w:sz w:val="28"/>
          <w:highlight w:val="none"/>
          <w:bdr w:val="single" w:color="auto" w:sz="4" w:space="0"/>
        </w:rPr>
      </w:pPr>
    </w:p>
    <w:p w14:paraId="76085680">
      <w:pPr>
        <w:adjustRightInd w:val="0"/>
        <w:snapToGrid w:val="0"/>
        <w:ind w:firstLine="594" w:firstLineChars="200"/>
        <w:jc w:val="right"/>
        <w:rPr>
          <w:rFonts w:ascii="宋体" w:hAnsi="宋体"/>
          <w:b/>
          <w:color w:val="auto"/>
          <w:spacing w:val="8"/>
          <w:sz w:val="28"/>
          <w:highlight w:val="none"/>
          <w:bdr w:val="single" w:color="auto" w:sz="4" w:space="0"/>
        </w:rPr>
      </w:pPr>
    </w:p>
    <w:p w14:paraId="5BD26CBC">
      <w:pPr>
        <w:adjustRightInd w:val="0"/>
        <w:snapToGrid w:val="0"/>
        <w:ind w:firstLine="594" w:firstLineChars="200"/>
        <w:jc w:val="right"/>
        <w:rPr>
          <w:rFonts w:ascii="宋体" w:hAnsi="宋体"/>
          <w:b/>
          <w:color w:val="auto"/>
          <w:spacing w:val="8"/>
          <w:sz w:val="28"/>
          <w:highlight w:val="none"/>
          <w:bdr w:val="single" w:color="auto" w:sz="4" w:space="0"/>
        </w:rPr>
      </w:pPr>
    </w:p>
    <w:p w14:paraId="3D88AE0B">
      <w:pPr>
        <w:adjustRightInd w:val="0"/>
        <w:snapToGrid w:val="0"/>
        <w:ind w:firstLine="594" w:firstLineChars="200"/>
        <w:jc w:val="right"/>
        <w:rPr>
          <w:rFonts w:ascii="宋体" w:hAnsi="宋体"/>
          <w:b/>
          <w:color w:val="auto"/>
          <w:spacing w:val="8"/>
          <w:sz w:val="28"/>
          <w:highlight w:val="none"/>
          <w:bdr w:val="single" w:color="auto" w:sz="4" w:space="0"/>
        </w:rPr>
      </w:pPr>
    </w:p>
    <w:p w14:paraId="0AAD65CE">
      <w:pPr>
        <w:adjustRightInd w:val="0"/>
        <w:snapToGrid w:val="0"/>
        <w:ind w:firstLine="594" w:firstLineChars="200"/>
        <w:jc w:val="right"/>
        <w:rPr>
          <w:rFonts w:ascii="宋体" w:hAnsi="宋体"/>
          <w:b/>
          <w:color w:val="auto"/>
          <w:spacing w:val="8"/>
          <w:sz w:val="28"/>
          <w:highlight w:val="none"/>
          <w:bdr w:val="single" w:color="auto" w:sz="4" w:space="0"/>
        </w:rPr>
      </w:pPr>
    </w:p>
    <w:p w14:paraId="7D9DB88B">
      <w:pPr>
        <w:adjustRightInd w:val="0"/>
        <w:snapToGrid w:val="0"/>
        <w:ind w:firstLine="594" w:firstLineChars="200"/>
        <w:jc w:val="right"/>
        <w:rPr>
          <w:rFonts w:ascii="宋体" w:hAnsi="宋体"/>
          <w:b/>
          <w:color w:val="auto"/>
          <w:spacing w:val="8"/>
          <w:sz w:val="28"/>
          <w:highlight w:val="none"/>
          <w:bdr w:val="single" w:color="auto" w:sz="4" w:space="0"/>
        </w:rPr>
      </w:pPr>
    </w:p>
    <w:p w14:paraId="70C577B8">
      <w:pPr>
        <w:adjustRightInd w:val="0"/>
        <w:snapToGrid w:val="0"/>
        <w:ind w:firstLine="594" w:firstLineChars="200"/>
        <w:jc w:val="right"/>
        <w:rPr>
          <w:rFonts w:ascii="宋体" w:hAnsi="宋体"/>
          <w:b/>
          <w:color w:val="auto"/>
          <w:spacing w:val="8"/>
          <w:sz w:val="28"/>
          <w:highlight w:val="none"/>
          <w:bdr w:val="single" w:color="auto" w:sz="4" w:space="0"/>
        </w:rPr>
      </w:pPr>
    </w:p>
    <w:p w14:paraId="5E88438D">
      <w:pPr>
        <w:adjustRightInd w:val="0"/>
        <w:snapToGrid w:val="0"/>
        <w:ind w:firstLine="594" w:firstLineChars="200"/>
        <w:jc w:val="right"/>
        <w:rPr>
          <w:rFonts w:ascii="宋体" w:hAnsi="宋体"/>
          <w:b/>
          <w:color w:val="auto"/>
          <w:spacing w:val="8"/>
          <w:sz w:val="28"/>
          <w:highlight w:val="none"/>
          <w:bdr w:val="single" w:color="auto" w:sz="4" w:space="0"/>
        </w:rPr>
      </w:pPr>
    </w:p>
    <w:p w14:paraId="4F6D10F6">
      <w:pPr>
        <w:adjustRightInd w:val="0"/>
        <w:snapToGrid w:val="0"/>
        <w:ind w:firstLine="594" w:firstLineChars="200"/>
        <w:jc w:val="right"/>
        <w:rPr>
          <w:rFonts w:ascii="宋体" w:hAnsi="宋体"/>
          <w:b/>
          <w:color w:val="auto"/>
          <w:spacing w:val="8"/>
          <w:sz w:val="28"/>
          <w:highlight w:val="none"/>
          <w:bdr w:val="single" w:color="auto" w:sz="4" w:space="0"/>
        </w:rPr>
      </w:pPr>
    </w:p>
    <w:p w14:paraId="1F31D412">
      <w:pPr>
        <w:adjustRightInd w:val="0"/>
        <w:snapToGrid w:val="0"/>
        <w:ind w:firstLine="594" w:firstLineChars="200"/>
        <w:jc w:val="right"/>
        <w:rPr>
          <w:rFonts w:ascii="宋体" w:hAnsi="宋体"/>
          <w:b/>
          <w:color w:val="auto"/>
          <w:spacing w:val="8"/>
          <w:sz w:val="28"/>
          <w:highlight w:val="none"/>
          <w:bdr w:val="single" w:color="auto" w:sz="4" w:space="0"/>
        </w:rPr>
      </w:pPr>
    </w:p>
    <w:p w14:paraId="43DAABE4">
      <w:pPr>
        <w:adjustRightInd w:val="0"/>
        <w:snapToGrid w:val="0"/>
        <w:jc w:val="both"/>
        <w:rPr>
          <w:rFonts w:ascii="宋体" w:hAnsi="宋体"/>
          <w:b/>
          <w:color w:val="auto"/>
          <w:spacing w:val="8"/>
          <w:sz w:val="28"/>
          <w:highlight w:val="none"/>
          <w:bdr w:val="single" w:color="auto" w:sz="4" w:space="0"/>
        </w:rPr>
      </w:pPr>
    </w:p>
    <w:p w14:paraId="771ECC0E">
      <w:pPr>
        <w:pStyle w:val="3"/>
        <w:spacing w:before="0"/>
        <w:ind w:firstLine="321" w:firstLineChars="100"/>
        <w:jc w:val="center"/>
        <w:rPr>
          <w:rFonts w:hint="eastAsia" w:ascii="Times New Roman" w:hAnsi="Times New Roman" w:eastAsia="宋体" w:cs="Times New Roman"/>
          <w:bCs w:val="0"/>
          <w:color w:val="auto"/>
          <w:szCs w:val="28"/>
          <w:highlight w:val="none"/>
          <w:lang w:eastAsia="zh-CN"/>
        </w:rPr>
      </w:pPr>
      <w:r>
        <w:rPr>
          <w:rFonts w:hint="eastAsia" w:ascii="Times New Roman" w:hAnsi="Times New Roman" w:eastAsia="宋体" w:cs="Times New Roman"/>
          <w:bCs w:val="0"/>
          <w:color w:val="auto"/>
          <w:szCs w:val="28"/>
          <w:highlight w:val="none"/>
          <w:lang w:eastAsia="zh-CN"/>
        </w:rPr>
        <w:t>三、商务及技术响应文件</w:t>
      </w:r>
    </w:p>
    <w:p w14:paraId="7E44BA44">
      <w:pP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eastAsia="zh-CN"/>
        </w:rPr>
        <w:t>格式</w:t>
      </w:r>
      <w:r>
        <w:rPr>
          <w:rFonts w:hint="eastAsia" w:ascii="Times New Roman" w:hAnsi="Times New Roman" w:cs="Times New Roman"/>
          <w:b/>
          <w:color w:val="auto"/>
          <w:sz w:val="28"/>
          <w:szCs w:val="28"/>
          <w:highlight w:val="none"/>
          <w:lang w:val="en-US" w:eastAsia="zh-CN"/>
        </w:rPr>
        <w:t>1</w:t>
      </w:r>
      <w:r>
        <w:rPr>
          <w:rFonts w:hint="eastAsia" w:ascii="Times New Roman" w:hAnsi="Times New Roman" w:eastAsia="宋体" w:cs="Times New Roman"/>
          <w:b/>
          <w:color w:val="auto"/>
          <w:sz w:val="28"/>
          <w:szCs w:val="28"/>
          <w:highlight w:val="none"/>
          <w:lang w:val="en-US" w:eastAsia="zh-CN"/>
        </w:rPr>
        <w:t>：</w:t>
      </w:r>
    </w:p>
    <w:p w14:paraId="7ED60C9F">
      <w:pPr>
        <w:jc w:val="cente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磋商申请人基本信息表（请磋商申请人如实填写本表信息）</w:t>
      </w:r>
    </w:p>
    <w:tbl>
      <w:tblPr>
        <w:tblStyle w:val="51"/>
        <w:tblW w:w="97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99"/>
        <w:gridCol w:w="1284"/>
        <w:gridCol w:w="209"/>
        <w:gridCol w:w="1188"/>
        <w:gridCol w:w="311"/>
        <w:gridCol w:w="1282"/>
        <w:gridCol w:w="756"/>
        <w:gridCol w:w="553"/>
        <w:gridCol w:w="651"/>
        <w:gridCol w:w="419"/>
        <w:gridCol w:w="1066"/>
      </w:tblGrid>
      <w:tr w14:paraId="12E2E0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CABDBF0">
            <w:pPr>
              <w:spacing w:line="360" w:lineRule="auto"/>
              <w:rPr>
                <w:color w:val="auto"/>
                <w:szCs w:val="21"/>
                <w:highlight w:val="none"/>
              </w:rPr>
            </w:pPr>
            <w:r>
              <w:rPr>
                <w:rFonts w:hint="eastAsia"/>
                <w:color w:val="auto"/>
                <w:szCs w:val="21"/>
                <w:highlight w:val="none"/>
              </w:rPr>
              <w:t>磋商申请人全称</w:t>
            </w:r>
          </w:p>
        </w:tc>
        <w:tc>
          <w:tcPr>
            <w:tcW w:w="7719" w:type="dxa"/>
            <w:gridSpan w:val="10"/>
            <w:tcBorders>
              <w:top w:val="single" w:color="auto" w:sz="4" w:space="0"/>
              <w:left w:val="single" w:color="auto" w:sz="4" w:space="0"/>
              <w:bottom w:val="single" w:color="auto" w:sz="4" w:space="0"/>
            </w:tcBorders>
            <w:vAlign w:val="center"/>
          </w:tcPr>
          <w:p w14:paraId="11943303">
            <w:pPr>
              <w:spacing w:line="360" w:lineRule="auto"/>
              <w:ind w:left="410" w:firstLine="480"/>
              <w:rPr>
                <w:color w:val="auto"/>
                <w:szCs w:val="21"/>
                <w:highlight w:val="none"/>
              </w:rPr>
            </w:pPr>
          </w:p>
        </w:tc>
      </w:tr>
      <w:tr w14:paraId="01C5B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08FDC02">
            <w:pPr>
              <w:spacing w:line="360" w:lineRule="auto"/>
              <w:rPr>
                <w:rFonts w:hint="eastAsia" w:eastAsia="宋体"/>
                <w:color w:val="auto"/>
                <w:szCs w:val="21"/>
                <w:highlight w:val="none"/>
                <w:lang w:eastAsia="zh-CN"/>
              </w:rPr>
            </w:pPr>
            <w:r>
              <w:rPr>
                <w:rFonts w:hint="eastAsia"/>
                <w:color w:val="auto"/>
                <w:szCs w:val="21"/>
                <w:highlight w:val="none"/>
                <w:lang w:eastAsia="zh-CN"/>
              </w:rPr>
              <w:t>统一社会信用代码</w:t>
            </w:r>
          </w:p>
        </w:tc>
        <w:tc>
          <w:tcPr>
            <w:tcW w:w="7719" w:type="dxa"/>
            <w:gridSpan w:val="10"/>
            <w:tcBorders>
              <w:top w:val="single" w:color="auto" w:sz="4" w:space="0"/>
              <w:left w:val="single" w:color="auto" w:sz="4" w:space="0"/>
              <w:bottom w:val="single" w:color="auto" w:sz="4" w:space="0"/>
            </w:tcBorders>
            <w:vAlign w:val="center"/>
          </w:tcPr>
          <w:p w14:paraId="4302C9B3">
            <w:pPr>
              <w:spacing w:line="360" w:lineRule="auto"/>
              <w:ind w:left="410" w:firstLine="480"/>
              <w:rPr>
                <w:color w:val="auto"/>
                <w:szCs w:val="21"/>
                <w:highlight w:val="none"/>
              </w:rPr>
            </w:pPr>
          </w:p>
        </w:tc>
      </w:tr>
      <w:tr w14:paraId="72EEAB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0DF7E90">
            <w:pPr>
              <w:spacing w:line="360" w:lineRule="auto"/>
              <w:rPr>
                <w:color w:val="auto"/>
                <w:szCs w:val="21"/>
                <w:highlight w:val="none"/>
              </w:rPr>
            </w:pPr>
            <w:r>
              <w:rPr>
                <w:rFonts w:hint="eastAsia"/>
                <w:color w:val="auto"/>
                <w:szCs w:val="21"/>
                <w:highlight w:val="none"/>
              </w:rPr>
              <w:t>详细地址</w:t>
            </w:r>
          </w:p>
        </w:tc>
        <w:tc>
          <w:tcPr>
            <w:tcW w:w="7719" w:type="dxa"/>
            <w:gridSpan w:val="10"/>
            <w:tcBorders>
              <w:top w:val="single" w:color="auto" w:sz="4" w:space="0"/>
              <w:left w:val="single" w:color="auto" w:sz="4" w:space="0"/>
              <w:bottom w:val="single" w:color="auto" w:sz="4" w:space="0"/>
            </w:tcBorders>
            <w:vAlign w:val="center"/>
          </w:tcPr>
          <w:p w14:paraId="7F1160A7">
            <w:pPr>
              <w:spacing w:line="360" w:lineRule="auto"/>
              <w:ind w:left="410" w:firstLine="480"/>
              <w:rPr>
                <w:color w:val="auto"/>
                <w:szCs w:val="21"/>
                <w:highlight w:val="none"/>
              </w:rPr>
            </w:pPr>
          </w:p>
        </w:tc>
      </w:tr>
      <w:tr w14:paraId="7A652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1C2A9EF6">
            <w:pPr>
              <w:spacing w:line="360" w:lineRule="auto"/>
              <w:rPr>
                <w:color w:val="auto"/>
                <w:szCs w:val="21"/>
                <w:highlight w:val="none"/>
              </w:rPr>
            </w:pPr>
            <w:r>
              <w:rPr>
                <w:rFonts w:hint="eastAsia"/>
                <w:color w:val="auto"/>
                <w:szCs w:val="21"/>
                <w:highlight w:val="none"/>
              </w:rPr>
              <w:t>主管部门</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3696EA7C">
            <w:pPr>
              <w:spacing w:line="360" w:lineRule="auto"/>
              <w:ind w:left="410" w:firstLine="480"/>
              <w:rPr>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7DBE79FE">
            <w:pPr>
              <w:spacing w:line="360" w:lineRule="auto"/>
              <w:rPr>
                <w:color w:val="auto"/>
                <w:szCs w:val="21"/>
                <w:highlight w:val="none"/>
              </w:rPr>
            </w:pPr>
            <w:r>
              <w:rPr>
                <w:rFonts w:hint="eastAsia"/>
                <w:color w:val="auto"/>
                <w:szCs w:val="21"/>
                <w:highlight w:val="none"/>
              </w:rPr>
              <w:t>法定代表人（负责人）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4E68966A">
            <w:pPr>
              <w:spacing w:line="360" w:lineRule="auto"/>
              <w:ind w:left="410" w:firstLine="480"/>
              <w:rPr>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78C569C7">
            <w:pPr>
              <w:spacing w:line="360" w:lineRule="auto"/>
              <w:rPr>
                <w:color w:val="auto"/>
                <w:szCs w:val="21"/>
                <w:highlight w:val="none"/>
              </w:rPr>
            </w:pPr>
            <w:r>
              <w:rPr>
                <w:rFonts w:hint="eastAsia"/>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086A9312">
            <w:pPr>
              <w:spacing w:line="360" w:lineRule="auto"/>
              <w:ind w:left="410" w:firstLine="480"/>
              <w:rPr>
                <w:color w:val="auto"/>
                <w:szCs w:val="21"/>
                <w:highlight w:val="none"/>
              </w:rPr>
            </w:pPr>
          </w:p>
        </w:tc>
      </w:tr>
      <w:tr w14:paraId="56A62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D99289C">
            <w:pPr>
              <w:spacing w:line="360" w:lineRule="auto"/>
              <w:rPr>
                <w:color w:val="auto"/>
                <w:szCs w:val="21"/>
                <w:highlight w:val="none"/>
              </w:rPr>
            </w:pPr>
            <w:r>
              <w:rPr>
                <w:rFonts w:hint="eastAsia"/>
                <w:color w:val="auto"/>
                <w:szCs w:val="21"/>
                <w:highlight w:val="none"/>
              </w:rPr>
              <w:t>行业类型</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5D65BFFB">
            <w:pPr>
              <w:spacing w:line="360" w:lineRule="auto"/>
              <w:ind w:left="410" w:firstLine="480"/>
              <w:rPr>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46D6091D">
            <w:pPr>
              <w:spacing w:line="360" w:lineRule="auto"/>
              <w:rPr>
                <w:color w:val="auto"/>
                <w:szCs w:val="21"/>
                <w:highlight w:val="none"/>
              </w:rPr>
            </w:pPr>
            <w:r>
              <w:rPr>
                <w:rFonts w:hint="eastAsia"/>
                <w:color w:val="auto"/>
                <w:szCs w:val="21"/>
                <w:highlight w:val="none"/>
              </w:rPr>
              <w:t>委托代理人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5707F21F">
            <w:pPr>
              <w:spacing w:line="360" w:lineRule="auto"/>
              <w:ind w:left="410" w:firstLine="480"/>
              <w:rPr>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8B5AC7F">
            <w:pPr>
              <w:spacing w:line="360" w:lineRule="auto"/>
              <w:rPr>
                <w:color w:val="auto"/>
                <w:szCs w:val="21"/>
                <w:highlight w:val="none"/>
              </w:rPr>
            </w:pPr>
            <w:r>
              <w:rPr>
                <w:rFonts w:hint="eastAsia"/>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668EB1B4">
            <w:pPr>
              <w:spacing w:line="360" w:lineRule="auto"/>
              <w:ind w:left="410" w:firstLine="480"/>
              <w:rPr>
                <w:color w:val="auto"/>
                <w:szCs w:val="21"/>
                <w:highlight w:val="none"/>
              </w:rPr>
            </w:pPr>
          </w:p>
        </w:tc>
      </w:tr>
      <w:tr w14:paraId="6FE9C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7728E0D">
            <w:pPr>
              <w:spacing w:line="360" w:lineRule="auto"/>
              <w:rPr>
                <w:color w:val="auto"/>
                <w:szCs w:val="21"/>
                <w:highlight w:val="none"/>
              </w:rPr>
            </w:pPr>
            <w:r>
              <w:rPr>
                <w:rFonts w:hint="eastAsia"/>
                <w:color w:val="auto"/>
                <w:szCs w:val="21"/>
                <w:highlight w:val="none"/>
              </w:rPr>
              <w:t>邮政编码</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4199077C">
            <w:pPr>
              <w:spacing w:line="360" w:lineRule="auto"/>
              <w:ind w:left="410" w:firstLine="480"/>
              <w:rPr>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1B85B3FD">
            <w:pPr>
              <w:spacing w:line="360" w:lineRule="auto"/>
              <w:rPr>
                <w:color w:val="auto"/>
                <w:szCs w:val="21"/>
                <w:highlight w:val="none"/>
              </w:rPr>
            </w:pPr>
            <w:r>
              <w:rPr>
                <w:rFonts w:hint="eastAsia"/>
                <w:color w:val="auto"/>
                <w:szCs w:val="21"/>
                <w:highlight w:val="none"/>
              </w:rPr>
              <w:t>电话</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1E4A7DEC">
            <w:pPr>
              <w:spacing w:line="360" w:lineRule="auto"/>
              <w:ind w:left="410" w:firstLine="480"/>
              <w:rPr>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E339628">
            <w:pPr>
              <w:spacing w:line="360" w:lineRule="auto"/>
              <w:rPr>
                <w:color w:val="auto"/>
                <w:szCs w:val="21"/>
                <w:highlight w:val="none"/>
              </w:rPr>
            </w:pPr>
            <w:r>
              <w:rPr>
                <w:rFonts w:hint="eastAsia"/>
                <w:color w:val="auto"/>
                <w:szCs w:val="21"/>
                <w:highlight w:val="none"/>
              </w:rPr>
              <w:t>传真</w:t>
            </w:r>
          </w:p>
        </w:tc>
        <w:tc>
          <w:tcPr>
            <w:tcW w:w="1066" w:type="dxa"/>
            <w:tcBorders>
              <w:top w:val="single" w:color="auto" w:sz="4" w:space="0"/>
              <w:left w:val="single" w:color="auto" w:sz="4" w:space="0"/>
              <w:bottom w:val="single" w:color="auto" w:sz="4" w:space="0"/>
            </w:tcBorders>
            <w:vAlign w:val="center"/>
          </w:tcPr>
          <w:p w14:paraId="5B0B71E8">
            <w:pPr>
              <w:spacing w:line="360" w:lineRule="auto"/>
              <w:ind w:left="410" w:firstLine="480"/>
              <w:rPr>
                <w:color w:val="auto"/>
                <w:szCs w:val="21"/>
                <w:highlight w:val="none"/>
              </w:rPr>
            </w:pPr>
          </w:p>
        </w:tc>
      </w:tr>
      <w:tr w14:paraId="30885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08C81EFD">
            <w:pPr>
              <w:spacing w:line="360" w:lineRule="auto"/>
              <w:rPr>
                <w:color w:val="auto"/>
                <w:szCs w:val="21"/>
                <w:highlight w:val="none"/>
              </w:rPr>
            </w:pPr>
            <w:r>
              <w:rPr>
                <w:rFonts w:hint="eastAsia"/>
                <w:color w:val="auto"/>
                <w:szCs w:val="21"/>
                <w:highlight w:val="none"/>
              </w:rPr>
              <w:t>单位简历及机构</w:t>
            </w:r>
          </w:p>
        </w:tc>
        <w:tc>
          <w:tcPr>
            <w:tcW w:w="7719" w:type="dxa"/>
            <w:gridSpan w:val="10"/>
            <w:tcBorders>
              <w:top w:val="single" w:color="auto" w:sz="4" w:space="0"/>
              <w:left w:val="single" w:color="auto" w:sz="4" w:space="0"/>
              <w:bottom w:val="single" w:color="auto" w:sz="4" w:space="0"/>
            </w:tcBorders>
            <w:vAlign w:val="center"/>
          </w:tcPr>
          <w:p w14:paraId="7505B1BF">
            <w:pPr>
              <w:spacing w:line="360" w:lineRule="auto"/>
              <w:ind w:left="410" w:firstLine="480"/>
              <w:rPr>
                <w:color w:val="auto"/>
                <w:szCs w:val="21"/>
                <w:highlight w:val="none"/>
              </w:rPr>
            </w:pPr>
          </w:p>
        </w:tc>
      </w:tr>
      <w:tr w14:paraId="06B82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6F1851A6">
            <w:pPr>
              <w:spacing w:line="360" w:lineRule="auto"/>
              <w:rPr>
                <w:color w:val="auto"/>
                <w:szCs w:val="21"/>
                <w:highlight w:val="none"/>
              </w:rPr>
            </w:pPr>
            <w:r>
              <w:rPr>
                <w:rFonts w:hint="eastAsia"/>
                <w:color w:val="auto"/>
                <w:szCs w:val="21"/>
                <w:highlight w:val="none"/>
              </w:rPr>
              <w:t>单位优势及特长</w:t>
            </w:r>
          </w:p>
        </w:tc>
        <w:tc>
          <w:tcPr>
            <w:tcW w:w="7719" w:type="dxa"/>
            <w:gridSpan w:val="10"/>
            <w:tcBorders>
              <w:top w:val="single" w:color="auto" w:sz="4" w:space="0"/>
              <w:left w:val="single" w:color="auto" w:sz="4" w:space="0"/>
              <w:bottom w:val="single" w:color="auto" w:sz="4" w:space="0"/>
            </w:tcBorders>
            <w:vAlign w:val="center"/>
          </w:tcPr>
          <w:p w14:paraId="2BE366E9">
            <w:pPr>
              <w:spacing w:line="360" w:lineRule="auto"/>
              <w:ind w:left="410" w:firstLine="480"/>
              <w:rPr>
                <w:color w:val="auto"/>
                <w:szCs w:val="21"/>
                <w:highlight w:val="none"/>
              </w:rPr>
            </w:pPr>
          </w:p>
        </w:tc>
      </w:tr>
      <w:tr w14:paraId="3117BB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38255DD1">
            <w:pPr>
              <w:spacing w:line="360" w:lineRule="auto"/>
              <w:rPr>
                <w:color w:val="auto"/>
                <w:szCs w:val="21"/>
                <w:highlight w:val="none"/>
              </w:rPr>
            </w:pPr>
            <w:r>
              <w:rPr>
                <w:rFonts w:hint="eastAsia"/>
                <w:color w:val="auto"/>
                <w:szCs w:val="21"/>
                <w:highlight w:val="none"/>
              </w:rPr>
              <w:t>单位概况</w:t>
            </w: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705BE7D">
            <w:pPr>
              <w:spacing w:line="360" w:lineRule="auto"/>
              <w:rPr>
                <w:color w:val="auto"/>
                <w:szCs w:val="21"/>
                <w:highlight w:val="none"/>
              </w:rPr>
            </w:pPr>
            <w:r>
              <w:rPr>
                <w:rFonts w:hint="eastAsia"/>
                <w:color w:val="auto"/>
                <w:szCs w:val="21"/>
                <w:highlight w:val="none"/>
              </w:rPr>
              <w:t>职工总数</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2A6B2BEA">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人</w:t>
            </w:r>
          </w:p>
        </w:tc>
        <w:tc>
          <w:tcPr>
            <w:tcW w:w="3445" w:type="dxa"/>
            <w:gridSpan w:val="5"/>
            <w:tcBorders>
              <w:top w:val="single" w:color="auto" w:sz="4" w:space="0"/>
              <w:left w:val="single" w:color="auto" w:sz="4" w:space="0"/>
              <w:bottom w:val="single" w:color="auto" w:sz="4" w:space="0"/>
            </w:tcBorders>
            <w:vAlign w:val="center"/>
          </w:tcPr>
          <w:p w14:paraId="24EA40C7">
            <w:pPr>
              <w:spacing w:line="360" w:lineRule="auto"/>
              <w:rPr>
                <w:color w:val="auto"/>
                <w:szCs w:val="21"/>
                <w:highlight w:val="none"/>
              </w:rPr>
            </w:pPr>
            <w:r>
              <w:rPr>
                <w:rFonts w:hint="eastAsia"/>
                <w:color w:val="auto"/>
                <w:szCs w:val="21"/>
                <w:highlight w:val="none"/>
              </w:rPr>
              <w:t>服务人员</w:t>
            </w:r>
            <w:r>
              <w:rPr>
                <w:color w:val="auto"/>
                <w:szCs w:val="21"/>
                <w:highlight w:val="none"/>
              </w:rPr>
              <w:t xml:space="preserve">            </w:t>
            </w:r>
            <w:r>
              <w:rPr>
                <w:rFonts w:hint="eastAsia"/>
                <w:color w:val="auto"/>
                <w:szCs w:val="21"/>
                <w:highlight w:val="none"/>
              </w:rPr>
              <w:t>人</w:t>
            </w:r>
          </w:p>
        </w:tc>
      </w:tr>
      <w:tr w14:paraId="2DC433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558FDA4">
            <w:pPr>
              <w:widowControl/>
              <w:spacing w:line="360" w:lineRule="auto"/>
              <w:jc w:val="left"/>
              <w:rPr>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1B3ECCB0">
            <w:pPr>
              <w:widowControl/>
              <w:spacing w:line="360" w:lineRule="auto"/>
              <w:jc w:val="left"/>
              <w:rPr>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48B77FF7">
            <w:pPr>
              <w:widowControl/>
              <w:spacing w:line="360" w:lineRule="auto"/>
              <w:jc w:val="left"/>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2FB800B3">
            <w:pPr>
              <w:spacing w:line="360" w:lineRule="auto"/>
              <w:rPr>
                <w:color w:val="auto"/>
                <w:szCs w:val="21"/>
                <w:highlight w:val="none"/>
              </w:rPr>
            </w:pPr>
            <w:r>
              <w:rPr>
                <w:rFonts w:hint="eastAsia"/>
                <w:color w:val="auto"/>
                <w:szCs w:val="21"/>
                <w:highlight w:val="none"/>
              </w:rPr>
              <w:t>工程技术人员</w:t>
            </w:r>
            <w:r>
              <w:rPr>
                <w:color w:val="auto"/>
                <w:szCs w:val="21"/>
                <w:highlight w:val="none"/>
              </w:rPr>
              <w:t xml:space="preserve">        </w:t>
            </w:r>
            <w:r>
              <w:rPr>
                <w:rFonts w:hint="eastAsia"/>
                <w:color w:val="auto"/>
                <w:szCs w:val="21"/>
                <w:highlight w:val="none"/>
              </w:rPr>
              <w:t>人</w:t>
            </w:r>
          </w:p>
        </w:tc>
      </w:tr>
      <w:tr w14:paraId="0F205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0165FE8C">
            <w:pPr>
              <w:widowControl/>
              <w:spacing w:line="360" w:lineRule="auto"/>
              <w:jc w:val="left"/>
              <w:rPr>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832C799">
            <w:pPr>
              <w:spacing w:line="360" w:lineRule="auto"/>
              <w:rPr>
                <w:color w:val="auto"/>
                <w:szCs w:val="21"/>
                <w:highlight w:val="none"/>
              </w:rPr>
            </w:pPr>
            <w:r>
              <w:rPr>
                <w:rFonts w:hint="eastAsia"/>
                <w:color w:val="auto"/>
                <w:szCs w:val="21"/>
                <w:highlight w:val="none"/>
              </w:rPr>
              <w:t>流动资金</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3729F7E2">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5F34BC55">
            <w:pPr>
              <w:spacing w:line="360" w:lineRule="auto"/>
              <w:rPr>
                <w:color w:val="auto"/>
                <w:szCs w:val="21"/>
                <w:highlight w:val="none"/>
              </w:rPr>
            </w:pPr>
            <w:r>
              <w:rPr>
                <w:rFonts w:hint="eastAsia"/>
                <w:color w:val="auto"/>
                <w:szCs w:val="21"/>
                <w:highlight w:val="none"/>
              </w:rPr>
              <w:t>资金来源</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7687523">
            <w:pPr>
              <w:spacing w:line="360" w:lineRule="auto"/>
              <w:rPr>
                <w:color w:val="auto"/>
                <w:szCs w:val="21"/>
                <w:highlight w:val="none"/>
              </w:rPr>
            </w:pPr>
            <w:r>
              <w:rPr>
                <w:rFonts w:hint="eastAsia"/>
                <w:color w:val="auto"/>
                <w:szCs w:val="21"/>
                <w:highlight w:val="none"/>
              </w:rPr>
              <w:t>自由资金</w:t>
            </w:r>
          </w:p>
        </w:tc>
        <w:tc>
          <w:tcPr>
            <w:tcW w:w="1485" w:type="dxa"/>
            <w:gridSpan w:val="2"/>
            <w:tcBorders>
              <w:top w:val="single" w:color="auto" w:sz="4" w:space="0"/>
              <w:left w:val="single" w:color="auto" w:sz="4" w:space="0"/>
              <w:bottom w:val="single" w:color="auto" w:sz="4" w:space="0"/>
            </w:tcBorders>
            <w:vAlign w:val="center"/>
          </w:tcPr>
          <w:p w14:paraId="3673EF20">
            <w:pPr>
              <w:spacing w:line="360" w:lineRule="auto"/>
              <w:ind w:firstLine="630" w:firstLineChars="300"/>
              <w:rPr>
                <w:color w:val="auto"/>
                <w:szCs w:val="21"/>
                <w:highlight w:val="none"/>
              </w:rPr>
            </w:pPr>
            <w:r>
              <w:rPr>
                <w:rFonts w:hint="eastAsia"/>
                <w:color w:val="auto"/>
                <w:szCs w:val="21"/>
                <w:highlight w:val="none"/>
              </w:rPr>
              <w:t>万元</w:t>
            </w:r>
          </w:p>
        </w:tc>
      </w:tr>
      <w:tr w14:paraId="5A5BA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598DB55">
            <w:pPr>
              <w:widowControl/>
              <w:spacing w:line="360" w:lineRule="auto"/>
              <w:jc w:val="left"/>
              <w:rPr>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74C664BB">
            <w:pPr>
              <w:widowControl/>
              <w:spacing w:line="360" w:lineRule="auto"/>
              <w:jc w:val="left"/>
              <w:rPr>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47B6726C">
            <w:pPr>
              <w:widowControl/>
              <w:spacing w:line="360" w:lineRule="auto"/>
              <w:jc w:val="left"/>
              <w:rPr>
                <w:color w:val="auto"/>
                <w:szCs w:val="21"/>
                <w:highlight w:val="none"/>
              </w:rPr>
            </w:pP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36938260">
            <w:pPr>
              <w:widowControl/>
              <w:spacing w:line="360" w:lineRule="auto"/>
              <w:jc w:val="left"/>
              <w:rPr>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2A92A2A">
            <w:pPr>
              <w:spacing w:line="360" w:lineRule="auto"/>
              <w:rPr>
                <w:color w:val="auto"/>
                <w:szCs w:val="21"/>
                <w:highlight w:val="none"/>
              </w:rPr>
            </w:pPr>
            <w:r>
              <w:rPr>
                <w:rFonts w:hint="eastAsia"/>
                <w:color w:val="auto"/>
                <w:szCs w:val="21"/>
                <w:highlight w:val="none"/>
              </w:rPr>
              <w:t>银行贷款</w:t>
            </w:r>
          </w:p>
        </w:tc>
        <w:tc>
          <w:tcPr>
            <w:tcW w:w="1485" w:type="dxa"/>
            <w:gridSpan w:val="2"/>
            <w:tcBorders>
              <w:top w:val="single" w:color="auto" w:sz="4" w:space="0"/>
              <w:left w:val="single" w:color="auto" w:sz="4" w:space="0"/>
              <w:bottom w:val="single" w:color="auto" w:sz="4" w:space="0"/>
            </w:tcBorders>
            <w:vAlign w:val="center"/>
          </w:tcPr>
          <w:p w14:paraId="0938361E">
            <w:pPr>
              <w:spacing w:line="360" w:lineRule="auto"/>
              <w:ind w:firstLine="630" w:firstLineChars="300"/>
              <w:rPr>
                <w:color w:val="auto"/>
                <w:szCs w:val="21"/>
                <w:highlight w:val="none"/>
              </w:rPr>
            </w:pPr>
            <w:r>
              <w:rPr>
                <w:rFonts w:hint="eastAsia"/>
                <w:color w:val="auto"/>
                <w:szCs w:val="21"/>
                <w:highlight w:val="none"/>
              </w:rPr>
              <w:t>万元</w:t>
            </w:r>
          </w:p>
        </w:tc>
      </w:tr>
      <w:tr w14:paraId="13E2CB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0E27E4A">
            <w:pPr>
              <w:widowControl/>
              <w:spacing w:line="360" w:lineRule="auto"/>
              <w:jc w:val="left"/>
              <w:rPr>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09B1553E">
            <w:pPr>
              <w:spacing w:line="360" w:lineRule="auto"/>
              <w:rPr>
                <w:color w:val="auto"/>
                <w:szCs w:val="21"/>
                <w:highlight w:val="none"/>
              </w:rPr>
            </w:pPr>
            <w:r>
              <w:rPr>
                <w:rFonts w:hint="eastAsia"/>
                <w:color w:val="auto"/>
                <w:szCs w:val="21"/>
                <w:highlight w:val="none"/>
              </w:rPr>
              <w:t>固定资产</w:t>
            </w: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56B4D833">
            <w:pPr>
              <w:spacing w:line="360" w:lineRule="auto"/>
              <w:rPr>
                <w:color w:val="auto"/>
                <w:szCs w:val="21"/>
                <w:highlight w:val="none"/>
              </w:rPr>
            </w:pPr>
            <w:r>
              <w:rPr>
                <w:rFonts w:hint="eastAsia"/>
                <w:color w:val="auto"/>
                <w:szCs w:val="21"/>
                <w:highlight w:val="none"/>
              </w:rPr>
              <w:t>原值</w:t>
            </w:r>
            <w:r>
              <w:rPr>
                <w:color w:val="auto"/>
                <w:szCs w:val="21"/>
                <w:highlight w:val="none"/>
              </w:rPr>
              <w:t xml:space="preserve">           </w:t>
            </w:r>
            <w:r>
              <w:rPr>
                <w:rFonts w:hint="eastAsia"/>
                <w:color w:val="auto"/>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742BA516">
            <w:pPr>
              <w:spacing w:line="360" w:lineRule="auto"/>
              <w:rPr>
                <w:color w:val="auto"/>
                <w:szCs w:val="21"/>
                <w:highlight w:val="none"/>
              </w:rPr>
            </w:pPr>
            <w:r>
              <w:rPr>
                <w:rFonts w:hint="eastAsia"/>
                <w:color w:val="auto"/>
                <w:szCs w:val="21"/>
                <w:highlight w:val="none"/>
              </w:rPr>
              <w:t>资金性质</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592F0F08">
            <w:pPr>
              <w:spacing w:line="360" w:lineRule="auto"/>
              <w:rPr>
                <w:color w:val="auto"/>
                <w:szCs w:val="21"/>
                <w:highlight w:val="none"/>
              </w:rPr>
            </w:pPr>
            <w:r>
              <w:rPr>
                <w:rFonts w:hint="eastAsia"/>
                <w:color w:val="auto"/>
                <w:szCs w:val="21"/>
                <w:highlight w:val="none"/>
              </w:rPr>
              <w:t>生产性</w:t>
            </w:r>
          </w:p>
        </w:tc>
        <w:tc>
          <w:tcPr>
            <w:tcW w:w="1485" w:type="dxa"/>
            <w:gridSpan w:val="2"/>
            <w:tcBorders>
              <w:top w:val="single" w:color="auto" w:sz="4" w:space="0"/>
              <w:left w:val="single" w:color="auto" w:sz="4" w:space="0"/>
              <w:bottom w:val="single" w:color="auto" w:sz="4" w:space="0"/>
            </w:tcBorders>
            <w:vAlign w:val="center"/>
          </w:tcPr>
          <w:p w14:paraId="409FC309">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万元</w:t>
            </w:r>
          </w:p>
        </w:tc>
      </w:tr>
      <w:tr w14:paraId="68FDB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1A9369A4">
            <w:pPr>
              <w:widowControl/>
              <w:spacing w:line="360" w:lineRule="auto"/>
              <w:jc w:val="left"/>
              <w:rPr>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388ABA53">
            <w:pPr>
              <w:widowControl/>
              <w:spacing w:line="360" w:lineRule="auto"/>
              <w:jc w:val="left"/>
              <w:rPr>
                <w:color w:val="auto"/>
                <w:szCs w:val="21"/>
                <w:highlight w:val="none"/>
              </w:rPr>
            </w:pP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7C8FBB3B">
            <w:pPr>
              <w:spacing w:line="360" w:lineRule="auto"/>
              <w:rPr>
                <w:color w:val="auto"/>
                <w:szCs w:val="21"/>
                <w:highlight w:val="none"/>
              </w:rPr>
            </w:pPr>
            <w:r>
              <w:rPr>
                <w:rFonts w:hint="eastAsia"/>
                <w:color w:val="auto"/>
                <w:szCs w:val="21"/>
                <w:highlight w:val="none"/>
              </w:rPr>
              <w:t>净值</w:t>
            </w:r>
            <w:r>
              <w:rPr>
                <w:color w:val="auto"/>
                <w:szCs w:val="21"/>
                <w:highlight w:val="none"/>
              </w:rPr>
              <w:t xml:space="preserve">           </w:t>
            </w:r>
            <w:r>
              <w:rPr>
                <w:rFonts w:hint="eastAsia"/>
                <w:color w:val="auto"/>
                <w:szCs w:val="21"/>
                <w:highlight w:val="none"/>
              </w:rPr>
              <w:t>万元</w:t>
            </w: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393DCB55">
            <w:pPr>
              <w:widowControl/>
              <w:spacing w:line="360" w:lineRule="auto"/>
              <w:jc w:val="left"/>
              <w:rPr>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3DF6C575">
            <w:pPr>
              <w:spacing w:line="360" w:lineRule="auto"/>
              <w:rPr>
                <w:color w:val="auto"/>
                <w:szCs w:val="21"/>
                <w:highlight w:val="none"/>
              </w:rPr>
            </w:pPr>
            <w:r>
              <w:rPr>
                <w:rFonts w:hint="eastAsia"/>
                <w:color w:val="auto"/>
                <w:szCs w:val="21"/>
                <w:highlight w:val="none"/>
              </w:rPr>
              <w:t>非生产性</w:t>
            </w:r>
          </w:p>
        </w:tc>
        <w:tc>
          <w:tcPr>
            <w:tcW w:w="1485" w:type="dxa"/>
            <w:gridSpan w:val="2"/>
            <w:tcBorders>
              <w:top w:val="single" w:color="auto" w:sz="4" w:space="0"/>
              <w:left w:val="single" w:color="auto" w:sz="4" w:space="0"/>
              <w:bottom w:val="single" w:color="auto" w:sz="4" w:space="0"/>
            </w:tcBorders>
            <w:vAlign w:val="center"/>
          </w:tcPr>
          <w:p w14:paraId="2EE7920C">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万元</w:t>
            </w:r>
          </w:p>
        </w:tc>
      </w:tr>
      <w:tr w14:paraId="2254C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right w:val="single" w:color="auto" w:sz="4" w:space="0"/>
            </w:tcBorders>
            <w:vAlign w:val="center"/>
          </w:tcPr>
          <w:p w14:paraId="2D0CB2D3">
            <w:pPr>
              <w:spacing w:line="360" w:lineRule="auto"/>
              <w:jc w:val="center"/>
              <w:rPr>
                <w:color w:val="auto"/>
                <w:szCs w:val="21"/>
                <w:highlight w:val="none"/>
              </w:rPr>
            </w:pPr>
            <w:r>
              <w:rPr>
                <w:rFonts w:hint="eastAsia"/>
                <w:color w:val="auto"/>
                <w:szCs w:val="21"/>
                <w:highlight w:val="none"/>
              </w:rPr>
              <w:t>企业财务状况</w:t>
            </w:r>
          </w:p>
        </w:tc>
        <w:tc>
          <w:tcPr>
            <w:tcW w:w="1284" w:type="dxa"/>
            <w:tcBorders>
              <w:top w:val="single" w:color="auto" w:sz="4" w:space="0"/>
              <w:left w:val="single" w:color="auto" w:sz="4" w:space="0"/>
              <w:bottom w:val="single" w:color="auto" w:sz="4" w:space="0"/>
              <w:right w:val="single" w:color="auto" w:sz="4" w:space="0"/>
            </w:tcBorders>
            <w:vAlign w:val="center"/>
          </w:tcPr>
          <w:p w14:paraId="249E2866">
            <w:pPr>
              <w:spacing w:line="360" w:lineRule="auto"/>
              <w:rPr>
                <w:color w:val="auto"/>
                <w:szCs w:val="21"/>
                <w:highlight w:val="none"/>
              </w:rPr>
            </w:pPr>
            <w:r>
              <w:rPr>
                <w:rFonts w:hint="eastAsia"/>
                <w:color w:val="auto"/>
                <w:szCs w:val="21"/>
                <w:highlight w:val="none"/>
              </w:rPr>
              <w:t>年度</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1347C926">
            <w:pPr>
              <w:spacing w:line="360" w:lineRule="auto"/>
              <w:jc w:val="center"/>
              <w:rPr>
                <w:color w:val="auto"/>
                <w:szCs w:val="21"/>
                <w:highlight w:val="none"/>
              </w:rPr>
            </w:pPr>
            <w:r>
              <w:rPr>
                <w:rFonts w:hint="eastAsia"/>
                <w:color w:val="auto"/>
                <w:szCs w:val="21"/>
                <w:highlight w:val="none"/>
              </w:rPr>
              <w:t>收入总额</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5E0919CC">
            <w:pPr>
              <w:spacing w:line="360" w:lineRule="auto"/>
              <w:jc w:val="center"/>
              <w:rPr>
                <w:color w:val="auto"/>
                <w:szCs w:val="21"/>
                <w:highlight w:val="none"/>
              </w:rPr>
            </w:pPr>
            <w:r>
              <w:rPr>
                <w:rFonts w:hint="eastAsia"/>
                <w:color w:val="auto"/>
                <w:szCs w:val="21"/>
                <w:highlight w:val="none"/>
              </w:rPr>
              <w:t>利润总额</w:t>
            </w:r>
          </w:p>
        </w:tc>
        <w:tc>
          <w:tcPr>
            <w:tcW w:w="1960" w:type="dxa"/>
            <w:gridSpan w:val="3"/>
            <w:tcBorders>
              <w:top w:val="single" w:color="auto" w:sz="4" w:space="0"/>
              <w:left w:val="single" w:color="auto" w:sz="4" w:space="0"/>
              <w:bottom w:val="single" w:color="auto" w:sz="4" w:space="0"/>
              <w:right w:val="single" w:color="auto" w:sz="4" w:space="0"/>
            </w:tcBorders>
            <w:vAlign w:val="center"/>
          </w:tcPr>
          <w:p w14:paraId="26598B88">
            <w:pPr>
              <w:spacing w:line="360" w:lineRule="auto"/>
              <w:jc w:val="center"/>
              <w:rPr>
                <w:color w:val="auto"/>
                <w:szCs w:val="21"/>
                <w:highlight w:val="none"/>
              </w:rPr>
            </w:pPr>
            <w:r>
              <w:rPr>
                <w:rFonts w:hint="eastAsia"/>
                <w:color w:val="auto"/>
                <w:szCs w:val="21"/>
                <w:highlight w:val="none"/>
              </w:rPr>
              <w:t>税后利润</w:t>
            </w:r>
          </w:p>
        </w:tc>
        <w:tc>
          <w:tcPr>
            <w:tcW w:w="1485" w:type="dxa"/>
            <w:gridSpan w:val="2"/>
            <w:tcBorders>
              <w:top w:val="single" w:color="auto" w:sz="4" w:space="0"/>
              <w:left w:val="single" w:color="auto" w:sz="4" w:space="0"/>
              <w:bottom w:val="single" w:color="auto" w:sz="4" w:space="0"/>
            </w:tcBorders>
            <w:vAlign w:val="center"/>
          </w:tcPr>
          <w:p w14:paraId="673F0DE6">
            <w:pPr>
              <w:spacing w:line="360" w:lineRule="auto"/>
              <w:jc w:val="center"/>
              <w:rPr>
                <w:color w:val="auto"/>
                <w:szCs w:val="21"/>
                <w:highlight w:val="none"/>
              </w:rPr>
            </w:pPr>
            <w:r>
              <w:rPr>
                <w:rFonts w:hint="eastAsia"/>
                <w:color w:val="auto"/>
                <w:szCs w:val="21"/>
                <w:highlight w:val="none"/>
              </w:rPr>
              <w:t>负债总额</w:t>
            </w:r>
          </w:p>
        </w:tc>
      </w:tr>
      <w:tr w14:paraId="6D50F8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1999" w:type="dxa"/>
            <w:vMerge w:val="continue"/>
            <w:tcBorders>
              <w:right w:val="single" w:color="auto" w:sz="4" w:space="0"/>
            </w:tcBorders>
            <w:vAlign w:val="center"/>
          </w:tcPr>
          <w:p w14:paraId="13FFA5DF">
            <w:pPr>
              <w:widowControl/>
              <w:spacing w:line="360" w:lineRule="auto"/>
              <w:jc w:val="left"/>
              <w:rPr>
                <w:color w:val="auto"/>
                <w:szCs w:val="21"/>
                <w:highlight w:val="none"/>
              </w:rPr>
            </w:pPr>
          </w:p>
        </w:tc>
        <w:tc>
          <w:tcPr>
            <w:tcW w:w="1284" w:type="dxa"/>
            <w:tcBorders>
              <w:top w:val="single" w:color="auto" w:sz="4" w:space="0"/>
              <w:left w:val="single" w:color="auto" w:sz="4" w:space="0"/>
              <w:right w:val="single" w:color="auto" w:sz="4" w:space="0"/>
            </w:tcBorders>
            <w:vAlign w:val="center"/>
          </w:tcPr>
          <w:p w14:paraId="179F45F0">
            <w:pPr>
              <w:spacing w:line="360" w:lineRule="auto"/>
              <w:rPr>
                <w:color w:val="auto"/>
                <w:szCs w:val="21"/>
                <w:highlight w:val="none"/>
              </w:rPr>
            </w:pPr>
          </w:p>
        </w:tc>
        <w:tc>
          <w:tcPr>
            <w:tcW w:w="1397" w:type="dxa"/>
            <w:gridSpan w:val="2"/>
            <w:tcBorders>
              <w:top w:val="single" w:color="auto" w:sz="4" w:space="0"/>
              <w:left w:val="single" w:color="auto" w:sz="4" w:space="0"/>
              <w:right w:val="single" w:color="auto" w:sz="4" w:space="0"/>
            </w:tcBorders>
            <w:vAlign w:val="center"/>
          </w:tcPr>
          <w:p w14:paraId="60F5E755">
            <w:pPr>
              <w:spacing w:line="360" w:lineRule="auto"/>
              <w:ind w:left="410" w:firstLine="480"/>
              <w:rPr>
                <w:color w:val="auto"/>
                <w:szCs w:val="21"/>
                <w:highlight w:val="none"/>
              </w:rPr>
            </w:pPr>
          </w:p>
        </w:tc>
        <w:tc>
          <w:tcPr>
            <w:tcW w:w="1593" w:type="dxa"/>
            <w:gridSpan w:val="2"/>
            <w:tcBorders>
              <w:top w:val="single" w:color="auto" w:sz="4" w:space="0"/>
              <w:left w:val="single" w:color="auto" w:sz="4" w:space="0"/>
              <w:right w:val="single" w:color="auto" w:sz="4" w:space="0"/>
            </w:tcBorders>
            <w:vAlign w:val="center"/>
          </w:tcPr>
          <w:p w14:paraId="0BD94B22">
            <w:pPr>
              <w:spacing w:line="360" w:lineRule="auto"/>
              <w:ind w:left="410" w:firstLine="480"/>
              <w:rPr>
                <w:color w:val="auto"/>
                <w:szCs w:val="21"/>
                <w:highlight w:val="none"/>
              </w:rPr>
            </w:pPr>
          </w:p>
        </w:tc>
        <w:tc>
          <w:tcPr>
            <w:tcW w:w="1960" w:type="dxa"/>
            <w:gridSpan w:val="3"/>
            <w:tcBorders>
              <w:top w:val="single" w:color="auto" w:sz="4" w:space="0"/>
              <w:left w:val="single" w:color="auto" w:sz="4" w:space="0"/>
              <w:right w:val="single" w:color="auto" w:sz="4" w:space="0"/>
            </w:tcBorders>
            <w:vAlign w:val="center"/>
          </w:tcPr>
          <w:p w14:paraId="45C25532">
            <w:pPr>
              <w:spacing w:line="360" w:lineRule="auto"/>
              <w:ind w:left="410" w:firstLine="480"/>
              <w:rPr>
                <w:color w:val="auto"/>
                <w:szCs w:val="21"/>
                <w:highlight w:val="none"/>
              </w:rPr>
            </w:pPr>
          </w:p>
        </w:tc>
        <w:tc>
          <w:tcPr>
            <w:tcW w:w="1485" w:type="dxa"/>
            <w:gridSpan w:val="2"/>
            <w:tcBorders>
              <w:top w:val="single" w:color="auto" w:sz="4" w:space="0"/>
              <w:left w:val="single" w:color="auto" w:sz="4" w:space="0"/>
            </w:tcBorders>
            <w:vAlign w:val="center"/>
          </w:tcPr>
          <w:p w14:paraId="1D4B68A4">
            <w:pPr>
              <w:spacing w:line="360" w:lineRule="auto"/>
              <w:ind w:left="410" w:firstLine="480"/>
              <w:rPr>
                <w:color w:val="auto"/>
                <w:szCs w:val="21"/>
                <w:highlight w:val="none"/>
              </w:rPr>
            </w:pPr>
          </w:p>
        </w:tc>
      </w:tr>
      <w:tr w14:paraId="18DB6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796173BF">
            <w:pPr>
              <w:spacing w:line="360" w:lineRule="auto"/>
              <w:jc w:val="center"/>
              <w:rPr>
                <w:color w:val="auto"/>
                <w:szCs w:val="21"/>
                <w:highlight w:val="none"/>
              </w:rPr>
            </w:pPr>
            <w:r>
              <w:rPr>
                <w:rFonts w:hint="eastAsia"/>
                <w:color w:val="auto"/>
                <w:szCs w:val="21"/>
                <w:highlight w:val="none"/>
              </w:rPr>
              <w:t>主要业绩情况</w:t>
            </w:r>
          </w:p>
        </w:tc>
        <w:tc>
          <w:tcPr>
            <w:tcW w:w="1284" w:type="dxa"/>
            <w:tcBorders>
              <w:top w:val="single" w:color="auto" w:sz="4" w:space="0"/>
              <w:left w:val="single" w:color="auto" w:sz="4" w:space="0"/>
              <w:bottom w:val="single" w:color="auto" w:sz="4" w:space="0"/>
              <w:right w:val="single" w:color="auto" w:sz="4" w:space="0"/>
            </w:tcBorders>
            <w:vAlign w:val="center"/>
          </w:tcPr>
          <w:p w14:paraId="7C50AE7B">
            <w:pPr>
              <w:spacing w:line="360" w:lineRule="auto"/>
              <w:jc w:val="center"/>
              <w:rPr>
                <w:color w:val="auto"/>
                <w:szCs w:val="21"/>
                <w:highlight w:val="none"/>
              </w:rPr>
            </w:pPr>
            <w:r>
              <w:rPr>
                <w:rFonts w:hint="eastAsia"/>
                <w:color w:val="auto"/>
                <w:szCs w:val="21"/>
                <w:highlight w:val="none"/>
              </w:rPr>
              <w:t>业绩名称</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2701DBB0">
            <w:pPr>
              <w:spacing w:line="360" w:lineRule="auto"/>
              <w:jc w:val="center"/>
              <w:rPr>
                <w:color w:val="auto"/>
                <w:szCs w:val="21"/>
                <w:highlight w:val="none"/>
              </w:rPr>
            </w:pPr>
            <w:r>
              <w:rPr>
                <w:rFonts w:hint="eastAsia"/>
                <w:color w:val="auto"/>
                <w:szCs w:val="21"/>
                <w:highlight w:val="none"/>
              </w:rPr>
              <w:t>起止日期</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18CF2F02">
            <w:pPr>
              <w:spacing w:line="360" w:lineRule="auto"/>
              <w:jc w:val="center"/>
              <w:rPr>
                <w:color w:val="auto"/>
                <w:szCs w:val="21"/>
                <w:highlight w:val="none"/>
              </w:rPr>
            </w:pPr>
            <w:r>
              <w:rPr>
                <w:rFonts w:hint="eastAsia"/>
                <w:color w:val="auto"/>
                <w:szCs w:val="21"/>
                <w:highlight w:val="none"/>
              </w:rPr>
              <w:t>项目状况</w:t>
            </w:r>
          </w:p>
        </w:tc>
        <w:tc>
          <w:tcPr>
            <w:tcW w:w="3445" w:type="dxa"/>
            <w:gridSpan w:val="5"/>
            <w:tcBorders>
              <w:top w:val="single" w:color="auto" w:sz="4" w:space="0"/>
              <w:left w:val="single" w:color="auto" w:sz="4" w:space="0"/>
              <w:bottom w:val="single" w:color="auto" w:sz="4" w:space="0"/>
            </w:tcBorders>
            <w:vAlign w:val="center"/>
          </w:tcPr>
          <w:p w14:paraId="7CBEEF4E">
            <w:pPr>
              <w:spacing w:line="360" w:lineRule="auto"/>
              <w:jc w:val="center"/>
              <w:rPr>
                <w:color w:val="auto"/>
                <w:szCs w:val="21"/>
                <w:highlight w:val="none"/>
              </w:rPr>
            </w:pPr>
            <w:r>
              <w:rPr>
                <w:rFonts w:hint="eastAsia"/>
                <w:color w:val="auto"/>
                <w:szCs w:val="21"/>
                <w:highlight w:val="none"/>
              </w:rPr>
              <w:t>用户名称及联系方式</w:t>
            </w:r>
          </w:p>
        </w:tc>
      </w:tr>
      <w:tr w14:paraId="5EADC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2CDBBFEF">
            <w:pPr>
              <w:widowControl/>
              <w:spacing w:line="360" w:lineRule="auto"/>
              <w:jc w:val="left"/>
              <w:rPr>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CEBC4F6">
            <w:pPr>
              <w:spacing w:line="360" w:lineRule="auto"/>
              <w:ind w:left="410" w:firstLine="480"/>
              <w:rPr>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5381686B">
            <w:pPr>
              <w:spacing w:line="360" w:lineRule="auto"/>
              <w:ind w:left="410" w:firstLine="480"/>
              <w:rPr>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63826349">
            <w:pPr>
              <w:spacing w:line="360" w:lineRule="auto"/>
              <w:ind w:left="410" w:firstLine="480"/>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30BD59C8">
            <w:pPr>
              <w:spacing w:line="360" w:lineRule="auto"/>
              <w:ind w:left="410" w:firstLine="480"/>
              <w:rPr>
                <w:color w:val="auto"/>
                <w:szCs w:val="21"/>
                <w:highlight w:val="none"/>
              </w:rPr>
            </w:pPr>
          </w:p>
        </w:tc>
      </w:tr>
      <w:tr w14:paraId="48CF9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4464913">
            <w:pPr>
              <w:widowControl/>
              <w:spacing w:line="360" w:lineRule="auto"/>
              <w:jc w:val="left"/>
              <w:rPr>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681E2BF4">
            <w:pPr>
              <w:spacing w:line="360" w:lineRule="auto"/>
              <w:ind w:left="410" w:firstLine="480"/>
              <w:rPr>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334F54F">
            <w:pPr>
              <w:spacing w:line="360" w:lineRule="auto"/>
              <w:ind w:left="410" w:firstLine="480"/>
              <w:rPr>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62091806">
            <w:pPr>
              <w:spacing w:line="360" w:lineRule="auto"/>
              <w:ind w:left="410" w:firstLine="480"/>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6B6D43F2">
            <w:pPr>
              <w:spacing w:line="360" w:lineRule="auto"/>
              <w:ind w:left="410" w:firstLine="480"/>
              <w:rPr>
                <w:color w:val="auto"/>
                <w:szCs w:val="21"/>
                <w:highlight w:val="none"/>
              </w:rPr>
            </w:pPr>
          </w:p>
        </w:tc>
      </w:tr>
      <w:tr w14:paraId="0FB0A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54FF9DDA">
            <w:pPr>
              <w:widowControl/>
              <w:spacing w:line="360" w:lineRule="auto"/>
              <w:jc w:val="left"/>
              <w:rPr>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81DE0BD">
            <w:pPr>
              <w:spacing w:line="360" w:lineRule="auto"/>
              <w:ind w:left="410" w:firstLine="480"/>
              <w:rPr>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9B3F747">
            <w:pPr>
              <w:spacing w:line="360" w:lineRule="auto"/>
              <w:ind w:left="410" w:firstLine="480"/>
              <w:rPr>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F8F8489">
            <w:pPr>
              <w:spacing w:line="360" w:lineRule="auto"/>
              <w:ind w:left="410" w:firstLine="480"/>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3E588D6E">
            <w:pPr>
              <w:spacing w:line="360" w:lineRule="auto"/>
              <w:ind w:left="410" w:firstLine="480"/>
              <w:rPr>
                <w:color w:val="auto"/>
                <w:szCs w:val="21"/>
                <w:highlight w:val="none"/>
              </w:rPr>
            </w:pPr>
          </w:p>
        </w:tc>
      </w:tr>
    </w:tbl>
    <w:p w14:paraId="17E5AA72">
      <w:pPr>
        <w:pStyle w:val="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br w:type="page"/>
      </w: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2</w:t>
      </w:r>
      <w:r>
        <w:rPr>
          <w:rFonts w:ascii="Times New Roman" w:hAnsi="Times New Roman"/>
          <w:bCs w:val="0"/>
          <w:color w:val="auto"/>
          <w:szCs w:val="28"/>
          <w:highlight w:val="none"/>
        </w:rPr>
        <w:t>：</w:t>
      </w:r>
    </w:p>
    <w:p w14:paraId="78043545">
      <w:pPr>
        <w:pStyle w:val="3"/>
        <w:jc w:val="center"/>
        <w:rPr>
          <w:color w:val="auto"/>
          <w:highlight w:val="none"/>
        </w:rPr>
      </w:pPr>
      <w:r>
        <w:rPr>
          <w:rFonts w:hint="eastAsia" w:ascii="Times New Roman" w:hAnsi="Times New Roman"/>
          <w:bCs w:val="0"/>
          <w:color w:val="auto"/>
          <w:szCs w:val="28"/>
          <w:highlight w:val="none"/>
        </w:rPr>
        <w:t>项目管理机构配备情况表</w:t>
      </w:r>
    </w:p>
    <w:tbl>
      <w:tblPr>
        <w:tblStyle w:val="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743"/>
        <w:gridCol w:w="743"/>
        <w:gridCol w:w="1336"/>
        <w:gridCol w:w="808"/>
        <w:gridCol w:w="826"/>
        <w:gridCol w:w="892"/>
        <w:gridCol w:w="2229"/>
        <w:gridCol w:w="741"/>
      </w:tblGrid>
      <w:tr w14:paraId="12AF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restart"/>
            <w:vAlign w:val="center"/>
          </w:tcPr>
          <w:p w14:paraId="2FA6DFEE">
            <w:pPr>
              <w:jc w:val="center"/>
              <w:rPr>
                <w:rFonts w:ascii="宋体" w:hAnsi="宋体"/>
                <w:color w:val="auto"/>
                <w:sz w:val="21"/>
                <w:szCs w:val="21"/>
                <w:highlight w:val="none"/>
              </w:rPr>
            </w:pPr>
            <w:r>
              <w:rPr>
                <w:rFonts w:ascii="宋体" w:hAnsi="宋体"/>
                <w:color w:val="auto"/>
                <w:sz w:val="21"/>
                <w:szCs w:val="21"/>
                <w:highlight w:val="none"/>
              </w:rPr>
              <w:t>职务</w:t>
            </w:r>
          </w:p>
        </w:tc>
        <w:tc>
          <w:tcPr>
            <w:tcW w:w="743" w:type="dxa"/>
            <w:vMerge w:val="restart"/>
            <w:vAlign w:val="center"/>
          </w:tcPr>
          <w:p w14:paraId="2B239557">
            <w:pPr>
              <w:jc w:val="center"/>
              <w:rPr>
                <w:rFonts w:ascii="宋体" w:hAnsi="宋体"/>
                <w:color w:val="auto"/>
                <w:sz w:val="21"/>
                <w:szCs w:val="21"/>
                <w:highlight w:val="none"/>
              </w:rPr>
            </w:pPr>
            <w:r>
              <w:rPr>
                <w:rFonts w:ascii="宋体" w:hAnsi="宋体"/>
                <w:color w:val="auto"/>
                <w:sz w:val="21"/>
                <w:szCs w:val="21"/>
                <w:highlight w:val="none"/>
              </w:rPr>
              <w:t>姓名</w:t>
            </w:r>
          </w:p>
        </w:tc>
        <w:tc>
          <w:tcPr>
            <w:tcW w:w="743" w:type="dxa"/>
            <w:vMerge w:val="restart"/>
            <w:vAlign w:val="center"/>
          </w:tcPr>
          <w:p w14:paraId="528C1D9A">
            <w:pPr>
              <w:jc w:val="center"/>
              <w:rPr>
                <w:rFonts w:ascii="宋体" w:hAnsi="宋体"/>
                <w:color w:val="auto"/>
                <w:sz w:val="21"/>
                <w:szCs w:val="21"/>
                <w:highlight w:val="none"/>
              </w:rPr>
            </w:pPr>
            <w:r>
              <w:rPr>
                <w:rFonts w:ascii="宋体" w:hAnsi="宋体"/>
                <w:color w:val="auto"/>
                <w:sz w:val="21"/>
                <w:szCs w:val="21"/>
                <w:highlight w:val="none"/>
              </w:rPr>
              <w:t>职称</w:t>
            </w:r>
          </w:p>
        </w:tc>
        <w:tc>
          <w:tcPr>
            <w:tcW w:w="6091" w:type="dxa"/>
            <w:gridSpan w:val="5"/>
            <w:vAlign w:val="center"/>
          </w:tcPr>
          <w:p w14:paraId="3D4B052B">
            <w:pPr>
              <w:jc w:val="center"/>
              <w:rPr>
                <w:rFonts w:ascii="宋体" w:hAnsi="宋体"/>
                <w:color w:val="auto"/>
                <w:sz w:val="21"/>
                <w:szCs w:val="21"/>
                <w:highlight w:val="none"/>
              </w:rPr>
            </w:pPr>
            <w:r>
              <w:rPr>
                <w:rFonts w:ascii="宋体" w:hAnsi="宋体"/>
                <w:color w:val="auto"/>
                <w:sz w:val="21"/>
                <w:szCs w:val="21"/>
                <w:highlight w:val="none"/>
              </w:rPr>
              <w:t>执业或职业资格证明</w:t>
            </w:r>
          </w:p>
        </w:tc>
        <w:tc>
          <w:tcPr>
            <w:tcW w:w="741" w:type="dxa"/>
            <w:vMerge w:val="restart"/>
            <w:vAlign w:val="center"/>
          </w:tcPr>
          <w:p w14:paraId="721EBC6B">
            <w:pPr>
              <w:jc w:val="center"/>
              <w:rPr>
                <w:rFonts w:ascii="宋体" w:hAnsi="宋体"/>
                <w:color w:val="auto"/>
                <w:sz w:val="21"/>
                <w:szCs w:val="21"/>
                <w:highlight w:val="none"/>
              </w:rPr>
            </w:pPr>
            <w:r>
              <w:rPr>
                <w:rFonts w:ascii="宋体" w:hAnsi="宋体"/>
                <w:color w:val="auto"/>
                <w:sz w:val="21"/>
                <w:szCs w:val="21"/>
                <w:highlight w:val="none"/>
              </w:rPr>
              <w:t>备注</w:t>
            </w:r>
          </w:p>
        </w:tc>
      </w:tr>
      <w:tr w14:paraId="7530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continue"/>
            <w:vAlign w:val="center"/>
          </w:tcPr>
          <w:p w14:paraId="4DB9C516">
            <w:pPr>
              <w:jc w:val="center"/>
              <w:rPr>
                <w:rFonts w:ascii="宋体" w:hAnsi="宋体"/>
                <w:color w:val="auto"/>
                <w:sz w:val="21"/>
                <w:szCs w:val="21"/>
                <w:highlight w:val="none"/>
              </w:rPr>
            </w:pPr>
          </w:p>
        </w:tc>
        <w:tc>
          <w:tcPr>
            <w:tcW w:w="743" w:type="dxa"/>
            <w:vMerge w:val="continue"/>
            <w:vAlign w:val="center"/>
          </w:tcPr>
          <w:p w14:paraId="43EDCAF6">
            <w:pPr>
              <w:jc w:val="center"/>
              <w:rPr>
                <w:rFonts w:ascii="宋体" w:hAnsi="宋体"/>
                <w:color w:val="auto"/>
                <w:sz w:val="21"/>
                <w:szCs w:val="21"/>
                <w:highlight w:val="none"/>
              </w:rPr>
            </w:pPr>
          </w:p>
        </w:tc>
        <w:tc>
          <w:tcPr>
            <w:tcW w:w="743" w:type="dxa"/>
            <w:vMerge w:val="continue"/>
            <w:vAlign w:val="center"/>
          </w:tcPr>
          <w:p w14:paraId="4095E957">
            <w:pPr>
              <w:jc w:val="center"/>
              <w:rPr>
                <w:rFonts w:ascii="宋体" w:hAnsi="宋体"/>
                <w:color w:val="auto"/>
                <w:sz w:val="21"/>
                <w:szCs w:val="21"/>
                <w:highlight w:val="none"/>
              </w:rPr>
            </w:pPr>
          </w:p>
        </w:tc>
        <w:tc>
          <w:tcPr>
            <w:tcW w:w="1336" w:type="dxa"/>
            <w:vAlign w:val="center"/>
          </w:tcPr>
          <w:p w14:paraId="71921625">
            <w:pPr>
              <w:jc w:val="center"/>
              <w:rPr>
                <w:rFonts w:ascii="宋体" w:hAnsi="宋体"/>
                <w:color w:val="auto"/>
                <w:sz w:val="21"/>
                <w:szCs w:val="21"/>
                <w:highlight w:val="none"/>
              </w:rPr>
            </w:pPr>
            <w:r>
              <w:rPr>
                <w:rFonts w:ascii="宋体" w:hAnsi="宋体"/>
                <w:color w:val="auto"/>
                <w:sz w:val="21"/>
                <w:szCs w:val="21"/>
                <w:highlight w:val="none"/>
              </w:rPr>
              <w:t>证书名称</w:t>
            </w:r>
          </w:p>
        </w:tc>
        <w:tc>
          <w:tcPr>
            <w:tcW w:w="808" w:type="dxa"/>
            <w:vAlign w:val="center"/>
          </w:tcPr>
          <w:p w14:paraId="48208683">
            <w:pPr>
              <w:jc w:val="center"/>
              <w:rPr>
                <w:rFonts w:ascii="宋体" w:hAnsi="宋体"/>
                <w:color w:val="auto"/>
                <w:sz w:val="21"/>
                <w:szCs w:val="21"/>
                <w:highlight w:val="none"/>
              </w:rPr>
            </w:pPr>
            <w:r>
              <w:rPr>
                <w:rFonts w:ascii="宋体" w:hAnsi="宋体"/>
                <w:color w:val="auto"/>
                <w:sz w:val="21"/>
                <w:szCs w:val="21"/>
                <w:highlight w:val="none"/>
              </w:rPr>
              <w:t>级别</w:t>
            </w:r>
          </w:p>
        </w:tc>
        <w:tc>
          <w:tcPr>
            <w:tcW w:w="826" w:type="dxa"/>
            <w:vAlign w:val="center"/>
          </w:tcPr>
          <w:p w14:paraId="6D086EBB">
            <w:pPr>
              <w:jc w:val="center"/>
              <w:rPr>
                <w:rFonts w:ascii="宋体" w:hAnsi="宋体"/>
                <w:color w:val="auto"/>
                <w:sz w:val="21"/>
                <w:szCs w:val="21"/>
                <w:highlight w:val="none"/>
              </w:rPr>
            </w:pPr>
            <w:r>
              <w:rPr>
                <w:rFonts w:ascii="宋体" w:hAnsi="宋体"/>
                <w:color w:val="auto"/>
                <w:sz w:val="21"/>
                <w:szCs w:val="21"/>
                <w:highlight w:val="none"/>
              </w:rPr>
              <w:t>证号</w:t>
            </w:r>
          </w:p>
        </w:tc>
        <w:tc>
          <w:tcPr>
            <w:tcW w:w="892" w:type="dxa"/>
            <w:vAlign w:val="center"/>
          </w:tcPr>
          <w:p w14:paraId="32C3485A">
            <w:pPr>
              <w:jc w:val="center"/>
              <w:rPr>
                <w:rFonts w:ascii="宋体" w:hAnsi="宋体"/>
                <w:color w:val="auto"/>
                <w:sz w:val="21"/>
                <w:szCs w:val="21"/>
                <w:highlight w:val="none"/>
              </w:rPr>
            </w:pPr>
            <w:r>
              <w:rPr>
                <w:rFonts w:ascii="宋体" w:hAnsi="宋体"/>
                <w:color w:val="auto"/>
                <w:sz w:val="21"/>
                <w:szCs w:val="21"/>
                <w:highlight w:val="none"/>
              </w:rPr>
              <w:t>专业</w:t>
            </w:r>
          </w:p>
        </w:tc>
        <w:tc>
          <w:tcPr>
            <w:tcW w:w="2229" w:type="dxa"/>
            <w:vAlign w:val="center"/>
          </w:tcPr>
          <w:p w14:paraId="74D5D0C9">
            <w:pPr>
              <w:jc w:val="center"/>
              <w:rPr>
                <w:rFonts w:ascii="宋体" w:hAnsi="宋体"/>
                <w:color w:val="auto"/>
                <w:sz w:val="21"/>
                <w:szCs w:val="21"/>
                <w:highlight w:val="none"/>
              </w:rPr>
            </w:pPr>
            <w:r>
              <w:rPr>
                <w:rFonts w:ascii="宋体" w:hAnsi="宋体"/>
                <w:color w:val="auto"/>
                <w:sz w:val="21"/>
                <w:szCs w:val="21"/>
                <w:highlight w:val="none"/>
              </w:rPr>
              <w:t>注册单位</w:t>
            </w:r>
          </w:p>
        </w:tc>
        <w:tc>
          <w:tcPr>
            <w:tcW w:w="741" w:type="dxa"/>
            <w:vMerge w:val="continue"/>
            <w:vAlign w:val="center"/>
          </w:tcPr>
          <w:p w14:paraId="3567C9F4">
            <w:pPr>
              <w:jc w:val="center"/>
              <w:rPr>
                <w:rFonts w:ascii="宋体" w:hAnsi="宋体"/>
                <w:color w:val="auto"/>
                <w:sz w:val="21"/>
                <w:szCs w:val="21"/>
                <w:highlight w:val="none"/>
              </w:rPr>
            </w:pPr>
          </w:p>
        </w:tc>
      </w:tr>
      <w:tr w14:paraId="0F2E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B8FA72">
            <w:pPr>
              <w:jc w:val="center"/>
              <w:rPr>
                <w:rFonts w:ascii="宋体" w:hAnsi="宋体"/>
                <w:color w:val="auto"/>
                <w:sz w:val="21"/>
                <w:szCs w:val="21"/>
                <w:highlight w:val="none"/>
              </w:rPr>
            </w:pPr>
          </w:p>
        </w:tc>
        <w:tc>
          <w:tcPr>
            <w:tcW w:w="743" w:type="dxa"/>
            <w:vAlign w:val="center"/>
          </w:tcPr>
          <w:p w14:paraId="5821DECB">
            <w:pPr>
              <w:jc w:val="center"/>
              <w:rPr>
                <w:rFonts w:ascii="宋体" w:hAnsi="宋体"/>
                <w:color w:val="auto"/>
                <w:sz w:val="21"/>
                <w:szCs w:val="21"/>
                <w:highlight w:val="none"/>
              </w:rPr>
            </w:pPr>
          </w:p>
        </w:tc>
        <w:tc>
          <w:tcPr>
            <w:tcW w:w="743" w:type="dxa"/>
            <w:vAlign w:val="center"/>
          </w:tcPr>
          <w:p w14:paraId="7CAEDFE1">
            <w:pPr>
              <w:jc w:val="center"/>
              <w:rPr>
                <w:rFonts w:ascii="宋体" w:hAnsi="宋体"/>
                <w:color w:val="auto"/>
                <w:sz w:val="21"/>
                <w:szCs w:val="21"/>
                <w:highlight w:val="none"/>
              </w:rPr>
            </w:pPr>
          </w:p>
        </w:tc>
        <w:tc>
          <w:tcPr>
            <w:tcW w:w="1336" w:type="dxa"/>
            <w:vAlign w:val="center"/>
          </w:tcPr>
          <w:p w14:paraId="3BEE18A6">
            <w:pPr>
              <w:jc w:val="center"/>
              <w:rPr>
                <w:rFonts w:ascii="宋体" w:hAnsi="宋体"/>
                <w:color w:val="auto"/>
                <w:sz w:val="21"/>
                <w:szCs w:val="21"/>
                <w:highlight w:val="none"/>
              </w:rPr>
            </w:pPr>
          </w:p>
        </w:tc>
        <w:tc>
          <w:tcPr>
            <w:tcW w:w="808" w:type="dxa"/>
            <w:vAlign w:val="center"/>
          </w:tcPr>
          <w:p w14:paraId="121089D0">
            <w:pPr>
              <w:jc w:val="center"/>
              <w:rPr>
                <w:rFonts w:ascii="宋体" w:hAnsi="宋体"/>
                <w:color w:val="auto"/>
                <w:sz w:val="21"/>
                <w:szCs w:val="21"/>
                <w:highlight w:val="none"/>
              </w:rPr>
            </w:pPr>
          </w:p>
        </w:tc>
        <w:tc>
          <w:tcPr>
            <w:tcW w:w="826" w:type="dxa"/>
            <w:vAlign w:val="center"/>
          </w:tcPr>
          <w:p w14:paraId="2CF38435">
            <w:pPr>
              <w:jc w:val="center"/>
              <w:rPr>
                <w:rFonts w:ascii="宋体" w:hAnsi="宋体"/>
                <w:color w:val="auto"/>
                <w:sz w:val="21"/>
                <w:szCs w:val="21"/>
                <w:highlight w:val="none"/>
              </w:rPr>
            </w:pPr>
          </w:p>
        </w:tc>
        <w:tc>
          <w:tcPr>
            <w:tcW w:w="892" w:type="dxa"/>
            <w:vAlign w:val="center"/>
          </w:tcPr>
          <w:p w14:paraId="140D300E">
            <w:pPr>
              <w:jc w:val="center"/>
              <w:rPr>
                <w:rFonts w:ascii="宋体" w:hAnsi="宋体"/>
                <w:color w:val="auto"/>
                <w:sz w:val="21"/>
                <w:szCs w:val="21"/>
                <w:highlight w:val="none"/>
              </w:rPr>
            </w:pPr>
          </w:p>
        </w:tc>
        <w:tc>
          <w:tcPr>
            <w:tcW w:w="2229" w:type="dxa"/>
            <w:vAlign w:val="center"/>
          </w:tcPr>
          <w:p w14:paraId="304B1DD0">
            <w:pPr>
              <w:jc w:val="center"/>
              <w:rPr>
                <w:rFonts w:ascii="宋体" w:hAnsi="宋体"/>
                <w:color w:val="auto"/>
                <w:sz w:val="21"/>
                <w:szCs w:val="21"/>
                <w:highlight w:val="none"/>
              </w:rPr>
            </w:pPr>
          </w:p>
        </w:tc>
        <w:tc>
          <w:tcPr>
            <w:tcW w:w="741" w:type="dxa"/>
            <w:vAlign w:val="center"/>
          </w:tcPr>
          <w:p w14:paraId="4648A13C">
            <w:pPr>
              <w:jc w:val="center"/>
              <w:rPr>
                <w:rFonts w:ascii="宋体" w:hAnsi="宋体"/>
                <w:color w:val="auto"/>
                <w:sz w:val="21"/>
                <w:szCs w:val="21"/>
                <w:highlight w:val="none"/>
              </w:rPr>
            </w:pPr>
          </w:p>
        </w:tc>
      </w:tr>
      <w:tr w14:paraId="59274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3717331">
            <w:pPr>
              <w:jc w:val="center"/>
              <w:rPr>
                <w:rFonts w:ascii="宋体" w:hAnsi="宋体"/>
                <w:color w:val="auto"/>
                <w:sz w:val="21"/>
                <w:szCs w:val="21"/>
                <w:highlight w:val="none"/>
              </w:rPr>
            </w:pPr>
          </w:p>
        </w:tc>
        <w:tc>
          <w:tcPr>
            <w:tcW w:w="743" w:type="dxa"/>
            <w:vAlign w:val="center"/>
          </w:tcPr>
          <w:p w14:paraId="30B6EDAD">
            <w:pPr>
              <w:jc w:val="center"/>
              <w:rPr>
                <w:rFonts w:ascii="宋体" w:hAnsi="宋体"/>
                <w:color w:val="auto"/>
                <w:sz w:val="21"/>
                <w:szCs w:val="21"/>
                <w:highlight w:val="none"/>
              </w:rPr>
            </w:pPr>
          </w:p>
        </w:tc>
        <w:tc>
          <w:tcPr>
            <w:tcW w:w="743" w:type="dxa"/>
            <w:vAlign w:val="center"/>
          </w:tcPr>
          <w:p w14:paraId="4077AD54">
            <w:pPr>
              <w:jc w:val="center"/>
              <w:rPr>
                <w:rFonts w:ascii="宋体" w:hAnsi="宋体"/>
                <w:color w:val="auto"/>
                <w:sz w:val="21"/>
                <w:szCs w:val="21"/>
                <w:highlight w:val="none"/>
              </w:rPr>
            </w:pPr>
          </w:p>
        </w:tc>
        <w:tc>
          <w:tcPr>
            <w:tcW w:w="1336" w:type="dxa"/>
            <w:vAlign w:val="center"/>
          </w:tcPr>
          <w:p w14:paraId="1AE7C6BF">
            <w:pPr>
              <w:jc w:val="center"/>
              <w:rPr>
                <w:rFonts w:ascii="宋体" w:hAnsi="宋体"/>
                <w:color w:val="auto"/>
                <w:sz w:val="21"/>
                <w:szCs w:val="21"/>
                <w:highlight w:val="none"/>
              </w:rPr>
            </w:pPr>
          </w:p>
        </w:tc>
        <w:tc>
          <w:tcPr>
            <w:tcW w:w="808" w:type="dxa"/>
            <w:vAlign w:val="center"/>
          </w:tcPr>
          <w:p w14:paraId="48BB38D6">
            <w:pPr>
              <w:jc w:val="center"/>
              <w:rPr>
                <w:rFonts w:ascii="宋体" w:hAnsi="宋体"/>
                <w:color w:val="auto"/>
                <w:sz w:val="21"/>
                <w:szCs w:val="21"/>
                <w:highlight w:val="none"/>
              </w:rPr>
            </w:pPr>
          </w:p>
        </w:tc>
        <w:tc>
          <w:tcPr>
            <w:tcW w:w="826" w:type="dxa"/>
            <w:vAlign w:val="center"/>
          </w:tcPr>
          <w:p w14:paraId="12936095">
            <w:pPr>
              <w:jc w:val="center"/>
              <w:rPr>
                <w:rFonts w:ascii="宋体" w:hAnsi="宋体"/>
                <w:color w:val="auto"/>
                <w:sz w:val="21"/>
                <w:szCs w:val="21"/>
                <w:highlight w:val="none"/>
              </w:rPr>
            </w:pPr>
          </w:p>
        </w:tc>
        <w:tc>
          <w:tcPr>
            <w:tcW w:w="892" w:type="dxa"/>
            <w:vAlign w:val="center"/>
          </w:tcPr>
          <w:p w14:paraId="352BEC00">
            <w:pPr>
              <w:jc w:val="center"/>
              <w:rPr>
                <w:rFonts w:ascii="宋体" w:hAnsi="宋体"/>
                <w:color w:val="auto"/>
                <w:sz w:val="21"/>
                <w:szCs w:val="21"/>
                <w:highlight w:val="none"/>
              </w:rPr>
            </w:pPr>
          </w:p>
        </w:tc>
        <w:tc>
          <w:tcPr>
            <w:tcW w:w="2229" w:type="dxa"/>
            <w:vAlign w:val="center"/>
          </w:tcPr>
          <w:p w14:paraId="37BCC461">
            <w:pPr>
              <w:jc w:val="center"/>
              <w:rPr>
                <w:rFonts w:ascii="宋体" w:hAnsi="宋体"/>
                <w:color w:val="auto"/>
                <w:sz w:val="21"/>
                <w:szCs w:val="21"/>
                <w:highlight w:val="none"/>
              </w:rPr>
            </w:pPr>
          </w:p>
        </w:tc>
        <w:tc>
          <w:tcPr>
            <w:tcW w:w="741" w:type="dxa"/>
            <w:vAlign w:val="center"/>
          </w:tcPr>
          <w:p w14:paraId="0F1D759C">
            <w:pPr>
              <w:jc w:val="center"/>
              <w:rPr>
                <w:rFonts w:ascii="宋体" w:hAnsi="宋体"/>
                <w:color w:val="auto"/>
                <w:sz w:val="21"/>
                <w:szCs w:val="21"/>
                <w:highlight w:val="none"/>
              </w:rPr>
            </w:pPr>
          </w:p>
        </w:tc>
      </w:tr>
      <w:tr w14:paraId="1B9A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330BDDF">
            <w:pPr>
              <w:jc w:val="center"/>
              <w:rPr>
                <w:rFonts w:ascii="宋体" w:hAnsi="宋体"/>
                <w:color w:val="auto"/>
                <w:sz w:val="21"/>
                <w:szCs w:val="21"/>
                <w:highlight w:val="none"/>
              </w:rPr>
            </w:pPr>
          </w:p>
        </w:tc>
        <w:tc>
          <w:tcPr>
            <w:tcW w:w="743" w:type="dxa"/>
            <w:vAlign w:val="center"/>
          </w:tcPr>
          <w:p w14:paraId="22420BBC">
            <w:pPr>
              <w:jc w:val="center"/>
              <w:rPr>
                <w:rFonts w:ascii="宋体" w:hAnsi="宋体"/>
                <w:color w:val="auto"/>
                <w:sz w:val="21"/>
                <w:szCs w:val="21"/>
                <w:highlight w:val="none"/>
              </w:rPr>
            </w:pPr>
          </w:p>
        </w:tc>
        <w:tc>
          <w:tcPr>
            <w:tcW w:w="743" w:type="dxa"/>
            <w:vAlign w:val="center"/>
          </w:tcPr>
          <w:p w14:paraId="6594E1A0">
            <w:pPr>
              <w:jc w:val="center"/>
              <w:rPr>
                <w:rFonts w:ascii="宋体" w:hAnsi="宋体"/>
                <w:color w:val="auto"/>
                <w:sz w:val="21"/>
                <w:szCs w:val="21"/>
                <w:highlight w:val="none"/>
              </w:rPr>
            </w:pPr>
          </w:p>
        </w:tc>
        <w:tc>
          <w:tcPr>
            <w:tcW w:w="1336" w:type="dxa"/>
            <w:vAlign w:val="center"/>
          </w:tcPr>
          <w:p w14:paraId="7DB96EC2">
            <w:pPr>
              <w:jc w:val="center"/>
              <w:rPr>
                <w:rFonts w:ascii="宋体" w:hAnsi="宋体"/>
                <w:color w:val="auto"/>
                <w:sz w:val="21"/>
                <w:szCs w:val="21"/>
                <w:highlight w:val="none"/>
              </w:rPr>
            </w:pPr>
          </w:p>
        </w:tc>
        <w:tc>
          <w:tcPr>
            <w:tcW w:w="808" w:type="dxa"/>
            <w:vAlign w:val="center"/>
          </w:tcPr>
          <w:p w14:paraId="2D54D619">
            <w:pPr>
              <w:jc w:val="center"/>
              <w:rPr>
                <w:rFonts w:ascii="宋体" w:hAnsi="宋体"/>
                <w:color w:val="auto"/>
                <w:sz w:val="21"/>
                <w:szCs w:val="21"/>
                <w:highlight w:val="none"/>
              </w:rPr>
            </w:pPr>
          </w:p>
        </w:tc>
        <w:tc>
          <w:tcPr>
            <w:tcW w:w="826" w:type="dxa"/>
            <w:vAlign w:val="center"/>
          </w:tcPr>
          <w:p w14:paraId="139DC445">
            <w:pPr>
              <w:jc w:val="center"/>
              <w:rPr>
                <w:rFonts w:ascii="宋体" w:hAnsi="宋体"/>
                <w:color w:val="auto"/>
                <w:sz w:val="21"/>
                <w:szCs w:val="21"/>
                <w:highlight w:val="none"/>
              </w:rPr>
            </w:pPr>
          </w:p>
        </w:tc>
        <w:tc>
          <w:tcPr>
            <w:tcW w:w="892" w:type="dxa"/>
            <w:vAlign w:val="center"/>
          </w:tcPr>
          <w:p w14:paraId="07B3F96E">
            <w:pPr>
              <w:jc w:val="center"/>
              <w:rPr>
                <w:rFonts w:ascii="宋体" w:hAnsi="宋体"/>
                <w:color w:val="auto"/>
                <w:sz w:val="21"/>
                <w:szCs w:val="21"/>
                <w:highlight w:val="none"/>
              </w:rPr>
            </w:pPr>
          </w:p>
        </w:tc>
        <w:tc>
          <w:tcPr>
            <w:tcW w:w="2229" w:type="dxa"/>
            <w:vAlign w:val="center"/>
          </w:tcPr>
          <w:p w14:paraId="75990F10">
            <w:pPr>
              <w:jc w:val="center"/>
              <w:rPr>
                <w:rFonts w:ascii="宋体" w:hAnsi="宋体"/>
                <w:color w:val="auto"/>
                <w:sz w:val="21"/>
                <w:szCs w:val="21"/>
                <w:highlight w:val="none"/>
              </w:rPr>
            </w:pPr>
          </w:p>
        </w:tc>
        <w:tc>
          <w:tcPr>
            <w:tcW w:w="741" w:type="dxa"/>
            <w:vAlign w:val="center"/>
          </w:tcPr>
          <w:p w14:paraId="43BA5545">
            <w:pPr>
              <w:jc w:val="center"/>
              <w:rPr>
                <w:rFonts w:ascii="宋体" w:hAnsi="宋体"/>
                <w:color w:val="auto"/>
                <w:sz w:val="21"/>
                <w:szCs w:val="21"/>
                <w:highlight w:val="none"/>
              </w:rPr>
            </w:pPr>
          </w:p>
        </w:tc>
      </w:tr>
      <w:tr w14:paraId="5D61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E631934">
            <w:pPr>
              <w:jc w:val="center"/>
              <w:rPr>
                <w:rFonts w:ascii="宋体" w:hAnsi="宋体"/>
                <w:color w:val="auto"/>
                <w:sz w:val="21"/>
                <w:szCs w:val="21"/>
                <w:highlight w:val="none"/>
              </w:rPr>
            </w:pPr>
          </w:p>
        </w:tc>
        <w:tc>
          <w:tcPr>
            <w:tcW w:w="743" w:type="dxa"/>
            <w:vAlign w:val="center"/>
          </w:tcPr>
          <w:p w14:paraId="0E8672CE">
            <w:pPr>
              <w:jc w:val="center"/>
              <w:rPr>
                <w:rFonts w:ascii="宋体" w:hAnsi="宋体"/>
                <w:color w:val="auto"/>
                <w:sz w:val="21"/>
                <w:szCs w:val="21"/>
                <w:highlight w:val="none"/>
              </w:rPr>
            </w:pPr>
          </w:p>
        </w:tc>
        <w:tc>
          <w:tcPr>
            <w:tcW w:w="743" w:type="dxa"/>
            <w:vAlign w:val="center"/>
          </w:tcPr>
          <w:p w14:paraId="1C96EDD7">
            <w:pPr>
              <w:jc w:val="center"/>
              <w:rPr>
                <w:rFonts w:ascii="宋体" w:hAnsi="宋体"/>
                <w:color w:val="auto"/>
                <w:sz w:val="21"/>
                <w:szCs w:val="21"/>
                <w:highlight w:val="none"/>
              </w:rPr>
            </w:pPr>
          </w:p>
        </w:tc>
        <w:tc>
          <w:tcPr>
            <w:tcW w:w="1336" w:type="dxa"/>
            <w:vAlign w:val="center"/>
          </w:tcPr>
          <w:p w14:paraId="5F8E502D">
            <w:pPr>
              <w:jc w:val="center"/>
              <w:rPr>
                <w:rFonts w:ascii="宋体" w:hAnsi="宋体"/>
                <w:color w:val="auto"/>
                <w:sz w:val="21"/>
                <w:szCs w:val="21"/>
                <w:highlight w:val="none"/>
              </w:rPr>
            </w:pPr>
          </w:p>
        </w:tc>
        <w:tc>
          <w:tcPr>
            <w:tcW w:w="808" w:type="dxa"/>
            <w:vAlign w:val="center"/>
          </w:tcPr>
          <w:p w14:paraId="4C8B8C71">
            <w:pPr>
              <w:jc w:val="center"/>
              <w:rPr>
                <w:rFonts w:ascii="宋体" w:hAnsi="宋体"/>
                <w:color w:val="auto"/>
                <w:sz w:val="21"/>
                <w:szCs w:val="21"/>
                <w:highlight w:val="none"/>
              </w:rPr>
            </w:pPr>
          </w:p>
        </w:tc>
        <w:tc>
          <w:tcPr>
            <w:tcW w:w="826" w:type="dxa"/>
            <w:vAlign w:val="center"/>
          </w:tcPr>
          <w:p w14:paraId="50B0499C">
            <w:pPr>
              <w:jc w:val="center"/>
              <w:rPr>
                <w:rFonts w:ascii="宋体" w:hAnsi="宋体"/>
                <w:color w:val="auto"/>
                <w:sz w:val="21"/>
                <w:szCs w:val="21"/>
                <w:highlight w:val="none"/>
              </w:rPr>
            </w:pPr>
          </w:p>
        </w:tc>
        <w:tc>
          <w:tcPr>
            <w:tcW w:w="892" w:type="dxa"/>
            <w:vAlign w:val="center"/>
          </w:tcPr>
          <w:p w14:paraId="538B9C22">
            <w:pPr>
              <w:jc w:val="center"/>
              <w:rPr>
                <w:rFonts w:ascii="宋体" w:hAnsi="宋体"/>
                <w:color w:val="auto"/>
                <w:sz w:val="21"/>
                <w:szCs w:val="21"/>
                <w:highlight w:val="none"/>
              </w:rPr>
            </w:pPr>
          </w:p>
        </w:tc>
        <w:tc>
          <w:tcPr>
            <w:tcW w:w="2229" w:type="dxa"/>
            <w:vAlign w:val="center"/>
          </w:tcPr>
          <w:p w14:paraId="07FB5D69">
            <w:pPr>
              <w:jc w:val="center"/>
              <w:rPr>
                <w:rFonts w:ascii="宋体" w:hAnsi="宋体"/>
                <w:color w:val="auto"/>
                <w:sz w:val="21"/>
                <w:szCs w:val="21"/>
                <w:highlight w:val="none"/>
              </w:rPr>
            </w:pPr>
          </w:p>
        </w:tc>
        <w:tc>
          <w:tcPr>
            <w:tcW w:w="741" w:type="dxa"/>
            <w:vAlign w:val="center"/>
          </w:tcPr>
          <w:p w14:paraId="0FC78AD8">
            <w:pPr>
              <w:jc w:val="center"/>
              <w:rPr>
                <w:rFonts w:ascii="宋体" w:hAnsi="宋体"/>
                <w:color w:val="auto"/>
                <w:sz w:val="21"/>
                <w:szCs w:val="21"/>
                <w:highlight w:val="none"/>
              </w:rPr>
            </w:pPr>
          </w:p>
        </w:tc>
      </w:tr>
      <w:tr w14:paraId="671C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E980EAC">
            <w:pPr>
              <w:jc w:val="center"/>
              <w:rPr>
                <w:rFonts w:ascii="宋体" w:hAnsi="宋体"/>
                <w:color w:val="auto"/>
                <w:sz w:val="21"/>
                <w:szCs w:val="21"/>
                <w:highlight w:val="none"/>
              </w:rPr>
            </w:pPr>
          </w:p>
        </w:tc>
        <w:tc>
          <w:tcPr>
            <w:tcW w:w="743" w:type="dxa"/>
            <w:vAlign w:val="center"/>
          </w:tcPr>
          <w:p w14:paraId="641C8DC8">
            <w:pPr>
              <w:jc w:val="center"/>
              <w:rPr>
                <w:rFonts w:ascii="宋体" w:hAnsi="宋体"/>
                <w:color w:val="auto"/>
                <w:sz w:val="21"/>
                <w:szCs w:val="21"/>
                <w:highlight w:val="none"/>
              </w:rPr>
            </w:pPr>
          </w:p>
        </w:tc>
        <w:tc>
          <w:tcPr>
            <w:tcW w:w="743" w:type="dxa"/>
            <w:vAlign w:val="center"/>
          </w:tcPr>
          <w:p w14:paraId="3B3191E5">
            <w:pPr>
              <w:jc w:val="center"/>
              <w:rPr>
                <w:rFonts w:ascii="宋体" w:hAnsi="宋体"/>
                <w:color w:val="auto"/>
                <w:sz w:val="21"/>
                <w:szCs w:val="21"/>
                <w:highlight w:val="none"/>
              </w:rPr>
            </w:pPr>
          </w:p>
        </w:tc>
        <w:tc>
          <w:tcPr>
            <w:tcW w:w="1336" w:type="dxa"/>
            <w:vAlign w:val="center"/>
          </w:tcPr>
          <w:p w14:paraId="7726A815">
            <w:pPr>
              <w:jc w:val="center"/>
              <w:rPr>
                <w:rFonts w:ascii="宋体" w:hAnsi="宋体"/>
                <w:color w:val="auto"/>
                <w:sz w:val="21"/>
                <w:szCs w:val="21"/>
                <w:highlight w:val="none"/>
              </w:rPr>
            </w:pPr>
          </w:p>
        </w:tc>
        <w:tc>
          <w:tcPr>
            <w:tcW w:w="808" w:type="dxa"/>
            <w:vAlign w:val="center"/>
          </w:tcPr>
          <w:p w14:paraId="36DB11BB">
            <w:pPr>
              <w:jc w:val="center"/>
              <w:rPr>
                <w:rFonts w:ascii="宋体" w:hAnsi="宋体"/>
                <w:color w:val="auto"/>
                <w:sz w:val="21"/>
                <w:szCs w:val="21"/>
                <w:highlight w:val="none"/>
              </w:rPr>
            </w:pPr>
          </w:p>
        </w:tc>
        <w:tc>
          <w:tcPr>
            <w:tcW w:w="826" w:type="dxa"/>
            <w:vAlign w:val="center"/>
          </w:tcPr>
          <w:p w14:paraId="50759730">
            <w:pPr>
              <w:jc w:val="center"/>
              <w:rPr>
                <w:rFonts w:ascii="宋体" w:hAnsi="宋体"/>
                <w:color w:val="auto"/>
                <w:sz w:val="21"/>
                <w:szCs w:val="21"/>
                <w:highlight w:val="none"/>
              </w:rPr>
            </w:pPr>
          </w:p>
        </w:tc>
        <w:tc>
          <w:tcPr>
            <w:tcW w:w="892" w:type="dxa"/>
            <w:vAlign w:val="center"/>
          </w:tcPr>
          <w:p w14:paraId="0F679BE5">
            <w:pPr>
              <w:jc w:val="center"/>
              <w:rPr>
                <w:rFonts w:ascii="宋体" w:hAnsi="宋体"/>
                <w:color w:val="auto"/>
                <w:sz w:val="21"/>
                <w:szCs w:val="21"/>
                <w:highlight w:val="none"/>
              </w:rPr>
            </w:pPr>
          </w:p>
        </w:tc>
        <w:tc>
          <w:tcPr>
            <w:tcW w:w="2229" w:type="dxa"/>
            <w:vAlign w:val="center"/>
          </w:tcPr>
          <w:p w14:paraId="1F172B3F">
            <w:pPr>
              <w:jc w:val="center"/>
              <w:rPr>
                <w:rFonts w:ascii="宋体" w:hAnsi="宋体"/>
                <w:color w:val="auto"/>
                <w:sz w:val="21"/>
                <w:szCs w:val="21"/>
                <w:highlight w:val="none"/>
              </w:rPr>
            </w:pPr>
          </w:p>
        </w:tc>
        <w:tc>
          <w:tcPr>
            <w:tcW w:w="741" w:type="dxa"/>
            <w:vAlign w:val="center"/>
          </w:tcPr>
          <w:p w14:paraId="7E36A3F6">
            <w:pPr>
              <w:jc w:val="center"/>
              <w:rPr>
                <w:rFonts w:ascii="宋体" w:hAnsi="宋体"/>
                <w:color w:val="auto"/>
                <w:sz w:val="21"/>
                <w:szCs w:val="21"/>
                <w:highlight w:val="none"/>
              </w:rPr>
            </w:pPr>
          </w:p>
        </w:tc>
      </w:tr>
      <w:tr w14:paraId="661C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83199D3">
            <w:pPr>
              <w:jc w:val="center"/>
              <w:rPr>
                <w:rFonts w:ascii="宋体" w:hAnsi="宋体"/>
                <w:color w:val="auto"/>
                <w:sz w:val="21"/>
                <w:szCs w:val="21"/>
                <w:highlight w:val="none"/>
              </w:rPr>
            </w:pPr>
          </w:p>
        </w:tc>
        <w:tc>
          <w:tcPr>
            <w:tcW w:w="743" w:type="dxa"/>
            <w:vAlign w:val="center"/>
          </w:tcPr>
          <w:p w14:paraId="0693591F">
            <w:pPr>
              <w:jc w:val="center"/>
              <w:rPr>
                <w:rFonts w:ascii="宋体" w:hAnsi="宋体"/>
                <w:color w:val="auto"/>
                <w:sz w:val="21"/>
                <w:szCs w:val="21"/>
                <w:highlight w:val="none"/>
              </w:rPr>
            </w:pPr>
          </w:p>
        </w:tc>
        <w:tc>
          <w:tcPr>
            <w:tcW w:w="743" w:type="dxa"/>
            <w:vAlign w:val="center"/>
          </w:tcPr>
          <w:p w14:paraId="44E61D78">
            <w:pPr>
              <w:jc w:val="center"/>
              <w:rPr>
                <w:rFonts w:ascii="宋体" w:hAnsi="宋体"/>
                <w:color w:val="auto"/>
                <w:sz w:val="21"/>
                <w:szCs w:val="21"/>
                <w:highlight w:val="none"/>
              </w:rPr>
            </w:pPr>
          </w:p>
        </w:tc>
        <w:tc>
          <w:tcPr>
            <w:tcW w:w="1336" w:type="dxa"/>
            <w:vAlign w:val="center"/>
          </w:tcPr>
          <w:p w14:paraId="565DF290">
            <w:pPr>
              <w:jc w:val="center"/>
              <w:rPr>
                <w:rFonts w:ascii="宋体" w:hAnsi="宋体"/>
                <w:color w:val="auto"/>
                <w:sz w:val="21"/>
                <w:szCs w:val="21"/>
                <w:highlight w:val="none"/>
              </w:rPr>
            </w:pPr>
          </w:p>
        </w:tc>
        <w:tc>
          <w:tcPr>
            <w:tcW w:w="808" w:type="dxa"/>
            <w:vAlign w:val="center"/>
          </w:tcPr>
          <w:p w14:paraId="02AB4469">
            <w:pPr>
              <w:jc w:val="center"/>
              <w:rPr>
                <w:rFonts w:ascii="宋体" w:hAnsi="宋体"/>
                <w:color w:val="auto"/>
                <w:sz w:val="21"/>
                <w:szCs w:val="21"/>
                <w:highlight w:val="none"/>
              </w:rPr>
            </w:pPr>
          </w:p>
        </w:tc>
        <w:tc>
          <w:tcPr>
            <w:tcW w:w="826" w:type="dxa"/>
            <w:vAlign w:val="center"/>
          </w:tcPr>
          <w:p w14:paraId="243DE696">
            <w:pPr>
              <w:jc w:val="center"/>
              <w:rPr>
                <w:rFonts w:ascii="宋体" w:hAnsi="宋体"/>
                <w:color w:val="auto"/>
                <w:sz w:val="21"/>
                <w:szCs w:val="21"/>
                <w:highlight w:val="none"/>
              </w:rPr>
            </w:pPr>
          </w:p>
        </w:tc>
        <w:tc>
          <w:tcPr>
            <w:tcW w:w="892" w:type="dxa"/>
            <w:vAlign w:val="center"/>
          </w:tcPr>
          <w:p w14:paraId="53040313">
            <w:pPr>
              <w:jc w:val="center"/>
              <w:rPr>
                <w:rFonts w:ascii="宋体" w:hAnsi="宋体"/>
                <w:color w:val="auto"/>
                <w:sz w:val="21"/>
                <w:szCs w:val="21"/>
                <w:highlight w:val="none"/>
              </w:rPr>
            </w:pPr>
          </w:p>
        </w:tc>
        <w:tc>
          <w:tcPr>
            <w:tcW w:w="2229" w:type="dxa"/>
            <w:vAlign w:val="center"/>
          </w:tcPr>
          <w:p w14:paraId="5AA9AF97">
            <w:pPr>
              <w:jc w:val="center"/>
              <w:rPr>
                <w:rFonts w:ascii="宋体" w:hAnsi="宋体"/>
                <w:color w:val="auto"/>
                <w:sz w:val="21"/>
                <w:szCs w:val="21"/>
                <w:highlight w:val="none"/>
              </w:rPr>
            </w:pPr>
          </w:p>
        </w:tc>
        <w:tc>
          <w:tcPr>
            <w:tcW w:w="741" w:type="dxa"/>
            <w:vAlign w:val="center"/>
          </w:tcPr>
          <w:p w14:paraId="4BEF0E06">
            <w:pPr>
              <w:jc w:val="center"/>
              <w:rPr>
                <w:rFonts w:ascii="宋体" w:hAnsi="宋体"/>
                <w:color w:val="auto"/>
                <w:sz w:val="21"/>
                <w:szCs w:val="21"/>
                <w:highlight w:val="none"/>
              </w:rPr>
            </w:pPr>
          </w:p>
        </w:tc>
      </w:tr>
      <w:tr w14:paraId="27CB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8D56066">
            <w:pPr>
              <w:jc w:val="center"/>
              <w:rPr>
                <w:rFonts w:ascii="宋体" w:hAnsi="宋体"/>
                <w:color w:val="auto"/>
                <w:sz w:val="21"/>
                <w:szCs w:val="21"/>
                <w:highlight w:val="none"/>
              </w:rPr>
            </w:pPr>
          </w:p>
        </w:tc>
        <w:tc>
          <w:tcPr>
            <w:tcW w:w="743" w:type="dxa"/>
            <w:vAlign w:val="center"/>
          </w:tcPr>
          <w:p w14:paraId="4F32E996">
            <w:pPr>
              <w:jc w:val="center"/>
              <w:rPr>
                <w:rFonts w:ascii="宋体" w:hAnsi="宋体"/>
                <w:color w:val="auto"/>
                <w:sz w:val="21"/>
                <w:szCs w:val="21"/>
                <w:highlight w:val="none"/>
              </w:rPr>
            </w:pPr>
          </w:p>
        </w:tc>
        <w:tc>
          <w:tcPr>
            <w:tcW w:w="743" w:type="dxa"/>
            <w:vAlign w:val="center"/>
          </w:tcPr>
          <w:p w14:paraId="2BD7E3F6">
            <w:pPr>
              <w:jc w:val="center"/>
              <w:rPr>
                <w:rFonts w:ascii="宋体" w:hAnsi="宋体"/>
                <w:color w:val="auto"/>
                <w:sz w:val="21"/>
                <w:szCs w:val="21"/>
                <w:highlight w:val="none"/>
              </w:rPr>
            </w:pPr>
          </w:p>
        </w:tc>
        <w:tc>
          <w:tcPr>
            <w:tcW w:w="1336" w:type="dxa"/>
            <w:vAlign w:val="center"/>
          </w:tcPr>
          <w:p w14:paraId="28DC2407">
            <w:pPr>
              <w:jc w:val="center"/>
              <w:rPr>
                <w:rFonts w:ascii="宋体" w:hAnsi="宋体"/>
                <w:color w:val="auto"/>
                <w:sz w:val="21"/>
                <w:szCs w:val="21"/>
                <w:highlight w:val="none"/>
              </w:rPr>
            </w:pPr>
          </w:p>
        </w:tc>
        <w:tc>
          <w:tcPr>
            <w:tcW w:w="808" w:type="dxa"/>
            <w:vAlign w:val="center"/>
          </w:tcPr>
          <w:p w14:paraId="70AF0429">
            <w:pPr>
              <w:jc w:val="center"/>
              <w:rPr>
                <w:rFonts w:ascii="宋体" w:hAnsi="宋体"/>
                <w:color w:val="auto"/>
                <w:sz w:val="21"/>
                <w:szCs w:val="21"/>
                <w:highlight w:val="none"/>
              </w:rPr>
            </w:pPr>
          </w:p>
        </w:tc>
        <w:tc>
          <w:tcPr>
            <w:tcW w:w="826" w:type="dxa"/>
            <w:vAlign w:val="center"/>
          </w:tcPr>
          <w:p w14:paraId="22AB95EC">
            <w:pPr>
              <w:jc w:val="center"/>
              <w:rPr>
                <w:rFonts w:ascii="宋体" w:hAnsi="宋体"/>
                <w:color w:val="auto"/>
                <w:sz w:val="21"/>
                <w:szCs w:val="21"/>
                <w:highlight w:val="none"/>
              </w:rPr>
            </w:pPr>
          </w:p>
        </w:tc>
        <w:tc>
          <w:tcPr>
            <w:tcW w:w="892" w:type="dxa"/>
            <w:vAlign w:val="center"/>
          </w:tcPr>
          <w:p w14:paraId="6ACA9DF3">
            <w:pPr>
              <w:jc w:val="center"/>
              <w:rPr>
                <w:rFonts w:ascii="宋体" w:hAnsi="宋体"/>
                <w:color w:val="auto"/>
                <w:sz w:val="21"/>
                <w:szCs w:val="21"/>
                <w:highlight w:val="none"/>
              </w:rPr>
            </w:pPr>
          </w:p>
        </w:tc>
        <w:tc>
          <w:tcPr>
            <w:tcW w:w="2229" w:type="dxa"/>
            <w:vAlign w:val="center"/>
          </w:tcPr>
          <w:p w14:paraId="5B704539">
            <w:pPr>
              <w:jc w:val="center"/>
              <w:rPr>
                <w:rFonts w:ascii="宋体" w:hAnsi="宋体"/>
                <w:color w:val="auto"/>
                <w:sz w:val="21"/>
                <w:szCs w:val="21"/>
                <w:highlight w:val="none"/>
              </w:rPr>
            </w:pPr>
          </w:p>
        </w:tc>
        <w:tc>
          <w:tcPr>
            <w:tcW w:w="741" w:type="dxa"/>
            <w:vAlign w:val="center"/>
          </w:tcPr>
          <w:p w14:paraId="0E0CA560">
            <w:pPr>
              <w:jc w:val="center"/>
              <w:rPr>
                <w:rFonts w:ascii="宋体" w:hAnsi="宋体"/>
                <w:color w:val="auto"/>
                <w:sz w:val="21"/>
                <w:szCs w:val="21"/>
                <w:highlight w:val="none"/>
              </w:rPr>
            </w:pPr>
          </w:p>
        </w:tc>
      </w:tr>
      <w:tr w14:paraId="41EBA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C437BE3">
            <w:pPr>
              <w:jc w:val="center"/>
              <w:rPr>
                <w:rFonts w:ascii="宋体" w:hAnsi="宋体"/>
                <w:color w:val="auto"/>
                <w:sz w:val="21"/>
                <w:szCs w:val="21"/>
                <w:highlight w:val="none"/>
              </w:rPr>
            </w:pPr>
          </w:p>
        </w:tc>
        <w:tc>
          <w:tcPr>
            <w:tcW w:w="743" w:type="dxa"/>
            <w:vAlign w:val="center"/>
          </w:tcPr>
          <w:p w14:paraId="40A6918A">
            <w:pPr>
              <w:jc w:val="center"/>
              <w:rPr>
                <w:rFonts w:ascii="宋体" w:hAnsi="宋体"/>
                <w:color w:val="auto"/>
                <w:sz w:val="21"/>
                <w:szCs w:val="21"/>
                <w:highlight w:val="none"/>
              </w:rPr>
            </w:pPr>
          </w:p>
        </w:tc>
        <w:tc>
          <w:tcPr>
            <w:tcW w:w="743" w:type="dxa"/>
            <w:vAlign w:val="center"/>
          </w:tcPr>
          <w:p w14:paraId="3915EC92">
            <w:pPr>
              <w:jc w:val="center"/>
              <w:rPr>
                <w:rFonts w:ascii="宋体" w:hAnsi="宋体"/>
                <w:color w:val="auto"/>
                <w:sz w:val="21"/>
                <w:szCs w:val="21"/>
                <w:highlight w:val="none"/>
              </w:rPr>
            </w:pPr>
          </w:p>
        </w:tc>
        <w:tc>
          <w:tcPr>
            <w:tcW w:w="1336" w:type="dxa"/>
            <w:vAlign w:val="center"/>
          </w:tcPr>
          <w:p w14:paraId="68C1052F">
            <w:pPr>
              <w:jc w:val="center"/>
              <w:rPr>
                <w:rFonts w:ascii="宋体" w:hAnsi="宋体"/>
                <w:color w:val="auto"/>
                <w:sz w:val="21"/>
                <w:szCs w:val="21"/>
                <w:highlight w:val="none"/>
              </w:rPr>
            </w:pPr>
          </w:p>
        </w:tc>
        <w:tc>
          <w:tcPr>
            <w:tcW w:w="808" w:type="dxa"/>
            <w:vAlign w:val="center"/>
          </w:tcPr>
          <w:p w14:paraId="311999C5">
            <w:pPr>
              <w:jc w:val="center"/>
              <w:rPr>
                <w:rFonts w:ascii="宋体" w:hAnsi="宋体"/>
                <w:color w:val="auto"/>
                <w:sz w:val="21"/>
                <w:szCs w:val="21"/>
                <w:highlight w:val="none"/>
              </w:rPr>
            </w:pPr>
          </w:p>
        </w:tc>
        <w:tc>
          <w:tcPr>
            <w:tcW w:w="826" w:type="dxa"/>
            <w:vAlign w:val="center"/>
          </w:tcPr>
          <w:p w14:paraId="4D43195F">
            <w:pPr>
              <w:jc w:val="center"/>
              <w:rPr>
                <w:rFonts w:ascii="宋体" w:hAnsi="宋体"/>
                <w:color w:val="auto"/>
                <w:sz w:val="21"/>
                <w:szCs w:val="21"/>
                <w:highlight w:val="none"/>
              </w:rPr>
            </w:pPr>
          </w:p>
        </w:tc>
        <w:tc>
          <w:tcPr>
            <w:tcW w:w="892" w:type="dxa"/>
            <w:vAlign w:val="center"/>
          </w:tcPr>
          <w:p w14:paraId="3A7D8E34">
            <w:pPr>
              <w:jc w:val="center"/>
              <w:rPr>
                <w:rFonts w:ascii="宋体" w:hAnsi="宋体"/>
                <w:color w:val="auto"/>
                <w:sz w:val="21"/>
                <w:szCs w:val="21"/>
                <w:highlight w:val="none"/>
              </w:rPr>
            </w:pPr>
          </w:p>
        </w:tc>
        <w:tc>
          <w:tcPr>
            <w:tcW w:w="2229" w:type="dxa"/>
            <w:vAlign w:val="center"/>
          </w:tcPr>
          <w:p w14:paraId="67B78884">
            <w:pPr>
              <w:jc w:val="center"/>
              <w:rPr>
                <w:rFonts w:ascii="宋体" w:hAnsi="宋体"/>
                <w:color w:val="auto"/>
                <w:sz w:val="21"/>
                <w:szCs w:val="21"/>
                <w:highlight w:val="none"/>
              </w:rPr>
            </w:pPr>
          </w:p>
        </w:tc>
        <w:tc>
          <w:tcPr>
            <w:tcW w:w="741" w:type="dxa"/>
            <w:vAlign w:val="center"/>
          </w:tcPr>
          <w:p w14:paraId="07EB0902">
            <w:pPr>
              <w:jc w:val="center"/>
              <w:rPr>
                <w:rFonts w:ascii="宋体" w:hAnsi="宋体"/>
                <w:color w:val="auto"/>
                <w:sz w:val="21"/>
                <w:szCs w:val="21"/>
                <w:highlight w:val="none"/>
              </w:rPr>
            </w:pPr>
          </w:p>
        </w:tc>
      </w:tr>
      <w:tr w14:paraId="7435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CB08DC0">
            <w:pPr>
              <w:jc w:val="center"/>
              <w:rPr>
                <w:rFonts w:ascii="宋体" w:hAnsi="宋体"/>
                <w:color w:val="auto"/>
                <w:sz w:val="21"/>
                <w:szCs w:val="21"/>
                <w:highlight w:val="none"/>
              </w:rPr>
            </w:pPr>
          </w:p>
        </w:tc>
        <w:tc>
          <w:tcPr>
            <w:tcW w:w="743" w:type="dxa"/>
            <w:vAlign w:val="center"/>
          </w:tcPr>
          <w:p w14:paraId="51733B3B">
            <w:pPr>
              <w:jc w:val="center"/>
              <w:rPr>
                <w:rFonts w:ascii="宋体" w:hAnsi="宋体"/>
                <w:color w:val="auto"/>
                <w:sz w:val="21"/>
                <w:szCs w:val="21"/>
                <w:highlight w:val="none"/>
              </w:rPr>
            </w:pPr>
          </w:p>
        </w:tc>
        <w:tc>
          <w:tcPr>
            <w:tcW w:w="743" w:type="dxa"/>
            <w:vAlign w:val="center"/>
          </w:tcPr>
          <w:p w14:paraId="647E657D">
            <w:pPr>
              <w:jc w:val="center"/>
              <w:rPr>
                <w:rFonts w:ascii="宋体" w:hAnsi="宋体"/>
                <w:color w:val="auto"/>
                <w:sz w:val="21"/>
                <w:szCs w:val="21"/>
                <w:highlight w:val="none"/>
              </w:rPr>
            </w:pPr>
          </w:p>
        </w:tc>
        <w:tc>
          <w:tcPr>
            <w:tcW w:w="1336" w:type="dxa"/>
            <w:vAlign w:val="center"/>
          </w:tcPr>
          <w:p w14:paraId="73DD4FF6">
            <w:pPr>
              <w:jc w:val="center"/>
              <w:rPr>
                <w:rFonts w:ascii="宋体" w:hAnsi="宋体"/>
                <w:color w:val="auto"/>
                <w:sz w:val="21"/>
                <w:szCs w:val="21"/>
                <w:highlight w:val="none"/>
              </w:rPr>
            </w:pPr>
          </w:p>
        </w:tc>
        <w:tc>
          <w:tcPr>
            <w:tcW w:w="808" w:type="dxa"/>
            <w:vAlign w:val="center"/>
          </w:tcPr>
          <w:p w14:paraId="682A774B">
            <w:pPr>
              <w:jc w:val="center"/>
              <w:rPr>
                <w:rFonts w:ascii="宋体" w:hAnsi="宋体"/>
                <w:color w:val="auto"/>
                <w:sz w:val="21"/>
                <w:szCs w:val="21"/>
                <w:highlight w:val="none"/>
              </w:rPr>
            </w:pPr>
          </w:p>
        </w:tc>
        <w:tc>
          <w:tcPr>
            <w:tcW w:w="826" w:type="dxa"/>
            <w:vAlign w:val="center"/>
          </w:tcPr>
          <w:p w14:paraId="4D8A9F91">
            <w:pPr>
              <w:jc w:val="center"/>
              <w:rPr>
                <w:rFonts w:ascii="宋体" w:hAnsi="宋体"/>
                <w:color w:val="auto"/>
                <w:sz w:val="21"/>
                <w:szCs w:val="21"/>
                <w:highlight w:val="none"/>
              </w:rPr>
            </w:pPr>
          </w:p>
        </w:tc>
        <w:tc>
          <w:tcPr>
            <w:tcW w:w="892" w:type="dxa"/>
            <w:vAlign w:val="center"/>
          </w:tcPr>
          <w:p w14:paraId="5FC0F5EF">
            <w:pPr>
              <w:jc w:val="center"/>
              <w:rPr>
                <w:rFonts w:ascii="宋体" w:hAnsi="宋体"/>
                <w:color w:val="auto"/>
                <w:sz w:val="21"/>
                <w:szCs w:val="21"/>
                <w:highlight w:val="none"/>
              </w:rPr>
            </w:pPr>
          </w:p>
        </w:tc>
        <w:tc>
          <w:tcPr>
            <w:tcW w:w="2229" w:type="dxa"/>
            <w:vAlign w:val="center"/>
          </w:tcPr>
          <w:p w14:paraId="59C49F71">
            <w:pPr>
              <w:jc w:val="center"/>
              <w:rPr>
                <w:rFonts w:ascii="宋体" w:hAnsi="宋体"/>
                <w:color w:val="auto"/>
                <w:sz w:val="21"/>
                <w:szCs w:val="21"/>
                <w:highlight w:val="none"/>
              </w:rPr>
            </w:pPr>
          </w:p>
        </w:tc>
        <w:tc>
          <w:tcPr>
            <w:tcW w:w="741" w:type="dxa"/>
            <w:vAlign w:val="center"/>
          </w:tcPr>
          <w:p w14:paraId="17504D4A">
            <w:pPr>
              <w:jc w:val="center"/>
              <w:rPr>
                <w:rFonts w:ascii="宋体" w:hAnsi="宋体"/>
                <w:color w:val="auto"/>
                <w:sz w:val="21"/>
                <w:szCs w:val="21"/>
                <w:highlight w:val="none"/>
              </w:rPr>
            </w:pPr>
          </w:p>
        </w:tc>
      </w:tr>
      <w:tr w14:paraId="3B4D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8C4649D">
            <w:pPr>
              <w:jc w:val="center"/>
              <w:rPr>
                <w:rFonts w:ascii="宋体" w:hAnsi="宋体"/>
                <w:color w:val="auto"/>
                <w:sz w:val="21"/>
                <w:szCs w:val="21"/>
                <w:highlight w:val="none"/>
              </w:rPr>
            </w:pPr>
          </w:p>
        </w:tc>
        <w:tc>
          <w:tcPr>
            <w:tcW w:w="743" w:type="dxa"/>
            <w:vAlign w:val="center"/>
          </w:tcPr>
          <w:p w14:paraId="65E2FC2B">
            <w:pPr>
              <w:jc w:val="center"/>
              <w:rPr>
                <w:rFonts w:ascii="宋体" w:hAnsi="宋体"/>
                <w:color w:val="auto"/>
                <w:sz w:val="21"/>
                <w:szCs w:val="21"/>
                <w:highlight w:val="none"/>
              </w:rPr>
            </w:pPr>
          </w:p>
        </w:tc>
        <w:tc>
          <w:tcPr>
            <w:tcW w:w="743" w:type="dxa"/>
            <w:vAlign w:val="center"/>
          </w:tcPr>
          <w:p w14:paraId="0C17EEA3">
            <w:pPr>
              <w:jc w:val="center"/>
              <w:rPr>
                <w:rFonts w:ascii="宋体" w:hAnsi="宋体"/>
                <w:color w:val="auto"/>
                <w:sz w:val="21"/>
                <w:szCs w:val="21"/>
                <w:highlight w:val="none"/>
              </w:rPr>
            </w:pPr>
          </w:p>
        </w:tc>
        <w:tc>
          <w:tcPr>
            <w:tcW w:w="1336" w:type="dxa"/>
            <w:vAlign w:val="center"/>
          </w:tcPr>
          <w:p w14:paraId="4DFFFC1F">
            <w:pPr>
              <w:jc w:val="center"/>
              <w:rPr>
                <w:rFonts w:ascii="宋体" w:hAnsi="宋体"/>
                <w:color w:val="auto"/>
                <w:sz w:val="21"/>
                <w:szCs w:val="21"/>
                <w:highlight w:val="none"/>
              </w:rPr>
            </w:pPr>
          </w:p>
        </w:tc>
        <w:tc>
          <w:tcPr>
            <w:tcW w:w="808" w:type="dxa"/>
            <w:vAlign w:val="center"/>
          </w:tcPr>
          <w:p w14:paraId="03CE3BDF">
            <w:pPr>
              <w:jc w:val="center"/>
              <w:rPr>
                <w:rFonts w:ascii="宋体" w:hAnsi="宋体"/>
                <w:color w:val="auto"/>
                <w:sz w:val="21"/>
                <w:szCs w:val="21"/>
                <w:highlight w:val="none"/>
              </w:rPr>
            </w:pPr>
          </w:p>
        </w:tc>
        <w:tc>
          <w:tcPr>
            <w:tcW w:w="826" w:type="dxa"/>
            <w:vAlign w:val="center"/>
          </w:tcPr>
          <w:p w14:paraId="03E71BDA">
            <w:pPr>
              <w:jc w:val="center"/>
              <w:rPr>
                <w:rFonts w:ascii="宋体" w:hAnsi="宋体"/>
                <w:color w:val="auto"/>
                <w:sz w:val="21"/>
                <w:szCs w:val="21"/>
                <w:highlight w:val="none"/>
              </w:rPr>
            </w:pPr>
          </w:p>
        </w:tc>
        <w:tc>
          <w:tcPr>
            <w:tcW w:w="892" w:type="dxa"/>
            <w:vAlign w:val="center"/>
          </w:tcPr>
          <w:p w14:paraId="54AA730E">
            <w:pPr>
              <w:jc w:val="center"/>
              <w:rPr>
                <w:rFonts w:ascii="宋体" w:hAnsi="宋体"/>
                <w:color w:val="auto"/>
                <w:sz w:val="21"/>
                <w:szCs w:val="21"/>
                <w:highlight w:val="none"/>
              </w:rPr>
            </w:pPr>
          </w:p>
        </w:tc>
        <w:tc>
          <w:tcPr>
            <w:tcW w:w="2229" w:type="dxa"/>
            <w:vAlign w:val="center"/>
          </w:tcPr>
          <w:p w14:paraId="49BEF94B">
            <w:pPr>
              <w:jc w:val="center"/>
              <w:rPr>
                <w:rFonts w:ascii="宋体" w:hAnsi="宋体"/>
                <w:color w:val="auto"/>
                <w:sz w:val="21"/>
                <w:szCs w:val="21"/>
                <w:highlight w:val="none"/>
              </w:rPr>
            </w:pPr>
          </w:p>
        </w:tc>
        <w:tc>
          <w:tcPr>
            <w:tcW w:w="741" w:type="dxa"/>
            <w:vAlign w:val="center"/>
          </w:tcPr>
          <w:p w14:paraId="24CEC57E">
            <w:pPr>
              <w:jc w:val="center"/>
              <w:rPr>
                <w:rFonts w:ascii="宋体" w:hAnsi="宋体"/>
                <w:color w:val="auto"/>
                <w:sz w:val="21"/>
                <w:szCs w:val="21"/>
                <w:highlight w:val="none"/>
              </w:rPr>
            </w:pPr>
          </w:p>
        </w:tc>
      </w:tr>
      <w:tr w14:paraId="1075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17B8733">
            <w:pPr>
              <w:jc w:val="center"/>
              <w:rPr>
                <w:rFonts w:ascii="宋体" w:hAnsi="宋体"/>
                <w:color w:val="auto"/>
                <w:sz w:val="21"/>
                <w:szCs w:val="21"/>
                <w:highlight w:val="none"/>
              </w:rPr>
            </w:pPr>
          </w:p>
        </w:tc>
        <w:tc>
          <w:tcPr>
            <w:tcW w:w="743" w:type="dxa"/>
            <w:vAlign w:val="center"/>
          </w:tcPr>
          <w:p w14:paraId="076C13DF">
            <w:pPr>
              <w:jc w:val="center"/>
              <w:rPr>
                <w:rFonts w:ascii="宋体" w:hAnsi="宋体"/>
                <w:color w:val="auto"/>
                <w:sz w:val="21"/>
                <w:szCs w:val="21"/>
                <w:highlight w:val="none"/>
              </w:rPr>
            </w:pPr>
          </w:p>
        </w:tc>
        <w:tc>
          <w:tcPr>
            <w:tcW w:w="743" w:type="dxa"/>
            <w:vAlign w:val="center"/>
          </w:tcPr>
          <w:p w14:paraId="5B3BDCE3">
            <w:pPr>
              <w:jc w:val="center"/>
              <w:rPr>
                <w:rFonts w:ascii="宋体" w:hAnsi="宋体"/>
                <w:color w:val="auto"/>
                <w:sz w:val="21"/>
                <w:szCs w:val="21"/>
                <w:highlight w:val="none"/>
              </w:rPr>
            </w:pPr>
          </w:p>
        </w:tc>
        <w:tc>
          <w:tcPr>
            <w:tcW w:w="1336" w:type="dxa"/>
            <w:vAlign w:val="center"/>
          </w:tcPr>
          <w:p w14:paraId="15A68D61">
            <w:pPr>
              <w:jc w:val="center"/>
              <w:rPr>
                <w:rFonts w:ascii="宋体" w:hAnsi="宋体"/>
                <w:color w:val="auto"/>
                <w:sz w:val="21"/>
                <w:szCs w:val="21"/>
                <w:highlight w:val="none"/>
              </w:rPr>
            </w:pPr>
          </w:p>
        </w:tc>
        <w:tc>
          <w:tcPr>
            <w:tcW w:w="808" w:type="dxa"/>
            <w:vAlign w:val="center"/>
          </w:tcPr>
          <w:p w14:paraId="428E4205">
            <w:pPr>
              <w:jc w:val="center"/>
              <w:rPr>
                <w:rFonts w:ascii="宋体" w:hAnsi="宋体"/>
                <w:color w:val="auto"/>
                <w:sz w:val="21"/>
                <w:szCs w:val="21"/>
                <w:highlight w:val="none"/>
              </w:rPr>
            </w:pPr>
          </w:p>
        </w:tc>
        <w:tc>
          <w:tcPr>
            <w:tcW w:w="826" w:type="dxa"/>
            <w:vAlign w:val="center"/>
          </w:tcPr>
          <w:p w14:paraId="302119D3">
            <w:pPr>
              <w:jc w:val="center"/>
              <w:rPr>
                <w:rFonts w:ascii="宋体" w:hAnsi="宋体"/>
                <w:color w:val="auto"/>
                <w:sz w:val="21"/>
                <w:szCs w:val="21"/>
                <w:highlight w:val="none"/>
              </w:rPr>
            </w:pPr>
          </w:p>
        </w:tc>
        <w:tc>
          <w:tcPr>
            <w:tcW w:w="892" w:type="dxa"/>
            <w:vAlign w:val="center"/>
          </w:tcPr>
          <w:p w14:paraId="2990C0CA">
            <w:pPr>
              <w:jc w:val="center"/>
              <w:rPr>
                <w:rFonts w:ascii="宋体" w:hAnsi="宋体"/>
                <w:color w:val="auto"/>
                <w:sz w:val="21"/>
                <w:szCs w:val="21"/>
                <w:highlight w:val="none"/>
              </w:rPr>
            </w:pPr>
          </w:p>
        </w:tc>
        <w:tc>
          <w:tcPr>
            <w:tcW w:w="2229" w:type="dxa"/>
            <w:vAlign w:val="center"/>
          </w:tcPr>
          <w:p w14:paraId="4578D083">
            <w:pPr>
              <w:jc w:val="center"/>
              <w:rPr>
                <w:rFonts w:ascii="宋体" w:hAnsi="宋体"/>
                <w:color w:val="auto"/>
                <w:sz w:val="21"/>
                <w:szCs w:val="21"/>
                <w:highlight w:val="none"/>
              </w:rPr>
            </w:pPr>
          </w:p>
        </w:tc>
        <w:tc>
          <w:tcPr>
            <w:tcW w:w="741" w:type="dxa"/>
            <w:vAlign w:val="center"/>
          </w:tcPr>
          <w:p w14:paraId="5E5DCFD9">
            <w:pPr>
              <w:jc w:val="center"/>
              <w:rPr>
                <w:rFonts w:ascii="宋体" w:hAnsi="宋体"/>
                <w:color w:val="auto"/>
                <w:sz w:val="21"/>
                <w:szCs w:val="21"/>
                <w:highlight w:val="none"/>
              </w:rPr>
            </w:pPr>
          </w:p>
        </w:tc>
      </w:tr>
      <w:tr w14:paraId="40E6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D1501D0">
            <w:pPr>
              <w:jc w:val="center"/>
              <w:rPr>
                <w:rFonts w:ascii="宋体" w:hAnsi="宋体"/>
                <w:color w:val="auto"/>
                <w:sz w:val="21"/>
                <w:szCs w:val="21"/>
                <w:highlight w:val="none"/>
              </w:rPr>
            </w:pPr>
          </w:p>
        </w:tc>
        <w:tc>
          <w:tcPr>
            <w:tcW w:w="743" w:type="dxa"/>
            <w:vAlign w:val="center"/>
          </w:tcPr>
          <w:p w14:paraId="28D229FE">
            <w:pPr>
              <w:jc w:val="center"/>
              <w:rPr>
                <w:rFonts w:ascii="宋体" w:hAnsi="宋体"/>
                <w:color w:val="auto"/>
                <w:sz w:val="21"/>
                <w:szCs w:val="21"/>
                <w:highlight w:val="none"/>
              </w:rPr>
            </w:pPr>
          </w:p>
        </w:tc>
        <w:tc>
          <w:tcPr>
            <w:tcW w:w="743" w:type="dxa"/>
            <w:vAlign w:val="center"/>
          </w:tcPr>
          <w:p w14:paraId="08A2A08B">
            <w:pPr>
              <w:jc w:val="center"/>
              <w:rPr>
                <w:rFonts w:ascii="宋体" w:hAnsi="宋体"/>
                <w:color w:val="auto"/>
                <w:sz w:val="21"/>
                <w:szCs w:val="21"/>
                <w:highlight w:val="none"/>
              </w:rPr>
            </w:pPr>
          </w:p>
        </w:tc>
        <w:tc>
          <w:tcPr>
            <w:tcW w:w="1336" w:type="dxa"/>
            <w:vAlign w:val="center"/>
          </w:tcPr>
          <w:p w14:paraId="31EBD3EE">
            <w:pPr>
              <w:jc w:val="center"/>
              <w:rPr>
                <w:rFonts w:ascii="宋体" w:hAnsi="宋体"/>
                <w:color w:val="auto"/>
                <w:sz w:val="21"/>
                <w:szCs w:val="21"/>
                <w:highlight w:val="none"/>
              </w:rPr>
            </w:pPr>
          </w:p>
        </w:tc>
        <w:tc>
          <w:tcPr>
            <w:tcW w:w="808" w:type="dxa"/>
            <w:vAlign w:val="center"/>
          </w:tcPr>
          <w:p w14:paraId="16A368C3">
            <w:pPr>
              <w:jc w:val="center"/>
              <w:rPr>
                <w:rFonts w:ascii="宋体" w:hAnsi="宋体"/>
                <w:color w:val="auto"/>
                <w:sz w:val="21"/>
                <w:szCs w:val="21"/>
                <w:highlight w:val="none"/>
              </w:rPr>
            </w:pPr>
          </w:p>
        </w:tc>
        <w:tc>
          <w:tcPr>
            <w:tcW w:w="826" w:type="dxa"/>
            <w:vAlign w:val="center"/>
          </w:tcPr>
          <w:p w14:paraId="24B2AA1B">
            <w:pPr>
              <w:jc w:val="center"/>
              <w:rPr>
                <w:rFonts w:ascii="宋体" w:hAnsi="宋体"/>
                <w:color w:val="auto"/>
                <w:sz w:val="21"/>
                <w:szCs w:val="21"/>
                <w:highlight w:val="none"/>
              </w:rPr>
            </w:pPr>
          </w:p>
        </w:tc>
        <w:tc>
          <w:tcPr>
            <w:tcW w:w="892" w:type="dxa"/>
            <w:vAlign w:val="center"/>
          </w:tcPr>
          <w:p w14:paraId="0EC10C19">
            <w:pPr>
              <w:jc w:val="center"/>
              <w:rPr>
                <w:rFonts w:ascii="宋体" w:hAnsi="宋体"/>
                <w:color w:val="auto"/>
                <w:sz w:val="21"/>
                <w:szCs w:val="21"/>
                <w:highlight w:val="none"/>
              </w:rPr>
            </w:pPr>
          </w:p>
        </w:tc>
        <w:tc>
          <w:tcPr>
            <w:tcW w:w="2229" w:type="dxa"/>
            <w:vAlign w:val="center"/>
          </w:tcPr>
          <w:p w14:paraId="7CE06650">
            <w:pPr>
              <w:jc w:val="center"/>
              <w:rPr>
                <w:rFonts w:ascii="宋体" w:hAnsi="宋体"/>
                <w:color w:val="auto"/>
                <w:sz w:val="21"/>
                <w:szCs w:val="21"/>
                <w:highlight w:val="none"/>
              </w:rPr>
            </w:pPr>
          </w:p>
        </w:tc>
        <w:tc>
          <w:tcPr>
            <w:tcW w:w="741" w:type="dxa"/>
            <w:vAlign w:val="center"/>
          </w:tcPr>
          <w:p w14:paraId="451023E3">
            <w:pPr>
              <w:jc w:val="center"/>
              <w:rPr>
                <w:rFonts w:ascii="宋体" w:hAnsi="宋体"/>
                <w:color w:val="auto"/>
                <w:sz w:val="21"/>
                <w:szCs w:val="21"/>
                <w:highlight w:val="none"/>
              </w:rPr>
            </w:pPr>
          </w:p>
        </w:tc>
      </w:tr>
      <w:tr w14:paraId="6425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D7DC3F4">
            <w:pPr>
              <w:jc w:val="center"/>
              <w:rPr>
                <w:rFonts w:ascii="宋体" w:hAnsi="宋体"/>
                <w:color w:val="auto"/>
                <w:sz w:val="21"/>
                <w:szCs w:val="21"/>
                <w:highlight w:val="none"/>
              </w:rPr>
            </w:pPr>
          </w:p>
        </w:tc>
        <w:tc>
          <w:tcPr>
            <w:tcW w:w="743" w:type="dxa"/>
            <w:vAlign w:val="center"/>
          </w:tcPr>
          <w:p w14:paraId="3FDF9693">
            <w:pPr>
              <w:jc w:val="center"/>
              <w:rPr>
                <w:rFonts w:ascii="宋体" w:hAnsi="宋体"/>
                <w:color w:val="auto"/>
                <w:sz w:val="21"/>
                <w:szCs w:val="21"/>
                <w:highlight w:val="none"/>
              </w:rPr>
            </w:pPr>
          </w:p>
        </w:tc>
        <w:tc>
          <w:tcPr>
            <w:tcW w:w="743" w:type="dxa"/>
            <w:vAlign w:val="center"/>
          </w:tcPr>
          <w:p w14:paraId="579A308C">
            <w:pPr>
              <w:jc w:val="center"/>
              <w:rPr>
                <w:rFonts w:ascii="宋体" w:hAnsi="宋体"/>
                <w:color w:val="auto"/>
                <w:sz w:val="21"/>
                <w:szCs w:val="21"/>
                <w:highlight w:val="none"/>
              </w:rPr>
            </w:pPr>
          </w:p>
        </w:tc>
        <w:tc>
          <w:tcPr>
            <w:tcW w:w="1336" w:type="dxa"/>
            <w:vAlign w:val="center"/>
          </w:tcPr>
          <w:p w14:paraId="0153CFAF">
            <w:pPr>
              <w:jc w:val="center"/>
              <w:rPr>
                <w:rFonts w:ascii="宋体" w:hAnsi="宋体"/>
                <w:color w:val="auto"/>
                <w:sz w:val="21"/>
                <w:szCs w:val="21"/>
                <w:highlight w:val="none"/>
              </w:rPr>
            </w:pPr>
          </w:p>
        </w:tc>
        <w:tc>
          <w:tcPr>
            <w:tcW w:w="808" w:type="dxa"/>
            <w:vAlign w:val="center"/>
          </w:tcPr>
          <w:p w14:paraId="103A3830">
            <w:pPr>
              <w:jc w:val="center"/>
              <w:rPr>
                <w:rFonts w:ascii="宋体" w:hAnsi="宋体"/>
                <w:color w:val="auto"/>
                <w:sz w:val="21"/>
                <w:szCs w:val="21"/>
                <w:highlight w:val="none"/>
              </w:rPr>
            </w:pPr>
          </w:p>
        </w:tc>
        <w:tc>
          <w:tcPr>
            <w:tcW w:w="826" w:type="dxa"/>
            <w:vAlign w:val="center"/>
          </w:tcPr>
          <w:p w14:paraId="4379F9C7">
            <w:pPr>
              <w:jc w:val="center"/>
              <w:rPr>
                <w:rFonts w:ascii="宋体" w:hAnsi="宋体"/>
                <w:color w:val="auto"/>
                <w:sz w:val="21"/>
                <w:szCs w:val="21"/>
                <w:highlight w:val="none"/>
              </w:rPr>
            </w:pPr>
          </w:p>
        </w:tc>
        <w:tc>
          <w:tcPr>
            <w:tcW w:w="892" w:type="dxa"/>
            <w:vAlign w:val="center"/>
          </w:tcPr>
          <w:p w14:paraId="6D92ACB9">
            <w:pPr>
              <w:jc w:val="center"/>
              <w:rPr>
                <w:rFonts w:ascii="宋体" w:hAnsi="宋体"/>
                <w:color w:val="auto"/>
                <w:sz w:val="21"/>
                <w:szCs w:val="21"/>
                <w:highlight w:val="none"/>
              </w:rPr>
            </w:pPr>
          </w:p>
        </w:tc>
        <w:tc>
          <w:tcPr>
            <w:tcW w:w="2229" w:type="dxa"/>
            <w:vAlign w:val="center"/>
          </w:tcPr>
          <w:p w14:paraId="2837EB85">
            <w:pPr>
              <w:jc w:val="center"/>
              <w:rPr>
                <w:rFonts w:ascii="宋体" w:hAnsi="宋体"/>
                <w:color w:val="auto"/>
                <w:sz w:val="21"/>
                <w:szCs w:val="21"/>
                <w:highlight w:val="none"/>
              </w:rPr>
            </w:pPr>
          </w:p>
        </w:tc>
        <w:tc>
          <w:tcPr>
            <w:tcW w:w="741" w:type="dxa"/>
            <w:vAlign w:val="center"/>
          </w:tcPr>
          <w:p w14:paraId="2A746E0B">
            <w:pPr>
              <w:jc w:val="center"/>
              <w:rPr>
                <w:rFonts w:ascii="宋体" w:hAnsi="宋体"/>
                <w:color w:val="auto"/>
                <w:sz w:val="21"/>
                <w:szCs w:val="21"/>
                <w:highlight w:val="none"/>
              </w:rPr>
            </w:pPr>
          </w:p>
        </w:tc>
      </w:tr>
      <w:tr w14:paraId="440D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8E398E1">
            <w:pPr>
              <w:jc w:val="center"/>
              <w:rPr>
                <w:rFonts w:ascii="宋体" w:hAnsi="宋体"/>
                <w:color w:val="auto"/>
                <w:sz w:val="21"/>
                <w:szCs w:val="21"/>
                <w:highlight w:val="none"/>
              </w:rPr>
            </w:pPr>
          </w:p>
        </w:tc>
        <w:tc>
          <w:tcPr>
            <w:tcW w:w="743" w:type="dxa"/>
            <w:vAlign w:val="center"/>
          </w:tcPr>
          <w:p w14:paraId="7F3C9133">
            <w:pPr>
              <w:jc w:val="center"/>
              <w:rPr>
                <w:rFonts w:ascii="宋体" w:hAnsi="宋体"/>
                <w:color w:val="auto"/>
                <w:sz w:val="21"/>
                <w:szCs w:val="21"/>
                <w:highlight w:val="none"/>
              </w:rPr>
            </w:pPr>
          </w:p>
        </w:tc>
        <w:tc>
          <w:tcPr>
            <w:tcW w:w="743" w:type="dxa"/>
            <w:vAlign w:val="center"/>
          </w:tcPr>
          <w:p w14:paraId="37C3FC10">
            <w:pPr>
              <w:jc w:val="center"/>
              <w:rPr>
                <w:rFonts w:ascii="宋体" w:hAnsi="宋体"/>
                <w:color w:val="auto"/>
                <w:sz w:val="21"/>
                <w:szCs w:val="21"/>
                <w:highlight w:val="none"/>
              </w:rPr>
            </w:pPr>
          </w:p>
        </w:tc>
        <w:tc>
          <w:tcPr>
            <w:tcW w:w="1336" w:type="dxa"/>
            <w:vAlign w:val="center"/>
          </w:tcPr>
          <w:p w14:paraId="7B8FC72B">
            <w:pPr>
              <w:jc w:val="center"/>
              <w:rPr>
                <w:rFonts w:ascii="宋体" w:hAnsi="宋体"/>
                <w:color w:val="auto"/>
                <w:sz w:val="21"/>
                <w:szCs w:val="21"/>
                <w:highlight w:val="none"/>
              </w:rPr>
            </w:pPr>
          </w:p>
        </w:tc>
        <w:tc>
          <w:tcPr>
            <w:tcW w:w="808" w:type="dxa"/>
            <w:vAlign w:val="center"/>
          </w:tcPr>
          <w:p w14:paraId="7348BE97">
            <w:pPr>
              <w:jc w:val="center"/>
              <w:rPr>
                <w:rFonts w:ascii="宋体" w:hAnsi="宋体"/>
                <w:color w:val="auto"/>
                <w:sz w:val="21"/>
                <w:szCs w:val="21"/>
                <w:highlight w:val="none"/>
              </w:rPr>
            </w:pPr>
          </w:p>
        </w:tc>
        <w:tc>
          <w:tcPr>
            <w:tcW w:w="826" w:type="dxa"/>
            <w:vAlign w:val="center"/>
          </w:tcPr>
          <w:p w14:paraId="674E2C61">
            <w:pPr>
              <w:jc w:val="center"/>
              <w:rPr>
                <w:rFonts w:ascii="宋体" w:hAnsi="宋体"/>
                <w:color w:val="auto"/>
                <w:sz w:val="21"/>
                <w:szCs w:val="21"/>
                <w:highlight w:val="none"/>
              </w:rPr>
            </w:pPr>
          </w:p>
        </w:tc>
        <w:tc>
          <w:tcPr>
            <w:tcW w:w="892" w:type="dxa"/>
            <w:vAlign w:val="center"/>
          </w:tcPr>
          <w:p w14:paraId="41E24B5B">
            <w:pPr>
              <w:jc w:val="center"/>
              <w:rPr>
                <w:rFonts w:ascii="宋体" w:hAnsi="宋体"/>
                <w:color w:val="auto"/>
                <w:sz w:val="21"/>
                <w:szCs w:val="21"/>
                <w:highlight w:val="none"/>
              </w:rPr>
            </w:pPr>
          </w:p>
        </w:tc>
        <w:tc>
          <w:tcPr>
            <w:tcW w:w="2229" w:type="dxa"/>
            <w:vAlign w:val="center"/>
          </w:tcPr>
          <w:p w14:paraId="665CF6A8">
            <w:pPr>
              <w:jc w:val="center"/>
              <w:rPr>
                <w:rFonts w:ascii="宋体" w:hAnsi="宋体"/>
                <w:color w:val="auto"/>
                <w:sz w:val="21"/>
                <w:szCs w:val="21"/>
                <w:highlight w:val="none"/>
              </w:rPr>
            </w:pPr>
          </w:p>
        </w:tc>
        <w:tc>
          <w:tcPr>
            <w:tcW w:w="741" w:type="dxa"/>
            <w:vAlign w:val="center"/>
          </w:tcPr>
          <w:p w14:paraId="1E06EFE2">
            <w:pPr>
              <w:jc w:val="center"/>
              <w:rPr>
                <w:rFonts w:ascii="宋体" w:hAnsi="宋体"/>
                <w:color w:val="auto"/>
                <w:sz w:val="21"/>
                <w:szCs w:val="21"/>
                <w:highlight w:val="none"/>
              </w:rPr>
            </w:pPr>
          </w:p>
        </w:tc>
      </w:tr>
      <w:tr w14:paraId="3E35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13C1D20">
            <w:pPr>
              <w:jc w:val="center"/>
              <w:rPr>
                <w:rFonts w:ascii="宋体" w:hAnsi="宋体"/>
                <w:color w:val="auto"/>
                <w:sz w:val="21"/>
                <w:szCs w:val="21"/>
                <w:highlight w:val="none"/>
              </w:rPr>
            </w:pPr>
          </w:p>
        </w:tc>
        <w:tc>
          <w:tcPr>
            <w:tcW w:w="743" w:type="dxa"/>
            <w:vAlign w:val="center"/>
          </w:tcPr>
          <w:p w14:paraId="7FA135DE">
            <w:pPr>
              <w:jc w:val="center"/>
              <w:rPr>
                <w:rFonts w:ascii="宋体" w:hAnsi="宋体"/>
                <w:color w:val="auto"/>
                <w:sz w:val="21"/>
                <w:szCs w:val="21"/>
                <w:highlight w:val="none"/>
              </w:rPr>
            </w:pPr>
          </w:p>
        </w:tc>
        <w:tc>
          <w:tcPr>
            <w:tcW w:w="743" w:type="dxa"/>
            <w:vAlign w:val="center"/>
          </w:tcPr>
          <w:p w14:paraId="6D4BC0C4">
            <w:pPr>
              <w:jc w:val="center"/>
              <w:rPr>
                <w:rFonts w:ascii="宋体" w:hAnsi="宋体"/>
                <w:color w:val="auto"/>
                <w:sz w:val="21"/>
                <w:szCs w:val="21"/>
                <w:highlight w:val="none"/>
              </w:rPr>
            </w:pPr>
          </w:p>
        </w:tc>
        <w:tc>
          <w:tcPr>
            <w:tcW w:w="1336" w:type="dxa"/>
            <w:vAlign w:val="center"/>
          </w:tcPr>
          <w:p w14:paraId="5698F91F">
            <w:pPr>
              <w:jc w:val="center"/>
              <w:rPr>
                <w:rFonts w:ascii="宋体" w:hAnsi="宋体"/>
                <w:color w:val="auto"/>
                <w:sz w:val="21"/>
                <w:szCs w:val="21"/>
                <w:highlight w:val="none"/>
              </w:rPr>
            </w:pPr>
          </w:p>
        </w:tc>
        <w:tc>
          <w:tcPr>
            <w:tcW w:w="808" w:type="dxa"/>
            <w:vAlign w:val="center"/>
          </w:tcPr>
          <w:p w14:paraId="6B40DDAB">
            <w:pPr>
              <w:jc w:val="center"/>
              <w:rPr>
                <w:rFonts w:ascii="宋体" w:hAnsi="宋体"/>
                <w:color w:val="auto"/>
                <w:sz w:val="21"/>
                <w:szCs w:val="21"/>
                <w:highlight w:val="none"/>
              </w:rPr>
            </w:pPr>
          </w:p>
        </w:tc>
        <w:tc>
          <w:tcPr>
            <w:tcW w:w="826" w:type="dxa"/>
            <w:vAlign w:val="center"/>
          </w:tcPr>
          <w:p w14:paraId="2E3DE8E6">
            <w:pPr>
              <w:jc w:val="center"/>
              <w:rPr>
                <w:rFonts w:ascii="宋体" w:hAnsi="宋体"/>
                <w:color w:val="auto"/>
                <w:sz w:val="21"/>
                <w:szCs w:val="21"/>
                <w:highlight w:val="none"/>
              </w:rPr>
            </w:pPr>
          </w:p>
        </w:tc>
        <w:tc>
          <w:tcPr>
            <w:tcW w:w="892" w:type="dxa"/>
            <w:vAlign w:val="center"/>
          </w:tcPr>
          <w:p w14:paraId="69D93DFB">
            <w:pPr>
              <w:jc w:val="center"/>
              <w:rPr>
                <w:rFonts w:ascii="宋体" w:hAnsi="宋体"/>
                <w:color w:val="auto"/>
                <w:sz w:val="21"/>
                <w:szCs w:val="21"/>
                <w:highlight w:val="none"/>
              </w:rPr>
            </w:pPr>
          </w:p>
        </w:tc>
        <w:tc>
          <w:tcPr>
            <w:tcW w:w="2229" w:type="dxa"/>
            <w:vAlign w:val="center"/>
          </w:tcPr>
          <w:p w14:paraId="6694D215">
            <w:pPr>
              <w:jc w:val="center"/>
              <w:rPr>
                <w:rFonts w:ascii="宋体" w:hAnsi="宋体"/>
                <w:color w:val="auto"/>
                <w:sz w:val="21"/>
                <w:szCs w:val="21"/>
                <w:highlight w:val="none"/>
              </w:rPr>
            </w:pPr>
          </w:p>
        </w:tc>
        <w:tc>
          <w:tcPr>
            <w:tcW w:w="741" w:type="dxa"/>
            <w:vAlign w:val="center"/>
          </w:tcPr>
          <w:p w14:paraId="03DF533C">
            <w:pPr>
              <w:jc w:val="center"/>
              <w:rPr>
                <w:rFonts w:ascii="宋体" w:hAnsi="宋体"/>
                <w:color w:val="auto"/>
                <w:sz w:val="21"/>
                <w:szCs w:val="21"/>
                <w:highlight w:val="none"/>
              </w:rPr>
            </w:pPr>
          </w:p>
        </w:tc>
      </w:tr>
      <w:tr w14:paraId="44FC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A1BE56E">
            <w:pPr>
              <w:jc w:val="center"/>
              <w:rPr>
                <w:rFonts w:ascii="宋体" w:hAnsi="宋体"/>
                <w:color w:val="auto"/>
                <w:sz w:val="21"/>
                <w:szCs w:val="21"/>
                <w:highlight w:val="none"/>
              </w:rPr>
            </w:pPr>
          </w:p>
        </w:tc>
        <w:tc>
          <w:tcPr>
            <w:tcW w:w="743" w:type="dxa"/>
            <w:vAlign w:val="center"/>
          </w:tcPr>
          <w:p w14:paraId="7DBC226A">
            <w:pPr>
              <w:jc w:val="center"/>
              <w:rPr>
                <w:rFonts w:ascii="宋体" w:hAnsi="宋体"/>
                <w:color w:val="auto"/>
                <w:sz w:val="21"/>
                <w:szCs w:val="21"/>
                <w:highlight w:val="none"/>
              </w:rPr>
            </w:pPr>
          </w:p>
        </w:tc>
        <w:tc>
          <w:tcPr>
            <w:tcW w:w="743" w:type="dxa"/>
            <w:vAlign w:val="center"/>
          </w:tcPr>
          <w:p w14:paraId="48DCA8EA">
            <w:pPr>
              <w:jc w:val="center"/>
              <w:rPr>
                <w:rFonts w:ascii="宋体" w:hAnsi="宋体"/>
                <w:color w:val="auto"/>
                <w:sz w:val="21"/>
                <w:szCs w:val="21"/>
                <w:highlight w:val="none"/>
              </w:rPr>
            </w:pPr>
          </w:p>
        </w:tc>
        <w:tc>
          <w:tcPr>
            <w:tcW w:w="1336" w:type="dxa"/>
            <w:vAlign w:val="center"/>
          </w:tcPr>
          <w:p w14:paraId="31571A02">
            <w:pPr>
              <w:jc w:val="center"/>
              <w:rPr>
                <w:rFonts w:ascii="宋体" w:hAnsi="宋体"/>
                <w:color w:val="auto"/>
                <w:sz w:val="21"/>
                <w:szCs w:val="21"/>
                <w:highlight w:val="none"/>
              </w:rPr>
            </w:pPr>
          </w:p>
        </w:tc>
        <w:tc>
          <w:tcPr>
            <w:tcW w:w="808" w:type="dxa"/>
            <w:vAlign w:val="center"/>
          </w:tcPr>
          <w:p w14:paraId="04E00BD6">
            <w:pPr>
              <w:jc w:val="center"/>
              <w:rPr>
                <w:rFonts w:ascii="宋体" w:hAnsi="宋体"/>
                <w:color w:val="auto"/>
                <w:sz w:val="21"/>
                <w:szCs w:val="21"/>
                <w:highlight w:val="none"/>
              </w:rPr>
            </w:pPr>
          </w:p>
        </w:tc>
        <w:tc>
          <w:tcPr>
            <w:tcW w:w="826" w:type="dxa"/>
            <w:vAlign w:val="center"/>
          </w:tcPr>
          <w:p w14:paraId="6F637903">
            <w:pPr>
              <w:jc w:val="center"/>
              <w:rPr>
                <w:rFonts w:ascii="宋体" w:hAnsi="宋体"/>
                <w:color w:val="auto"/>
                <w:sz w:val="21"/>
                <w:szCs w:val="21"/>
                <w:highlight w:val="none"/>
              </w:rPr>
            </w:pPr>
          </w:p>
        </w:tc>
        <w:tc>
          <w:tcPr>
            <w:tcW w:w="892" w:type="dxa"/>
            <w:vAlign w:val="center"/>
          </w:tcPr>
          <w:p w14:paraId="3D7C9847">
            <w:pPr>
              <w:jc w:val="center"/>
              <w:rPr>
                <w:rFonts w:ascii="宋体" w:hAnsi="宋体"/>
                <w:color w:val="auto"/>
                <w:sz w:val="21"/>
                <w:szCs w:val="21"/>
                <w:highlight w:val="none"/>
              </w:rPr>
            </w:pPr>
          </w:p>
        </w:tc>
        <w:tc>
          <w:tcPr>
            <w:tcW w:w="2229" w:type="dxa"/>
            <w:vAlign w:val="center"/>
          </w:tcPr>
          <w:p w14:paraId="751CA2BC">
            <w:pPr>
              <w:jc w:val="center"/>
              <w:rPr>
                <w:rFonts w:ascii="宋体" w:hAnsi="宋体"/>
                <w:color w:val="auto"/>
                <w:sz w:val="21"/>
                <w:szCs w:val="21"/>
                <w:highlight w:val="none"/>
              </w:rPr>
            </w:pPr>
          </w:p>
        </w:tc>
        <w:tc>
          <w:tcPr>
            <w:tcW w:w="741" w:type="dxa"/>
            <w:vAlign w:val="center"/>
          </w:tcPr>
          <w:p w14:paraId="7D53DBB4">
            <w:pPr>
              <w:jc w:val="center"/>
              <w:rPr>
                <w:rFonts w:ascii="宋体" w:hAnsi="宋体"/>
                <w:color w:val="auto"/>
                <w:sz w:val="21"/>
                <w:szCs w:val="21"/>
                <w:highlight w:val="none"/>
              </w:rPr>
            </w:pPr>
          </w:p>
        </w:tc>
      </w:tr>
      <w:tr w14:paraId="6C8C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CAADB1">
            <w:pPr>
              <w:jc w:val="center"/>
              <w:rPr>
                <w:rFonts w:ascii="宋体" w:hAnsi="宋体"/>
                <w:color w:val="auto"/>
                <w:sz w:val="21"/>
                <w:szCs w:val="21"/>
                <w:highlight w:val="none"/>
              </w:rPr>
            </w:pPr>
          </w:p>
        </w:tc>
        <w:tc>
          <w:tcPr>
            <w:tcW w:w="743" w:type="dxa"/>
            <w:vAlign w:val="center"/>
          </w:tcPr>
          <w:p w14:paraId="75BFCEF5">
            <w:pPr>
              <w:jc w:val="center"/>
              <w:rPr>
                <w:rFonts w:ascii="宋体" w:hAnsi="宋体"/>
                <w:color w:val="auto"/>
                <w:sz w:val="21"/>
                <w:szCs w:val="21"/>
                <w:highlight w:val="none"/>
              </w:rPr>
            </w:pPr>
          </w:p>
        </w:tc>
        <w:tc>
          <w:tcPr>
            <w:tcW w:w="743" w:type="dxa"/>
            <w:vAlign w:val="center"/>
          </w:tcPr>
          <w:p w14:paraId="54231C22">
            <w:pPr>
              <w:jc w:val="center"/>
              <w:rPr>
                <w:rFonts w:ascii="宋体" w:hAnsi="宋体"/>
                <w:color w:val="auto"/>
                <w:sz w:val="21"/>
                <w:szCs w:val="21"/>
                <w:highlight w:val="none"/>
              </w:rPr>
            </w:pPr>
          </w:p>
        </w:tc>
        <w:tc>
          <w:tcPr>
            <w:tcW w:w="1336" w:type="dxa"/>
            <w:vAlign w:val="center"/>
          </w:tcPr>
          <w:p w14:paraId="21FA98A6">
            <w:pPr>
              <w:jc w:val="center"/>
              <w:rPr>
                <w:rFonts w:ascii="宋体" w:hAnsi="宋体"/>
                <w:color w:val="auto"/>
                <w:sz w:val="21"/>
                <w:szCs w:val="21"/>
                <w:highlight w:val="none"/>
              </w:rPr>
            </w:pPr>
          </w:p>
        </w:tc>
        <w:tc>
          <w:tcPr>
            <w:tcW w:w="808" w:type="dxa"/>
            <w:vAlign w:val="center"/>
          </w:tcPr>
          <w:p w14:paraId="7446666F">
            <w:pPr>
              <w:jc w:val="center"/>
              <w:rPr>
                <w:rFonts w:ascii="宋体" w:hAnsi="宋体"/>
                <w:color w:val="auto"/>
                <w:sz w:val="21"/>
                <w:szCs w:val="21"/>
                <w:highlight w:val="none"/>
              </w:rPr>
            </w:pPr>
          </w:p>
        </w:tc>
        <w:tc>
          <w:tcPr>
            <w:tcW w:w="826" w:type="dxa"/>
            <w:vAlign w:val="center"/>
          </w:tcPr>
          <w:p w14:paraId="66410CF1">
            <w:pPr>
              <w:jc w:val="center"/>
              <w:rPr>
                <w:rFonts w:ascii="宋体" w:hAnsi="宋体"/>
                <w:color w:val="auto"/>
                <w:sz w:val="21"/>
                <w:szCs w:val="21"/>
                <w:highlight w:val="none"/>
              </w:rPr>
            </w:pPr>
          </w:p>
        </w:tc>
        <w:tc>
          <w:tcPr>
            <w:tcW w:w="892" w:type="dxa"/>
            <w:vAlign w:val="center"/>
          </w:tcPr>
          <w:p w14:paraId="0B62E418">
            <w:pPr>
              <w:jc w:val="center"/>
              <w:rPr>
                <w:rFonts w:ascii="宋体" w:hAnsi="宋体"/>
                <w:color w:val="auto"/>
                <w:sz w:val="21"/>
                <w:szCs w:val="21"/>
                <w:highlight w:val="none"/>
              </w:rPr>
            </w:pPr>
          </w:p>
        </w:tc>
        <w:tc>
          <w:tcPr>
            <w:tcW w:w="2229" w:type="dxa"/>
            <w:vAlign w:val="center"/>
          </w:tcPr>
          <w:p w14:paraId="614C3416">
            <w:pPr>
              <w:jc w:val="center"/>
              <w:rPr>
                <w:rFonts w:ascii="宋体" w:hAnsi="宋体"/>
                <w:color w:val="auto"/>
                <w:sz w:val="21"/>
                <w:szCs w:val="21"/>
                <w:highlight w:val="none"/>
              </w:rPr>
            </w:pPr>
          </w:p>
        </w:tc>
        <w:tc>
          <w:tcPr>
            <w:tcW w:w="741" w:type="dxa"/>
            <w:vAlign w:val="center"/>
          </w:tcPr>
          <w:p w14:paraId="35A76260">
            <w:pPr>
              <w:jc w:val="center"/>
              <w:rPr>
                <w:rFonts w:ascii="宋体" w:hAnsi="宋体"/>
                <w:color w:val="auto"/>
                <w:sz w:val="21"/>
                <w:szCs w:val="21"/>
                <w:highlight w:val="none"/>
              </w:rPr>
            </w:pPr>
          </w:p>
        </w:tc>
      </w:tr>
      <w:tr w14:paraId="6B1D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B891FB8">
            <w:pPr>
              <w:jc w:val="center"/>
              <w:rPr>
                <w:rFonts w:ascii="宋体" w:hAnsi="宋体"/>
                <w:color w:val="auto"/>
                <w:sz w:val="21"/>
                <w:szCs w:val="21"/>
                <w:highlight w:val="none"/>
              </w:rPr>
            </w:pPr>
          </w:p>
        </w:tc>
        <w:tc>
          <w:tcPr>
            <w:tcW w:w="743" w:type="dxa"/>
            <w:vAlign w:val="center"/>
          </w:tcPr>
          <w:p w14:paraId="4A5CCE5A">
            <w:pPr>
              <w:jc w:val="center"/>
              <w:rPr>
                <w:rFonts w:ascii="宋体" w:hAnsi="宋体"/>
                <w:color w:val="auto"/>
                <w:sz w:val="21"/>
                <w:szCs w:val="21"/>
                <w:highlight w:val="none"/>
              </w:rPr>
            </w:pPr>
          </w:p>
        </w:tc>
        <w:tc>
          <w:tcPr>
            <w:tcW w:w="743" w:type="dxa"/>
            <w:vAlign w:val="center"/>
          </w:tcPr>
          <w:p w14:paraId="55C8E052">
            <w:pPr>
              <w:jc w:val="center"/>
              <w:rPr>
                <w:rFonts w:ascii="宋体" w:hAnsi="宋体"/>
                <w:color w:val="auto"/>
                <w:sz w:val="21"/>
                <w:szCs w:val="21"/>
                <w:highlight w:val="none"/>
              </w:rPr>
            </w:pPr>
          </w:p>
        </w:tc>
        <w:tc>
          <w:tcPr>
            <w:tcW w:w="1336" w:type="dxa"/>
            <w:vAlign w:val="center"/>
          </w:tcPr>
          <w:p w14:paraId="3E2C9C6D">
            <w:pPr>
              <w:jc w:val="center"/>
              <w:rPr>
                <w:rFonts w:ascii="宋体" w:hAnsi="宋体"/>
                <w:color w:val="auto"/>
                <w:sz w:val="21"/>
                <w:szCs w:val="21"/>
                <w:highlight w:val="none"/>
              </w:rPr>
            </w:pPr>
          </w:p>
        </w:tc>
        <w:tc>
          <w:tcPr>
            <w:tcW w:w="808" w:type="dxa"/>
            <w:vAlign w:val="center"/>
          </w:tcPr>
          <w:p w14:paraId="39F577F1">
            <w:pPr>
              <w:jc w:val="center"/>
              <w:rPr>
                <w:rFonts w:ascii="宋体" w:hAnsi="宋体"/>
                <w:color w:val="auto"/>
                <w:sz w:val="21"/>
                <w:szCs w:val="21"/>
                <w:highlight w:val="none"/>
              </w:rPr>
            </w:pPr>
          </w:p>
        </w:tc>
        <w:tc>
          <w:tcPr>
            <w:tcW w:w="826" w:type="dxa"/>
            <w:vAlign w:val="center"/>
          </w:tcPr>
          <w:p w14:paraId="6E106C12">
            <w:pPr>
              <w:jc w:val="center"/>
              <w:rPr>
                <w:rFonts w:ascii="宋体" w:hAnsi="宋体"/>
                <w:color w:val="auto"/>
                <w:sz w:val="21"/>
                <w:szCs w:val="21"/>
                <w:highlight w:val="none"/>
              </w:rPr>
            </w:pPr>
          </w:p>
        </w:tc>
        <w:tc>
          <w:tcPr>
            <w:tcW w:w="892" w:type="dxa"/>
            <w:vAlign w:val="center"/>
          </w:tcPr>
          <w:p w14:paraId="22769C96">
            <w:pPr>
              <w:jc w:val="center"/>
              <w:rPr>
                <w:rFonts w:ascii="宋体" w:hAnsi="宋体"/>
                <w:color w:val="auto"/>
                <w:sz w:val="21"/>
                <w:szCs w:val="21"/>
                <w:highlight w:val="none"/>
              </w:rPr>
            </w:pPr>
          </w:p>
        </w:tc>
        <w:tc>
          <w:tcPr>
            <w:tcW w:w="2229" w:type="dxa"/>
            <w:vAlign w:val="center"/>
          </w:tcPr>
          <w:p w14:paraId="3E049900">
            <w:pPr>
              <w:jc w:val="center"/>
              <w:rPr>
                <w:rFonts w:ascii="宋体" w:hAnsi="宋体"/>
                <w:color w:val="auto"/>
                <w:sz w:val="21"/>
                <w:szCs w:val="21"/>
                <w:highlight w:val="none"/>
              </w:rPr>
            </w:pPr>
          </w:p>
        </w:tc>
        <w:tc>
          <w:tcPr>
            <w:tcW w:w="741" w:type="dxa"/>
            <w:vAlign w:val="center"/>
          </w:tcPr>
          <w:p w14:paraId="6E769930">
            <w:pPr>
              <w:jc w:val="center"/>
              <w:rPr>
                <w:rFonts w:ascii="宋体" w:hAnsi="宋体"/>
                <w:color w:val="auto"/>
                <w:sz w:val="21"/>
                <w:szCs w:val="21"/>
                <w:highlight w:val="none"/>
              </w:rPr>
            </w:pPr>
          </w:p>
        </w:tc>
      </w:tr>
      <w:tr w14:paraId="680E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411BEBA">
            <w:pPr>
              <w:jc w:val="center"/>
              <w:rPr>
                <w:rFonts w:ascii="宋体" w:hAnsi="宋体"/>
                <w:color w:val="auto"/>
                <w:sz w:val="21"/>
                <w:szCs w:val="21"/>
                <w:highlight w:val="none"/>
              </w:rPr>
            </w:pPr>
          </w:p>
        </w:tc>
        <w:tc>
          <w:tcPr>
            <w:tcW w:w="743" w:type="dxa"/>
            <w:vAlign w:val="center"/>
          </w:tcPr>
          <w:p w14:paraId="46108C44">
            <w:pPr>
              <w:jc w:val="center"/>
              <w:rPr>
                <w:rFonts w:ascii="宋体" w:hAnsi="宋体"/>
                <w:color w:val="auto"/>
                <w:sz w:val="21"/>
                <w:szCs w:val="21"/>
                <w:highlight w:val="none"/>
              </w:rPr>
            </w:pPr>
          </w:p>
        </w:tc>
        <w:tc>
          <w:tcPr>
            <w:tcW w:w="743" w:type="dxa"/>
            <w:vAlign w:val="center"/>
          </w:tcPr>
          <w:p w14:paraId="35C1BBAF">
            <w:pPr>
              <w:jc w:val="center"/>
              <w:rPr>
                <w:rFonts w:ascii="宋体" w:hAnsi="宋体"/>
                <w:color w:val="auto"/>
                <w:sz w:val="21"/>
                <w:szCs w:val="21"/>
                <w:highlight w:val="none"/>
              </w:rPr>
            </w:pPr>
          </w:p>
        </w:tc>
        <w:tc>
          <w:tcPr>
            <w:tcW w:w="1336" w:type="dxa"/>
            <w:vAlign w:val="center"/>
          </w:tcPr>
          <w:p w14:paraId="4ED505AA">
            <w:pPr>
              <w:jc w:val="center"/>
              <w:rPr>
                <w:rFonts w:ascii="宋体" w:hAnsi="宋体"/>
                <w:color w:val="auto"/>
                <w:sz w:val="21"/>
                <w:szCs w:val="21"/>
                <w:highlight w:val="none"/>
              </w:rPr>
            </w:pPr>
          </w:p>
        </w:tc>
        <w:tc>
          <w:tcPr>
            <w:tcW w:w="808" w:type="dxa"/>
            <w:vAlign w:val="center"/>
          </w:tcPr>
          <w:p w14:paraId="2927B443">
            <w:pPr>
              <w:jc w:val="center"/>
              <w:rPr>
                <w:rFonts w:ascii="宋体" w:hAnsi="宋体"/>
                <w:color w:val="auto"/>
                <w:sz w:val="21"/>
                <w:szCs w:val="21"/>
                <w:highlight w:val="none"/>
              </w:rPr>
            </w:pPr>
          </w:p>
        </w:tc>
        <w:tc>
          <w:tcPr>
            <w:tcW w:w="826" w:type="dxa"/>
            <w:vAlign w:val="center"/>
          </w:tcPr>
          <w:p w14:paraId="795DA6E5">
            <w:pPr>
              <w:jc w:val="center"/>
              <w:rPr>
                <w:rFonts w:ascii="宋体" w:hAnsi="宋体"/>
                <w:color w:val="auto"/>
                <w:sz w:val="21"/>
                <w:szCs w:val="21"/>
                <w:highlight w:val="none"/>
              </w:rPr>
            </w:pPr>
          </w:p>
        </w:tc>
        <w:tc>
          <w:tcPr>
            <w:tcW w:w="892" w:type="dxa"/>
            <w:vAlign w:val="center"/>
          </w:tcPr>
          <w:p w14:paraId="2C6FB8DB">
            <w:pPr>
              <w:jc w:val="center"/>
              <w:rPr>
                <w:rFonts w:ascii="宋体" w:hAnsi="宋体"/>
                <w:color w:val="auto"/>
                <w:sz w:val="21"/>
                <w:szCs w:val="21"/>
                <w:highlight w:val="none"/>
              </w:rPr>
            </w:pPr>
          </w:p>
        </w:tc>
        <w:tc>
          <w:tcPr>
            <w:tcW w:w="2229" w:type="dxa"/>
            <w:vAlign w:val="center"/>
          </w:tcPr>
          <w:p w14:paraId="74DE7B96">
            <w:pPr>
              <w:jc w:val="center"/>
              <w:rPr>
                <w:rFonts w:ascii="宋体" w:hAnsi="宋体"/>
                <w:color w:val="auto"/>
                <w:sz w:val="21"/>
                <w:szCs w:val="21"/>
                <w:highlight w:val="none"/>
              </w:rPr>
            </w:pPr>
          </w:p>
        </w:tc>
        <w:tc>
          <w:tcPr>
            <w:tcW w:w="741" w:type="dxa"/>
            <w:vAlign w:val="center"/>
          </w:tcPr>
          <w:p w14:paraId="7DF094B9">
            <w:pPr>
              <w:jc w:val="center"/>
              <w:rPr>
                <w:rFonts w:ascii="宋体" w:hAnsi="宋体"/>
                <w:color w:val="auto"/>
                <w:sz w:val="21"/>
                <w:szCs w:val="21"/>
                <w:highlight w:val="none"/>
              </w:rPr>
            </w:pPr>
          </w:p>
        </w:tc>
      </w:tr>
      <w:tr w14:paraId="3586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7F68B03">
            <w:pPr>
              <w:jc w:val="center"/>
              <w:rPr>
                <w:rFonts w:ascii="宋体" w:hAnsi="宋体"/>
                <w:color w:val="auto"/>
                <w:sz w:val="21"/>
                <w:szCs w:val="21"/>
                <w:highlight w:val="none"/>
              </w:rPr>
            </w:pPr>
          </w:p>
        </w:tc>
        <w:tc>
          <w:tcPr>
            <w:tcW w:w="743" w:type="dxa"/>
            <w:vAlign w:val="center"/>
          </w:tcPr>
          <w:p w14:paraId="612239A0">
            <w:pPr>
              <w:jc w:val="center"/>
              <w:rPr>
                <w:rFonts w:ascii="宋体" w:hAnsi="宋体"/>
                <w:color w:val="auto"/>
                <w:sz w:val="21"/>
                <w:szCs w:val="21"/>
                <w:highlight w:val="none"/>
              </w:rPr>
            </w:pPr>
          </w:p>
        </w:tc>
        <w:tc>
          <w:tcPr>
            <w:tcW w:w="743" w:type="dxa"/>
            <w:vAlign w:val="center"/>
          </w:tcPr>
          <w:p w14:paraId="3E80BD86">
            <w:pPr>
              <w:jc w:val="center"/>
              <w:rPr>
                <w:rFonts w:ascii="宋体" w:hAnsi="宋体"/>
                <w:color w:val="auto"/>
                <w:sz w:val="21"/>
                <w:szCs w:val="21"/>
                <w:highlight w:val="none"/>
              </w:rPr>
            </w:pPr>
          </w:p>
        </w:tc>
        <w:tc>
          <w:tcPr>
            <w:tcW w:w="1336" w:type="dxa"/>
            <w:vAlign w:val="center"/>
          </w:tcPr>
          <w:p w14:paraId="6F26D6E5">
            <w:pPr>
              <w:jc w:val="center"/>
              <w:rPr>
                <w:rFonts w:ascii="宋体" w:hAnsi="宋体"/>
                <w:color w:val="auto"/>
                <w:sz w:val="21"/>
                <w:szCs w:val="21"/>
                <w:highlight w:val="none"/>
              </w:rPr>
            </w:pPr>
          </w:p>
        </w:tc>
        <w:tc>
          <w:tcPr>
            <w:tcW w:w="808" w:type="dxa"/>
            <w:vAlign w:val="center"/>
          </w:tcPr>
          <w:p w14:paraId="23C09955">
            <w:pPr>
              <w:jc w:val="center"/>
              <w:rPr>
                <w:rFonts w:ascii="宋体" w:hAnsi="宋体"/>
                <w:color w:val="auto"/>
                <w:sz w:val="21"/>
                <w:szCs w:val="21"/>
                <w:highlight w:val="none"/>
              </w:rPr>
            </w:pPr>
          </w:p>
        </w:tc>
        <w:tc>
          <w:tcPr>
            <w:tcW w:w="826" w:type="dxa"/>
            <w:vAlign w:val="center"/>
          </w:tcPr>
          <w:p w14:paraId="1087314F">
            <w:pPr>
              <w:jc w:val="center"/>
              <w:rPr>
                <w:rFonts w:ascii="宋体" w:hAnsi="宋体"/>
                <w:color w:val="auto"/>
                <w:sz w:val="21"/>
                <w:szCs w:val="21"/>
                <w:highlight w:val="none"/>
              </w:rPr>
            </w:pPr>
          </w:p>
        </w:tc>
        <w:tc>
          <w:tcPr>
            <w:tcW w:w="892" w:type="dxa"/>
            <w:vAlign w:val="center"/>
          </w:tcPr>
          <w:p w14:paraId="6BCE95D2">
            <w:pPr>
              <w:jc w:val="center"/>
              <w:rPr>
                <w:rFonts w:ascii="宋体" w:hAnsi="宋体"/>
                <w:color w:val="auto"/>
                <w:sz w:val="21"/>
                <w:szCs w:val="21"/>
                <w:highlight w:val="none"/>
              </w:rPr>
            </w:pPr>
          </w:p>
        </w:tc>
        <w:tc>
          <w:tcPr>
            <w:tcW w:w="2229" w:type="dxa"/>
            <w:vAlign w:val="center"/>
          </w:tcPr>
          <w:p w14:paraId="41BF187E">
            <w:pPr>
              <w:jc w:val="center"/>
              <w:rPr>
                <w:rFonts w:ascii="宋体" w:hAnsi="宋体"/>
                <w:color w:val="auto"/>
                <w:sz w:val="21"/>
                <w:szCs w:val="21"/>
                <w:highlight w:val="none"/>
              </w:rPr>
            </w:pPr>
          </w:p>
        </w:tc>
        <w:tc>
          <w:tcPr>
            <w:tcW w:w="741" w:type="dxa"/>
            <w:vAlign w:val="center"/>
          </w:tcPr>
          <w:p w14:paraId="0218D280">
            <w:pPr>
              <w:jc w:val="center"/>
              <w:rPr>
                <w:rFonts w:ascii="宋体" w:hAnsi="宋体"/>
                <w:color w:val="auto"/>
                <w:sz w:val="21"/>
                <w:szCs w:val="21"/>
                <w:highlight w:val="none"/>
              </w:rPr>
            </w:pPr>
          </w:p>
        </w:tc>
      </w:tr>
    </w:tbl>
    <w:p w14:paraId="10E823CC">
      <w:pPr>
        <w:spacing w:line="500" w:lineRule="exact"/>
        <w:rPr>
          <w:color w:val="auto"/>
          <w:sz w:val="24"/>
          <w:highlight w:val="none"/>
        </w:rPr>
      </w:pPr>
    </w:p>
    <w:p w14:paraId="0499F2D5">
      <w:pPr>
        <w:spacing w:line="500" w:lineRule="exact"/>
        <w:rPr>
          <w:color w:val="auto"/>
          <w:sz w:val="24"/>
          <w:highlight w:val="none"/>
        </w:rPr>
      </w:pPr>
    </w:p>
    <w:p w14:paraId="7B9AEB34">
      <w:pPr>
        <w:spacing w:line="500" w:lineRule="exact"/>
        <w:rPr>
          <w:color w:val="auto"/>
          <w:sz w:val="24"/>
          <w:highlight w:val="none"/>
        </w:rPr>
      </w:pPr>
    </w:p>
    <w:p w14:paraId="4FF54404">
      <w:pPr>
        <w:spacing w:line="500" w:lineRule="exact"/>
        <w:rPr>
          <w:color w:val="auto"/>
          <w:sz w:val="24"/>
          <w:highlight w:val="none"/>
        </w:rPr>
      </w:pPr>
    </w:p>
    <w:p w14:paraId="7EAA7E4A">
      <w:pPr>
        <w:spacing w:line="500" w:lineRule="exact"/>
        <w:rPr>
          <w:color w:val="auto"/>
          <w:sz w:val="24"/>
          <w:highlight w:val="none"/>
        </w:rPr>
      </w:pPr>
    </w:p>
    <w:p w14:paraId="04A665CA">
      <w:pPr>
        <w:pStyle w:val="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3</w:t>
      </w:r>
      <w:r>
        <w:rPr>
          <w:rFonts w:ascii="Times New Roman" w:hAnsi="Times New Roman"/>
          <w:bCs w:val="0"/>
          <w:color w:val="auto"/>
          <w:szCs w:val="28"/>
          <w:highlight w:val="none"/>
        </w:rPr>
        <w:t>：</w:t>
      </w:r>
    </w:p>
    <w:p w14:paraId="6214ADD2">
      <w:pPr>
        <w:pStyle w:val="3"/>
        <w:jc w:val="center"/>
        <w:rPr>
          <w:rFonts w:ascii="Times New Roman" w:hAnsi="Times New Roman"/>
          <w:bCs w:val="0"/>
          <w:color w:val="auto"/>
          <w:szCs w:val="28"/>
          <w:highlight w:val="none"/>
        </w:rPr>
      </w:pPr>
      <w:r>
        <w:rPr>
          <w:rFonts w:hint="eastAsia" w:ascii="Times New Roman" w:hAnsi="Times New Roman"/>
          <w:bCs w:val="0"/>
          <w:color w:val="auto"/>
          <w:szCs w:val="28"/>
          <w:highlight w:val="none"/>
          <w:lang w:eastAsia="zh-CN"/>
        </w:rPr>
        <w:t>项目经理</w:t>
      </w:r>
      <w:r>
        <w:rPr>
          <w:rFonts w:hint="eastAsia" w:ascii="Times New Roman" w:hAnsi="Times New Roman"/>
          <w:bCs w:val="0"/>
          <w:color w:val="auto"/>
          <w:szCs w:val="28"/>
          <w:highlight w:val="none"/>
          <w:lang w:val="en-US" w:eastAsia="zh-CN"/>
        </w:rPr>
        <w:t>及</w:t>
      </w:r>
      <w:r>
        <w:rPr>
          <w:rFonts w:hint="eastAsia" w:ascii="Times New Roman" w:hAnsi="Times New Roman"/>
          <w:bCs w:val="0"/>
          <w:color w:val="auto"/>
          <w:szCs w:val="28"/>
          <w:highlight w:val="none"/>
          <w:lang w:eastAsia="zh-CN"/>
        </w:rPr>
        <w:t>项目</w:t>
      </w:r>
      <w:r>
        <w:rPr>
          <w:rFonts w:hint="eastAsia" w:ascii="Times New Roman" w:hAnsi="Times New Roman"/>
          <w:bCs w:val="0"/>
          <w:color w:val="auto"/>
          <w:szCs w:val="28"/>
          <w:highlight w:val="none"/>
          <w:lang w:val="en-US" w:eastAsia="zh-CN"/>
        </w:rPr>
        <w:t>总工</w:t>
      </w:r>
      <w:r>
        <w:rPr>
          <w:rFonts w:hint="eastAsia" w:ascii="Times New Roman" w:hAnsi="Times New Roman"/>
          <w:bCs w:val="0"/>
          <w:color w:val="auto"/>
          <w:szCs w:val="28"/>
          <w:highlight w:val="none"/>
        </w:rPr>
        <w:t>简历表</w:t>
      </w:r>
    </w:p>
    <w:tbl>
      <w:tblPr>
        <w:tblStyle w:val="51"/>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1084"/>
        <w:gridCol w:w="1191"/>
        <w:gridCol w:w="1336"/>
        <w:gridCol w:w="2080"/>
        <w:gridCol w:w="2227"/>
      </w:tblGrid>
      <w:tr w14:paraId="43B4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2B941132">
            <w:pPr>
              <w:jc w:val="center"/>
              <w:rPr>
                <w:rFonts w:ascii="宋体" w:hAnsi="宋体"/>
                <w:color w:val="auto"/>
                <w:sz w:val="21"/>
                <w:szCs w:val="21"/>
                <w:highlight w:val="none"/>
              </w:rPr>
            </w:pPr>
            <w:r>
              <w:rPr>
                <w:rFonts w:ascii="宋体" w:hAnsi="宋体"/>
                <w:color w:val="auto"/>
                <w:sz w:val="21"/>
                <w:szCs w:val="21"/>
                <w:highlight w:val="none"/>
              </w:rPr>
              <w:t>姓  名</w:t>
            </w:r>
          </w:p>
        </w:tc>
        <w:tc>
          <w:tcPr>
            <w:tcW w:w="1084" w:type="dxa"/>
            <w:vAlign w:val="center"/>
          </w:tcPr>
          <w:p w14:paraId="08F53440">
            <w:pPr>
              <w:jc w:val="center"/>
              <w:rPr>
                <w:rFonts w:ascii="宋体" w:hAnsi="宋体"/>
                <w:color w:val="auto"/>
                <w:sz w:val="21"/>
                <w:szCs w:val="21"/>
                <w:highlight w:val="none"/>
              </w:rPr>
            </w:pPr>
          </w:p>
        </w:tc>
        <w:tc>
          <w:tcPr>
            <w:tcW w:w="1191" w:type="dxa"/>
            <w:vAlign w:val="center"/>
          </w:tcPr>
          <w:p w14:paraId="04A8FA17">
            <w:pPr>
              <w:jc w:val="center"/>
              <w:rPr>
                <w:rFonts w:ascii="宋体" w:hAnsi="宋体"/>
                <w:color w:val="auto"/>
                <w:sz w:val="21"/>
                <w:szCs w:val="21"/>
                <w:highlight w:val="none"/>
              </w:rPr>
            </w:pPr>
            <w:r>
              <w:rPr>
                <w:rFonts w:ascii="宋体" w:hAnsi="宋体"/>
                <w:color w:val="auto"/>
                <w:sz w:val="21"/>
                <w:szCs w:val="21"/>
                <w:highlight w:val="none"/>
              </w:rPr>
              <w:t>年  龄</w:t>
            </w:r>
          </w:p>
        </w:tc>
        <w:tc>
          <w:tcPr>
            <w:tcW w:w="1336" w:type="dxa"/>
            <w:vAlign w:val="center"/>
          </w:tcPr>
          <w:p w14:paraId="30D812DA">
            <w:pPr>
              <w:jc w:val="center"/>
              <w:rPr>
                <w:rFonts w:ascii="宋体" w:hAnsi="宋体"/>
                <w:color w:val="auto"/>
                <w:sz w:val="21"/>
                <w:szCs w:val="21"/>
                <w:highlight w:val="none"/>
              </w:rPr>
            </w:pPr>
          </w:p>
        </w:tc>
        <w:tc>
          <w:tcPr>
            <w:tcW w:w="2080" w:type="dxa"/>
            <w:vAlign w:val="center"/>
          </w:tcPr>
          <w:p w14:paraId="08C322DE">
            <w:pPr>
              <w:jc w:val="center"/>
              <w:rPr>
                <w:rFonts w:ascii="宋体" w:hAnsi="宋体"/>
                <w:color w:val="auto"/>
                <w:sz w:val="21"/>
                <w:szCs w:val="21"/>
                <w:highlight w:val="none"/>
              </w:rPr>
            </w:pPr>
            <w:r>
              <w:rPr>
                <w:rFonts w:ascii="宋体" w:hAnsi="宋体"/>
                <w:color w:val="auto"/>
                <w:sz w:val="21"/>
                <w:szCs w:val="21"/>
                <w:highlight w:val="none"/>
              </w:rPr>
              <w:t>学历</w:t>
            </w:r>
          </w:p>
        </w:tc>
        <w:tc>
          <w:tcPr>
            <w:tcW w:w="2227" w:type="dxa"/>
            <w:vAlign w:val="center"/>
          </w:tcPr>
          <w:p w14:paraId="6F0208A8">
            <w:pPr>
              <w:jc w:val="center"/>
              <w:rPr>
                <w:rFonts w:ascii="宋体" w:hAnsi="宋体"/>
                <w:color w:val="auto"/>
                <w:sz w:val="21"/>
                <w:szCs w:val="21"/>
                <w:highlight w:val="none"/>
              </w:rPr>
            </w:pPr>
          </w:p>
        </w:tc>
      </w:tr>
      <w:tr w14:paraId="55AFD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0B9E9CC5">
            <w:pPr>
              <w:jc w:val="center"/>
              <w:rPr>
                <w:rFonts w:ascii="宋体" w:hAnsi="宋体"/>
                <w:color w:val="auto"/>
                <w:sz w:val="21"/>
                <w:szCs w:val="21"/>
                <w:highlight w:val="none"/>
              </w:rPr>
            </w:pPr>
            <w:r>
              <w:rPr>
                <w:rFonts w:ascii="宋体" w:hAnsi="宋体"/>
                <w:color w:val="auto"/>
                <w:sz w:val="21"/>
                <w:szCs w:val="21"/>
                <w:highlight w:val="none"/>
              </w:rPr>
              <w:t>职  称</w:t>
            </w:r>
          </w:p>
        </w:tc>
        <w:tc>
          <w:tcPr>
            <w:tcW w:w="1084" w:type="dxa"/>
            <w:vAlign w:val="center"/>
          </w:tcPr>
          <w:p w14:paraId="476F73B4">
            <w:pPr>
              <w:jc w:val="center"/>
              <w:rPr>
                <w:rFonts w:ascii="宋体" w:hAnsi="宋体"/>
                <w:color w:val="auto"/>
                <w:sz w:val="21"/>
                <w:szCs w:val="21"/>
                <w:highlight w:val="none"/>
              </w:rPr>
            </w:pPr>
          </w:p>
        </w:tc>
        <w:tc>
          <w:tcPr>
            <w:tcW w:w="1191" w:type="dxa"/>
            <w:vAlign w:val="center"/>
          </w:tcPr>
          <w:p w14:paraId="0A28968A">
            <w:pPr>
              <w:jc w:val="center"/>
              <w:rPr>
                <w:rFonts w:ascii="宋体" w:hAnsi="宋体"/>
                <w:color w:val="auto"/>
                <w:sz w:val="21"/>
                <w:szCs w:val="21"/>
                <w:highlight w:val="none"/>
              </w:rPr>
            </w:pPr>
            <w:r>
              <w:rPr>
                <w:rFonts w:ascii="宋体" w:hAnsi="宋体"/>
                <w:color w:val="auto"/>
                <w:sz w:val="21"/>
                <w:szCs w:val="21"/>
                <w:highlight w:val="none"/>
              </w:rPr>
              <w:t>职  务</w:t>
            </w:r>
          </w:p>
        </w:tc>
        <w:tc>
          <w:tcPr>
            <w:tcW w:w="1336" w:type="dxa"/>
            <w:vAlign w:val="center"/>
          </w:tcPr>
          <w:p w14:paraId="5BAC68C8">
            <w:pPr>
              <w:jc w:val="center"/>
              <w:rPr>
                <w:rFonts w:ascii="宋体" w:hAnsi="宋体"/>
                <w:color w:val="auto"/>
                <w:sz w:val="21"/>
                <w:szCs w:val="21"/>
                <w:highlight w:val="none"/>
              </w:rPr>
            </w:pPr>
          </w:p>
        </w:tc>
        <w:tc>
          <w:tcPr>
            <w:tcW w:w="2080" w:type="dxa"/>
            <w:vAlign w:val="center"/>
          </w:tcPr>
          <w:p w14:paraId="4001313F">
            <w:pPr>
              <w:jc w:val="center"/>
              <w:rPr>
                <w:rFonts w:ascii="宋体" w:hAnsi="宋体"/>
                <w:color w:val="auto"/>
                <w:sz w:val="21"/>
                <w:szCs w:val="21"/>
                <w:highlight w:val="none"/>
              </w:rPr>
            </w:pPr>
            <w:r>
              <w:rPr>
                <w:rFonts w:ascii="宋体" w:hAnsi="宋体"/>
                <w:color w:val="auto"/>
                <w:sz w:val="21"/>
                <w:szCs w:val="21"/>
                <w:highlight w:val="none"/>
              </w:rPr>
              <w:t>拟在本工程任职</w:t>
            </w:r>
          </w:p>
        </w:tc>
        <w:tc>
          <w:tcPr>
            <w:tcW w:w="2227" w:type="dxa"/>
            <w:vAlign w:val="center"/>
          </w:tcPr>
          <w:p w14:paraId="01BD027B">
            <w:pPr>
              <w:jc w:val="center"/>
              <w:rPr>
                <w:rFonts w:ascii="宋体" w:hAnsi="宋体"/>
                <w:color w:val="auto"/>
                <w:sz w:val="21"/>
                <w:szCs w:val="21"/>
                <w:highlight w:val="none"/>
              </w:rPr>
            </w:pPr>
            <w:r>
              <w:rPr>
                <w:rFonts w:ascii="宋体" w:hAnsi="宋体"/>
                <w:color w:val="auto"/>
                <w:sz w:val="21"/>
                <w:szCs w:val="21"/>
                <w:highlight w:val="none"/>
              </w:rPr>
              <w:t>项目经理</w:t>
            </w:r>
          </w:p>
        </w:tc>
      </w:tr>
      <w:tr w14:paraId="3D46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9" w:type="dxa"/>
            <w:gridSpan w:val="3"/>
            <w:vAlign w:val="center"/>
          </w:tcPr>
          <w:p w14:paraId="3684AAB1">
            <w:pPr>
              <w:jc w:val="center"/>
              <w:rPr>
                <w:rFonts w:ascii="宋体" w:hAnsi="宋体"/>
                <w:color w:val="auto"/>
                <w:sz w:val="21"/>
                <w:szCs w:val="21"/>
                <w:highlight w:val="none"/>
              </w:rPr>
            </w:pPr>
            <w:r>
              <w:rPr>
                <w:rFonts w:ascii="宋体" w:hAnsi="宋体"/>
                <w:color w:val="auto"/>
                <w:sz w:val="21"/>
                <w:szCs w:val="21"/>
                <w:highlight w:val="none"/>
              </w:rPr>
              <w:t>注册建造师执业资格等级</w:t>
            </w:r>
          </w:p>
        </w:tc>
        <w:tc>
          <w:tcPr>
            <w:tcW w:w="1336" w:type="dxa"/>
            <w:vAlign w:val="center"/>
          </w:tcPr>
          <w:p w14:paraId="68F25D06">
            <w:pPr>
              <w:jc w:val="center"/>
              <w:rPr>
                <w:rFonts w:ascii="宋体" w:hAnsi="宋体"/>
                <w:color w:val="auto"/>
                <w:sz w:val="21"/>
                <w:szCs w:val="21"/>
                <w:highlight w:val="none"/>
              </w:rPr>
            </w:pPr>
            <w:r>
              <w:rPr>
                <w:rFonts w:ascii="宋体" w:hAnsi="宋体"/>
                <w:color w:val="auto"/>
                <w:sz w:val="21"/>
                <w:szCs w:val="21"/>
                <w:highlight w:val="none"/>
              </w:rPr>
              <w:t xml:space="preserve">      级</w:t>
            </w:r>
          </w:p>
        </w:tc>
        <w:tc>
          <w:tcPr>
            <w:tcW w:w="2080" w:type="dxa"/>
            <w:vAlign w:val="center"/>
          </w:tcPr>
          <w:p w14:paraId="2ED7F4D0">
            <w:pPr>
              <w:jc w:val="center"/>
              <w:rPr>
                <w:rFonts w:ascii="宋体" w:hAnsi="宋体"/>
                <w:color w:val="auto"/>
                <w:sz w:val="21"/>
                <w:szCs w:val="21"/>
                <w:highlight w:val="none"/>
              </w:rPr>
            </w:pPr>
            <w:r>
              <w:rPr>
                <w:rFonts w:ascii="宋体" w:hAnsi="宋体"/>
                <w:color w:val="auto"/>
                <w:sz w:val="21"/>
                <w:szCs w:val="21"/>
                <w:highlight w:val="none"/>
              </w:rPr>
              <w:t>建造师专业</w:t>
            </w:r>
          </w:p>
        </w:tc>
        <w:tc>
          <w:tcPr>
            <w:tcW w:w="2227" w:type="dxa"/>
            <w:vAlign w:val="center"/>
          </w:tcPr>
          <w:p w14:paraId="66886CCC">
            <w:pPr>
              <w:jc w:val="center"/>
              <w:rPr>
                <w:rFonts w:ascii="宋体" w:hAnsi="宋体"/>
                <w:color w:val="auto"/>
                <w:sz w:val="21"/>
                <w:szCs w:val="21"/>
                <w:highlight w:val="none"/>
              </w:rPr>
            </w:pPr>
          </w:p>
        </w:tc>
      </w:tr>
      <w:tr w14:paraId="35C5E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9" w:type="dxa"/>
            <w:gridSpan w:val="3"/>
            <w:vAlign w:val="center"/>
          </w:tcPr>
          <w:p w14:paraId="2E4D57C9">
            <w:pPr>
              <w:jc w:val="center"/>
              <w:rPr>
                <w:rFonts w:ascii="宋体" w:hAnsi="宋体"/>
                <w:color w:val="auto"/>
                <w:sz w:val="21"/>
                <w:szCs w:val="21"/>
                <w:highlight w:val="none"/>
              </w:rPr>
            </w:pPr>
            <w:r>
              <w:rPr>
                <w:rFonts w:ascii="宋体" w:hAnsi="宋体"/>
                <w:color w:val="auto"/>
                <w:sz w:val="21"/>
                <w:szCs w:val="21"/>
                <w:highlight w:val="none"/>
              </w:rPr>
              <w:t>安全生产考核合格证书</w:t>
            </w:r>
          </w:p>
        </w:tc>
        <w:tc>
          <w:tcPr>
            <w:tcW w:w="5643" w:type="dxa"/>
            <w:gridSpan w:val="3"/>
            <w:vAlign w:val="center"/>
          </w:tcPr>
          <w:p w14:paraId="78F30924">
            <w:pPr>
              <w:jc w:val="center"/>
              <w:rPr>
                <w:rFonts w:ascii="宋体" w:hAnsi="宋体"/>
                <w:color w:val="auto"/>
                <w:sz w:val="21"/>
                <w:szCs w:val="21"/>
                <w:highlight w:val="none"/>
              </w:rPr>
            </w:pPr>
          </w:p>
        </w:tc>
      </w:tr>
      <w:tr w14:paraId="2715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41DAA090">
            <w:pPr>
              <w:jc w:val="center"/>
              <w:rPr>
                <w:rFonts w:ascii="宋体" w:hAnsi="宋体"/>
                <w:color w:val="auto"/>
                <w:sz w:val="21"/>
                <w:szCs w:val="21"/>
                <w:highlight w:val="none"/>
              </w:rPr>
            </w:pPr>
            <w:r>
              <w:rPr>
                <w:rFonts w:ascii="宋体" w:hAnsi="宋体"/>
                <w:color w:val="auto"/>
                <w:sz w:val="21"/>
                <w:szCs w:val="21"/>
                <w:highlight w:val="none"/>
              </w:rPr>
              <w:t>毕业学校</w:t>
            </w:r>
          </w:p>
        </w:tc>
        <w:tc>
          <w:tcPr>
            <w:tcW w:w="7918" w:type="dxa"/>
            <w:gridSpan w:val="5"/>
            <w:vAlign w:val="center"/>
          </w:tcPr>
          <w:p w14:paraId="017F1F28">
            <w:pPr>
              <w:ind w:firstLine="840" w:firstLineChars="400"/>
              <w:rPr>
                <w:rFonts w:ascii="宋体" w:hAnsi="宋体"/>
                <w:color w:val="auto"/>
                <w:sz w:val="21"/>
                <w:szCs w:val="21"/>
                <w:highlight w:val="none"/>
              </w:rPr>
            </w:pPr>
            <w:r>
              <w:rPr>
                <w:rFonts w:ascii="宋体" w:hAnsi="宋体"/>
                <w:color w:val="auto"/>
                <w:sz w:val="21"/>
                <w:szCs w:val="21"/>
                <w:highlight w:val="none"/>
              </w:rPr>
              <w:t>年毕业于                  学校            专业</w:t>
            </w:r>
          </w:p>
        </w:tc>
      </w:tr>
      <w:tr w14:paraId="3BA1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2" w:type="dxa"/>
            <w:gridSpan w:val="6"/>
            <w:vAlign w:val="center"/>
          </w:tcPr>
          <w:p w14:paraId="60ACB0A5">
            <w:pPr>
              <w:jc w:val="center"/>
              <w:rPr>
                <w:rFonts w:ascii="宋体" w:hAnsi="宋体"/>
                <w:color w:val="auto"/>
                <w:sz w:val="21"/>
                <w:szCs w:val="21"/>
                <w:highlight w:val="none"/>
              </w:rPr>
            </w:pPr>
            <w:r>
              <w:rPr>
                <w:rFonts w:ascii="宋体" w:hAnsi="宋体"/>
                <w:color w:val="auto"/>
                <w:sz w:val="21"/>
                <w:szCs w:val="21"/>
                <w:highlight w:val="none"/>
              </w:rPr>
              <w:t>主要工作经历</w:t>
            </w:r>
          </w:p>
        </w:tc>
      </w:tr>
      <w:tr w14:paraId="1E61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165CDF0F">
            <w:pPr>
              <w:jc w:val="center"/>
              <w:rPr>
                <w:rFonts w:ascii="宋体" w:hAnsi="宋体"/>
                <w:color w:val="auto"/>
                <w:sz w:val="21"/>
                <w:szCs w:val="21"/>
                <w:highlight w:val="none"/>
              </w:rPr>
            </w:pPr>
            <w:r>
              <w:rPr>
                <w:rFonts w:ascii="宋体" w:hAnsi="宋体"/>
                <w:color w:val="auto"/>
                <w:sz w:val="21"/>
                <w:szCs w:val="21"/>
                <w:highlight w:val="none"/>
              </w:rPr>
              <w:t>时  间</w:t>
            </w:r>
          </w:p>
        </w:tc>
        <w:tc>
          <w:tcPr>
            <w:tcW w:w="3611" w:type="dxa"/>
            <w:gridSpan w:val="3"/>
            <w:vAlign w:val="center"/>
          </w:tcPr>
          <w:p w14:paraId="587B37DA">
            <w:pPr>
              <w:jc w:val="center"/>
              <w:rPr>
                <w:rFonts w:ascii="宋体" w:hAnsi="宋体"/>
                <w:color w:val="auto"/>
                <w:sz w:val="21"/>
                <w:szCs w:val="21"/>
                <w:highlight w:val="none"/>
              </w:rPr>
            </w:pPr>
            <w:r>
              <w:rPr>
                <w:rFonts w:ascii="宋体" w:hAnsi="宋体"/>
                <w:color w:val="auto"/>
                <w:sz w:val="21"/>
                <w:szCs w:val="21"/>
                <w:highlight w:val="none"/>
              </w:rPr>
              <w:t>参加过的类似项目名称</w:t>
            </w:r>
          </w:p>
        </w:tc>
        <w:tc>
          <w:tcPr>
            <w:tcW w:w="2080" w:type="dxa"/>
            <w:vAlign w:val="center"/>
          </w:tcPr>
          <w:p w14:paraId="57C70F6D">
            <w:pPr>
              <w:jc w:val="center"/>
              <w:rPr>
                <w:rFonts w:ascii="宋体" w:hAnsi="宋体"/>
                <w:color w:val="auto"/>
                <w:sz w:val="21"/>
                <w:szCs w:val="21"/>
                <w:highlight w:val="none"/>
              </w:rPr>
            </w:pPr>
            <w:r>
              <w:rPr>
                <w:rFonts w:ascii="宋体" w:hAnsi="宋体"/>
                <w:color w:val="auto"/>
                <w:sz w:val="21"/>
                <w:szCs w:val="21"/>
                <w:highlight w:val="none"/>
              </w:rPr>
              <w:t>工程概况说明</w:t>
            </w:r>
          </w:p>
        </w:tc>
        <w:tc>
          <w:tcPr>
            <w:tcW w:w="2227" w:type="dxa"/>
            <w:vAlign w:val="center"/>
          </w:tcPr>
          <w:p w14:paraId="3BBE405C">
            <w:pPr>
              <w:jc w:val="center"/>
              <w:rPr>
                <w:rFonts w:ascii="宋体" w:hAnsi="宋体"/>
                <w:color w:val="auto"/>
                <w:sz w:val="21"/>
                <w:szCs w:val="21"/>
                <w:highlight w:val="none"/>
              </w:rPr>
            </w:pPr>
            <w:r>
              <w:rPr>
                <w:rFonts w:ascii="宋体" w:hAnsi="宋体"/>
                <w:color w:val="auto"/>
                <w:sz w:val="21"/>
                <w:szCs w:val="21"/>
                <w:highlight w:val="none"/>
              </w:rPr>
              <w:t>发包人及联系电话</w:t>
            </w:r>
          </w:p>
        </w:tc>
      </w:tr>
      <w:tr w14:paraId="1985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50DF5A79">
            <w:pPr>
              <w:jc w:val="center"/>
              <w:rPr>
                <w:rFonts w:ascii="宋体" w:hAnsi="宋体"/>
                <w:color w:val="auto"/>
                <w:sz w:val="21"/>
                <w:szCs w:val="21"/>
                <w:highlight w:val="none"/>
              </w:rPr>
            </w:pPr>
          </w:p>
        </w:tc>
        <w:tc>
          <w:tcPr>
            <w:tcW w:w="1084" w:type="dxa"/>
            <w:vAlign w:val="center"/>
          </w:tcPr>
          <w:p w14:paraId="0710493F">
            <w:pPr>
              <w:jc w:val="center"/>
              <w:rPr>
                <w:rFonts w:ascii="宋体" w:hAnsi="宋体"/>
                <w:color w:val="auto"/>
                <w:sz w:val="21"/>
                <w:szCs w:val="21"/>
                <w:highlight w:val="none"/>
              </w:rPr>
            </w:pPr>
          </w:p>
        </w:tc>
        <w:tc>
          <w:tcPr>
            <w:tcW w:w="1191" w:type="dxa"/>
            <w:vAlign w:val="center"/>
          </w:tcPr>
          <w:p w14:paraId="2310C2E9">
            <w:pPr>
              <w:jc w:val="center"/>
              <w:rPr>
                <w:rFonts w:ascii="宋体" w:hAnsi="宋体"/>
                <w:color w:val="auto"/>
                <w:sz w:val="21"/>
                <w:szCs w:val="21"/>
                <w:highlight w:val="none"/>
              </w:rPr>
            </w:pPr>
          </w:p>
        </w:tc>
        <w:tc>
          <w:tcPr>
            <w:tcW w:w="1336" w:type="dxa"/>
            <w:vAlign w:val="center"/>
          </w:tcPr>
          <w:p w14:paraId="7A0EC278">
            <w:pPr>
              <w:jc w:val="center"/>
              <w:rPr>
                <w:rFonts w:ascii="宋体" w:hAnsi="宋体"/>
                <w:color w:val="auto"/>
                <w:sz w:val="21"/>
                <w:szCs w:val="21"/>
                <w:highlight w:val="none"/>
              </w:rPr>
            </w:pPr>
          </w:p>
        </w:tc>
        <w:tc>
          <w:tcPr>
            <w:tcW w:w="2080" w:type="dxa"/>
            <w:vAlign w:val="center"/>
          </w:tcPr>
          <w:p w14:paraId="3A8E6442">
            <w:pPr>
              <w:jc w:val="center"/>
              <w:rPr>
                <w:rFonts w:ascii="宋体" w:hAnsi="宋体"/>
                <w:color w:val="auto"/>
                <w:sz w:val="21"/>
                <w:szCs w:val="21"/>
                <w:highlight w:val="none"/>
              </w:rPr>
            </w:pPr>
          </w:p>
        </w:tc>
        <w:tc>
          <w:tcPr>
            <w:tcW w:w="2227" w:type="dxa"/>
            <w:vAlign w:val="center"/>
          </w:tcPr>
          <w:p w14:paraId="00615D58">
            <w:pPr>
              <w:jc w:val="center"/>
              <w:rPr>
                <w:rFonts w:ascii="宋体" w:hAnsi="宋体"/>
                <w:color w:val="auto"/>
                <w:sz w:val="21"/>
                <w:szCs w:val="21"/>
                <w:highlight w:val="none"/>
              </w:rPr>
            </w:pPr>
          </w:p>
        </w:tc>
      </w:tr>
      <w:tr w14:paraId="5B45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69C5CCDD">
            <w:pPr>
              <w:jc w:val="center"/>
              <w:rPr>
                <w:rFonts w:ascii="宋体" w:hAnsi="宋体"/>
                <w:color w:val="auto"/>
                <w:sz w:val="21"/>
                <w:szCs w:val="21"/>
                <w:highlight w:val="none"/>
              </w:rPr>
            </w:pPr>
          </w:p>
        </w:tc>
        <w:tc>
          <w:tcPr>
            <w:tcW w:w="1084" w:type="dxa"/>
            <w:vAlign w:val="center"/>
          </w:tcPr>
          <w:p w14:paraId="742559EC">
            <w:pPr>
              <w:jc w:val="center"/>
              <w:rPr>
                <w:rFonts w:ascii="宋体" w:hAnsi="宋体"/>
                <w:color w:val="auto"/>
                <w:sz w:val="21"/>
                <w:szCs w:val="21"/>
                <w:highlight w:val="none"/>
              </w:rPr>
            </w:pPr>
          </w:p>
        </w:tc>
        <w:tc>
          <w:tcPr>
            <w:tcW w:w="1191" w:type="dxa"/>
            <w:vAlign w:val="center"/>
          </w:tcPr>
          <w:p w14:paraId="79081674">
            <w:pPr>
              <w:jc w:val="center"/>
              <w:rPr>
                <w:rFonts w:ascii="宋体" w:hAnsi="宋体"/>
                <w:color w:val="auto"/>
                <w:sz w:val="21"/>
                <w:szCs w:val="21"/>
                <w:highlight w:val="none"/>
              </w:rPr>
            </w:pPr>
          </w:p>
        </w:tc>
        <w:tc>
          <w:tcPr>
            <w:tcW w:w="1336" w:type="dxa"/>
            <w:vAlign w:val="center"/>
          </w:tcPr>
          <w:p w14:paraId="17D19311">
            <w:pPr>
              <w:jc w:val="center"/>
              <w:rPr>
                <w:rFonts w:ascii="宋体" w:hAnsi="宋体"/>
                <w:color w:val="auto"/>
                <w:sz w:val="21"/>
                <w:szCs w:val="21"/>
                <w:highlight w:val="none"/>
              </w:rPr>
            </w:pPr>
          </w:p>
        </w:tc>
        <w:tc>
          <w:tcPr>
            <w:tcW w:w="2080" w:type="dxa"/>
            <w:vAlign w:val="center"/>
          </w:tcPr>
          <w:p w14:paraId="58F7FCDC">
            <w:pPr>
              <w:jc w:val="center"/>
              <w:rPr>
                <w:rFonts w:ascii="宋体" w:hAnsi="宋体"/>
                <w:color w:val="auto"/>
                <w:sz w:val="21"/>
                <w:szCs w:val="21"/>
                <w:highlight w:val="none"/>
              </w:rPr>
            </w:pPr>
          </w:p>
        </w:tc>
        <w:tc>
          <w:tcPr>
            <w:tcW w:w="2227" w:type="dxa"/>
            <w:vAlign w:val="center"/>
          </w:tcPr>
          <w:p w14:paraId="7B615451">
            <w:pPr>
              <w:jc w:val="center"/>
              <w:rPr>
                <w:rFonts w:ascii="宋体" w:hAnsi="宋体"/>
                <w:color w:val="auto"/>
                <w:sz w:val="21"/>
                <w:szCs w:val="21"/>
                <w:highlight w:val="none"/>
              </w:rPr>
            </w:pPr>
          </w:p>
        </w:tc>
      </w:tr>
      <w:tr w14:paraId="0B729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66F3BEDE">
            <w:pPr>
              <w:jc w:val="center"/>
              <w:rPr>
                <w:rFonts w:ascii="宋体" w:hAnsi="宋体"/>
                <w:color w:val="auto"/>
                <w:sz w:val="21"/>
                <w:szCs w:val="21"/>
                <w:highlight w:val="none"/>
              </w:rPr>
            </w:pPr>
          </w:p>
        </w:tc>
        <w:tc>
          <w:tcPr>
            <w:tcW w:w="1084" w:type="dxa"/>
            <w:vAlign w:val="center"/>
          </w:tcPr>
          <w:p w14:paraId="201683CB">
            <w:pPr>
              <w:jc w:val="center"/>
              <w:rPr>
                <w:rFonts w:ascii="宋体" w:hAnsi="宋体"/>
                <w:color w:val="auto"/>
                <w:sz w:val="21"/>
                <w:szCs w:val="21"/>
                <w:highlight w:val="none"/>
              </w:rPr>
            </w:pPr>
          </w:p>
        </w:tc>
        <w:tc>
          <w:tcPr>
            <w:tcW w:w="1191" w:type="dxa"/>
            <w:vAlign w:val="center"/>
          </w:tcPr>
          <w:p w14:paraId="484293B3">
            <w:pPr>
              <w:jc w:val="center"/>
              <w:rPr>
                <w:rFonts w:ascii="宋体" w:hAnsi="宋体"/>
                <w:color w:val="auto"/>
                <w:sz w:val="21"/>
                <w:szCs w:val="21"/>
                <w:highlight w:val="none"/>
              </w:rPr>
            </w:pPr>
          </w:p>
        </w:tc>
        <w:tc>
          <w:tcPr>
            <w:tcW w:w="1336" w:type="dxa"/>
            <w:vAlign w:val="center"/>
          </w:tcPr>
          <w:p w14:paraId="02E72873">
            <w:pPr>
              <w:jc w:val="center"/>
              <w:rPr>
                <w:rFonts w:ascii="宋体" w:hAnsi="宋体"/>
                <w:color w:val="auto"/>
                <w:sz w:val="21"/>
                <w:szCs w:val="21"/>
                <w:highlight w:val="none"/>
              </w:rPr>
            </w:pPr>
          </w:p>
        </w:tc>
        <w:tc>
          <w:tcPr>
            <w:tcW w:w="2080" w:type="dxa"/>
            <w:vAlign w:val="center"/>
          </w:tcPr>
          <w:p w14:paraId="5F6A8054">
            <w:pPr>
              <w:jc w:val="center"/>
              <w:rPr>
                <w:rFonts w:ascii="宋体" w:hAnsi="宋体"/>
                <w:color w:val="auto"/>
                <w:sz w:val="21"/>
                <w:szCs w:val="21"/>
                <w:highlight w:val="none"/>
              </w:rPr>
            </w:pPr>
          </w:p>
        </w:tc>
        <w:tc>
          <w:tcPr>
            <w:tcW w:w="2227" w:type="dxa"/>
            <w:vAlign w:val="center"/>
          </w:tcPr>
          <w:p w14:paraId="6144BA55">
            <w:pPr>
              <w:jc w:val="center"/>
              <w:rPr>
                <w:rFonts w:ascii="宋体" w:hAnsi="宋体"/>
                <w:color w:val="auto"/>
                <w:sz w:val="21"/>
                <w:szCs w:val="21"/>
                <w:highlight w:val="none"/>
              </w:rPr>
            </w:pPr>
          </w:p>
        </w:tc>
      </w:tr>
      <w:tr w14:paraId="6605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0AF8E2F">
            <w:pPr>
              <w:jc w:val="center"/>
              <w:rPr>
                <w:rFonts w:ascii="宋体" w:hAnsi="宋体"/>
                <w:color w:val="auto"/>
                <w:sz w:val="21"/>
                <w:szCs w:val="21"/>
                <w:highlight w:val="none"/>
              </w:rPr>
            </w:pPr>
          </w:p>
        </w:tc>
        <w:tc>
          <w:tcPr>
            <w:tcW w:w="1084" w:type="dxa"/>
            <w:vAlign w:val="center"/>
          </w:tcPr>
          <w:p w14:paraId="5470EA7A">
            <w:pPr>
              <w:jc w:val="center"/>
              <w:rPr>
                <w:rFonts w:ascii="宋体" w:hAnsi="宋体"/>
                <w:color w:val="auto"/>
                <w:sz w:val="21"/>
                <w:szCs w:val="21"/>
                <w:highlight w:val="none"/>
              </w:rPr>
            </w:pPr>
          </w:p>
        </w:tc>
        <w:tc>
          <w:tcPr>
            <w:tcW w:w="1191" w:type="dxa"/>
            <w:vAlign w:val="center"/>
          </w:tcPr>
          <w:p w14:paraId="4F56063B">
            <w:pPr>
              <w:jc w:val="center"/>
              <w:rPr>
                <w:rFonts w:ascii="宋体" w:hAnsi="宋体"/>
                <w:color w:val="auto"/>
                <w:sz w:val="21"/>
                <w:szCs w:val="21"/>
                <w:highlight w:val="none"/>
              </w:rPr>
            </w:pPr>
          </w:p>
        </w:tc>
        <w:tc>
          <w:tcPr>
            <w:tcW w:w="1336" w:type="dxa"/>
            <w:vAlign w:val="center"/>
          </w:tcPr>
          <w:p w14:paraId="7173215D">
            <w:pPr>
              <w:jc w:val="center"/>
              <w:rPr>
                <w:rFonts w:ascii="宋体" w:hAnsi="宋体"/>
                <w:color w:val="auto"/>
                <w:sz w:val="21"/>
                <w:szCs w:val="21"/>
                <w:highlight w:val="none"/>
              </w:rPr>
            </w:pPr>
          </w:p>
        </w:tc>
        <w:tc>
          <w:tcPr>
            <w:tcW w:w="2080" w:type="dxa"/>
            <w:vAlign w:val="center"/>
          </w:tcPr>
          <w:p w14:paraId="0B95F2EA">
            <w:pPr>
              <w:jc w:val="center"/>
              <w:rPr>
                <w:rFonts w:ascii="宋体" w:hAnsi="宋体"/>
                <w:color w:val="auto"/>
                <w:sz w:val="21"/>
                <w:szCs w:val="21"/>
                <w:highlight w:val="none"/>
              </w:rPr>
            </w:pPr>
          </w:p>
        </w:tc>
        <w:tc>
          <w:tcPr>
            <w:tcW w:w="2227" w:type="dxa"/>
            <w:vAlign w:val="center"/>
          </w:tcPr>
          <w:p w14:paraId="2AFFE2F3">
            <w:pPr>
              <w:jc w:val="center"/>
              <w:rPr>
                <w:rFonts w:ascii="宋体" w:hAnsi="宋体"/>
                <w:color w:val="auto"/>
                <w:sz w:val="21"/>
                <w:szCs w:val="21"/>
                <w:highlight w:val="none"/>
              </w:rPr>
            </w:pPr>
          </w:p>
        </w:tc>
      </w:tr>
      <w:tr w14:paraId="569C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AAF00D0">
            <w:pPr>
              <w:jc w:val="center"/>
              <w:rPr>
                <w:rFonts w:ascii="宋体" w:hAnsi="宋体"/>
                <w:color w:val="auto"/>
                <w:sz w:val="21"/>
                <w:szCs w:val="21"/>
                <w:highlight w:val="none"/>
              </w:rPr>
            </w:pPr>
          </w:p>
        </w:tc>
        <w:tc>
          <w:tcPr>
            <w:tcW w:w="1084" w:type="dxa"/>
            <w:vAlign w:val="center"/>
          </w:tcPr>
          <w:p w14:paraId="59EE76C8">
            <w:pPr>
              <w:jc w:val="center"/>
              <w:rPr>
                <w:rFonts w:ascii="宋体" w:hAnsi="宋体"/>
                <w:color w:val="auto"/>
                <w:sz w:val="21"/>
                <w:szCs w:val="21"/>
                <w:highlight w:val="none"/>
              </w:rPr>
            </w:pPr>
          </w:p>
        </w:tc>
        <w:tc>
          <w:tcPr>
            <w:tcW w:w="1191" w:type="dxa"/>
            <w:vAlign w:val="center"/>
          </w:tcPr>
          <w:p w14:paraId="498A4504">
            <w:pPr>
              <w:jc w:val="center"/>
              <w:rPr>
                <w:rFonts w:ascii="宋体" w:hAnsi="宋体"/>
                <w:color w:val="auto"/>
                <w:sz w:val="21"/>
                <w:szCs w:val="21"/>
                <w:highlight w:val="none"/>
              </w:rPr>
            </w:pPr>
          </w:p>
        </w:tc>
        <w:tc>
          <w:tcPr>
            <w:tcW w:w="1336" w:type="dxa"/>
            <w:vAlign w:val="center"/>
          </w:tcPr>
          <w:p w14:paraId="597673FA">
            <w:pPr>
              <w:jc w:val="center"/>
              <w:rPr>
                <w:rFonts w:ascii="宋体" w:hAnsi="宋体"/>
                <w:color w:val="auto"/>
                <w:sz w:val="21"/>
                <w:szCs w:val="21"/>
                <w:highlight w:val="none"/>
              </w:rPr>
            </w:pPr>
          </w:p>
        </w:tc>
        <w:tc>
          <w:tcPr>
            <w:tcW w:w="2080" w:type="dxa"/>
            <w:vAlign w:val="center"/>
          </w:tcPr>
          <w:p w14:paraId="117BBC7E">
            <w:pPr>
              <w:jc w:val="center"/>
              <w:rPr>
                <w:rFonts w:ascii="宋体" w:hAnsi="宋体"/>
                <w:color w:val="auto"/>
                <w:sz w:val="21"/>
                <w:szCs w:val="21"/>
                <w:highlight w:val="none"/>
              </w:rPr>
            </w:pPr>
          </w:p>
        </w:tc>
        <w:tc>
          <w:tcPr>
            <w:tcW w:w="2227" w:type="dxa"/>
            <w:vAlign w:val="center"/>
          </w:tcPr>
          <w:p w14:paraId="2F010272">
            <w:pPr>
              <w:jc w:val="center"/>
              <w:rPr>
                <w:rFonts w:ascii="宋体" w:hAnsi="宋体"/>
                <w:color w:val="auto"/>
                <w:sz w:val="21"/>
                <w:szCs w:val="21"/>
                <w:highlight w:val="none"/>
              </w:rPr>
            </w:pPr>
          </w:p>
        </w:tc>
      </w:tr>
      <w:tr w14:paraId="047D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B915080">
            <w:pPr>
              <w:jc w:val="center"/>
              <w:rPr>
                <w:rFonts w:ascii="宋体" w:hAnsi="宋体"/>
                <w:color w:val="auto"/>
                <w:sz w:val="21"/>
                <w:szCs w:val="21"/>
                <w:highlight w:val="none"/>
              </w:rPr>
            </w:pPr>
          </w:p>
        </w:tc>
        <w:tc>
          <w:tcPr>
            <w:tcW w:w="1084" w:type="dxa"/>
            <w:vAlign w:val="center"/>
          </w:tcPr>
          <w:p w14:paraId="130173A8">
            <w:pPr>
              <w:jc w:val="center"/>
              <w:rPr>
                <w:rFonts w:ascii="宋体" w:hAnsi="宋体"/>
                <w:color w:val="auto"/>
                <w:sz w:val="21"/>
                <w:szCs w:val="21"/>
                <w:highlight w:val="none"/>
              </w:rPr>
            </w:pPr>
          </w:p>
        </w:tc>
        <w:tc>
          <w:tcPr>
            <w:tcW w:w="1191" w:type="dxa"/>
            <w:vAlign w:val="center"/>
          </w:tcPr>
          <w:p w14:paraId="08976524">
            <w:pPr>
              <w:jc w:val="center"/>
              <w:rPr>
                <w:rFonts w:ascii="宋体" w:hAnsi="宋体"/>
                <w:color w:val="auto"/>
                <w:sz w:val="21"/>
                <w:szCs w:val="21"/>
                <w:highlight w:val="none"/>
              </w:rPr>
            </w:pPr>
          </w:p>
        </w:tc>
        <w:tc>
          <w:tcPr>
            <w:tcW w:w="1336" w:type="dxa"/>
            <w:vAlign w:val="center"/>
          </w:tcPr>
          <w:p w14:paraId="50CD10B6">
            <w:pPr>
              <w:jc w:val="center"/>
              <w:rPr>
                <w:rFonts w:ascii="宋体" w:hAnsi="宋体"/>
                <w:color w:val="auto"/>
                <w:sz w:val="21"/>
                <w:szCs w:val="21"/>
                <w:highlight w:val="none"/>
              </w:rPr>
            </w:pPr>
          </w:p>
        </w:tc>
        <w:tc>
          <w:tcPr>
            <w:tcW w:w="2080" w:type="dxa"/>
            <w:vAlign w:val="center"/>
          </w:tcPr>
          <w:p w14:paraId="16215B89">
            <w:pPr>
              <w:jc w:val="center"/>
              <w:rPr>
                <w:rFonts w:ascii="宋体" w:hAnsi="宋体"/>
                <w:color w:val="auto"/>
                <w:sz w:val="21"/>
                <w:szCs w:val="21"/>
                <w:highlight w:val="none"/>
              </w:rPr>
            </w:pPr>
          </w:p>
        </w:tc>
        <w:tc>
          <w:tcPr>
            <w:tcW w:w="2227" w:type="dxa"/>
            <w:vAlign w:val="center"/>
          </w:tcPr>
          <w:p w14:paraId="11EA6685">
            <w:pPr>
              <w:jc w:val="center"/>
              <w:rPr>
                <w:rFonts w:ascii="宋体" w:hAnsi="宋体"/>
                <w:color w:val="auto"/>
                <w:sz w:val="21"/>
                <w:szCs w:val="21"/>
                <w:highlight w:val="none"/>
              </w:rPr>
            </w:pPr>
          </w:p>
        </w:tc>
      </w:tr>
      <w:tr w14:paraId="1AA0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5264F9B8">
            <w:pPr>
              <w:jc w:val="center"/>
              <w:rPr>
                <w:rFonts w:ascii="宋体" w:hAnsi="宋体"/>
                <w:color w:val="auto"/>
                <w:sz w:val="21"/>
                <w:szCs w:val="21"/>
                <w:highlight w:val="none"/>
              </w:rPr>
            </w:pPr>
          </w:p>
        </w:tc>
        <w:tc>
          <w:tcPr>
            <w:tcW w:w="1084" w:type="dxa"/>
            <w:vAlign w:val="center"/>
          </w:tcPr>
          <w:p w14:paraId="730BB566">
            <w:pPr>
              <w:jc w:val="center"/>
              <w:rPr>
                <w:rFonts w:ascii="宋体" w:hAnsi="宋体"/>
                <w:color w:val="auto"/>
                <w:sz w:val="21"/>
                <w:szCs w:val="21"/>
                <w:highlight w:val="none"/>
              </w:rPr>
            </w:pPr>
          </w:p>
        </w:tc>
        <w:tc>
          <w:tcPr>
            <w:tcW w:w="1191" w:type="dxa"/>
            <w:vAlign w:val="center"/>
          </w:tcPr>
          <w:p w14:paraId="7754827A">
            <w:pPr>
              <w:jc w:val="center"/>
              <w:rPr>
                <w:rFonts w:ascii="宋体" w:hAnsi="宋体"/>
                <w:color w:val="auto"/>
                <w:sz w:val="21"/>
                <w:szCs w:val="21"/>
                <w:highlight w:val="none"/>
              </w:rPr>
            </w:pPr>
          </w:p>
        </w:tc>
        <w:tc>
          <w:tcPr>
            <w:tcW w:w="1336" w:type="dxa"/>
            <w:vAlign w:val="center"/>
          </w:tcPr>
          <w:p w14:paraId="02A1640C">
            <w:pPr>
              <w:jc w:val="center"/>
              <w:rPr>
                <w:rFonts w:ascii="宋体" w:hAnsi="宋体"/>
                <w:color w:val="auto"/>
                <w:sz w:val="21"/>
                <w:szCs w:val="21"/>
                <w:highlight w:val="none"/>
              </w:rPr>
            </w:pPr>
          </w:p>
        </w:tc>
        <w:tc>
          <w:tcPr>
            <w:tcW w:w="2080" w:type="dxa"/>
            <w:vAlign w:val="center"/>
          </w:tcPr>
          <w:p w14:paraId="464ADC1D">
            <w:pPr>
              <w:jc w:val="center"/>
              <w:rPr>
                <w:rFonts w:ascii="宋体" w:hAnsi="宋体"/>
                <w:color w:val="auto"/>
                <w:sz w:val="21"/>
                <w:szCs w:val="21"/>
                <w:highlight w:val="none"/>
              </w:rPr>
            </w:pPr>
          </w:p>
        </w:tc>
        <w:tc>
          <w:tcPr>
            <w:tcW w:w="2227" w:type="dxa"/>
            <w:vAlign w:val="center"/>
          </w:tcPr>
          <w:p w14:paraId="1BF5735D">
            <w:pPr>
              <w:jc w:val="center"/>
              <w:rPr>
                <w:rFonts w:ascii="宋体" w:hAnsi="宋体"/>
                <w:color w:val="auto"/>
                <w:sz w:val="21"/>
                <w:szCs w:val="21"/>
                <w:highlight w:val="none"/>
              </w:rPr>
            </w:pPr>
          </w:p>
        </w:tc>
      </w:tr>
      <w:tr w14:paraId="7BAF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6CE30F8C">
            <w:pPr>
              <w:jc w:val="center"/>
              <w:rPr>
                <w:rFonts w:ascii="宋体" w:hAnsi="宋体"/>
                <w:color w:val="auto"/>
                <w:sz w:val="21"/>
                <w:szCs w:val="21"/>
                <w:highlight w:val="none"/>
              </w:rPr>
            </w:pPr>
          </w:p>
        </w:tc>
        <w:tc>
          <w:tcPr>
            <w:tcW w:w="1084" w:type="dxa"/>
            <w:vAlign w:val="center"/>
          </w:tcPr>
          <w:p w14:paraId="1BCD031F">
            <w:pPr>
              <w:jc w:val="center"/>
              <w:rPr>
                <w:rFonts w:ascii="宋体" w:hAnsi="宋体"/>
                <w:color w:val="auto"/>
                <w:sz w:val="21"/>
                <w:szCs w:val="21"/>
                <w:highlight w:val="none"/>
              </w:rPr>
            </w:pPr>
          </w:p>
        </w:tc>
        <w:tc>
          <w:tcPr>
            <w:tcW w:w="1191" w:type="dxa"/>
            <w:vAlign w:val="center"/>
          </w:tcPr>
          <w:p w14:paraId="4EF9115A">
            <w:pPr>
              <w:jc w:val="center"/>
              <w:rPr>
                <w:rFonts w:ascii="宋体" w:hAnsi="宋体"/>
                <w:color w:val="auto"/>
                <w:sz w:val="21"/>
                <w:szCs w:val="21"/>
                <w:highlight w:val="none"/>
              </w:rPr>
            </w:pPr>
          </w:p>
        </w:tc>
        <w:tc>
          <w:tcPr>
            <w:tcW w:w="1336" w:type="dxa"/>
            <w:vAlign w:val="center"/>
          </w:tcPr>
          <w:p w14:paraId="648B0021">
            <w:pPr>
              <w:jc w:val="center"/>
              <w:rPr>
                <w:rFonts w:ascii="宋体" w:hAnsi="宋体"/>
                <w:color w:val="auto"/>
                <w:sz w:val="21"/>
                <w:szCs w:val="21"/>
                <w:highlight w:val="none"/>
              </w:rPr>
            </w:pPr>
          </w:p>
        </w:tc>
        <w:tc>
          <w:tcPr>
            <w:tcW w:w="2080" w:type="dxa"/>
            <w:vAlign w:val="center"/>
          </w:tcPr>
          <w:p w14:paraId="240E59DB">
            <w:pPr>
              <w:jc w:val="center"/>
              <w:rPr>
                <w:rFonts w:ascii="宋体" w:hAnsi="宋体"/>
                <w:color w:val="auto"/>
                <w:sz w:val="21"/>
                <w:szCs w:val="21"/>
                <w:highlight w:val="none"/>
              </w:rPr>
            </w:pPr>
          </w:p>
        </w:tc>
        <w:tc>
          <w:tcPr>
            <w:tcW w:w="2227" w:type="dxa"/>
            <w:vAlign w:val="center"/>
          </w:tcPr>
          <w:p w14:paraId="1976585F">
            <w:pPr>
              <w:jc w:val="center"/>
              <w:rPr>
                <w:rFonts w:ascii="宋体" w:hAnsi="宋体"/>
                <w:color w:val="auto"/>
                <w:sz w:val="21"/>
                <w:szCs w:val="21"/>
                <w:highlight w:val="none"/>
              </w:rPr>
            </w:pPr>
          </w:p>
        </w:tc>
      </w:tr>
      <w:tr w14:paraId="3771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2379EEC8">
            <w:pPr>
              <w:jc w:val="center"/>
              <w:rPr>
                <w:rFonts w:ascii="宋体" w:hAnsi="宋体"/>
                <w:color w:val="auto"/>
                <w:sz w:val="21"/>
                <w:szCs w:val="21"/>
                <w:highlight w:val="none"/>
              </w:rPr>
            </w:pPr>
          </w:p>
        </w:tc>
        <w:tc>
          <w:tcPr>
            <w:tcW w:w="1084" w:type="dxa"/>
            <w:vAlign w:val="center"/>
          </w:tcPr>
          <w:p w14:paraId="4454CCEC">
            <w:pPr>
              <w:jc w:val="center"/>
              <w:rPr>
                <w:rFonts w:ascii="宋体" w:hAnsi="宋体"/>
                <w:color w:val="auto"/>
                <w:sz w:val="21"/>
                <w:szCs w:val="21"/>
                <w:highlight w:val="none"/>
              </w:rPr>
            </w:pPr>
          </w:p>
        </w:tc>
        <w:tc>
          <w:tcPr>
            <w:tcW w:w="1191" w:type="dxa"/>
            <w:vAlign w:val="center"/>
          </w:tcPr>
          <w:p w14:paraId="397B0836">
            <w:pPr>
              <w:jc w:val="center"/>
              <w:rPr>
                <w:rFonts w:ascii="宋体" w:hAnsi="宋体"/>
                <w:color w:val="auto"/>
                <w:sz w:val="21"/>
                <w:szCs w:val="21"/>
                <w:highlight w:val="none"/>
              </w:rPr>
            </w:pPr>
          </w:p>
        </w:tc>
        <w:tc>
          <w:tcPr>
            <w:tcW w:w="1336" w:type="dxa"/>
            <w:vAlign w:val="center"/>
          </w:tcPr>
          <w:p w14:paraId="46ABD98D">
            <w:pPr>
              <w:jc w:val="center"/>
              <w:rPr>
                <w:rFonts w:ascii="宋体" w:hAnsi="宋体"/>
                <w:color w:val="auto"/>
                <w:sz w:val="21"/>
                <w:szCs w:val="21"/>
                <w:highlight w:val="none"/>
              </w:rPr>
            </w:pPr>
          </w:p>
        </w:tc>
        <w:tc>
          <w:tcPr>
            <w:tcW w:w="2080" w:type="dxa"/>
            <w:vAlign w:val="center"/>
          </w:tcPr>
          <w:p w14:paraId="07E10176">
            <w:pPr>
              <w:jc w:val="center"/>
              <w:rPr>
                <w:rFonts w:ascii="宋体" w:hAnsi="宋体"/>
                <w:color w:val="auto"/>
                <w:sz w:val="21"/>
                <w:szCs w:val="21"/>
                <w:highlight w:val="none"/>
              </w:rPr>
            </w:pPr>
          </w:p>
        </w:tc>
        <w:tc>
          <w:tcPr>
            <w:tcW w:w="2227" w:type="dxa"/>
            <w:vAlign w:val="center"/>
          </w:tcPr>
          <w:p w14:paraId="07412D92">
            <w:pPr>
              <w:jc w:val="center"/>
              <w:rPr>
                <w:rFonts w:ascii="宋体" w:hAnsi="宋体"/>
                <w:color w:val="auto"/>
                <w:sz w:val="21"/>
                <w:szCs w:val="21"/>
                <w:highlight w:val="none"/>
              </w:rPr>
            </w:pPr>
          </w:p>
        </w:tc>
      </w:tr>
    </w:tbl>
    <w:p w14:paraId="348DC0E5">
      <w:pPr>
        <w:keepNext w:val="0"/>
        <w:keepLines w:val="0"/>
        <w:pageBreakBefore w:val="0"/>
        <w:widowControl w:val="0"/>
        <w:kinsoku/>
        <w:wordWrap/>
        <w:overflowPunct/>
        <w:topLinePunct w:val="0"/>
        <w:autoSpaceDE/>
        <w:autoSpaceDN/>
        <w:bidi w:val="0"/>
        <w:adjustRightInd/>
        <w:snapToGrid/>
        <w:spacing w:before="60" w:after="60" w:line="240" w:lineRule="auto"/>
        <w:ind w:firstLine="210" w:firstLineChars="100"/>
        <w:jc w:val="left"/>
        <w:textAlignment w:val="auto"/>
        <w:rPr>
          <w:rFonts w:hint="eastAsia" w:asciiTheme="minorEastAsia" w:hAnsiTheme="minorEastAsia" w:eastAsiaTheme="minorEastAsia"/>
          <w:color w:val="auto"/>
          <w:sz w:val="21"/>
          <w:szCs w:val="21"/>
          <w:highlight w:val="none"/>
        </w:rPr>
      </w:pPr>
    </w:p>
    <w:p w14:paraId="2455CEFD">
      <w:pPr>
        <w:keepNext w:val="0"/>
        <w:keepLines w:val="0"/>
        <w:pageBreakBefore w:val="0"/>
        <w:widowControl w:val="0"/>
        <w:kinsoku/>
        <w:wordWrap/>
        <w:overflowPunct/>
        <w:topLinePunct w:val="0"/>
        <w:autoSpaceDE/>
        <w:autoSpaceDN/>
        <w:bidi w:val="0"/>
        <w:adjustRightInd/>
        <w:snapToGrid/>
        <w:spacing w:before="60" w:after="60" w:line="240" w:lineRule="auto"/>
        <w:ind w:firstLine="420" w:firstLineChars="200"/>
        <w:jc w:val="left"/>
        <w:textAlignment w:val="auto"/>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rPr>
        <w:t>注：</w:t>
      </w:r>
      <w:r>
        <w:rPr>
          <w:rFonts w:hint="eastAsia" w:asciiTheme="minorEastAsia" w:hAnsiTheme="minorEastAsia" w:eastAsia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lang w:val="en-US" w:eastAsia="zh-CN"/>
        </w:rPr>
        <w:t>1</w:t>
      </w:r>
      <w:r>
        <w:rPr>
          <w:rFonts w:hint="eastAsia" w:asciiTheme="minorEastAsia" w:hAnsiTheme="minorEastAsia" w:eastAsiaTheme="minorEastAsia"/>
          <w:color w:val="auto"/>
          <w:sz w:val="21"/>
          <w:szCs w:val="21"/>
          <w:highlight w:val="none"/>
          <w:lang w:eastAsia="zh-CN"/>
        </w:rPr>
        <w:t>）项目经理</w:t>
      </w:r>
      <w:r>
        <w:rPr>
          <w:rFonts w:hint="eastAsia" w:asciiTheme="minorEastAsia" w:hAnsiTheme="minorEastAsia" w:eastAsiaTheme="minorEastAsia"/>
          <w:color w:val="auto"/>
          <w:sz w:val="21"/>
          <w:szCs w:val="21"/>
          <w:highlight w:val="none"/>
        </w:rPr>
        <w:t>应附身份证、建造师执业资格证书、注册证书、安全生产考核合格证书、职称证、学历证、有效社保证明</w:t>
      </w:r>
      <w:r>
        <w:rPr>
          <w:rFonts w:hint="eastAsia" w:asciiTheme="minorEastAsia" w:hAnsiTheme="minorEastAsia" w:eastAsiaTheme="minorEastAsia"/>
          <w:color w:val="auto"/>
          <w:sz w:val="21"/>
          <w:szCs w:val="21"/>
          <w:highlight w:val="none"/>
          <w:lang w:eastAsia="zh-CN"/>
        </w:rPr>
        <w:t>扫描件</w:t>
      </w:r>
      <w:r>
        <w:rPr>
          <w:rFonts w:hint="eastAsia" w:asciiTheme="minorEastAsia" w:hAnsiTheme="minorEastAsia" w:eastAsiaTheme="minorEastAsia"/>
          <w:color w:val="auto"/>
          <w:sz w:val="21"/>
          <w:szCs w:val="21"/>
          <w:highlight w:val="none"/>
        </w:rPr>
        <w:t>，管理过的项目业绩</w:t>
      </w:r>
      <w:r>
        <w:rPr>
          <w:rFonts w:hint="eastAsia" w:asciiTheme="minorEastAsia" w:hAnsiTheme="minorEastAsia" w:eastAsiaTheme="minorEastAsia"/>
          <w:color w:val="auto"/>
          <w:sz w:val="21"/>
          <w:szCs w:val="21"/>
          <w:highlight w:val="none"/>
          <w:lang w:eastAsia="zh-CN"/>
        </w:rPr>
        <w:t>（如有）</w:t>
      </w:r>
      <w:r>
        <w:rPr>
          <w:rFonts w:hint="eastAsia" w:asciiTheme="minorEastAsia" w:hAnsiTheme="minorEastAsia" w:eastAsiaTheme="minorEastAsia"/>
          <w:color w:val="auto"/>
          <w:sz w:val="21"/>
          <w:szCs w:val="21"/>
          <w:highlight w:val="none"/>
        </w:rPr>
        <w:t>须附中标通知书或合同协议书的</w:t>
      </w:r>
      <w:r>
        <w:rPr>
          <w:rFonts w:hint="eastAsia" w:asciiTheme="minorEastAsia" w:hAnsiTheme="minorEastAsia" w:eastAsiaTheme="minorEastAsia"/>
          <w:color w:val="auto"/>
          <w:sz w:val="21"/>
          <w:szCs w:val="21"/>
          <w:highlight w:val="none"/>
          <w:lang w:eastAsia="zh-CN"/>
        </w:rPr>
        <w:t>扫描</w:t>
      </w:r>
      <w:r>
        <w:rPr>
          <w:rFonts w:hint="eastAsia" w:asciiTheme="minorEastAsia" w:hAnsiTheme="minorEastAsia" w:eastAsiaTheme="minorEastAsia"/>
          <w:color w:val="auto"/>
          <w:sz w:val="21"/>
          <w:szCs w:val="21"/>
          <w:highlight w:val="none"/>
        </w:rPr>
        <w:t>件</w:t>
      </w:r>
      <w:r>
        <w:rPr>
          <w:rFonts w:hint="eastAsia" w:asciiTheme="minorEastAsia" w:hAnsiTheme="minorEastAsia" w:eastAsiaTheme="minorEastAsia"/>
          <w:color w:val="auto"/>
          <w:sz w:val="21"/>
          <w:szCs w:val="21"/>
          <w:highlight w:val="none"/>
          <w:lang w:eastAsia="zh-CN"/>
        </w:rPr>
        <w:t>。</w:t>
      </w:r>
    </w:p>
    <w:p w14:paraId="6FC9B144">
      <w:pPr>
        <w:keepNext w:val="0"/>
        <w:keepLines w:val="0"/>
        <w:pageBreakBefore w:val="0"/>
        <w:widowControl w:val="0"/>
        <w:numPr>
          <w:ilvl w:val="0"/>
          <w:numId w:val="0"/>
        </w:numPr>
        <w:kinsoku/>
        <w:wordWrap/>
        <w:overflowPunct/>
        <w:topLinePunct w:val="0"/>
        <w:autoSpaceDE/>
        <w:autoSpaceDN/>
        <w:bidi w:val="0"/>
        <w:adjustRightInd/>
        <w:snapToGrid/>
        <w:spacing w:before="60" w:after="60" w:line="240" w:lineRule="auto"/>
        <w:ind w:firstLine="840" w:firstLineChars="400"/>
        <w:jc w:val="left"/>
        <w:textAlignment w:val="auto"/>
        <w:rPr>
          <w:rFonts w:hint="eastAsia" w:ascii="宋体" w:hAnsi="宋体"/>
          <w:b/>
          <w:color w:val="auto"/>
          <w:sz w:val="21"/>
          <w:szCs w:val="21"/>
          <w:highlight w:val="none"/>
          <w:lang w:eastAsia="zh-CN"/>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lang w:eastAsia="zh-CN"/>
        </w:rPr>
        <w:t>）项目总工</w:t>
      </w:r>
      <w:r>
        <w:rPr>
          <w:rFonts w:hint="eastAsia" w:ascii="宋体" w:hAnsi="宋体"/>
          <w:color w:val="auto"/>
          <w:sz w:val="21"/>
          <w:szCs w:val="21"/>
          <w:highlight w:val="none"/>
          <w:lang w:val="en-US" w:eastAsia="zh-CN"/>
        </w:rPr>
        <w:t>应附</w:t>
      </w:r>
      <w:r>
        <w:rPr>
          <w:rFonts w:ascii="宋体" w:hAnsi="宋体"/>
          <w:b w:val="0"/>
          <w:bCs/>
          <w:color w:val="auto"/>
          <w:sz w:val="21"/>
          <w:szCs w:val="21"/>
          <w:highlight w:val="none"/>
        </w:rPr>
        <w:t>身份证、职称证</w:t>
      </w:r>
      <w:r>
        <w:rPr>
          <w:rFonts w:hint="eastAsia" w:ascii="宋体" w:hAnsi="宋体"/>
          <w:b w:val="0"/>
          <w:bCs/>
          <w:color w:val="auto"/>
          <w:sz w:val="21"/>
          <w:szCs w:val="21"/>
          <w:highlight w:val="none"/>
          <w:lang w:eastAsia="zh-CN"/>
        </w:rPr>
        <w:t>、有效社保证明、业绩证明材料（如有）</w:t>
      </w:r>
      <w:r>
        <w:rPr>
          <w:rFonts w:ascii="宋体" w:hAnsi="宋体"/>
          <w:b w:val="0"/>
          <w:bCs/>
          <w:color w:val="auto"/>
          <w:sz w:val="21"/>
          <w:szCs w:val="21"/>
          <w:highlight w:val="none"/>
        </w:rPr>
        <w:t>等复印件</w:t>
      </w:r>
      <w:r>
        <w:rPr>
          <w:rFonts w:hint="eastAsia" w:ascii="宋体" w:hAnsi="宋体"/>
          <w:b/>
          <w:color w:val="auto"/>
          <w:sz w:val="21"/>
          <w:szCs w:val="21"/>
          <w:highlight w:val="none"/>
          <w:lang w:eastAsia="zh-CN"/>
        </w:rPr>
        <w:t>。</w:t>
      </w:r>
    </w:p>
    <w:p w14:paraId="44DF330D">
      <w:pPr>
        <w:keepNext w:val="0"/>
        <w:keepLines w:val="0"/>
        <w:pageBreakBefore w:val="0"/>
        <w:widowControl w:val="0"/>
        <w:numPr>
          <w:ilvl w:val="0"/>
          <w:numId w:val="0"/>
        </w:numPr>
        <w:kinsoku/>
        <w:wordWrap/>
        <w:overflowPunct/>
        <w:topLinePunct w:val="0"/>
        <w:autoSpaceDE/>
        <w:autoSpaceDN/>
        <w:bidi w:val="0"/>
        <w:adjustRightInd/>
        <w:snapToGrid/>
        <w:spacing w:before="60" w:after="60" w:line="240" w:lineRule="auto"/>
        <w:ind w:leftChars="0" w:firstLine="840" w:firstLineChars="400"/>
        <w:jc w:val="left"/>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lang w:val="en-US" w:eastAsia="zh-CN"/>
        </w:rPr>
        <w:t>3</w:t>
      </w:r>
      <w:r>
        <w:rPr>
          <w:rFonts w:hint="eastAsia" w:asciiTheme="minorEastAsia" w:hAnsiTheme="minorEastAsia" w:eastAsia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rPr>
        <w:t>类似项目限于以项目经理或项目</w:t>
      </w:r>
      <w:r>
        <w:rPr>
          <w:rFonts w:hint="eastAsia" w:asciiTheme="minorEastAsia" w:hAnsiTheme="minorEastAsia" w:eastAsiaTheme="minorEastAsia"/>
          <w:color w:val="auto"/>
          <w:sz w:val="21"/>
          <w:szCs w:val="21"/>
          <w:highlight w:val="none"/>
          <w:lang w:val="en-US" w:eastAsia="zh-CN"/>
        </w:rPr>
        <w:t>总工</w:t>
      </w:r>
      <w:r>
        <w:rPr>
          <w:rFonts w:hint="eastAsia" w:asciiTheme="minorEastAsia" w:hAnsiTheme="minorEastAsia" w:eastAsiaTheme="minorEastAsia"/>
          <w:color w:val="auto"/>
          <w:sz w:val="21"/>
          <w:szCs w:val="21"/>
          <w:highlight w:val="none"/>
        </w:rPr>
        <w:t>身份参与的项目。</w:t>
      </w:r>
    </w:p>
    <w:p w14:paraId="17A9013C">
      <w:pPr>
        <w:rPr>
          <w:rFonts w:hint="eastAsia" w:asciiTheme="minorEastAsia" w:hAnsiTheme="minorEastAsia" w:eastAsiaTheme="minorEastAsia"/>
          <w:color w:val="auto"/>
          <w:sz w:val="24"/>
          <w:highlight w:val="none"/>
          <w:lang w:eastAsia="zh-CN"/>
        </w:rPr>
      </w:pPr>
    </w:p>
    <w:p w14:paraId="613C7DC9">
      <w:pPr>
        <w:ind w:firstLine="420" w:firstLineChars="200"/>
        <w:rPr>
          <w:color w:val="auto"/>
          <w:highlight w:val="none"/>
        </w:rPr>
      </w:pPr>
    </w:p>
    <w:p w14:paraId="0B5F8170">
      <w:pPr>
        <w:rPr>
          <w:color w:val="auto"/>
          <w:highlight w:val="none"/>
        </w:rPr>
      </w:pPr>
    </w:p>
    <w:p w14:paraId="063E542D">
      <w:pPr>
        <w:rPr>
          <w:color w:val="auto"/>
          <w:highlight w:val="none"/>
        </w:rPr>
      </w:pPr>
    </w:p>
    <w:p w14:paraId="656E999B">
      <w:pPr>
        <w:rPr>
          <w:color w:val="auto"/>
          <w:highlight w:val="none"/>
        </w:rPr>
      </w:pPr>
    </w:p>
    <w:p w14:paraId="713C6468">
      <w:pPr>
        <w:rPr>
          <w:color w:val="auto"/>
          <w:highlight w:val="none"/>
        </w:rPr>
      </w:pPr>
    </w:p>
    <w:p w14:paraId="6AB99833">
      <w:pPr>
        <w:pStyle w:val="3"/>
        <w:jc w:val="both"/>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4</w:t>
      </w:r>
      <w:r>
        <w:rPr>
          <w:rFonts w:hint="eastAsia" w:ascii="Times New Roman" w:hAnsi="Times New Roman"/>
          <w:bCs w:val="0"/>
          <w:color w:val="auto"/>
          <w:szCs w:val="28"/>
          <w:highlight w:val="none"/>
        </w:rPr>
        <w:t>：</w:t>
      </w:r>
    </w:p>
    <w:p w14:paraId="461F3791">
      <w:pPr>
        <w:pStyle w:val="3"/>
        <w:jc w:val="center"/>
        <w:rPr>
          <w:rFonts w:ascii="Times New Roman" w:hAnsi="Times New Roman"/>
          <w:bCs w:val="0"/>
          <w:color w:val="auto"/>
          <w:szCs w:val="28"/>
          <w:highlight w:val="none"/>
        </w:rPr>
      </w:pPr>
      <w:r>
        <w:rPr>
          <w:rFonts w:hint="eastAsia" w:ascii="Times New Roman" w:hAnsi="Times New Roman"/>
          <w:bCs w:val="0"/>
          <w:color w:val="auto"/>
          <w:szCs w:val="28"/>
          <w:highlight w:val="none"/>
        </w:rPr>
        <w:t>主要项目管理人员简历表</w:t>
      </w:r>
    </w:p>
    <w:p w14:paraId="6E1F881D">
      <w:pPr>
        <w:spacing w:line="360" w:lineRule="auto"/>
        <w:jc w:val="center"/>
        <w:rPr>
          <w:rFonts w:ascii="宋体" w:hAnsi="宋体"/>
          <w:b/>
          <w:color w:val="auto"/>
          <w:sz w:val="24"/>
          <w:highlight w:val="none"/>
        </w:rPr>
      </w:pPr>
      <w:r>
        <w:rPr>
          <w:rFonts w:ascii="宋体" w:hAnsi="宋体"/>
          <w:color w:val="auto"/>
          <w:sz w:val="24"/>
          <w:highlight w:val="none"/>
        </w:rPr>
        <w:t>主要项目管理人员简历表</w:t>
      </w:r>
    </w:p>
    <w:tbl>
      <w:tblPr>
        <w:tblStyle w:val="51"/>
        <w:tblW w:w="9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2312"/>
        <w:gridCol w:w="1928"/>
        <w:gridCol w:w="2700"/>
      </w:tblGrid>
      <w:tr w14:paraId="25D2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307" w:type="dxa"/>
            <w:gridSpan w:val="4"/>
          </w:tcPr>
          <w:p w14:paraId="54B83D92">
            <w:pPr>
              <w:snapToGrid w:val="0"/>
              <w:rPr>
                <w:rFonts w:ascii="宋体" w:hAnsi="宋体"/>
                <w:color w:val="auto"/>
                <w:sz w:val="21"/>
                <w:szCs w:val="21"/>
                <w:highlight w:val="none"/>
              </w:rPr>
            </w:pPr>
            <w:r>
              <w:rPr>
                <w:rFonts w:ascii="宋体" w:hAnsi="宋体"/>
                <w:color w:val="auto"/>
                <w:sz w:val="21"/>
                <w:szCs w:val="21"/>
                <w:highlight w:val="none"/>
              </w:rPr>
              <w:t>岗位名称：</w:t>
            </w:r>
          </w:p>
        </w:tc>
      </w:tr>
      <w:tr w14:paraId="0054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2024F6FD">
            <w:pPr>
              <w:snapToGrid w:val="0"/>
              <w:jc w:val="center"/>
              <w:rPr>
                <w:rFonts w:ascii="宋体" w:hAnsi="宋体"/>
                <w:color w:val="auto"/>
                <w:sz w:val="21"/>
                <w:szCs w:val="21"/>
                <w:highlight w:val="none"/>
              </w:rPr>
            </w:pPr>
            <w:r>
              <w:rPr>
                <w:rFonts w:ascii="宋体" w:hAnsi="宋体"/>
                <w:color w:val="auto"/>
                <w:sz w:val="21"/>
                <w:szCs w:val="21"/>
                <w:highlight w:val="none"/>
              </w:rPr>
              <w:t>姓名</w:t>
            </w:r>
          </w:p>
        </w:tc>
        <w:tc>
          <w:tcPr>
            <w:tcW w:w="2312" w:type="dxa"/>
            <w:vAlign w:val="center"/>
          </w:tcPr>
          <w:p w14:paraId="307FE22B">
            <w:pPr>
              <w:snapToGrid w:val="0"/>
              <w:jc w:val="center"/>
              <w:rPr>
                <w:rFonts w:ascii="宋体" w:hAnsi="宋体"/>
                <w:color w:val="auto"/>
                <w:sz w:val="21"/>
                <w:szCs w:val="21"/>
                <w:highlight w:val="none"/>
              </w:rPr>
            </w:pPr>
          </w:p>
        </w:tc>
        <w:tc>
          <w:tcPr>
            <w:tcW w:w="1928" w:type="dxa"/>
            <w:vAlign w:val="center"/>
          </w:tcPr>
          <w:p w14:paraId="7DD6C044">
            <w:pPr>
              <w:snapToGrid w:val="0"/>
              <w:jc w:val="center"/>
              <w:rPr>
                <w:rFonts w:ascii="宋体" w:hAnsi="宋体"/>
                <w:color w:val="auto"/>
                <w:sz w:val="21"/>
                <w:szCs w:val="21"/>
                <w:highlight w:val="none"/>
              </w:rPr>
            </w:pPr>
            <w:r>
              <w:rPr>
                <w:rFonts w:ascii="宋体" w:hAnsi="宋体"/>
                <w:color w:val="auto"/>
                <w:sz w:val="21"/>
                <w:szCs w:val="21"/>
                <w:highlight w:val="none"/>
              </w:rPr>
              <w:t>年龄</w:t>
            </w:r>
          </w:p>
        </w:tc>
        <w:tc>
          <w:tcPr>
            <w:tcW w:w="2700" w:type="dxa"/>
            <w:vAlign w:val="center"/>
          </w:tcPr>
          <w:p w14:paraId="01976CDA">
            <w:pPr>
              <w:snapToGrid w:val="0"/>
              <w:jc w:val="center"/>
              <w:rPr>
                <w:rFonts w:ascii="宋体" w:hAnsi="宋体"/>
                <w:color w:val="auto"/>
                <w:sz w:val="21"/>
                <w:szCs w:val="21"/>
                <w:highlight w:val="none"/>
              </w:rPr>
            </w:pPr>
          </w:p>
        </w:tc>
      </w:tr>
      <w:tr w14:paraId="16BE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71E660AF">
            <w:pPr>
              <w:snapToGrid w:val="0"/>
              <w:jc w:val="center"/>
              <w:rPr>
                <w:rFonts w:ascii="宋体" w:hAnsi="宋体"/>
                <w:color w:val="auto"/>
                <w:sz w:val="21"/>
                <w:szCs w:val="21"/>
                <w:highlight w:val="none"/>
              </w:rPr>
            </w:pPr>
            <w:r>
              <w:rPr>
                <w:rFonts w:ascii="宋体" w:hAnsi="宋体"/>
                <w:color w:val="auto"/>
                <w:sz w:val="21"/>
                <w:szCs w:val="21"/>
                <w:highlight w:val="none"/>
              </w:rPr>
              <w:t>性别</w:t>
            </w:r>
          </w:p>
        </w:tc>
        <w:tc>
          <w:tcPr>
            <w:tcW w:w="2312" w:type="dxa"/>
            <w:vAlign w:val="center"/>
          </w:tcPr>
          <w:p w14:paraId="14CC3C44">
            <w:pPr>
              <w:snapToGrid w:val="0"/>
              <w:jc w:val="center"/>
              <w:rPr>
                <w:rFonts w:ascii="宋体" w:hAnsi="宋体"/>
                <w:color w:val="auto"/>
                <w:sz w:val="21"/>
                <w:szCs w:val="21"/>
                <w:highlight w:val="none"/>
              </w:rPr>
            </w:pPr>
          </w:p>
        </w:tc>
        <w:tc>
          <w:tcPr>
            <w:tcW w:w="1928" w:type="dxa"/>
            <w:vAlign w:val="center"/>
          </w:tcPr>
          <w:p w14:paraId="1BB642D3">
            <w:pPr>
              <w:snapToGrid w:val="0"/>
              <w:jc w:val="center"/>
              <w:rPr>
                <w:rFonts w:ascii="宋体" w:hAnsi="宋体"/>
                <w:color w:val="auto"/>
                <w:sz w:val="21"/>
                <w:szCs w:val="21"/>
                <w:highlight w:val="none"/>
              </w:rPr>
            </w:pPr>
            <w:r>
              <w:rPr>
                <w:rFonts w:ascii="宋体" w:hAnsi="宋体"/>
                <w:color w:val="auto"/>
                <w:sz w:val="21"/>
                <w:szCs w:val="21"/>
                <w:highlight w:val="none"/>
              </w:rPr>
              <w:t>毕业院校</w:t>
            </w:r>
          </w:p>
        </w:tc>
        <w:tc>
          <w:tcPr>
            <w:tcW w:w="2700" w:type="dxa"/>
            <w:vAlign w:val="center"/>
          </w:tcPr>
          <w:p w14:paraId="657117E9">
            <w:pPr>
              <w:snapToGrid w:val="0"/>
              <w:jc w:val="center"/>
              <w:rPr>
                <w:rFonts w:ascii="宋体" w:hAnsi="宋体"/>
                <w:color w:val="auto"/>
                <w:sz w:val="21"/>
                <w:szCs w:val="21"/>
                <w:highlight w:val="none"/>
              </w:rPr>
            </w:pPr>
          </w:p>
        </w:tc>
      </w:tr>
      <w:tr w14:paraId="6D07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6820C3C2">
            <w:pPr>
              <w:snapToGrid w:val="0"/>
              <w:jc w:val="center"/>
              <w:rPr>
                <w:rFonts w:ascii="宋体" w:hAnsi="宋体"/>
                <w:color w:val="auto"/>
                <w:sz w:val="21"/>
                <w:szCs w:val="21"/>
                <w:highlight w:val="none"/>
              </w:rPr>
            </w:pPr>
            <w:r>
              <w:rPr>
                <w:rFonts w:ascii="宋体" w:hAnsi="宋体"/>
                <w:color w:val="auto"/>
                <w:sz w:val="21"/>
                <w:szCs w:val="21"/>
                <w:highlight w:val="none"/>
              </w:rPr>
              <w:t>学历和专业</w:t>
            </w:r>
          </w:p>
        </w:tc>
        <w:tc>
          <w:tcPr>
            <w:tcW w:w="2312" w:type="dxa"/>
            <w:vAlign w:val="center"/>
          </w:tcPr>
          <w:p w14:paraId="4D1C981C">
            <w:pPr>
              <w:snapToGrid w:val="0"/>
              <w:jc w:val="center"/>
              <w:rPr>
                <w:rFonts w:ascii="宋体" w:hAnsi="宋体"/>
                <w:color w:val="auto"/>
                <w:sz w:val="21"/>
                <w:szCs w:val="21"/>
                <w:highlight w:val="none"/>
              </w:rPr>
            </w:pPr>
          </w:p>
        </w:tc>
        <w:tc>
          <w:tcPr>
            <w:tcW w:w="1928" w:type="dxa"/>
            <w:vAlign w:val="center"/>
          </w:tcPr>
          <w:p w14:paraId="611D623D">
            <w:pPr>
              <w:snapToGrid w:val="0"/>
              <w:jc w:val="center"/>
              <w:rPr>
                <w:rFonts w:ascii="宋体" w:hAnsi="宋体"/>
                <w:color w:val="auto"/>
                <w:sz w:val="21"/>
                <w:szCs w:val="21"/>
                <w:highlight w:val="none"/>
              </w:rPr>
            </w:pPr>
            <w:r>
              <w:rPr>
                <w:rFonts w:ascii="宋体" w:hAnsi="宋体"/>
                <w:color w:val="auto"/>
                <w:sz w:val="21"/>
                <w:szCs w:val="21"/>
                <w:highlight w:val="none"/>
              </w:rPr>
              <w:t>毕业时间</w:t>
            </w:r>
          </w:p>
        </w:tc>
        <w:tc>
          <w:tcPr>
            <w:tcW w:w="2700" w:type="dxa"/>
            <w:vAlign w:val="center"/>
          </w:tcPr>
          <w:p w14:paraId="6D7C0D1B">
            <w:pPr>
              <w:snapToGrid w:val="0"/>
              <w:jc w:val="center"/>
              <w:rPr>
                <w:rFonts w:ascii="宋体" w:hAnsi="宋体"/>
                <w:color w:val="auto"/>
                <w:sz w:val="21"/>
                <w:szCs w:val="21"/>
                <w:highlight w:val="none"/>
              </w:rPr>
            </w:pPr>
          </w:p>
        </w:tc>
      </w:tr>
      <w:tr w14:paraId="6262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2B922B8D">
            <w:pPr>
              <w:snapToGrid w:val="0"/>
              <w:jc w:val="center"/>
              <w:rPr>
                <w:rFonts w:ascii="宋体" w:hAnsi="宋体"/>
                <w:color w:val="auto"/>
                <w:sz w:val="21"/>
                <w:szCs w:val="21"/>
                <w:highlight w:val="none"/>
              </w:rPr>
            </w:pPr>
            <w:r>
              <w:rPr>
                <w:rFonts w:ascii="宋体" w:hAnsi="宋体"/>
                <w:color w:val="auto"/>
                <w:sz w:val="21"/>
                <w:szCs w:val="21"/>
                <w:highlight w:val="none"/>
              </w:rPr>
              <w:t>拥有的职业资格</w:t>
            </w:r>
          </w:p>
        </w:tc>
        <w:tc>
          <w:tcPr>
            <w:tcW w:w="2312" w:type="dxa"/>
            <w:vAlign w:val="center"/>
          </w:tcPr>
          <w:p w14:paraId="01335CE4">
            <w:pPr>
              <w:snapToGrid w:val="0"/>
              <w:jc w:val="center"/>
              <w:rPr>
                <w:rFonts w:ascii="宋体" w:hAnsi="宋体"/>
                <w:color w:val="auto"/>
                <w:sz w:val="21"/>
                <w:szCs w:val="21"/>
                <w:highlight w:val="none"/>
              </w:rPr>
            </w:pPr>
          </w:p>
        </w:tc>
        <w:tc>
          <w:tcPr>
            <w:tcW w:w="1928" w:type="dxa"/>
            <w:vAlign w:val="center"/>
          </w:tcPr>
          <w:p w14:paraId="4D0F6084">
            <w:pPr>
              <w:snapToGrid w:val="0"/>
              <w:jc w:val="center"/>
              <w:rPr>
                <w:rFonts w:ascii="宋体" w:hAnsi="宋体"/>
                <w:color w:val="auto"/>
                <w:sz w:val="21"/>
                <w:szCs w:val="21"/>
                <w:highlight w:val="none"/>
              </w:rPr>
            </w:pPr>
            <w:r>
              <w:rPr>
                <w:rFonts w:ascii="宋体" w:hAnsi="宋体"/>
                <w:color w:val="auto"/>
                <w:sz w:val="21"/>
                <w:szCs w:val="21"/>
                <w:highlight w:val="none"/>
              </w:rPr>
              <w:t>专业职称</w:t>
            </w:r>
          </w:p>
        </w:tc>
        <w:tc>
          <w:tcPr>
            <w:tcW w:w="2700" w:type="dxa"/>
            <w:vAlign w:val="center"/>
          </w:tcPr>
          <w:p w14:paraId="70109114">
            <w:pPr>
              <w:snapToGrid w:val="0"/>
              <w:jc w:val="center"/>
              <w:rPr>
                <w:rFonts w:ascii="宋体" w:hAnsi="宋体"/>
                <w:color w:val="auto"/>
                <w:sz w:val="21"/>
                <w:szCs w:val="21"/>
                <w:highlight w:val="none"/>
              </w:rPr>
            </w:pPr>
          </w:p>
        </w:tc>
      </w:tr>
      <w:tr w14:paraId="0696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14229DE4">
            <w:pPr>
              <w:snapToGrid w:val="0"/>
              <w:jc w:val="center"/>
              <w:rPr>
                <w:rFonts w:ascii="宋体" w:hAnsi="宋体"/>
                <w:color w:val="auto"/>
                <w:sz w:val="21"/>
                <w:szCs w:val="21"/>
                <w:highlight w:val="none"/>
              </w:rPr>
            </w:pPr>
            <w:r>
              <w:rPr>
                <w:rFonts w:ascii="宋体" w:hAnsi="宋体"/>
                <w:color w:val="auto"/>
                <w:sz w:val="21"/>
                <w:szCs w:val="21"/>
                <w:highlight w:val="none"/>
              </w:rPr>
              <w:t>职业资格证书编号</w:t>
            </w:r>
          </w:p>
        </w:tc>
        <w:tc>
          <w:tcPr>
            <w:tcW w:w="2312" w:type="dxa"/>
            <w:vAlign w:val="center"/>
          </w:tcPr>
          <w:p w14:paraId="44876398">
            <w:pPr>
              <w:snapToGrid w:val="0"/>
              <w:jc w:val="center"/>
              <w:rPr>
                <w:rFonts w:ascii="宋体" w:hAnsi="宋体"/>
                <w:color w:val="auto"/>
                <w:sz w:val="21"/>
                <w:szCs w:val="21"/>
                <w:highlight w:val="none"/>
              </w:rPr>
            </w:pPr>
          </w:p>
        </w:tc>
        <w:tc>
          <w:tcPr>
            <w:tcW w:w="1928" w:type="dxa"/>
            <w:vAlign w:val="center"/>
          </w:tcPr>
          <w:p w14:paraId="109C2264">
            <w:pPr>
              <w:snapToGrid w:val="0"/>
              <w:jc w:val="center"/>
              <w:rPr>
                <w:rFonts w:ascii="宋体" w:hAnsi="宋体"/>
                <w:color w:val="auto"/>
                <w:sz w:val="21"/>
                <w:szCs w:val="21"/>
                <w:highlight w:val="none"/>
              </w:rPr>
            </w:pPr>
            <w:r>
              <w:rPr>
                <w:rFonts w:ascii="宋体" w:hAnsi="宋体"/>
                <w:color w:val="auto"/>
                <w:sz w:val="21"/>
                <w:szCs w:val="21"/>
                <w:highlight w:val="none"/>
              </w:rPr>
              <w:t>工作年限</w:t>
            </w:r>
          </w:p>
        </w:tc>
        <w:tc>
          <w:tcPr>
            <w:tcW w:w="2700" w:type="dxa"/>
            <w:vAlign w:val="center"/>
          </w:tcPr>
          <w:p w14:paraId="3457FD06">
            <w:pPr>
              <w:snapToGrid w:val="0"/>
              <w:jc w:val="center"/>
              <w:rPr>
                <w:rFonts w:ascii="宋体" w:hAnsi="宋体"/>
                <w:color w:val="auto"/>
                <w:sz w:val="21"/>
                <w:szCs w:val="21"/>
                <w:highlight w:val="none"/>
              </w:rPr>
            </w:pPr>
          </w:p>
        </w:tc>
      </w:tr>
      <w:tr w14:paraId="1D4D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9307" w:type="dxa"/>
            <w:gridSpan w:val="4"/>
          </w:tcPr>
          <w:p w14:paraId="4B6196EC">
            <w:pPr>
              <w:snapToGrid w:val="0"/>
              <w:rPr>
                <w:rFonts w:ascii="宋体" w:hAnsi="宋体"/>
                <w:color w:val="auto"/>
                <w:sz w:val="21"/>
                <w:szCs w:val="21"/>
                <w:highlight w:val="none"/>
              </w:rPr>
            </w:pPr>
            <w:r>
              <w:rPr>
                <w:rFonts w:ascii="宋体" w:hAnsi="宋体"/>
                <w:color w:val="auto"/>
                <w:sz w:val="21"/>
                <w:szCs w:val="21"/>
                <w:highlight w:val="none"/>
              </w:rPr>
              <w:t>主</w:t>
            </w:r>
          </w:p>
          <w:p w14:paraId="1EBC3BDE">
            <w:pPr>
              <w:snapToGrid w:val="0"/>
              <w:rPr>
                <w:rFonts w:ascii="宋体" w:hAnsi="宋体"/>
                <w:color w:val="auto"/>
                <w:sz w:val="21"/>
                <w:szCs w:val="21"/>
                <w:highlight w:val="none"/>
              </w:rPr>
            </w:pPr>
            <w:r>
              <w:rPr>
                <w:rFonts w:ascii="宋体" w:hAnsi="宋体"/>
                <w:color w:val="auto"/>
                <w:sz w:val="21"/>
                <w:szCs w:val="21"/>
                <w:highlight w:val="none"/>
              </w:rPr>
              <w:t>要</w:t>
            </w:r>
          </w:p>
          <w:p w14:paraId="0D45135E">
            <w:pPr>
              <w:snapToGrid w:val="0"/>
              <w:rPr>
                <w:rFonts w:ascii="宋体" w:hAnsi="宋体"/>
                <w:color w:val="auto"/>
                <w:sz w:val="21"/>
                <w:szCs w:val="21"/>
                <w:highlight w:val="none"/>
              </w:rPr>
            </w:pPr>
            <w:r>
              <w:rPr>
                <w:rFonts w:ascii="宋体" w:hAnsi="宋体"/>
                <w:color w:val="auto"/>
                <w:sz w:val="21"/>
                <w:szCs w:val="21"/>
                <w:highlight w:val="none"/>
              </w:rPr>
              <w:t>工</w:t>
            </w:r>
          </w:p>
          <w:p w14:paraId="4452D20E">
            <w:pPr>
              <w:snapToGrid w:val="0"/>
              <w:rPr>
                <w:rFonts w:ascii="宋体" w:hAnsi="宋体"/>
                <w:color w:val="auto"/>
                <w:sz w:val="21"/>
                <w:szCs w:val="21"/>
                <w:highlight w:val="none"/>
              </w:rPr>
            </w:pPr>
            <w:r>
              <w:rPr>
                <w:rFonts w:ascii="宋体" w:hAnsi="宋体"/>
                <w:color w:val="auto"/>
                <w:sz w:val="21"/>
                <w:szCs w:val="21"/>
                <w:highlight w:val="none"/>
              </w:rPr>
              <w:t>作</w:t>
            </w:r>
          </w:p>
          <w:p w14:paraId="1BD89ECD">
            <w:pPr>
              <w:snapToGrid w:val="0"/>
              <w:rPr>
                <w:rFonts w:ascii="宋体" w:hAnsi="宋体"/>
                <w:color w:val="auto"/>
                <w:sz w:val="21"/>
                <w:szCs w:val="21"/>
                <w:highlight w:val="none"/>
              </w:rPr>
            </w:pPr>
            <w:r>
              <w:rPr>
                <w:rFonts w:ascii="宋体" w:hAnsi="宋体"/>
                <w:color w:val="auto"/>
                <w:sz w:val="21"/>
                <w:szCs w:val="21"/>
                <w:highlight w:val="none"/>
              </w:rPr>
              <w:t>业</w:t>
            </w:r>
          </w:p>
          <w:p w14:paraId="644FB518">
            <w:pPr>
              <w:snapToGrid w:val="0"/>
              <w:rPr>
                <w:rFonts w:ascii="宋体" w:hAnsi="宋体"/>
                <w:color w:val="auto"/>
                <w:sz w:val="21"/>
                <w:szCs w:val="21"/>
                <w:highlight w:val="none"/>
              </w:rPr>
            </w:pPr>
            <w:r>
              <w:rPr>
                <w:rFonts w:ascii="宋体" w:hAnsi="宋体"/>
                <w:color w:val="auto"/>
                <w:sz w:val="21"/>
                <w:szCs w:val="21"/>
                <w:highlight w:val="none"/>
              </w:rPr>
              <w:t>绩</w:t>
            </w:r>
          </w:p>
          <w:p w14:paraId="53883A58">
            <w:pPr>
              <w:snapToGrid w:val="0"/>
              <w:rPr>
                <w:rFonts w:ascii="宋体" w:hAnsi="宋体"/>
                <w:color w:val="auto"/>
                <w:sz w:val="21"/>
                <w:szCs w:val="21"/>
                <w:highlight w:val="none"/>
              </w:rPr>
            </w:pPr>
            <w:r>
              <w:rPr>
                <w:rFonts w:ascii="宋体" w:hAnsi="宋体"/>
                <w:color w:val="auto"/>
                <w:sz w:val="21"/>
                <w:szCs w:val="21"/>
                <w:highlight w:val="none"/>
              </w:rPr>
              <w:t>及</w:t>
            </w:r>
          </w:p>
          <w:p w14:paraId="7CDFB27A">
            <w:pPr>
              <w:snapToGrid w:val="0"/>
              <w:rPr>
                <w:rFonts w:ascii="宋体" w:hAnsi="宋体"/>
                <w:color w:val="auto"/>
                <w:sz w:val="21"/>
                <w:szCs w:val="21"/>
                <w:highlight w:val="none"/>
              </w:rPr>
            </w:pPr>
            <w:r>
              <w:rPr>
                <w:rFonts w:ascii="宋体" w:hAnsi="宋体"/>
                <w:color w:val="auto"/>
                <w:sz w:val="21"/>
                <w:szCs w:val="21"/>
                <w:highlight w:val="none"/>
              </w:rPr>
              <w:t>担</w:t>
            </w:r>
          </w:p>
          <w:p w14:paraId="577D47CA">
            <w:pPr>
              <w:snapToGrid w:val="0"/>
              <w:rPr>
                <w:rFonts w:ascii="宋体" w:hAnsi="宋体"/>
                <w:color w:val="auto"/>
                <w:sz w:val="21"/>
                <w:szCs w:val="21"/>
                <w:highlight w:val="none"/>
              </w:rPr>
            </w:pPr>
            <w:r>
              <w:rPr>
                <w:rFonts w:ascii="宋体" w:hAnsi="宋体"/>
                <w:color w:val="auto"/>
                <w:sz w:val="21"/>
                <w:szCs w:val="21"/>
                <w:highlight w:val="none"/>
              </w:rPr>
              <w:t>任</w:t>
            </w:r>
          </w:p>
          <w:p w14:paraId="6BF4285B">
            <w:pPr>
              <w:snapToGrid w:val="0"/>
              <w:rPr>
                <w:rFonts w:ascii="宋体" w:hAnsi="宋体"/>
                <w:color w:val="auto"/>
                <w:sz w:val="21"/>
                <w:szCs w:val="21"/>
                <w:highlight w:val="none"/>
              </w:rPr>
            </w:pPr>
            <w:r>
              <w:rPr>
                <w:rFonts w:ascii="宋体" w:hAnsi="宋体"/>
                <w:color w:val="auto"/>
                <w:sz w:val="21"/>
                <w:szCs w:val="21"/>
                <w:highlight w:val="none"/>
              </w:rPr>
              <w:t>的</w:t>
            </w:r>
          </w:p>
          <w:p w14:paraId="4F768F88">
            <w:pPr>
              <w:snapToGrid w:val="0"/>
              <w:rPr>
                <w:rFonts w:ascii="宋体" w:hAnsi="宋体"/>
                <w:color w:val="auto"/>
                <w:sz w:val="21"/>
                <w:szCs w:val="21"/>
                <w:highlight w:val="none"/>
              </w:rPr>
            </w:pPr>
            <w:r>
              <w:rPr>
                <w:rFonts w:ascii="宋体" w:hAnsi="宋体"/>
                <w:color w:val="auto"/>
                <w:sz w:val="21"/>
                <w:szCs w:val="21"/>
                <w:highlight w:val="none"/>
              </w:rPr>
              <w:t>主</w:t>
            </w:r>
          </w:p>
          <w:p w14:paraId="49280FDA">
            <w:pPr>
              <w:snapToGrid w:val="0"/>
              <w:rPr>
                <w:rFonts w:ascii="宋体" w:hAnsi="宋体"/>
                <w:color w:val="auto"/>
                <w:sz w:val="21"/>
                <w:szCs w:val="21"/>
                <w:highlight w:val="none"/>
              </w:rPr>
            </w:pPr>
            <w:r>
              <w:rPr>
                <w:rFonts w:ascii="宋体" w:hAnsi="宋体"/>
                <w:color w:val="auto"/>
                <w:sz w:val="21"/>
                <w:szCs w:val="21"/>
                <w:highlight w:val="none"/>
              </w:rPr>
              <w:t>要</w:t>
            </w:r>
          </w:p>
          <w:p w14:paraId="3CFDB568">
            <w:pPr>
              <w:snapToGrid w:val="0"/>
              <w:rPr>
                <w:rFonts w:ascii="宋体" w:hAnsi="宋体"/>
                <w:color w:val="auto"/>
                <w:sz w:val="21"/>
                <w:szCs w:val="21"/>
                <w:highlight w:val="none"/>
              </w:rPr>
            </w:pPr>
            <w:r>
              <w:rPr>
                <w:rFonts w:ascii="宋体" w:hAnsi="宋体"/>
                <w:color w:val="auto"/>
                <w:sz w:val="21"/>
                <w:szCs w:val="21"/>
                <w:highlight w:val="none"/>
              </w:rPr>
              <w:t>工</w:t>
            </w:r>
          </w:p>
          <w:p w14:paraId="4CCB0B35">
            <w:pPr>
              <w:snapToGrid w:val="0"/>
              <w:rPr>
                <w:rFonts w:ascii="宋体" w:hAnsi="宋体"/>
                <w:color w:val="auto"/>
                <w:sz w:val="21"/>
                <w:szCs w:val="21"/>
                <w:highlight w:val="none"/>
              </w:rPr>
            </w:pPr>
            <w:r>
              <w:rPr>
                <w:rFonts w:ascii="宋体" w:hAnsi="宋体"/>
                <w:color w:val="auto"/>
                <w:sz w:val="21"/>
                <w:szCs w:val="21"/>
                <w:highlight w:val="none"/>
              </w:rPr>
              <w:t>作</w:t>
            </w:r>
          </w:p>
        </w:tc>
      </w:tr>
    </w:tbl>
    <w:p w14:paraId="39DF57AA">
      <w:pPr>
        <w:spacing w:line="360" w:lineRule="auto"/>
        <w:rPr>
          <w:rFonts w:ascii="宋体" w:hAnsi="宋体"/>
          <w:color w:val="auto"/>
          <w:sz w:val="21"/>
          <w:szCs w:val="21"/>
          <w:highlight w:val="none"/>
        </w:rPr>
      </w:pPr>
    </w:p>
    <w:p w14:paraId="5FF58B2D">
      <w:pPr>
        <w:spacing w:line="360" w:lineRule="auto"/>
        <w:rPr>
          <w:rFonts w:ascii="宋体" w:hAnsi="宋体"/>
          <w:color w:val="auto"/>
          <w:sz w:val="24"/>
          <w:highlight w:val="none"/>
        </w:rPr>
      </w:pPr>
      <w:r>
        <w:rPr>
          <w:rFonts w:ascii="宋体" w:hAnsi="宋体"/>
          <w:color w:val="auto"/>
          <w:sz w:val="21"/>
          <w:szCs w:val="21"/>
          <w:highlight w:val="none"/>
        </w:rPr>
        <w:t>注:主要项目管理人员指</w:t>
      </w:r>
      <w:r>
        <w:rPr>
          <w:rFonts w:hint="eastAsia" w:ascii="宋体" w:hAnsi="宋体"/>
          <w:color w:val="auto"/>
          <w:sz w:val="21"/>
          <w:szCs w:val="21"/>
          <w:highlight w:val="none"/>
          <w:lang w:eastAsia="zh-CN"/>
        </w:rPr>
        <w:t>项目技术负责人、财务负责人、</w:t>
      </w:r>
      <w:r>
        <w:rPr>
          <w:rFonts w:ascii="宋体" w:hAnsi="宋体"/>
          <w:color w:val="auto"/>
          <w:sz w:val="21"/>
          <w:szCs w:val="21"/>
          <w:highlight w:val="none"/>
        </w:rPr>
        <w:t>施工员、质检员、材料员和专职安全员</w:t>
      </w:r>
      <w:r>
        <w:rPr>
          <w:rFonts w:hint="eastAsia" w:ascii="宋体" w:hAnsi="宋体"/>
          <w:color w:val="auto"/>
          <w:sz w:val="21"/>
          <w:szCs w:val="21"/>
          <w:highlight w:val="none"/>
          <w:lang w:eastAsia="zh-CN"/>
        </w:rPr>
        <w:t>等</w:t>
      </w:r>
      <w:r>
        <w:rPr>
          <w:rFonts w:ascii="宋体" w:hAnsi="宋体"/>
          <w:color w:val="auto"/>
          <w:sz w:val="21"/>
          <w:szCs w:val="21"/>
          <w:highlight w:val="none"/>
        </w:rPr>
        <w:t>，主要项目管理人员应附</w:t>
      </w:r>
      <w:r>
        <w:rPr>
          <w:rFonts w:hint="eastAsia" w:ascii="宋体" w:hAnsi="宋体"/>
          <w:color w:val="auto"/>
          <w:sz w:val="21"/>
          <w:szCs w:val="21"/>
          <w:highlight w:val="none"/>
          <w:lang w:eastAsia="zh-CN"/>
        </w:rPr>
        <w:t>身份证、职称证（如有）、有效社保证明以及</w:t>
      </w:r>
      <w:r>
        <w:rPr>
          <w:rFonts w:ascii="宋体" w:hAnsi="宋体"/>
          <w:color w:val="auto"/>
          <w:sz w:val="21"/>
          <w:szCs w:val="21"/>
          <w:highlight w:val="none"/>
        </w:rPr>
        <w:t>在本单位注册的岗位资格证书的</w:t>
      </w:r>
      <w:r>
        <w:rPr>
          <w:rFonts w:hint="eastAsia" w:ascii="宋体" w:hAnsi="宋体"/>
          <w:color w:val="auto"/>
          <w:sz w:val="21"/>
          <w:szCs w:val="21"/>
          <w:highlight w:val="none"/>
          <w:lang w:eastAsia="zh-CN"/>
        </w:rPr>
        <w:t>扫描</w:t>
      </w:r>
      <w:r>
        <w:rPr>
          <w:rFonts w:ascii="宋体" w:hAnsi="宋体"/>
          <w:color w:val="auto"/>
          <w:sz w:val="21"/>
          <w:szCs w:val="21"/>
          <w:highlight w:val="none"/>
        </w:rPr>
        <w:t>件。</w:t>
      </w:r>
    </w:p>
    <w:p w14:paraId="2AECE555">
      <w:pPr>
        <w:pStyle w:val="3"/>
        <w:ind w:left="425"/>
        <w:jc w:val="both"/>
        <w:rPr>
          <w:rFonts w:ascii="Times New Roman" w:hAnsi="Times New Roman"/>
          <w:bCs w:val="0"/>
          <w:color w:val="auto"/>
          <w:szCs w:val="28"/>
          <w:highlight w:val="none"/>
        </w:rPr>
      </w:pPr>
    </w:p>
    <w:p w14:paraId="11FFEACC">
      <w:pPr>
        <w:pStyle w:val="3"/>
        <w:ind w:left="425"/>
        <w:jc w:val="both"/>
        <w:rPr>
          <w:rFonts w:ascii="Times New Roman" w:hAnsi="Times New Roman"/>
          <w:bCs w:val="0"/>
          <w:color w:val="auto"/>
          <w:szCs w:val="28"/>
          <w:highlight w:val="none"/>
        </w:rPr>
      </w:pPr>
    </w:p>
    <w:p w14:paraId="4FB737E5">
      <w:pPr>
        <w:pStyle w:val="3"/>
        <w:ind w:left="425"/>
        <w:jc w:val="both"/>
        <w:rPr>
          <w:rFonts w:ascii="Times New Roman" w:hAnsi="Times New Roman"/>
          <w:bCs w:val="0"/>
          <w:color w:val="auto"/>
          <w:szCs w:val="28"/>
          <w:highlight w:val="none"/>
        </w:rPr>
      </w:pPr>
    </w:p>
    <w:p w14:paraId="5A143358">
      <w:pPr>
        <w:rPr>
          <w:color w:val="auto"/>
          <w:highlight w:val="none"/>
        </w:rPr>
      </w:pPr>
    </w:p>
    <w:p w14:paraId="2873BF40">
      <w:pPr>
        <w:rPr>
          <w:color w:val="auto"/>
          <w:highlight w:val="none"/>
        </w:rPr>
      </w:pPr>
    </w:p>
    <w:p w14:paraId="78026E22">
      <w:pPr>
        <w:pStyle w:val="3"/>
        <w:jc w:val="both"/>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5</w:t>
      </w:r>
      <w:r>
        <w:rPr>
          <w:rFonts w:hint="eastAsia" w:ascii="Times New Roman" w:hAnsi="Times New Roman"/>
          <w:bCs w:val="0"/>
          <w:color w:val="auto"/>
          <w:szCs w:val="28"/>
          <w:highlight w:val="none"/>
        </w:rPr>
        <w:t>：</w:t>
      </w:r>
    </w:p>
    <w:p w14:paraId="6B22CA06">
      <w:pPr>
        <w:pStyle w:val="3"/>
        <w:jc w:val="center"/>
        <w:rPr>
          <w:rFonts w:ascii="Times New Roman" w:hAnsi="Times New Roman"/>
          <w:bCs w:val="0"/>
          <w:color w:val="auto"/>
          <w:szCs w:val="28"/>
          <w:highlight w:val="none"/>
        </w:rPr>
      </w:pPr>
      <w:r>
        <w:rPr>
          <w:rFonts w:hint="eastAsia" w:ascii="Times New Roman" w:hAnsi="Times New Roman"/>
          <w:bCs w:val="0"/>
          <w:color w:val="auto"/>
          <w:szCs w:val="28"/>
          <w:highlight w:val="none"/>
        </w:rPr>
        <w:t>项目管理机构配备情况辅助说明资料</w:t>
      </w:r>
    </w:p>
    <w:p w14:paraId="56AEF4F8">
      <w:pPr>
        <w:spacing w:line="500" w:lineRule="exact"/>
        <w:rPr>
          <w:color w:val="auto"/>
          <w:sz w:val="24"/>
          <w:highlight w:val="none"/>
        </w:rPr>
      </w:pPr>
      <w:r>
        <w:rPr>
          <w:rFonts w:hint="eastAsia"/>
          <w:color w:val="auto"/>
          <w:sz w:val="24"/>
          <w:highlight w:val="none"/>
        </w:rPr>
        <w:t xml:space="preserve">             </w:t>
      </w:r>
    </w:p>
    <w:tbl>
      <w:tblPr>
        <w:tblStyle w:val="51"/>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9"/>
      </w:tblGrid>
      <w:tr w14:paraId="3883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3" w:hRule="atLeast"/>
          <w:jc w:val="center"/>
        </w:trPr>
        <w:tc>
          <w:tcPr>
            <w:tcW w:w="9779" w:type="dxa"/>
          </w:tcPr>
          <w:p w14:paraId="75AFFB1C">
            <w:pPr>
              <w:tabs>
                <w:tab w:val="left" w:pos="0"/>
              </w:tabs>
              <w:spacing w:line="500" w:lineRule="exact"/>
              <w:ind w:right="-212"/>
              <w:jc w:val="center"/>
              <w:rPr>
                <w:b/>
                <w:color w:val="auto"/>
                <w:highlight w:val="none"/>
              </w:rPr>
            </w:pPr>
          </w:p>
          <w:p w14:paraId="1852C4F9">
            <w:pPr>
              <w:tabs>
                <w:tab w:val="left" w:pos="0"/>
              </w:tabs>
              <w:spacing w:line="500" w:lineRule="exact"/>
              <w:ind w:right="-212"/>
              <w:jc w:val="center"/>
              <w:rPr>
                <w:b/>
                <w:color w:val="auto"/>
                <w:highlight w:val="none"/>
              </w:rPr>
            </w:pPr>
          </w:p>
          <w:p w14:paraId="4204E314">
            <w:pPr>
              <w:tabs>
                <w:tab w:val="left" w:pos="0"/>
              </w:tabs>
              <w:spacing w:line="500" w:lineRule="exact"/>
              <w:ind w:right="-212"/>
              <w:rPr>
                <w:color w:val="auto"/>
                <w:highlight w:val="none"/>
              </w:rPr>
            </w:pPr>
          </w:p>
        </w:tc>
      </w:tr>
    </w:tbl>
    <w:p w14:paraId="3AE80BD6">
      <w:pPr>
        <w:pStyle w:val="23"/>
        <w:spacing w:before="120" w:line="500" w:lineRule="exact"/>
        <w:ind w:left="0" w:right="0"/>
        <w:rPr>
          <w:color w:val="auto"/>
          <w:sz w:val="21"/>
          <w:highlight w:val="none"/>
        </w:rPr>
      </w:pPr>
      <w:r>
        <w:rPr>
          <w:rFonts w:hint="eastAsia"/>
          <w:color w:val="auto"/>
          <w:sz w:val="21"/>
          <w:highlight w:val="none"/>
        </w:rPr>
        <w:t>注：辅助说明资料主要包括管理机构的机构设置、职责分工、以及投标人认为有必要提供的资料。辅助说明资料格式不做统一规定，由投标人自行设计。</w:t>
      </w:r>
    </w:p>
    <w:p w14:paraId="4197446A">
      <w:pPr>
        <w:pStyle w:val="23"/>
        <w:spacing w:line="500" w:lineRule="exact"/>
        <w:ind w:left="0" w:right="-105"/>
        <w:rPr>
          <w:color w:val="auto"/>
          <w:sz w:val="21"/>
          <w:highlight w:val="none"/>
        </w:rPr>
      </w:pPr>
      <w:r>
        <w:rPr>
          <w:rFonts w:hint="eastAsia"/>
          <w:color w:val="auto"/>
          <w:sz w:val="21"/>
          <w:highlight w:val="none"/>
        </w:rPr>
        <w:t xml:space="preserve">    </w:t>
      </w:r>
    </w:p>
    <w:p w14:paraId="66A8D250">
      <w:pPr>
        <w:spacing w:line="500" w:lineRule="exact"/>
        <w:jc w:val="left"/>
        <w:rPr>
          <w:b/>
          <w:bCs/>
          <w:color w:val="auto"/>
          <w:sz w:val="28"/>
          <w:highlight w:val="none"/>
        </w:rPr>
      </w:pPr>
    </w:p>
    <w:p w14:paraId="2B3AA267">
      <w:pPr>
        <w:widowControl/>
        <w:jc w:val="left"/>
        <w:rPr>
          <w:rFonts w:ascii="Arial" w:hAnsi="Arial"/>
          <w:b/>
          <w:bCs/>
          <w:color w:val="auto"/>
          <w:kern w:val="0"/>
          <w:sz w:val="32"/>
          <w:szCs w:val="32"/>
          <w:highlight w:val="none"/>
        </w:rPr>
      </w:pPr>
      <w:r>
        <w:rPr>
          <w:color w:val="auto"/>
          <w:highlight w:val="none"/>
        </w:rPr>
        <w:br w:type="page"/>
      </w:r>
    </w:p>
    <w:p w14:paraId="30663203">
      <w:pPr>
        <w:pStyle w:val="3"/>
        <w:jc w:val="both"/>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6</w:t>
      </w:r>
      <w:r>
        <w:rPr>
          <w:rFonts w:hint="eastAsia" w:ascii="Times New Roman" w:hAnsi="Times New Roman"/>
          <w:bCs w:val="0"/>
          <w:color w:val="auto"/>
          <w:szCs w:val="28"/>
          <w:highlight w:val="none"/>
        </w:rPr>
        <w:t>：</w:t>
      </w:r>
    </w:p>
    <w:p w14:paraId="2E6DEAF6">
      <w:pPr>
        <w:pStyle w:val="3"/>
        <w:jc w:val="center"/>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t>供应商需要提供的其他文件</w:t>
      </w:r>
    </w:p>
    <w:p w14:paraId="507D557C">
      <w:pPr>
        <w:spacing w:line="500" w:lineRule="atLeast"/>
        <w:ind w:firstLine="420" w:firstLineChars="200"/>
        <w:jc w:val="left"/>
        <w:rPr>
          <w:rFonts w:hint="eastAsia" w:ascii="宋体" w:hAnsi="宋体" w:eastAsia="宋体" w:cs="Times New Roman"/>
          <w:color w:val="auto"/>
          <w:sz w:val="21"/>
          <w:szCs w:val="21"/>
          <w:highlight w:val="none"/>
          <w:lang w:eastAsia="zh-CN"/>
        </w:rPr>
      </w:pPr>
    </w:p>
    <w:p w14:paraId="607DF34A">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1.近三年内从事建筑活动中无“工资支付信用记录/劳动保障行政处理（处罚）记录”声明函（格式自拟）</w:t>
      </w:r>
    </w:p>
    <w:p w14:paraId="3F92447E">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2.农民工工资支付承诺书（格式自拟）</w:t>
      </w:r>
    </w:p>
    <w:p w14:paraId="1CF41294">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3.供应商认为需要提供的其他文件或承诺</w:t>
      </w:r>
    </w:p>
    <w:p w14:paraId="0A2F6C28">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4.磋商文件中要求提供的其他资料以及磋商申请人认为有利于获得本项目成交资格的其他材料或说明（格式自拟）</w:t>
      </w:r>
    </w:p>
    <w:p w14:paraId="2FE7017C">
      <w:pPr>
        <w:pStyle w:val="3"/>
        <w:jc w:val="both"/>
        <w:rPr>
          <w:rFonts w:hint="eastAsia" w:ascii="Times New Roman" w:hAnsi="Times New Roman" w:eastAsia="宋体" w:cs="Times New Roman"/>
          <w:bCs w:val="0"/>
          <w:color w:val="auto"/>
          <w:szCs w:val="28"/>
          <w:highlight w:val="none"/>
          <w:lang w:eastAsia="zh-CN"/>
        </w:rPr>
      </w:pPr>
    </w:p>
    <w:p w14:paraId="6D43FCB4">
      <w:pPr>
        <w:rPr>
          <w:rFonts w:hint="eastAsia" w:ascii="Times New Roman" w:hAnsi="Times New Roman" w:eastAsia="宋体" w:cs="Times New Roman"/>
          <w:bCs w:val="0"/>
          <w:color w:val="auto"/>
          <w:szCs w:val="28"/>
          <w:highlight w:val="none"/>
          <w:lang w:eastAsia="zh-CN"/>
        </w:rPr>
      </w:pPr>
      <w:r>
        <w:rPr>
          <w:rFonts w:hint="eastAsia" w:ascii="Times New Roman" w:hAnsi="Times New Roman" w:eastAsia="宋体" w:cs="Times New Roman"/>
          <w:bCs w:val="0"/>
          <w:color w:val="auto"/>
          <w:szCs w:val="28"/>
          <w:highlight w:val="none"/>
          <w:lang w:eastAsia="zh-CN"/>
        </w:rPr>
        <w:br w:type="page"/>
      </w:r>
    </w:p>
    <w:p w14:paraId="2EA3EDF4">
      <w:pPr>
        <w:pStyle w:val="3"/>
        <w:jc w:val="both"/>
        <w:rPr>
          <w:rFonts w:hint="eastAsia" w:ascii="Times New Roman" w:hAnsi="Times New Roman" w:eastAsia="宋体" w:cs="Times New Roman"/>
          <w:bCs w:val="0"/>
          <w:color w:val="auto"/>
          <w:szCs w:val="28"/>
          <w:highlight w:val="none"/>
          <w:lang w:val="en-US" w:eastAsia="zh-CN"/>
        </w:rPr>
      </w:pPr>
      <w:r>
        <w:rPr>
          <w:rFonts w:hint="eastAsia" w:ascii="Times New Roman" w:hAnsi="Times New Roman" w:eastAsia="宋体" w:cs="Times New Roman"/>
          <w:bCs w:val="0"/>
          <w:color w:val="auto"/>
          <w:szCs w:val="28"/>
          <w:highlight w:val="none"/>
          <w:lang w:eastAsia="zh-CN"/>
        </w:rPr>
        <w:t>格式</w:t>
      </w:r>
      <w:r>
        <w:rPr>
          <w:rFonts w:hint="eastAsia" w:ascii="Times New Roman" w:hAnsi="Times New Roman" w:cs="Times New Roman"/>
          <w:bCs w:val="0"/>
          <w:color w:val="auto"/>
          <w:szCs w:val="28"/>
          <w:highlight w:val="none"/>
          <w:lang w:val="en-US" w:eastAsia="zh-CN"/>
        </w:rPr>
        <w:t>7</w:t>
      </w:r>
      <w:r>
        <w:rPr>
          <w:rFonts w:hint="eastAsia" w:ascii="Times New Roman" w:hAnsi="Times New Roman" w:eastAsia="宋体" w:cs="Times New Roman"/>
          <w:bCs w:val="0"/>
          <w:color w:val="auto"/>
          <w:szCs w:val="28"/>
          <w:highlight w:val="none"/>
          <w:lang w:val="en-US" w:eastAsia="zh-CN"/>
        </w:rPr>
        <w:t>：</w:t>
      </w:r>
    </w:p>
    <w:p w14:paraId="2A839087">
      <w:pPr>
        <w:jc w:val="center"/>
        <w:rPr>
          <w:rFonts w:hint="eastAsia" w:ascii="Times New Roman" w:hAnsi="Times New Roman" w:eastAsia="宋体" w:cs="Times New Roman"/>
          <w:b/>
          <w:bCs w:val="0"/>
          <w:color w:val="auto"/>
          <w:kern w:val="0"/>
          <w:sz w:val="32"/>
          <w:szCs w:val="28"/>
          <w:highlight w:val="none"/>
          <w:lang w:val="en-US" w:eastAsia="zh-CN" w:bidi="ar-SA"/>
        </w:rPr>
      </w:pPr>
      <w:r>
        <w:rPr>
          <w:rFonts w:hint="eastAsia" w:ascii="Times New Roman" w:hAnsi="Times New Roman" w:eastAsia="宋体" w:cs="Times New Roman"/>
          <w:b/>
          <w:bCs w:val="0"/>
          <w:color w:val="auto"/>
          <w:kern w:val="0"/>
          <w:sz w:val="32"/>
          <w:szCs w:val="28"/>
          <w:highlight w:val="none"/>
          <w:lang w:val="en-US" w:eastAsia="zh-CN" w:bidi="ar-SA"/>
        </w:rPr>
        <w:t>对项目的理解、重难点分析及合理化建议</w:t>
      </w:r>
    </w:p>
    <w:p w14:paraId="5D3E8EEE">
      <w:pPr>
        <w:jc w:val="center"/>
        <w:rPr>
          <w:rFonts w:hint="eastAsia" w:ascii="宋体" w:hAnsi="宋体" w:eastAsia="宋体"/>
          <w:color w:val="auto"/>
          <w:szCs w:val="21"/>
          <w:highlight w:val="none"/>
        </w:rPr>
      </w:pPr>
    </w:p>
    <w:p w14:paraId="5DB4F784">
      <w:pPr>
        <w:jc w:val="center"/>
        <w:rPr>
          <w:rFonts w:hint="eastAsia" w:ascii="宋体" w:hAnsi="宋体" w:eastAsia="宋体"/>
          <w:color w:val="auto"/>
          <w:szCs w:val="21"/>
          <w:highlight w:val="none"/>
        </w:rPr>
      </w:pPr>
    </w:p>
    <w:p w14:paraId="4996F0A9">
      <w:pPr>
        <w:jc w:val="center"/>
        <w:rPr>
          <w:rFonts w:hint="eastAsia" w:ascii="Times New Roman" w:hAnsi="Times New Roman"/>
          <w:bCs w:val="0"/>
          <w:color w:val="auto"/>
          <w:szCs w:val="28"/>
          <w:highlight w:val="none"/>
        </w:rPr>
      </w:pPr>
      <w:r>
        <w:rPr>
          <w:rFonts w:hint="eastAsia" w:ascii="宋体" w:hAnsi="宋体" w:eastAsia="宋体"/>
          <w:color w:val="auto"/>
          <w:szCs w:val="21"/>
          <w:highlight w:val="none"/>
        </w:rPr>
        <w:t>包含但不限于以下内容：对采购项目关键技术、工艺的表述，对施工重点、难点、经济、安全的解决方案和保证措施方案及合理化建议等内容。</w:t>
      </w:r>
      <w:r>
        <w:rPr>
          <w:rFonts w:hint="eastAsia" w:ascii="宋体" w:hAnsi="宋体"/>
          <w:color w:val="auto"/>
          <w:szCs w:val="21"/>
          <w:highlight w:val="none"/>
          <w:lang w:eastAsia="zh-CN"/>
        </w:rPr>
        <w:t>（格式自拟）</w:t>
      </w:r>
      <w:r>
        <w:rPr>
          <w:rFonts w:hint="eastAsia" w:ascii="Times New Roman" w:hAnsi="Times New Roman"/>
          <w:bCs w:val="0"/>
          <w:color w:val="auto"/>
          <w:szCs w:val="28"/>
          <w:highlight w:val="none"/>
        </w:rPr>
        <w:br w:type="page"/>
      </w:r>
    </w:p>
    <w:p w14:paraId="5C072B95">
      <w:pPr>
        <w:pStyle w:val="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8</w:t>
      </w:r>
      <w:r>
        <w:rPr>
          <w:rFonts w:ascii="Times New Roman" w:hAnsi="Times New Roman"/>
          <w:bCs w:val="0"/>
          <w:color w:val="auto"/>
          <w:szCs w:val="28"/>
          <w:highlight w:val="none"/>
        </w:rPr>
        <w:t>：</w:t>
      </w:r>
    </w:p>
    <w:p w14:paraId="364AB73C">
      <w:pPr>
        <w:pStyle w:val="3"/>
        <w:jc w:val="center"/>
        <w:rPr>
          <w:b w:val="0"/>
          <w:color w:val="auto"/>
          <w:sz w:val="24"/>
          <w:highlight w:val="none"/>
        </w:rPr>
      </w:pPr>
      <w:r>
        <w:rPr>
          <w:rFonts w:hint="eastAsia" w:ascii="Times New Roman" w:hAnsi="Times New Roman"/>
          <w:bCs w:val="0"/>
          <w:color w:val="auto"/>
          <w:szCs w:val="28"/>
          <w:highlight w:val="none"/>
        </w:rPr>
        <w:t>项目实施方案</w:t>
      </w:r>
    </w:p>
    <w:p w14:paraId="78D9C20F">
      <w:pPr>
        <w:pStyle w:val="3"/>
        <w:tabs>
          <w:tab w:val="left" w:pos="3990"/>
        </w:tabs>
        <w:ind w:left="425"/>
        <w:jc w:val="both"/>
        <w:rPr>
          <w:b w:val="0"/>
          <w:color w:val="auto"/>
          <w:highlight w:val="none"/>
        </w:rPr>
      </w:pPr>
      <w:r>
        <w:rPr>
          <w:color w:val="auto"/>
          <w:highlight w:val="none"/>
        </w:rPr>
        <w:tab/>
      </w:r>
      <w:r>
        <w:rPr>
          <w:rFonts w:hint="eastAsia" w:ascii="宋体" w:hAnsi="宋体" w:cs="新宋体-18030"/>
          <w:b w:val="0"/>
          <w:color w:val="auto"/>
          <w:sz w:val="24"/>
          <w:highlight w:val="none"/>
        </w:rPr>
        <w:t>（格式自拟）</w:t>
      </w:r>
    </w:p>
    <w:p w14:paraId="6356A79F">
      <w:pPr>
        <w:spacing w:line="360" w:lineRule="auto"/>
        <w:ind w:firstLine="452" w:firstLineChars="200"/>
        <w:rPr>
          <w:color w:val="auto"/>
          <w:szCs w:val="21"/>
          <w:highlight w:val="none"/>
        </w:rPr>
      </w:pPr>
      <w:r>
        <w:rPr>
          <w:rFonts w:hint="eastAsia" w:ascii="宋体" w:hAnsi="宋体"/>
          <w:bCs/>
          <w:color w:val="auto"/>
          <w:spacing w:val="8"/>
          <w:szCs w:val="21"/>
          <w:highlight w:val="none"/>
        </w:rPr>
        <w:t>磋商申请人应编制施工组织设计，包括竞争性磋商文件投标须知11.4项规定的施工组织设计基本内容。具体要求：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噪音、降低环境污染技术措施、地下管线及其它地上地下设施的保护加固措施等。</w:t>
      </w:r>
    </w:p>
    <w:p w14:paraId="6C4E31F8">
      <w:pPr>
        <w:spacing w:line="360" w:lineRule="auto"/>
        <w:rPr>
          <w:rFonts w:hint="eastAsia" w:ascii="宋体" w:hAnsi="宋体"/>
          <w:bCs/>
          <w:color w:val="auto"/>
          <w:spacing w:val="8"/>
          <w:szCs w:val="21"/>
          <w:highlight w:val="none"/>
        </w:rPr>
      </w:pPr>
      <w:r>
        <w:rPr>
          <w:rFonts w:hint="eastAsia" w:ascii="宋体" w:hAnsi="宋体"/>
          <w:bCs/>
          <w:color w:val="auto"/>
          <w:spacing w:val="8"/>
          <w:szCs w:val="21"/>
          <w:highlight w:val="none"/>
        </w:rPr>
        <w:t>包含但不限于以下内容：</w:t>
      </w:r>
    </w:p>
    <w:p w14:paraId="668C4C80">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1.施工方案与技术措施（项目总体概况、项目施工部署安排、施工方法和技术措施等内容，须附“施工总平面图”）。</w:t>
      </w:r>
    </w:p>
    <w:p w14:paraId="025642EC">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2.质量管理体系与措施（施工质量管理目标、质量管理机构介绍、机构职责分工情况、管理制度描述、质量管理实施与监控技术措施等方面）。</w:t>
      </w:r>
    </w:p>
    <w:p w14:paraId="4768B75B">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3.环境保护安全管理体系与措施（环境保护安全目标、安全管理机构介绍、机构职责分工情况、管理制度描述、环境保护安全管理实施与监控技术措施等方面）。</w:t>
      </w:r>
    </w:p>
    <w:p w14:paraId="0B3BE21B">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4.工程进度计划与保证措施（计划开、竣工日期和施工进度安排、计划安排保障措施等方面，须附“计划开、竣工日期和施工进度网络图”）。</w:t>
      </w:r>
    </w:p>
    <w:p w14:paraId="2485FE71">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5.资源配备计划（劳动力计划、周转材料计划、施工机具计划、主要材料一次性需用量计划等资源投入计划等内容，须附“劳动力计划表、拟投入的主要施工机具表”等）。</w:t>
      </w:r>
    </w:p>
    <w:p w14:paraId="5C92E4F8">
      <w:pPr>
        <w:spacing w:line="480" w:lineRule="exact"/>
        <w:ind w:firstLine="540" w:firstLineChars="225"/>
        <w:rPr>
          <w:rFonts w:ascii="宋体" w:hAnsi="宋体" w:cs="宋体"/>
          <w:color w:val="auto"/>
          <w:sz w:val="24"/>
          <w:highlight w:val="none"/>
        </w:rPr>
      </w:pPr>
    </w:p>
    <w:p w14:paraId="1B96638B">
      <w:pPr>
        <w:spacing w:line="480" w:lineRule="exact"/>
        <w:ind w:firstLine="540" w:firstLineChars="225"/>
        <w:rPr>
          <w:rFonts w:ascii="宋体" w:hAnsi="宋体" w:cs="宋体"/>
          <w:color w:val="auto"/>
          <w:sz w:val="24"/>
          <w:highlight w:val="none"/>
        </w:rPr>
      </w:pPr>
    </w:p>
    <w:p w14:paraId="00B50069">
      <w:pPr>
        <w:spacing w:line="480" w:lineRule="exact"/>
        <w:ind w:firstLine="540" w:firstLineChars="225"/>
        <w:rPr>
          <w:rFonts w:ascii="宋体" w:hAnsi="宋体" w:cs="宋体"/>
          <w:color w:val="auto"/>
          <w:sz w:val="24"/>
          <w:highlight w:val="none"/>
        </w:rPr>
      </w:pPr>
    </w:p>
    <w:p w14:paraId="7D54D8AD">
      <w:pPr>
        <w:spacing w:line="480" w:lineRule="exact"/>
        <w:ind w:firstLine="540" w:firstLineChars="225"/>
        <w:rPr>
          <w:rFonts w:ascii="宋体" w:hAnsi="宋体" w:cs="宋体"/>
          <w:color w:val="auto"/>
          <w:sz w:val="24"/>
          <w:highlight w:val="none"/>
        </w:rPr>
      </w:pPr>
    </w:p>
    <w:p w14:paraId="1BE64C27">
      <w:pPr>
        <w:spacing w:line="480" w:lineRule="exact"/>
        <w:ind w:firstLine="540" w:firstLineChars="225"/>
        <w:rPr>
          <w:rFonts w:ascii="宋体" w:hAnsi="宋体" w:cs="宋体"/>
          <w:color w:val="auto"/>
          <w:sz w:val="24"/>
          <w:highlight w:val="none"/>
        </w:rPr>
      </w:pPr>
    </w:p>
    <w:p w14:paraId="7C01A273">
      <w:pPr>
        <w:spacing w:line="480" w:lineRule="exact"/>
        <w:ind w:firstLine="540" w:firstLineChars="225"/>
        <w:rPr>
          <w:rFonts w:ascii="宋体" w:hAnsi="宋体" w:cs="宋体"/>
          <w:color w:val="auto"/>
          <w:sz w:val="24"/>
          <w:highlight w:val="none"/>
        </w:rPr>
      </w:pPr>
    </w:p>
    <w:p w14:paraId="4977665B">
      <w:pPr>
        <w:spacing w:line="480" w:lineRule="exact"/>
        <w:ind w:firstLine="540" w:firstLineChars="225"/>
        <w:rPr>
          <w:rFonts w:ascii="宋体" w:hAnsi="宋体" w:cs="宋体"/>
          <w:color w:val="auto"/>
          <w:sz w:val="24"/>
          <w:highlight w:val="none"/>
        </w:rPr>
      </w:pPr>
    </w:p>
    <w:p w14:paraId="58066B87">
      <w:pPr>
        <w:spacing w:line="480" w:lineRule="exact"/>
        <w:ind w:firstLine="540" w:firstLineChars="225"/>
        <w:rPr>
          <w:rFonts w:ascii="宋体" w:hAnsi="宋体" w:cs="宋体"/>
          <w:color w:val="auto"/>
          <w:sz w:val="24"/>
          <w:highlight w:val="none"/>
        </w:rPr>
      </w:pPr>
    </w:p>
    <w:p w14:paraId="5EF1266E">
      <w:pP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br w:type="page"/>
      </w:r>
    </w:p>
    <w:p w14:paraId="5EB44836">
      <w:pPr>
        <w:spacing w:line="360"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xml:space="preserve">图1  </w:t>
      </w:r>
      <w:r>
        <w:rPr>
          <w:rFonts w:ascii="宋体" w:hAnsi="宋体" w:eastAsia="宋体" w:cs="宋体"/>
          <w:b/>
          <w:bCs/>
          <w:color w:val="auto"/>
          <w:kern w:val="0"/>
          <w:szCs w:val="21"/>
          <w:highlight w:val="none"/>
        </w:rPr>
        <w:t>施工总平面图</w:t>
      </w:r>
    </w:p>
    <w:p w14:paraId="3700A94C">
      <w:pPr>
        <w:spacing w:line="360" w:lineRule="auto"/>
        <w:rPr>
          <w:rFonts w:ascii="宋体" w:hAnsi="宋体" w:eastAsia="宋体"/>
          <w:color w:val="auto"/>
          <w:szCs w:val="21"/>
          <w:highlight w:val="none"/>
        </w:rPr>
      </w:pPr>
    </w:p>
    <w:p w14:paraId="233C667F">
      <w:pPr>
        <w:spacing w:line="480" w:lineRule="exact"/>
        <w:ind w:firstLine="472" w:firstLineChars="225"/>
        <w:rPr>
          <w:rFonts w:ascii="宋体" w:hAnsi="宋体" w:eastAsia="宋体" w:cs="宋体"/>
          <w:color w:val="auto"/>
          <w:sz w:val="24"/>
          <w:highlight w:val="none"/>
        </w:rPr>
      </w:pPr>
      <w:r>
        <w:rPr>
          <w:rFonts w:ascii="宋体" w:hAnsi="宋体" w:eastAsia="宋体"/>
          <w:color w:val="auto"/>
          <w:szCs w:val="21"/>
          <w:highlight w:val="none"/>
        </w:rPr>
        <w:t>磋商申请人应递交一份施工总平面图，绘出现场临时设施布置图表并附文字说明，说明临时设施、加工车间、现场办公、设备及仓储、供电、供水、卫生、生活、道路、消防等设施的情况和布置。</w:t>
      </w:r>
    </w:p>
    <w:p w14:paraId="49F7E5B2">
      <w:pPr>
        <w:spacing w:line="480" w:lineRule="exact"/>
        <w:ind w:firstLine="540" w:firstLineChars="225"/>
        <w:rPr>
          <w:rFonts w:ascii="宋体" w:hAnsi="宋体" w:eastAsia="宋体" w:cs="宋体"/>
          <w:color w:val="auto"/>
          <w:sz w:val="24"/>
          <w:highlight w:val="none"/>
        </w:rPr>
      </w:pPr>
    </w:p>
    <w:p w14:paraId="2751AAF4">
      <w:pPr>
        <w:pStyle w:val="4"/>
        <w:spacing w:line="480" w:lineRule="exact"/>
        <w:ind w:firstLine="422"/>
        <w:jc w:val="center"/>
        <w:rPr>
          <w:rFonts w:ascii="宋体" w:hAnsi="宋体" w:eastAsia="宋体" w:cs="宋体"/>
          <w:color w:val="auto"/>
          <w:sz w:val="21"/>
          <w:szCs w:val="21"/>
          <w:highlight w:val="none"/>
        </w:rPr>
      </w:pPr>
      <w:bookmarkStart w:id="309" w:name="_Toc119422002"/>
      <w:r>
        <w:rPr>
          <w:rFonts w:hint="eastAsia" w:ascii="宋体" w:hAnsi="宋体" w:eastAsia="宋体" w:cs="宋体"/>
          <w:color w:val="auto"/>
          <w:sz w:val="21"/>
          <w:szCs w:val="21"/>
          <w:highlight w:val="none"/>
        </w:rPr>
        <w:t>图2  计划开、竣工日期和施工进度网络图</w:t>
      </w:r>
      <w:bookmarkEnd w:id="309"/>
    </w:p>
    <w:p w14:paraId="6D09C295">
      <w:pPr>
        <w:pStyle w:val="27"/>
        <w:snapToGrid w:val="0"/>
        <w:spacing w:line="480" w:lineRule="exact"/>
        <w:ind w:firstLine="630"/>
        <w:rPr>
          <w:rFonts w:hAnsi="宋体"/>
          <w:color w:val="auto"/>
          <w:highlight w:val="none"/>
        </w:rPr>
      </w:pPr>
      <w:r>
        <w:rPr>
          <w:rFonts w:hint="eastAsia" w:hAnsi="宋体"/>
          <w:color w:val="auto"/>
          <w:highlight w:val="none"/>
        </w:rPr>
        <w:t>1.磋商申请人应提交初步的施工进度表或网络图，说明按竞争性磋商文件要求的工期进行施工的各个关键日期。中标的磋商申请人还要按合同条件有关条款的要求提交详细的施工进度计划。</w:t>
      </w:r>
    </w:p>
    <w:p w14:paraId="5FDA5F5B">
      <w:pPr>
        <w:pStyle w:val="27"/>
        <w:snapToGrid w:val="0"/>
        <w:spacing w:line="480" w:lineRule="exact"/>
        <w:ind w:firstLine="630"/>
        <w:rPr>
          <w:rFonts w:hAnsi="宋体"/>
          <w:color w:val="auto"/>
          <w:highlight w:val="none"/>
        </w:rPr>
      </w:pPr>
      <w:r>
        <w:rPr>
          <w:rFonts w:hint="eastAsia" w:hAnsi="宋体"/>
          <w:color w:val="auto"/>
          <w:highlight w:val="none"/>
        </w:rPr>
        <w:t>2.初步施工进度表可采用横道图（或关键线路网络图）表示，说明计划开工日期和各分项工程各阶段的完工日期和分包合同签订的日期。</w:t>
      </w:r>
    </w:p>
    <w:p w14:paraId="2D2FFEEF">
      <w:pPr>
        <w:spacing w:line="480" w:lineRule="exact"/>
        <w:ind w:firstLine="472" w:firstLineChars="225"/>
        <w:rPr>
          <w:rFonts w:ascii="宋体" w:hAnsi="宋体" w:eastAsia="宋体" w:cs="宋体"/>
          <w:color w:val="auto"/>
          <w:sz w:val="24"/>
          <w:highlight w:val="none"/>
        </w:rPr>
      </w:pPr>
      <w:r>
        <w:rPr>
          <w:rFonts w:hint="eastAsia" w:ascii="宋体" w:hAnsi="宋体" w:eastAsia="宋体" w:cs="宋体"/>
          <w:color w:val="auto"/>
          <w:szCs w:val="21"/>
          <w:highlight w:val="none"/>
        </w:rPr>
        <w:t>3.施工进度计划应与施工方案或施工组织设计相适应。</w:t>
      </w:r>
    </w:p>
    <w:p w14:paraId="0FF0F700">
      <w:pPr>
        <w:pStyle w:val="4"/>
        <w:spacing w:line="480" w:lineRule="exact"/>
        <w:jc w:val="center"/>
        <w:rPr>
          <w:rFonts w:ascii="宋体" w:hAnsi="宋体" w:eastAsia="宋体" w:cs="宋体"/>
          <w:color w:val="auto"/>
          <w:sz w:val="21"/>
          <w:szCs w:val="21"/>
          <w:highlight w:val="none"/>
        </w:rPr>
      </w:pPr>
      <w:bookmarkStart w:id="310" w:name="_Toc119422003"/>
      <w:r>
        <w:rPr>
          <w:rFonts w:hint="eastAsia" w:ascii="宋体" w:hAnsi="宋体" w:eastAsia="宋体" w:cs="宋体"/>
          <w:color w:val="auto"/>
          <w:sz w:val="21"/>
          <w:szCs w:val="21"/>
          <w:highlight w:val="none"/>
        </w:rPr>
        <w:t>表3  劳动力计划表</w:t>
      </w:r>
      <w:bookmarkEnd w:id="310"/>
    </w:p>
    <w:p w14:paraId="50EE2569">
      <w:pPr>
        <w:ind w:right="345"/>
        <w:jc w:val="right"/>
        <w:rPr>
          <w:rFonts w:ascii="宋体" w:hAnsi="宋体" w:eastAsia="宋体"/>
          <w:color w:val="auto"/>
          <w:szCs w:val="21"/>
          <w:highlight w:val="none"/>
        </w:rPr>
      </w:pPr>
      <w:r>
        <w:rPr>
          <w:rFonts w:ascii="宋体" w:hAnsi="宋体" w:eastAsia="宋体"/>
          <w:color w:val="auto"/>
          <w:szCs w:val="21"/>
          <w:highlight w:val="none"/>
        </w:rPr>
        <w:t>单位：人</w:t>
      </w:r>
    </w:p>
    <w:tbl>
      <w:tblPr>
        <w:tblStyle w:val="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09"/>
        <w:gridCol w:w="1132"/>
        <w:gridCol w:w="1133"/>
        <w:gridCol w:w="1133"/>
        <w:gridCol w:w="1133"/>
        <w:gridCol w:w="1133"/>
        <w:gridCol w:w="1133"/>
      </w:tblGrid>
      <w:tr w14:paraId="0EC2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5" w:type="dxa"/>
            <w:vAlign w:val="center"/>
          </w:tcPr>
          <w:p w14:paraId="738187F2">
            <w:pPr>
              <w:jc w:val="center"/>
              <w:rPr>
                <w:rFonts w:ascii="宋体" w:hAnsi="宋体" w:eastAsia="宋体"/>
                <w:color w:val="auto"/>
                <w:szCs w:val="21"/>
                <w:highlight w:val="none"/>
              </w:rPr>
            </w:pPr>
            <w:r>
              <w:rPr>
                <w:rFonts w:ascii="宋体" w:hAnsi="宋体" w:eastAsia="宋体"/>
                <w:color w:val="auto"/>
                <w:szCs w:val="21"/>
                <w:highlight w:val="none"/>
              </w:rPr>
              <w:t>工种</w:t>
            </w:r>
          </w:p>
        </w:tc>
        <w:tc>
          <w:tcPr>
            <w:tcW w:w="8306" w:type="dxa"/>
            <w:gridSpan w:val="7"/>
            <w:vAlign w:val="center"/>
          </w:tcPr>
          <w:p w14:paraId="47CE7002">
            <w:pPr>
              <w:jc w:val="center"/>
              <w:rPr>
                <w:rFonts w:ascii="宋体" w:hAnsi="宋体" w:eastAsia="宋体"/>
                <w:color w:val="auto"/>
                <w:szCs w:val="21"/>
                <w:highlight w:val="none"/>
              </w:rPr>
            </w:pPr>
            <w:r>
              <w:rPr>
                <w:rFonts w:ascii="宋体" w:hAnsi="宋体" w:eastAsia="宋体"/>
                <w:color w:val="auto"/>
                <w:szCs w:val="21"/>
                <w:highlight w:val="none"/>
              </w:rPr>
              <w:t>按工程施工阶段投入劳动力情况</w:t>
            </w:r>
          </w:p>
        </w:tc>
      </w:tr>
      <w:tr w14:paraId="6F30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19956B74">
            <w:pPr>
              <w:jc w:val="center"/>
              <w:rPr>
                <w:rFonts w:ascii="宋体" w:hAnsi="宋体" w:eastAsia="宋体"/>
                <w:color w:val="auto"/>
                <w:szCs w:val="21"/>
                <w:highlight w:val="none"/>
              </w:rPr>
            </w:pPr>
          </w:p>
        </w:tc>
        <w:tc>
          <w:tcPr>
            <w:tcW w:w="1509" w:type="dxa"/>
            <w:vAlign w:val="center"/>
          </w:tcPr>
          <w:p w14:paraId="3B1FE9C7">
            <w:pPr>
              <w:jc w:val="center"/>
              <w:rPr>
                <w:rFonts w:ascii="宋体" w:hAnsi="宋体" w:eastAsia="宋体"/>
                <w:color w:val="auto"/>
                <w:szCs w:val="21"/>
                <w:highlight w:val="none"/>
              </w:rPr>
            </w:pPr>
          </w:p>
        </w:tc>
        <w:tc>
          <w:tcPr>
            <w:tcW w:w="1132" w:type="dxa"/>
            <w:vAlign w:val="center"/>
          </w:tcPr>
          <w:p w14:paraId="08C1C113">
            <w:pPr>
              <w:jc w:val="center"/>
              <w:rPr>
                <w:rFonts w:ascii="宋体" w:hAnsi="宋体" w:eastAsia="宋体"/>
                <w:color w:val="auto"/>
                <w:szCs w:val="21"/>
                <w:highlight w:val="none"/>
              </w:rPr>
            </w:pPr>
          </w:p>
        </w:tc>
        <w:tc>
          <w:tcPr>
            <w:tcW w:w="1133" w:type="dxa"/>
            <w:vAlign w:val="center"/>
          </w:tcPr>
          <w:p w14:paraId="42B3345A">
            <w:pPr>
              <w:jc w:val="center"/>
              <w:rPr>
                <w:rFonts w:ascii="宋体" w:hAnsi="宋体" w:eastAsia="宋体"/>
                <w:color w:val="auto"/>
                <w:szCs w:val="21"/>
                <w:highlight w:val="none"/>
              </w:rPr>
            </w:pPr>
          </w:p>
        </w:tc>
        <w:tc>
          <w:tcPr>
            <w:tcW w:w="1133" w:type="dxa"/>
            <w:vAlign w:val="center"/>
          </w:tcPr>
          <w:p w14:paraId="427A2E48">
            <w:pPr>
              <w:jc w:val="center"/>
              <w:rPr>
                <w:rFonts w:ascii="宋体" w:hAnsi="宋体" w:eastAsia="宋体"/>
                <w:color w:val="auto"/>
                <w:szCs w:val="21"/>
                <w:highlight w:val="none"/>
              </w:rPr>
            </w:pPr>
          </w:p>
        </w:tc>
        <w:tc>
          <w:tcPr>
            <w:tcW w:w="1133" w:type="dxa"/>
            <w:vAlign w:val="center"/>
          </w:tcPr>
          <w:p w14:paraId="0A08E808">
            <w:pPr>
              <w:jc w:val="center"/>
              <w:rPr>
                <w:rFonts w:ascii="宋体" w:hAnsi="宋体" w:eastAsia="宋体"/>
                <w:color w:val="auto"/>
                <w:szCs w:val="21"/>
                <w:highlight w:val="none"/>
              </w:rPr>
            </w:pPr>
          </w:p>
        </w:tc>
        <w:tc>
          <w:tcPr>
            <w:tcW w:w="1133" w:type="dxa"/>
            <w:vAlign w:val="center"/>
          </w:tcPr>
          <w:p w14:paraId="32450CAF">
            <w:pPr>
              <w:jc w:val="center"/>
              <w:rPr>
                <w:rFonts w:ascii="宋体" w:hAnsi="宋体" w:eastAsia="宋体"/>
                <w:color w:val="auto"/>
                <w:szCs w:val="21"/>
                <w:highlight w:val="none"/>
              </w:rPr>
            </w:pPr>
          </w:p>
        </w:tc>
        <w:tc>
          <w:tcPr>
            <w:tcW w:w="1133" w:type="dxa"/>
            <w:vAlign w:val="center"/>
          </w:tcPr>
          <w:p w14:paraId="5221B2C6">
            <w:pPr>
              <w:jc w:val="center"/>
              <w:rPr>
                <w:rFonts w:ascii="宋体" w:hAnsi="宋体" w:eastAsia="宋体"/>
                <w:color w:val="auto"/>
                <w:szCs w:val="21"/>
                <w:highlight w:val="none"/>
              </w:rPr>
            </w:pPr>
          </w:p>
        </w:tc>
      </w:tr>
      <w:tr w14:paraId="0503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7D4D0FE">
            <w:pPr>
              <w:jc w:val="center"/>
              <w:rPr>
                <w:rFonts w:ascii="宋体" w:hAnsi="宋体" w:eastAsia="宋体"/>
                <w:color w:val="auto"/>
                <w:szCs w:val="21"/>
                <w:highlight w:val="none"/>
              </w:rPr>
            </w:pPr>
          </w:p>
        </w:tc>
        <w:tc>
          <w:tcPr>
            <w:tcW w:w="1509" w:type="dxa"/>
            <w:vAlign w:val="center"/>
          </w:tcPr>
          <w:p w14:paraId="334E9AA3">
            <w:pPr>
              <w:jc w:val="center"/>
              <w:rPr>
                <w:rFonts w:ascii="宋体" w:hAnsi="宋体" w:eastAsia="宋体"/>
                <w:color w:val="auto"/>
                <w:szCs w:val="21"/>
                <w:highlight w:val="none"/>
              </w:rPr>
            </w:pPr>
          </w:p>
        </w:tc>
        <w:tc>
          <w:tcPr>
            <w:tcW w:w="1132" w:type="dxa"/>
            <w:vAlign w:val="center"/>
          </w:tcPr>
          <w:p w14:paraId="2732AD44">
            <w:pPr>
              <w:jc w:val="center"/>
              <w:rPr>
                <w:rFonts w:ascii="宋体" w:hAnsi="宋体" w:eastAsia="宋体"/>
                <w:color w:val="auto"/>
                <w:szCs w:val="21"/>
                <w:highlight w:val="none"/>
              </w:rPr>
            </w:pPr>
          </w:p>
        </w:tc>
        <w:tc>
          <w:tcPr>
            <w:tcW w:w="1133" w:type="dxa"/>
            <w:vAlign w:val="center"/>
          </w:tcPr>
          <w:p w14:paraId="57ABDF57">
            <w:pPr>
              <w:jc w:val="center"/>
              <w:rPr>
                <w:rFonts w:ascii="宋体" w:hAnsi="宋体" w:eastAsia="宋体"/>
                <w:color w:val="auto"/>
                <w:szCs w:val="21"/>
                <w:highlight w:val="none"/>
              </w:rPr>
            </w:pPr>
          </w:p>
        </w:tc>
        <w:tc>
          <w:tcPr>
            <w:tcW w:w="1133" w:type="dxa"/>
            <w:vAlign w:val="center"/>
          </w:tcPr>
          <w:p w14:paraId="5FE559CC">
            <w:pPr>
              <w:jc w:val="center"/>
              <w:rPr>
                <w:rFonts w:ascii="宋体" w:hAnsi="宋体" w:eastAsia="宋体"/>
                <w:color w:val="auto"/>
                <w:szCs w:val="21"/>
                <w:highlight w:val="none"/>
              </w:rPr>
            </w:pPr>
          </w:p>
        </w:tc>
        <w:tc>
          <w:tcPr>
            <w:tcW w:w="1133" w:type="dxa"/>
            <w:vAlign w:val="center"/>
          </w:tcPr>
          <w:p w14:paraId="08A958B8">
            <w:pPr>
              <w:jc w:val="center"/>
              <w:rPr>
                <w:rFonts w:ascii="宋体" w:hAnsi="宋体" w:eastAsia="宋体"/>
                <w:color w:val="auto"/>
                <w:szCs w:val="21"/>
                <w:highlight w:val="none"/>
              </w:rPr>
            </w:pPr>
          </w:p>
        </w:tc>
        <w:tc>
          <w:tcPr>
            <w:tcW w:w="1133" w:type="dxa"/>
            <w:vAlign w:val="center"/>
          </w:tcPr>
          <w:p w14:paraId="06731759">
            <w:pPr>
              <w:jc w:val="center"/>
              <w:rPr>
                <w:rFonts w:ascii="宋体" w:hAnsi="宋体" w:eastAsia="宋体"/>
                <w:color w:val="auto"/>
                <w:szCs w:val="21"/>
                <w:highlight w:val="none"/>
              </w:rPr>
            </w:pPr>
          </w:p>
        </w:tc>
        <w:tc>
          <w:tcPr>
            <w:tcW w:w="1133" w:type="dxa"/>
            <w:vAlign w:val="center"/>
          </w:tcPr>
          <w:p w14:paraId="33949D0A">
            <w:pPr>
              <w:jc w:val="center"/>
              <w:rPr>
                <w:rFonts w:ascii="宋体" w:hAnsi="宋体" w:eastAsia="宋体"/>
                <w:color w:val="auto"/>
                <w:szCs w:val="21"/>
                <w:highlight w:val="none"/>
              </w:rPr>
            </w:pPr>
          </w:p>
        </w:tc>
      </w:tr>
      <w:tr w14:paraId="44AB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0A519ED1">
            <w:pPr>
              <w:jc w:val="center"/>
              <w:rPr>
                <w:rFonts w:ascii="宋体" w:hAnsi="宋体" w:eastAsia="宋体"/>
                <w:color w:val="auto"/>
                <w:szCs w:val="21"/>
                <w:highlight w:val="none"/>
              </w:rPr>
            </w:pPr>
          </w:p>
        </w:tc>
        <w:tc>
          <w:tcPr>
            <w:tcW w:w="1509" w:type="dxa"/>
            <w:vAlign w:val="center"/>
          </w:tcPr>
          <w:p w14:paraId="21AEF7FF">
            <w:pPr>
              <w:jc w:val="center"/>
              <w:rPr>
                <w:rFonts w:ascii="宋体" w:hAnsi="宋体" w:eastAsia="宋体"/>
                <w:color w:val="auto"/>
                <w:szCs w:val="21"/>
                <w:highlight w:val="none"/>
              </w:rPr>
            </w:pPr>
          </w:p>
        </w:tc>
        <w:tc>
          <w:tcPr>
            <w:tcW w:w="1132" w:type="dxa"/>
            <w:vAlign w:val="center"/>
          </w:tcPr>
          <w:p w14:paraId="10CA4B35">
            <w:pPr>
              <w:jc w:val="center"/>
              <w:rPr>
                <w:rFonts w:ascii="宋体" w:hAnsi="宋体" w:eastAsia="宋体"/>
                <w:color w:val="auto"/>
                <w:szCs w:val="21"/>
                <w:highlight w:val="none"/>
              </w:rPr>
            </w:pPr>
          </w:p>
        </w:tc>
        <w:tc>
          <w:tcPr>
            <w:tcW w:w="1133" w:type="dxa"/>
            <w:vAlign w:val="center"/>
          </w:tcPr>
          <w:p w14:paraId="653D94E5">
            <w:pPr>
              <w:jc w:val="center"/>
              <w:rPr>
                <w:rFonts w:ascii="宋体" w:hAnsi="宋体" w:eastAsia="宋体"/>
                <w:color w:val="auto"/>
                <w:szCs w:val="21"/>
                <w:highlight w:val="none"/>
              </w:rPr>
            </w:pPr>
          </w:p>
        </w:tc>
        <w:tc>
          <w:tcPr>
            <w:tcW w:w="1133" w:type="dxa"/>
            <w:vAlign w:val="center"/>
          </w:tcPr>
          <w:p w14:paraId="57362052">
            <w:pPr>
              <w:jc w:val="center"/>
              <w:rPr>
                <w:rFonts w:ascii="宋体" w:hAnsi="宋体" w:eastAsia="宋体"/>
                <w:color w:val="auto"/>
                <w:szCs w:val="21"/>
                <w:highlight w:val="none"/>
              </w:rPr>
            </w:pPr>
          </w:p>
        </w:tc>
        <w:tc>
          <w:tcPr>
            <w:tcW w:w="1133" w:type="dxa"/>
            <w:vAlign w:val="center"/>
          </w:tcPr>
          <w:p w14:paraId="732F9B4A">
            <w:pPr>
              <w:jc w:val="center"/>
              <w:rPr>
                <w:rFonts w:ascii="宋体" w:hAnsi="宋体" w:eastAsia="宋体"/>
                <w:color w:val="auto"/>
                <w:szCs w:val="21"/>
                <w:highlight w:val="none"/>
              </w:rPr>
            </w:pPr>
          </w:p>
        </w:tc>
        <w:tc>
          <w:tcPr>
            <w:tcW w:w="1133" w:type="dxa"/>
            <w:vAlign w:val="center"/>
          </w:tcPr>
          <w:p w14:paraId="0C729610">
            <w:pPr>
              <w:jc w:val="center"/>
              <w:rPr>
                <w:rFonts w:ascii="宋体" w:hAnsi="宋体" w:eastAsia="宋体"/>
                <w:color w:val="auto"/>
                <w:szCs w:val="21"/>
                <w:highlight w:val="none"/>
              </w:rPr>
            </w:pPr>
          </w:p>
        </w:tc>
        <w:tc>
          <w:tcPr>
            <w:tcW w:w="1133" w:type="dxa"/>
            <w:vAlign w:val="center"/>
          </w:tcPr>
          <w:p w14:paraId="1F514988">
            <w:pPr>
              <w:jc w:val="center"/>
              <w:rPr>
                <w:rFonts w:ascii="宋体" w:hAnsi="宋体" w:eastAsia="宋体"/>
                <w:color w:val="auto"/>
                <w:szCs w:val="21"/>
                <w:highlight w:val="none"/>
              </w:rPr>
            </w:pPr>
          </w:p>
        </w:tc>
      </w:tr>
      <w:tr w14:paraId="5866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CC82D22">
            <w:pPr>
              <w:jc w:val="center"/>
              <w:rPr>
                <w:rFonts w:ascii="宋体" w:hAnsi="宋体" w:eastAsia="宋体"/>
                <w:color w:val="auto"/>
                <w:szCs w:val="21"/>
                <w:highlight w:val="none"/>
              </w:rPr>
            </w:pPr>
          </w:p>
        </w:tc>
        <w:tc>
          <w:tcPr>
            <w:tcW w:w="1509" w:type="dxa"/>
            <w:vAlign w:val="center"/>
          </w:tcPr>
          <w:p w14:paraId="0F0DFAFF">
            <w:pPr>
              <w:jc w:val="center"/>
              <w:rPr>
                <w:rFonts w:ascii="宋体" w:hAnsi="宋体" w:eastAsia="宋体"/>
                <w:color w:val="auto"/>
                <w:szCs w:val="21"/>
                <w:highlight w:val="none"/>
              </w:rPr>
            </w:pPr>
          </w:p>
        </w:tc>
        <w:tc>
          <w:tcPr>
            <w:tcW w:w="1132" w:type="dxa"/>
            <w:vAlign w:val="center"/>
          </w:tcPr>
          <w:p w14:paraId="20B79F65">
            <w:pPr>
              <w:jc w:val="center"/>
              <w:rPr>
                <w:rFonts w:ascii="宋体" w:hAnsi="宋体" w:eastAsia="宋体"/>
                <w:color w:val="auto"/>
                <w:szCs w:val="21"/>
                <w:highlight w:val="none"/>
              </w:rPr>
            </w:pPr>
          </w:p>
        </w:tc>
        <w:tc>
          <w:tcPr>
            <w:tcW w:w="1133" w:type="dxa"/>
            <w:vAlign w:val="center"/>
          </w:tcPr>
          <w:p w14:paraId="6C140F35">
            <w:pPr>
              <w:jc w:val="center"/>
              <w:rPr>
                <w:rFonts w:ascii="宋体" w:hAnsi="宋体" w:eastAsia="宋体"/>
                <w:color w:val="auto"/>
                <w:szCs w:val="21"/>
                <w:highlight w:val="none"/>
              </w:rPr>
            </w:pPr>
          </w:p>
        </w:tc>
        <w:tc>
          <w:tcPr>
            <w:tcW w:w="1133" w:type="dxa"/>
            <w:vAlign w:val="center"/>
          </w:tcPr>
          <w:p w14:paraId="69B12120">
            <w:pPr>
              <w:jc w:val="center"/>
              <w:rPr>
                <w:rFonts w:ascii="宋体" w:hAnsi="宋体" w:eastAsia="宋体"/>
                <w:color w:val="auto"/>
                <w:szCs w:val="21"/>
                <w:highlight w:val="none"/>
              </w:rPr>
            </w:pPr>
          </w:p>
        </w:tc>
        <w:tc>
          <w:tcPr>
            <w:tcW w:w="1133" w:type="dxa"/>
            <w:vAlign w:val="center"/>
          </w:tcPr>
          <w:p w14:paraId="17339B81">
            <w:pPr>
              <w:jc w:val="center"/>
              <w:rPr>
                <w:rFonts w:ascii="宋体" w:hAnsi="宋体" w:eastAsia="宋体"/>
                <w:color w:val="auto"/>
                <w:szCs w:val="21"/>
                <w:highlight w:val="none"/>
              </w:rPr>
            </w:pPr>
          </w:p>
        </w:tc>
        <w:tc>
          <w:tcPr>
            <w:tcW w:w="1133" w:type="dxa"/>
            <w:vAlign w:val="center"/>
          </w:tcPr>
          <w:p w14:paraId="4541F495">
            <w:pPr>
              <w:jc w:val="center"/>
              <w:rPr>
                <w:rFonts w:ascii="宋体" w:hAnsi="宋体" w:eastAsia="宋体"/>
                <w:color w:val="auto"/>
                <w:szCs w:val="21"/>
                <w:highlight w:val="none"/>
              </w:rPr>
            </w:pPr>
          </w:p>
        </w:tc>
        <w:tc>
          <w:tcPr>
            <w:tcW w:w="1133" w:type="dxa"/>
            <w:vAlign w:val="center"/>
          </w:tcPr>
          <w:p w14:paraId="05966B66">
            <w:pPr>
              <w:jc w:val="center"/>
              <w:rPr>
                <w:rFonts w:ascii="宋体" w:hAnsi="宋体" w:eastAsia="宋体"/>
                <w:color w:val="auto"/>
                <w:szCs w:val="21"/>
                <w:highlight w:val="none"/>
              </w:rPr>
            </w:pPr>
          </w:p>
        </w:tc>
      </w:tr>
    </w:tbl>
    <w:p w14:paraId="3DE3177B">
      <w:pPr>
        <w:spacing w:line="360" w:lineRule="auto"/>
        <w:ind w:left="424" w:leftChars="202"/>
        <w:rPr>
          <w:rFonts w:ascii="宋体" w:hAnsi="宋体" w:eastAsia="宋体"/>
          <w:color w:val="auto"/>
          <w:szCs w:val="21"/>
          <w:highlight w:val="none"/>
        </w:rPr>
      </w:pPr>
    </w:p>
    <w:p w14:paraId="000E1D3B">
      <w:pPr>
        <w:pStyle w:val="27"/>
        <w:snapToGrid w:val="0"/>
        <w:spacing w:line="480" w:lineRule="exact"/>
        <w:ind w:firstLine="630"/>
        <w:rPr>
          <w:rFonts w:hAnsi="宋体"/>
          <w:color w:val="auto"/>
          <w:highlight w:val="none"/>
        </w:rPr>
      </w:pPr>
    </w:p>
    <w:p w14:paraId="17EE2743">
      <w:pPr>
        <w:pStyle w:val="4"/>
        <w:spacing w:line="480" w:lineRule="exact"/>
        <w:ind w:firstLine="422"/>
        <w:jc w:val="center"/>
        <w:rPr>
          <w:rFonts w:ascii="宋体" w:hAnsi="宋体" w:eastAsia="宋体" w:cs="宋体"/>
          <w:color w:val="auto"/>
          <w:sz w:val="21"/>
          <w:szCs w:val="21"/>
          <w:highlight w:val="none"/>
        </w:rPr>
      </w:pPr>
      <w:bookmarkStart w:id="311" w:name="_Toc155772404"/>
      <w:bookmarkStart w:id="312" w:name="_Toc48107407"/>
      <w:bookmarkStart w:id="313" w:name="_Toc119422004"/>
      <w:r>
        <w:rPr>
          <w:rFonts w:hint="eastAsia" w:ascii="宋体" w:hAnsi="宋体" w:eastAsia="宋体" w:cs="宋体"/>
          <w:color w:val="auto"/>
          <w:sz w:val="21"/>
          <w:szCs w:val="21"/>
          <w:highlight w:val="none"/>
        </w:rPr>
        <w:t xml:space="preserve">表4 </w:t>
      </w:r>
      <w:bookmarkEnd w:id="311"/>
      <w:bookmarkEnd w:id="312"/>
      <w:r>
        <w:rPr>
          <w:rFonts w:hint="eastAsia" w:ascii="宋体" w:hAnsi="宋体" w:eastAsia="宋体" w:cs="宋体"/>
          <w:color w:val="auto"/>
          <w:sz w:val="21"/>
          <w:szCs w:val="21"/>
          <w:highlight w:val="none"/>
        </w:rPr>
        <w:t>拟投入的主要</w:t>
      </w:r>
      <w:r>
        <w:rPr>
          <w:rFonts w:hint="eastAsia" w:ascii="宋体" w:hAnsi="宋体" w:eastAsia="宋体"/>
          <w:color w:val="auto"/>
          <w:sz w:val="21"/>
          <w:szCs w:val="21"/>
          <w:highlight w:val="none"/>
        </w:rPr>
        <w:t>施工机具</w:t>
      </w:r>
      <w:r>
        <w:rPr>
          <w:rFonts w:hint="eastAsia" w:ascii="宋体" w:hAnsi="宋体" w:eastAsia="宋体" w:cs="宋体"/>
          <w:color w:val="auto"/>
          <w:sz w:val="21"/>
          <w:szCs w:val="21"/>
          <w:highlight w:val="none"/>
        </w:rPr>
        <w:t>表</w:t>
      </w:r>
      <w:bookmarkEnd w:id="313"/>
    </w:p>
    <w:tbl>
      <w:tblPr>
        <w:tblStyle w:val="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1"/>
        <w:gridCol w:w="881"/>
        <w:gridCol w:w="1067"/>
        <w:gridCol w:w="741"/>
        <w:gridCol w:w="741"/>
        <w:gridCol w:w="1229"/>
        <w:gridCol w:w="910"/>
        <w:gridCol w:w="910"/>
        <w:gridCol w:w="799"/>
      </w:tblGrid>
      <w:tr w14:paraId="7793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6347ACCC">
            <w:pPr>
              <w:jc w:val="center"/>
              <w:rPr>
                <w:rFonts w:ascii="宋体" w:hAnsi="宋体" w:eastAsia="宋体"/>
                <w:color w:val="auto"/>
                <w:szCs w:val="21"/>
                <w:highlight w:val="none"/>
              </w:rPr>
            </w:pPr>
            <w:r>
              <w:rPr>
                <w:rFonts w:ascii="宋体" w:hAnsi="宋体" w:eastAsia="宋体"/>
                <w:color w:val="auto"/>
                <w:szCs w:val="21"/>
                <w:highlight w:val="none"/>
              </w:rPr>
              <w:t>序号</w:t>
            </w:r>
          </w:p>
        </w:tc>
        <w:tc>
          <w:tcPr>
            <w:tcW w:w="1111" w:type="dxa"/>
            <w:vAlign w:val="center"/>
          </w:tcPr>
          <w:p w14:paraId="236EF062">
            <w:pPr>
              <w:jc w:val="center"/>
              <w:rPr>
                <w:rFonts w:ascii="宋体" w:hAnsi="宋体" w:eastAsia="宋体"/>
                <w:color w:val="auto"/>
                <w:szCs w:val="21"/>
                <w:highlight w:val="none"/>
              </w:rPr>
            </w:pPr>
            <w:r>
              <w:rPr>
                <w:rFonts w:ascii="宋体" w:hAnsi="宋体" w:eastAsia="宋体"/>
                <w:color w:val="auto"/>
                <w:szCs w:val="21"/>
                <w:highlight w:val="none"/>
              </w:rPr>
              <w:t>设备</w:t>
            </w:r>
          </w:p>
          <w:p w14:paraId="544580A5">
            <w:pPr>
              <w:jc w:val="center"/>
              <w:rPr>
                <w:rFonts w:ascii="宋体" w:hAnsi="宋体" w:eastAsia="宋体"/>
                <w:color w:val="auto"/>
                <w:szCs w:val="21"/>
                <w:highlight w:val="none"/>
              </w:rPr>
            </w:pPr>
            <w:r>
              <w:rPr>
                <w:rFonts w:ascii="宋体" w:hAnsi="宋体" w:eastAsia="宋体"/>
                <w:color w:val="auto"/>
                <w:szCs w:val="21"/>
                <w:highlight w:val="none"/>
              </w:rPr>
              <w:t>名称</w:t>
            </w:r>
          </w:p>
        </w:tc>
        <w:tc>
          <w:tcPr>
            <w:tcW w:w="881" w:type="dxa"/>
            <w:vAlign w:val="center"/>
          </w:tcPr>
          <w:p w14:paraId="4131F717">
            <w:pPr>
              <w:jc w:val="center"/>
              <w:rPr>
                <w:rFonts w:ascii="宋体" w:hAnsi="宋体" w:eastAsia="宋体"/>
                <w:color w:val="auto"/>
                <w:szCs w:val="21"/>
                <w:highlight w:val="none"/>
              </w:rPr>
            </w:pPr>
            <w:r>
              <w:rPr>
                <w:rFonts w:ascii="宋体" w:hAnsi="宋体" w:eastAsia="宋体"/>
                <w:color w:val="auto"/>
                <w:szCs w:val="21"/>
                <w:highlight w:val="none"/>
              </w:rPr>
              <w:t>型号</w:t>
            </w:r>
          </w:p>
          <w:p w14:paraId="613D14DC">
            <w:pPr>
              <w:jc w:val="center"/>
              <w:rPr>
                <w:rFonts w:ascii="宋体" w:hAnsi="宋体" w:eastAsia="宋体"/>
                <w:color w:val="auto"/>
                <w:szCs w:val="21"/>
                <w:highlight w:val="none"/>
              </w:rPr>
            </w:pPr>
            <w:r>
              <w:rPr>
                <w:rFonts w:ascii="宋体" w:hAnsi="宋体" w:eastAsia="宋体"/>
                <w:color w:val="auto"/>
                <w:szCs w:val="21"/>
                <w:highlight w:val="none"/>
              </w:rPr>
              <w:t>规格</w:t>
            </w:r>
          </w:p>
        </w:tc>
        <w:tc>
          <w:tcPr>
            <w:tcW w:w="1067" w:type="dxa"/>
            <w:vAlign w:val="center"/>
          </w:tcPr>
          <w:p w14:paraId="4765CC06">
            <w:pPr>
              <w:jc w:val="center"/>
              <w:rPr>
                <w:rFonts w:ascii="宋体" w:hAnsi="宋体" w:eastAsia="宋体"/>
                <w:color w:val="auto"/>
                <w:szCs w:val="21"/>
                <w:highlight w:val="none"/>
              </w:rPr>
            </w:pPr>
            <w:r>
              <w:rPr>
                <w:rFonts w:ascii="宋体" w:hAnsi="宋体" w:eastAsia="宋体"/>
                <w:color w:val="auto"/>
                <w:szCs w:val="21"/>
                <w:highlight w:val="none"/>
              </w:rPr>
              <w:t>数  量</w:t>
            </w:r>
          </w:p>
        </w:tc>
        <w:tc>
          <w:tcPr>
            <w:tcW w:w="741" w:type="dxa"/>
            <w:vAlign w:val="center"/>
          </w:tcPr>
          <w:p w14:paraId="51949D4F">
            <w:pPr>
              <w:jc w:val="center"/>
              <w:rPr>
                <w:rFonts w:ascii="宋体" w:hAnsi="宋体" w:eastAsia="宋体"/>
                <w:color w:val="auto"/>
                <w:szCs w:val="21"/>
                <w:highlight w:val="none"/>
              </w:rPr>
            </w:pPr>
            <w:r>
              <w:rPr>
                <w:rFonts w:ascii="宋体" w:hAnsi="宋体" w:eastAsia="宋体"/>
                <w:color w:val="auto"/>
                <w:szCs w:val="21"/>
                <w:highlight w:val="none"/>
              </w:rPr>
              <w:t>国别</w:t>
            </w:r>
          </w:p>
          <w:p w14:paraId="65F5BFAC">
            <w:pPr>
              <w:jc w:val="center"/>
              <w:rPr>
                <w:rFonts w:ascii="宋体" w:hAnsi="宋体" w:eastAsia="宋体"/>
                <w:color w:val="auto"/>
                <w:szCs w:val="21"/>
                <w:highlight w:val="none"/>
              </w:rPr>
            </w:pPr>
            <w:r>
              <w:rPr>
                <w:rFonts w:ascii="宋体" w:hAnsi="宋体" w:eastAsia="宋体"/>
                <w:color w:val="auto"/>
                <w:szCs w:val="21"/>
                <w:highlight w:val="none"/>
              </w:rPr>
              <w:t>产地</w:t>
            </w:r>
          </w:p>
        </w:tc>
        <w:tc>
          <w:tcPr>
            <w:tcW w:w="741" w:type="dxa"/>
            <w:vAlign w:val="center"/>
          </w:tcPr>
          <w:p w14:paraId="42C90546">
            <w:pPr>
              <w:jc w:val="center"/>
              <w:rPr>
                <w:rFonts w:ascii="宋体" w:hAnsi="宋体" w:eastAsia="宋体"/>
                <w:color w:val="auto"/>
                <w:szCs w:val="21"/>
                <w:highlight w:val="none"/>
              </w:rPr>
            </w:pPr>
            <w:r>
              <w:rPr>
                <w:rFonts w:ascii="宋体" w:hAnsi="宋体" w:eastAsia="宋体"/>
                <w:color w:val="auto"/>
                <w:szCs w:val="21"/>
                <w:highlight w:val="none"/>
              </w:rPr>
              <w:t>制造</w:t>
            </w:r>
          </w:p>
          <w:p w14:paraId="3CC3FA13">
            <w:pPr>
              <w:jc w:val="center"/>
              <w:rPr>
                <w:rFonts w:ascii="宋体" w:hAnsi="宋体" w:eastAsia="宋体"/>
                <w:color w:val="auto"/>
                <w:szCs w:val="21"/>
                <w:highlight w:val="none"/>
              </w:rPr>
            </w:pPr>
            <w:r>
              <w:rPr>
                <w:rFonts w:ascii="宋体" w:hAnsi="宋体" w:eastAsia="宋体"/>
                <w:color w:val="auto"/>
                <w:szCs w:val="21"/>
                <w:highlight w:val="none"/>
              </w:rPr>
              <w:t>年份</w:t>
            </w:r>
          </w:p>
        </w:tc>
        <w:tc>
          <w:tcPr>
            <w:tcW w:w="1229" w:type="dxa"/>
            <w:vAlign w:val="center"/>
          </w:tcPr>
          <w:p w14:paraId="255CE1B9">
            <w:pPr>
              <w:jc w:val="center"/>
              <w:rPr>
                <w:rFonts w:ascii="宋体" w:hAnsi="宋体" w:eastAsia="宋体"/>
                <w:color w:val="auto"/>
                <w:szCs w:val="21"/>
                <w:highlight w:val="none"/>
              </w:rPr>
            </w:pPr>
            <w:r>
              <w:rPr>
                <w:rFonts w:ascii="宋体" w:hAnsi="宋体" w:eastAsia="宋体"/>
                <w:color w:val="auto"/>
                <w:szCs w:val="21"/>
                <w:highlight w:val="none"/>
              </w:rPr>
              <w:t>额定功率</w:t>
            </w:r>
          </w:p>
          <w:p w14:paraId="58C318E8">
            <w:pPr>
              <w:jc w:val="center"/>
              <w:rPr>
                <w:rFonts w:ascii="宋体" w:hAnsi="宋体" w:eastAsia="宋体"/>
                <w:color w:val="auto"/>
                <w:szCs w:val="21"/>
                <w:highlight w:val="none"/>
              </w:rPr>
            </w:pPr>
            <w:r>
              <w:rPr>
                <w:rFonts w:ascii="宋体" w:hAnsi="宋体" w:eastAsia="宋体"/>
                <w:color w:val="auto"/>
                <w:szCs w:val="21"/>
                <w:highlight w:val="none"/>
              </w:rPr>
              <w:t>（KW）</w:t>
            </w:r>
          </w:p>
        </w:tc>
        <w:tc>
          <w:tcPr>
            <w:tcW w:w="910" w:type="dxa"/>
            <w:vAlign w:val="center"/>
          </w:tcPr>
          <w:p w14:paraId="4D3604D6">
            <w:pPr>
              <w:jc w:val="center"/>
              <w:rPr>
                <w:rFonts w:ascii="宋体" w:hAnsi="宋体" w:eastAsia="宋体"/>
                <w:color w:val="auto"/>
                <w:szCs w:val="21"/>
                <w:highlight w:val="none"/>
              </w:rPr>
            </w:pPr>
            <w:r>
              <w:rPr>
                <w:rFonts w:ascii="宋体" w:hAnsi="宋体" w:eastAsia="宋体"/>
                <w:color w:val="auto"/>
                <w:szCs w:val="21"/>
                <w:highlight w:val="none"/>
              </w:rPr>
              <w:t>生产</w:t>
            </w:r>
          </w:p>
          <w:p w14:paraId="4B4F333A">
            <w:pPr>
              <w:jc w:val="center"/>
              <w:rPr>
                <w:rFonts w:ascii="宋体" w:hAnsi="宋体" w:eastAsia="宋体"/>
                <w:color w:val="auto"/>
                <w:szCs w:val="21"/>
                <w:highlight w:val="none"/>
              </w:rPr>
            </w:pPr>
            <w:r>
              <w:rPr>
                <w:rFonts w:ascii="宋体" w:hAnsi="宋体" w:eastAsia="宋体"/>
                <w:color w:val="auto"/>
                <w:szCs w:val="21"/>
                <w:highlight w:val="none"/>
              </w:rPr>
              <w:t>能力</w:t>
            </w:r>
          </w:p>
        </w:tc>
        <w:tc>
          <w:tcPr>
            <w:tcW w:w="910" w:type="dxa"/>
            <w:vAlign w:val="center"/>
          </w:tcPr>
          <w:p w14:paraId="34E9699B">
            <w:pPr>
              <w:jc w:val="center"/>
              <w:rPr>
                <w:rFonts w:ascii="宋体" w:hAnsi="宋体" w:eastAsia="宋体"/>
                <w:color w:val="auto"/>
                <w:szCs w:val="21"/>
                <w:highlight w:val="none"/>
              </w:rPr>
            </w:pPr>
            <w:r>
              <w:rPr>
                <w:rFonts w:ascii="宋体" w:hAnsi="宋体" w:eastAsia="宋体"/>
                <w:color w:val="auto"/>
                <w:szCs w:val="21"/>
                <w:highlight w:val="none"/>
              </w:rPr>
              <w:t>用于施工部位</w:t>
            </w:r>
          </w:p>
        </w:tc>
        <w:tc>
          <w:tcPr>
            <w:tcW w:w="799" w:type="dxa"/>
            <w:vAlign w:val="center"/>
          </w:tcPr>
          <w:p w14:paraId="77442C75">
            <w:pPr>
              <w:jc w:val="center"/>
              <w:rPr>
                <w:rFonts w:ascii="宋体" w:hAnsi="宋体" w:eastAsia="宋体"/>
                <w:color w:val="auto"/>
                <w:szCs w:val="21"/>
                <w:highlight w:val="none"/>
              </w:rPr>
            </w:pPr>
            <w:r>
              <w:rPr>
                <w:rFonts w:ascii="宋体" w:hAnsi="宋体" w:eastAsia="宋体"/>
                <w:color w:val="auto"/>
                <w:szCs w:val="21"/>
                <w:highlight w:val="none"/>
              </w:rPr>
              <w:t>备注</w:t>
            </w:r>
          </w:p>
        </w:tc>
      </w:tr>
      <w:tr w14:paraId="4B43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570CC1AA">
            <w:pPr>
              <w:jc w:val="center"/>
              <w:rPr>
                <w:rFonts w:ascii="宋体" w:hAnsi="宋体" w:eastAsia="宋体"/>
                <w:color w:val="auto"/>
                <w:szCs w:val="21"/>
                <w:highlight w:val="none"/>
              </w:rPr>
            </w:pPr>
          </w:p>
        </w:tc>
        <w:tc>
          <w:tcPr>
            <w:tcW w:w="1111" w:type="dxa"/>
            <w:vAlign w:val="center"/>
          </w:tcPr>
          <w:p w14:paraId="40DE041F">
            <w:pPr>
              <w:jc w:val="center"/>
              <w:rPr>
                <w:rFonts w:ascii="宋体" w:hAnsi="宋体" w:eastAsia="宋体"/>
                <w:color w:val="auto"/>
                <w:szCs w:val="21"/>
                <w:highlight w:val="none"/>
              </w:rPr>
            </w:pPr>
          </w:p>
        </w:tc>
        <w:tc>
          <w:tcPr>
            <w:tcW w:w="881" w:type="dxa"/>
            <w:vAlign w:val="center"/>
          </w:tcPr>
          <w:p w14:paraId="4C3B7460">
            <w:pPr>
              <w:jc w:val="center"/>
              <w:rPr>
                <w:rFonts w:ascii="宋体" w:hAnsi="宋体" w:eastAsia="宋体"/>
                <w:color w:val="auto"/>
                <w:szCs w:val="21"/>
                <w:highlight w:val="none"/>
              </w:rPr>
            </w:pPr>
          </w:p>
        </w:tc>
        <w:tc>
          <w:tcPr>
            <w:tcW w:w="1067" w:type="dxa"/>
            <w:vAlign w:val="center"/>
          </w:tcPr>
          <w:p w14:paraId="5E11DD65">
            <w:pPr>
              <w:jc w:val="center"/>
              <w:rPr>
                <w:rFonts w:ascii="宋体" w:hAnsi="宋体" w:eastAsia="宋体"/>
                <w:color w:val="auto"/>
                <w:szCs w:val="21"/>
                <w:highlight w:val="none"/>
              </w:rPr>
            </w:pPr>
          </w:p>
        </w:tc>
        <w:tc>
          <w:tcPr>
            <w:tcW w:w="741" w:type="dxa"/>
            <w:vAlign w:val="center"/>
          </w:tcPr>
          <w:p w14:paraId="74A4FCDD">
            <w:pPr>
              <w:jc w:val="center"/>
              <w:rPr>
                <w:rFonts w:ascii="宋体" w:hAnsi="宋体" w:eastAsia="宋体"/>
                <w:color w:val="auto"/>
                <w:szCs w:val="21"/>
                <w:highlight w:val="none"/>
              </w:rPr>
            </w:pPr>
          </w:p>
        </w:tc>
        <w:tc>
          <w:tcPr>
            <w:tcW w:w="741" w:type="dxa"/>
            <w:vAlign w:val="center"/>
          </w:tcPr>
          <w:p w14:paraId="127A1CC1">
            <w:pPr>
              <w:jc w:val="center"/>
              <w:rPr>
                <w:rFonts w:ascii="宋体" w:hAnsi="宋体" w:eastAsia="宋体"/>
                <w:color w:val="auto"/>
                <w:szCs w:val="21"/>
                <w:highlight w:val="none"/>
              </w:rPr>
            </w:pPr>
          </w:p>
        </w:tc>
        <w:tc>
          <w:tcPr>
            <w:tcW w:w="1229" w:type="dxa"/>
            <w:vAlign w:val="center"/>
          </w:tcPr>
          <w:p w14:paraId="228A7D7B">
            <w:pPr>
              <w:jc w:val="center"/>
              <w:rPr>
                <w:rFonts w:ascii="宋体" w:hAnsi="宋体" w:eastAsia="宋体"/>
                <w:color w:val="auto"/>
                <w:szCs w:val="21"/>
                <w:highlight w:val="none"/>
              </w:rPr>
            </w:pPr>
          </w:p>
        </w:tc>
        <w:tc>
          <w:tcPr>
            <w:tcW w:w="910" w:type="dxa"/>
            <w:vAlign w:val="center"/>
          </w:tcPr>
          <w:p w14:paraId="4C535264">
            <w:pPr>
              <w:jc w:val="center"/>
              <w:rPr>
                <w:rFonts w:ascii="宋体" w:hAnsi="宋体" w:eastAsia="宋体"/>
                <w:color w:val="auto"/>
                <w:szCs w:val="21"/>
                <w:highlight w:val="none"/>
              </w:rPr>
            </w:pPr>
          </w:p>
        </w:tc>
        <w:tc>
          <w:tcPr>
            <w:tcW w:w="910" w:type="dxa"/>
            <w:vAlign w:val="center"/>
          </w:tcPr>
          <w:p w14:paraId="644C6ECD">
            <w:pPr>
              <w:jc w:val="center"/>
              <w:rPr>
                <w:rFonts w:ascii="宋体" w:hAnsi="宋体" w:eastAsia="宋体"/>
                <w:color w:val="auto"/>
                <w:szCs w:val="21"/>
                <w:highlight w:val="none"/>
              </w:rPr>
            </w:pPr>
          </w:p>
        </w:tc>
        <w:tc>
          <w:tcPr>
            <w:tcW w:w="799" w:type="dxa"/>
            <w:vAlign w:val="center"/>
          </w:tcPr>
          <w:p w14:paraId="58744F17">
            <w:pPr>
              <w:jc w:val="center"/>
              <w:rPr>
                <w:rFonts w:ascii="宋体" w:hAnsi="宋体" w:eastAsia="宋体"/>
                <w:color w:val="auto"/>
                <w:szCs w:val="21"/>
                <w:highlight w:val="none"/>
              </w:rPr>
            </w:pPr>
          </w:p>
        </w:tc>
      </w:tr>
      <w:tr w14:paraId="0BA2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37C65358">
            <w:pPr>
              <w:jc w:val="center"/>
              <w:rPr>
                <w:rFonts w:ascii="宋体" w:hAnsi="宋体" w:eastAsia="宋体"/>
                <w:color w:val="auto"/>
                <w:szCs w:val="21"/>
                <w:highlight w:val="none"/>
              </w:rPr>
            </w:pPr>
          </w:p>
        </w:tc>
        <w:tc>
          <w:tcPr>
            <w:tcW w:w="1111" w:type="dxa"/>
            <w:vAlign w:val="center"/>
          </w:tcPr>
          <w:p w14:paraId="07AC2F62">
            <w:pPr>
              <w:jc w:val="center"/>
              <w:rPr>
                <w:rFonts w:ascii="宋体" w:hAnsi="宋体" w:eastAsia="宋体"/>
                <w:color w:val="auto"/>
                <w:szCs w:val="21"/>
                <w:highlight w:val="none"/>
              </w:rPr>
            </w:pPr>
          </w:p>
        </w:tc>
        <w:tc>
          <w:tcPr>
            <w:tcW w:w="881" w:type="dxa"/>
            <w:vAlign w:val="center"/>
          </w:tcPr>
          <w:p w14:paraId="31E5F25F">
            <w:pPr>
              <w:jc w:val="center"/>
              <w:rPr>
                <w:rFonts w:ascii="宋体" w:hAnsi="宋体" w:eastAsia="宋体"/>
                <w:color w:val="auto"/>
                <w:szCs w:val="21"/>
                <w:highlight w:val="none"/>
              </w:rPr>
            </w:pPr>
          </w:p>
        </w:tc>
        <w:tc>
          <w:tcPr>
            <w:tcW w:w="1067" w:type="dxa"/>
            <w:vAlign w:val="center"/>
          </w:tcPr>
          <w:p w14:paraId="39DF270A">
            <w:pPr>
              <w:jc w:val="center"/>
              <w:rPr>
                <w:rFonts w:ascii="宋体" w:hAnsi="宋体" w:eastAsia="宋体"/>
                <w:color w:val="auto"/>
                <w:szCs w:val="21"/>
                <w:highlight w:val="none"/>
              </w:rPr>
            </w:pPr>
          </w:p>
        </w:tc>
        <w:tc>
          <w:tcPr>
            <w:tcW w:w="741" w:type="dxa"/>
            <w:vAlign w:val="center"/>
          </w:tcPr>
          <w:p w14:paraId="06FF55DC">
            <w:pPr>
              <w:jc w:val="center"/>
              <w:rPr>
                <w:rFonts w:ascii="宋体" w:hAnsi="宋体" w:eastAsia="宋体"/>
                <w:color w:val="auto"/>
                <w:szCs w:val="21"/>
                <w:highlight w:val="none"/>
              </w:rPr>
            </w:pPr>
          </w:p>
        </w:tc>
        <w:tc>
          <w:tcPr>
            <w:tcW w:w="741" w:type="dxa"/>
            <w:vAlign w:val="center"/>
          </w:tcPr>
          <w:p w14:paraId="0521F7AC">
            <w:pPr>
              <w:jc w:val="center"/>
              <w:rPr>
                <w:rFonts w:ascii="宋体" w:hAnsi="宋体" w:eastAsia="宋体"/>
                <w:color w:val="auto"/>
                <w:szCs w:val="21"/>
                <w:highlight w:val="none"/>
              </w:rPr>
            </w:pPr>
          </w:p>
        </w:tc>
        <w:tc>
          <w:tcPr>
            <w:tcW w:w="1229" w:type="dxa"/>
            <w:vAlign w:val="center"/>
          </w:tcPr>
          <w:p w14:paraId="6DB756AC">
            <w:pPr>
              <w:jc w:val="center"/>
              <w:rPr>
                <w:rFonts w:ascii="宋体" w:hAnsi="宋体" w:eastAsia="宋体"/>
                <w:color w:val="auto"/>
                <w:szCs w:val="21"/>
                <w:highlight w:val="none"/>
              </w:rPr>
            </w:pPr>
          </w:p>
        </w:tc>
        <w:tc>
          <w:tcPr>
            <w:tcW w:w="910" w:type="dxa"/>
            <w:vAlign w:val="center"/>
          </w:tcPr>
          <w:p w14:paraId="7D8D60C8">
            <w:pPr>
              <w:jc w:val="center"/>
              <w:rPr>
                <w:rFonts w:ascii="宋体" w:hAnsi="宋体" w:eastAsia="宋体"/>
                <w:color w:val="auto"/>
                <w:szCs w:val="21"/>
                <w:highlight w:val="none"/>
              </w:rPr>
            </w:pPr>
          </w:p>
        </w:tc>
        <w:tc>
          <w:tcPr>
            <w:tcW w:w="910" w:type="dxa"/>
            <w:vAlign w:val="center"/>
          </w:tcPr>
          <w:p w14:paraId="2988FE63">
            <w:pPr>
              <w:jc w:val="center"/>
              <w:rPr>
                <w:rFonts w:ascii="宋体" w:hAnsi="宋体" w:eastAsia="宋体"/>
                <w:color w:val="auto"/>
                <w:szCs w:val="21"/>
                <w:highlight w:val="none"/>
              </w:rPr>
            </w:pPr>
          </w:p>
        </w:tc>
        <w:tc>
          <w:tcPr>
            <w:tcW w:w="799" w:type="dxa"/>
            <w:vAlign w:val="center"/>
          </w:tcPr>
          <w:p w14:paraId="5C44AE93">
            <w:pPr>
              <w:jc w:val="center"/>
              <w:rPr>
                <w:rFonts w:ascii="宋体" w:hAnsi="宋体" w:eastAsia="宋体"/>
                <w:color w:val="auto"/>
                <w:szCs w:val="21"/>
                <w:highlight w:val="none"/>
              </w:rPr>
            </w:pPr>
          </w:p>
        </w:tc>
      </w:tr>
      <w:tr w14:paraId="7F0F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4C4F4994">
            <w:pPr>
              <w:jc w:val="center"/>
              <w:rPr>
                <w:rFonts w:ascii="宋体" w:hAnsi="宋体" w:eastAsia="宋体"/>
                <w:color w:val="auto"/>
                <w:szCs w:val="21"/>
                <w:highlight w:val="none"/>
              </w:rPr>
            </w:pPr>
          </w:p>
        </w:tc>
        <w:tc>
          <w:tcPr>
            <w:tcW w:w="1111" w:type="dxa"/>
            <w:vAlign w:val="center"/>
          </w:tcPr>
          <w:p w14:paraId="6769A673">
            <w:pPr>
              <w:jc w:val="center"/>
              <w:rPr>
                <w:rFonts w:ascii="宋体" w:hAnsi="宋体" w:eastAsia="宋体"/>
                <w:color w:val="auto"/>
                <w:szCs w:val="21"/>
                <w:highlight w:val="none"/>
              </w:rPr>
            </w:pPr>
          </w:p>
        </w:tc>
        <w:tc>
          <w:tcPr>
            <w:tcW w:w="881" w:type="dxa"/>
            <w:vAlign w:val="center"/>
          </w:tcPr>
          <w:p w14:paraId="1B1CD4D9">
            <w:pPr>
              <w:jc w:val="center"/>
              <w:rPr>
                <w:rFonts w:ascii="宋体" w:hAnsi="宋体" w:eastAsia="宋体"/>
                <w:color w:val="auto"/>
                <w:szCs w:val="21"/>
                <w:highlight w:val="none"/>
              </w:rPr>
            </w:pPr>
          </w:p>
        </w:tc>
        <w:tc>
          <w:tcPr>
            <w:tcW w:w="1067" w:type="dxa"/>
            <w:vAlign w:val="center"/>
          </w:tcPr>
          <w:p w14:paraId="7BCC0A30">
            <w:pPr>
              <w:jc w:val="center"/>
              <w:rPr>
                <w:rFonts w:ascii="宋体" w:hAnsi="宋体" w:eastAsia="宋体"/>
                <w:color w:val="auto"/>
                <w:szCs w:val="21"/>
                <w:highlight w:val="none"/>
              </w:rPr>
            </w:pPr>
          </w:p>
        </w:tc>
        <w:tc>
          <w:tcPr>
            <w:tcW w:w="741" w:type="dxa"/>
            <w:vAlign w:val="center"/>
          </w:tcPr>
          <w:p w14:paraId="07B6A418">
            <w:pPr>
              <w:jc w:val="center"/>
              <w:rPr>
                <w:rFonts w:ascii="宋体" w:hAnsi="宋体" w:eastAsia="宋体"/>
                <w:color w:val="auto"/>
                <w:szCs w:val="21"/>
                <w:highlight w:val="none"/>
              </w:rPr>
            </w:pPr>
          </w:p>
        </w:tc>
        <w:tc>
          <w:tcPr>
            <w:tcW w:w="741" w:type="dxa"/>
            <w:vAlign w:val="center"/>
          </w:tcPr>
          <w:p w14:paraId="3DEC400B">
            <w:pPr>
              <w:jc w:val="center"/>
              <w:rPr>
                <w:rFonts w:ascii="宋体" w:hAnsi="宋体" w:eastAsia="宋体"/>
                <w:color w:val="auto"/>
                <w:szCs w:val="21"/>
                <w:highlight w:val="none"/>
              </w:rPr>
            </w:pPr>
          </w:p>
        </w:tc>
        <w:tc>
          <w:tcPr>
            <w:tcW w:w="1229" w:type="dxa"/>
            <w:vAlign w:val="center"/>
          </w:tcPr>
          <w:p w14:paraId="70704160">
            <w:pPr>
              <w:jc w:val="center"/>
              <w:rPr>
                <w:rFonts w:ascii="宋体" w:hAnsi="宋体" w:eastAsia="宋体"/>
                <w:color w:val="auto"/>
                <w:szCs w:val="21"/>
                <w:highlight w:val="none"/>
              </w:rPr>
            </w:pPr>
          </w:p>
        </w:tc>
        <w:tc>
          <w:tcPr>
            <w:tcW w:w="910" w:type="dxa"/>
            <w:vAlign w:val="center"/>
          </w:tcPr>
          <w:p w14:paraId="69993A6C">
            <w:pPr>
              <w:jc w:val="center"/>
              <w:rPr>
                <w:rFonts w:ascii="宋体" w:hAnsi="宋体" w:eastAsia="宋体"/>
                <w:color w:val="auto"/>
                <w:szCs w:val="21"/>
                <w:highlight w:val="none"/>
              </w:rPr>
            </w:pPr>
          </w:p>
        </w:tc>
        <w:tc>
          <w:tcPr>
            <w:tcW w:w="910" w:type="dxa"/>
            <w:vAlign w:val="center"/>
          </w:tcPr>
          <w:p w14:paraId="12531AA1">
            <w:pPr>
              <w:jc w:val="center"/>
              <w:rPr>
                <w:rFonts w:ascii="宋体" w:hAnsi="宋体" w:eastAsia="宋体"/>
                <w:color w:val="auto"/>
                <w:szCs w:val="21"/>
                <w:highlight w:val="none"/>
              </w:rPr>
            </w:pPr>
          </w:p>
        </w:tc>
        <w:tc>
          <w:tcPr>
            <w:tcW w:w="799" w:type="dxa"/>
            <w:vAlign w:val="center"/>
          </w:tcPr>
          <w:p w14:paraId="733924F5">
            <w:pPr>
              <w:jc w:val="center"/>
              <w:rPr>
                <w:rFonts w:ascii="宋体" w:hAnsi="宋体" w:eastAsia="宋体"/>
                <w:color w:val="auto"/>
                <w:szCs w:val="21"/>
                <w:highlight w:val="none"/>
              </w:rPr>
            </w:pPr>
          </w:p>
        </w:tc>
      </w:tr>
    </w:tbl>
    <w:p w14:paraId="066007F7">
      <w:pPr>
        <w:spacing w:line="360" w:lineRule="auto"/>
        <w:ind w:firstLine="480" w:firstLineChars="200"/>
        <w:rPr>
          <w:rFonts w:ascii="宋体" w:hAnsi="宋体"/>
          <w:color w:val="auto"/>
          <w:sz w:val="24"/>
          <w:highlight w:val="none"/>
        </w:rPr>
      </w:pPr>
    </w:p>
    <w:p w14:paraId="4AF286D3">
      <w:pPr>
        <w:rPr>
          <w:color w:val="auto"/>
          <w:highlight w:val="none"/>
        </w:rPr>
      </w:pPr>
    </w:p>
    <w:p w14:paraId="42333289">
      <w:pPr>
        <w:spacing w:before="60" w:after="60" w:line="340" w:lineRule="exact"/>
        <w:ind w:firstLine="480" w:firstLineChars="200"/>
        <w:rPr>
          <w:color w:val="auto"/>
          <w:sz w:val="24"/>
          <w:highlight w:val="none"/>
        </w:rPr>
      </w:pPr>
    </w:p>
    <w:p w14:paraId="1E5BD57D">
      <w:pPr>
        <w:rPr>
          <w:color w:val="auto"/>
          <w:highlight w:val="none"/>
        </w:rPr>
      </w:pPr>
    </w:p>
    <w:p w14:paraId="5248C21D">
      <w:pPr>
        <w:rPr>
          <w:color w:val="auto"/>
          <w:highlight w:val="none"/>
        </w:rPr>
      </w:pPr>
    </w:p>
    <w:bookmarkEnd w:id="307"/>
    <w:bookmarkEnd w:id="308"/>
    <w:p w14:paraId="7EC4179C">
      <w:pPr>
        <w:pStyle w:val="2"/>
        <w:jc w:val="center"/>
        <w:rPr>
          <w:rFonts w:ascii="Times New Roman" w:hAnsi="宋体" w:eastAsia="宋体"/>
          <w:color w:val="auto"/>
          <w:sz w:val="32"/>
          <w:highlight w:val="none"/>
        </w:rPr>
      </w:pPr>
      <w:bookmarkStart w:id="314" w:name="_Toc383175528"/>
      <w:bookmarkStart w:id="315" w:name="_Toc86124091"/>
      <w:r>
        <w:rPr>
          <w:rFonts w:hint="eastAsia" w:ascii="Times New Roman" w:hAnsi="宋体" w:eastAsia="宋体"/>
          <w:color w:val="auto"/>
          <w:sz w:val="32"/>
          <w:highlight w:val="none"/>
        </w:rPr>
        <w:t>第五章</w:t>
      </w:r>
      <w:r>
        <w:rPr>
          <w:rFonts w:ascii="Times New Roman" w:hAnsi="宋体" w:eastAsia="宋体"/>
          <w:color w:val="auto"/>
          <w:sz w:val="32"/>
          <w:highlight w:val="none"/>
        </w:rPr>
        <w:t xml:space="preserve">  </w:t>
      </w:r>
      <w:bookmarkEnd w:id="314"/>
      <w:bookmarkEnd w:id="315"/>
      <w:r>
        <w:rPr>
          <w:rFonts w:hint="eastAsia" w:ascii="Times New Roman" w:hAnsi="宋体" w:eastAsia="宋体"/>
          <w:color w:val="auto"/>
          <w:sz w:val="32"/>
          <w:highlight w:val="none"/>
        </w:rPr>
        <w:t>项目需求</w:t>
      </w:r>
      <w:bookmarkStart w:id="316" w:name="_Toc383175529"/>
      <w:bookmarkStart w:id="317" w:name="_Toc86124092"/>
    </w:p>
    <w:p w14:paraId="261D7E32">
      <w:pPr>
        <w:spacing w:line="360" w:lineRule="auto"/>
        <w:jc w:val="center"/>
        <w:rPr>
          <w:rFonts w:hAnsi="宋体" w:cs="宋体"/>
          <w:b/>
          <w:color w:val="auto"/>
          <w:kern w:val="0"/>
          <w:sz w:val="27"/>
          <w:szCs w:val="21"/>
          <w:highlight w:val="none"/>
        </w:rPr>
      </w:pPr>
      <w:r>
        <w:rPr>
          <w:rFonts w:hint="eastAsia" w:hAnsi="宋体" w:cs="宋体"/>
          <w:b/>
          <w:color w:val="auto"/>
          <w:kern w:val="0"/>
          <w:sz w:val="27"/>
          <w:szCs w:val="21"/>
          <w:highlight w:val="none"/>
        </w:rPr>
        <w:t>第一节  项目基本情况</w:t>
      </w:r>
    </w:p>
    <w:p w14:paraId="10FD173B">
      <w:pPr>
        <w:spacing w:line="360" w:lineRule="auto"/>
        <w:ind w:firstLine="420" w:firstLineChars="200"/>
        <w:rPr>
          <w:rFonts w:hAnsi="宋体" w:cs="宋体"/>
          <w:b/>
          <w:color w:val="auto"/>
          <w:kern w:val="0"/>
          <w:szCs w:val="21"/>
          <w:highlight w:val="none"/>
        </w:rPr>
      </w:pPr>
      <w:r>
        <w:rPr>
          <w:rFonts w:hint="eastAsia" w:ascii="宋体" w:hAnsi="宋体"/>
          <w:b w:val="0"/>
          <w:bCs w:val="0"/>
          <w:color w:val="auto"/>
          <w:szCs w:val="21"/>
          <w:highlight w:val="none"/>
        </w:rPr>
        <w:t>一、</w:t>
      </w:r>
      <w:r>
        <w:rPr>
          <w:rFonts w:hint="eastAsia" w:hAnsi="宋体" w:cs="宋体"/>
          <w:b w:val="0"/>
          <w:bCs w:val="0"/>
          <w:color w:val="auto"/>
          <w:kern w:val="0"/>
          <w:szCs w:val="21"/>
          <w:highlight w:val="none"/>
        </w:rPr>
        <w:t>项目基本情况</w:t>
      </w:r>
    </w:p>
    <w:p w14:paraId="59125D03">
      <w:pPr>
        <w:spacing w:line="440" w:lineRule="exact"/>
        <w:ind w:firstLine="420" w:firstLineChars="200"/>
        <w:rPr>
          <w:rFonts w:ascii="宋体" w:hAnsi="宋体" w:cs="宋体"/>
          <w:color w:val="auto"/>
          <w:kern w:val="0"/>
          <w:highlight w:val="none"/>
        </w:rPr>
      </w:pPr>
      <w:r>
        <w:rPr>
          <w:rFonts w:hint="eastAsia" w:ascii="宋体" w:hAnsi="宋体" w:cs="宋体"/>
          <w:color w:val="auto"/>
          <w:kern w:val="0"/>
          <w:highlight w:val="none"/>
        </w:rPr>
        <w:t>1.项目概况</w:t>
      </w:r>
    </w:p>
    <w:p w14:paraId="01A6EADA">
      <w:pPr>
        <w:widowControl/>
        <w:spacing w:line="510" w:lineRule="exact"/>
        <w:ind w:firstLine="424" w:firstLineChars="202"/>
        <w:rPr>
          <w:rFonts w:hint="eastAsia" w:ascii="宋体" w:hAnsi="宋体" w:cs="宋体"/>
          <w:color w:val="auto"/>
          <w:kern w:val="0"/>
          <w:highlight w:val="none"/>
          <w:lang w:eastAsia="zh-CN"/>
        </w:rPr>
      </w:pPr>
      <w:r>
        <w:rPr>
          <w:rFonts w:hint="eastAsia" w:ascii="宋体" w:hAnsi="宋体" w:cs="宋体"/>
          <w:color w:val="auto"/>
          <w:kern w:val="0"/>
          <w:highlight w:val="none"/>
        </w:rPr>
        <w:t>项目名称:</w:t>
      </w:r>
      <w:r>
        <w:rPr>
          <w:rFonts w:hint="eastAsia" w:ascii="宋体" w:hAnsi="宋体" w:cs="宋体"/>
          <w:color w:val="auto"/>
          <w:kern w:val="0"/>
          <w:highlight w:val="none"/>
          <w:lang w:eastAsia="zh-CN"/>
        </w:rPr>
        <w:t>碧寨乡水库垭口至庙房垭口农村公路建设项目</w:t>
      </w:r>
    </w:p>
    <w:p w14:paraId="75BCD6D0">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2.采购方式：竞争性磋商</w:t>
      </w:r>
    </w:p>
    <w:p w14:paraId="3A84E270">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w:t>
      </w:r>
      <w:r>
        <w:rPr>
          <w:rFonts w:ascii="宋体" w:hAnsi="宋体" w:cs="宋体"/>
          <w:color w:val="auto"/>
          <w:kern w:val="0"/>
          <w:highlight w:val="none"/>
        </w:rPr>
        <w:t>.预算金额：</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3200000.00</w:t>
      </w:r>
      <w:r>
        <w:rPr>
          <w:rFonts w:ascii="宋体" w:hAnsi="宋体" w:cs="宋体"/>
          <w:color w:val="auto"/>
          <w:kern w:val="0"/>
          <w:highlight w:val="none"/>
        </w:rPr>
        <w:t>元</w:t>
      </w:r>
    </w:p>
    <w:p w14:paraId="470B1DC7">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4.最高限价：¥</w:t>
      </w:r>
      <w:r>
        <w:rPr>
          <w:rFonts w:hint="eastAsia" w:ascii="宋体" w:hAnsi="宋体" w:cs="宋体"/>
          <w:color w:val="auto"/>
          <w:kern w:val="0"/>
          <w:highlight w:val="none"/>
          <w:lang w:eastAsia="zh-CN"/>
        </w:rPr>
        <w:t>3144204.51</w:t>
      </w:r>
      <w:r>
        <w:rPr>
          <w:rFonts w:ascii="宋体" w:hAnsi="宋体" w:cs="宋体"/>
          <w:color w:val="auto"/>
          <w:kern w:val="0"/>
          <w:highlight w:val="none"/>
        </w:rPr>
        <w:t>元</w:t>
      </w:r>
    </w:p>
    <w:p w14:paraId="3B1658E8">
      <w:pPr>
        <w:widowControl/>
        <w:spacing w:line="510" w:lineRule="exact"/>
        <w:ind w:firstLine="424" w:firstLineChars="202"/>
        <w:rPr>
          <w:rFonts w:hint="eastAsia" w:ascii="宋体" w:hAnsi="宋体" w:cs="宋体"/>
          <w:color w:val="auto"/>
          <w:kern w:val="0"/>
          <w:highlight w:val="none"/>
          <w:lang w:eastAsia="zh-CN"/>
        </w:rPr>
      </w:pPr>
      <w:r>
        <w:rPr>
          <w:rFonts w:hint="eastAsia" w:ascii="宋体" w:hAnsi="宋体" w:cs="宋体"/>
          <w:color w:val="auto"/>
          <w:kern w:val="0"/>
          <w:highlight w:val="none"/>
        </w:rPr>
        <w:t>5</w:t>
      </w:r>
      <w:r>
        <w:rPr>
          <w:rFonts w:ascii="宋体" w:hAnsi="宋体" w:cs="宋体"/>
          <w:color w:val="auto"/>
          <w:kern w:val="0"/>
          <w:highlight w:val="none"/>
        </w:rPr>
        <w:t>.采购需求：</w:t>
      </w:r>
      <w:r>
        <w:rPr>
          <w:rFonts w:hint="eastAsia" w:ascii="宋体" w:hAnsi="宋体" w:cs="宋体"/>
          <w:color w:val="auto"/>
          <w:kern w:val="0"/>
          <w:highlight w:val="none"/>
          <w:lang w:eastAsia="zh-CN"/>
        </w:rPr>
        <w:t>规划新建道路1条，总长3.58公里，拟建路基宽度 6.0米，路面宽度 4.5米，路面结构采用 20cm厚级配碎石基层+20cm厚 C30混凝土面层，配套完善路基排水、边坡防护等附属工程。具体建设内容以设计图纸（如有）及工程量清单公布内容为准（另有说明的除外）。</w:t>
      </w:r>
    </w:p>
    <w:p w14:paraId="7C067C39">
      <w:pPr>
        <w:spacing w:line="440" w:lineRule="exact"/>
        <w:jc w:val="center"/>
        <w:rPr>
          <w:rFonts w:asciiTheme="minorEastAsia" w:hAnsiTheme="minorEastAsia" w:eastAsiaTheme="minorEastAsia"/>
          <w:color w:val="auto"/>
          <w:szCs w:val="21"/>
          <w:highlight w:val="none"/>
        </w:rPr>
      </w:pPr>
      <w:r>
        <w:rPr>
          <w:rFonts w:hint="eastAsia" w:hAnsi="宋体" w:cs="宋体"/>
          <w:b/>
          <w:color w:val="auto"/>
          <w:kern w:val="0"/>
          <w:sz w:val="27"/>
          <w:szCs w:val="21"/>
          <w:highlight w:val="none"/>
        </w:rPr>
        <w:t>第二节  项目采购需求</w:t>
      </w:r>
    </w:p>
    <w:p w14:paraId="56675C0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一、采购标的需实现的功能或者目标，以及为落实政府采购政策需满足的要求。</w:t>
      </w:r>
    </w:p>
    <w:p w14:paraId="4836DD2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根据《中华人民共和国政府采购法》、《中华人民共和国政府采购法实施条例》及相关法律法规的规定。</w:t>
      </w:r>
    </w:p>
    <w:p w14:paraId="0FE2115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本项目执行《政府采购促进中小企业发展暂行办法》的规定。</w:t>
      </w:r>
    </w:p>
    <w:p w14:paraId="345441D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二、采购标的需执行的国家相关标准、行业标准、地方标准或者其他标准、规范。</w:t>
      </w:r>
    </w:p>
    <w:p w14:paraId="020DB6E0">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碧寨乡水库垭口至庙房垭口农村公路建设项目</w:t>
      </w:r>
      <w:r>
        <w:rPr>
          <w:rFonts w:hint="eastAsia" w:asciiTheme="minorEastAsia" w:hAnsiTheme="minorEastAsia" w:eastAsiaTheme="minorEastAsia"/>
          <w:color w:val="auto"/>
          <w:szCs w:val="21"/>
          <w:highlight w:val="none"/>
        </w:rPr>
        <w:t>》实施符合采购项目涉及的不同专业的现行行业标准及规范规定的质量标准，一次性验收合格。</w:t>
      </w:r>
    </w:p>
    <w:p w14:paraId="3D4A9124">
      <w:pPr>
        <w:spacing w:line="360" w:lineRule="auto"/>
        <w:ind w:firstLine="420" w:firstLineChars="200"/>
        <w:rPr>
          <w:rFonts w:hint="eastAsia" w:cs="Times New Roman" w:asciiTheme="minorEastAsia" w:hAnsiTheme="minorEastAsia" w:eastAsiaTheme="minorEastAsia"/>
          <w:color w:val="auto"/>
          <w:szCs w:val="21"/>
          <w:highlight w:val="none"/>
          <w:lang w:eastAsia="zh-CN"/>
        </w:rPr>
      </w:pPr>
      <w:r>
        <w:rPr>
          <w:rFonts w:hint="eastAsia" w:cs="Times New Roman" w:asciiTheme="minorEastAsia" w:hAnsiTheme="minorEastAsia" w:eastAsiaTheme="minorEastAsia"/>
          <w:color w:val="auto"/>
          <w:szCs w:val="21"/>
          <w:highlight w:val="none"/>
          <w:lang w:eastAsia="zh-CN"/>
        </w:rPr>
        <w:t>磋商申请人编制的工程量清单报价文件应执行现行中华人民共和国国家标准以及国家、省、市有关工程量清单编制的政府指导性文件等现行文件规定。</w:t>
      </w:r>
    </w:p>
    <w:p w14:paraId="587CD2C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三、采购标的需满足的质量、安全、技术规格、物理特性等要求：详见设计施工说明</w:t>
      </w:r>
    </w:p>
    <w:p w14:paraId="267AA890">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四</w:t>
      </w:r>
      <w:r>
        <w:rPr>
          <w:rFonts w:hint="eastAsia" w:asciiTheme="minorEastAsia" w:hAnsiTheme="minorEastAsia" w:eastAsiaTheme="minorEastAsia"/>
          <w:color w:val="auto"/>
          <w:szCs w:val="21"/>
          <w:highlight w:val="none"/>
        </w:rPr>
        <w:t>、采购标的需满足的服务标准、期限、效率等要求。</w:t>
      </w:r>
    </w:p>
    <w:p w14:paraId="6AD32FD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现场踏勘：拟承包单位</w:t>
      </w:r>
      <w:r>
        <w:rPr>
          <w:rFonts w:hint="eastAsia" w:asciiTheme="minorEastAsia" w:hAnsiTheme="minorEastAsia" w:eastAsiaTheme="minorEastAsia"/>
          <w:color w:val="auto"/>
          <w:szCs w:val="21"/>
          <w:highlight w:val="none"/>
          <w:lang w:eastAsia="zh-CN"/>
        </w:rPr>
        <w:t>可根据自身情况</w:t>
      </w:r>
      <w:r>
        <w:rPr>
          <w:rFonts w:hint="eastAsia" w:asciiTheme="minorEastAsia" w:hAnsiTheme="minorEastAsia" w:eastAsiaTheme="minorEastAsia"/>
          <w:color w:val="auto"/>
          <w:szCs w:val="21"/>
          <w:highlight w:val="none"/>
        </w:rPr>
        <w:t>进行现场踏勘，以便获取有关编制施工方案所涉及的现场资料，现场踏勘产生的风险及相关费用由拟承包单位自行承担；踏勘地点为：项目实施地点。</w:t>
      </w:r>
    </w:p>
    <w:p w14:paraId="7D7155C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工期要求：承包单位在合同签订后须第一时间进场施工，并保证在</w:t>
      </w:r>
      <w:r>
        <w:rPr>
          <w:rFonts w:hint="eastAsia" w:asciiTheme="minorEastAsia" w:hAnsiTheme="minorEastAsia" w:eastAsiaTheme="minorEastAsia"/>
          <w:color w:val="auto"/>
          <w:szCs w:val="21"/>
          <w:highlight w:val="none"/>
          <w:lang w:eastAsia="zh-CN"/>
        </w:rPr>
        <w:t>合同签订后180个日历天内通过竣工验收交付使用</w:t>
      </w:r>
      <w:r>
        <w:rPr>
          <w:rFonts w:hint="eastAsia" w:asciiTheme="minorEastAsia" w:hAnsiTheme="minorEastAsia" w:eastAsiaTheme="minorEastAsia"/>
          <w:color w:val="auto"/>
          <w:szCs w:val="21"/>
          <w:highlight w:val="none"/>
        </w:rPr>
        <w:t>；</w:t>
      </w:r>
    </w:p>
    <w:p w14:paraId="47D5090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环境保护、安全文明建设要求：承包单位须保证施工过程中的环境保护工作，保证施工结束后的场地干净整洁；保证安全施工，不发生安全事故。</w:t>
      </w:r>
    </w:p>
    <w:p w14:paraId="4DB7707B">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五</w:t>
      </w:r>
      <w:r>
        <w:rPr>
          <w:rFonts w:hint="eastAsia" w:asciiTheme="minorEastAsia" w:hAnsiTheme="minorEastAsia" w:eastAsiaTheme="minorEastAsia"/>
          <w:color w:val="auto"/>
          <w:szCs w:val="21"/>
          <w:highlight w:val="none"/>
        </w:rPr>
        <w:t>、采购标的的验收标准。</w:t>
      </w:r>
    </w:p>
    <w:p w14:paraId="321389B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符合国家及行业现行验收规范及标准，一次性验收合格。</w:t>
      </w:r>
    </w:p>
    <w:p w14:paraId="7A8090E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六</w:t>
      </w:r>
      <w:r>
        <w:rPr>
          <w:rFonts w:hint="eastAsia" w:asciiTheme="minorEastAsia" w:hAnsiTheme="minorEastAsia" w:eastAsiaTheme="minorEastAsia"/>
          <w:color w:val="auto"/>
          <w:szCs w:val="21"/>
          <w:highlight w:val="none"/>
        </w:rPr>
        <w:t>、采购标的的其他技术、服务等要求。</w:t>
      </w:r>
    </w:p>
    <w:p w14:paraId="7E4D568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1、施工单位须在中国境内注册，具有独立承担民事责任的能力，符合《中华人民共和国政府采购法》第二十二条的规定以及建设工程的相关法律法规。</w:t>
      </w:r>
    </w:p>
    <w:p w14:paraId="24F20409">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2.项目开展实施符合相关国家及地方的政策法规。</w:t>
      </w:r>
    </w:p>
    <w:p w14:paraId="5AC233F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七</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工程量清单</w:t>
      </w:r>
    </w:p>
    <w:p w14:paraId="6A90999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eastAsia="zh-CN"/>
        </w:rPr>
        <w:t>详见固化工程量清单</w:t>
      </w:r>
      <w:r>
        <w:rPr>
          <w:rFonts w:ascii="宋体" w:hAnsi="宋体"/>
          <w:color w:val="auto"/>
          <w:szCs w:val="21"/>
          <w:highlight w:val="none"/>
        </w:rPr>
        <w:t>。</w:t>
      </w:r>
    </w:p>
    <w:p w14:paraId="0114976C">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八</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设计要求详见设计图纸</w:t>
      </w:r>
      <w:r>
        <w:rPr>
          <w:rFonts w:hint="eastAsia" w:asciiTheme="minorEastAsia" w:hAnsiTheme="minorEastAsia" w:eastAsiaTheme="minorEastAsia"/>
          <w:color w:val="auto"/>
          <w:szCs w:val="21"/>
          <w:highlight w:val="none"/>
          <w:lang w:eastAsia="zh-CN"/>
        </w:rPr>
        <w:t>（如有）</w:t>
      </w:r>
    </w:p>
    <w:p w14:paraId="60460A25">
      <w:pPr>
        <w:spacing w:line="360" w:lineRule="auto"/>
        <w:ind w:firstLine="420" w:firstLineChars="200"/>
        <w:rPr>
          <w:rFonts w:ascii="宋体" w:hAnsi="宋体"/>
          <w:color w:val="auto"/>
          <w:szCs w:val="21"/>
          <w:highlight w:val="none"/>
        </w:rPr>
      </w:pPr>
    </w:p>
    <w:p w14:paraId="059B8183">
      <w:pPr>
        <w:spacing w:line="360" w:lineRule="auto"/>
        <w:rPr>
          <w:b/>
          <w:color w:val="auto"/>
          <w:szCs w:val="21"/>
          <w:highlight w:val="none"/>
        </w:rPr>
      </w:pPr>
    </w:p>
    <w:p w14:paraId="6803AE58">
      <w:pPr>
        <w:spacing w:line="360" w:lineRule="auto"/>
        <w:rPr>
          <w:b/>
          <w:color w:val="auto"/>
          <w:szCs w:val="21"/>
          <w:highlight w:val="none"/>
        </w:rPr>
        <w:sectPr>
          <w:pgSz w:w="11906" w:h="16838"/>
          <w:pgMar w:top="936" w:right="1134" w:bottom="1089" w:left="1134" w:header="510" w:footer="680" w:gutter="0"/>
          <w:pgNumType w:fmt="decimal"/>
          <w:cols w:space="720" w:num="1"/>
          <w:titlePg/>
          <w:docGrid w:type="lines" w:linePitch="312" w:charSpace="0"/>
        </w:sectPr>
      </w:pPr>
    </w:p>
    <w:p w14:paraId="1EE1595A">
      <w:pPr>
        <w:spacing w:line="360" w:lineRule="auto"/>
        <w:jc w:val="center"/>
        <w:rPr>
          <w:rFonts w:ascii="宋体"/>
          <w:b/>
          <w:bCs/>
          <w:color w:val="auto"/>
          <w:sz w:val="36"/>
          <w:szCs w:val="32"/>
          <w:highlight w:val="none"/>
        </w:rPr>
      </w:pPr>
      <w:r>
        <w:rPr>
          <w:rFonts w:hint="eastAsia" w:hAnsi="宋体"/>
          <w:b/>
          <w:color w:val="auto"/>
          <w:sz w:val="32"/>
          <w:highlight w:val="none"/>
        </w:rPr>
        <w:t>第六章</w:t>
      </w:r>
      <w:r>
        <w:rPr>
          <w:rFonts w:hint="eastAsia" w:hAnsi="宋体"/>
          <w:b/>
          <w:color w:val="auto"/>
          <w:sz w:val="32"/>
          <w:highlight w:val="none"/>
          <w:lang w:val="en-US" w:eastAsia="zh-CN"/>
        </w:rPr>
        <w:t xml:space="preserve">   </w:t>
      </w:r>
      <w:r>
        <w:rPr>
          <w:rFonts w:hint="eastAsia" w:hAnsi="宋体"/>
          <w:b/>
          <w:color w:val="auto"/>
          <w:sz w:val="32"/>
          <w:highlight w:val="none"/>
        </w:rPr>
        <w:t>磋商程序和方法</w:t>
      </w:r>
      <w:bookmarkEnd w:id="316"/>
      <w:bookmarkEnd w:id="317"/>
    </w:p>
    <w:p w14:paraId="1663B9C5">
      <w:pPr>
        <w:pStyle w:val="3"/>
        <w:spacing w:before="0"/>
        <w:rPr>
          <w:rFonts w:hint="eastAsia" w:ascii="Times New Roman" w:hAnsi="Times New Roman"/>
          <w:color w:val="auto"/>
          <w:szCs w:val="28"/>
          <w:highlight w:val="none"/>
        </w:rPr>
      </w:pPr>
      <w:bookmarkStart w:id="318" w:name="_Toc383175530"/>
      <w:bookmarkStart w:id="319" w:name="_Toc86124093"/>
      <w:bookmarkStart w:id="320" w:name="_Toc191374457"/>
      <w:r>
        <w:rPr>
          <w:rFonts w:hint="eastAsia" w:ascii="Times New Roman" w:hAnsi="Times New Roman"/>
          <w:color w:val="auto"/>
          <w:szCs w:val="28"/>
          <w:highlight w:val="none"/>
        </w:rPr>
        <w:t>磋商程序和方法前附表</w:t>
      </w:r>
      <w:bookmarkEnd w:id="318"/>
      <w:bookmarkEnd w:id="319"/>
      <w:bookmarkEnd w:id="320"/>
    </w:p>
    <w:p w14:paraId="5DD7CFFC">
      <w:pPr>
        <w:rPr>
          <w:rFonts w:hint="eastAsia"/>
          <w:b/>
          <w:bCs/>
          <w:color w:val="auto"/>
          <w:sz w:val="24"/>
          <w:szCs w:val="32"/>
          <w:highlight w:val="none"/>
        </w:rPr>
      </w:pPr>
      <w:r>
        <w:rPr>
          <w:rFonts w:hint="eastAsia"/>
          <w:b/>
          <w:bCs/>
          <w:color w:val="auto"/>
          <w:sz w:val="24"/>
          <w:szCs w:val="32"/>
          <w:highlight w:val="none"/>
        </w:rPr>
        <w:t>一、资格审查表</w:t>
      </w:r>
    </w:p>
    <w:tbl>
      <w:tblPr>
        <w:tblStyle w:val="51"/>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5582"/>
        <w:gridCol w:w="2710"/>
      </w:tblGrid>
      <w:tr w14:paraId="2151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0010" w:type="dxa"/>
            <w:gridSpan w:val="3"/>
            <w:noWrap/>
            <w:vAlign w:val="center"/>
          </w:tcPr>
          <w:p w14:paraId="5CDB9D31">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磋商申请人资格审查内容及相关因素</w:t>
            </w:r>
          </w:p>
        </w:tc>
      </w:tr>
      <w:tr w14:paraId="04917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718" w:type="dxa"/>
            <w:noWrap/>
            <w:vAlign w:val="center"/>
          </w:tcPr>
          <w:p w14:paraId="070378EC">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内容</w:t>
            </w:r>
          </w:p>
        </w:tc>
        <w:tc>
          <w:tcPr>
            <w:tcW w:w="8292" w:type="dxa"/>
            <w:gridSpan w:val="2"/>
            <w:noWrap/>
            <w:vAlign w:val="center"/>
          </w:tcPr>
          <w:p w14:paraId="32741D70">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r>
      <w:tr w14:paraId="050E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1718" w:type="dxa"/>
            <w:vMerge w:val="restart"/>
            <w:noWrap/>
            <w:vAlign w:val="center"/>
          </w:tcPr>
          <w:p w14:paraId="41B322E0">
            <w:pPr>
              <w:widowControl/>
              <w:spacing w:line="380" w:lineRule="exact"/>
              <w:jc w:val="left"/>
              <w:rPr>
                <w:rFonts w:hint="eastAsia" w:ascii="宋体" w:hAnsi="宋体" w:eastAsia="宋体" w:cs="宋体"/>
                <w:color w:val="auto"/>
                <w:szCs w:val="21"/>
                <w:highlight w:val="none"/>
              </w:rPr>
            </w:pPr>
            <w:r>
              <w:rPr>
                <w:rFonts w:hint="eastAsia" w:ascii="宋体" w:hAnsi="宋体" w:cs="宋体"/>
                <w:color w:val="auto"/>
                <w:szCs w:val="21"/>
                <w:highlight w:val="none"/>
                <w:shd w:val="clear" w:color="auto" w:fill="FFFFFF"/>
                <w:lang w:eastAsia="zh-CN"/>
              </w:rPr>
              <w:t xml:space="preserve"> </w:t>
            </w:r>
            <w:r>
              <w:rPr>
                <w:rFonts w:hint="eastAsia" w:ascii="宋体" w:hAnsi="宋体" w:eastAsia="宋体" w:cs="宋体"/>
                <w:color w:val="auto"/>
                <w:szCs w:val="21"/>
                <w:highlight w:val="none"/>
                <w:shd w:val="clear" w:color="auto" w:fill="FFFFFF"/>
              </w:rPr>
              <w:t>磋商申请人应具有独立承担民事责任的能力</w:t>
            </w:r>
          </w:p>
        </w:tc>
        <w:tc>
          <w:tcPr>
            <w:tcW w:w="5582" w:type="dxa"/>
            <w:noWrap/>
            <w:vAlign w:val="center"/>
          </w:tcPr>
          <w:p w14:paraId="22072A1A">
            <w:pPr>
              <w:spacing w:line="3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有效营业执照：</w:t>
            </w:r>
            <w:r>
              <w:rPr>
                <w:rFonts w:hint="eastAsia" w:ascii="宋体" w:hAnsi="宋体" w:eastAsia="宋体" w:cs="宋体"/>
                <w:color w:val="auto"/>
                <w:szCs w:val="21"/>
                <w:highlight w:val="none"/>
              </w:rPr>
              <w:t>磋商申请人有效的</w:t>
            </w:r>
            <w:r>
              <w:rPr>
                <w:rFonts w:hint="eastAsia" w:ascii="宋体" w:hAnsi="宋体" w:eastAsia="宋体" w:cs="宋体"/>
                <w:bCs/>
                <w:color w:val="auto"/>
                <w:szCs w:val="21"/>
                <w:highlight w:val="none"/>
              </w:rPr>
              <w:t>《营业执照</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中华人民共和国组织机构代码证</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税务登记证》（或统一社会信用代码证）或其他组织证件或自然人身份证件等能证明具有独立承担民事责任能力材料</w:t>
            </w:r>
            <w:r>
              <w:rPr>
                <w:rFonts w:hint="eastAsia" w:ascii="宋体" w:hAnsi="宋体" w:eastAsia="宋体" w:cs="宋体"/>
                <w:color w:val="auto"/>
                <w:szCs w:val="21"/>
                <w:highlight w:val="none"/>
              </w:rPr>
              <w:t>。</w:t>
            </w:r>
          </w:p>
        </w:tc>
        <w:tc>
          <w:tcPr>
            <w:tcW w:w="2710" w:type="dxa"/>
            <w:noWrap/>
            <w:vAlign w:val="center"/>
          </w:tcPr>
          <w:p w14:paraId="596AD9D5">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6011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1718" w:type="dxa"/>
            <w:vMerge w:val="continue"/>
            <w:noWrap/>
            <w:vAlign w:val="center"/>
          </w:tcPr>
          <w:p w14:paraId="39D69385">
            <w:pPr>
              <w:rPr>
                <w:rFonts w:hint="eastAsia" w:ascii="宋体" w:hAnsi="宋体" w:eastAsia="宋体" w:cs="宋体"/>
                <w:color w:val="auto"/>
                <w:highlight w:val="none"/>
              </w:rPr>
            </w:pPr>
          </w:p>
        </w:tc>
        <w:tc>
          <w:tcPr>
            <w:tcW w:w="5582" w:type="dxa"/>
            <w:noWrap/>
            <w:vAlign w:val="center"/>
          </w:tcPr>
          <w:p w14:paraId="6C839C24">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法定代表人（负责人）及其身份证明。</w:t>
            </w:r>
          </w:p>
        </w:tc>
        <w:tc>
          <w:tcPr>
            <w:tcW w:w="2710" w:type="dxa"/>
            <w:noWrap/>
            <w:vAlign w:val="center"/>
          </w:tcPr>
          <w:p w14:paraId="4E8D5706">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审查法定代表人（负责人）是否与提供的营业执照载明事项保持一致及身份证有效期限</w:t>
            </w:r>
          </w:p>
        </w:tc>
      </w:tr>
      <w:tr w14:paraId="04C9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18" w:type="dxa"/>
            <w:vMerge w:val="continue"/>
            <w:noWrap/>
            <w:vAlign w:val="center"/>
          </w:tcPr>
          <w:p w14:paraId="74E07EDA">
            <w:pPr>
              <w:rPr>
                <w:rFonts w:hint="eastAsia" w:ascii="宋体" w:hAnsi="宋体" w:eastAsia="宋体" w:cs="宋体"/>
                <w:color w:val="auto"/>
                <w:highlight w:val="none"/>
              </w:rPr>
            </w:pPr>
          </w:p>
        </w:tc>
        <w:tc>
          <w:tcPr>
            <w:tcW w:w="5582" w:type="dxa"/>
            <w:noWrap/>
            <w:vAlign w:val="center"/>
          </w:tcPr>
          <w:p w14:paraId="0A89ACC4">
            <w:pPr>
              <w:spacing w:line="420" w:lineRule="exact"/>
              <w:rPr>
                <w:rFonts w:hint="eastAsia" w:ascii="宋体" w:hAnsi="宋体" w:eastAsia="宋体" w:cs="宋体"/>
                <w:b/>
                <w:color w:val="auto"/>
                <w:sz w:val="24"/>
                <w:highlight w:val="none"/>
              </w:rPr>
            </w:pPr>
            <w:r>
              <w:rPr>
                <w:rFonts w:hint="eastAsia" w:ascii="宋体" w:hAnsi="宋体" w:eastAsia="宋体" w:cs="宋体"/>
                <w:b/>
                <w:bCs/>
                <w:color w:val="auto"/>
                <w:szCs w:val="21"/>
                <w:highlight w:val="none"/>
              </w:rPr>
              <w:t>联合体：本项目不接受，磋商申请人须提供申明文件。</w:t>
            </w:r>
          </w:p>
        </w:tc>
        <w:tc>
          <w:tcPr>
            <w:tcW w:w="2710" w:type="dxa"/>
            <w:noWrap/>
            <w:vAlign w:val="center"/>
          </w:tcPr>
          <w:p w14:paraId="109AC664">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审查其是否提供，磋商申请人不是联合体的不须提供联合体协议书</w:t>
            </w:r>
          </w:p>
        </w:tc>
      </w:tr>
      <w:tr w14:paraId="185E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718" w:type="dxa"/>
            <w:vMerge w:val="restart"/>
            <w:noWrap/>
            <w:vAlign w:val="center"/>
          </w:tcPr>
          <w:p w14:paraId="287DAF81">
            <w:pPr>
              <w:spacing w:line="38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具有良好的商业信誉和健全的财务会计制度</w:t>
            </w:r>
          </w:p>
        </w:tc>
        <w:tc>
          <w:tcPr>
            <w:tcW w:w="5582" w:type="dxa"/>
            <w:noWrap/>
            <w:vAlign w:val="center"/>
          </w:tcPr>
          <w:p w14:paraId="21219B54">
            <w:pPr>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提供具有良好的商业信誉的声明函</w:t>
            </w:r>
            <w:r>
              <w:rPr>
                <w:rFonts w:hint="eastAsia" w:ascii="宋体" w:hAnsi="宋体" w:cs="宋体"/>
                <w:color w:val="auto"/>
                <w:szCs w:val="21"/>
                <w:highlight w:val="none"/>
                <w:lang w:eastAsia="zh-CN"/>
              </w:rPr>
              <w:t>。</w:t>
            </w:r>
          </w:p>
        </w:tc>
        <w:tc>
          <w:tcPr>
            <w:tcW w:w="2710" w:type="dxa"/>
            <w:noWrap/>
            <w:vAlign w:val="center"/>
          </w:tcPr>
          <w:p w14:paraId="7F98B7D9">
            <w:pPr>
              <w:spacing w:line="38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审查其是否提供，若存在不良记录的视为不合格</w:t>
            </w:r>
          </w:p>
        </w:tc>
      </w:tr>
      <w:tr w14:paraId="1F41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18" w:type="dxa"/>
            <w:vMerge w:val="continue"/>
            <w:noWrap/>
            <w:vAlign w:val="center"/>
          </w:tcPr>
          <w:p w14:paraId="3A3DA681">
            <w:pPr>
              <w:rPr>
                <w:rFonts w:hint="eastAsia" w:ascii="宋体" w:hAnsi="宋体" w:eastAsia="宋体" w:cs="宋体"/>
                <w:color w:val="auto"/>
                <w:highlight w:val="none"/>
              </w:rPr>
            </w:pPr>
          </w:p>
        </w:tc>
        <w:tc>
          <w:tcPr>
            <w:tcW w:w="5582" w:type="dxa"/>
            <w:noWrap/>
            <w:vAlign w:val="center"/>
          </w:tcPr>
          <w:p w14:paraId="4E541C3F">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提供磋商申请人</w:t>
            </w:r>
            <w:r>
              <w:rPr>
                <w:rFonts w:hint="eastAsia" w:ascii="宋体" w:hAnsi="宋体" w:cs="宋体"/>
                <w:color w:val="auto"/>
                <w:szCs w:val="21"/>
                <w:highlight w:val="none"/>
                <w:lang w:eastAsia="zh-CN"/>
              </w:rPr>
              <w:t>2024年度或2025年度</w:t>
            </w:r>
            <w:r>
              <w:rPr>
                <w:rFonts w:hint="eastAsia" w:ascii="宋体" w:hAnsi="宋体" w:eastAsia="宋体" w:cs="宋体"/>
                <w:color w:val="auto"/>
                <w:szCs w:val="21"/>
                <w:highlight w:val="none"/>
              </w:rPr>
              <w:t>经审计的财务报告；磋商申请人（含新成立的单位）无法提供</w:t>
            </w:r>
            <w:r>
              <w:rPr>
                <w:rFonts w:hint="eastAsia" w:ascii="宋体" w:hAnsi="宋体" w:cs="宋体"/>
                <w:color w:val="auto"/>
                <w:szCs w:val="21"/>
                <w:highlight w:val="none"/>
                <w:lang w:eastAsia="zh-CN"/>
              </w:rPr>
              <w:t>2024年度或2025年度</w:t>
            </w:r>
            <w:r>
              <w:rPr>
                <w:rFonts w:hint="eastAsia" w:ascii="宋体" w:hAnsi="宋体" w:eastAsia="宋体" w:cs="宋体"/>
                <w:color w:val="auto"/>
                <w:szCs w:val="21"/>
                <w:highlight w:val="none"/>
              </w:rPr>
              <w:t>经审计的财务报告的，提供银行出具的资信证明或担保机构出具的投标担保函等能证明具有健全的财务会计制度的证明材料。</w:t>
            </w:r>
          </w:p>
        </w:tc>
        <w:tc>
          <w:tcPr>
            <w:tcW w:w="2710" w:type="dxa"/>
            <w:noWrap/>
            <w:vAlign w:val="center"/>
          </w:tcPr>
          <w:p w14:paraId="46B4680C">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202A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C97633C">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tc>
        <w:tc>
          <w:tcPr>
            <w:tcW w:w="5582" w:type="dxa"/>
            <w:noWrap/>
            <w:vAlign w:val="center"/>
          </w:tcPr>
          <w:p w14:paraId="770B728A">
            <w:pPr>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提供磋商申请人2025年8月至今任意三个月份的依法缴纳税收凭证及社会保险证明材料</w:t>
            </w:r>
            <w:r>
              <w:rPr>
                <w:rFonts w:hint="eastAsia" w:ascii="宋体" w:hAnsi="宋体" w:eastAsia="宋体" w:cs="宋体"/>
                <w:color w:val="auto"/>
                <w:szCs w:val="21"/>
                <w:highlight w:val="none"/>
              </w:rPr>
              <w:t>。</w:t>
            </w:r>
          </w:p>
        </w:tc>
        <w:tc>
          <w:tcPr>
            <w:tcW w:w="2710" w:type="dxa"/>
            <w:noWrap/>
            <w:vAlign w:val="center"/>
          </w:tcPr>
          <w:p w14:paraId="3C2EB5A1">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6411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37FDD196">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tc>
        <w:tc>
          <w:tcPr>
            <w:tcW w:w="5582" w:type="dxa"/>
            <w:noWrap/>
            <w:vAlign w:val="center"/>
          </w:tcPr>
          <w:p w14:paraId="259D2416">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提供能证明其具有项目实施能力的设备清单及人员配置</w:t>
            </w:r>
            <w:r>
              <w:rPr>
                <w:rFonts w:hint="eastAsia" w:ascii="宋体" w:hAnsi="宋体" w:eastAsia="宋体" w:cs="宋体"/>
                <w:color w:val="auto"/>
                <w:szCs w:val="21"/>
                <w:highlight w:val="none"/>
                <w:lang w:val="en-US" w:eastAsia="zh-CN"/>
              </w:rPr>
              <w:t>清单或承诺</w:t>
            </w:r>
            <w:r>
              <w:rPr>
                <w:rFonts w:hint="eastAsia" w:ascii="宋体" w:hAnsi="宋体" w:eastAsia="宋体" w:cs="宋体"/>
                <w:color w:val="auto"/>
                <w:szCs w:val="21"/>
                <w:highlight w:val="none"/>
              </w:rPr>
              <w:t>。</w:t>
            </w:r>
          </w:p>
        </w:tc>
        <w:tc>
          <w:tcPr>
            <w:tcW w:w="2710" w:type="dxa"/>
            <w:noWrap/>
            <w:vAlign w:val="center"/>
          </w:tcPr>
          <w:p w14:paraId="35ED11B1">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248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1A3F09DA">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tc>
        <w:tc>
          <w:tcPr>
            <w:tcW w:w="5582" w:type="dxa"/>
            <w:noWrap/>
            <w:vAlign w:val="center"/>
          </w:tcPr>
          <w:p w14:paraId="74213027">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参加政府采购活动前3年内在经营活动中没有重大违法记录的书面声明。</w:t>
            </w:r>
          </w:p>
        </w:tc>
        <w:tc>
          <w:tcPr>
            <w:tcW w:w="2710" w:type="dxa"/>
            <w:noWrap/>
            <w:vAlign w:val="center"/>
          </w:tcPr>
          <w:p w14:paraId="5132DC64">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44B2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4C0896E0">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落实政府采购政策需满足的资格要求</w:t>
            </w:r>
          </w:p>
        </w:tc>
        <w:tc>
          <w:tcPr>
            <w:tcW w:w="5582" w:type="dxa"/>
            <w:noWrap/>
            <w:vAlign w:val="center"/>
          </w:tcPr>
          <w:p w14:paraId="4A188D94">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p>
        </w:tc>
        <w:tc>
          <w:tcPr>
            <w:tcW w:w="2710" w:type="dxa"/>
            <w:noWrap/>
            <w:vAlign w:val="center"/>
          </w:tcPr>
          <w:p w14:paraId="4A0E32A3">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审查其是否提供</w:t>
            </w:r>
          </w:p>
        </w:tc>
      </w:tr>
      <w:tr w14:paraId="1CEC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7406EFB9">
            <w:pPr>
              <w:spacing w:line="400" w:lineRule="exact"/>
              <w:rPr>
                <w:rFonts w:hint="eastAsia" w:ascii="宋体" w:hAnsi="宋体" w:eastAsia="宋体" w:cs="宋体"/>
                <w:color w:val="auto"/>
                <w:szCs w:val="21"/>
                <w:highlight w:val="none"/>
                <w:lang w:val="en-US" w:eastAsia="zh-CN"/>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1</w:t>
            </w:r>
          </w:p>
        </w:tc>
        <w:tc>
          <w:tcPr>
            <w:tcW w:w="5582" w:type="dxa"/>
            <w:noWrap/>
            <w:vAlign w:val="center"/>
          </w:tcPr>
          <w:p w14:paraId="389C091D">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拟参与本项目的磋商申请人必须具备建设主管部门颁发的公路工程施工总承包叁级及以上资质证书，并提供合法有效的安全生产许可证书（有效期内）。</w:t>
            </w:r>
          </w:p>
        </w:tc>
        <w:tc>
          <w:tcPr>
            <w:tcW w:w="2710" w:type="dxa"/>
            <w:noWrap/>
            <w:vAlign w:val="center"/>
          </w:tcPr>
          <w:p w14:paraId="56A7007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34DC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4480FD7F">
            <w:pPr>
              <w:spacing w:line="40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2</w:t>
            </w:r>
          </w:p>
        </w:tc>
        <w:tc>
          <w:tcPr>
            <w:tcW w:w="5582" w:type="dxa"/>
            <w:noWrap/>
            <w:vAlign w:val="center"/>
          </w:tcPr>
          <w:p w14:paraId="200AF01D">
            <w:pPr>
              <w:spacing w:line="400" w:lineRule="exact"/>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color w:val="auto"/>
                <w:szCs w:val="21"/>
                <w:highlight w:val="none"/>
                <w:lang w:eastAsia="zh-CN"/>
              </w:rPr>
              <w:t>拟派往本工程的项目经理须具备公路工程专业二级注册建造师及以上资格等级证书及建造师安全生产考核合格证书B证（有效期内），项目经理不得存在在建（待建）工程的情况（提供书面声明）；拟投入本工程的项目总工必须具备工程师及以上职称。</w:t>
            </w:r>
          </w:p>
        </w:tc>
        <w:tc>
          <w:tcPr>
            <w:tcW w:w="2710" w:type="dxa"/>
            <w:noWrap/>
            <w:vAlign w:val="center"/>
          </w:tcPr>
          <w:p w14:paraId="178C6E92">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审查其提供材料的完整性及有效性</w:t>
            </w:r>
          </w:p>
        </w:tc>
      </w:tr>
      <w:tr w14:paraId="207E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673C76BB">
            <w:pP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3</w:t>
            </w:r>
          </w:p>
        </w:tc>
        <w:tc>
          <w:tcPr>
            <w:tcW w:w="5582" w:type="dxa"/>
            <w:noWrap/>
            <w:vAlign w:val="center"/>
          </w:tcPr>
          <w:p w14:paraId="6F93C00D">
            <w:pPr>
              <w:spacing w:line="400" w:lineRule="exact"/>
              <w:rPr>
                <w:rFonts w:hint="eastAsia" w:ascii="宋体" w:hAnsi="宋体" w:eastAsia="宋体" w:cs="宋体"/>
                <w:color w:val="auto"/>
                <w:szCs w:val="21"/>
                <w:highlight w:val="none"/>
              </w:rPr>
            </w:pPr>
            <w:r>
              <w:rPr>
                <w:rFonts w:hint="eastAsia" w:ascii="宋体" w:hAnsi="宋体"/>
                <w:color w:val="auto"/>
                <w:szCs w:val="21"/>
                <w:highlight w:val="none"/>
              </w:rPr>
              <w:t>磋商申请人近三年内</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2023年1月1日至今</w:t>
            </w:r>
            <w:r>
              <w:rPr>
                <w:rFonts w:hint="eastAsia" w:ascii="宋体" w:hAnsi="宋体"/>
                <w:color w:val="auto"/>
                <w:szCs w:val="21"/>
                <w:highlight w:val="none"/>
                <w:lang w:eastAsia="zh-CN"/>
              </w:rPr>
              <w:t>）具有至少</w:t>
            </w:r>
            <w:r>
              <w:rPr>
                <w:rFonts w:hint="eastAsia" w:ascii="宋体" w:hAnsi="宋体"/>
                <w:color w:val="auto"/>
                <w:szCs w:val="21"/>
                <w:highlight w:val="none"/>
                <w:lang w:val="en-US" w:eastAsia="zh-CN"/>
              </w:rPr>
              <w:t>1项公路工程施工项目业绩，类似项目业绩证明材料须提供中标通知书或合同协议书等，新成立不足1年的企业业绩不做要求（如企业新增公路工程施工总承包资质不足1年，可视为新成立企业，但必须提供相关资质增项的证明材料）。（公路工程包括：公路工程、桥梁工程、公路与桥梁工程、交通土建、隧道（地下结构）工程、交通工程等。）</w:t>
            </w:r>
          </w:p>
        </w:tc>
        <w:tc>
          <w:tcPr>
            <w:tcW w:w="2710" w:type="dxa"/>
            <w:noWrap/>
            <w:vAlign w:val="center"/>
          </w:tcPr>
          <w:p w14:paraId="0060743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w:t>
            </w:r>
            <w:r>
              <w:rPr>
                <w:rFonts w:hint="eastAsia" w:ascii="宋体" w:hAnsi="宋体" w:eastAsia="宋体" w:cs="宋体"/>
                <w:color w:val="auto"/>
                <w:szCs w:val="21"/>
                <w:highlight w:val="none"/>
                <w:lang w:eastAsia="zh-CN"/>
              </w:rPr>
              <w:t>符合要求</w:t>
            </w:r>
          </w:p>
        </w:tc>
      </w:tr>
      <w:tr w14:paraId="41A5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09A9FB9">
            <w:pPr>
              <w:spacing w:line="400" w:lineRule="exact"/>
              <w:rPr>
                <w:rFonts w:hint="eastAsia" w:ascii="宋体" w:hAnsi="宋体"/>
                <w:color w:val="auto"/>
                <w:szCs w:val="21"/>
                <w:highlight w:val="none"/>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4</w:t>
            </w:r>
          </w:p>
        </w:tc>
        <w:tc>
          <w:tcPr>
            <w:tcW w:w="5582" w:type="dxa"/>
            <w:noWrap/>
            <w:vAlign w:val="center"/>
          </w:tcPr>
          <w:p w14:paraId="51B363A1">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磋商申请人在磋商响应截止日期前未被列入“信用中国”网站“失信被执行人”（中国执行信息公开网）、“重大税收违法失信主体”，未被列入中国政府采购网“政府采购严重违法失信行为信息记录名单”，由采购人及采购代理机构按照以上条款对参与磋商的各申请人的信用信息进行核查，有不良记录的磋商申请将被拒绝。</w:t>
            </w:r>
          </w:p>
        </w:tc>
        <w:tc>
          <w:tcPr>
            <w:tcW w:w="2710" w:type="dxa"/>
            <w:noWrap/>
            <w:vAlign w:val="center"/>
          </w:tcPr>
          <w:p w14:paraId="01629433">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120A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4E0FC2C">
            <w:pP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5</w:t>
            </w:r>
          </w:p>
        </w:tc>
        <w:tc>
          <w:tcPr>
            <w:tcW w:w="5582" w:type="dxa"/>
            <w:noWrap/>
            <w:vAlign w:val="center"/>
          </w:tcPr>
          <w:p w14:paraId="1DFE0691">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单位负责人为同一人或者存在直接控股、管理关系的不同磋商申请人，不得参加同一合同项下的政府采购活动。（提供书面声明）</w:t>
            </w:r>
          </w:p>
        </w:tc>
        <w:tc>
          <w:tcPr>
            <w:tcW w:w="2710" w:type="dxa"/>
            <w:noWrap/>
            <w:vAlign w:val="center"/>
          </w:tcPr>
          <w:p w14:paraId="095B0220">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2A3A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0" w:type="dxa"/>
            <w:gridSpan w:val="3"/>
            <w:noWrap/>
            <w:vAlign w:val="center"/>
          </w:tcPr>
          <w:p w14:paraId="5756989A">
            <w:pPr>
              <w:spacing w:line="380" w:lineRule="exact"/>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特别提示：1.本表</w:t>
            </w:r>
            <w:r>
              <w:rPr>
                <w:rFonts w:hint="eastAsia" w:ascii="宋体" w:hAnsi="宋体" w:eastAsia="宋体" w:cs="宋体"/>
                <w:b w:val="0"/>
                <w:bCs w:val="0"/>
                <w:color w:val="auto"/>
                <w:szCs w:val="21"/>
                <w:highlight w:val="none"/>
              </w:rPr>
              <w:t>中所列内容均提供彩色扫描件或加盖磋商申请人行政章的复印件；</w:t>
            </w:r>
          </w:p>
          <w:p w14:paraId="126F5E04">
            <w:pPr>
              <w:spacing w:line="38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2.磋商申请须按本表要求提供能充分证明其有资格投标的证明材料；</w:t>
            </w:r>
          </w:p>
          <w:p w14:paraId="21F5C86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3.磋商申请人须对所提供的全部证明材料的真实性及合法性负全部责任；</w:t>
            </w:r>
          </w:p>
          <w:p w14:paraId="27A43FA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4.本表所列内容任何一项缺失或不通过，其参与磋商资格将被取消，只有通过资格审查的磋商申请人提交的磋商响应文件才能进入下一阶段的评审。</w:t>
            </w:r>
          </w:p>
        </w:tc>
      </w:tr>
    </w:tbl>
    <w:p w14:paraId="44C7ACE6">
      <w:pPr>
        <w:rPr>
          <w:rFonts w:hint="eastAsia" w:ascii="Times New Roman" w:hAnsi="Times New Roman"/>
          <w:color w:val="auto"/>
          <w:szCs w:val="28"/>
          <w:highlight w:val="none"/>
        </w:rPr>
      </w:pPr>
    </w:p>
    <w:p w14:paraId="3847D14E">
      <w:pPr>
        <w:rPr>
          <w:rFonts w:hint="eastAsia"/>
          <w:b/>
          <w:bCs/>
          <w:color w:val="auto"/>
          <w:sz w:val="24"/>
          <w:szCs w:val="32"/>
          <w:highlight w:val="none"/>
          <w:lang w:eastAsia="zh-CN"/>
        </w:rPr>
      </w:pPr>
    </w:p>
    <w:p w14:paraId="7DEC6FAA">
      <w:pPr>
        <w:rPr>
          <w:rFonts w:hint="eastAsia"/>
          <w:b/>
          <w:bCs/>
          <w:color w:val="auto"/>
          <w:sz w:val="24"/>
          <w:szCs w:val="32"/>
          <w:highlight w:val="none"/>
          <w:lang w:eastAsia="zh-CN"/>
        </w:rPr>
      </w:pPr>
    </w:p>
    <w:p w14:paraId="64C443C6">
      <w:pPr>
        <w:rPr>
          <w:rFonts w:hint="eastAsia"/>
          <w:b/>
          <w:bCs/>
          <w:color w:val="auto"/>
          <w:sz w:val="24"/>
          <w:szCs w:val="32"/>
          <w:highlight w:val="none"/>
          <w:lang w:eastAsia="zh-CN"/>
        </w:rPr>
      </w:pPr>
    </w:p>
    <w:p w14:paraId="3C3877DE">
      <w:pPr>
        <w:rPr>
          <w:rFonts w:hint="eastAsia"/>
          <w:b/>
          <w:bCs/>
          <w:color w:val="auto"/>
          <w:sz w:val="24"/>
          <w:szCs w:val="32"/>
          <w:highlight w:val="none"/>
          <w:lang w:eastAsia="zh-CN"/>
        </w:rPr>
      </w:pPr>
    </w:p>
    <w:p w14:paraId="0B589E8A">
      <w:pPr>
        <w:rPr>
          <w:rFonts w:hint="eastAsia"/>
          <w:b/>
          <w:bCs/>
          <w:color w:val="auto"/>
          <w:sz w:val="24"/>
          <w:szCs w:val="32"/>
          <w:highlight w:val="none"/>
          <w:lang w:eastAsia="zh-CN"/>
        </w:rPr>
      </w:pPr>
    </w:p>
    <w:p w14:paraId="24204529">
      <w:pPr>
        <w:rPr>
          <w:rFonts w:hint="eastAsia"/>
          <w:b/>
          <w:bCs/>
          <w:color w:val="auto"/>
          <w:sz w:val="24"/>
          <w:szCs w:val="32"/>
          <w:highlight w:val="none"/>
          <w:lang w:eastAsia="zh-CN"/>
        </w:rPr>
      </w:pPr>
    </w:p>
    <w:p w14:paraId="138A4EAC">
      <w:pPr>
        <w:rPr>
          <w:rFonts w:hint="eastAsia"/>
          <w:b/>
          <w:bCs/>
          <w:color w:val="auto"/>
          <w:sz w:val="24"/>
          <w:szCs w:val="32"/>
          <w:highlight w:val="none"/>
          <w:lang w:eastAsia="zh-CN"/>
        </w:rPr>
      </w:pPr>
    </w:p>
    <w:p w14:paraId="23F11241">
      <w:pPr>
        <w:rPr>
          <w:rFonts w:hint="eastAsia"/>
          <w:b/>
          <w:bCs/>
          <w:color w:val="auto"/>
          <w:sz w:val="24"/>
          <w:szCs w:val="32"/>
          <w:highlight w:val="none"/>
        </w:rPr>
      </w:pPr>
      <w:r>
        <w:rPr>
          <w:rFonts w:hint="eastAsia"/>
          <w:b/>
          <w:bCs/>
          <w:color w:val="auto"/>
          <w:sz w:val="24"/>
          <w:szCs w:val="32"/>
          <w:highlight w:val="none"/>
          <w:lang w:eastAsia="zh-CN"/>
        </w:rPr>
        <w:t>二</w:t>
      </w:r>
      <w:r>
        <w:rPr>
          <w:rFonts w:hint="eastAsia"/>
          <w:b/>
          <w:bCs/>
          <w:color w:val="auto"/>
          <w:sz w:val="24"/>
          <w:szCs w:val="32"/>
          <w:highlight w:val="none"/>
        </w:rPr>
        <w:t>、</w:t>
      </w:r>
      <w:r>
        <w:rPr>
          <w:rFonts w:hint="eastAsia"/>
          <w:b/>
          <w:bCs/>
          <w:color w:val="auto"/>
          <w:sz w:val="24"/>
          <w:szCs w:val="32"/>
          <w:highlight w:val="none"/>
          <w:lang w:eastAsia="zh-CN"/>
        </w:rPr>
        <w:t>符合性</w:t>
      </w:r>
      <w:r>
        <w:rPr>
          <w:rFonts w:hint="eastAsia"/>
          <w:b/>
          <w:bCs/>
          <w:color w:val="auto"/>
          <w:sz w:val="24"/>
          <w:szCs w:val="32"/>
          <w:highlight w:val="none"/>
        </w:rPr>
        <w:t>审查表</w:t>
      </w:r>
    </w:p>
    <w:tbl>
      <w:tblPr>
        <w:tblStyle w:val="51"/>
        <w:tblW w:w="99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7"/>
        <w:gridCol w:w="7230"/>
      </w:tblGrid>
      <w:tr w14:paraId="3B50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trPr>
        <w:tc>
          <w:tcPr>
            <w:tcW w:w="2677" w:type="dxa"/>
            <w:noWrap/>
            <w:vAlign w:val="center"/>
          </w:tcPr>
          <w:p w14:paraId="3F491820">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b/>
                <w:bCs/>
                <w:color w:val="auto"/>
                <w:highlight w:val="none"/>
              </w:rPr>
            </w:pPr>
            <w:r>
              <w:rPr>
                <w:rFonts w:hint="eastAsia" w:ascii="宋体" w:hAnsi="宋体" w:eastAsia="宋体" w:cs="宋体"/>
                <w:b/>
                <w:bCs/>
                <w:color w:val="auto"/>
                <w:highlight w:val="none"/>
              </w:rPr>
              <w:t>审 查 内 容</w:t>
            </w:r>
          </w:p>
        </w:tc>
        <w:tc>
          <w:tcPr>
            <w:tcW w:w="7230" w:type="dxa"/>
            <w:noWrap/>
            <w:vAlign w:val="center"/>
          </w:tcPr>
          <w:p w14:paraId="192AAE38">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b/>
                <w:bCs/>
                <w:color w:val="auto"/>
                <w:highlight w:val="none"/>
              </w:rPr>
            </w:pPr>
            <w:r>
              <w:rPr>
                <w:rFonts w:hint="eastAsia" w:ascii="宋体" w:hAnsi="宋体" w:eastAsia="宋体" w:cs="宋体"/>
                <w:b/>
                <w:bCs/>
                <w:color w:val="auto"/>
                <w:highlight w:val="none"/>
              </w:rPr>
              <w:t>审 查 标 准</w:t>
            </w:r>
          </w:p>
        </w:tc>
      </w:tr>
      <w:tr w14:paraId="1CF7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2677" w:type="dxa"/>
            <w:noWrap/>
            <w:vAlign w:val="center"/>
          </w:tcPr>
          <w:p w14:paraId="05409E9D">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签字、盖章</w:t>
            </w:r>
          </w:p>
        </w:tc>
        <w:tc>
          <w:tcPr>
            <w:tcW w:w="7230" w:type="dxa"/>
            <w:noWrap/>
            <w:vAlign w:val="center"/>
          </w:tcPr>
          <w:p w14:paraId="731C8FB8">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单位盖章、法定代表人（负责人）或法定代表人（负责人）授权的代理人签字或盖章，符合竞争性磋商文件要求的。</w:t>
            </w:r>
          </w:p>
        </w:tc>
      </w:tr>
      <w:tr w14:paraId="58727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02F29338">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磋商保证金</w:t>
            </w:r>
          </w:p>
        </w:tc>
        <w:tc>
          <w:tcPr>
            <w:tcW w:w="7230" w:type="dxa"/>
            <w:noWrap/>
            <w:vAlign w:val="center"/>
          </w:tcPr>
          <w:p w14:paraId="21858AB6">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必须按竞争性磋商文件第二章“磋商申请人须知”规定提交保证金；磋商保证金有效期与磋商文件有效期保持一致。</w:t>
            </w:r>
          </w:p>
        </w:tc>
      </w:tr>
      <w:tr w14:paraId="12E5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650B247C">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响应文件编制</w:t>
            </w:r>
          </w:p>
        </w:tc>
        <w:tc>
          <w:tcPr>
            <w:tcW w:w="7230" w:type="dxa"/>
            <w:noWrap/>
            <w:vAlign w:val="center"/>
          </w:tcPr>
          <w:p w14:paraId="7C7253DE">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符合磋商文件格式及资料提供的要求</w:t>
            </w:r>
            <w:r>
              <w:rPr>
                <w:rFonts w:hint="eastAsia" w:ascii="宋体" w:hAnsi="宋体" w:cs="宋体"/>
                <w:color w:val="auto"/>
                <w:szCs w:val="21"/>
                <w:highlight w:val="none"/>
                <w:lang w:eastAsia="zh-CN"/>
              </w:rPr>
              <w:t>。</w:t>
            </w:r>
          </w:p>
        </w:tc>
      </w:tr>
      <w:tr w14:paraId="3400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3FB2A239">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实质性响应</w:t>
            </w:r>
          </w:p>
        </w:tc>
        <w:tc>
          <w:tcPr>
            <w:tcW w:w="7230" w:type="dxa"/>
            <w:noWrap/>
            <w:vAlign w:val="center"/>
          </w:tcPr>
          <w:p w14:paraId="26B943AF">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磋商响应文件必须满足本项目实质性要求，实质性要求详见竞争性磋商文件“磋商申请人须知前附表：2</w:t>
            </w:r>
            <w:r>
              <w:rPr>
                <w:rFonts w:hint="eastAsia" w:ascii="宋体" w:hAnsi="宋体" w:cs="宋体"/>
                <w:color w:val="auto"/>
                <w:highlight w:val="none"/>
                <w:lang w:val="en-US" w:eastAsia="zh-CN"/>
              </w:rPr>
              <w:t>6</w:t>
            </w:r>
            <w:r>
              <w:rPr>
                <w:rFonts w:hint="eastAsia" w:ascii="宋体" w:hAnsi="宋体" w:eastAsia="宋体" w:cs="宋体"/>
                <w:color w:val="auto"/>
                <w:highlight w:val="none"/>
              </w:rPr>
              <w:t>.1条（</w:t>
            </w:r>
            <w:r>
              <w:rPr>
                <w:rFonts w:hint="eastAsia" w:ascii="宋体" w:hAnsi="宋体" w:cs="宋体"/>
                <w:color w:val="auto"/>
                <w:highlight w:val="none"/>
                <w:lang w:val="en-US" w:eastAsia="zh-CN"/>
              </w:rPr>
              <w:t>5</w:t>
            </w:r>
            <w:r>
              <w:rPr>
                <w:rFonts w:hint="eastAsia" w:ascii="宋体" w:hAnsi="宋体" w:eastAsia="宋体" w:cs="宋体"/>
                <w:color w:val="auto"/>
                <w:highlight w:val="none"/>
              </w:rPr>
              <w:t>）款”。</w:t>
            </w:r>
          </w:p>
        </w:tc>
      </w:tr>
      <w:tr w14:paraId="57A2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3FD199DF">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其他要求</w:t>
            </w:r>
          </w:p>
        </w:tc>
        <w:tc>
          <w:tcPr>
            <w:tcW w:w="7230" w:type="dxa"/>
            <w:noWrap/>
            <w:vAlign w:val="center"/>
          </w:tcPr>
          <w:p w14:paraId="2CBCFCF5">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1.竞争性磋商响应文件没有采购人不能接受的条件；</w:t>
            </w:r>
          </w:p>
          <w:p w14:paraId="19DBDD6B">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0"/>
                <w:highlight w:val="none"/>
              </w:rPr>
              <w:t>2.不符合</w:t>
            </w:r>
            <w:r>
              <w:rPr>
                <w:rFonts w:hint="eastAsia" w:ascii="宋体" w:hAnsi="宋体" w:eastAsia="宋体" w:cs="宋体"/>
                <w:color w:val="auto"/>
                <w:kern w:val="0"/>
                <w:highlight w:val="none"/>
                <w:lang w:eastAsia="zh-CN"/>
              </w:rPr>
              <w:t>法律法规</w:t>
            </w:r>
            <w:r>
              <w:rPr>
                <w:rFonts w:hint="eastAsia" w:ascii="宋体" w:hAnsi="宋体" w:eastAsia="宋体" w:cs="宋体"/>
                <w:color w:val="auto"/>
                <w:kern w:val="0"/>
                <w:highlight w:val="none"/>
              </w:rPr>
              <w:t>和竞争性磋商文件中规定的其他要求的。</w:t>
            </w:r>
          </w:p>
        </w:tc>
      </w:tr>
      <w:tr w14:paraId="777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2677" w:type="dxa"/>
            <w:noWrap/>
            <w:vAlign w:val="center"/>
          </w:tcPr>
          <w:p w14:paraId="5F119E55">
            <w:pPr>
              <w:jc w:val="center"/>
              <w:rPr>
                <w:rFonts w:hint="eastAsia" w:ascii="宋体" w:hAnsi="宋体" w:eastAsia="宋体" w:cs="宋体"/>
                <w:color w:val="auto"/>
                <w:szCs w:val="21"/>
                <w:highlight w:val="none"/>
              </w:rPr>
            </w:pPr>
            <w:r>
              <w:rPr>
                <w:rFonts w:hint="eastAsia" w:asciiTheme="minorEastAsia" w:hAnsiTheme="minorEastAsia" w:eastAsiaTheme="minorEastAsia"/>
                <w:color w:val="auto"/>
                <w:szCs w:val="21"/>
                <w:highlight w:val="none"/>
              </w:rPr>
              <w:t>工程量清单</w:t>
            </w:r>
          </w:p>
        </w:tc>
        <w:tc>
          <w:tcPr>
            <w:tcW w:w="7230" w:type="dxa"/>
            <w:noWrap/>
            <w:vAlign w:val="center"/>
          </w:tcPr>
          <w:p w14:paraId="30FE7131">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磋商申请人工程量清单报价存在有重大漏项、缺项，且在磋商响应文件中没有明确的阐述和承诺的；</w:t>
            </w:r>
          </w:p>
          <w:p w14:paraId="58718E66">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工程量清单报价表中的清单工程量与采购人发出的清单工程量不一致的</w:t>
            </w:r>
            <w:r>
              <w:rPr>
                <w:rFonts w:hint="eastAsia" w:ascii="宋体" w:hAnsi="宋体" w:eastAsia="宋体" w:cs="宋体"/>
                <w:color w:val="auto"/>
                <w:szCs w:val="21"/>
                <w:highlight w:val="none"/>
                <w:lang w:eastAsia="zh-CN"/>
              </w:rPr>
              <w:t>；</w:t>
            </w:r>
          </w:p>
          <w:p w14:paraId="4A1D0E21">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磋商申请人工程量清单报价</w:t>
            </w:r>
            <w:r>
              <w:rPr>
                <w:rFonts w:hint="eastAsia" w:ascii="宋体" w:hAnsi="宋体" w:eastAsia="宋体" w:cs="宋体"/>
                <w:color w:val="auto"/>
                <w:szCs w:val="21"/>
                <w:highlight w:val="none"/>
                <w:lang w:eastAsia="zh-CN"/>
              </w:rPr>
              <w:t>不得出现以上两种情况。</w:t>
            </w:r>
          </w:p>
        </w:tc>
      </w:tr>
      <w:tr w14:paraId="64C8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2677" w:type="dxa"/>
            <w:noWrap/>
            <w:vAlign w:val="center"/>
          </w:tcPr>
          <w:p w14:paraId="3DC22A6E">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磋商报价</w:t>
            </w:r>
          </w:p>
        </w:tc>
        <w:tc>
          <w:tcPr>
            <w:tcW w:w="7230" w:type="dxa"/>
            <w:noWrap/>
            <w:vAlign w:val="center"/>
          </w:tcPr>
          <w:p w14:paraId="6949A6AD">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磋商申请人最终报价未超过本次采购设置采购预算，或最终报价经评审后未被判定为不合理价格的。</w:t>
            </w:r>
          </w:p>
          <w:p w14:paraId="4D4269EB">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不合理报价的判定标准：</w:t>
            </w:r>
          </w:p>
          <w:p w14:paraId="5D22A38A">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(1)磋商申请人磋商最终报价超出项目预算金额的；</w:t>
            </w:r>
          </w:p>
          <w:p w14:paraId="74C94DC2">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(2)磋商小组认为磋商申请人的磋商最终报价明显低于其他通过符合性审查磋商申请人的报价，有可能影响产品质量或者不能诚信履约</w:t>
            </w:r>
            <w:r>
              <w:rPr>
                <w:rFonts w:hint="eastAsia" w:ascii="宋体" w:hAnsi="宋体" w:eastAsia="宋体" w:cs="宋体"/>
                <w:color w:val="auto"/>
                <w:szCs w:val="21"/>
                <w:highlight w:val="none"/>
                <w:lang w:eastAsia="zh-CN"/>
              </w:rPr>
              <w:t>，且无法提供有效材料证明其报价合理性的</w:t>
            </w:r>
            <w:r>
              <w:rPr>
                <w:rFonts w:hint="eastAsia" w:ascii="宋体" w:hAnsi="宋体" w:eastAsia="宋体" w:cs="宋体"/>
                <w:color w:val="auto"/>
                <w:szCs w:val="21"/>
                <w:highlight w:val="none"/>
              </w:rPr>
              <w:t>。</w:t>
            </w:r>
          </w:p>
        </w:tc>
      </w:tr>
      <w:tr w14:paraId="75D4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2677" w:type="dxa"/>
            <w:noWrap/>
            <w:vAlign w:val="center"/>
          </w:tcPr>
          <w:p w14:paraId="7713A29D">
            <w:pPr>
              <w:spacing w:line="400" w:lineRule="exact"/>
              <w:jc w:val="center"/>
              <w:rPr>
                <w:rFonts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rPr>
              <w:t>不平衡报价</w:t>
            </w:r>
          </w:p>
        </w:tc>
        <w:tc>
          <w:tcPr>
            <w:tcW w:w="7230" w:type="dxa"/>
            <w:noWrap/>
            <w:vAlign w:val="center"/>
          </w:tcPr>
          <w:p w14:paraId="58FD65D1">
            <w:pPr>
              <w:spacing w:line="400" w:lineRule="exac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rPr>
              <w:t>若磋商申请人的磋商报价中的分部分项工程量清单出现不平衡报价且差异过大未作出说明理由的。</w:t>
            </w:r>
          </w:p>
        </w:tc>
      </w:tr>
      <w:tr w14:paraId="773B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677" w:type="dxa"/>
            <w:noWrap/>
            <w:vAlign w:val="center"/>
          </w:tcPr>
          <w:p w14:paraId="3B1E8E3E">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技术方案</w:t>
            </w:r>
          </w:p>
        </w:tc>
        <w:tc>
          <w:tcPr>
            <w:tcW w:w="7230" w:type="dxa"/>
            <w:noWrap/>
            <w:vAlign w:val="center"/>
          </w:tcPr>
          <w:p w14:paraId="02ED8109">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highlight w:val="none"/>
              </w:rPr>
            </w:pPr>
            <w:r>
              <w:rPr>
                <w:rFonts w:hint="eastAsia" w:ascii="宋体" w:hAnsi="宋体" w:eastAsia="宋体" w:cs="宋体"/>
                <w:color w:val="auto"/>
                <w:highlight w:val="none"/>
              </w:rPr>
              <w:t>施工技术方案出现严重不满</w:t>
            </w:r>
            <w:r>
              <w:rPr>
                <w:rFonts w:hint="eastAsia" w:ascii="宋体" w:hAnsi="宋体" w:cs="宋体"/>
                <w:color w:val="auto"/>
                <w:highlight w:val="none"/>
                <w:lang w:eastAsia="zh-CN"/>
              </w:rPr>
              <w:t>足</w:t>
            </w:r>
            <w:r>
              <w:rPr>
                <w:rFonts w:hint="eastAsia" w:ascii="宋体" w:hAnsi="宋体" w:eastAsia="宋体" w:cs="宋体"/>
                <w:color w:val="auto"/>
                <w:highlight w:val="none"/>
              </w:rPr>
              <w:t>采购内容及要求或不符合实际的。</w:t>
            </w:r>
          </w:p>
        </w:tc>
      </w:tr>
    </w:tbl>
    <w:p w14:paraId="37A3C388">
      <w:pPr>
        <w:rPr>
          <w:rFonts w:hint="eastAsia" w:ascii="Times New Roman" w:hAnsi="Times New Roman" w:eastAsia="宋体" w:cs="Times New Roman"/>
          <w:b/>
          <w:bCs/>
          <w:color w:val="auto"/>
          <w:sz w:val="24"/>
          <w:szCs w:val="32"/>
          <w:highlight w:val="none"/>
          <w:lang w:eastAsia="zh-CN"/>
        </w:rPr>
      </w:pPr>
      <w:r>
        <w:rPr>
          <w:rFonts w:hint="eastAsia" w:ascii="Times New Roman" w:hAnsi="Times New Roman" w:eastAsia="宋体" w:cs="Times New Roman"/>
          <w:b/>
          <w:bCs/>
          <w:color w:val="auto"/>
          <w:sz w:val="24"/>
          <w:szCs w:val="32"/>
          <w:highlight w:val="none"/>
          <w:lang w:eastAsia="zh-CN"/>
        </w:rPr>
        <w:br w:type="page"/>
      </w:r>
    </w:p>
    <w:p w14:paraId="5713290C">
      <w:pPr>
        <w:rPr>
          <w:rFonts w:hint="eastAsia" w:ascii="Times New Roman" w:hAnsi="Times New Roman" w:eastAsia="宋体" w:cs="Times New Roman"/>
          <w:b/>
          <w:bCs/>
          <w:color w:val="auto"/>
          <w:sz w:val="24"/>
          <w:szCs w:val="32"/>
          <w:highlight w:val="none"/>
          <w:lang w:eastAsia="zh-CN"/>
        </w:rPr>
      </w:pPr>
      <w:r>
        <w:rPr>
          <w:rFonts w:hint="eastAsia" w:ascii="Times New Roman" w:hAnsi="Times New Roman" w:eastAsia="宋体" w:cs="Times New Roman"/>
          <w:b/>
          <w:bCs/>
          <w:color w:val="auto"/>
          <w:sz w:val="24"/>
          <w:szCs w:val="32"/>
          <w:highlight w:val="none"/>
          <w:lang w:eastAsia="zh-CN"/>
        </w:rPr>
        <w:t>三、详细评审表</w:t>
      </w:r>
    </w:p>
    <w:tbl>
      <w:tblPr>
        <w:tblStyle w:val="51"/>
        <w:tblpPr w:leftFromText="180" w:rightFromText="180" w:vertAnchor="text" w:horzAnchor="page" w:tblpX="1252" w:tblpY="301"/>
        <w:tblOverlap w:val="never"/>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
        <w:gridCol w:w="1269"/>
        <w:gridCol w:w="7460"/>
      </w:tblGrid>
      <w:tr w14:paraId="4BE1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850" w:type="dxa"/>
            <w:gridSpan w:val="2"/>
            <w:vAlign w:val="center"/>
          </w:tcPr>
          <w:p w14:paraId="419F9E9D">
            <w:pPr>
              <w:spacing w:line="440" w:lineRule="exact"/>
              <w:jc w:val="left"/>
              <w:rPr>
                <w:rFonts w:hint="eastAsia" w:ascii="宋体" w:eastAsia="宋体"/>
                <w:color w:val="auto"/>
                <w:szCs w:val="21"/>
                <w:highlight w:val="none"/>
                <w:lang w:val="en-US" w:eastAsia="zh-CN"/>
              </w:rPr>
            </w:pPr>
            <w:r>
              <w:rPr>
                <w:rFonts w:hint="eastAsia" w:ascii="宋体"/>
                <w:color w:val="auto"/>
                <w:szCs w:val="21"/>
                <w:highlight w:val="none"/>
                <w:lang w:val="en-US" w:eastAsia="zh-CN"/>
              </w:rPr>
              <w:t>3</w:t>
            </w:r>
          </w:p>
        </w:tc>
        <w:tc>
          <w:tcPr>
            <w:tcW w:w="8729" w:type="dxa"/>
            <w:gridSpan w:val="2"/>
            <w:vAlign w:val="center"/>
          </w:tcPr>
          <w:p w14:paraId="6CF9220F">
            <w:pPr>
              <w:spacing w:line="440" w:lineRule="exact"/>
              <w:jc w:val="left"/>
              <w:rPr>
                <w:rFonts w:ascii="宋体"/>
                <w:color w:val="auto"/>
                <w:szCs w:val="21"/>
                <w:highlight w:val="none"/>
              </w:rPr>
            </w:pPr>
            <w:r>
              <w:rPr>
                <w:rFonts w:hint="eastAsia" w:ascii="宋体"/>
                <w:color w:val="auto"/>
                <w:szCs w:val="21"/>
                <w:highlight w:val="none"/>
              </w:rPr>
              <w:t>综合评分法：是指响应文件满足磋商文件全部实质性要求且按评审因素的量化指标评审得分最高的磋商申请人为第一成交候选磋商申请人的评审方法。</w:t>
            </w:r>
          </w:p>
          <w:p w14:paraId="4F9E49B0">
            <w:pPr>
              <w:spacing w:line="440" w:lineRule="exact"/>
              <w:jc w:val="left"/>
              <w:rPr>
                <w:rFonts w:ascii="宋体"/>
                <w:color w:val="auto"/>
                <w:szCs w:val="21"/>
                <w:highlight w:val="none"/>
              </w:rPr>
            </w:pPr>
            <w:r>
              <w:rPr>
                <w:rFonts w:hint="eastAsia" w:ascii="宋体"/>
                <w:color w:val="auto"/>
                <w:szCs w:val="21"/>
                <w:highlight w:val="none"/>
              </w:rPr>
              <w:t>本项目评审细则详见下表：</w:t>
            </w:r>
          </w:p>
          <w:p w14:paraId="5803F853">
            <w:pPr>
              <w:spacing w:line="440" w:lineRule="exact"/>
              <w:jc w:val="left"/>
              <w:rPr>
                <w:rFonts w:ascii="宋体"/>
                <w:color w:val="auto"/>
                <w:szCs w:val="21"/>
                <w:highlight w:val="none"/>
              </w:rPr>
            </w:pPr>
            <w:r>
              <w:rPr>
                <w:rFonts w:hint="eastAsia" w:ascii="宋体"/>
                <w:color w:val="auto"/>
                <w:szCs w:val="21"/>
                <w:highlight w:val="none"/>
              </w:rPr>
              <w:t>评分因素权重: 综合技术实力部分F1：</w:t>
            </w:r>
            <w:r>
              <w:rPr>
                <w:rFonts w:hint="eastAsia" w:ascii="宋体"/>
                <w:color w:val="auto"/>
                <w:szCs w:val="21"/>
                <w:highlight w:val="none"/>
                <w:lang w:val="en-US" w:eastAsia="zh-CN"/>
              </w:rPr>
              <w:t>70分</w:t>
            </w:r>
            <w:r>
              <w:rPr>
                <w:rFonts w:hint="eastAsia" w:ascii="宋体"/>
                <w:color w:val="auto"/>
                <w:szCs w:val="21"/>
                <w:highlight w:val="none"/>
              </w:rPr>
              <w:t>；</w:t>
            </w:r>
          </w:p>
          <w:p w14:paraId="56E9EE94">
            <w:pPr>
              <w:spacing w:line="440" w:lineRule="exact"/>
              <w:jc w:val="left"/>
              <w:rPr>
                <w:rFonts w:ascii="宋体"/>
                <w:color w:val="auto"/>
                <w:szCs w:val="21"/>
                <w:highlight w:val="none"/>
              </w:rPr>
            </w:pPr>
            <w:r>
              <w:rPr>
                <w:rFonts w:hint="eastAsia" w:ascii="宋体"/>
                <w:color w:val="auto"/>
                <w:szCs w:val="21"/>
                <w:highlight w:val="none"/>
              </w:rPr>
              <w:t>磋商报价F2：</w:t>
            </w:r>
            <w:r>
              <w:rPr>
                <w:rFonts w:hint="eastAsia" w:ascii="宋体"/>
                <w:color w:val="auto"/>
                <w:szCs w:val="21"/>
                <w:highlight w:val="none"/>
                <w:lang w:eastAsia="zh-CN"/>
              </w:rPr>
              <w:t>3</w:t>
            </w:r>
            <w:r>
              <w:rPr>
                <w:rFonts w:hint="eastAsia" w:ascii="宋体"/>
                <w:color w:val="auto"/>
                <w:szCs w:val="21"/>
                <w:highlight w:val="none"/>
                <w:lang w:val="en-US" w:eastAsia="zh-CN"/>
              </w:rPr>
              <w:t>0</w:t>
            </w:r>
            <w:r>
              <w:rPr>
                <w:rFonts w:hint="eastAsia" w:ascii="宋体"/>
                <w:color w:val="auto"/>
                <w:szCs w:val="21"/>
                <w:highlight w:val="none"/>
              </w:rPr>
              <w:t>分；</w:t>
            </w:r>
          </w:p>
          <w:p w14:paraId="03A473D3">
            <w:pPr>
              <w:spacing w:line="440" w:lineRule="exact"/>
              <w:jc w:val="left"/>
              <w:rPr>
                <w:rFonts w:hint="eastAsia" w:ascii="宋体"/>
                <w:color w:val="auto"/>
                <w:szCs w:val="21"/>
                <w:highlight w:val="none"/>
              </w:rPr>
            </w:pPr>
            <w:r>
              <w:rPr>
                <w:rFonts w:hint="eastAsia" w:ascii="宋体"/>
                <w:color w:val="auto"/>
                <w:szCs w:val="21"/>
                <w:highlight w:val="none"/>
              </w:rPr>
              <w:t>磋商申请人的评标总得分＝F1＋F2</w:t>
            </w:r>
          </w:p>
          <w:p w14:paraId="59712C00">
            <w:pPr>
              <w:spacing w:line="440" w:lineRule="exact"/>
              <w:jc w:val="left"/>
              <w:rPr>
                <w:rFonts w:hint="eastAsia" w:ascii="宋体" w:eastAsia="宋体"/>
                <w:color w:val="auto"/>
                <w:szCs w:val="21"/>
                <w:highlight w:val="none"/>
                <w:lang w:eastAsia="zh-CN"/>
              </w:rPr>
            </w:pPr>
            <w:r>
              <w:rPr>
                <w:rFonts w:hint="eastAsia" w:ascii="宋体" w:eastAsia="宋体"/>
                <w:color w:val="auto"/>
                <w:szCs w:val="21"/>
                <w:highlight w:val="none"/>
                <w:lang w:eastAsia="zh-CN"/>
              </w:rPr>
              <w:t>其中：F1、F2分别为综合技术实力部分</w:t>
            </w:r>
            <w:r>
              <w:rPr>
                <w:rFonts w:hint="eastAsia" w:ascii="宋体"/>
                <w:color w:val="auto"/>
                <w:szCs w:val="21"/>
                <w:highlight w:val="none"/>
                <w:lang w:eastAsia="zh-CN"/>
              </w:rPr>
              <w:t>、</w:t>
            </w:r>
            <w:r>
              <w:rPr>
                <w:rFonts w:hint="eastAsia" w:ascii="宋体" w:eastAsia="宋体"/>
                <w:color w:val="auto"/>
                <w:szCs w:val="21"/>
                <w:highlight w:val="none"/>
                <w:lang w:eastAsia="zh-CN"/>
              </w:rPr>
              <w:t>磋商报价部分2项评分因素的汇总得分。</w:t>
            </w:r>
          </w:p>
        </w:tc>
      </w:tr>
      <w:tr w14:paraId="1555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43" w:type="dxa"/>
            <w:vAlign w:val="center"/>
          </w:tcPr>
          <w:p w14:paraId="3FDD851D">
            <w:pPr>
              <w:spacing w:line="440" w:lineRule="exact"/>
              <w:jc w:val="center"/>
              <w:rPr>
                <w:rFonts w:ascii="宋体" w:hAnsi="宋体"/>
                <w:color w:val="auto"/>
                <w:szCs w:val="21"/>
                <w:highlight w:val="none"/>
              </w:rPr>
            </w:pPr>
            <w:r>
              <w:rPr>
                <w:rFonts w:hint="eastAsia" w:ascii="宋体" w:hAnsi="宋体"/>
                <w:color w:val="auto"/>
                <w:szCs w:val="21"/>
                <w:highlight w:val="none"/>
              </w:rPr>
              <w:t>序号</w:t>
            </w:r>
          </w:p>
        </w:tc>
        <w:tc>
          <w:tcPr>
            <w:tcW w:w="1276" w:type="dxa"/>
            <w:gridSpan w:val="2"/>
            <w:vAlign w:val="center"/>
          </w:tcPr>
          <w:p w14:paraId="4BB6AC1E">
            <w:pPr>
              <w:spacing w:line="440" w:lineRule="exact"/>
              <w:jc w:val="center"/>
              <w:rPr>
                <w:rFonts w:ascii="宋体" w:hAnsi="宋体"/>
                <w:color w:val="auto"/>
                <w:szCs w:val="21"/>
                <w:highlight w:val="none"/>
              </w:rPr>
            </w:pPr>
            <w:r>
              <w:rPr>
                <w:rFonts w:hint="eastAsia" w:ascii="宋体" w:hAnsi="宋体"/>
                <w:color w:val="auto"/>
                <w:szCs w:val="21"/>
                <w:highlight w:val="none"/>
              </w:rPr>
              <w:t>项目</w:t>
            </w:r>
          </w:p>
        </w:tc>
        <w:tc>
          <w:tcPr>
            <w:tcW w:w="7460" w:type="dxa"/>
            <w:vAlign w:val="center"/>
          </w:tcPr>
          <w:p w14:paraId="3CC57598">
            <w:pPr>
              <w:spacing w:line="440" w:lineRule="exact"/>
              <w:jc w:val="center"/>
              <w:rPr>
                <w:rFonts w:ascii="宋体" w:hAnsi="宋体"/>
                <w:color w:val="auto"/>
                <w:szCs w:val="21"/>
                <w:highlight w:val="none"/>
              </w:rPr>
            </w:pPr>
            <w:r>
              <w:rPr>
                <w:rFonts w:hint="eastAsia" w:ascii="宋体" w:hAnsi="宋体"/>
                <w:color w:val="auto"/>
                <w:szCs w:val="21"/>
                <w:highlight w:val="none"/>
              </w:rPr>
              <w:t>评分标准</w:t>
            </w:r>
          </w:p>
        </w:tc>
      </w:tr>
      <w:tr w14:paraId="3C11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2" w:hRule="atLeast"/>
        </w:trPr>
        <w:tc>
          <w:tcPr>
            <w:tcW w:w="843" w:type="dxa"/>
            <w:vMerge w:val="restart"/>
            <w:vAlign w:val="center"/>
          </w:tcPr>
          <w:p w14:paraId="7659C399">
            <w:pPr>
              <w:spacing w:line="440" w:lineRule="exact"/>
              <w:jc w:val="center"/>
              <w:rPr>
                <w:rFonts w:hint="eastAsia" w:ascii="宋体" w:hAnsi="宋体"/>
                <w:color w:val="auto"/>
                <w:szCs w:val="21"/>
                <w:highlight w:val="none"/>
              </w:rPr>
            </w:pPr>
            <w:r>
              <w:rPr>
                <w:rFonts w:hint="eastAsia" w:ascii="宋体" w:hAnsi="宋体"/>
                <w:color w:val="auto"/>
                <w:szCs w:val="21"/>
                <w:highlight w:val="none"/>
              </w:rPr>
              <w:t>3.1(</w:t>
            </w:r>
            <w:r>
              <w:rPr>
                <w:rFonts w:hint="eastAsia" w:ascii="宋体"/>
                <w:color w:val="auto"/>
                <w:szCs w:val="21"/>
                <w:highlight w:val="none"/>
              </w:rPr>
              <w:t>综合技术实力部分F1)</w:t>
            </w:r>
          </w:p>
        </w:tc>
        <w:tc>
          <w:tcPr>
            <w:tcW w:w="1276" w:type="dxa"/>
            <w:gridSpan w:val="2"/>
            <w:vAlign w:val="center"/>
          </w:tcPr>
          <w:p w14:paraId="3A7BC074">
            <w:pPr>
              <w:spacing w:line="42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Cs w:val="21"/>
                <w:highlight w:val="none"/>
              </w:rPr>
              <w:t>项目管理机构配置（满分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60" w:type="dxa"/>
            <w:vAlign w:val="center"/>
          </w:tcPr>
          <w:p w14:paraId="20F6A838">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磋商小组对所有磋商响应文件的“项目管理机构配备情况表”“建造师简历表”“主要项目管理人员简历表”“项目管理机构配备情况辅助说明资料”四部分内容进行详细地审查后，综合评审评分：</w:t>
            </w:r>
          </w:p>
          <w:p w14:paraId="3EC3786B">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第一档次（</w:t>
            </w:r>
            <w:r>
              <w:rPr>
                <w:rFonts w:hint="eastAsia" w:ascii="宋体" w:hAnsi="宋体" w:cs="Times New Roman"/>
                <w:color w:val="auto"/>
                <w:kern w:val="2"/>
                <w:sz w:val="21"/>
                <w:szCs w:val="21"/>
                <w:highlight w:val="none"/>
                <w:lang w:val="en-US" w:eastAsia="zh-CN" w:bidi="ar-SA"/>
              </w:rPr>
              <w:t>10</w:t>
            </w:r>
            <w:r>
              <w:rPr>
                <w:rFonts w:hint="eastAsia" w:ascii="宋体" w:hAnsi="宋体" w:eastAsia="宋体" w:cs="Times New Roman"/>
                <w:color w:val="auto"/>
                <w:kern w:val="2"/>
                <w:sz w:val="21"/>
                <w:szCs w:val="21"/>
                <w:highlight w:val="none"/>
                <w:lang w:val="en-US" w:eastAsia="zh-CN" w:bidi="ar-SA"/>
              </w:rPr>
              <w:t>分）：磋商申请人拟定的项目经理符合竞争性磋商文件规定的资格条件：项目经理资质证书和B证年检合格。项目管理人员针对工程实际配置且合理，能满足工程管理需要且有针对性，项目管理人员持证上岗。</w:t>
            </w:r>
          </w:p>
          <w:p w14:paraId="3CAECBD5">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第二档次（</w:t>
            </w:r>
            <w:r>
              <w:rPr>
                <w:rFonts w:hint="eastAsia" w:ascii="宋体" w:hAnsi="宋体" w:cs="Times New Roman"/>
                <w:color w:val="auto"/>
                <w:kern w:val="2"/>
                <w:sz w:val="21"/>
                <w:szCs w:val="21"/>
                <w:highlight w:val="none"/>
                <w:lang w:val="en-US" w:eastAsia="zh-CN" w:bidi="ar-SA"/>
              </w:rPr>
              <w:t>7</w:t>
            </w:r>
            <w:r>
              <w:rPr>
                <w:rFonts w:hint="eastAsia" w:ascii="宋体" w:hAnsi="宋体" w:eastAsia="宋体" w:cs="Times New Roman"/>
                <w:color w:val="auto"/>
                <w:kern w:val="2"/>
                <w:sz w:val="21"/>
                <w:szCs w:val="21"/>
                <w:highlight w:val="none"/>
                <w:lang w:val="en-US" w:eastAsia="zh-CN" w:bidi="ar-SA"/>
              </w:rPr>
              <w:t>分）：磋商申请人拟定的项目经理符合竞争性磋商文件规定的资格条件：项目经理资质证书和B证年检合格。项目管理人员配置合理，能满足工程管理需要，但专业配置针对性一般，项目主要管理人员持证上岗。</w:t>
            </w:r>
          </w:p>
          <w:p w14:paraId="46DF7CB9">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三档次（4分）：磋商申请人拟定的项目经理符合竞争性磋商文件规定的资格条件：项目经理资质证书和B证年检合格。项目管理人员配置基本满足工程管理需要，专业配置缺乏针对性，项目主要管理人员持证上岗。</w:t>
            </w:r>
          </w:p>
          <w:p w14:paraId="40083D69">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第四档次（</w:t>
            </w:r>
            <w:r>
              <w:rPr>
                <w:rFonts w:hint="eastAsia" w:ascii="宋体" w:hAnsi="宋体" w:cs="Times New Roman"/>
                <w:color w:val="auto"/>
                <w:kern w:val="2"/>
                <w:sz w:val="21"/>
                <w:szCs w:val="21"/>
                <w:highlight w:val="none"/>
                <w:lang w:val="en-US" w:eastAsia="zh-CN" w:bidi="ar-SA"/>
              </w:rPr>
              <w:t>1</w:t>
            </w:r>
            <w:r>
              <w:rPr>
                <w:rFonts w:hint="eastAsia" w:ascii="宋体" w:hAnsi="宋体" w:eastAsia="宋体" w:cs="Times New Roman"/>
                <w:color w:val="auto"/>
                <w:kern w:val="2"/>
                <w:sz w:val="21"/>
                <w:szCs w:val="21"/>
                <w:highlight w:val="none"/>
                <w:lang w:val="en-US" w:eastAsia="zh-CN" w:bidi="ar-SA"/>
              </w:rPr>
              <w:t>分）：磋商申请人拟定的项目经理符合竞争性磋商文件规定的资格条件：项目经理资质证书和B证年检合格。项目管理人员配置不满足工程管理需要，项目主要管理人员持证上岗。</w:t>
            </w:r>
          </w:p>
          <w:p w14:paraId="1C7B3C8E">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五档次（0分）：磋商申请人拟定的项目经理符合竞争性磋商文件规定的资格条件：项目经理资质证书和B证年检合格。无项目管理人员配置，不满足工程管理需要，无专业配置性，无项目主要管理人员持证上岗。</w:t>
            </w:r>
          </w:p>
        </w:tc>
      </w:tr>
      <w:tr w14:paraId="55EB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587D3292">
            <w:pPr>
              <w:spacing w:line="440" w:lineRule="exact"/>
              <w:jc w:val="center"/>
              <w:rPr>
                <w:rFonts w:hint="eastAsia" w:ascii="宋体" w:hAnsi="宋体"/>
                <w:color w:val="auto"/>
                <w:szCs w:val="21"/>
                <w:highlight w:val="none"/>
              </w:rPr>
            </w:pPr>
          </w:p>
        </w:tc>
        <w:tc>
          <w:tcPr>
            <w:tcW w:w="1276" w:type="dxa"/>
            <w:gridSpan w:val="2"/>
            <w:vAlign w:val="center"/>
          </w:tcPr>
          <w:p w14:paraId="5EA72262">
            <w:pPr>
              <w:spacing w:line="42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对项目的理解、重难点分析及合理化建议（满分</w:t>
            </w: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7460" w:type="dxa"/>
            <w:vAlign w:val="top"/>
          </w:tcPr>
          <w:p w14:paraId="013A2AA1">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磋商小组对所有磋商响应文件的“对项目的理解、重难点分析及合理化建议”部分内容进行详细地审查后，综合评审评分：</w:t>
            </w:r>
          </w:p>
          <w:p w14:paraId="4BA8F94B">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第一档次（</w:t>
            </w:r>
            <w:r>
              <w:rPr>
                <w:rFonts w:hint="eastAsia" w:ascii="宋体" w:cs="Times New Roman"/>
                <w:color w:val="auto"/>
                <w:kern w:val="2"/>
                <w:sz w:val="21"/>
                <w:szCs w:val="21"/>
                <w:highlight w:val="none"/>
                <w:lang w:val="en-US" w:eastAsia="zh-CN" w:bidi="ar-SA"/>
              </w:rPr>
              <w:t>10</w:t>
            </w:r>
            <w:r>
              <w:rPr>
                <w:rFonts w:hint="eastAsia" w:ascii="宋体" w:hAnsi="Times New Roman" w:eastAsia="宋体" w:cs="Times New Roman"/>
                <w:color w:val="auto"/>
                <w:kern w:val="2"/>
                <w:sz w:val="21"/>
                <w:szCs w:val="21"/>
                <w:highlight w:val="none"/>
                <w:lang w:val="en-US" w:eastAsia="zh-CN" w:bidi="ar-SA"/>
              </w:rPr>
              <w:t>分）：对采购项目的建设方案、关键技术、工艺有明确、深入的表述，对施工重点、难点、经济、安全的解决方案和保证措施方案及合理化建议切实可行。</w:t>
            </w:r>
          </w:p>
          <w:p w14:paraId="6A0ED852">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第二档次（</w:t>
            </w:r>
            <w:r>
              <w:rPr>
                <w:rFonts w:hint="eastAsia" w:ascii="宋体" w:cs="Times New Roman"/>
                <w:color w:val="auto"/>
                <w:kern w:val="2"/>
                <w:sz w:val="21"/>
                <w:szCs w:val="21"/>
                <w:highlight w:val="none"/>
                <w:lang w:val="en-US" w:eastAsia="zh-CN" w:bidi="ar-SA"/>
              </w:rPr>
              <w:t>7</w:t>
            </w:r>
            <w:r>
              <w:rPr>
                <w:rFonts w:hint="eastAsia" w:ascii="宋体" w:hAnsi="Times New Roman" w:eastAsia="宋体" w:cs="Times New Roman"/>
                <w:color w:val="auto"/>
                <w:kern w:val="2"/>
                <w:sz w:val="21"/>
                <w:szCs w:val="21"/>
                <w:highlight w:val="none"/>
                <w:lang w:val="en-US" w:eastAsia="zh-CN" w:bidi="ar-SA"/>
              </w:rPr>
              <w:t>分）：对采购项目的建设方案、关键技术、工艺有较明确的表述，对施工重点、难点、经济、安全的解决方案和保证措施方案及合理化建议可行。</w:t>
            </w:r>
          </w:p>
          <w:p w14:paraId="3DECD933">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第三档次（</w:t>
            </w:r>
            <w:r>
              <w:rPr>
                <w:rFonts w:hint="eastAsia" w:ascii="宋体" w:cs="Times New Roman"/>
                <w:color w:val="auto"/>
                <w:kern w:val="2"/>
                <w:sz w:val="21"/>
                <w:szCs w:val="21"/>
                <w:highlight w:val="none"/>
                <w:lang w:val="en-US" w:eastAsia="zh-CN" w:bidi="ar-SA"/>
              </w:rPr>
              <w:t>4</w:t>
            </w:r>
            <w:r>
              <w:rPr>
                <w:rFonts w:hint="eastAsia" w:ascii="宋体" w:hAnsi="Times New Roman" w:eastAsia="宋体" w:cs="Times New Roman"/>
                <w:color w:val="auto"/>
                <w:kern w:val="2"/>
                <w:sz w:val="21"/>
                <w:szCs w:val="21"/>
                <w:highlight w:val="none"/>
                <w:lang w:val="en-US" w:eastAsia="zh-CN" w:bidi="ar-SA"/>
              </w:rPr>
              <w:t>分）：对采购项目的建设方案、关键技术、工艺的表述不够明确，对施工重点、难点、经济、安全的解决方案和保证措施简单描述的。</w:t>
            </w:r>
          </w:p>
          <w:p w14:paraId="1A9FE3CC">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第四档次（</w:t>
            </w:r>
            <w:r>
              <w:rPr>
                <w:rFonts w:hint="eastAsia" w:ascii="宋体" w:cs="Times New Roman"/>
                <w:color w:val="auto"/>
                <w:kern w:val="2"/>
                <w:sz w:val="21"/>
                <w:szCs w:val="21"/>
                <w:highlight w:val="none"/>
                <w:lang w:val="en-US" w:eastAsia="zh-CN" w:bidi="ar-SA"/>
              </w:rPr>
              <w:t>1</w:t>
            </w:r>
            <w:r>
              <w:rPr>
                <w:rFonts w:hint="eastAsia" w:ascii="宋体" w:hAnsi="Times New Roman" w:eastAsia="宋体" w:cs="Times New Roman"/>
                <w:color w:val="auto"/>
                <w:kern w:val="2"/>
                <w:sz w:val="21"/>
                <w:szCs w:val="21"/>
                <w:highlight w:val="none"/>
                <w:lang w:val="en-US" w:eastAsia="zh-CN" w:bidi="ar-SA"/>
              </w:rPr>
              <w:t>分）：对采购项目的建设方案、关键技术、工艺的表述简单，对施工重点、难点、经济、安全的解决方案和保证措施无针对性。</w:t>
            </w:r>
          </w:p>
          <w:p w14:paraId="1588C2A3">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第五档次（0分）：对采购项目的建设方案、关键技术、工艺的表述一般，无对施工重点、难点、经济、安全的解决方案和保证措施方案描述。</w:t>
            </w:r>
          </w:p>
        </w:tc>
      </w:tr>
      <w:tr w14:paraId="5D85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38961EC4">
            <w:pPr>
              <w:spacing w:line="440" w:lineRule="exact"/>
              <w:jc w:val="center"/>
              <w:rPr>
                <w:rFonts w:ascii="宋体" w:hAnsi="宋体"/>
                <w:color w:val="auto"/>
                <w:szCs w:val="21"/>
                <w:highlight w:val="none"/>
              </w:rPr>
            </w:pPr>
          </w:p>
        </w:tc>
        <w:tc>
          <w:tcPr>
            <w:tcW w:w="1276" w:type="dxa"/>
            <w:gridSpan w:val="2"/>
            <w:vAlign w:val="center"/>
          </w:tcPr>
          <w:p w14:paraId="383B6A21">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施工方案与技术措施（满分</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7460" w:type="dxa"/>
            <w:vAlign w:val="top"/>
          </w:tcPr>
          <w:p w14:paraId="6CF77B0C">
            <w:pPr>
              <w:pStyle w:val="20"/>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磋商小组对所有磋商响应文件的“项目实施方案”中“施工方案与技术措施”部分内容进行详细地审查后，综合评审评分：</w:t>
            </w:r>
          </w:p>
          <w:p w14:paraId="69008655">
            <w:pPr>
              <w:pStyle w:val="20"/>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eastAsia="zh-CN"/>
              </w:rPr>
              <w:t>1</w:t>
            </w:r>
            <w:r>
              <w:rPr>
                <w:rFonts w:hint="eastAsia" w:hAnsi="宋体"/>
                <w:color w:val="auto"/>
                <w:sz w:val="21"/>
                <w:szCs w:val="21"/>
                <w:highlight w:val="none"/>
                <w:lang w:val="en-US" w:eastAsia="zh-CN"/>
              </w:rPr>
              <w:t>5</w:t>
            </w:r>
            <w:r>
              <w:rPr>
                <w:rFonts w:hint="eastAsia" w:hAnsi="宋体"/>
                <w:color w:val="auto"/>
                <w:sz w:val="21"/>
                <w:szCs w:val="21"/>
                <w:highlight w:val="none"/>
              </w:rPr>
              <w:t>分）：对项目总体概况表述清晰、完整；项目施工部署安排及施工方法和技术措施先进、可靠，提供详细完整的施工总平面图，符合环保、安全、文明生产要求。</w:t>
            </w:r>
          </w:p>
          <w:p w14:paraId="2C8327A8">
            <w:pPr>
              <w:pStyle w:val="20"/>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12</w:t>
            </w:r>
            <w:r>
              <w:rPr>
                <w:rFonts w:hint="eastAsia" w:hAnsi="宋体"/>
                <w:color w:val="auto"/>
                <w:sz w:val="21"/>
                <w:szCs w:val="21"/>
                <w:highlight w:val="none"/>
              </w:rPr>
              <w:t>分）：对项目总体概况表述较清晰、完整；项目施工部署安排及施工方法和技术措施具体较可靠；提供完整的施工总平面图，较符合环保、安全、文明生产要求。</w:t>
            </w:r>
          </w:p>
          <w:p w14:paraId="5CE11C89">
            <w:pPr>
              <w:pStyle w:val="20"/>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9</w:t>
            </w:r>
            <w:r>
              <w:rPr>
                <w:rFonts w:hint="eastAsia" w:hAnsi="宋体"/>
                <w:color w:val="auto"/>
                <w:sz w:val="21"/>
                <w:szCs w:val="21"/>
                <w:highlight w:val="none"/>
              </w:rPr>
              <w:t>分）：对项目总体概况表述不够清晰，项目施工部署安排及施工方法和技术措施不够具体；提供的施工总平面图存在缺陷，对项目主要及关键方案表述不够清晰。</w:t>
            </w:r>
          </w:p>
          <w:p w14:paraId="3911C94C">
            <w:pPr>
              <w:pStyle w:val="20"/>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6</w:t>
            </w:r>
            <w:r>
              <w:rPr>
                <w:rFonts w:hint="eastAsia" w:hAnsi="宋体"/>
                <w:color w:val="auto"/>
                <w:sz w:val="21"/>
                <w:szCs w:val="21"/>
                <w:highlight w:val="none"/>
              </w:rPr>
              <w:t>分）：对项目总体概况表述一般、无针对性，项目施工部署安排及施工方法和技术措施不够具体；提供的施工总平面图存在缺陷，对项目主要及关键方案表述不够清晰。</w:t>
            </w:r>
          </w:p>
          <w:p w14:paraId="3518251D">
            <w:pPr>
              <w:pStyle w:val="20"/>
              <w:spacing w:line="420" w:lineRule="exact"/>
              <w:rPr>
                <w:rFonts w:ascii="宋体" w:hAnsi="宋体"/>
                <w:color w:val="auto"/>
                <w:szCs w:val="21"/>
                <w:highlight w:val="none"/>
              </w:rPr>
            </w:pPr>
            <w:r>
              <w:rPr>
                <w:rFonts w:hint="eastAsia" w:hAnsi="宋体"/>
                <w:color w:val="auto"/>
                <w:sz w:val="21"/>
                <w:szCs w:val="21"/>
                <w:highlight w:val="none"/>
              </w:rPr>
              <w:t>第五档次（0分）：对项目总体概况表述一般、无针对性，不符项目实际情况，项目施工部署安排及施工方法和技术措施一般化；提供的施工总平面图存在缺陷，无对项目主要及关键方案表述的。</w:t>
            </w:r>
          </w:p>
        </w:tc>
      </w:tr>
      <w:tr w14:paraId="1138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1983B9A6">
            <w:pPr>
              <w:spacing w:line="440" w:lineRule="exact"/>
              <w:jc w:val="center"/>
              <w:rPr>
                <w:rFonts w:ascii="宋体" w:hAnsi="宋体"/>
                <w:color w:val="auto"/>
                <w:szCs w:val="21"/>
                <w:highlight w:val="none"/>
              </w:rPr>
            </w:pPr>
          </w:p>
        </w:tc>
        <w:tc>
          <w:tcPr>
            <w:tcW w:w="1276" w:type="dxa"/>
            <w:gridSpan w:val="2"/>
            <w:vAlign w:val="center"/>
          </w:tcPr>
          <w:p w14:paraId="2FE6D61F">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质量管理体系与措施（满分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60" w:type="dxa"/>
            <w:vAlign w:val="top"/>
          </w:tcPr>
          <w:p w14:paraId="3CE67955">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磋商小组对所有磋商响应文件的“项目实施方案”中“质量管理体系与措施”部分内容进行详细地审查后，综合评审评分：</w:t>
            </w:r>
          </w:p>
          <w:p w14:paraId="26D444F7">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第一档次（</w:t>
            </w:r>
            <w:r>
              <w:rPr>
                <w:rFonts w:hint="eastAsia" w:hAnsi="宋体" w:cs="Times New Roman"/>
                <w:color w:val="auto"/>
                <w:sz w:val="21"/>
                <w:szCs w:val="21"/>
                <w:highlight w:val="none"/>
                <w:lang w:val="en-US" w:eastAsia="zh-CN"/>
              </w:rPr>
              <w:t>10</w:t>
            </w:r>
            <w:r>
              <w:rPr>
                <w:rFonts w:hint="eastAsia" w:hAnsi="宋体" w:cs="Times New Roman"/>
                <w:color w:val="auto"/>
                <w:sz w:val="21"/>
                <w:szCs w:val="21"/>
                <w:highlight w:val="none"/>
              </w:rPr>
              <w:t>分）：施工质量管理目标符合或优于竞争性磋商文件要求且目标明确：质量管理机构健全，职责分工明确，管理制度齐全，质量管理实施与监控技术措施全面、有效。</w:t>
            </w:r>
          </w:p>
          <w:p w14:paraId="7A6ED963">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第二档次（</w:t>
            </w:r>
            <w:r>
              <w:rPr>
                <w:rFonts w:hint="eastAsia" w:hAnsi="宋体" w:cs="Times New Roman"/>
                <w:color w:val="auto"/>
                <w:sz w:val="21"/>
                <w:szCs w:val="21"/>
                <w:highlight w:val="none"/>
                <w:lang w:val="en-US" w:eastAsia="zh-CN"/>
              </w:rPr>
              <w:t>7</w:t>
            </w:r>
            <w:r>
              <w:rPr>
                <w:rFonts w:hint="eastAsia" w:hAnsi="宋体" w:cs="Times New Roman"/>
                <w:color w:val="auto"/>
                <w:sz w:val="21"/>
                <w:szCs w:val="21"/>
                <w:highlight w:val="none"/>
              </w:rPr>
              <w:t>分）：施工质量管理目标符合或优于竞争性磋商文件要求且目标明确；管理机构健全，职责分工较明确，管理制度较齐全，质量管理实施与监控技术措施较完整。</w:t>
            </w:r>
          </w:p>
          <w:p w14:paraId="5F41A160">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第三档次（</w:t>
            </w:r>
            <w:r>
              <w:rPr>
                <w:rFonts w:hint="eastAsia" w:hAnsi="宋体" w:cs="Times New Roman"/>
                <w:color w:val="auto"/>
                <w:sz w:val="21"/>
                <w:szCs w:val="21"/>
                <w:highlight w:val="none"/>
                <w:lang w:val="en-US" w:eastAsia="zh-CN"/>
              </w:rPr>
              <w:t>4</w:t>
            </w:r>
            <w:r>
              <w:rPr>
                <w:rFonts w:hint="eastAsia" w:hAnsi="宋体" w:cs="Times New Roman"/>
                <w:color w:val="auto"/>
                <w:sz w:val="21"/>
                <w:szCs w:val="21"/>
                <w:highlight w:val="none"/>
              </w:rPr>
              <w:t>分）：施工质量管理目标符合竞争性磋商文件要求且目标明确：管理机构基本健全，职责分工基本明确，管理制度基本齐全，质量管理实施与监控技术措施基本完整。</w:t>
            </w:r>
          </w:p>
          <w:p w14:paraId="1CD9326A">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第四档次（1分）：施工质量管理目标基本符合竞争性磋商文件要求且目标明确一般：管理机构基本健全，职责分工基本不够明确，管理制度基本齐全，质量管理实施与监控技术措施基本完整。</w:t>
            </w:r>
          </w:p>
          <w:p w14:paraId="317313E1">
            <w:pPr>
              <w:pStyle w:val="20"/>
              <w:spacing w:line="420" w:lineRule="exact"/>
              <w:rPr>
                <w:rFonts w:ascii="宋体" w:hAnsi="宋体"/>
                <w:color w:val="auto"/>
                <w:szCs w:val="21"/>
                <w:highlight w:val="none"/>
              </w:rPr>
            </w:pPr>
            <w:r>
              <w:rPr>
                <w:rFonts w:hint="eastAsia" w:hAnsi="宋体" w:cs="Times New Roman"/>
                <w:color w:val="auto"/>
                <w:sz w:val="21"/>
                <w:szCs w:val="21"/>
                <w:highlight w:val="none"/>
              </w:rPr>
              <w:t>第五档次（0分）：施工质量管理目标基本符合竞争性磋商文件要求且目标不明确：管理机构基本健全，职责分工基本不明确，管理制度不齐全，质量管理实施与监控技术措施不够完整。</w:t>
            </w:r>
          </w:p>
        </w:tc>
      </w:tr>
      <w:tr w14:paraId="1E70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243D385B">
            <w:pPr>
              <w:spacing w:line="440" w:lineRule="exact"/>
              <w:jc w:val="center"/>
              <w:rPr>
                <w:rFonts w:ascii="宋体" w:hAnsi="宋体"/>
                <w:color w:val="auto"/>
                <w:szCs w:val="21"/>
                <w:highlight w:val="none"/>
              </w:rPr>
            </w:pPr>
          </w:p>
        </w:tc>
        <w:tc>
          <w:tcPr>
            <w:tcW w:w="1276" w:type="dxa"/>
            <w:gridSpan w:val="2"/>
            <w:vAlign w:val="center"/>
          </w:tcPr>
          <w:p w14:paraId="71B525D4">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环境保护安全管理体系与措施（满分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60" w:type="dxa"/>
            <w:vAlign w:val="top"/>
          </w:tcPr>
          <w:p w14:paraId="5CA58FB8">
            <w:pPr>
              <w:pStyle w:val="20"/>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磋商小组对所有磋商响应文件的“项目实施方案”中“环境保护安全管理体系与措施”部分内容进行详细地审查后，综合评审评分：</w:t>
            </w:r>
          </w:p>
          <w:p w14:paraId="0395F413">
            <w:pPr>
              <w:pStyle w:val="20"/>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val="en-US" w:eastAsia="zh-CN"/>
              </w:rPr>
              <w:t>10</w:t>
            </w:r>
            <w:r>
              <w:rPr>
                <w:rFonts w:hint="eastAsia" w:hAnsi="宋体"/>
                <w:color w:val="auto"/>
                <w:sz w:val="21"/>
                <w:szCs w:val="21"/>
                <w:highlight w:val="none"/>
              </w:rPr>
              <w:t>分）：环境保护安全目标符合或优于竞争性磋商文件的要求；安全管理机构健全，职责分工明确；管理制度齐全；环境保护安全管理实施与监控技术措施全面、有效。</w:t>
            </w:r>
          </w:p>
          <w:p w14:paraId="1E14B7AD">
            <w:pPr>
              <w:pStyle w:val="20"/>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7</w:t>
            </w:r>
            <w:r>
              <w:rPr>
                <w:rFonts w:hint="eastAsia" w:hAnsi="宋体"/>
                <w:color w:val="auto"/>
                <w:sz w:val="21"/>
                <w:szCs w:val="21"/>
                <w:highlight w:val="none"/>
              </w:rPr>
              <w:t>分）：环境保护安全目标符合或优于竞争性磋商文件要求：管理机构健全，职责分工较明确；管理制度较齐全；环境保护安全管理实施与监控技术措施较完整。</w:t>
            </w:r>
          </w:p>
          <w:p w14:paraId="5F5341B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第三档次（4分）：环境保护安全目标符合竞争性磋商文件要求：管理机构基本健全，职责分工基本明确；管理制度基本齐全；环境保护安全管理实施与监控技术措施基本完整。</w:t>
            </w:r>
          </w:p>
          <w:p w14:paraId="13801A3D">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分）：环境保护安全目标基本符合竞争性磋商文件要求：管理机构不够健全，职责分工不明确；管理制度不齐全；环境保护安全管理实施与监控技术措施一般。</w:t>
            </w:r>
          </w:p>
          <w:p w14:paraId="513D1596">
            <w:pPr>
              <w:spacing w:line="420" w:lineRule="exact"/>
              <w:rPr>
                <w:rFonts w:ascii="宋体" w:hAnsi="宋体"/>
                <w:color w:val="auto"/>
                <w:szCs w:val="21"/>
                <w:highlight w:val="none"/>
              </w:rPr>
            </w:pPr>
            <w:r>
              <w:rPr>
                <w:rFonts w:hint="eastAsia" w:ascii="宋体" w:hAnsi="宋体" w:eastAsia="宋体" w:cs="宋体"/>
                <w:color w:val="auto"/>
                <w:szCs w:val="21"/>
                <w:highlight w:val="none"/>
              </w:rPr>
              <w:t>第五档次（0分）：环境保护安全目标不符合竞争性磋商文件要求：管理机构不健全，职责分工不明确；管理制度不齐全；无环境保护安全管理实施与监控技术措施。</w:t>
            </w:r>
          </w:p>
        </w:tc>
      </w:tr>
      <w:tr w14:paraId="34F2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63CB74A2">
            <w:pPr>
              <w:spacing w:line="440" w:lineRule="exact"/>
              <w:jc w:val="center"/>
              <w:rPr>
                <w:rFonts w:ascii="宋体" w:hAnsi="宋体"/>
                <w:color w:val="auto"/>
                <w:szCs w:val="21"/>
                <w:highlight w:val="none"/>
              </w:rPr>
            </w:pPr>
          </w:p>
        </w:tc>
        <w:tc>
          <w:tcPr>
            <w:tcW w:w="1276" w:type="dxa"/>
            <w:gridSpan w:val="2"/>
            <w:vAlign w:val="center"/>
          </w:tcPr>
          <w:p w14:paraId="19158E32">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工程进度计划与保证措施（满分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60" w:type="dxa"/>
            <w:vAlign w:val="top"/>
          </w:tcPr>
          <w:p w14:paraId="1D02840B">
            <w:pPr>
              <w:spacing w:line="420" w:lineRule="exact"/>
              <w:rPr>
                <w:rFonts w:hint="eastAsia" w:ascii="宋体" w:hAnsi="宋体"/>
                <w:color w:val="auto"/>
                <w:szCs w:val="21"/>
                <w:highlight w:val="none"/>
              </w:rPr>
            </w:pPr>
            <w:r>
              <w:rPr>
                <w:rFonts w:hint="eastAsia" w:ascii="宋体" w:hAnsi="宋体"/>
                <w:color w:val="auto"/>
                <w:szCs w:val="21"/>
                <w:highlight w:val="none"/>
              </w:rPr>
              <w:t>磋商小组对所有磋商响应文件的“项目实施方案”中“工程进度计划与保证措施”部分内容进行详细地审查后，综合评审评分：</w:t>
            </w:r>
          </w:p>
          <w:p w14:paraId="4DBA3F5C">
            <w:pPr>
              <w:spacing w:line="420" w:lineRule="exact"/>
              <w:rPr>
                <w:rFonts w:hint="eastAsia" w:ascii="宋体" w:hAnsi="宋体"/>
                <w:color w:val="auto"/>
                <w:szCs w:val="21"/>
                <w:highlight w:val="none"/>
              </w:rPr>
            </w:pPr>
            <w:r>
              <w:rPr>
                <w:rFonts w:hint="eastAsia" w:ascii="宋体" w:hAnsi="宋体"/>
                <w:color w:val="auto"/>
                <w:szCs w:val="21"/>
                <w:highlight w:val="none"/>
              </w:rPr>
              <w:t>第一档次（</w:t>
            </w:r>
            <w:r>
              <w:rPr>
                <w:rFonts w:hint="eastAsia" w:ascii="宋体" w:hAnsi="宋体"/>
                <w:color w:val="auto"/>
                <w:szCs w:val="21"/>
                <w:highlight w:val="none"/>
                <w:lang w:val="en-US" w:eastAsia="zh-CN"/>
              </w:rPr>
              <w:t>10</w:t>
            </w:r>
            <w:r>
              <w:rPr>
                <w:rFonts w:hint="eastAsia" w:ascii="宋体" w:hAnsi="宋体"/>
                <w:color w:val="auto"/>
                <w:szCs w:val="21"/>
                <w:highlight w:val="none"/>
              </w:rPr>
              <w:t>分）：总工期及节点工期满足竞争性磋商文件要求：施工进度计划内容全面，线路清晰、准确、完整，计划编制合理可行，有详细完整地计划开、竣工日期和施工进度网络图；计划安排保障措施有力、合理、可行。</w:t>
            </w:r>
          </w:p>
          <w:p w14:paraId="4F2806FE">
            <w:pPr>
              <w:spacing w:line="420" w:lineRule="exact"/>
              <w:rPr>
                <w:rFonts w:hint="eastAsia" w:ascii="宋体" w:hAnsi="宋体"/>
                <w:color w:val="auto"/>
                <w:szCs w:val="21"/>
                <w:highlight w:val="none"/>
              </w:rPr>
            </w:pPr>
            <w:r>
              <w:rPr>
                <w:rFonts w:hint="eastAsia" w:ascii="宋体" w:hAnsi="宋体"/>
                <w:color w:val="auto"/>
                <w:szCs w:val="21"/>
                <w:highlight w:val="none"/>
              </w:rPr>
              <w:t>第二档次（</w:t>
            </w:r>
            <w:r>
              <w:rPr>
                <w:rFonts w:hint="eastAsia" w:ascii="宋体" w:hAnsi="宋体"/>
                <w:color w:val="auto"/>
                <w:szCs w:val="21"/>
                <w:highlight w:val="none"/>
                <w:lang w:val="en-US" w:eastAsia="zh-CN"/>
              </w:rPr>
              <w:t>7</w:t>
            </w:r>
            <w:r>
              <w:rPr>
                <w:rFonts w:hint="eastAsia" w:ascii="宋体" w:hAnsi="宋体"/>
                <w:color w:val="auto"/>
                <w:szCs w:val="21"/>
                <w:highlight w:val="none"/>
              </w:rPr>
              <w:t>分）：总工期及节点工期满足竞争性磋商文件要求：施工进度计划内容较全面，线路较清晰，计划编制较合理，有完整的计划开、竣工日期和施工进度网络图；计划安排保障措施可行。</w:t>
            </w:r>
          </w:p>
          <w:p w14:paraId="4310731D">
            <w:pPr>
              <w:spacing w:line="420" w:lineRule="exact"/>
              <w:rPr>
                <w:rFonts w:hint="eastAsia" w:ascii="宋体" w:hAnsi="宋体"/>
                <w:color w:val="auto"/>
                <w:szCs w:val="21"/>
                <w:highlight w:val="none"/>
              </w:rPr>
            </w:pPr>
            <w:r>
              <w:rPr>
                <w:rFonts w:hint="eastAsia" w:ascii="宋体" w:hAnsi="宋体"/>
                <w:color w:val="auto"/>
                <w:szCs w:val="21"/>
                <w:highlight w:val="none"/>
              </w:rPr>
              <w:t>第三档次（4分）：总工期及节点工期满足竞争性磋商文件要求：施工进度计划内容不够全面，线路不够清晰，计划编制不够合理，计划开、竣工日期和施工进度网络图存在缺陷；计划安排保障措施基本可行。</w:t>
            </w:r>
          </w:p>
          <w:p w14:paraId="10CDF266">
            <w:pPr>
              <w:spacing w:line="420" w:lineRule="exact"/>
              <w:rPr>
                <w:rFonts w:hint="eastAsia" w:ascii="宋体" w:hAnsi="宋体"/>
                <w:color w:val="auto"/>
                <w:szCs w:val="21"/>
                <w:highlight w:val="none"/>
              </w:rPr>
            </w:pPr>
            <w:r>
              <w:rPr>
                <w:rFonts w:hint="eastAsia" w:ascii="宋体" w:hAnsi="宋体"/>
                <w:color w:val="auto"/>
                <w:szCs w:val="21"/>
                <w:highlight w:val="none"/>
              </w:rPr>
              <w:t>第四档次（</w:t>
            </w:r>
            <w:r>
              <w:rPr>
                <w:rFonts w:hint="eastAsia" w:ascii="宋体" w:hAnsi="宋体"/>
                <w:color w:val="auto"/>
                <w:szCs w:val="21"/>
                <w:highlight w:val="none"/>
                <w:lang w:val="en-US" w:eastAsia="zh-CN"/>
              </w:rPr>
              <w:t>1</w:t>
            </w:r>
            <w:r>
              <w:rPr>
                <w:rFonts w:hint="eastAsia" w:ascii="宋体" w:hAnsi="宋体"/>
                <w:color w:val="auto"/>
                <w:szCs w:val="21"/>
                <w:highlight w:val="none"/>
              </w:rPr>
              <w:t>分）：总工期及节点工期满足竞争性磋商文件要求：施工进度计划内容不够全面，线路不够清晰，计划编制不够合理，无计划开、竣工日期和施工进度网络；计划安排保障措施保障一般。</w:t>
            </w:r>
          </w:p>
          <w:p w14:paraId="7C361A17">
            <w:pPr>
              <w:spacing w:line="420" w:lineRule="exact"/>
              <w:rPr>
                <w:rFonts w:ascii="宋体" w:hAnsi="宋体"/>
                <w:color w:val="auto"/>
                <w:szCs w:val="21"/>
                <w:highlight w:val="none"/>
              </w:rPr>
            </w:pPr>
            <w:r>
              <w:rPr>
                <w:rFonts w:hint="eastAsia" w:ascii="宋体" w:hAnsi="宋体"/>
                <w:color w:val="auto"/>
                <w:szCs w:val="21"/>
                <w:highlight w:val="none"/>
              </w:rPr>
              <w:t>第五档次（0分）：总工期及节点工期不满足竞争性磋商文件要求：施工进度计划内容不够全面，线路不够清晰，计划编制不够合理，无计划开、竣工日期和施工进度网络图；无计划安排保障措施。</w:t>
            </w:r>
          </w:p>
        </w:tc>
      </w:tr>
      <w:tr w14:paraId="28A3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0821AFE1">
            <w:pPr>
              <w:spacing w:line="440" w:lineRule="exact"/>
              <w:jc w:val="center"/>
              <w:rPr>
                <w:rFonts w:ascii="宋体" w:hAnsi="宋体"/>
                <w:color w:val="auto"/>
                <w:szCs w:val="21"/>
                <w:highlight w:val="none"/>
              </w:rPr>
            </w:pPr>
          </w:p>
        </w:tc>
        <w:tc>
          <w:tcPr>
            <w:tcW w:w="1276" w:type="dxa"/>
            <w:gridSpan w:val="2"/>
            <w:vAlign w:val="center"/>
          </w:tcPr>
          <w:p w14:paraId="0D194C02">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资源配备计划（满分</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w:t>
            </w:r>
          </w:p>
        </w:tc>
        <w:tc>
          <w:tcPr>
            <w:tcW w:w="7460" w:type="dxa"/>
            <w:vAlign w:val="center"/>
          </w:tcPr>
          <w:p w14:paraId="3C25F09D">
            <w:pPr>
              <w:spacing w:line="420" w:lineRule="exact"/>
              <w:rPr>
                <w:rFonts w:hint="eastAsia" w:ascii="宋体" w:hAnsi="宋体"/>
                <w:color w:val="auto"/>
                <w:szCs w:val="21"/>
                <w:highlight w:val="none"/>
              </w:rPr>
            </w:pPr>
            <w:r>
              <w:rPr>
                <w:rFonts w:hint="eastAsia" w:ascii="宋体" w:hAnsi="宋体"/>
                <w:color w:val="auto"/>
                <w:szCs w:val="21"/>
                <w:highlight w:val="none"/>
              </w:rPr>
              <w:t>磋商小组对所有磋商响应文件的“项目实施方案”中“资源配备计划”部分内容进行详细地审查后，综合评审评分：</w:t>
            </w:r>
          </w:p>
          <w:p w14:paraId="7A42563E">
            <w:pPr>
              <w:spacing w:line="420" w:lineRule="exact"/>
              <w:rPr>
                <w:rFonts w:hint="eastAsia" w:ascii="宋体" w:hAnsi="宋体"/>
                <w:color w:val="auto"/>
                <w:szCs w:val="21"/>
                <w:highlight w:val="none"/>
              </w:rPr>
            </w:pPr>
            <w:r>
              <w:rPr>
                <w:rFonts w:hint="eastAsia" w:ascii="宋体" w:hAnsi="宋体"/>
                <w:color w:val="auto"/>
                <w:szCs w:val="21"/>
                <w:highlight w:val="none"/>
              </w:rPr>
              <w:t>第一档次（</w:t>
            </w:r>
            <w:r>
              <w:rPr>
                <w:rFonts w:hint="eastAsia" w:ascii="宋体" w:hAnsi="宋体"/>
                <w:color w:val="auto"/>
                <w:szCs w:val="21"/>
                <w:highlight w:val="none"/>
                <w:lang w:val="en-US" w:eastAsia="zh-CN"/>
              </w:rPr>
              <w:t>5</w:t>
            </w:r>
            <w:r>
              <w:rPr>
                <w:rFonts w:hint="eastAsia" w:ascii="宋体" w:hAnsi="宋体"/>
                <w:color w:val="auto"/>
                <w:szCs w:val="21"/>
                <w:highlight w:val="none"/>
              </w:rPr>
              <w:t>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456C94FF">
            <w:pPr>
              <w:spacing w:line="420" w:lineRule="exact"/>
              <w:rPr>
                <w:rFonts w:hint="eastAsia" w:ascii="宋体" w:hAnsi="宋体"/>
                <w:color w:val="auto"/>
                <w:szCs w:val="21"/>
                <w:highlight w:val="none"/>
              </w:rPr>
            </w:pPr>
            <w:r>
              <w:rPr>
                <w:rFonts w:hint="eastAsia" w:ascii="宋体" w:hAnsi="宋体"/>
                <w:color w:val="auto"/>
                <w:szCs w:val="21"/>
                <w:highlight w:val="none"/>
              </w:rPr>
              <w:t>第二档次（</w:t>
            </w:r>
            <w:r>
              <w:rPr>
                <w:rFonts w:hint="eastAsia" w:ascii="宋体" w:hAnsi="宋体"/>
                <w:color w:val="auto"/>
                <w:szCs w:val="21"/>
                <w:highlight w:val="none"/>
                <w:lang w:val="en-US" w:eastAsia="zh-CN"/>
              </w:rPr>
              <w:t>4</w:t>
            </w:r>
            <w:r>
              <w:rPr>
                <w:rFonts w:hint="eastAsia" w:ascii="宋体" w:hAnsi="宋体"/>
                <w:color w:val="auto"/>
                <w:szCs w:val="21"/>
                <w:highlight w:val="none"/>
              </w:rPr>
              <w:t>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0E7D80BF">
            <w:pPr>
              <w:spacing w:line="420" w:lineRule="exact"/>
              <w:rPr>
                <w:rFonts w:hint="eastAsia" w:ascii="宋体" w:hAnsi="宋体"/>
                <w:color w:val="auto"/>
                <w:szCs w:val="21"/>
                <w:highlight w:val="none"/>
              </w:rPr>
            </w:pPr>
            <w:r>
              <w:rPr>
                <w:rFonts w:hint="eastAsia" w:ascii="宋体" w:hAnsi="宋体"/>
                <w:color w:val="auto"/>
                <w:szCs w:val="21"/>
                <w:highlight w:val="none"/>
              </w:rPr>
              <w:t>第三档次（</w:t>
            </w:r>
            <w:r>
              <w:rPr>
                <w:rFonts w:hint="eastAsia" w:ascii="宋体" w:hAnsi="宋体"/>
                <w:color w:val="auto"/>
                <w:szCs w:val="21"/>
                <w:highlight w:val="none"/>
                <w:lang w:val="en-US" w:eastAsia="zh-CN"/>
              </w:rPr>
              <w:t>3</w:t>
            </w:r>
            <w:r>
              <w:rPr>
                <w:rFonts w:hint="eastAsia" w:ascii="宋体" w:hAnsi="宋体"/>
                <w:color w:val="auto"/>
                <w:szCs w:val="21"/>
                <w:highlight w:val="none"/>
              </w:rPr>
              <w:t>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20A97F99">
            <w:pPr>
              <w:spacing w:line="420" w:lineRule="exact"/>
              <w:rPr>
                <w:rFonts w:hint="eastAsia" w:ascii="宋体" w:hAnsi="宋体"/>
                <w:color w:val="auto"/>
                <w:szCs w:val="21"/>
                <w:highlight w:val="none"/>
              </w:rPr>
            </w:pPr>
            <w:r>
              <w:rPr>
                <w:rFonts w:hint="eastAsia" w:ascii="宋体" w:hAnsi="宋体"/>
                <w:color w:val="auto"/>
                <w:szCs w:val="21"/>
                <w:highlight w:val="none"/>
              </w:rPr>
              <w:t>第四档次（</w:t>
            </w:r>
            <w:r>
              <w:rPr>
                <w:rFonts w:hint="eastAsia" w:ascii="宋体" w:hAnsi="宋体"/>
                <w:color w:val="auto"/>
                <w:szCs w:val="21"/>
                <w:highlight w:val="none"/>
                <w:lang w:val="en-US" w:eastAsia="zh-CN"/>
              </w:rPr>
              <w:t>2</w:t>
            </w:r>
            <w:r>
              <w:rPr>
                <w:rFonts w:hint="eastAsia" w:ascii="宋体" w:hAnsi="宋体"/>
                <w:color w:val="auto"/>
                <w:szCs w:val="21"/>
                <w:highlight w:val="none"/>
              </w:rPr>
              <w:t>分）：劳动力计划、周转材料计划、施工机具计划、主要材料一次性需用量计划等资源投入计划与施工部署、施工方法及进度计划不满足施工需要，无“劳动力计划表、拟投入的主要施工机具表”；调配投入计划一般。</w:t>
            </w:r>
          </w:p>
          <w:p w14:paraId="5DA3CE27">
            <w:pPr>
              <w:spacing w:line="420" w:lineRule="exact"/>
              <w:rPr>
                <w:rFonts w:ascii="宋体" w:hAnsi="宋体"/>
                <w:color w:val="auto"/>
                <w:szCs w:val="21"/>
                <w:highlight w:val="none"/>
              </w:rPr>
            </w:pPr>
            <w:r>
              <w:rPr>
                <w:rFonts w:hint="eastAsia" w:ascii="宋体" w:hAnsi="宋体"/>
                <w:color w:val="auto"/>
                <w:szCs w:val="21"/>
                <w:highlight w:val="none"/>
              </w:rPr>
              <w:t>第五档次（0分）：无劳动力计划、周转材料计划、施工机具计划、主要材料一次性需用量计划等资源投入计划与施工部署、施工方法及进度计划，有“劳动力计划表、拟投入的主要施工机具表”；调配投入计划不符合要求。</w:t>
            </w:r>
          </w:p>
        </w:tc>
      </w:tr>
      <w:tr w14:paraId="7066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1A6784D3">
            <w:pPr>
              <w:spacing w:line="440" w:lineRule="exact"/>
              <w:jc w:val="center"/>
              <w:rPr>
                <w:rFonts w:ascii="宋体" w:hAnsi="宋体"/>
                <w:color w:val="auto"/>
                <w:szCs w:val="21"/>
                <w:highlight w:val="none"/>
              </w:rPr>
            </w:pPr>
          </w:p>
        </w:tc>
        <w:tc>
          <w:tcPr>
            <w:tcW w:w="1276" w:type="dxa"/>
            <w:gridSpan w:val="2"/>
            <w:vAlign w:val="center"/>
          </w:tcPr>
          <w:p w14:paraId="6EDA4FFA">
            <w:pPr>
              <w:widowControl/>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460" w:type="dxa"/>
            <w:vAlign w:val="center"/>
          </w:tcPr>
          <w:p w14:paraId="5C13B235">
            <w:pPr>
              <w:spacing w:line="420" w:lineRule="exact"/>
              <w:rPr>
                <w:rFonts w:ascii="宋体" w:hAnsi="宋体"/>
                <w:color w:val="auto"/>
                <w:szCs w:val="21"/>
                <w:highlight w:val="none"/>
              </w:rPr>
            </w:pPr>
            <w:r>
              <w:rPr>
                <w:rFonts w:hint="eastAsia" w:ascii="宋体" w:hAnsi="宋体"/>
                <w:color w:val="auto"/>
                <w:szCs w:val="21"/>
                <w:highlight w:val="none"/>
              </w:rPr>
              <w:t>1.对各磋商申请人响应文件的综合技术实力部分独立进行分档评分。</w:t>
            </w:r>
          </w:p>
          <w:p w14:paraId="700A777F">
            <w:pPr>
              <w:spacing w:line="420" w:lineRule="exact"/>
              <w:rPr>
                <w:rFonts w:ascii="宋体" w:hAnsi="宋体"/>
                <w:color w:val="auto"/>
                <w:szCs w:val="21"/>
                <w:highlight w:val="none"/>
              </w:rPr>
            </w:pPr>
            <w:r>
              <w:rPr>
                <w:rFonts w:hint="eastAsia" w:ascii="宋体" w:hAnsi="宋体"/>
                <w:color w:val="auto"/>
                <w:szCs w:val="21"/>
                <w:highlight w:val="none"/>
              </w:rPr>
              <w:t>2.各磋商申请人须根据上述评分因素提供相应证明材料，以便磋商小组进行审查及评分。如上述资料提供不全或来源不明确，以致磋商小组无法核实的或判定的，则对应评分项应为最后一个档次。</w:t>
            </w:r>
          </w:p>
        </w:tc>
      </w:tr>
      <w:tr w14:paraId="274C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Align w:val="center"/>
          </w:tcPr>
          <w:p w14:paraId="36521C9E">
            <w:pPr>
              <w:spacing w:line="440" w:lineRule="exact"/>
              <w:jc w:val="center"/>
              <w:rPr>
                <w:rFonts w:ascii="宋体" w:hAnsi="宋体"/>
                <w:color w:val="auto"/>
                <w:szCs w:val="21"/>
                <w:highlight w:val="none"/>
              </w:rPr>
            </w:pPr>
            <w:r>
              <w:rPr>
                <w:rFonts w:hint="eastAsia" w:ascii="宋体" w:hAnsi="宋体"/>
                <w:color w:val="auto"/>
                <w:szCs w:val="21"/>
                <w:highlight w:val="none"/>
              </w:rPr>
              <w:t>3.2</w:t>
            </w:r>
            <w:r>
              <w:rPr>
                <w:rFonts w:hint="eastAsia" w:ascii="宋体"/>
                <w:color w:val="auto"/>
                <w:szCs w:val="21"/>
                <w:highlight w:val="none"/>
              </w:rPr>
              <w:t>(磋商报价部分F2)</w:t>
            </w:r>
          </w:p>
        </w:tc>
        <w:tc>
          <w:tcPr>
            <w:tcW w:w="1276" w:type="dxa"/>
            <w:gridSpan w:val="2"/>
            <w:vAlign w:val="center"/>
          </w:tcPr>
          <w:p w14:paraId="0CCAE25D">
            <w:pPr>
              <w:spacing w:line="440" w:lineRule="exact"/>
              <w:jc w:val="center"/>
              <w:rPr>
                <w:rFonts w:ascii="宋体" w:hAnsi="宋体"/>
                <w:color w:val="auto"/>
                <w:szCs w:val="21"/>
                <w:highlight w:val="none"/>
              </w:rPr>
            </w:pPr>
            <w:r>
              <w:rPr>
                <w:rFonts w:hint="eastAsia" w:ascii="宋体" w:hAnsi="宋体"/>
                <w:color w:val="auto"/>
                <w:szCs w:val="21"/>
                <w:highlight w:val="none"/>
              </w:rPr>
              <w:t>磋商报价（满分</w:t>
            </w:r>
            <w:r>
              <w:rPr>
                <w:rFonts w:hint="eastAsia" w:ascii="宋体" w:hAnsi="宋体"/>
                <w:color w:val="auto"/>
                <w:szCs w:val="21"/>
                <w:highlight w:val="none"/>
                <w:lang w:val="en-US" w:eastAsia="zh-CN"/>
              </w:rPr>
              <w:t>30</w:t>
            </w:r>
            <w:r>
              <w:rPr>
                <w:rFonts w:hint="eastAsia" w:ascii="宋体" w:hAnsi="宋体"/>
                <w:color w:val="auto"/>
                <w:szCs w:val="21"/>
                <w:highlight w:val="none"/>
              </w:rPr>
              <w:t>分）</w:t>
            </w:r>
          </w:p>
        </w:tc>
        <w:tc>
          <w:tcPr>
            <w:tcW w:w="7460" w:type="dxa"/>
          </w:tcPr>
          <w:p w14:paraId="3F978F64">
            <w:pPr>
              <w:adjustRightInd w:val="0"/>
              <w:rPr>
                <w:rFonts w:hint="default" w:hAnsi="宋体" w:eastAsia="宋体"/>
                <w:color w:val="auto"/>
                <w:szCs w:val="21"/>
                <w:highlight w:val="none"/>
                <w:lang w:val="en-US" w:eastAsia="zh-CN"/>
              </w:rPr>
            </w:pPr>
            <w:r>
              <w:rPr>
                <w:rFonts w:hint="eastAsia" w:hAnsi="宋体"/>
                <w:color w:val="auto"/>
                <w:szCs w:val="21"/>
                <w:highlight w:val="none"/>
              </w:rPr>
              <w:t>磋商最终报价得分计算公式=（评审基准价/该磋商申请人最终报价）×</w:t>
            </w:r>
            <w:r>
              <w:rPr>
                <w:rFonts w:hint="eastAsia" w:hAnsi="宋体"/>
                <w:color w:val="auto"/>
                <w:szCs w:val="21"/>
                <w:highlight w:val="none"/>
                <w:lang w:val="en-US" w:eastAsia="zh-CN"/>
              </w:rPr>
              <w:t>30</w:t>
            </w:r>
          </w:p>
          <w:p w14:paraId="0D574E72">
            <w:pPr>
              <w:widowControl/>
              <w:spacing w:line="4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即：P1</w:t>
            </w:r>
            <w:r>
              <w:rPr>
                <w:rFonts w:ascii="宋体" w:hAnsi="宋体" w:cs="宋体"/>
                <w:color w:val="auto"/>
                <w:szCs w:val="21"/>
                <w:highlight w:val="none"/>
              </w:rPr>
              <w:t>=[</w:t>
            </w:r>
            <w:r>
              <w:rPr>
                <w:rFonts w:hint="eastAsia" w:ascii="宋体" w:hAnsi="宋体" w:cs="宋体"/>
                <w:color w:val="auto"/>
                <w:szCs w:val="21"/>
                <w:highlight w:val="none"/>
              </w:rPr>
              <w:t>P</w:t>
            </w: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w:t>
            </w:r>
            <w:r>
              <w:rPr>
                <w:rFonts w:hint="eastAsia" w:ascii="宋体" w:hAnsi="宋体" w:cs="宋体"/>
                <w:color w:val="auto"/>
                <w:szCs w:val="21"/>
                <w:highlight w:val="none"/>
                <w:lang w:val="en-US" w:eastAsia="zh-CN"/>
              </w:rPr>
              <w:t>30</w:t>
            </w:r>
          </w:p>
          <w:p w14:paraId="662D2DE6">
            <w:pPr>
              <w:spacing w:line="420" w:lineRule="exact"/>
              <w:rPr>
                <w:rFonts w:ascii="宋体"/>
                <w:color w:val="auto"/>
                <w:szCs w:val="21"/>
                <w:highlight w:val="none"/>
              </w:rPr>
            </w:pPr>
            <w:r>
              <w:rPr>
                <w:rFonts w:hint="eastAsia" w:ascii="宋体"/>
                <w:color w:val="auto"/>
                <w:szCs w:val="21"/>
                <w:highlight w:val="none"/>
              </w:rPr>
              <w:t>注：P为</w:t>
            </w:r>
            <w:r>
              <w:rPr>
                <w:rFonts w:ascii="宋体"/>
                <w:color w:val="auto"/>
                <w:szCs w:val="21"/>
                <w:highlight w:val="none"/>
              </w:rPr>
              <w:t>评</w:t>
            </w:r>
            <w:r>
              <w:rPr>
                <w:rFonts w:hint="eastAsia" w:ascii="宋体"/>
                <w:color w:val="auto"/>
                <w:szCs w:val="21"/>
                <w:highlight w:val="none"/>
              </w:rPr>
              <w:t>审</w:t>
            </w:r>
            <w:r>
              <w:rPr>
                <w:rFonts w:ascii="宋体"/>
                <w:color w:val="auto"/>
                <w:szCs w:val="21"/>
                <w:highlight w:val="none"/>
              </w:rPr>
              <w:t>基准价，</w:t>
            </w:r>
            <w:r>
              <w:rPr>
                <w:rFonts w:hint="eastAsia" w:ascii="宋体"/>
                <w:color w:val="auto"/>
                <w:szCs w:val="21"/>
                <w:highlight w:val="none"/>
              </w:rPr>
              <w:t>为通过资格及</w:t>
            </w:r>
            <w:r>
              <w:rPr>
                <w:rFonts w:hint="eastAsia" w:ascii="宋体"/>
                <w:color w:val="auto"/>
                <w:szCs w:val="21"/>
                <w:highlight w:val="none"/>
                <w:lang w:eastAsia="zh-CN"/>
              </w:rPr>
              <w:t>符合性</w:t>
            </w:r>
            <w:r>
              <w:rPr>
                <w:rFonts w:hint="eastAsia" w:ascii="宋体"/>
                <w:color w:val="auto"/>
                <w:szCs w:val="21"/>
                <w:highlight w:val="none"/>
              </w:rPr>
              <w:t>评审且磋商最终报价最低</w:t>
            </w:r>
            <w:r>
              <w:rPr>
                <w:rFonts w:ascii="宋体"/>
                <w:color w:val="auto"/>
                <w:szCs w:val="21"/>
                <w:highlight w:val="none"/>
              </w:rPr>
              <w:t>的</w:t>
            </w:r>
            <w:r>
              <w:rPr>
                <w:rFonts w:hint="eastAsia" w:ascii="宋体"/>
                <w:color w:val="auto"/>
                <w:szCs w:val="21"/>
                <w:highlight w:val="none"/>
              </w:rPr>
              <w:t>有效</w:t>
            </w:r>
            <w:r>
              <w:rPr>
                <w:rFonts w:ascii="宋体"/>
                <w:color w:val="auto"/>
                <w:szCs w:val="21"/>
                <w:highlight w:val="none"/>
              </w:rPr>
              <w:t>报价；</w:t>
            </w:r>
          </w:p>
          <w:p w14:paraId="59CF8BB8">
            <w:pPr>
              <w:widowControl/>
              <w:spacing w:line="420" w:lineRule="exact"/>
              <w:rPr>
                <w:rFonts w:ascii="宋体" w:hAnsi="宋体" w:cs="宋体"/>
                <w:color w:val="auto"/>
                <w:szCs w:val="21"/>
                <w:highlight w:val="none"/>
              </w:rPr>
            </w:pP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Bn为</w:t>
            </w:r>
            <w:r>
              <w:rPr>
                <w:rFonts w:hint="eastAsia" w:ascii="宋体" w:hAnsi="宋体" w:cs="宋体"/>
                <w:color w:val="auto"/>
                <w:szCs w:val="21"/>
                <w:highlight w:val="none"/>
              </w:rPr>
              <w:t>通过资格评审及</w:t>
            </w:r>
            <w:r>
              <w:rPr>
                <w:rFonts w:hint="eastAsia" w:ascii="宋体" w:hAnsi="宋体" w:cs="宋体"/>
                <w:color w:val="auto"/>
                <w:szCs w:val="21"/>
                <w:highlight w:val="none"/>
                <w:lang w:eastAsia="zh-CN"/>
              </w:rPr>
              <w:t>符合性</w:t>
            </w:r>
            <w:r>
              <w:rPr>
                <w:rFonts w:hint="eastAsia" w:ascii="宋体" w:hAnsi="宋体" w:cs="宋体"/>
                <w:color w:val="auto"/>
                <w:szCs w:val="21"/>
                <w:highlight w:val="none"/>
              </w:rPr>
              <w:t>评审</w:t>
            </w:r>
            <w:r>
              <w:rPr>
                <w:rFonts w:ascii="宋体" w:hAnsi="宋体" w:cs="宋体"/>
                <w:color w:val="auto"/>
                <w:szCs w:val="21"/>
                <w:highlight w:val="none"/>
              </w:rPr>
              <w:t>的</w:t>
            </w:r>
            <w:r>
              <w:rPr>
                <w:rFonts w:hint="eastAsia" w:ascii="宋体" w:hAnsi="宋体" w:cs="宋体"/>
                <w:color w:val="auto"/>
                <w:szCs w:val="21"/>
                <w:highlight w:val="none"/>
              </w:rPr>
              <w:t>所有有效磋商申请人的最终</w:t>
            </w:r>
            <w:r>
              <w:rPr>
                <w:rFonts w:ascii="宋体" w:hAnsi="宋体" w:cs="宋体"/>
                <w:color w:val="auto"/>
                <w:szCs w:val="21"/>
                <w:highlight w:val="none"/>
              </w:rPr>
              <w:t>报价</w:t>
            </w:r>
            <w:r>
              <w:rPr>
                <w:rFonts w:hint="eastAsia" w:ascii="宋体" w:hAnsi="宋体" w:cs="宋体"/>
                <w:color w:val="auto"/>
                <w:szCs w:val="21"/>
                <w:highlight w:val="none"/>
              </w:rPr>
              <w:t>，n为通过资格评审及</w:t>
            </w:r>
            <w:r>
              <w:rPr>
                <w:rFonts w:hint="eastAsia" w:ascii="宋体" w:hAnsi="宋体" w:cs="宋体"/>
                <w:color w:val="auto"/>
                <w:szCs w:val="21"/>
                <w:highlight w:val="none"/>
                <w:lang w:eastAsia="zh-CN"/>
              </w:rPr>
              <w:t>符合性</w:t>
            </w:r>
            <w:r>
              <w:rPr>
                <w:rFonts w:hint="eastAsia" w:ascii="宋体" w:hAnsi="宋体" w:cs="宋体"/>
                <w:color w:val="auto"/>
                <w:szCs w:val="21"/>
                <w:highlight w:val="none"/>
              </w:rPr>
              <w:t>评审</w:t>
            </w:r>
            <w:r>
              <w:rPr>
                <w:rFonts w:ascii="宋体" w:hAnsi="宋体" w:cs="宋体"/>
                <w:color w:val="auto"/>
                <w:szCs w:val="21"/>
                <w:highlight w:val="none"/>
              </w:rPr>
              <w:t>的有效</w:t>
            </w:r>
            <w:r>
              <w:rPr>
                <w:rFonts w:hint="eastAsia" w:ascii="宋体" w:hAnsi="宋体" w:cs="宋体"/>
                <w:color w:val="auto"/>
                <w:szCs w:val="21"/>
                <w:highlight w:val="none"/>
              </w:rPr>
              <w:t>投标人报价的个数</w:t>
            </w:r>
            <w:r>
              <w:rPr>
                <w:rFonts w:ascii="宋体" w:hAnsi="宋体" w:cs="宋体"/>
                <w:color w:val="auto"/>
                <w:szCs w:val="21"/>
                <w:highlight w:val="none"/>
              </w:rPr>
              <w:t>。</w:t>
            </w:r>
          </w:p>
          <w:p w14:paraId="0FEFEEAF">
            <w:pPr>
              <w:spacing w:line="420" w:lineRule="exact"/>
              <w:rPr>
                <w:rFonts w:hint="eastAsia" w:ascii="宋体" w:hAnsi="宋体" w:cs="宋体"/>
                <w:color w:val="auto"/>
                <w:szCs w:val="21"/>
                <w:highlight w:val="none"/>
              </w:rPr>
            </w:pPr>
            <w:r>
              <w:rPr>
                <w:rFonts w:hint="eastAsia" w:ascii="宋体" w:hAnsi="宋体" w:cs="宋体"/>
                <w:color w:val="auto"/>
                <w:szCs w:val="21"/>
                <w:highlight w:val="none"/>
              </w:rPr>
              <w:t>同时，为了防止投标人低价倾销恶意报价，最后导致本项目质量受损的状况发生，投标人针对项目的报价为不合理低价的，其提交的</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作无效</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处理。</w:t>
            </w:r>
          </w:p>
          <w:p w14:paraId="04C2A128">
            <w:pPr>
              <w:spacing w:line="420" w:lineRule="exact"/>
              <w:ind w:firstLine="316" w:firstLineChars="150"/>
              <w:rPr>
                <w:rFonts w:ascii="宋体"/>
                <w:color w:val="auto"/>
                <w:szCs w:val="21"/>
                <w:highlight w:val="none"/>
              </w:rPr>
            </w:pPr>
            <w:r>
              <w:rPr>
                <w:rFonts w:hint="eastAsia" w:hAnsi="宋体"/>
                <w:b/>
                <w:color w:val="auto"/>
                <w:highlight w:val="none"/>
              </w:rPr>
              <w:t>注：根据《政府采购货物和服务招标投标管理办法》（财政部第87号令）第六十条：评标委员会认为磋商申请人的报价明显低于其他通过符合性审查磋商申请人的报价，有可能影响产品质量或者不能诚信履约的，应当要求其在评标现场合理的时间内提供书面说明，必要时提交相关证明材料；磋商申请人不能证明其报价合理性的，评标委员会应当将其作为无效投标处理。</w:t>
            </w:r>
          </w:p>
        </w:tc>
      </w:tr>
    </w:tbl>
    <w:p w14:paraId="174A7E58">
      <w:pPr>
        <w:rPr>
          <w:rFonts w:hint="eastAsia" w:ascii="宋体" w:hAnsi="宋体"/>
          <w:b/>
          <w:color w:val="auto"/>
          <w:kern w:val="0"/>
          <w:szCs w:val="21"/>
          <w:highlight w:val="none"/>
        </w:rPr>
      </w:pPr>
      <w:bookmarkStart w:id="321" w:name="_Toc347849269"/>
      <w:bookmarkStart w:id="322" w:name="_Toc383175531"/>
      <w:bookmarkStart w:id="323" w:name="_Toc378499750"/>
      <w:bookmarkStart w:id="324" w:name="_Toc86124094"/>
      <w:r>
        <w:rPr>
          <w:rFonts w:hint="eastAsia" w:ascii="宋体" w:hAnsi="宋体"/>
          <w:b/>
          <w:color w:val="auto"/>
          <w:kern w:val="0"/>
          <w:szCs w:val="21"/>
          <w:highlight w:val="none"/>
        </w:rPr>
        <w:br w:type="page"/>
      </w:r>
    </w:p>
    <w:p w14:paraId="684BA469">
      <w:pPr>
        <w:pStyle w:val="3"/>
        <w:spacing w:before="0"/>
        <w:rPr>
          <w:rFonts w:hint="eastAsia" w:ascii="宋体" w:hAnsi="宋体" w:eastAsia="宋体"/>
          <w:b/>
          <w:color w:val="auto"/>
          <w:kern w:val="0"/>
          <w:sz w:val="28"/>
          <w:szCs w:val="28"/>
          <w:highlight w:val="none"/>
          <w:lang w:eastAsia="zh-CN"/>
        </w:rPr>
      </w:pPr>
      <w:r>
        <w:rPr>
          <w:rFonts w:hint="eastAsia" w:ascii="Times New Roman" w:hAnsi="Times New Roman"/>
          <w:color w:val="auto"/>
          <w:szCs w:val="28"/>
          <w:highlight w:val="none"/>
          <w:lang w:eastAsia="zh-CN"/>
        </w:rPr>
        <w:t>总则</w:t>
      </w:r>
    </w:p>
    <w:p w14:paraId="3CAB67D0">
      <w:pPr>
        <w:spacing w:line="360" w:lineRule="auto"/>
        <w:ind w:firstLine="422" w:firstLineChars="200"/>
        <w:rPr>
          <w:rFonts w:ascii="宋体" w:hAnsi="宋体"/>
          <w:color w:val="auto"/>
          <w:kern w:val="0"/>
          <w:szCs w:val="21"/>
          <w:highlight w:val="none"/>
        </w:rPr>
      </w:pPr>
      <w:r>
        <w:rPr>
          <w:rFonts w:hint="eastAsia" w:ascii="宋体" w:hAnsi="宋体"/>
          <w:b/>
          <w:color w:val="auto"/>
          <w:kern w:val="0"/>
          <w:szCs w:val="21"/>
          <w:highlight w:val="none"/>
        </w:rPr>
        <w:t>一、磋商方法</w:t>
      </w:r>
    </w:p>
    <w:p w14:paraId="48EDC829">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综合评分法。磋商小组将根据评审办法计算出各磋商申请人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7F5DC834">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2D77C1D7">
      <w:pPr>
        <w:spacing w:line="360" w:lineRule="auto"/>
        <w:ind w:firstLine="316" w:firstLineChars="150"/>
        <w:rPr>
          <w:rFonts w:ascii="宋体" w:hAnsi="宋体"/>
          <w:b/>
          <w:color w:val="auto"/>
          <w:kern w:val="0"/>
          <w:szCs w:val="21"/>
          <w:highlight w:val="none"/>
        </w:rPr>
      </w:pPr>
      <w:bookmarkStart w:id="325" w:name="_Toc378499754"/>
      <w:bookmarkStart w:id="326" w:name="_Toc191374451"/>
      <w:bookmarkStart w:id="327" w:name="_Toc347849273"/>
      <w:bookmarkStart w:id="328" w:name="_Toc86124098"/>
      <w:bookmarkStart w:id="329" w:name="_Toc383175535"/>
      <w:r>
        <w:rPr>
          <w:rFonts w:hint="eastAsia" w:ascii="宋体" w:hAnsi="宋体"/>
          <w:b/>
          <w:color w:val="auto"/>
          <w:kern w:val="0"/>
          <w:szCs w:val="21"/>
          <w:highlight w:val="none"/>
        </w:rPr>
        <w:t>二</w:t>
      </w:r>
      <w:r>
        <w:rPr>
          <w:rFonts w:ascii="宋体" w:hAnsi="宋体"/>
          <w:b/>
          <w:color w:val="auto"/>
          <w:kern w:val="0"/>
          <w:szCs w:val="21"/>
          <w:highlight w:val="none"/>
        </w:rPr>
        <w:t xml:space="preserve">. </w:t>
      </w:r>
      <w:r>
        <w:rPr>
          <w:rFonts w:hint="eastAsia" w:ascii="宋体" w:hAnsi="宋体"/>
          <w:b/>
          <w:color w:val="auto"/>
          <w:kern w:val="0"/>
          <w:szCs w:val="21"/>
          <w:highlight w:val="none"/>
        </w:rPr>
        <w:t>磋商程序</w:t>
      </w:r>
      <w:bookmarkEnd w:id="325"/>
      <w:bookmarkEnd w:id="326"/>
      <w:bookmarkEnd w:id="327"/>
      <w:bookmarkEnd w:id="328"/>
      <w:bookmarkEnd w:id="329"/>
    </w:p>
    <w:p w14:paraId="5E41A8B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w:t>
      </w:r>
      <w:r>
        <w:rPr>
          <w:rFonts w:hint="eastAsia" w:ascii="宋体" w:hAnsi="宋体"/>
          <w:color w:val="auto"/>
          <w:kern w:val="0"/>
          <w:szCs w:val="21"/>
          <w:highlight w:val="none"/>
          <w:lang w:eastAsia="zh-CN"/>
        </w:rPr>
        <w:t>磋商小组</w:t>
      </w:r>
      <w:r>
        <w:rPr>
          <w:rFonts w:hint="eastAsia" w:ascii="宋体" w:hAnsi="宋体"/>
          <w:color w:val="auto"/>
          <w:kern w:val="0"/>
          <w:szCs w:val="21"/>
          <w:highlight w:val="none"/>
        </w:rPr>
        <w:t>依据本磋商程序和方法规定的标准对磋商申请人提交的磋商响应文件进行资格审查。只要有一项不符合磋商标准的，就不能通过资格审查，不再参与磋商。当资格审查通过的磋商申请人少于3家时，将终止本次竞争性磋商采购活动。</w:t>
      </w:r>
    </w:p>
    <w:p w14:paraId="700ABFB5">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.2</w:t>
      </w:r>
      <w:r>
        <w:rPr>
          <w:rFonts w:hint="eastAsia" w:ascii="宋体" w:hAnsi="宋体"/>
          <w:color w:val="auto"/>
          <w:kern w:val="0"/>
          <w:szCs w:val="21"/>
          <w:highlight w:val="none"/>
        </w:rPr>
        <w:t>采购需求的审查以响应文件中所提供的“竞争性磋商报价明细表”</w:t>
      </w:r>
      <w:r>
        <w:rPr>
          <w:rFonts w:hint="eastAsia" w:ascii="宋体" w:hAnsi="宋体"/>
          <w:color w:val="auto"/>
          <w:kern w:val="0"/>
          <w:szCs w:val="21"/>
          <w:highlight w:val="none"/>
          <w:lang w:eastAsia="zh-CN"/>
        </w:rPr>
        <w:t>即已标价工程量清单</w:t>
      </w:r>
      <w:r>
        <w:rPr>
          <w:rFonts w:hint="eastAsia" w:ascii="宋体" w:hAnsi="宋体"/>
          <w:color w:val="auto"/>
          <w:kern w:val="0"/>
          <w:szCs w:val="21"/>
          <w:highlight w:val="none"/>
        </w:rPr>
        <w:t>进行审查；响应文件中未提供相应资料的，按不实质性响应磋商文件处理。</w:t>
      </w:r>
    </w:p>
    <w:p w14:paraId="46EB7999">
      <w:pPr>
        <w:spacing w:line="360" w:lineRule="auto"/>
        <w:ind w:firstLine="316" w:firstLineChars="150"/>
        <w:rPr>
          <w:rFonts w:ascii="宋体" w:hAnsi="宋体"/>
          <w:b/>
          <w:color w:val="auto"/>
          <w:kern w:val="0"/>
          <w:szCs w:val="21"/>
          <w:highlight w:val="none"/>
        </w:rPr>
      </w:pPr>
      <w:r>
        <w:rPr>
          <w:rFonts w:hint="eastAsia" w:ascii="宋体" w:hAnsi="宋体"/>
          <w:b/>
          <w:color w:val="auto"/>
          <w:kern w:val="0"/>
          <w:szCs w:val="21"/>
          <w:highlight w:val="none"/>
        </w:rPr>
        <w:t>三、磋商标准</w:t>
      </w:r>
    </w:p>
    <w:p w14:paraId="47A6C60A">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3.1审查标准</w:t>
      </w:r>
    </w:p>
    <w:p w14:paraId="25542C8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审查标准：依据法律法规和磋商文件的规定，对响应文件中的资格证明、服务要求等实质性要求审查标准进行审查，见</w:t>
      </w:r>
      <w:r>
        <w:rPr>
          <w:rFonts w:ascii="宋体" w:hAnsi="宋体"/>
          <w:color w:val="auto"/>
          <w:kern w:val="0"/>
          <w:szCs w:val="21"/>
          <w:highlight w:val="none"/>
        </w:rPr>
        <w:t>“</w:t>
      </w:r>
      <w:r>
        <w:rPr>
          <w:rFonts w:hint="eastAsia" w:ascii="宋体" w:hAnsi="宋体"/>
          <w:color w:val="auto"/>
          <w:kern w:val="0"/>
          <w:szCs w:val="21"/>
          <w:highlight w:val="none"/>
        </w:rPr>
        <w:t>磋商程序和方法前附表</w:t>
      </w:r>
      <w:r>
        <w:rPr>
          <w:rFonts w:ascii="宋体" w:hAnsi="宋体"/>
          <w:color w:val="auto"/>
          <w:kern w:val="0"/>
          <w:szCs w:val="21"/>
          <w:highlight w:val="none"/>
        </w:rPr>
        <w:t>”</w:t>
      </w:r>
      <w:r>
        <w:rPr>
          <w:rFonts w:hint="eastAsia" w:ascii="宋体" w:hAnsi="宋体"/>
          <w:color w:val="auto"/>
          <w:kern w:val="0"/>
          <w:szCs w:val="21"/>
          <w:highlight w:val="none"/>
        </w:rPr>
        <w:t>。</w:t>
      </w:r>
    </w:p>
    <w:p w14:paraId="111BBD74">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 磋商标准</w:t>
      </w:r>
    </w:p>
    <w:p w14:paraId="3A44AF86">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3.2.1磋商申请人只有通过资格审查才能进行磋商过程及提交最终报价（第二轮磋商报价）及详细评审。</w:t>
      </w:r>
    </w:p>
    <w:p w14:paraId="79954D4D">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3.2.2第二轮磋商报价为磋商申请人的最终报价。若磋商申请人最终报价超过预算价，按无效响应文件处理。</w:t>
      </w:r>
    </w:p>
    <w:p w14:paraId="21F7E4BA">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3.2.3磋商小组依据磋商程序和方法规定的标准对磋商申请人提交的磋商响应文件进行审查。只要有一项不符合磋商标准的，就不能通过</w:t>
      </w:r>
      <w:r>
        <w:rPr>
          <w:rFonts w:hint="eastAsia" w:ascii="宋体" w:hAnsi="宋体"/>
          <w:color w:val="auto"/>
          <w:kern w:val="0"/>
          <w:szCs w:val="21"/>
          <w:highlight w:val="none"/>
          <w:lang w:eastAsia="zh-CN"/>
        </w:rPr>
        <w:t>符合性</w:t>
      </w:r>
      <w:r>
        <w:rPr>
          <w:rFonts w:hint="eastAsia" w:ascii="宋体" w:hAnsi="宋体"/>
          <w:color w:val="auto"/>
          <w:kern w:val="0"/>
          <w:szCs w:val="21"/>
          <w:highlight w:val="none"/>
        </w:rPr>
        <w:t>审查，不再参与下一步详细评审。当</w:t>
      </w:r>
      <w:r>
        <w:rPr>
          <w:rFonts w:hint="eastAsia" w:ascii="宋体" w:hAnsi="宋体"/>
          <w:color w:val="auto"/>
          <w:kern w:val="0"/>
          <w:szCs w:val="21"/>
          <w:highlight w:val="none"/>
          <w:lang w:eastAsia="zh-CN"/>
        </w:rPr>
        <w:t>符合性</w:t>
      </w:r>
      <w:r>
        <w:rPr>
          <w:rFonts w:hint="eastAsia" w:ascii="宋体" w:hAnsi="宋体"/>
          <w:color w:val="auto"/>
          <w:kern w:val="0"/>
          <w:szCs w:val="21"/>
          <w:highlight w:val="none"/>
        </w:rPr>
        <w:t>审查通过的磋商申请人少于3家时，将终止本次竞争性磋商采购活动。</w:t>
      </w:r>
    </w:p>
    <w:p w14:paraId="7749FE2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3.2.4磋商小组对各磋商申请人的响应文件进行详细评审。磋商小组按照得分的高低推荐成交候选人，推荐成交候选人1-3人，并标明排列顺序。</w:t>
      </w:r>
    </w:p>
    <w:bookmarkEnd w:id="321"/>
    <w:bookmarkEnd w:id="322"/>
    <w:bookmarkEnd w:id="323"/>
    <w:bookmarkEnd w:id="324"/>
    <w:p w14:paraId="70FD4C6A">
      <w:pPr>
        <w:spacing w:line="360" w:lineRule="auto"/>
        <w:ind w:firstLine="316" w:firstLineChars="150"/>
        <w:rPr>
          <w:rFonts w:ascii="宋体" w:hAnsi="宋体"/>
          <w:b/>
          <w:color w:val="auto"/>
          <w:kern w:val="0"/>
          <w:szCs w:val="21"/>
          <w:highlight w:val="none"/>
        </w:rPr>
      </w:pPr>
      <w:bookmarkStart w:id="330" w:name="_Toc191374453"/>
      <w:bookmarkStart w:id="331" w:name="_Toc86124100"/>
      <w:bookmarkStart w:id="332" w:name="_Toc48271433"/>
      <w:bookmarkStart w:id="333" w:name="_Toc378499756"/>
      <w:bookmarkStart w:id="334" w:name="_Toc347849275"/>
      <w:bookmarkStart w:id="335" w:name="_Toc329810241"/>
      <w:bookmarkStart w:id="336" w:name="_Toc383175537"/>
      <w:r>
        <w:rPr>
          <w:rFonts w:hint="eastAsia" w:ascii="宋体" w:hAnsi="宋体"/>
          <w:b/>
          <w:color w:val="auto"/>
          <w:kern w:val="0"/>
          <w:szCs w:val="21"/>
          <w:highlight w:val="none"/>
        </w:rPr>
        <w:t>四、</w:t>
      </w:r>
      <w:r>
        <w:rPr>
          <w:rFonts w:ascii="宋体" w:hAnsi="宋体"/>
          <w:b/>
          <w:color w:val="auto"/>
          <w:kern w:val="0"/>
          <w:szCs w:val="21"/>
          <w:highlight w:val="none"/>
        </w:rPr>
        <w:t xml:space="preserve"> </w:t>
      </w:r>
      <w:bookmarkEnd w:id="330"/>
      <w:bookmarkEnd w:id="331"/>
      <w:bookmarkStart w:id="337" w:name="_Toc86124101"/>
      <w:bookmarkStart w:id="338" w:name="_Toc191374454"/>
      <w:r>
        <w:rPr>
          <w:rFonts w:hint="eastAsia" w:ascii="宋体" w:hAnsi="宋体"/>
          <w:b/>
          <w:color w:val="auto"/>
          <w:kern w:val="0"/>
          <w:szCs w:val="21"/>
          <w:highlight w:val="none"/>
        </w:rPr>
        <w:t>磋商</w:t>
      </w:r>
      <w:bookmarkEnd w:id="332"/>
      <w:r>
        <w:rPr>
          <w:rFonts w:hint="eastAsia" w:ascii="宋体" w:hAnsi="宋体"/>
          <w:b/>
          <w:color w:val="auto"/>
          <w:kern w:val="0"/>
          <w:szCs w:val="21"/>
          <w:highlight w:val="none"/>
        </w:rPr>
        <w:t>、比较与评价</w:t>
      </w:r>
      <w:bookmarkEnd w:id="333"/>
      <w:bookmarkEnd w:id="334"/>
      <w:bookmarkEnd w:id="335"/>
      <w:bookmarkEnd w:id="336"/>
    </w:p>
    <w:p w14:paraId="1F68F567">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.1</w:t>
      </w:r>
      <w:r>
        <w:rPr>
          <w:rFonts w:hint="eastAsia" w:ascii="宋体" w:hAnsi="宋体"/>
          <w:color w:val="auto"/>
          <w:kern w:val="0"/>
          <w:szCs w:val="21"/>
          <w:highlight w:val="none"/>
        </w:rPr>
        <w:t>磋商小组所有成员集中与通过资格审查的单一磋商申请人分别进行磋商。在磋商中，磋商的任何一方不得透露与磋商有关的其他磋商申请人的技术资料、价格、折扣和其他信息。</w:t>
      </w:r>
    </w:p>
    <w:p w14:paraId="742A872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w:t>
      </w:r>
      <w:r>
        <w:rPr>
          <w:rFonts w:hint="eastAsia" w:ascii="宋体" w:hAnsi="宋体"/>
          <w:color w:val="auto"/>
          <w:kern w:val="0"/>
          <w:szCs w:val="21"/>
          <w:highlight w:val="none"/>
        </w:rPr>
        <w:t>磋商文件有实质性变动的，磋商小组将经采购人代表确认后，以书面形式通知所有参加磋商的磋商申请人。但不得对涉及竞争的公平、公正性内容进行修改、变动。</w:t>
      </w:r>
    </w:p>
    <w:p w14:paraId="4B5A30F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.3</w:t>
      </w:r>
      <w:r>
        <w:rPr>
          <w:rFonts w:hint="eastAsia" w:ascii="宋体" w:hAnsi="宋体"/>
          <w:color w:val="auto"/>
          <w:kern w:val="0"/>
          <w:szCs w:val="21"/>
          <w:highlight w:val="none"/>
        </w:rPr>
        <w:t>为有助于对响应文件的详细审查、评价和比较，磋商小组可要求对磋商申请人分别进行技术询问、澄清，有关要求和答复均现场进行。</w:t>
      </w:r>
    </w:p>
    <w:p w14:paraId="2A84B50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.4</w:t>
      </w:r>
      <w:r>
        <w:rPr>
          <w:rFonts w:hint="eastAsia" w:ascii="宋体" w:hAnsi="宋体"/>
          <w:color w:val="auto"/>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并通过政府采购云平台进行澄清。磋商申请人的澄清、说明或者更正应当由法定代表人（负责人）或其授权代表签字或者加盖公章。由授权代表签字的，应当附法定代表人（负责人）授权书。磋商申请人为自然人的，应当由本人签字并附身份证明。</w:t>
      </w:r>
    </w:p>
    <w:p w14:paraId="423AD1DF">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.5</w:t>
      </w:r>
      <w:r>
        <w:rPr>
          <w:rFonts w:hint="eastAsia" w:ascii="宋体" w:hAnsi="宋体"/>
          <w:color w:val="auto"/>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负责人）或其授权代表签字或者加盖公章。</w:t>
      </w:r>
    </w:p>
    <w:p w14:paraId="1A067283">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.6</w:t>
      </w:r>
      <w:r>
        <w:rPr>
          <w:rFonts w:hint="eastAsia" w:ascii="宋体" w:hAnsi="宋体"/>
          <w:color w:val="auto"/>
          <w:kern w:val="0"/>
          <w:szCs w:val="21"/>
          <w:highlight w:val="none"/>
        </w:rPr>
        <w:t>磋商结束后，磋商小组将要求所有继续参加磋商的磋商申请人在规定时间内提交最后报价，提交最后报价的磋商申请人不得少于3家。</w:t>
      </w:r>
    </w:p>
    <w:p w14:paraId="33D2A23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.7</w:t>
      </w:r>
      <w:r>
        <w:rPr>
          <w:rFonts w:hint="eastAsia" w:ascii="宋体" w:hAnsi="宋体"/>
          <w:color w:val="auto"/>
          <w:kern w:val="0"/>
          <w:szCs w:val="21"/>
          <w:highlight w:val="none"/>
        </w:rPr>
        <w:t>磋商小组成员要依法独立审查，并对审查意见承担个人责任。磋商小组成员对需要共同认定的事项存在争议的，按照少数服从多数的原则做出结论。</w:t>
      </w:r>
    </w:p>
    <w:p w14:paraId="4064651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.8</w:t>
      </w:r>
      <w:r>
        <w:rPr>
          <w:rFonts w:hint="eastAsia" w:ascii="宋体" w:hAnsi="宋体"/>
          <w:color w:val="auto"/>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5DE17CD">
      <w:pPr>
        <w:pStyle w:val="4"/>
        <w:tabs>
          <w:tab w:val="left" w:pos="900"/>
        </w:tabs>
        <w:spacing w:before="0"/>
        <w:ind w:firstLine="0" w:firstLineChars="0"/>
        <w:jc w:val="left"/>
        <w:rPr>
          <w:rFonts w:ascii="Times New Roman"/>
          <w:color w:val="auto"/>
          <w:sz w:val="21"/>
          <w:szCs w:val="21"/>
          <w:highlight w:val="none"/>
        </w:rPr>
      </w:pPr>
      <w:bookmarkStart w:id="339" w:name="_Toc329810242"/>
      <w:bookmarkStart w:id="340" w:name="_Toc347849276"/>
      <w:bookmarkStart w:id="341" w:name="_Toc378499757"/>
      <w:bookmarkStart w:id="342" w:name="_Toc383175538"/>
      <w:r>
        <w:rPr>
          <w:rFonts w:hint="eastAsia" w:ascii="Times New Roman"/>
          <w:color w:val="auto"/>
          <w:sz w:val="21"/>
          <w:szCs w:val="21"/>
          <w:highlight w:val="none"/>
        </w:rPr>
        <w:t>五、</w:t>
      </w:r>
      <w:r>
        <w:rPr>
          <w:rFonts w:ascii="Times New Roman"/>
          <w:color w:val="auto"/>
          <w:sz w:val="21"/>
          <w:szCs w:val="21"/>
          <w:highlight w:val="none"/>
        </w:rPr>
        <w:t xml:space="preserve"> </w:t>
      </w:r>
      <w:r>
        <w:rPr>
          <w:rFonts w:hint="eastAsia" w:ascii="Times New Roman"/>
          <w:color w:val="auto"/>
          <w:sz w:val="21"/>
          <w:szCs w:val="21"/>
          <w:highlight w:val="none"/>
        </w:rPr>
        <w:t>磋商结果</w:t>
      </w:r>
      <w:bookmarkEnd w:id="339"/>
      <w:bookmarkEnd w:id="340"/>
      <w:bookmarkEnd w:id="341"/>
      <w:bookmarkEnd w:id="342"/>
    </w:p>
    <w:bookmarkEnd w:id="337"/>
    <w:bookmarkEnd w:id="338"/>
    <w:p w14:paraId="09F80481">
      <w:pPr>
        <w:widowControl/>
        <w:spacing w:line="360" w:lineRule="auto"/>
        <w:ind w:firstLine="480"/>
        <w:jc w:val="left"/>
        <w:rPr>
          <w:rFonts w:ascii="宋体" w:hAnsi="宋体"/>
          <w:color w:val="auto"/>
          <w:kern w:val="0"/>
          <w:sz w:val="24"/>
          <w:highlight w:val="none"/>
        </w:rPr>
      </w:pPr>
      <w:r>
        <w:rPr>
          <w:rFonts w:hint="eastAsia" w:ascii="宋体" w:hAnsi="宋体"/>
          <w:color w:val="auto"/>
          <w:kern w:val="0"/>
          <w:szCs w:val="21"/>
          <w:highlight w:val="none"/>
        </w:rPr>
        <w:t>磋商小组对各磋商申请人的响应文件进行详细评审。磋商小组按照得分的高低推荐成交候选人，推荐成交候选人1-3人，并标明排列顺序。</w:t>
      </w:r>
    </w:p>
    <w:p w14:paraId="71F8F619">
      <w:pPr>
        <w:rPr>
          <w:rFonts w:ascii="宋体" w:hAnsi="宋体"/>
          <w:color w:val="auto"/>
          <w:kern w:val="0"/>
          <w:sz w:val="24"/>
          <w:highlight w:val="none"/>
        </w:rPr>
      </w:pPr>
    </w:p>
    <w:sectPr>
      <w:pgSz w:w="11906" w:h="16838"/>
      <w:pgMar w:top="936" w:right="1134" w:bottom="1089" w:left="1134" w:header="510" w:footer="68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5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0000009F" w:csb1="00000000"/>
  </w:font>
  <w:font w:name="??">
    <w:altName w:val="Times New Roman"/>
    <w:panose1 w:val="00000000000000000000"/>
    <w:charset w:val="00"/>
    <w:family w:val="roman"/>
    <w:pitch w:val="default"/>
    <w:sig w:usb0="00000000" w:usb1="00000000" w:usb2="00000000" w:usb3="00000000" w:csb0="0004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宋体-18030">
    <w:altName w:val="微软雅黑"/>
    <w:panose1 w:val="00000000000000000000"/>
    <w:charset w:val="86"/>
    <w:family w:val="modern"/>
    <w:pitch w:val="default"/>
    <w:sig w:usb0="00000000" w:usb1="00000000" w:usb2="000A005E" w:usb3="00000000" w:csb0="00040001" w:csb1="00000000"/>
  </w:font>
  <w:font w:name="新宋体-18030">
    <w:altName w:val="微软雅黑"/>
    <w:panose1 w:val="00000000000000000000"/>
    <w:charset w:val="86"/>
    <w:family w:val="modern"/>
    <w:pitch w:val="default"/>
    <w:sig w:usb0="00000000" w:usb1="00000000" w:usb2="000A005E"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0DB49">
    <w:pPr>
      <w:pStyle w:val="33"/>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F292D">
    <w:pPr>
      <w:pStyle w:val="33"/>
    </w:pPr>
    <w:r>
      <w:rPr>
        <w:sz w:val="15"/>
      </w:rPr>
      <mc:AlternateContent>
        <mc:Choice Requires="wps">
          <w:drawing>
            <wp:anchor distT="0" distB="0" distL="114300" distR="114300" simplePos="0" relativeHeight="251662336" behindDoc="0" locked="0" layoutInCell="1" allowOverlap="1">
              <wp:simplePos x="0" y="0"/>
              <wp:positionH relativeFrom="column">
                <wp:posOffset>4149090</wp:posOffset>
              </wp:positionH>
              <wp:positionV relativeFrom="paragraph">
                <wp:posOffset>-106680</wp:posOffset>
              </wp:positionV>
              <wp:extent cx="1819275" cy="266700"/>
              <wp:effectExtent l="0" t="0" r="9525" b="0"/>
              <wp:wrapNone/>
              <wp:docPr id="4" name="文本框 4"/>
              <wp:cNvGraphicFramePr/>
              <a:graphic xmlns:a="http://schemas.openxmlformats.org/drawingml/2006/main">
                <a:graphicData uri="http://schemas.microsoft.com/office/word/2010/wordprocessingShape">
                  <wps:wsp>
                    <wps:cNvSpPr txBox="1"/>
                    <wps:spPr>
                      <a:xfrm>
                        <a:off x="0" y="0"/>
                        <a:ext cx="181927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B25737E">
                          <w:pPr>
                            <w:rPr>
                              <w:rFonts w:hint="eastAsia" w:eastAsia="宋体"/>
                              <w:lang w:eastAsia="zh-CN"/>
                            </w:rPr>
                          </w:pPr>
                          <w:r>
                            <w:rPr>
                              <w:rFonts w:hint="eastAsia"/>
                              <w:i/>
                              <w:iCs/>
                              <w:lang w:eastAsia="zh-CN"/>
                            </w:rPr>
                            <w:t>保山广驰招标代理有限公司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6.7pt;margin-top:-8.4pt;height:21pt;width:143.25pt;z-index:251662336;mso-width-relative:page;mso-height-relative:page;" fillcolor="#FFFFFF [3201]" filled="t" stroked="f" coordsize="21600,21600" o:gfxdata="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HNKgDWAAAACgEAAA8A&#10;AAAAAAAAAQAgAAAAIgAAAGRycy9kb3ducmV2LnhtbFBLAQIUABQAAAAIAIdO4kCUuR+KUgIAAI8E&#10;AAAOAAAAAAAAAAEAIAAAACUBAABkcnMvZTJvRG9jLnhtbFBLBQYAAAAABgAGAFkBAADpBQAAAAA=&#10;">
              <v:fill on="t" focussize="0,0"/>
              <v:stroke on="f" weight="0.5pt"/>
              <v:imagedata o:title=""/>
              <o:lock v:ext="edit" aspectratio="f"/>
              <v:textbox>
                <w:txbxContent>
                  <w:p w14:paraId="1B25737E">
                    <w:pPr>
                      <w:rPr>
                        <w:rFonts w:hint="eastAsia" w:eastAsia="宋体"/>
                        <w:lang w:eastAsia="zh-CN"/>
                      </w:rPr>
                    </w:pPr>
                    <w:r>
                      <w:rPr>
                        <w:rFonts w:hint="eastAsia"/>
                        <w:i/>
                        <w:iCs/>
                        <w:lang w:eastAsia="zh-CN"/>
                      </w:rPr>
                      <w:t>保山广驰招标代理有限公司</w:t>
                    </w:r>
                  </w:p>
                </w:txbxContent>
              </v:textbox>
            </v:shape>
          </w:pict>
        </mc:Fallback>
      </mc:AlternateContent>
    </w: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04A23">
    <w:pPr>
      <w:pStyle w:val="33"/>
    </w:pPr>
    <w:r>
      <w:rPr>
        <w:sz w:val="15"/>
      </w:rPr>
      <mc:AlternateContent>
        <mc:Choice Requires="wps">
          <w:drawing>
            <wp:anchor distT="0" distB="0" distL="114300" distR="114300" simplePos="0" relativeHeight="251663360" behindDoc="0" locked="0" layoutInCell="1" allowOverlap="1">
              <wp:simplePos x="0" y="0"/>
              <wp:positionH relativeFrom="column">
                <wp:posOffset>4158615</wp:posOffset>
              </wp:positionH>
              <wp:positionV relativeFrom="paragraph">
                <wp:posOffset>-106680</wp:posOffset>
              </wp:positionV>
              <wp:extent cx="1800225" cy="266700"/>
              <wp:effectExtent l="0" t="0" r="9525" b="0"/>
              <wp:wrapNone/>
              <wp:docPr id="5" name="文本框 5"/>
              <wp:cNvGraphicFramePr/>
              <a:graphic xmlns:a="http://schemas.openxmlformats.org/drawingml/2006/main">
                <a:graphicData uri="http://schemas.microsoft.com/office/word/2010/wordprocessingShape">
                  <wps:wsp>
                    <wps:cNvSpPr txBox="1"/>
                    <wps:spPr>
                      <a:xfrm>
                        <a:off x="0" y="0"/>
                        <a:ext cx="180022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A24CD52">
                          <w:pPr>
                            <w:rPr>
                              <w:rFonts w:hint="eastAsia" w:eastAsia="宋体"/>
                              <w:lang w:eastAsia="zh-CN"/>
                            </w:rPr>
                          </w:pPr>
                          <w:r>
                            <w:rPr>
                              <w:rFonts w:hint="eastAsia"/>
                              <w:i/>
                              <w:iCs/>
                              <w:lang w:eastAsia="zh-CN"/>
                            </w:rPr>
                            <w:t>保山广驰招标代理有限公司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45pt;margin-top:-8.4pt;height:21pt;width:141.75pt;z-index:251663360;mso-width-relative:page;mso-height-relative:page;" fillcolor="#FFFFFF [3201]" filled="t" stroked="f" coordsize="21600,21600" o:gfxdata="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woBmNNYAAAAKAQAADwAA&#10;AAAAAAABACAAAAAiAAAAZHJzL2Rvd25yZXYueG1sUEsBAhQAFAAAAAgAh07iQGSLEHdRAgAAjwQA&#10;AA4AAAAAAAAAAQAgAAAAJQEAAGRycy9lMm9Eb2MueG1sUEsFBgAAAAAGAAYAWQEAAOgFAAAAAA==&#10;">
              <v:fill on="t" focussize="0,0"/>
              <v:stroke on="f" weight="0.5pt"/>
              <v:imagedata o:title=""/>
              <o:lock v:ext="edit" aspectratio="f"/>
              <v:textbox>
                <w:txbxContent>
                  <w:p w14:paraId="6A24CD52">
                    <w:pPr>
                      <w:rPr>
                        <w:rFonts w:hint="eastAsia" w:eastAsia="宋体"/>
                        <w:lang w:eastAsia="zh-CN"/>
                      </w:rPr>
                    </w:pPr>
                    <w:r>
                      <w:rPr>
                        <w:rFonts w:hint="eastAsia"/>
                        <w:i/>
                        <w:iCs/>
                        <w:lang w:eastAsia="zh-CN"/>
                      </w:rPr>
                      <w:t>保山广驰招标代理有限公司</w:t>
                    </w:r>
                  </w:p>
                </w:txbxContent>
              </v:textbox>
            </v:shape>
          </w:pict>
        </mc:Fallback>
      </mc:AlternateContent>
    </w: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29DF0">
                          <w:pPr>
                            <w:pStyle w:val="33"/>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C29DF0">
                    <w:pPr>
                      <w:pStyle w:val="33"/>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r>
      <w:rPr>
        <w:rFonts w:hAnsi="宋体" w:cs="宋体"/>
        <w:sz w:val="15"/>
        <w:szCs w:val="15"/>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7A835">
    <w:pPr>
      <w:pStyle w:val="3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24881">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0E24881">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p w14:paraId="6EEA2D32">
    <w:pPr>
      <w:pStyle w:val="3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775F9">
    <w:pPr>
      <w:pStyle w:val="34"/>
      <w:pBdr>
        <w:bottom w:val="none" w:color="auto" w:sz="0" w:space="1"/>
      </w:pBdr>
      <w:tabs>
        <w:tab w:val="left" w:pos="3849"/>
        <w:tab w:val="clear" w:pos="4153"/>
      </w:tabs>
      <w:ind w:firstLine="300" w:firstLineChars="200"/>
      <w:jc w:val="left"/>
      <w:rPr>
        <w:rFonts w:hint="eastAsia" w:eastAsia="宋体"/>
        <w:bCs/>
        <w:sz w:val="15"/>
        <w:lang w:eastAsia="zh-CN"/>
      </w:rPr>
    </w:pPr>
    <w:r>
      <w:rPr>
        <w:rFonts w:hint="eastAsia"/>
        <w:bCs/>
        <w:sz w:val="15"/>
      </w:rPr>
      <w:t xml:space="preserve">                                    </w:t>
    </w:r>
    <w:r>
      <w:rPr>
        <w:rFonts w:hint="eastAsia"/>
        <w:bCs/>
        <w:sz w:val="15"/>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0327E">
    <w:pPr>
      <w:pStyle w:val="34"/>
      <w:jc w:val="left"/>
      <w:rPr>
        <w:rFonts w:hint="eastAsia" w:eastAsia="宋体"/>
        <w:bCs/>
        <w:sz w:val="15"/>
        <w:lang w:eastAsia="zh-CN"/>
      </w:rPr>
    </w:pPr>
    <w:r>
      <w:rPr>
        <w:rFonts w:hint="eastAsia"/>
        <w:bCs/>
        <w:sz w:val="18"/>
        <w:szCs w:val="21"/>
        <w:lang w:val="en-US" w:eastAsia="zh-CN"/>
      </w:rPr>
      <w:t xml:space="preserve">碧寨乡水库垭口至庙房垭口农村公路建设项目                                                  </w:t>
    </w:r>
    <w:r>
      <w:rPr>
        <w:rFonts w:hint="eastAsia"/>
        <w:bCs/>
        <w:sz w:val="18"/>
        <w:szCs w:val="21"/>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8EF2">
    <w:pPr>
      <w:pStyle w:val="34"/>
      <w:tabs>
        <w:tab w:val="left" w:pos="312"/>
      </w:tabs>
      <w:jc w:val="left"/>
      <w:rPr>
        <w:rFonts w:hint="eastAsia" w:eastAsia="宋体"/>
        <w:bCs/>
        <w:sz w:val="15"/>
        <w:lang w:eastAsia="zh-CN"/>
      </w:rPr>
    </w:pPr>
    <w:r>
      <w:rPr>
        <w:rFonts w:hint="eastAsia"/>
        <w:bCs/>
        <w:sz w:val="18"/>
        <w:szCs w:val="21"/>
        <w:lang w:eastAsia="zh-CN"/>
      </w:rPr>
      <w:t>碧寨乡水库垭口至庙房垭口农村公路建设项目</w:t>
    </w:r>
    <w:r>
      <w:rPr>
        <w:rFonts w:hint="eastAsia"/>
        <w:bCs/>
        <w:sz w:val="18"/>
        <w:szCs w:val="21"/>
        <w:lang w:val="en-US" w:eastAsia="zh-CN"/>
      </w:rPr>
      <w:t xml:space="preserve">                                                    </w:t>
    </w:r>
    <w:r>
      <w:rPr>
        <w:rFonts w:hint="eastAsia"/>
        <w:bCs/>
        <w:sz w:val="18"/>
        <w:szCs w:val="21"/>
      </w:rPr>
      <w:t>竞争性磋商文</w:t>
    </w:r>
    <w:r>
      <w:rPr>
        <w:rFonts w:hint="eastAsia"/>
        <w:bCs/>
        <w:sz w:val="18"/>
        <w:szCs w:val="21"/>
        <w:lang w:eastAsia="zh-CN"/>
      </w:rPr>
      <w:t xml:space="preserve">件 </w:t>
    </w:r>
    <w:r>
      <w:rPr>
        <w:rFonts w:hint="eastAsia"/>
        <w:bCs/>
        <w:sz w:val="1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1D5460"/>
    <w:multiLevelType w:val="singleLevel"/>
    <w:tmpl w:val="841D5460"/>
    <w:lvl w:ilvl="0" w:tentative="0">
      <w:start w:val="3"/>
      <w:numFmt w:val="chineseCounting"/>
      <w:suff w:val="space"/>
      <w:lvlText w:val="第%1章"/>
      <w:lvlJc w:val="left"/>
      <w:rPr>
        <w:rFonts w:hint="eastAsia"/>
      </w:rPr>
    </w:lvl>
  </w:abstractNum>
  <w:abstractNum w:abstractNumId="1">
    <w:nsid w:val="00000001"/>
    <w:multiLevelType w:val="multilevel"/>
    <w:tmpl w:val="00000001"/>
    <w:lvl w:ilvl="0" w:tentative="0">
      <w:start w:val="1"/>
      <w:numFmt w:val="japaneseCounting"/>
      <w:pStyle w:val="360"/>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2">
    <w:nsid w:val="325EE81C"/>
    <w:multiLevelType w:val="singleLevel"/>
    <w:tmpl w:val="325EE81C"/>
    <w:lvl w:ilvl="0" w:tentative="0">
      <w:start w:val="7"/>
      <w:numFmt w:val="decimal"/>
      <w:suff w:val="nothing"/>
      <w:lvlText w:val="（%1）"/>
      <w:lvlJc w:val="left"/>
    </w:lvl>
  </w:abstractNum>
  <w:abstractNum w:abstractNumId="3">
    <w:nsid w:val="4BF77A10"/>
    <w:multiLevelType w:val="singleLevel"/>
    <w:tmpl w:val="4BF77A10"/>
    <w:lvl w:ilvl="0" w:tentative="0">
      <w:start w:val="2"/>
      <w:numFmt w:val="decimal"/>
      <w:lvlText w:val="%1."/>
      <w:lvlJc w:val="left"/>
      <w:pPr>
        <w:tabs>
          <w:tab w:val="left" w:pos="312"/>
        </w:tabs>
      </w:pPr>
    </w:lvl>
  </w:abstractNum>
  <w:abstractNum w:abstractNumId="4">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6"/>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51AA220E"/>
    <w:multiLevelType w:val="multilevel"/>
    <w:tmpl w:val="51AA220E"/>
    <w:lvl w:ilvl="0" w:tentative="0">
      <w:start w:val="1"/>
      <w:numFmt w:val="decimal"/>
      <w:lvlText w:val="（%1）"/>
      <w:lvlJc w:val="left"/>
      <w:pPr>
        <w:ind w:left="720" w:hanging="720"/>
      </w:pPr>
      <w:rPr>
        <w:rFonts w:hint="default"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2FB10E5"/>
    <w:multiLevelType w:val="multilevel"/>
    <w:tmpl w:val="62FB10E5"/>
    <w:lvl w:ilvl="0" w:tentative="0">
      <w:start w:val="1"/>
      <w:numFmt w:val="decimalEnclosedCircle"/>
      <w:pStyle w:val="430"/>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6"/>
  </w:num>
  <w:num w:numId="3">
    <w:abstractNumId w:val="4"/>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mYzM3NTIzM2VmMTM3MzQzOTgzYTJkZWEwZjg3NWQifQ=="/>
    <w:docVar w:name="DocumentID" w:val="{A3774F88-5107-4CF7-93F7-6097BDE4F5BC}"/>
    <w:docVar w:name="DocumentName" w:val="龙卫健发〔2023〕88号龙陵县卫生健康局关于龙陵县人民医院设备科危房改造扩建项目的批复"/>
  </w:docVars>
  <w:rsids>
    <w:rsidRoot w:val="006E2058"/>
    <w:rsid w:val="00006A98"/>
    <w:rsid w:val="0001094D"/>
    <w:rsid w:val="000208ED"/>
    <w:rsid w:val="00022E2C"/>
    <w:rsid w:val="00023A0C"/>
    <w:rsid w:val="00023B98"/>
    <w:rsid w:val="00023E6E"/>
    <w:rsid w:val="00026A6B"/>
    <w:rsid w:val="000339F5"/>
    <w:rsid w:val="00033CDA"/>
    <w:rsid w:val="00034463"/>
    <w:rsid w:val="00035C35"/>
    <w:rsid w:val="00037F0F"/>
    <w:rsid w:val="0004088A"/>
    <w:rsid w:val="00040C23"/>
    <w:rsid w:val="00043691"/>
    <w:rsid w:val="000444C8"/>
    <w:rsid w:val="0004557E"/>
    <w:rsid w:val="00047F28"/>
    <w:rsid w:val="00050E19"/>
    <w:rsid w:val="000513E7"/>
    <w:rsid w:val="000519EC"/>
    <w:rsid w:val="00051B18"/>
    <w:rsid w:val="000537C0"/>
    <w:rsid w:val="00053BB2"/>
    <w:rsid w:val="00055AF3"/>
    <w:rsid w:val="00055AFA"/>
    <w:rsid w:val="00056C59"/>
    <w:rsid w:val="00056DE7"/>
    <w:rsid w:val="00057234"/>
    <w:rsid w:val="00064588"/>
    <w:rsid w:val="00065EE3"/>
    <w:rsid w:val="000668BF"/>
    <w:rsid w:val="000672F0"/>
    <w:rsid w:val="00067DA0"/>
    <w:rsid w:val="000704AE"/>
    <w:rsid w:val="00070FF1"/>
    <w:rsid w:val="000710CA"/>
    <w:rsid w:val="00071ADD"/>
    <w:rsid w:val="00076EE1"/>
    <w:rsid w:val="000829B1"/>
    <w:rsid w:val="00083649"/>
    <w:rsid w:val="0008375E"/>
    <w:rsid w:val="000844B6"/>
    <w:rsid w:val="00086445"/>
    <w:rsid w:val="00090BC1"/>
    <w:rsid w:val="00091F66"/>
    <w:rsid w:val="000963B4"/>
    <w:rsid w:val="000A63EF"/>
    <w:rsid w:val="000B0DFC"/>
    <w:rsid w:val="000B4437"/>
    <w:rsid w:val="000B64B8"/>
    <w:rsid w:val="000C072E"/>
    <w:rsid w:val="000C0A51"/>
    <w:rsid w:val="000C39F9"/>
    <w:rsid w:val="000C4C5F"/>
    <w:rsid w:val="000C57FD"/>
    <w:rsid w:val="000C68BE"/>
    <w:rsid w:val="000D090C"/>
    <w:rsid w:val="000D12E1"/>
    <w:rsid w:val="000D2199"/>
    <w:rsid w:val="000D2CE7"/>
    <w:rsid w:val="000D2D60"/>
    <w:rsid w:val="000D4AC4"/>
    <w:rsid w:val="000D6506"/>
    <w:rsid w:val="000D6D4A"/>
    <w:rsid w:val="000D7E85"/>
    <w:rsid w:val="000E0762"/>
    <w:rsid w:val="000E08CF"/>
    <w:rsid w:val="000E1312"/>
    <w:rsid w:val="000E2571"/>
    <w:rsid w:val="000E6859"/>
    <w:rsid w:val="000F4473"/>
    <w:rsid w:val="000F4C74"/>
    <w:rsid w:val="00101AB1"/>
    <w:rsid w:val="00101E40"/>
    <w:rsid w:val="00103D2F"/>
    <w:rsid w:val="00105B24"/>
    <w:rsid w:val="0011024B"/>
    <w:rsid w:val="00110875"/>
    <w:rsid w:val="00110FFC"/>
    <w:rsid w:val="00111751"/>
    <w:rsid w:val="00111A9C"/>
    <w:rsid w:val="0012586F"/>
    <w:rsid w:val="00127D9E"/>
    <w:rsid w:val="00130EB5"/>
    <w:rsid w:val="00131C7C"/>
    <w:rsid w:val="001336DD"/>
    <w:rsid w:val="00134302"/>
    <w:rsid w:val="001408BB"/>
    <w:rsid w:val="00140BE6"/>
    <w:rsid w:val="001413F6"/>
    <w:rsid w:val="00142C5E"/>
    <w:rsid w:val="001439A8"/>
    <w:rsid w:val="001471C0"/>
    <w:rsid w:val="00150EA4"/>
    <w:rsid w:val="00160B22"/>
    <w:rsid w:val="0016284E"/>
    <w:rsid w:val="00163372"/>
    <w:rsid w:val="001636AF"/>
    <w:rsid w:val="00170AB6"/>
    <w:rsid w:val="00172906"/>
    <w:rsid w:val="0017366B"/>
    <w:rsid w:val="00173D61"/>
    <w:rsid w:val="001748BD"/>
    <w:rsid w:val="001761FD"/>
    <w:rsid w:val="001768D2"/>
    <w:rsid w:val="001779B3"/>
    <w:rsid w:val="00180379"/>
    <w:rsid w:val="00181749"/>
    <w:rsid w:val="001828E4"/>
    <w:rsid w:val="0018376C"/>
    <w:rsid w:val="00186B61"/>
    <w:rsid w:val="00187776"/>
    <w:rsid w:val="00192AB4"/>
    <w:rsid w:val="00194D65"/>
    <w:rsid w:val="00196A92"/>
    <w:rsid w:val="001A037A"/>
    <w:rsid w:val="001A28F3"/>
    <w:rsid w:val="001A31E4"/>
    <w:rsid w:val="001A36AB"/>
    <w:rsid w:val="001A44CC"/>
    <w:rsid w:val="001B30A3"/>
    <w:rsid w:val="001B56DF"/>
    <w:rsid w:val="001B76B2"/>
    <w:rsid w:val="001B7D60"/>
    <w:rsid w:val="001C0744"/>
    <w:rsid w:val="001C181F"/>
    <w:rsid w:val="001C3BBE"/>
    <w:rsid w:val="001C688F"/>
    <w:rsid w:val="001D049B"/>
    <w:rsid w:val="001D0CA2"/>
    <w:rsid w:val="001D239D"/>
    <w:rsid w:val="001D5B51"/>
    <w:rsid w:val="001D7DBE"/>
    <w:rsid w:val="001E18C2"/>
    <w:rsid w:val="001E40FE"/>
    <w:rsid w:val="001E67A7"/>
    <w:rsid w:val="001E69DD"/>
    <w:rsid w:val="001E6B38"/>
    <w:rsid w:val="001E779D"/>
    <w:rsid w:val="001E7C4A"/>
    <w:rsid w:val="001F0711"/>
    <w:rsid w:val="001F1B9E"/>
    <w:rsid w:val="001F2471"/>
    <w:rsid w:val="001F47B9"/>
    <w:rsid w:val="001F6422"/>
    <w:rsid w:val="001F64E9"/>
    <w:rsid w:val="0020521B"/>
    <w:rsid w:val="00206B5D"/>
    <w:rsid w:val="002101A2"/>
    <w:rsid w:val="002105DD"/>
    <w:rsid w:val="0021092A"/>
    <w:rsid w:val="002136B8"/>
    <w:rsid w:val="00213BFC"/>
    <w:rsid w:val="002171E3"/>
    <w:rsid w:val="00223F09"/>
    <w:rsid w:val="00224749"/>
    <w:rsid w:val="0022478E"/>
    <w:rsid w:val="002313A2"/>
    <w:rsid w:val="00242D02"/>
    <w:rsid w:val="00245131"/>
    <w:rsid w:val="002464A3"/>
    <w:rsid w:val="00250360"/>
    <w:rsid w:val="00251877"/>
    <w:rsid w:val="00252060"/>
    <w:rsid w:val="00255997"/>
    <w:rsid w:val="00256BE4"/>
    <w:rsid w:val="00263F76"/>
    <w:rsid w:val="00264B23"/>
    <w:rsid w:val="00277641"/>
    <w:rsid w:val="00281587"/>
    <w:rsid w:val="002815FD"/>
    <w:rsid w:val="0028283F"/>
    <w:rsid w:val="00284245"/>
    <w:rsid w:val="002843A9"/>
    <w:rsid w:val="00285D1C"/>
    <w:rsid w:val="002914FC"/>
    <w:rsid w:val="00294DD3"/>
    <w:rsid w:val="00295E02"/>
    <w:rsid w:val="002A0494"/>
    <w:rsid w:val="002A4F6C"/>
    <w:rsid w:val="002A538E"/>
    <w:rsid w:val="002A5F7F"/>
    <w:rsid w:val="002A6335"/>
    <w:rsid w:val="002A6456"/>
    <w:rsid w:val="002B091C"/>
    <w:rsid w:val="002B15C8"/>
    <w:rsid w:val="002B16AE"/>
    <w:rsid w:val="002B2E37"/>
    <w:rsid w:val="002B3128"/>
    <w:rsid w:val="002B36D6"/>
    <w:rsid w:val="002C1AED"/>
    <w:rsid w:val="002C3B4B"/>
    <w:rsid w:val="002C3BB0"/>
    <w:rsid w:val="002C4952"/>
    <w:rsid w:val="002C5032"/>
    <w:rsid w:val="002C7389"/>
    <w:rsid w:val="002D29A7"/>
    <w:rsid w:val="002D58F0"/>
    <w:rsid w:val="002D6409"/>
    <w:rsid w:val="002E100B"/>
    <w:rsid w:val="002E2996"/>
    <w:rsid w:val="002E3B4B"/>
    <w:rsid w:val="002E4980"/>
    <w:rsid w:val="002E5A69"/>
    <w:rsid w:val="002E7259"/>
    <w:rsid w:val="00301BAD"/>
    <w:rsid w:val="00304AD3"/>
    <w:rsid w:val="0030551A"/>
    <w:rsid w:val="003061D4"/>
    <w:rsid w:val="00310920"/>
    <w:rsid w:val="0031557C"/>
    <w:rsid w:val="0031674C"/>
    <w:rsid w:val="00317789"/>
    <w:rsid w:val="003204E8"/>
    <w:rsid w:val="003218BC"/>
    <w:rsid w:val="00322338"/>
    <w:rsid w:val="003225CA"/>
    <w:rsid w:val="00324F8C"/>
    <w:rsid w:val="0032530F"/>
    <w:rsid w:val="00326207"/>
    <w:rsid w:val="003262D1"/>
    <w:rsid w:val="00326D15"/>
    <w:rsid w:val="0033159F"/>
    <w:rsid w:val="00332B39"/>
    <w:rsid w:val="003355FA"/>
    <w:rsid w:val="00341F95"/>
    <w:rsid w:val="0034210D"/>
    <w:rsid w:val="00342A0F"/>
    <w:rsid w:val="00342D81"/>
    <w:rsid w:val="00342EB2"/>
    <w:rsid w:val="003433D3"/>
    <w:rsid w:val="00344711"/>
    <w:rsid w:val="00345669"/>
    <w:rsid w:val="00350BCB"/>
    <w:rsid w:val="0035144A"/>
    <w:rsid w:val="00352C5B"/>
    <w:rsid w:val="0035320F"/>
    <w:rsid w:val="00356EA4"/>
    <w:rsid w:val="00360FF7"/>
    <w:rsid w:val="0036242F"/>
    <w:rsid w:val="0036364C"/>
    <w:rsid w:val="00364CA9"/>
    <w:rsid w:val="00365C25"/>
    <w:rsid w:val="00366091"/>
    <w:rsid w:val="00370B29"/>
    <w:rsid w:val="003722C1"/>
    <w:rsid w:val="00373BA8"/>
    <w:rsid w:val="00373FC6"/>
    <w:rsid w:val="00374BD1"/>
    <w:rsid w:val="00376526"/>
    <w:rsid w:val="003806EA"/>
    <w:rsid w:val="003852B0"/>
    <w:rsid w:val="0038622A"/>
    <w:rsid w:val="0038664D"/>
    <w:rsid w:val="003929DC"/>
    <w:rsid w:val="0039363D"/>
    <w:rsid w:val="003951B5"/>
    <w:rsid w:val="003959ED"/>
    <w:rsid w:val="003973AF"/>
    <w:rsid w:val="003A0134"/>
    <w:rsid w:val="003A0645"/>
    <w:rsid w:val="003A0F08"/>
    <w:rsid w:val="003A23BC"/>
    <w:rsid w:val="003A60B8"/>
    <w:rsid w:val="003A62E1"/>
    <w:rsid w:val="003B12B6"/>
    <w:rsid w:val="003B57E6"/>
    <w:rsid w:val="003B5D82"/>
    <w:rsid w:val="003B65F3"/>
    <w:rsid w:val="003B7009"/>
    <w:rsid w:val="003B7CB7"/>
    <w:rsid w:val="003C14E1"/>
    <w:rsid w:val="003C2337"/>
    <w:rsid w:val="003C31CF"/>
    <w:rsid w:val="003C520D"/>
    <w:rsid w:val="003C7369"/>
    <w:rsid w:val="003C7A63"/>
    <w:rsid w:val="003D0872"/>
    <w:rsid w:val="003D13E2"/>
    <w:rsid w:val="003D3AED"/>
    <w:rsid w:val="003D5D33"/>
    <w:rsid w:val="003D7765"/>
    <w:rsid w:val="003E0038"/>
    <w:rsid w:val="003E1200"/>
    <w:rsid w:val="003E1948"/>
    <w:rsid w:val="003E3284"/>
    <w:rsid w:val="003E3989"/>
    <w:rsid w:val="003E4893"/>
    <w:rsid w:val="003E773A"/>
    <w:rsid w:val="003F05D9"/>
    <w:rsid w:val="003F0DAD"/>
    <w:rsid w:val="003F1BA6"/>
    <w:rsid w:val="003F221D"/>
    <w:rsid w:val="003F490D"/>
    <w:rsid w:val="003F5E66"/>
    <w:rsid w:val="003F620E"/>
    <w:rsid w:val="003F70CD"/>
    <w:rsid w:val="003F76BA"/>
    <w:rsid w:val="003F7A36"/>
    <w:rsid w:val="0040055B"/>
    <w:rsid w:val="00401DE8"/>
    <w:rsid w:val="004035F0"/>
    <w:rsid w:val="0040386B"/>
    <w:rsid w:val="00410BA0"/>
    <w:rsid w:val="00410C17"/>
    <w:rsid w:val="00412F7B"/>
    <w:rsid w:val="00420DB1"/>
    <w:rsid w:val="00421377"/>
    <w:rsid w:val="0042257C"/>
    <w:rsid w:val="004275A0"/>
    <w:rsid w:val="004277A0"/>
    <w:rsid w:val="00430F6E"/>
    <w:rsid w:val="00431842"/>
    <w:rsid w:val="00434052"/>
    <w:rsid w:val="00434A61"/>
    <w:rsid w:val="00437496"/>
    <w:rsid w:val="00437722"/>
    <w:rsid w:val="00437C13"/>
    <w:rsid w:val="0044078E"/>
    <w:rsid w:val="004412DB"/>
    <w:rsid w:val="0045007D"/>
    <w:rsid w:val="0045628A"/>
    <w:rsid w:val="0045758B"/>
    <w:rsid w:val="0046065C"/>
    <w:rsid w:val="00461809"/>
    <w:rsid w:val="004625A4"/>
    <w:rsid w:val="0046643A"/>
    <w:rsid w:val="0046690A"/>
    <w:rsid w:val="00470446"/>
    <w:rsid w:val="00470588"/>
    <w:rsid w:val="0047198D"/>
    <w:rsid w:val="0047276A"/>
    <w:rsid w:val="00473274"/>
    <w:rsid w:val="00474963"/>
    <w:rsid w:val="00474E3E"/>
    <w:rsid w:val="004809AE"/>
    <w:rsid w:val="00480C54"/>
    <w:rsid w:val="00481C8B"/>
    <w:rsid w:val="00481D24"/>
    <w:rsid w:val="00484AE1"/>
    <w:rsid w:val="00491A90"/>
    <w:rsid w:val="00492FEC"/>
    <w:rsid w:val="00494382"/>
    <w:rsid w:val="004A2A17"/>
    <w:rsid w:val="004A2E0C"/>
    <w:rsid w:val="004A349C"/>
    <w:rsid w:val="004A3EE8"/>
    <w:rsid w:val="004A47D5"/>
    <w:rsid w:val="004A7D4E"/>
    <w:rsid w:val="004B6934"/>
    <w:rsid w:val="004C1793"/>
    <w:rsid w:val="004C46F0"/>
    <w:rsid w:val="004C701C"/>
    <w:rsid w:val="004D03B0"/>
    <w:rsid w:val="004D14F8"/>
    <w:rsid w:val="004D2D35"/>
    <w:rsid w:val="004D2E43"/>
    <w:rsid w:val="004D341C"/>
    <w:rsid w:val="004D449D"/>
    <w:rsid w:val="004D4613"/>
    <w:rsid w:val="004D48D2"/>
    <w:rsid w:val="004D5479"/>
    <w:rsid w:val="004D7BC8"/>
    <w:rsid w:val="004E35DC"/>
    <w:rsid w:val="004E467C"/>
    <w:rsid w:val="004E48F9"/>
    <w:rsid w:val="004E5065"/>
    <w:rsid w:val="004E6A92"/>
    <w:rsid w:val="004F0377"/>
    <w:rsid w:val="004F7AA2"/>
    <w:rsid w:val="00500605"/>
    <w:rsid w:val="00500E93"/>
    <w:rsid w:val="005019B8"/>
    <w:rsid w:val="0050247E"/>
    <w:rsid w:val="00506207"/>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265A"/>
    <w:rsid w:val="0053303B"/>
    <w:rsid w:val="005365FE"/>
    <w:rsid w:val="00536AAB"/>
    <w:rsid w:val="005422B5"/>
    <w:rsid w:val="00542A31"/>
    <w:rsid w:val="0054385E"/>
    <w:rsid w:val="00543BAF"/>
    <w:rsid w:val="00543FD8"/>
    <w:rsid w:val="00546D57"/>
    <w:rsid w:val="00547A9E"/>
    <w:rsid w:val="0055104F"/>
    <w:rsid w:val="005513D1"/>
    <w:rsid w:val="0055181E"/>
    <w:rsid w:val="005541C1"/>
    <w:rsid w:val="00554DC8"/>
    <w:rsid w:val="005573A2"/>
    <w:rsid w:val="00562880"/>
    <w:rsid w:val="00563995"/>
    <w:rsid w:val="00565702"/>
    <w:rsid w:val="00566C91"/>
    <w:rsid w:val="00567FF5"/>
    <w:rsid w:val="005715A2"/>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C08AA"/>
    <w:rsid w:val="005C1489"/>
    <w:rsid w:val="005C1AC6"/>
    <w:rsid w:val="005C22D2"/>
    <w:rsid w:val="005C3B0B"/>
    <w:rsid w:val="005C4CA2"/>
    <w:rsid w:val="005C59AB"/>
    <w:rsid w:val="005C6A8D"/>
    <w:rsid w:val="005D0784"/>
    <w:rsid w:val="005D458A"/>
    <w:rsid w:val="005D59F6"/>
    <w:rsid w:val="005D5FEA"/>
    <w:rsid w:val="005E65F1"/>
    <w:rsid w:val="005E6892"/>
    <w:rsid w:val="005E71C2"/>
    <w:rsid w:val="005E731E"/>
    <w:rsid w:val="005F02A3"/>
    <w:rsid w:val="005F32B5"/>
    <w:rsid w:val="005F46BA"/>
    <w:rsid w:val="005F4963"/>
    <w:rsid w:val="005F6045"/>
    <w:rsid w:val="006009BB"/>
    <w:rsid w:val="00604457"/>
    <w:rsid w:val="0060472F"/>
    <w:rsid w:val="0060639C"/>
    <w:rsid w:val="006072A1"/>
    <w:rsid w:val="006126DF"/>
    <w:rsid w:val="006153D8"/>
    <w:rsid w:val="00615E5D"/>
    <w:rsid w:val="00617511"/>
    <w:rsid w:val="00617C80"/>
    <w:rsid w:val="006231F8"/>
    <w:rsid w:val="00623617"/>
    <w:rsid w:val="00623D07"/>
    <w:rsid w:val="00624788"/>
    <w:rsid w:val="00625912"/>
    <w:rsid w:val="00625C52"/>
    <w:rsid w:val="00627B14"/>
    <w:rsid w:val="00631713"/>
    <w:rsid w:val="0063546D"/>
    <w:rsid w:val="00636210"/>
    <w:rsid w:val="00644C63"/>
    <w:rsid w:val="00645491"/>
    <w:rsid w:val="006455ED"/>
    <w:rsid w:val="00645B7A"/>
    <w:rsid w:val="00653BC3"/>
    <w:rsid w:val="00661C7B"/>
    <w:rsid w:val="00664228"/>
    <w:rsid w:val="00664DFD"/>
    <w:rsid w:val="00665DC8"/>
    <w:rsid w:val="00667179"/>
    <w:rsid w:val="00667870"/>
    <w:rsid w:val="006704E5"/>
    <w:rsid w:val="00670B2E"/>
    <w:rsid w:val="00674DAB"/>
    <w:rsid w:val="0067548E"/>
    <w:rsid w:val="006767FC"/>
    <w:rsid w:val="00677A38"/>
    <w:rsid w:val="00677FC0"/>
    <w:rsid w:val="00681DAC"/>
    <w:rsid w:val="00682664"/>
    <w:rsid w:val="006835E3"/>
    <w:rsid w:val="00684DF3"/>
    <w:rsid w:val="00686CB8"/>
    <w:rsid w:val="00693A85"/>
    <w:rsid w:val="00695271"/>
    <w:rsid w:val="006965D1"/>
    <w:rsid w:val="006977FC"/>
    <w:rsid w:val="006A07C0"/>
    <w:rsid w:val="006A0BB6"/>
    <w:rsid w:val="006A363E"/>
    <w:rsid w:val="006A5DA3"/>
    <w:rsid w:val="006B3622"/>
    <w:rsid w:val="006B5663"/>
    <w:rsid w:val="006B7490"/>
    <w:rsid w:val="006C32FF"/>
    <w:rsid w:val="006C4CFE"/>
    <w:rsid w:val="006C5DF4"/>
    <w:rsid w:val="006C7A24"/>
    <w:rsid w:val="006D1708"/>
    <w:rsid w:val="006D53E2"/>
    <w:rsid w:val="006E006D"/>
    <w:rsid w:val="006E0779"/>
    <w:rsid w:val="006E19F3"/>
    <w:rsid w:val="006E2058"/>
    <w:rsid w:val="006E489F"/>
    <w:rsid w:val="006E4B64"/>
    <w:rsid w:val="006E6761"/>
    <w:rsid w:val="006E7F4E"/>
    <w:rsid w:val="006F13CE"/>
    <w:rsid w:val="006F19E2"/>
    <w:rsid w:val="006F5F70"/>
    <w:rsid w:val="006F6B1E"/>
    <w:rsid w:val="00700F34"/>
    <w:rsid w:val="00700F4A"/>
    <w:rsid w:val="00701F5E"/>
    <w:rsid w:val="007027B5"/>
    <w:rsid w:val="007033FD"/>
    <w:rsid w:val="0070460B"/>
    <w:rsid w:val="007063DD"/>
    <w:rsid w:val="0071082B"/>
    <w:rsid w:val="007124C6"/>
    <w:rsid w:val="0071253C"/>
    <w:rsid w:val="007162DC"/>
    <w:rsid w:val="00716C92"/>
    <w:rsid w:val="00723CCB"/>
    <w:rsid w:val="007244CA"/>
    <w:rsid w:val="0072499F"/>
    <w:rsid w:val="00730810"/>
    <w:rsid w:val="00730C7F"/>
    <w:rsid w:val="00731123"/>
    <w:rsid w:val="007316F1"/>
    <w:rsid w:val="007331E5"/>
    <w:rsid w:val="00733EF3"/>
    <w:rsid w:val="00734B6B"/>
    <w:rsid w:val="00737ECB"/>
    <w:rsid w:val="00737FDE"/>
    <w:rsid w:val="00740794"/>
    <w:rsid w:val="00740FFA"/>
    <w:rsid w:val="0074127F"/>
    <w:rsid w:val="00742822"/>
    <w:rsid w:val="007446A1"/>
    <w:rsid w:val="007476B7"/>
    <w:rsid w:val="007477F9"/>
    <w:rsid w:val="007507EA"/>
    <w:rsid w:val="00752FDD"/>
    <w:rsid w:val="00755836"/>
    <w:rsid w:val="00761C6C"/>
    <w:rsid w:val="00762739"/>
    <w:rsid w:val="007631FA"/>
    <w:rsid w:val="00765D20"/>
    <w:rsid w:val="0076608B"/>
    <w:rsid w:val="007673BA"/>
    <w:rsid w:val="0077499D"/>
    <w:rsid w:val="00780490"/>
    <w:rsid w:val="007816F9"/>
    <w:rsid w:val="00782560"/>
    <w:rsid w:val="007830B7"/>
    <w:rsid w:val="0078621A"/>
    <w:rsid w:val="0078640C"/>
    <w:rsid w:val="00786A72"/>
    <w:rsid w:val="007872D1"/>
    <w:rsid w:val="007875B2"/>
    <w:rsid w:val="007879B1"/>
    <w:rsid w:val="00791D8B"/>
    <w:rsid w:val="00793807"/>
    <w:rsid w:val="0079464E"/>
    <w:rsid w:val="00794D25"/>
    <w:rsid w:val="0079561B"/>
    <w:rsid w:val="00795EB4"/>
    <w:rsid w:val="00796FAF"/>
    <w:rsid w:val="00797EE2"/>
    <w:rsid w:val="007A06F5"/>
    <w:rsid w:val="007A445C"/>
    <w:rsid w:val="007A4EDA"/>
    <w:rsid w:val="007A6E25"/>
    <w:rsid w:val="007B0F79"/>
    <w:rsid w:val="007B375F"/>
    <w:rsid w:val="007B400E"/>
    <w:rsid w:val="007B507D"/>
    <w:rsid w:val="007B606E"/>
    <w:rsid w:val="007C00AA"/>
    <w:rsid w:val="007C099A"/>
    <w:rsid w:val="007C10E5"/>
    <w:rsid w:val="007C3FC1"/>
    <w:rsid w:val="007C7333"/>
    <w:rsid w:val="007D2315"/>
    <w:rsid w:val="007E33B1"/>
    <w:rsid w:val="007E41B4"/>
    <w:rsid w:val="007E4BC2"/>
    <w:rsid w:val="007E4FE5"/>
    <w:rsid w:val="007E5A54"/>
    <w:rsid w:val="007E5DCE"/>
    <w:rsid w:val="007E7BDE"/>
    <w:rsid w:val="007F1FF0"/>
    <w:rsid w:val="007F4E4E"/>
    <w:rsid w:val="007F6C91"/>
    <w:rsid w:val="007F74B2"/>
    <w:rsid w:val="008002F6"/>
    <w:rsid w:val="00802FB5"/>
    <w:rsid w:val="00803A74"/>
    <w:rsid w:val="00807E8D"/>
    <w:rsid w:val="008107B4"/>
    <w:rsid w:val="00810A65"/>
    <w:rsid w:val="0081284F"/>
    <w:rsid w:val="00812EAD"/>
    <w:rsid w:val="00815AB6"/>
    <w:rsid w:val="00816639"/>
    <w:rsid w:val="00816681"/>
    <w:rsid w:val="00817291"/>
    <w:rsid w:val="00821FB5"/>
    <w:rsid w:val="00825601"/>
    <w:rsid w:val="0082589C"/>
    <w:rsid w:val="00830C34"/>
    <w:rsid w:val="008349B3"/>
    <w:rsid w:val="00840B2E"/>
    <w:rsid w:val="00843B3C"/>
    <w:rsid w:val="00843F55"/>
    <w:rsid w:val="00844611"/>
    <w:rsid w:val="00845076"/>
    <w:rsid w:val="0085246A"/>
    <w:rsid w:val="00852CA9"/>
    <w:rsid w:val="00852E1A"/>
    <w:rsid w:val="00855436"/>
    <w:rsid w:val="00855C85"/>
    <w:rsid w:val="00856D45"/>
    <w:rsid w:val="00861E58"/>
    <w:rsid w:val="008648CB"/>
    <w:rsid w:val="00864F2A"/>
    <w:rsid w:val="00865FDD"/>
    <w:rsid w:val="00867A89"/>
    <w:rsid w:val="00867CD6"/>
    <w:rsid w:val="00873F70"/>
    <w:rsid w:val="00874EA3"/>
    <w:rsid w:val="00875703"/>
    <w:rsid w:val="0087717D"/>
    <w:rsid w:val="008818F4"/>
    <w:rsid w:val="00883DD2"/>
    <w:rsid w:val="00884134"/>
    <w:rsid w:val="0088491A"/>
    <w:rsid w:val="008850F9"/>
    <w:rsid w:val="0089078E"/>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6BEE"/>
    <w:rsid w:val="008D140C"/>
    <w:rsid w:val="008D1D6B"/>
    <w:rsid w:val="008D2170"/>
    <w:rsid w:val="008D27A0"/>
    <w:rsid w:val="008D2A79"/>
    <w:rsid w:val="008D2FFC"/>
    <w:rsid w:val="008D52C7"/>
    <w:rsid w:val="008D5F4B"/>
    <w:rsid w:val="008D697D"/>
    <w:rsid w:val="008D6EEE"/>
    <w:rsid w:val="008D7255"/>
    <w:rsid w:val="008E0379"/>
    <w:rsid w:val="008E05F4"/>
    <w:rsid w:val="008E1DD7"/>
    <w:rsid w:val="008E4B98"/>
    <w:rsid w:val="008E5123"/>
    <w:rsid w:val="008E6BCD"/>
    <w:rsid w:val="008E6F85"/>
    <w:rsid w:val="008F03EC"/>
    <w:rsid w:val="008F4660"/>
    <w:rsid w:val="008F4EF1"/>
    <w:rsid w:val="008F55BD"/>
    <w:rsid w:val="0090083A"/>
    <w:rsid w:val="00901491"/>
    <w:rsid w:val="009036C0"/>
    <w:rsid w:val="00903910"/>
    <w:rsid w:val="009040E7"/>
    <w:rsid w:val="0090453D"/>
    <w:rsid w:val="00904A18"/>
    <w:rsid w:val="00911026"/>
    <w:rsid w:val="0091440F"/>
    <w:rsid w:val="009162A2"/>
    <w:rsid w:val="00916CD9"/>
    <w:rsid w:val="00926BB0"/>
    <w:rsid w:val="00931162"/>
    <w:rsid w:val="009311CB"/>
    <w:rsid w:val="00932F54"/>
    <w:rsid w:val="00933908"/>
    <w:rsid w:val="009437EB"/>
    <w:rsid w:val="009456EB"/>
    <w:rsid w:val="009469CB"/>
    <w:rsid w:val="00950540"/>
    <w:rsid w:val="00950DD1"/>
    <w:rsid w:val="009531CF"/>
    <w:rsid w:val="00954641"/>
    <w:rsid w:val="00956552"/>
    <w:rsid w:val="00956ACC"/>
    <w:rsid w:val="009603FC"/>
    <w:rsid w:val="00966B67"/>
    <w:rsid w:val="009671D6"/>
    <w:rsid w:val="009710D0"/>
    <w:rsid w:val="00971AC1"/>
    <w:rsid w:val="009734E8"/>
    <w:rsid w:val="00977139"/>
    <w:rsid w:val="00980056"/>
    <w:rsid w:val="009812D4"/>
    <w:rsid w:val="009817E8"/>
    <w:rsid w:val="009838AE"/>
    <w:rsid w:val="0098770A"/>
    <w:rsid w:val="009946A1"/>
    <w:rsid w:val="009973A5"/>
    <w:rsid w:val="009A1868"/>
    <w:rsid w:val="009A2C34"/>
    <w:rsid w:val="009A3BF6"/>
    <w:rsid w:val="009A66D5"/>
    <w:rsid w:val="009B0A8A"/>
    <w:rsid w:val="009B1161"/>
    <w:rsid w:val="009B1541"/>
    <w:rsid w:val="009B3C1E"/>
    <w:rsid w:val="009B4F67"/>
    <w:rsid w:val="009B5571"/>
    <w:rsid w:val="009B6C9A"/>
    <w:rsid w:val="009C191D"/>
    <w:rsid w:val="009C544A"/>
    <w:rsid w:val="009C6E1D"/>
    <w:rsid w:val="009D46B7"/>
    <w:rsid w:val="009D573D"/>
    <w:rsid w:val="009D6CB6"/>
    <w:rsid w:val="009E05F0"/>
    <w:rsid w:val="009E2213"/>
    <w:rsid w:val="009E237E"/>
    <w:rsid w:val="009E3E1B"/>
    <w:rsid w:val="009E484F"/>
    <w:rsid w:val="009E5017"/>
    <w:rsid w:val="009E7CC5"/>
    <w:rsid w:val="009F09EB"/>
    <w:rsid w:val="009F1012"/>
    <w:rsid w:val="009F1964"/>
    <w:rsid w:val="009F463B"/>
    <w:rsid w:val="009F4688"/>
    <w:rsid w:val="009F4977"/>
    <w:rsid w:val="00A005DA"/>
    <w:rsid w:val="00A017BA"/>
    <w:rsid w:val="00A01DE6"/>
    <w:rsid w:val="00A06F0A"/>
    <w:rsid w:val="00A108DF"/>
    <w:rsid w:val="00A10D6B"/>
    <w:rsid w:val="00A25A6D"/>
    <w:rsid w:val="00A262B1"/>
    <w:rsid w:val="00A269DD"/>
    <w:rsid w:val="00A26B23"/>
    <w:rsid w:val="00A272E1"/>
    <w:rsid w:val="00A273F4"/>
    <w:rsid w:val="00A27C25"/>
    <w:rsid w:val="00A3075E"/>
    <w:rsid w:val="00A31D60"/>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60DCA"/>
    <w:rsid w:val="00A64A2E"/>
    <w:rsid w:val="00A64E4D"/>
    <w:rsid w:val="00A660CE"/>
    <w:rsid w:val="00A77476"/>
    <w:rsid w:val="00A816B1"/>
    <w:rsid w:val="00A81A83"/>
    <w:rsid w:val="00A83E0B"/>
    <w:rsid w:val="00A852AA"/>
    <w:rsid w:val="00A85E6B"/>
    <w:rsid w:val="00A868A2"/>
    <w:rsid w:val="00A94AEF"/>
    <w:rsid w:val="00A9642C"/>
    <w:rsid w:val="00A97778"/>
    <w:rsid w:val="00AA005C"/>
    <w:rsid w:val="00AA0F08"/>
    <w:rsid w:val="00AA1464"/>
    <w:rsid w:val="00AA1817"/>
    <w:rsid w:val="00AA1C64"/>
    <w:rsid w:val="00AA20BF"/>
    <w:rsid w:val="00AA3983"/>
    <w:rsid w:val="00AA64CB"/>
    <w:rsid w:val="00AB084B"/>
    <w:rsid w:val="00AB257A"/>
    <w:rsid w:val="00AB778E"/>
    <w:rsid w:val="00AC059A"/>
    <w:rsid w:val="00AC08B9"/>
    <w:rsid w:val="00AC1259"/>
    <w:rsid w:val="00AC1987"/>
    <w:rsid w:val="00AC258C"/>
    <w:rsid w:val="00AC2DD7"/>
    <w:rsid w:val="00AC32FC"/>
    <w:rsid w:val="00AC3FC9"/>
    <w:rsid w:val="00AC4923"/>
    <w:rsid w:val="00AD35F6"/>
    <w:rsid w:val="00AD56DF"/>
    <w:rsid w:val="00AD5F38"/>
    <w:rsid w:val="00AD7DF2"/>
    <w:rsid w:val="00AE1588"/>
    <w:rsid w:val="00AE22C2"/>
    <w:rsid w:val="00AF1E45"/>
    <w:rsid w:val="00AF518E"/>
    <w:rsid w:val="00AF67E7"/>
    <w:rsid w:val="00AF7D0B"/>
    <w:rsid w:val="00B004F5"/>
    <w:rsid w:val="00B00826"/>
    <w:rsid w:val="00B019DA"/>
    <w:rsid w:val="00B028C2"/>
    <w:rsid w:val="00B02A0F"/>
    <w:rsid w:val="00B0348A"/>
    <w:rsid w:val="00B03CD9"/>
    <w:rsid w:val="00B04D21"/>
    <w:rsid w:val="00B05337"/>
    <w:rsid w:val="00B05652"/>
    <w:rsid w:val="00B1057D"/>
    <w:rsid w:val="00B14879"/>
    <w:rsid w:val="00B17083"/>
    <w:rsid w:val="00B20594"/>
    <w:rsid w:val="00B20BAA"/>
    <w:rsid w:val="00B20BD6"/>
    <w:rsid w:val="00B21841"/>
    <w:rsid w:val="00B23A13"/>
    <w:rsid w:val="00B26D0D"/>
    <w:rsid w:val="00B278A5"/>
    <w:rsid w:val="00B301ED"/>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8AE"/>
    <w:rsid w:val="00B644E4"/>
    <w:rsid w:val="00B65CA7"/>
    <w:rsid w:val="00B67940"/>
    <w:rsid w:val="00B67E58"/>
    <w:rsid w:val="00B67EBD"/>
    <w:rsid w:val="00B734E4"/>
    <w:rsid w:val="00B7431F"/>
    <w:rsid w:val="00B74F34"/>
    <w:rsid w:val="00B77B9B"/>
    <w:rsid w:val="00B82641"/>
    <w:rsid w:val="00B8442C"/>
    <w:rsid w:val="00B8571B"/>
    <w:rsid w:val="00B85D9B"/>
    <w:rsid w:val="00B8792D"/>
    <w:rsid w:val="00B91646"/>
    <w:rsid w:val="00B928DF"/>
    <w:rsid w:val="00B928FE"/>
    <w:rsid w:val="00B9404A"/>
    <w:rsid w:val="00B94527"/>
    <w:rsid w:val="00B951BB"/>
    <w:rsid w:val="00B9769C"/>
    <w:rsid w:val="00BA1814"/>
    <w:rsid w:val="00BA4D1E"/>
    <w:rsid w:val="00BA5577"/>
    <w:rsid w:val="00BB1B6F"/>
    <w:rsid w:val="00BB30A0"/>
    <w:rsid w:val="00BB55E8"/>
    <w:rsid w:val="00BB58C4"/>
    <w:rsid w:val="00BB5DFA"/>
    <w:rsid w:val="00BB636D"/>
    <w:rsid w:val="00BC3D73"/>
    <w:rsid w:val="00BC704A"/>
    <w:rsid w:val="00BC7986"/>
    <w:rsid w:val="00BC7D13"/>
    <w:rsid w:val="00BD08B9"/>
    <w:rsid w:val="00BD2851"/>
    <w:rsid w:val="00BD42FB"/>
    <w:rsid w:val="00BD5C50"/>
    <w:rsid w:val="00BE067B"/>
    <w:rsid w:val="00BE10E8"/>
    <w:rsid w:val="00BE4E1E"/>
    <w:rsid w:val="00BE5494"/>
    <w:rsid w:val="00BE5A1A"/>
    <w:rsid w:val="00BE60A3"/>
    <w:rsid w:val="00BF1BE4"/>
    <w:rsid w:val="00BF21FC"/>
    <w:rsid w:val="00BF277B"/>
    <w:rsid w:val="00BF3A8B"/>
    <w:rsid w:val="00BF3B42"/>
    <w:rsid w:val="00C0656F"/>
    <w:rsid w:val="00C10B1C"/>
    <w:rsid w:val="00C12BF9"/>
    <w:rsid w:val="00C13981"/>
    <w:rsid w:val="00C13DF2"/>
    <w:rsid w:val="00C1429B"/>
    <w:rsid w:val="00C21A78"/>
    <w:rsid w:val="00C23E11"/>
    <w:rsid w:val="00C256EC"/>
    <w:rsid w:val="00C30B74"/>
    <w:rsid w:val="00C32F82"/>
    <w:rsid w:val="00C340FB"/>
    <w:rsid w:val="00C34140"/>
    <w:rsid w:val="00C3515C"/>
    <w:rsid w:val="00C35836"/>
    <w:rsid w:val="00C37019"/>
    <w:rsid w:val="00C4076C"/>
    <w:rsid w:val="00C4127F"/>
    <w:rsid w:val="00C41F45"/>
    <w:rsid w:val="00C46770"/>
    <w:rsid w:val="00C522FE"/>
    <w:rsid w:val="00C526BE"/>
    <w:rsid w:val="00C53E18"/>
    <w:rsid w:val="00C54902"/>
    <w:rsid w:val="00C55B7B"/>
    <w:rsid w:val="00C56CA4"/>
    <w:rsid w:val="00C56E01"/>
    <w:rsid w:val="00C571D7"/>
    <w:rsid w:val="00C571E9"/>
    <w:rsid w:val="00C62595"/>
    <w:rsid w:val="00C630AF"/>
    <w:rsid w:val="00C652F3"/>
    <w:rsid w:val="00C6605F"/>
    <w:rsid w:val="00C66431"/>
    <w:rsid w:val="00C6658B"/>
    <w:rsid w:val="00C67C35"/>
    <w:rsid w:val="00C70A00"/>
    <w:rsid w:val="00C70A6E"/>
    <w:rsid w:val="00C73502"/>
    <w:rsid w:val="00C75380"/>
    <w:rsid w:val="00C75AF0"/>
    <w:rsid w:val="00C76955"/>
    <w:rsid w:val="00C77736"/>
    <w:rsid w:val="00C82FF0"/>
    <w:rsid w:val="00C841BA"/>
    <w:rsid w:val="00C851C4"/>
    <w:rsid w:val="00C8589B"/>
    <w:rsid w:val="00C875C1"/>
    <w:rsid w:val="00C87DB8"/>
    <w:rsid w:val="00C900A6"/>
    <w:rsid w:val="00C91AE0"/>
    <w:rsid w:val="00C9331B"/>
    <w:rsid w:val="00C943BF"/>
    <w:rsid w:val="00CA01AF"/>
    <w:rsid w:val="00CA2783"/>
    <w:rsid w:val="00CA675C"/>
    <w:rsid w:val="00CA70F0"/>
    <w:rsid w:val="00CB01B9"/>
    <w:rsid w:val="00CB1DE6"/>
    <w:rsid w:val="00CC50F2"/>
    <w:rsid w:val="00CC6634"/>
    <w:rsid w:val="00CD1BDB"/>
    <w:rsid w:val="00CD392E"/>
    <w:rsid w:val="00CD3962"/>
    <w:rsid w:val="00CD3DEC"/>
    <w:rsid w:val="00CE0009"/>
    <w:rsid w:val="00CE06FB"/>
    <w:rsid w:val="00CE4455"/>
    <w:rsid w:val="00CE5647"/>
    <w:rsid w:val="00CE7199"/>
    <w:rsid w:val="00CE76F3"/>
    <w:rsid w:val="00CF1680"/>
    <w:rsid w:val="00CF5BC9"/>
    <w:rsid w:val="00CF6D8A"/>
    <w:rsid w:val="00D01286"/>
    <w:rsid w:val="00D01614"/>
    <w:rsid w:val="00D10BFA"/>
    <w:rsid w:val="00D11635"/>
    <w:rsid w:val="00D12D5D"/>
    <w:rsid w:val="00D15DCE"/>
    <w:rsid w:val="00D2029C"/>
    <w:rsid w:val="00D203B8"/>
    <w:rsid w:val="00D215F7"/>
    <w:rsid w:val="00D2223C"/>
    <w:rsid w:val="00D2454B"/>
    <w:rsid w:val="00D318F2"/>
    <w:rsid w:val="00D3581D"/>
    <w:rsid w:val="00D3654A"/>
    <w:rsid w:val="00D40CED"/>
    <w:rsid w:val="00D45780"/>
    <w:rsid w:val="00D4648F"/>
    <w:rsid w:val="00D52669"/>
    <w:rsid w:val="00D570AB"/>
    <w:rsid w:val="00D602DA"/>
    <w:rsid w:val="00D61F25"/>
    <w:rsid w:val="00D634F5"/>
    <w:rsid w:val="00D63F28"/>
    <w:rsid w:val="00D65C26"/>
    <w:rsid w:val="00D66391"/>
    <w:rsid w:val="00D724A7"/>
    <w:rsid w:val="00D77A70"/>
    <w:rsid w:val="00D83954"/>
    <w:rsid w:val="00D83F0D"/>
    <w:rsid w:val="00D92F68"/>
    <w:rsid w:val="00D946E0"/>
    <w:rsid w:val="00D94B63"/>
    <w:rsid w:val="00D95BFC"/>
    <w:rsid w:val="00D95CF7"/>
    <w:rsid w:val="00D96345"/>
    <w:rsid w:val="00D9660F"/>
    <w:rsid w:val="00D96D0A"/>
    <w:rsid w:val="00DA0102"/>
    <w:rsid w:val="00DA01AE"/>
    <w:rsid w:val="00DA0848"/>
    <w:rsid w:val="00DA1420"/>
    <w:rsid w:val="00DA1C1C"/>
    <w:rsid w:val="00DA29FC"/>
    <w:rsid w:val="00DA3A4A"/>
    <w:rsid w:val="00DA57A1"/>
    <w:rsid w:val="00DA6543"/>
    <w:rsid w:val="00DA6883"/>
    <w:rsid w:val="00DA7D45"/>
    <w:rsid w:val="00DB0383"/>
    <w:rsid w:val="00DB4A9C"/>
    <w:rsid w:val="00DB5E04"/>
    <w:rsid w:val="00DB77A4"/>
    <w:rsid w:val="00DB7914"/>
    <w:rsid w:val="00DB7C61"/>
    <w:rsid w:val="00DC34D4"/>
    <w:rsid w:val="00DC37BA"/>
    <w:rsid w:val="00DC3E0F"/>
    <w:rsid w:val="00DC5823"/>
    <w:rsid w:val="00DC6232"/>
    <w:rsid w:val="00DD33E9"/>
    <w:rsid w:val="00DD407B"/>
    <w:rsid w:val="00DD4837"/>
    <w:rsid w:val="00DD48B7"/>
    <w:rsid w:val="00DD4E0C"/>
    <w:rsid w:val="00DD624B"/>
    <w:rsid w:val="00DD6C12"/>
    <w:rsid w:val="00DD7ABA"/>
    <w:rsid w:val="00DE74FD"/>
    <w:rsid w:val="00DF1608"/>
    <w:rsid w:val="00DF3511"/>
    <w:rsid w:val="00DF7513"/>
    <w:rsid w:val="00DF7F94"/>
    <w:rsid w:val="00E00137"/>
    <w:rsid w:val="00E04D8D"/>
    <w:rsid w:val="00E04ED3"/>
    <w:rsid w:val="00E052A0"/>
    <w:rsid w:val="00E056A4"/>
    <w:rsid w:val="00E07EF3"/>
    <w:rsid w:val="00E1015D"/>
    <w:rsid w:val="00E14867"/>
    <w:rsid w:val="00E15577"/>
    <w:rsid w:val="00E15B12"/>
    <w:rsid w:val="00E16D22"/>
    <w:rsid w:val="00E17C00"/>
    <w:rsid w:val="00E23A1C"/>
    <w:rsid w:val="00E24C4B"/>
    <w:rsid w:val="00E26D7A"/>
    <w:rsid w:val="00E27D64"/>
    <w:rsid w:val="00E31ED4"/>
    <w:rsid w:val="00E32DC7"/>
    <w:rsid w:val="00E344EE"/>
    <w:rsid w:val="00E3481C"/>
    <w:rsid w:val="00E35F16"/>
    <w:rsid w:val="00E36DEF"/>
    <w:rsid w:val="00E3739B"/>
    <w:rsid w:val="00E41685"/>
    <w:rsid w:val="00E41E3D"/>
    <w:rsid w:val="00E445A4"/>
    <w:rsid w:val="00E44D14"/>
    <w:rsid w:val="00E44E6D"/>
    <w:rsid w:val="00E45315"/>
    <w:rsid w:val="00E512FC"/>
    <w:rsid w:val="00E519A9"/>
    <w:rsid w:val="00E601C8"/>
    <w:rsid w:val="00E61729"/>
    <w:rsid w:val="00E64E77"/>
    <w:rsid w:val="00E658B2"/>
    <w:rsid w:val="00E6629C"/>
    <w:rsid w:val="00E67B8E"/>
    <w:rsid w:val="00E705DE"/>
    <w:rsid w:val="00E71165"/>
    <w:rsid w:val="00E71D6B"/>
    <w:rsid w:val="00E72290"/>
    <w:rsid w:val="00E7473B"/>
    <w:rsid w:val="00E74D68"/>
    <w:rsid w:val="00E75B15"/>
    <w:rsid w:val="00E76B65"/>
    <w:rsid w:val="00E76DCB"/>
    <w:rsid w:val="00E802A1"/>
    <w:rsid w:val="00E81E36"/>
    <w:rsid w:val="00E84BF0"/>
    <w:rsid w:val="00E87B7B"/>
    <w:rsid w:val="00E92EFD"/>
    <w:rsid w:val="00E97738"/>
    <w:rsid w:val="00EA0359"/>
    <w:rsid w:val="00EA0511"/>
    <w:rsid w:val="00EA1A7B"/>
    <w:rsid w:val="00EA4B40"/>
    <w:rsid w:val="00EA60A0"/>
    <w:rsid w:val="00EB15BC"/>
    <w:rsid w:val="00EB1E68"/>
    <w:rsid w:val="00EB402E"/>
    <w:rsid w:val="00EB4343"/>
    <w:rsid w:val="00EB4DA0"/>
    <w:rsid w:val="00EB6887"/>
    <w:rsid w:val="00EB7EE7"/>
    <w:rsid w:val="00EC2AF2"/>
    <w:rsid w:val="00EC3DD8"/>
    <w:rsid w:val="00EC43F6"/>
    <w:rsid w:val="00EC5FDA"/>
    <w:rsid w:val="00EC7235"/>
    <w:rsid w:val="00ED2E13"/>
    <w:rsid w:val="00ED3A96"/>
    <w:rsid w:val="00EE48C9"/>
    <w:rsid w:val="00EE4E0C"/>
    <w:rsid w:val="00EE5FD4"/>
    <w:rsid w:val="00EE693D"/>
    <w:rsid w:val="00EF0045"/>
    <w:rsid w:val="00EF12C2"/>
    <w:rsid w:val="00EF29AB"/>
    <w:rsid w:val="00EF3315"/>
    <w:rsid w:val="00EF5A5F"/>
    <w:rsid w:val="00EF76E0"/>
    <w:rsid w:val="00F03005"/>
    <w:rsid w:val="00F04BA9"/>
    <w:rsid w:val="00F05CE4"/>
    <w:rsid w:val="00F07C45"/>
    <w:rsid w:val="00F07F25"/>
    <w:rsid w:val="00F10AC5"/>
    <w:rsid w:val="00F12B84"/>
    <w:rsid w:val="00F13AFA"/>
    <w:rsid w:val="00F15D89"/>
    <w:rsid w:val="00F16716"/>
    <w:rsid w:val="00F173D1"/>
    <w:rsid w:val="00F2113E"/>
    <w:rsid w:val="00F21E58"/>
    <w:rsid w:val="00F251AE"/>
    <w:rsid w:val="00F26239"/>
    <w:rsid w:val="00F26E3B"/>
    <w:rsid w:val="00F27635"/>
    <w:rsid w:val="00F345BC"/>
    <w:rsid w:val="00F3538E"/>
    <w:rsid w:val="00F36791"/>
    <w:rsid w:val="00F417AF"/>
    <w:rsid w:val="00F41A0C"/>
    <w:rsid w:val="00F4207C"/>
    <w:rsid w:val="00F432D8"/>
    <w:rsid w:val="00F465EE"/>
    <w:rsid w:val="00F53E34"/>
    <w:rsid w:val="00F5795A"/>
    <w:rsid w:val="00F60737"/>
    <w:rsid w:val="00F62ECC"/>
    <w:rsid w:val="00F65265"/>
    <w:rsid w:val="00F665F1"/>
    <w:rsid w:val="00F701AB"/>
    <w:rsid w:val="00F71FE8"/>
    <w:rsid w:val="00F7229A"/>
    <w:rsid w:val="00F73AE2"/>
    <w:rsid w:val="00F80845"/>
    <w:rsid w:val="00F81543"/>
    <w:rsid w:val="00F8685F"/>
    <w:rsid w:val="00F87250"/>
    <w:rsid w:val="00F93EF3"/>
    <w:rsid w:val="00F95BBC"/>
    <w:rsid w:val="00F9601B"/>
    <w:rsid w:val="00F97855"/>
    <w:rsid w:val="00FA0A1A"/>
    <w:rsid w:val="00FA3FB2"/>
    <w:rsid w:val="00FA797E"/>
    <w:rsid w:val="00FB0B50"/>
    <w:rsid w:val="00FB3881"/>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F1428"/>
    <w:rsid w:val="00FF2DE9"/>
    <w:rsid w:val="00FF5C14"/>
    <w:rsid w:val="01D526FB"/>
    <w:rsid w:val="02187698"/>
    <w:rsid w:val="02600EE6"/>
    <w:rsid w:val="02B17DEA"/>
    <w:rsid w:val="02C20A8E"/>
    <w:rsid w:val="02C7774C"/>
    <w:rsid w:val="03653EE0"/>
    <w:rsid w:val="03D41080"/>
    <w:rsid w:val="03F70A1B"/>
    <w:rsid w:val="04536771"/>
    <w:rsid w:val="04CF0241"/>
    <w:rsid w:val="04CF037B"/>
    <w:rsid w:val="04D434CD"/>
    <w:rsid w:val="05A6570C"/>
    <w:rsid w:val="05D747CE"/>
    <w:rsid w:val="06116586"/>
    <w:rsid w:val="062A25EB"/>
    <w:rsid w:val="062E0C5B"/>
    <w:rsid w:val="066F6E3E"/>
    <w:rsid w:val="067E40F1"/>
    <w:rsid w:val="06FC1D3D"/>
    <w:rsid w:val="070C4535"/>
    <w:rsid w:val="074F1149"/>
    <w:rsid w:val="07C23707"/>
    <w:rsid w:val="08481AFC"/>
    <w:rsid w:val="084C3D4E"/>
    <w:rsid w:val="08623170"/>
    <w:rsid w:val="08DA2DF4"/>
    <w:rsid w:val="09132CAD"/>
    <w:rsid w:val="0928694B"/>
    <w:rsid w:val="094B1DE4"/>
    <w:rsid w:val="09AE1EBE"/>
    <w:rsid w:val="0A043BD9"/>
    <w:rsid w:val="0A8226C4"/>
    <w:rsid w:val="0ABF46E8"/>
    <w:rsid w:val="0AF3628F"/>
    <w:rsid w:val="0B136931"/>
    <w:rsid w:val="0B1701D1"/>
    <w:rsid w:val="0B1C57E6"/>
    <w:rsid w:val="0B400C53"/>
    <w:rsid w:val="0B546770"/>
    <w:rsid w:val="0B557F69"/>
    <w:rsid w:val="0BF16C73"/>
    <w:rsid w:val="0C68626A"/>
    <w:rsid w:val="0CB85A75"/>
    <w:rsid w:val="0CCB5D7F"/>
    <w:rsid w:val="0D076D4B"/>
    <w:rsid w:val="0D244935"/>
    <w:rsid w:val="0D476181"/>
    <w:rsid w:val="0D4C612B"/>
    <w:rsid w:val="0D597A12"/>
    <w:rsid w:val="0DD82304"/>
    <w:rsid w:val="0DF006CF"/>
    <w:rsid w:val="0E15651D"/>
    <w:rsid w:val="0E214CDF"/>
    <w:rsid w:val="0E52151F"/>
    <w:rsid w:val="0E995D41"/>
    <w:rsid w:val="0EF21427"/>
    <w:rsid w:val="0F622A1B"/>
    <w:rsid w:val="0F7B461A"/>
    <w:rsid w:val="0F830C6F"/>
    <w:rsid w:val="0F8B53FA"/>
    <w:rsid w:val="0F8D60A3"/>
    <w:rsid w:val="0F8D6B77"/>
    <w:rsid w:val="10354C54"/>
    <w:rsid w:val="104E550C"/>
    <w:rsid w:val="1057315A"/>
    <w:rsid w:val="107E6F48"/>
    <w:rsid w:val="10A45513"/>
    <w:rsid w:val="10EA0134"/>
    <w:rsid w:val="11475878"/>
    <w:rsid w:val="114E2471"/>
    <w:rsid w:val="115A0E16"/>
    <w:rsid w:val="11856A58"/>
    <w:rsid w:val="11CE2B2E"/>
    <w:rsid w:val="11EB1B79"/>
    <w:rsid w:val="11EC1DA9"/>
    <w:rsid w:val="120E18AC"/>
    <w:rsid w:val="12331667"/>
    <w:rsid w:val="127A3F70"/>
    <w:rsid w:val="12E34E3B"/>
    <w:rsid w:val="13AB3BAB"/>
    <w:rsid w:val="13B90F88"/>
    <w:rsid w:val="13D55F13"/>
    <w:rsid w:val="14444D66"/>
    <w:rsid w:val="144657F2"/>
    <w:rsid w:val="144C1AD8"/>
    <w:rsid w:val="152754B3"/>
    <w:rsid w:val="157078C5"/>
    <w:rsid w:val="157E55BA"/>
    <w:rsid w:val="163C7C3D"/>
    <w:rsid w:val="164C5041"/>
    <w:rsid w:val="165173FE"/>
    <w:rsid w:val="16573B76"/>
    <w:rsid w:val="16FC73D2"/>
    <w:rsid w:val="170931A4"/>
    <w:rsid w:val="17214F3D"/>
    <w:rsid w:val="17623EB4"/>
    <w:rsid w:val="17B73628"/>
    <w:rsid w:val="17EE7B2D"/>
    <w:rsid w:val="181405F5"/>
    <w:rsid w:val="183132E0"/>
    <w:rsid w:val="18622CA6"/>
    <w:rsid w:val="189646BC"/>
    <w:rsid w:val="1931131D"/>
    <w:rsid w:val="1962346E"/>
    <w:rsid w:val="198B6DAF"/>
    <w:rsid w:val="19A05834"/>
    <w:rsid w:val="19E954D9"/>
    <w:rsid w:val="1A501008"/>
    <w:rsid w:val="1A5E51DE"/>
    <w:rsid w:val="1AD32F15"/>
    <w:rsid w:val="1B0E7D9B"/>
    <w:rsid w:val="1B142990"/>
    <w:rsid w:val="1B214C6B"/>
    <w:rsid w:val="1BD23ACC"/>
    <w:rsid w:val="1BFC5316"/>
    <w:rsid w:val="1C0C4517"/>
    <w:rsid w:val="1C272A00"/>
    <w:rsid w:val="1C3A1F70"/>
    <w:rsid w:val="1C435EBD"/>
    <w:rsid w:val="1C7E23D2"/>
    <w:rsid w:val="1CFD4D4B"/>
    <w:rsid w:val="1D1C6E1B"/>
    <w:rsid w:val="1D221086"/>
    <w:rsid w:val="1D9873A5"/>
    <w:rsid w:val="1DAD7D5E"/>
    <w:rsid w:val="1DD21F54"/>
    <w:rsid w:val="1DDE75EB"/>
    <w:rsid w:val="1E7B62C3"/>
    <w:rsid w:val="1E853C68"/>
    <w:rsid w:val="1EFB52BB"/>
    <w:rsid w:val="1F5C1F1B"/>
    <w:rsid w:val="20F16A1F"/>
    <w:rsid w:val="211B1C44"/>
    <w:rsid w:val="212D5CE2"/>
    <w:rsid w:val="214F5E3B"/>
    <w:rsid w:val="215A6C10"/>
    <w:rsid w:val="21811739"/>
    <w:rsid w:val="21837C70"/>
    <w:rsid w:val="21C476DA"/>
    <w:rsid w:val="21F65217"/>
    <w:rsid w:val="230865AC"/>
    <w:rsid w:val="2339002E"/>
    <w:rsid w:val="233E58B3"/>
    <w:rsid w:val="240E47E9"/>
    <w:rsid w:val="245F117A"/>
    <w:rsid w:val="24B44889"/>
    <w:rsid w:val="24D05480"/>
    <w:rsid w:val="24F34209"/>
    <w:rsid w:val="252E562A"/>
    <w:rsid w:val="254E25E8"/>
    <w:rsid w:val="25675458"/>
    <w:rsid w:val="25A751B1"/>
    <w:rsid w:val="25A816B0"/>
    <w:rsid w:val="25D81B1E"/>
    <w:rsid w:val="25F42947"/>
    <w:rsid w:val="264E5218"/>
    <w:rsid w:val="26DC0D70"/>
    <w:rsid w:val="270D585D"/>
    <w:rsid w:val="27194E78"/>
    <w:rsid w:val="27277B7F"/>
    <w:rsid w:val="27942595"/>
    <w:rsid w:val="27F32686"/>
    <w:rsid w:val="285A5748"/>
    <w:rsid w:val="28A219F3"/>
    <w:rsid w:val="28A47E32"/>
    <w:rsid w:val="28AE14AB"/>
    <w:rsid w:val="293238A7"/>
    <w:rsid w:val="295E2A75"/>
    <w:rsid w:val="29671ECA"/>
    <w:rsid w:val="296B16FD"/>
    <w:rsid w:val="29884720"/>
    <w:rsid w:val="29EC0622"/>
    <w:rsid w:val="2A8F62DB"/>
    <w:rsid w:val="2AA502F0"/>
    <w:rsid w:val="2ADE3AE9"/>
    <w:rsid w:val="2AF92FBC"/>
    <w:rsid w:val="2B093F9D"/>
    <w:rsid w:val="2B48503E"/>
    <w:rsid w:val="2B525912"/>
    <w:rsid w:val="2B98526D"/>
    <w:rsid w:val="2BB94533"/>
    <w:rsid w:val="2BFB7FCB"/>
    <w:rsid w:val="2C2147C4"/>
    <w:rsid w:val="2C372C31"/>
    <w:rsid w:val="2C515948"/>
    <w:rsid w:val="2CB462E5"/>
    <w:rsid w:val="2D163D5D"/>
    <w:rsid w:val="2D5F3F48"/>
    <w:rsid w:val="2D826081"/>
    <w:rsid w:val="2E84707B"/>
    <w:rsid w:val="2F0758AA"/>
    <w:rsid w:val="2F320885"/>
    <w:rsid w:val="2F51610C"/>
    <w:rsid w:val="2FB110AD"/>
    <w:rsid w:val="2FB90FA6"/>
    <w:rsid w:val="2FDB4595"/>
    <w:rsid w:val="2FF560BC"/>
    <w:rsid w:val="310C576F"/>
    <w:rsid w:val="32B9519B"/>
    <w:rsid w:val="32E62216"/>
    <w:rsid w:val="336D0C3D"/>
    <w:rsid w:val="33C53F22"/>
    <w:rsid w:val="33EE7629"/>
    <w:rsid w:val="34335D23"/>
    <w:rsid w:val="34870E6A"/>
    <w:rsid w:val="348F1DA3"/>
    <w:rsid w:val="35382F03"/>
    <w:rsid w:val="356E7FAB"/>
    <w:rsid w:val="35973B37"/>
    <w:rsid w:val="35FB2318"/>
    <w:rsid w:val="36280C33"/>
    <w:rsid w:val="36304BED"/>
    <w:rsid w:val="36835C36"/>
    <w:rsid w:val="36B6289A"/>
    <w:rsid w:val="36C24BE4"/>
    <w:rsid w:val="379C4A01"/>
    <w:rsid w:val="37B2352A"/>
    <w:rsid w:val="37CF5A51"/>
    <w:rsid w:val="388C36FB"/>
    <w:rsid w:val="3894610C"/>
    <w:rsid w:val="38E614BB"/>
    <w:rsid w:val="393A469C"/>
    <w:rsid w:val="394E6C03"/>
    <w:rsid w:val="39D70CA4"/>
    <w:rsid w:val="3A42419D"/>
    <w:rsid w:val="3A87680F"/>
    <w:rsid w:val="3AAB598F"/>
    <w:rsid w:val="3AB1026B"/>
    <w:rsid w:val="3B293EF9"/>
    <w:rsid w:val="3BAE17E4"/>
    <w:rsid w:val="3CC73FCC"/>
    <w:rsid w:val="3D6A688C"/>
    <w:rsid w:val="3DAD676B"/>
    <w:rsid w:val="3DC47576"/>
    <w:rsid w:val="3DD05331"/>
    <w:rsid w:val="3DD32C78"/>
    <w:rsid w:val="3E296FE5"/>
    <w:rsid w:val="3F152518"/>
    <w:rsid w:val="3F4B7F1A"/>
    <w:rsid w:val="3F5636BD"/>
    <w:rsid w:val="3FB47094"/>
    <w:rsid w:val="3FC905C5"/>
    <w:rsid w:val="3FE931E1"/>
    <w:rsid w:val="3FFE7BEC"/>
    <w:rsid w:val="40AB4BD1"/>
    <w:rsid w:val="40D16AE4"/>
    <w:rsid w:val="40F438CA"/>
    <w:rsid w:val="4178234D"/>
    <w:rsid w:val="41B5017B"/>
    <w:rsid w:val="41F10A9A"/>
    <w:rsid w:val="42091889"/>
    <w:rsid w:val="42AD499A"/>
    <w:rsid w:val="438505B6"/>
    <w:rsid w:val="43A35675"/>
    <w:rsid w:val="44054362"/>
    <w:rsid w:val="4408492F"/>
    <w:rsid w:val="44D05A5B"/>
    <w:rsid w:val="44D472D9"/>
    <w:rsid w:val="45174D7D"/>
    <w:rsid w:val="459A54D2"/>
    <w:rsid w:val="460C78BF"/>
    <w:rsid w:val="461B1C1B"/>
    <w:rsid w:val="469E2A13"/>
    <w:rsid w:val="47226FD9"/>
    <w:rsid w:val="474974CE"/>
    <w:rsid w:val="47A30627"/>
    <w:rsid w:val="480138C6"/>
    <w:rsid w:val="481D611E"/>
    <w:rsid w:val="481F495F"/>
    <w:rsid w:val="484511D1"/>
    <w:rsid w:val="48B61B73"/>
    <w:rsid w:val="48BA22D0"/>
    <w:rsid w:val="48C80640"/>
    <w:rsid w:val="4927085F"/>
    <w:rsid w:val="4A0D434D"/>
    <w:rsid w:val="4A266DE0"/>
    <w:rsid w:val="4AD117AF"/>
    <w:rsid w:val="4B110170"/>
    <w:rsid w:val="4B1D3131"/>
    <w:rsid w:val="4B31270B"/>
    <w:rsid w:val="4B6656B6"/>
    <w:rsid w:val="4C085F37"/>
    <w:rsid w:val="4C673E0C"/>
    <w:rsid w:val="4C8C275B"/>
    <w:rsid w:val="4C9C5C47"/>
    <w:rsid w:val="4D5D0C8E"/>
    <w:rsid w:val="4D8409ED"/>
    <w:rsid w:val="4DAE4646"/>
    <w:rsid w:val="4E4D3B05"/>
    <w:rsid w:val="4E8B2C57"/>
    <w:rsid w:val="4ED13B16"/>
    <w:rsid w:val="4FE70DC0"/>
    <w:rsid w:val="505A5A36"/>
    <w:rsid w:val="507940A9"/>
    <w:rsid w:val="5081483A"/>
    <w:rsid w:val="50A81AB3"/>
    <w:rsid w:val="50F27458"/>
    <w:rsid w:val="5111313C"/>
    <w:rsid w:val="51324B68"/>
    <w:rsid w:val="513E6F30"/>
    <w:rsid w:val="5158501F"/>
    <w:rsid w:val="51E3021D"/>
    <w:rsid w:val="522905F4"/>
    <w:rsid w:val="522E7CC3"/>
    <w:rsid w:val="52CD33C9"/>
    <w:rsid w:val="52F225C8"/>
    <w:rsid w:val="534C5B09"/>
    <w:rsid w:val="53C256AB"/>
    <w:rsid w:val="53EB70D0"/>
    <w:rsid w:val="540939FA"/>
    <w:rsid w:val="547A21C6"/>
    <w:rsid w:val="54A85821"/>
    <w:rsid w:val="54BA28C8"/>
    <w:rsid w:val="5511700B"/>
    <w:rsid w:val="555D47A4"/>
    <w:rsid w:val="558C6691"/>
    <w:rsid w:val="55A0038E"/>
    <w:rsid w:val="55BF1372"/>
    <w:rsid w:val="55FC576D"/>
    <w:rsid w:val="56444013"/>
    <w:rsid w:val="56E2216E"/>
    <w:rsid w:val="56E562A5"/>
    <w:rsid w:val="56FF2E93"/>
    <w:rsid w:val="57464C52"/>
    <w:rsid w:val="579E6341"/>
    <w:rsid w:val="58146682"/>
    <w:rsid w:val="582A7B0C"/>
    <w:rsid w:val="585111F2"/>
    <w:rsid w:val="58E12CE2"/>
    <w:rsid w:val="58FD43FD"/>
    <w:rsid w:val="59990CE5"/>
    <w:rsid w:val="59EA118C"/>
    <w:rsid w:val="5A0A4028"/>
    <w:rsid w:val="5AE52245"/>
    <w:rsid w:val="5B042312"/>
    <w:rsid w:val="5B0759EF"/>
    <w:rsid w:val="5B1834F7"/>
    <w:rsid w:val="5B322515"/>
    <w:rsid w:val="5BAD55B3"/>
    <w:rsid w:val="5BC21E74"/>
    <w:rsid w:val="5BE31315"/>
    <w:rsid w:val="5C190553"/>
    <w:rsid w:val="5C4176DC"/>
    <w:rsid w:val="5C5C7879"/>
    <w:rsid w:val="5C8509AD"/>
    <w:rsid w:val="5CAF2A7B"/>
    <w:rsid w:val="5CBB6EA5"/>
    <w:rsid w:val="5CE31D01"/>
    <w:rsid w:val="5E0D0613"/>
    <w:rsid w:val="5E1B2429"/>
    <w:rsid w:val="5E6E4648"/>
    <w:rsid w:val="5EEE216B"/>
    <w:rsid w:val="5F711AC8"/>
    <w:rsid w:val="5F8D4ED2"/>
    <w:rsid w:val="5FDB2BF1"/>
    <w:rsid w:val="600734E4"/>
    <w:rsid w:val="601E25DC"/>
    <w:rsid w:val="6024698D"/>
    <w:rsid w:val="61C45FCD"/>
    <w:rsid w:val="61D534CF"/>
    <w:rsid w:val="62910DF8"/>
    <w:rsid w:val="62CF7BBD"/>
    <w:rsid w:val="62D86B37"/>
    <w:rsid w:val="62DB5FDE"/>
    <w:rsid w:val="62E73159"/>
    <w:rsid w:val="63961A95"/>
    <w:rsid w:val="639A58DF"/>
    <w:rsid w:val="63FB3B19"/>
    <w:rsid w:val="64712621"/>
    <w:rsid w:val="64A44C91"/>
    <w:rsid w:val="650A312E"/>
    <w:rsid w:val="65250642"/>
    <w:rsid w:val="65556AA0"/>
    <w:rsid w:val="658C7588"/>
    <w:rsid w:val="66D25CAC"/>
    <w:rsid w:val="670F1A60"/>
    <w:rsid w:val="675B0EF6"/>
    <w:rsid w:val="67801FF6"/>
    <w:rsid w:val="67880B3D"/>
    <w:rsid w:val="679124B9"/>
    <w:rsid w:val="67D26A1E"/>
    <w:rsid w:val="67F84FD5"/>
    <w:rsid w:val="68040A16"/>
    <w:rsid w:val="683A3401"/>
    <w:rsid w:val="68473148"/>
    <w:rsid w:val="68673F1D"/>
    <w:rsid w:val="68694610"/>
    <w:rsid w:val="68BA2314"/>
    <w:rsid w:val="68DC070A"/>
    <w:rsid w:val="68F07B17"/>
    <w:rsid w:val="69017CCC"/>
    <w:rsid w:val="693C6DF1"/>
    <w:rsid w:val="69523F40"/>
    <w:rsid w:val="697C5E71"/>
    <w:rsid w:val="699D0A15"/>
    <w:rsid w:val="69C72B58"/>
    <w:rsid w:val="69EE7B82"/>
    <w:rsid w:val="6A866CE6"/>
    <w:rsid w:val="6AC344AB"/>
    <w:rsid w:val="6B143148"/>
    <w:rsid w:val="6B1D158D"/>
    <w:rsid w:val="6B803951"/>
    <w:rsid w:val="6BC229B5"/>
    <w:rsid w:val="6BCC24B6"/>
    <w:rsid w:val="6BD2097F"/>
    <w:rsid w:val="6C216DAB"/>
    <w:rsid w:val="6C3E2A98"/>
    <w:rsid w:val="6C6B6BA9"/>
    <w:rsid w:val="6CAF3F5B"/>
    <w:rsid w:val="6CF627AB"/>
    <w:rsid w:val="6CFD7E42"/>
    <w:rsid w:val="6D4B2FEF"/>
    <w:rsid w:val="6D9C1930"/>
    <w:rsid w:val="6E8D730E"/>
    <w:rsid w:val="6EBF7C57"/>
    <w:rsid w:val="6F0B763D"/>
    <w:rsid w:val="6F1B1865"/>
    <w:rsid w:val="6F562F6F"/>
    <w:rsid w:val="6F5A4462"/>
    <w:rsid w:val="6F9D10B1"/>
    <w:rsid w:val="6FA32E36"/>
    <w:rsid w:val="6FE13F56"/>
    <w:rsid w:val="70470E71"/>
    <w:rsid w:val="706978A3"/>
    <w:rsid w:val="70B52AE8"/>
    <w:rsid w:val="71233933"/>
    <w:rsid w:val="71970DBF"/>
    <w:rsid w:val="72143AA5"/>
    <w:rsid w:val="72471650"/>
    <w:rsid w:val="73890CAC"/>
    <w:rsid w:val="738B5BF4"/>
    <w:rsid w:val="73D8676B"/>
    <w:rsid w:val="73E86D31"/>
    <w:rsid w:val="745443C6"/>
    <w:rsid w:val="74A3087E"/>
    <w:rsid w:val="752C17D6"/>
    <w:rsid w:val="754602FA"/>
    <w:rsid w:val="76036189"/>
    <w:rsid w:val="762A7AD4"/>
    <w:rsid w:val="76377AFB"/>
    <w:rsid w:val="76EF1D59"/>
    <w:rsid w:val="7709593C"/>
    <w:rsid w:val="77A4151A"/>
    <w:rsid w:val="78450FB1"/>
    <w:rsid w:val="78E11C83"/>
    <w:rsid w:val="79503B1A"/>
    <w:rsid w:val="795F7A95"/>
    <w:rsid w:val="796C4ACD"/>
    <w:rsid w:val="7A503F90"/>
    <w:rsid w:val="7AA91BC6"/>
    <w:rsid w:val="7AC5168D"/>
    <w:rsid w:val="7AC52BAB"/>
    <w:rsid w:val="7AF7337E"/>
    <w:rsid w:val="7BE2675B"/>
    <w:rsid w:val="7BFA1473"/>
    <w:rsid w:val="7C0B180E"/>
    <w:rsid w:val="7C0B3F04"/>
    <w:rsid w:val="7C7457DD"/>
    <w:rsid w:val="7CE45950"/>
    <w:rsid w:val="7DA01CDD"/>
    <w:rsid w:val="7DA97531"/>
    <w:rsid w:val="7DC223A1"/>
    <w:rsid w:val="7EA04053"/>
    <w:rsid w:val="7EEB5927"/>
    <w:rsid w:val="7EF40169"/>
    <w:rsid w:val="7EFD1016"/>
    <w:rsid w:val="7F080DB3"/>
    <w:rsid w:val="7F780CBE"/>
    <w:rsid w:val="7F7E61D5"/>
    <w:rsid w:val="7F8C5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6"/>
    <w:autoRedefine/>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3">
    <w:name w:val="heading 2"/>
    <w:basedOn w:val="1"/>
    <w:next w:val="1"/>
    <w:link w:val="80"/>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89"/>
    <w:autoRedefine/>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link w:val="85"/>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83"/>
    <w:autoRedefine/>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7">
    <w:name w:val="heading 6"/>
    <w:basedOn w:val="1"/>
    <w:next w:val="1"/>
    <w:link w:val="216"/>
    <w:autoRedefine/>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8">
    <w:name w:val="heading 7"/>
    <w:basedOn w:val="1"/>
    <w:next w:val="1"/>
    <w:link w:val="217"/>
    <w:autoRedefine/>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9">
    <w:name w:val="heading 8"/>
    <w:basedOn w:val="1"/>
    <w:next w:val="1"/>
    <w:link w:val="218"/>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0">
    <w:name w:val="heading 9"/>
    <w:basedOn w:val="1"/>
    <w:next w:val="1"/>
    <w:link w:val="219"/>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style>
  <w:style w:type="paragraph" w:styleId="12">
    <w:name w:val="toc 7"/>
    <w:basedOn w:val="1"/>
    <w:next w:val="1"/>
    <w:autoRedefine/>
    <w:qFormat/>
    <w:uiPriority w:val="0"/>
    <w:pPr>
      <w:ind w:left="1200" w:leftChars="1200"/>
    </w:pPr>
  </w:style>
  <w:style w:type="paragraph" w:styleId="13">
    <w:name w:val="Normal Indent"/>
    <w:basedOn w:val="1"/>
    <w:link w:val="214"/>
    <w:autoRedefine/>
    <w:qFormat/>
    <w:uiPriority w:val="0"/>
    <w:pPr>
      <w:tabs>
        <w:tab w:val="left" w:pos="750"/>
      </w:tabs>
      <w:spacing w:beforeLines="50" w:line="300" w:lineRule="auto"/>
      <w:ind w:firstLine="200" w:firstLineChars="200"/>
    </w:pPr>
    <w:rPr>
      <w:rFonts w:ascii="宋体"/>
      <w:szCs w:val="20"/>
    </w:rPr>
  </w:style>
  <w:style w:type="paragraph" w:styleId="14">
    <w:name w:val="caption"/>
    <w:basedOn w:val="1"/>
    <w:next w:val="1"/>
    <w:link w:val="84"/>
    <w:autoRedefine/>
    <w:qFormat/>
    <w:uiPriority w:val="0"/>
    <w:pPr>
      <w:spacing w:line="300" w:lineRule="auto"/>
    </w:pPr>
    <w:rPr>
      <w:rFonts w:ascii="Cambria" w:hAnsi="Cambria" w:eastAsia="黑体"/>
      <w:kern w:val="0"/>
      <w:sz w:val="20"/>
      <w:szCs w:val="20"/>
    </w:rPr>
  </w:style>
  <w:style w:type="paragraph" w:styleId="15">
    <w:name w:val="List Bullet"/>
    <w:basedOn w:val="1"/>
    <w:autoRedefine/>
    <w:qFormat/>
    <w:uiPriority w:val="0"/>
    <w:pPr>
      <w:tabs>
        <w:tab w:val="left" w:pos="360"/>
        <w:tab w:val="left" w:pos="432"/>
      </w:tabs>
      <w:ind w:left="432" w:hanging="432"/>
    </w:pPr>
  </w:style>
  <w:style w:type="paragraph" w:styleId="16">
    <w:name w:val="Document Map"/>
    <w:basedOn w:val="1"/>
    <w:link w:val="72"/>
    <w:autoRedefine/>
    <w:qFormat/>
    <w:uiPriority w:val="0"/>
    <w:pPr>
      <w:shd w:val="clear" w:color="auto" w:fill="000080"/>
    </w:pPr>
    <w:rPr>
      <w:kern w:val="0"/>
      <w:sz w:val="24"/>
    </w:rPr>
  </w:style>
  <w:style w:type="paragraph" w:styleId="17">
    <w:name w:val="annotation text"/>
    <w:basedOn w:val="1"/>
    <w:link w:val="76"/>
    <w:autoRedefine/>
    <w:qFormat/>
    <w:uiPriority w:val="0"/>
    <w:pPr>
      <w:jc w:val="left"/>
    </w:pPr>
    <w:rPr>
      <w:kern w:val="0"/>
      <w:sz w:val="24"/>
    </w:rPr>
  </w:style>
  <w:style w:type="paragraph" w:styleId="18">
    <w:name w:val="Body Text 3"/>
    <w:basedOn w:val="1"/>
    <w:link w:val="220"/>
    <w:autoRedefine/>
    <w:qFormat/>
    <w:uiPriority w:val="0"/>
    <w:pPr>
      <w:jc w:val="center"/>
    </w:pPr>
    <w:rPr>
      <w:b/>
      <w:bCs/>
      <w:sz w:val="44"/>
      <w:szCs w:val="18"/>
    </w:rPr>
  </w:style>
  <w:style w:type="paragraph" w:styleId="19">
    <w:name w:val="Body Text"/>
    <w:basedOn w:val="1"/>
    <w:next w:val="20"/>
    <w:link w:val="78"/>
    <w:autoRedefine/>
    <w:unhideWhenUsed/>
    <w:qFormat/>
    <w:uiPriority w:val="0"/>
    <w:pPr>
      <w:spacing w:after="120"/>
    </w:pPr>
    <w:rPr>
      <w:kern w:val="0"/>
      <w:sz w:val="24"/>
    </w:rPr>
  </w:style>
  <w:style w:type="paragraph" w:styleId="20">
    <w:name w:val="Body Text 2"/>
    <w:basedOn w:val="1"/>
    <w:link w:val="77"/>
    <w:autoRedefine/>
    <w:qFormat/>
    <w:uiPriority w:val="0"/>
    <w:rPr>
      <w:rFonts w:ascii="宋体"/>
      <w:kern w:val="0"/>
      <w:sz w:val="20"/>
      <w:szCs w:val="20"/>
    </w:rPr>
  </w:style>
  <w:style w:type="paragraph" w:styleId="21">
    <w:name w:val="Body Text Indent"/>
    <w:basedOn w:val="1"/>
    <w:link w:val="92"/>
    <w:autoRedefine/>
    <w:qFormat/>
    <w:uiPriority w:val="99"/>
    <w:pPr>
      <w:ind w:firstLine="200" w:firstLineChars="200"/>
      <w:jc w:val="left"/>
    </w:pPr>
    <w:rPr>
      <w:rFonts w:ascii="仿宋_GB2312" w:eastAsia="仿宋_GB2312"/>
      <w:kern w:val="0"/>
      <w:sz w:val="24"/>
    </w:rPr>
  </w:style>
  <w:style w:type="paragraph" w:styleId="22">
    <w:name w:val="List 2"/>
    <w:basedOn w:val="1"/>
    <w:autoRedefine/>
    <w:qFormat/>
    <w:uiPriority w:val="0"/>
    <w:pPr>
      <w:ind w:left="100" w:leftChars="200" w:hanging="200" w:hangingChars="200"/>
    </w:pPr>
  </w:style>
  <w:style w:type="paragraph" w:styleId="23">
    <w:name w:val="Block Text"/>
    <w:basedOn w:val="1"/>
    <w:link w:val="232"/>
    <w:autoRedefine/>
    <w:qFormat/>
    <w:uiPriority w:val="0"/>
    <w:pPr>
      <w:adjustRightInd w:val="0"/>
      <w:ind w:left="420" w:right="33"/>
      <w:jc w:val="left"/>
      <w:textAlignment w:val="baseline"/>
    </w:pPr>
    <w:rPr>
      <w:kern w:val="0"/>
      <w:sz w:val="24"/>
      <w:szCs w:val="20"/>
    </w:rPr>
  </w:style>
  <w:style w:type="paragraph" w:styleId="24">
    <w:name w:val="index 4"/>
    <w:basedOn w:val="1"/>
    <w:next w:val="1"/>
    <w:autoRedefine/>
    <w:qFormat/>
    <w:uiPriority w:val="0"/>
    <w:pPr>
      <w:ind w:left="600" w:leftChars="600"/>
    </w:pPr>
  </w:style>
  <w:style w:type="paragraph" w:styleId="25">
    <w:name w:val="toc 5"/>
    <w:basedOn w:val="1"/>
    <w:next w:val="1"/>
    <w:autoRedefine/>
    <w:qFormat/>
    <w:uiPriority w:val="0"/>
    <w:pPr>
      <w:ind w:left="800" w:leftChars="800"/>
    </w:pPr>
  </w:style>
  <w:style w:type="paragraph" w:styleId="26">
    <w:name w:val="toc 3"/>
    <w:basedOn w:val="1"/>
    <w:next w:val="1"/>
    <w:autoRedefine/>
    <w:qFormat/>
    <w:uiPriority w:val="0"/>
    <w:pPr>
      <w:tabs>
        <w:tab w:val="right" w:leader="dot" w:pos="9515"/>
      </w:tabs>
      <w:ind w:left="400" w:leftChars="400"/>
    </w:pPr>
  </w:style>
  <w:style w:type="paragraph" w:styleId="27">
    <w:name w:val="Plain Text"/>
    <w:basedOn w:val="1"/>
    <w:next w:val="1"/>
    <w:link w:val="91"/>
    <w:autoRedefine/>
    <w:qFormat/>
    <w:uiPriority w:val="0"/>
    <w:pPr>
      <w:autoSpaceDE w:val="0"/>
      <w:autoSpaceDN w:val="0"/>
      <w:adjustRightInd w:val="0"/>
      <w:jc w:val="left"/>
    </w:pPr>
    <w:rPr>
      <w:rFonts w:ascii="宋体" w:hAnsi="Courier New"/>
      <w:szCs w:val="21"/>
    </w:rPr>
  </w:style>
  <w:style w:type="paragraph" w:styleId="28">
    <w:name w:val="toc 8"/>
    <w:basedOn w:val="1"/>
    <w:next w:val="1"/>
    <w:autoRedefine/>
    <w:qFormat/>
    <w:uiPriority w:val="0"/>
    <w:pPr>
      <w:ind w:left="1400" w:leftChars="1400"/>
    </w:pPr>
  </w:style>
  <w:style w:type="paragraph" w:styleId="29">
    <w:name w:val="Date"/>
    <w:basedOn w:val="1"/>
    <w:next w:val="1"/>
    <w:link w:val="73"/>
    <w:autoRedefine/>
    <w:qFormat/>
    <w:uiPriority w:val="0"/>
    <w:pPr>
      <w:ind w:left="2500" w:leftChars="2500"/>
    </w:pPr>
    <w:rPr>
      <w:rFonts w:ascii="仿宋_GB2312" w:eastAsia="仿宋_GB2312"/>
      <w:kern w:val="0"/>
      <w:sz w:val="24"/>
    </w:rPr>
  </w:style>
  <w:style w:type="paragraph" w:styleId="30">
    <w:name w:val="Body Text Indent 2"/>
    <w:basedOn w:val="1"/>
    <w:link w:val="79"/>
    <w:autoRedefine/>
    <w:qFormat/>
    <w:uiPriority w:val="0"/>
    <w:pPr>
      <w:spacing w:line="60" w:lineRule="auto"/>
      <w:ind w:firstLine="128" w:firstLineChars="128"/>
    </w:pPr>
    <w:rPr>
      <w:rFonts w:ascii="仿宋_GB2312" w:eastAsia="仿宋_GB2312"/>
      <w:kern w:val="0"/>
      <w:sz w:val="24"/>
    </w:rPr>
  </w:style>
  <w:style w:type="paragraph" w:styleId="31">
    <w:name w:val="endnote text"/>
    <w:basedOn w:val="1"/>
    <w:link w:val="242"/>
    <w:autoRedefine/>
    <w:qFormat/>
    <w:uiPriority w:val="0"/>
    <w:pPr>
      <w:widowControl/>
      <w:snapToGrid w:val="0"/>
      <w:jc w:val="left"/>
    </w:pPr>
    <w:rPr>
      <w:kern w:val="0"/>
      <w:sz w:val="20"/>
      <w:szCs w:val="20"/>
    </w:rPr>
  </w:style>
  <w:style w:type="paragraph" w:styleId="32">
    <w:name w:val="Balloon Text"/>
    <w:basedOn w:val="1"/>
    <w:link w:val="70"/>
    <w:autoRedefine/>
    <w:qFormat/>
    <w:uiPriority w:val="0"/>
    <w:rPr>
      <w:kern w:val="0"/>
      <w:sz w:val="18"/>
      <w:szCs w:val="18"/>
    </w:rPr>
  </w:style>
  <w:style w:type="paragraph" w:styleId="33">
    <w:name w:val="footer"/>
    <w:basedOn w:val="1"/>
    <w:link w:val="71"/>
    <w:autoRedefine/>
    <w:unhideWhenUsed/>
    <w:qFormat/>
    <w:uiPriority w:val="0"/>
    <w:pPr>
      <w:tabs>
        <w:tab w:val="center" w:pos="4153"/>
        <w:tab w:val="right" w:pos="8306"/>
      </w:tabs>
      <w:snapToGrid w:val="0"/>
      <w:jc w:val="left"/>
    </w:pPr>
    <w:rPr>
      <w:kern w:val="0"/>
      <w:sz w:val="18"/>
      <w:szCs w:val="18"/>
    </w:rPr>
  </w:style>
  <w:style w:type="paragraph" w:styleId="34">
    <w:name w:val="header"/>
    <w:basedOn w:val="1"/>
    <w:link w:val="90"/>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autoRedefine/>
    <w:qFormat/>
    <w:uiPriority w:val="39"/>
    <w:pPr>
      <w:tabs>
        <w:tab w:val="right" w:leader="dot" w:pos="9628"/>
      </w:tabs>
      <w:spacing w:line="360" w:lineRule="auto"/>
    </w:pPr>
    <w:rPr>
      <w:rFonts w:hAnsi="宋体"/>
      <w:b/>
      <w:sz w:val="24"/>
    </w:rPr>
  </w:style>
  <w:style w:type="paragraph" w:styleId="36">
    <w:name w:val="toc 4"/>
    <w:basedOn w:val="1"/>
    <w:next w:val="1"/>
    <w:autoRedefine/>
    <w:qFormat/>
    <w:uiPriority w:val="0"/>
    <w:pPr>
      <w:ind w:left="600" w:leftChars="600"/>
    </w:pPr>
  </w:style>
  <w:style w:type="paragraph" w:styleId="37">
    <w:name w:val="Subtitle"/>
    <w:basedOn w:val="1"/>
    <w:next w:val="1"/>
    <w:link w:val="224"/>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38">
    <w:name w:val="footnote text"/>
    <w:basedOn w:val="1"/>
    <w:link w:val="243"/>
    <w:autoRedefine/>
    <w:qFormat/>
    <w:uiPriority w:val="0"/>
    <w:pPr>
      <w:adjustRightInd w:val="0"/>
      <w:spacing w:line="312" w:lineRule="atLeast"/>
      <w:jc w:val="left"/>
      <w:textAlignment w:val="baseline"/>
    </w:pPr>
    <w:rPr>
      <w:kern w:val="0"/>
      <w:sz w:val="18"/>
      <w:szCs w:val="20"/>
    </w:rPr>
  </w:style>
  <w:style w:type="paragraph" w:styleId="39">
    <w:name w:val="toc 6"/>
    <w:basedOn w:val="1"/>
    <w:next w:val="1"/>
    <w:autoRedefine/>
    <w:qFormat/>
    <w:uiPriority w:val="0"/>
    <w:pPr>
      <w:ind w:left="1000" w:leftChars="1000"/>
    </w:pPr>
  </w:style>
  <w:style w:type="paragraph" w:styleId="40">
    <w:name w:val="Body Text Indent 3"/>
    <w:basedOn w:val="1"/>
    <w:link w:val="87"/>
    <w:autoRedefine/>
    <w:qFormat/>
    <w:uiPriority w:val="0"/>
    <w:pPr>
      <w:spacing w:line="360" w:lineRule="auto"/>
      <w:ind w:firstLine="192" w:firstLineChars="192"/>
    </w:pPr>
    <w:rPr>
      <w:rFonts w:ascii="仿宋_GB2312" w:eastAsia="仿宋_GB2312"/>
      <w:color w:val="3366FF"/>
      <w:kern w:val="0"/>
      <w:sz w:val="24"/>
    </w:rPr>
  </w:style>
  <w:style w:type="paragraph" w:styleId="41">
    <w:name w:val="toc 2"/>
    <w:basedOn w:val="1"/>
    <w:next w:val="1"/>
    <w:autoRedefine/>
    <w:qFormat/>
    <w:uiPriority w:val="39"/>
    <w:pPr>
      <w:tabs>
        <w:tab w:val="right" w:leader="dot" w:pos="9515"/>
      </w:tabs>
      <w:ind w:left="270" w:leftChars="100" w:right="100" w:rightChars="100" w:hanging="60"/>
    </w:pPr>
  </w:style>
  <w:style w:type="paragraph" w:styleId="42">
    <w:name w:val="toc 9"/>
    <w:basedOn w:val="1"/>
    <w:next w:val="1"/>
    <w:autoRedefine/>
    <w:qFormat/>
    <w:uiPriority w:val="0"/>
    <w:pPr>
      <w:ind w:left="1600" w:leftChars="1600"/>
    </w:pPr>
  </w:style>
  <w:style w:type="paragraph" w:styleId="43">
    <w:name w:val="HTML Preformatted"/>
    <w:basedOn w:val="1"/>
    <w:link w:val="32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ind w:firstLine="480" w:firstLineChars="200"/>
      <w:jc w:val="center"/>
    </w:pPr>
    <w:rPr>
      <w:sz w:val="24"/>
    </w:rPr>
  </w:style>
  <w:style w:type="paragraph" w:styleId="46">
    <w:name w:val="index 2"/>
    <w:basedOn w:val="1"/>
    <w:next w:val="1"/>
    <w:autoRedefine/>
    <w:semiHidden/>
    <w:unhideWhenUsed/>
    <w:qFormat/>
    <w:uiPriority w:val="99"/>
    <w:pPr>
      <w:ind w:left="200" w:leftChars="200"/>
    </w:pPr>
    <w:rPr>
      <w:szCs w:val="20"/>
    </w:rPr>
  </w:style>
  <w:style w:type="paragraph" w:styleId="47">
    <w:name w:val="Title"/>
    <w:basedOn w:val="1"/>
    <w:next w:val="1"/>
    <w:link w:val="222"/>
    <w:autoRedefine/>
    <w:qFormat/>
    <w:uiPriority w:val="0"/>
    <w:pPr>
      <w:spacing w:before="240" w:after="60"/>
      <w:jc w:val="center"/>
      <w:outlineLvl w:val="0"/>
    </w:pPr>
    <w:rPr>
      <w:rFonts w:ascii="Cambria" w:hAnsi="Cambria"/>
      <w:b/>
      <w:bCs/>
      <w:sz w:val="32"/>
      <w:szCs w:val="32"/>
    </w:rPr>
  </w:style>
  <w:style w:type="paragraph" w:styleId="48">
    <w:name w:val="annotation subject"/>
    <w:basedOn w:val="17"/>
    <w:next w:val="17"/>
    <w:link w:val="81"/>
    <w:autoRedefine/>
    <w:qFormat/>
    <w:uiPriority w:val="0"/>
    <w:rPr>
      <w:b/>
      <w:bCs/>
    </w:rPr>
  </w:style>
  <w:style w:type="paragraph" w:styleId="49">
    <w:name w:val="Body Text First Indent"/>
    <w:basedOn w:val="19"/>
    <w:link w:val="93"/>
    <w:autoRedefine/>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50">
    <w:name w:val="Body Text First Indent 2"/>
    <w:basedOn w:val="21"/>
    <w:link w:val="247"/>
    <w:autoRedefine/>
    <w:qFormat/>
    <w:uiPriority w:val="0"/>
    <w:pPr>
      <w:spacing w:after="120"/>
      <w:ind w:left="420" w:leftChars="200" w:firstLine="420"/>
      <w:jc w:val="both"/>
    </w:pPr>
    <w:rPr>
      <w:rFonts w:ascii="Times New Roman" w:eastAsia="宋体"/>
      <w:sz w:val="20"/>
    </w:rPr>
  </w:style>
  <w:style w:type="table" w:styleId="52">
    <w:name w:val="Table Grid"/>
    <w:basedOn w:val="5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99"/>
    <w:rPr>
      <w:rFonts w:eastAsia="宋体" w:cs="Times New Roman"/>
      <w:b/>
      <w:bCs/>
      <w:lang w:val="en-US" w:eastAsia="zh-CN" w:bidi="ar-SA"/>
    </w:rPr>
  </w:style>
  <w:style w:type="character" w:styleId="55">
    <w:name w:val="page number"/>
    <w:qFormat/>
    <w:uiPriority w:val="99"/>
    <w:rPr>
      <w:rFonts w:cs="Times New Roman"/>
    </w:rPr>
  </w:style>
  <w:style w:type="character" w:styleId="56">
    <w:name w:val="FollowedHyperlink"/>
    <w:basedOn w:val="53"/>
    <w:autoRedefine/>
    <w:qFormat/>
    <w:uiPriority w:val="0"/>
    <w:rPr>
      <w:rFonts w:hint="eastAsia" w:ascii="微软雅黑" w:hAnsi="微软雅黑" w:eastAsia="微软雅黑" w:cs="微软雅黑"/>
      <w:color w:val="428BCA"/>
      <w:u w:val="none"/>
    </w:rPr>
  </w:style>
  <w:style w:type="character" w:styleId="57">
    <w:name w:val="Emphasis"/>
    <w:autoRedefine/>
    <w:qFormat/>
    <w:uiPriority w:val="0"/>
    <w:rPr>
      <w:i/>
      <w:iCs/>
    </w:rPr>
  </w:style>
  <w:style w:type="character" w:styleId="58">
    <w:name w:val="HTML Definition"/>
    <w:autoRedefine/>
    <w:unhideWhenUsed/>
    <w:qFormat/>
    <w:uiPriority w:val="0"/>
  </w:style>
  <w:style w:type="character" w:styleId="59">
    <w:name w:val="HTML Acronym"/>
    <w:basedOn w:val="53"/>
    <w:autoRedefine/>
    <w:unhideWhenUsed/>
    <w:qFormat/>
    <w:uiPriority w:val="0"/>
  </w:style>
  <w:style w:type="character" w:styleId="60">
    <w:name w:val="HTML Variable"/>
    <w:autoRedefine/>
    <w:unhideWhenUsed/>
    <w:qFormat/>
    <w:uiPriority w:val="0"/>
  </w:style>
  <w:style w:type="character" w:styleId="61">
    <w:name w:val="Hyperlink"/>
    <w:basedOn w:val="53"/>
    <w:autoRedefine/>
    <w:qFormat/>
    <w:uiPriority w:val="99"/>
    <w:rPr>
      <w:rFonts w:hint="eastAsia" w:ascii="微软雅黑" w:hAnsi="微软雅黑" w:eastAsia="微软雅黑" w:cs="微软雅黑"/>
      <w:color w:val="428BCA"/>
      <w:u w:val="none"/>
    </w:rPr>
  </w:style>
  <w:style w:type="character" w:styleId="62">
    <w:name w:val="HTML Code"/>
    <w:autoRedefine/>
    <w:unhideWhenUsed/>
    <w:qFormat/>
    <w:uiPriority w:val="0"/>
    <w:rPr>
      <w:rFonts w:hint="default" w:ascii="monospace" w:hAnsi="monospace" w:eastAsia="monospace" w:cs="monospace"/>
      <w:sz w:val="24"/>
      <w:szCs w:val="24"/>
    </w:rPr>
  </w:style>
  <w:style w:type="character" w:styleId="63">
    <w:name w:val="annotation reference"/>
    <w:autoRedefine/>
    <w:qFormat/>
    <w:uiPriority w:val="0"/>
    <w:rPr>
      <w:rFonts w:cs="Times New Roman"/>
      <w:sz w:val="21"/>
      <w:szCs w:val="21"/>
    </w:rPr>
  </w:style>
  <w:style w:type="character" w:styleId="64">
    <w:name w:val="HTML Cite"/>
    <w:autoRedefine/>
    <w:unhideWhenUsed/>
    <w:qFormat/>
    <w:uiPriority w:val="0"/>
  </w:style>
  <w:style w:type="character" w:styleId="65">
    <w:name w:val="HTML Keyboard"/>
    <w:autoRedefine/>
    <w:unhideWhenUsed/>
    <w:qFormat/>
    <w:uiPriority w:val="0"/>
    <w:rPr>
      <w:rFonts w:ascii="monospace" w:hAnsi="monospace" w:eastAsia="monospace" w:cs="monospace"/>
      <w:sz w:val="24"/>
      <w:szCs w:val="24"/>
    </w:rPr>
  </w:style>
  <w:style w:type="character" w:styleId="66">
    <w:name w:val="HTML Sample"/>
    <w:autoRedefine/>
    <w:unhideWhenUsed/>
    <w:qFormat/>
    <w:uiPriority w:val="0"/>
    <w:rPr>
      <w:rFonts w:hint="default" w:ascii="monospace" w:hAnsi="monospace" w:eastAsia="monospace" w:cs="monospace"/>
      <w:sz w:val="24"/>
      <w:szCs w:val="24"/>
    </w:rPr>
  </w:style>
  <w:style w:type="paragraph" w:customStyle="1" w:styleId="67">
    <w:name w:val="正文（自定义）"/>
    <w:basedOn w:val="1"/>
    <w:autoRedefine/>
    <w:qFormat/>
    <w:uiPriority w:val="0"/>
    <w:pPr>
      <w:ind w:firstLine="200" w:firstLineChars="200"/>
    </w:pPr>
    <w:rPr>
      <w:rFonts w:ascii="仿宋_GB2312" w:hAnsi="仿宋_GB2312" w:eastAsia="仿宋_GB2312"/>
      <w:sz w:val="32"/>
    </w:rPr>
  </w:style>
  <w:style w:type="paragraph" w:styleId="68">
    <w:name w:val="Quote"/>
    <w:basedOn w:val="1"/>
    <w:next w:val="1"/>
    <w:link w:val="187"/>
    <w:autoRedefine/>
    <w:qFormat/>
    <w:uiPriority w:val="0"/>
    <w:rPr>
      <w:i/>
      <w:iCs/>
      <w:color w:val="000000"/>
      <w:szCs w:val="22"/>
    </w:rPr>
  </w:style>
  <w:style w:type="paragraph" w:customStyle="1" w:styleId="69">
    <w:name w:val="无间隔1"/>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0">
    <w:name w:val="批注框文本 Char"/>
    <w:link w:val="32"/>
    <w:autoRedefine/>
    <w:qFormat/>
    <w:locked/>
    <w:uiPriority w:val="0"/>
    <w:rPr>
      <w:rFonts w:ascii="Times New Roman" w:hAnsi="Times New Roman" w:eastAsia="宋体" w:cs="Times New Roman"/>
      <w:sz w:val="18"/>
      <w:szCs w:val="18"/>
    </w:rPr>
  </w:style>
  <w:style w:type="character" w:customStyle="1" w:styleId="71">
    <w:name w:val="页脚 Char"/>
    <w:link w:val="33"/>
    <w:autoRedefine/>
    <w:qFormat/>
    <w:locked/>
    <w:uiPriority w:val="0"/>
    <w:rPr>
      <w:rFonts w:cs="Times New Roman"/>
      <w:sz w:val="18"/>
      <w:szCs w:val="18"/>
    </w:rPr>
  </w:style>
  <w:style w:type="character" w:customStyle="1" w:styleId="72">
    <w:name w:val="文档结构图 Char"/>
    <w:link w:val="16"/>
    <w:autoRedefine/>
    <w:qFormat/>
    <w:locked/>
    <w:uiPriority w:val="0"/>
    <w:rPr>
      <w:rFonts w:ascii="Times New Roman" w:hAnsi="Times New Roman" w:eastAsia="宋体" w:cs="Times New Roman"/>
      <w:sz w:val="24"/>
      <w:szCs w:val="24"/>
      <w:shd w:val="clear" w:color="auto" w:fill="000080"/>
    </w:rPr>
  </w:style>
  <w:style w:type="character" w:customStyle="1" w:styleId="73">
    <w:name w:val="日期 Char"/>
    <w:link w:val="29"/>
    <w:autoRedefine/>
    <w:qFormat/>
    <w:locked/>
    <w:uiPriority w:val="0"/>
    <w:rPr>
      <w:rFonts w:ascii="仿宋_GB2312" w:hAnsi="Times New Roman" w:eastAsia="仿宋_GB2312" w:cs="Times New Roman"/>
      <w:sz w:val="24"/>
      <w:szCs w:val="24"/>
    </w:rPr>
  </w:style>
  <w:style w:type="character" w:customStyle="1" w:styleId="74">
    <w:name w:val="纯文本 Char"/>
    <w:autoRedefine/>
    <w:qFormat/>
    <w:uiPriority w:val="0"/>
    <w:rPr>
      <w:rFonts w:ascii="宋体" w:hAnsi="Courier New" w:eastAsia="宋体" w:cs="Courier New"/>
      <w:sz w:val="21"/>
      <w:szCs w:val="21"/>
    </w:rPr>
  </w:style>
  <w:style w:type="character" w:customStyle="1" w:styleId="75">
    <w:name w:val="grame"/>
    <w:autoRedefine/>
    <w:qFormat/>
    <w:uiPriority w:val="0"/>
    <w:rPr>
      <w:rFonts w:cs="Times New Roman"/>
    </w:rPr>
  </w:style>
  <w:style w:type="character" w:customStyle="1" w:styleId="76">
    <w:name w:val="批注文字 Char"/>
    <w:link w:val="17"/>
    <w:autoRedefine/>
    <w:qFormat/>
    <w:locked/>
    <w:uiPriority w:val="0"/>
    <w:rPr>
      <w:rFonts w:ascii="Times New Roman" w:hAnsi="Times New Roman" w:eastAsia="宋体" w:cs="Times New Roman"/>
      <w:sz w:val="24"/>
      <w:szCs w:val="24"/>
    </w:rPr>
  </w:style>
  <w:style w:type="character" w:customStyle="1" w:styleId="77">
    <w:name w:val="正文文本 2 Char"/>
    <w:link w:val="20"/>
    <w:autoRedefine/>
    <w:qFormat/>
    <w:locked/>
    <w:uiPriority w:val="0"/>
    <w:rPr>
      <w:rFonts w:ascii="宋体" w:hAnsi="Times New Roman" w:eastAsia="宋体" w:cs="Times New Roman"/>
      <w:sz w:val="20"/>
      <w:szCs w:val="20"/>
    </w:rPr>
  </w:style>
  <w:style w:type="character" w:customStyle="1" w:styleId="78">
    <w:name w:val="正文文本 Char"/>
    <w:link w:val="19"/>
    <w:autoRedefine/>
    <w:qFormat/>
    <w:locked/>
    <w:uiPriority w:val="0"/>
    <w:rPr>
      <w:rFonts w:ascii="Times New Roman" w:hAnsi="Times New Roman" w:eastAsia="宋体" w:cs="Times New Roman"/>
      <w:sz w:val="24"/>
      <w:szCs w:val="24"/>
    </w:rPr>
  </w:style>
  <w:style w:type="character" w:customStyle="1" w:styleId="79">
    <w:name w:val="正文文本缩进 2 Char"/>
    <w:link w:val="30"/>
    <w:autoRedefine/>
    <w:qFormat/>
    <w:locked/>
    <w:uiPriority w:val="0"/>
    <w:rPr>
      <w:rFonts w:ascii="仿宋_GB2312" w:hAnsi="Times New Roman" w:eastAsia="仿宋_GB2312" w:cs="Times New Roman"/>
      <w:sz w:val="24"/>
      <w:szCs w:val="24"/>
    </w:rPr>
  </w:style>
  <w:style w:type="character" w:customStyle="1" w:styleId="80">
    <w:name w:val="标题 2 Char"/>
    <w:link w:val="3"/>
    <w:autoRedefine/>
    <w:qFormat/>
    <w:locked/>
    <w:uiPriority w:val="0"/>
    <w:rPr>
      <w:rFonts w:ascii="Arial" w:hAnsi="Arial" w:eastAsia="宋体" w:cs="Times New Roman"/>
      <w:b/>
      <w:bCs/>
      <w:sz w:val="32"/>
      <w:szCs w:val="32"/>
    </w:rPr>
  </w:style>
  <w:style w:type="character" w:customStyle="1" w:styleId="81">
    <w:name w:val="批注主题 Char"/>
    <w:link w:val="48"/>
    <w:autoRedefine/>
    <w:qFormat/>
    <w:locked/>
    <w:uiPriority w:val="0"/>
    <w:rPr>
      <w:rFonts w:ascii="Times New Roman" w:hAnsi="Times New Roman" w:eastAsia="宋体" w:cs="Times New Roman"/>
      <w:b/>
      <w:bCs/>
      <w:sz w:val="24"/>
      <w:szCs w:val="24"/>
    </w:rPr>
  </w:style>
  <w:style w:type="character" w:customStyle="1" w:styleId="82">
    <w:name w:val="para1"/>
    <w:autoRedefine/>
    <w:qFormat/>
    <w:uiPriority w:val="0"/>
    <w:rPr>
      <w:rFonts w:ascii="Arial" w:hAnsi="Arial"/>
      <w:sz w:val="18"/>
    </w:rPr>
  </w:style>
  <w:style w:type="character" w:customStyle="1" w:styleId="83">
    <w:name w:val="标题 5 Char"/>
    <w:link w:val="6"/>
    <w:autoRedefine/>
    <w:qFormat/>
    <w:locked/>
    <w:uiPriority w:val="0"/>
    <w:rPr>
      <w:b/>
      <w:sz w:val="24"/>
      <w:szCs w:val="24"/>
    </w:rPr>
  </w:style>
  <w:style w:type="character" w:customStyle="1" w:styleId="84">
    <w:name w:val="题注 Char"/>
    <w:link w:val="14"/>
    <w:autoRedefine/>
    <w:qFormat/>
    <w:uiPriority w:val="0"/>
    <w:rPr>
      <w:rFonts w:ascii="Cambria" w:hAnsi="Cambria" w:eastAsia="黑体"/>
    </w:rPr>
  </w:style>
  <w:style w:type="character" w:customStyle="1" w:styleId="85">
    <w:name w:val="标题 4 Char"/>
    <w:link w:val="5"/>
    <w:autoRedefine/>
    <w:qFormat/>
    <w:uiPriority w:val="0"/>
    <w:rPr>
      <w:rFonts w:ascii="Arial" w:hAnsi="Arial" w:eastAsia="黑体"/>
      <w:b/>
      <w:bCs/>
      <w:kern w:val="2"/>
      <w:sz w:val="28"/>
      <w:szCs w:val="28"/>
    </w:rPr>
  </w:style>
  <w:style w:type="character" w:customStyle="1" w:styleId="86">
    <w:name w:val="标题 1 Char"/>
    <w:link w:val="2"/>
    <w:autoRedefine/>
    <w:qFormat/>
    <w:locked/>
    <w:uiPriority w:val="9"/>
    <w:rPr>
      <w:rFonts w:ascii="仿宋_GB2312" w:hAnsi="Times New Roman" w:eastAsia="仿宋_GB2312" w:cs="Times New Roman"/>
      <w:b/>
      <w:bCs/>
      <w:color w:val="000000"/>
      <w:kern w:val="0"/>
      <w:sz w:val="20"/>
      <w:szCs w:val="20"/>
    </w:rPr>
  </w:style>
  <w:style w:type="character" w:customStyle="1" w:styleId="87">
    <w:name w:val="正文文本缩进 3 Char"/>
    <w:link w:val="40"/>
    <w:autoRedefine/>
    <w:qFormat/>
    <w:locked/>
    <w:uiPriority w:val="0"/>
    <w:rPr>
      <w:rFonts w:ascii="仿宋_GB2312" w:hAnsi="Times New Roman" w:eastAsia="仿宋_GB2312" w:cs="Times New Roman"/>
      <w:color w:val="3366FF"/>
      <w:sz w:val="24"/>
      <w:szCs w:val="24"/>
    </w:rPr>
  </w:style>
  <w:style w:type="character" w:customStyle="1" w:styleId="88">
    <w:name w:val="普通文字 Char Char1"/>
    <w:autoRedefine/>
    <w:qFormat/>
    <w:uiPriority w:val="0"/>
    <w:rPr>
      <w:rFonts w:ascii="宋体" w:eastAsia="宋体" w:cs="Times New Roman"/>
      <w:kern w:val="2"/>
      <w:sz w:val="21"/>
      <w:lang w:val="en-US" w:eastAsia="zh-CN" w:bidi="ar-SA"/>
    </w:rPr>
  </w:style>
  <w:style w:type="character" w:customStyle="1" w:styleId="89">
    <w:name w:val="标题 3 Char"/>
    <w:link w:val="4"/>
    <w:autoRedefine/>
    <w:qFormat/>
    <w:locked/>
    <w:uiPriority w:val="0"/>
    <w:rPr>
      <w:rFonts w:ascii="宋体" w:hAnsi="Times New Roman" w:eastAsia="宋体" w:cs="Times New Roman"/>
      <w:b/>
      <w:bCs/>
      <w:sz w:val="32"/>
      <w:szCs w:val="32"/>
    </w:rPr>
  </w:style>
  <w:style w:type="character" w:customStyle="1" w:styleId="90">
    <w:name w:val="页眉 Char"/>
    <w:link w:val="34"/>
    <w:autoRedefine/>
    <w:qFormat/>
    <w:locked/>
    <w:uiPriority w:val="99"/>
    <w:rPr>
      <w:rFonts w:cs="Times New Roman"/>
      <w:sz w:val="18"/>
      <w:szCs w:val="18"/>
    </w:rPr>
  </w:style>
  <w:style w:type="character" w:customStyle="1" w:styleId="91">
    <w:name w:val="纯文本 Char1"/>
    <w:link w:val="27"/>
    <w:autoRedefine/>
    <w:qFormat/>
    <w:uiPriority w:val="0"/>
    <w:rPr>
      <w:rFonts w:ascii="宋体" w:hAnsi="Courier New" w:cs="Courier New"/>
      <w:kern w:val="2"/>
      <w:sz w:val="21"/>
      <w:szCs w:val="21"/>
    </w:rPr>
  </w:style>
  <w:style w:type="character" w:customStyle="1" w:styleId="92">
    <w:name w:val="正文文本缩进 Char"/>
    <w:link w:val="21"/>
    <w:autoRedefine/>
    <w:qFormat/>
    <w:locked/>
    <w:uiPriority w:val="99"/>
    <w:rPr>
      <w:rFonts w:ascii="仿宋_GB2312" w:hAnsi="Times New Roman" w:eastAsia="仿宋_GB2312" w:cs="Times New Roman"/>
      <w:sz w:val="24"/>
      <w:szCs w:val="24"/>
    </w:rPr>
  </w:style>
  <w:style w:type="character" w:customStyle="1" w:styleId="93">
    <w:name w:val="正文首行缩进 Char"/>
    <w:link w:val="49"/>
    <w:autoRedefine/>
    <w:qFormat/>
    <w:locked/>
    <w:uiPriority w:val="99"/>
    <w:rPr>
      <w:rFonts w:ascii="楷体_GB2312" w:hAnsi="Times New Roman" w:eastAsia="楷体_GB2312" w:cs="Times New Roman"/>
      <w:spacing w:val="4"/>
      <w:sz w:val="20"/>
      <w:szCs w:val="20"/>
    </w:rPr>
  </w:style>
  <w:style w:type="paragraph" w:customStyle="1" w:styleId="94">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5">
    <w:name w:val="Char13"/>
    <w:basedOn w:val="1"/>
    <w:autoRedefine/>
    <w:qFormat/>
    <w:uiPriority w:val="0"/>
  </w:style>
  <w:style w:type="paragraph" w:customStyle="1" w:styleId="96">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7">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8">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9">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0">
    <w:name w:val="font8"/>
    <w:basedOn w:val="1"/>
    <w:autoRedefine/>
    <w:qFormat/>
    <w:uiPriority w:val="0"/>
    <w:pPr>
      <w:widowControl/>
      <w:spacing w:before="100" w:beforeAutospacing="1" w:after="100" w:afterAutospacing="1"/>
      <w:jc w:val="left"/>
    </w:pPr>
    <w:rPr>
      <w:kern w:val="0"/>
      <w:sz w:val="20"/>
      <w:szCs w:val="20"/>
    </w:rPr>
  </w:style>
  <w:style w:type="paragraph" w:customStyle="1" w:styleId="101">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2">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3">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4">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5">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6">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7">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8">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09">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0">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1">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2">
    <w:name w:val="Char"/>
    <w:basedOn w:val="1"/>
    <w:autoRedefine/>
    <w:qFormat/>
    <w:uiPriority w:val="0"/>
  </w:style>
  <w:style w:type="paragraph" w:customStyle="1" w:styleId="113">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4">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5">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6">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17">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8">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19">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0">
    <w:name w:val="标题1"/>
    <w:basedOn w:val="2"/>
    <w:autoRedefine/>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1">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2">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3">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4">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5">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6">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7">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28">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29">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0">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1">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32">
    <w:name w:val="列出段落1"/>
    <w:basedOn w:val="1"/>
    <w:autoRedefine/>
    <w:qFormat/>
    <w:uiPriority w:val="0"/>
    <w:pPr>
      <w:ind w:firstLine="420" w:firstLineChars="200"/>
    </w:pPr>
    <w:rPr>
      <w:rFonts w:ascii="Calibri" w:hAnsi="Calibri" w:cs="黑体"/>
      <w:szCs w:val="22"/>
    </w:rPr>
  </w:style>
  <w:style w:type="paragraph" w:customStyle="1" w:styleId="133">
    <w:name w:val="Default"/>
    <w:autoRedefine/>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134">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5">
    <w:name w:val="p0"/>
    <w:basedOn w:val="1"/>
    <w:autoRedefine/>
    <w:qFormat/>
    <w:uiPriority w:val="0"/>
    <w:pPr>
      <w:widowControl/>
    </w:pPr>
    <w:rPr>
      <w:kern w:val="0"/>
      <w:szCs w:val="21"/>
    </w:rPr>
  </w:style>
  <w:style w:type="paragraph" w:customStyle="1" w:styleId="136">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7">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8">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9">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0">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1">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2">
    <w:name w:val="Char Char Char Char Char Char Char Char Char Char"/>
    <w:basedOn w:val="1"/>
    <w:autoRedefine/>
    <w:qFormat/>
    <w:uiPriority w:val="0"/>
    <w:rPr>
      <w:rFonts w:ascii="Tahoma" w:hAnsi="Tahoma"/>
      <w:sz w:val="24"/>
      <w:szCs w:val="20"/>
    </w:rPr>
  </w:style>
  <w:style w:type="paragraph" w:customStyle="1" w:styleId="143">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4">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5">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6">
    <w:name w:val="xl23"/>
    <w:next w:val="136"/>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48">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9">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150">
    <w:name w:val="修订1"/>
    <w:autoRedefine/>
    <w:qFormat/>
    <w:uiPriority w:val="0"/>
    <w:rPr>
      <w:rFonts w:ascii="Times New Roman" w:hAnsi="Times New Roman" w:eastAsia="宋体" w:cs="Times New Roman"/>
      <w:kern w:val="2"/>
      <w:sz w:val="21"/>
      <w:szCs w:val="24"/>
      <w:lang w:val="en-US" w:eastAsia="zh-CN" w:bidi="ar-SA"/>
    </w:rPr>
  </w:style>
  <w:style w:type="character" w:customStyle="1" w:styleId="151">
    <w:name w:val="Char Char10"/>
    <w:autoRedefine/>
    <w:semiHidden/>
    <w:qFormat/>
    <w:locked/>
    <w:uiPriority w:val="0"/>
    <w:rPr>
      <w:rFonts w:ascii="宋体" w:hAnsi="Courier New" w:eastAsia="宋体"/>
      <w:kern w:val="2"/>
      <w:sz w:val="21"/>
      <w:szCs w:val="21"/>
      <w:lang w:bidi="ar-SA"/>
    </w:rPr>
  </w:style>
  <w:style w:type="character" w:customStyle="1" w:styleId="152">
    <w:name w:val="Heading 3 Char2"/>
    <w:autoRedefine/>
    <w:qFormat/>
    <w:uiPriority w:val="0"/>
    <w:rPr>
      <w:rFonts w:hint="default" w:eastAsia="宋体"/>
      <w:b/>
      <w:kern w:val="2"/>
      <w:sz w:val="32"/>
      <w:lang w:val="en-US" w:eastAsia="zh-CN"/>
    </w:rPr>
  </w:style>
  <w:style w:type="character" w:customStyle="1" w:styleId="153">
    <w:name w:val="无间隔 Char"/>
    <w:link w:val="154"/>
    <w:autoRedefine/>
    <w:qFormat/>
    <w:uiPriority w:val="0"/>
    <w:rPr>
      <w:rFonts w:ascii="Calibri" w:hAnsi="Calibri" w:eastAsia="Times New Roman"/>
      <w:sz w:val="22"/>
      <w:szCs w:val="22"/>
      <w:lang w:val="en-US" w:eastAsia="zh-CN" w:bidi="ar-SA"/>
    </w:rPr>
  </w:style>
  <w:style w:type="paragraph" w:styleId="154">
    <w:name w:val="No Spacing"/>
    <w:link w:val="153"/>
    <w:autoRedefine/>
    <w:qFormat/>
    <w:uiPriority w:val="0"/>
    <w:rPr>
      <w:rFonts w:ascii="Calibri" w:hAnsi="Calibri" w:eastAsia="Times New Roman" w:cs="Times New Roman"/>
      <w:sz w:val="22"/>
      <w:szCs w:val="22"/>
      <w:lang w:val="en-US" w:eastAsia="zh-CN" w:bidi="ar-SA"/>
    </w:rPr>
  </w:style>
  <w:style w:type="paragraph" w:styleId="155">
    <w:name w:val="List Paragraph"/>
    <w:basedOn w:val="1"/>
    <w:autoRedefine/>
    <w:qFormat/>
    <w:uiPriority w:val="0"/>
    <w:pPr>
      <w:ind w:firstLine="420" w:firstLineChars="200"/>
    </w:pPr>
  </w:style>
  <w:style w:type="paragraph" w:customStyle="1" w:styleId="156">
    <w:name w:val="Standard o abs"/>
    <w:basedOn w:val="1"/>
    <w:autoRedefine/>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7">
    <w:name w:val="af9"/>
    <w:basedOn w:val="1"/>
    <w:autoRedefine/>
    <w:qFormat/>
    <w:uiPriority w:val="0"/>
  </w:style>
  <w:style w:type="paragraph" w:customStyle="1" w:styleId="158">
    <w:name w:val="Char_0"/>
    <w:basedOn w:val="1"/>
    <w:autoRedefine/>
    <w:qFormat/>
    <w:uiPriority w:val="0"/>
  </w:style>
  <w:style w:type="paragraph" w:customStyle="1" w:styleId="159">
    <w:name w:val="_Style 19"/>
    <w:basedOn w:val="1"/>
    <w:autoRedefine/>
    <w:qFormat/>
    <w:uiPriority w:val="0"/>
    <w:pPr>
      <w:widowControl/>
      <w:spacing w:after="160" w:line="240" w:lineRule="exact"/>
      <w:jc w:val="left"/>
    </w:pPr>
    <w:rPr>
      <w:kern w:val="4"/>
      <w:sz w:val="20"/>
      <w:szCs w:val="20"/>
    </w:rPr>
  </w:style>
  <w:style w:type="character" w:customStyle="1" w:styleId="160">
    <w:name w:val="正文文本 + SimHei"/>
    <w:autoRedefine/>
    <w:qFormat/>
    <w:uiPriority w:val="0"/>
    <w:rPr>
      <w:color w:val="000000"/>
      <w:spacing w:val="0"/>
      <w:w w:val="100"/>
      <w:position w:val="0"/>
      <w:sz w:val="23"/>
      <w:szCs w:val="23"/>
      <w:lang w:val="zh-TW" w:bidi="ar-SA"/>
    </w:rPr>
  </w:style>
  <w:style w:type="character" w:customStyle="1" w:styleId="161">
    <w:name w:val="正文文本_"/>
    <w:link w:val="162"/>
    <w:autoRedefine/>
    <w:qFormat/>
    <w:locked/>
    <w:uiPriority w:val="0"/>
    <w:rPr>
      <w:lang w:bidi="ar-SA"/>
    </w:rPr>
  </w:style>
  <w:style w:type="paragraph" w:customStyle="1" w:styleId="162">
    <w:name w:val="正文文本 Char Char"/>
    <w:basedOn w:val="1"/>
    <w:link w:val="161"/>
    <w:autoRedefine/>
    <w:qFormat/>
    <w:uiPriority w:val="0"/>
    <w:pPr>
      <w:shd w:val="clear" w:color="auto" w:fill="FFFFFF"/>
    </w:pPr>
    <w:rPr>
      <w:kern w:val="0"/>
      <w:sz w:val="20"/>
      <w:szCs w:val="20"/>
    </w:rPr>
  </w:style>
  <w:style w:type="character" w:customStyle="1" w:styleId="163">
    <w:name w:val="apple-converted-space"/>
    <w:autoRedefine/>
    <w:qFormat/>
    <w:uiPriority w:val="0"/>
    <w:rPr>
      <w:rFonts w:cs="Times New Roman"/>
    </w:rPr>
  </w:style>
  <w:style w:type="character" w:customStyle="1" w:styleId="164">
    <w:name w:val="正文文本 + 11.5 pt"/>
    <w:autoRedefine/>
    <w:qFormat/>
    <w:uiPriority w:val="0"/>
    <w:rPr>
      <w:color w:val="000000"/>
      <w:spacing w:val="0"/>
      <w:w w:val="100"/>
      <w:position w:val="0"/>
      <w:sz w:val="23"/>
      <w:szCs w:val="23"/>
      <w:lang w:val="en-US" w:bidi="ar-SA"/>
    </w:rPr>
  </w:style>
  <w:style w:type="character" w:customStyle="1" w:styleId="165">
    <w:name w:val="ca-5"/>
    <w:autoRedefine/>
    <w:qFormat/>
    <w:uiPriority w:val="0"/>
    <w:rPr>
      <w:rFonts w:cs="Times New Roman"/>
    </w:rPr>
  </w:style>
  <w:style w:type="character" w:customStyle="1" w:styleId="166">
    <w:name w:val="ca-6"/>
    <w:autoRedefine/>
    <w:qFormat/>
    <w:uiPriority w:val="0"/>
    <w:rPr>
      <w:rFonts w:cs="Times New Roman"/>
    </w:rPr>
  </w:style>
  <w:style w:type="paragraph" w:customStyle="1" w:styleId="167">
    <w:name w:val="Char Char Char Char"/>
    <w:basedOn w:val="1"/>
    <w:autoRedefine/>
    <w:qFormat/>
    <w:uiPriority w:val="99"/>
    <w:rPr>
      <w:color w:val="000000"/>
      <w:kern w:val="4"/>
      <w:sz w:val="24"/>
      <w:lang w:val="zh-TW"/>
    </w:rPr>
  </w:style>
  <w:style w:type="paragraph" w:customStyle="1" w:styleId="168">
    <w:name w:val="pa-12"/>
    <w:basedOn w:val="1"/>
    <w:autoRedefine/>
    <w:qFormat/>
    <w:uiPriority w:val="0"/>
    <w:pPr>
      <w:widowControl/>
      <w:spacing w:before="100" w:beforeAutospacing="1" w:after="100" w:afterAutospacing="1"/>
      <w:jc w:val="left"/>
    </w:pPr>
    <w:rPr>
      <w:rFonts w:ascii="宋体" w:hAnsi="宋体" w:cs="宋体"/>
      <w:kern w:val="0"/>
      <w:sz w:val="24"/>
      <w:szCs w:val="20"/>
    </w:rPr>
  </w:style>
  <w:style w:type="paragraph" w:customStyle="1" w:styleId="169">
    <w:name w:val="Char Char Char Char Char Char"/>
    <w:basedOn w:val="1"/>
    <w:autoRedefine/>
    <w:qFormat/>
    <w:uiPriority w:val="0"/>
    <w:rPr>
      <w:rFonts w:ascii="Tahoma" w:hAnsi="Tahoma"/>
      <w:sz w:val="24"/>
      <w:szCs w:val="20"/>
    </w:rPr>
  </w:style>
  <w:style w:type="paragraph" w:customStyle="1" w:styleId="170">
    <w:name w:val="Char1"/>
    <w:basedOn w:val="1"/>
    <w:autoRedefine/>
    <w:qFormat/>
    <w:uiPriority w:val="0"/>
  </w:style>
  <w:style w:type="character" w:customStyle="1" w:styleId="171">
    <w:name w:val="Char Char20"/>
    <w:autoRedefine/>
    <w:qFormat/>
    <w:uiPriority w:val="0"/>
    <w:rPr>
      <w:rFonts w:ascii="宋体" w:hAnsi="宋体" w:eastAsia="楷体_GB2312"/>
      <w:bCs/>
      <w:kern w:val="44"/>
      <w:sz w:val="21"/>
      <w:szCs w:val="44"/>
      <w:lang w:val="en-US" w:eastAsia="zh-CN" w:bidi="ar-SA"/>
    </w:rPr>
  </w:style>
  <w:style w:type="character" w:customStyle="1" w:styleId="172">
    <w:name w:val="txt71"/>
    <w:autoRedefine/>
    <w:qFormat/>
    <w:uiPriority w:val="0"/>
    <w:rPr>
      <w:rFonts w:hint="eastAsia" w:ascii="微软雅黑" w:hAnsi="微软雅黑" w:eastAsia="微软雅黑" w:cs="微软雅黑"/>
      <w:color w:val="4A4A4A"/>
      <w:sz w:val="21"/>
      <w:szCs w:val="21"/>
      <w:u w:val="none"/>
    </w:rPr>
  </w:style>
  <w:style w:type="paragraph" w:customStyle="1" w:styleId="173">
    <w:name w:val="注释标题1"/>
    <w:basedOn w:val="1"/>
    <w:next w:val="1"/>
    <w:autoRedefine/>
    <w:qFormat/>
    <w:uiPriority w:val="0"/>
    <w:pPr>
      <w:jc w:val="center"/>
    </w:pPr>
  </w:style>
  <w:style w:type="paragraph" w:customStyle="1" w:styleId="174">
    <w:name w:val="样式 小四 居中"/>
    <w:basedOn w:val="1"/>
    <w:autoRedefine/>
    <w:qFormat/>
    <w:uiPriority w:val="0"/>
    <w:pPr>
      <w:widowControl/>
      <w:spacing w:line="360" w:lineRule="auto"/>
      <w:jc w:val="center"/>
      <w:textAlignment w:val="baseline"/>
    </w:pPr>
    <w:rPr>
      <w:rFonts w:cs="宋体"/>
      <w:color w:val="000000"/>
      <w:kern w:val="0"/>
      <w:sz w:val="24"/>
      <w:szCs w:val="20"/>
      <w:u w:color="000000"/>
    </w:rPr>
  </w:style>
  <w:style w:type="paragraph" w:customStyle="1" w:styleId="175">
    <w:name w:val="Char Char Char Char_0"/>
    <w:basedOn w:val="1"/>
    <w:autoRedefine/>
    <w:qFormat/>
    <w:uiPriority w:val="0"/>
    <w:pPr>
      <w:widowControl/>
      <w:spacing w:after="160" w:line="240" w:lineRule="exact"/>
      <w:jc w:val="left"/>
    </w:pPr>
  </w:style>
  <w:style w:type="paragraph" w:customStyle="1" w:styleId="176">
    <w:name w:val="样式1"/>
    <w:basedOn w:val="33"/>
    <w:autoRedefine/>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7">
    <w:name w:val="ca-211"/>
    <w:autoRedefine/>
    <w:qFormat/>
    <w:uiPriority w:val="0"/>
    <w:rPr>
      <w:rFonts w:hint="eastAsia" w:ascii="宋体" w:hAnsi="宋体" w:eastAsia="宋体"/>
      <w:b/>
      <w:bCs/>
      <w:color w:val="000000"/>
      <w:spacing w:val="-20"/>
      <w:sz w:val="24"/>
      <w:szCs w:val="24"/>
    </w:rPr>
  </w:style>
  <w:style w:type="paragraph" w:customStyle="1" w:styleId="178">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79">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80">
    <w:name w:val="目录"/>
    <w:basedOn w:val="1"/>
    <w:autoRedefine/>
    <w:qFormat/>
    <w:uiPriority w:val="0"/>
    <w:pPr>
      <w:widowControl/>
      <w:jc w:val="center"/>
    </w:pPr>
    <w:rPr>
      <w:rFonts w:ascii="宋体"/>
      <w:b/>
      <w:kern w:val="0"/>
      <w:sz w:val="36"/>
      <w:szCs w:val="20"/>
    </w:rPr>
  </w:style>
  <w:style w:type="character" w:customStyle="1" w:styleId="181">
    <w:name w:val="标题4 Char Char"/>
    <w:link w:val="182"/>
    <w:autoRedefine/>
    <w:qFormat/>
    <w:uiPriority w:val="0"/>
    <w:rPr>
      <w:rFonts w:ascii="Arial" w:hAnsi="Arial"/>
      <w:b/>
      <w:bCs/>
      <w:sz w:val="24"/>
      <w:szCs w:val="32"/>
      <w:lang w:bidi="ar-SA"/>
    </w:rPr>
  </w:style>
  <w:style w:type="paragraph" w:customStyle="1" w:styleId="182">
    <w:name w:val="标题4"/>
    <w:basedOn w:val="3"/>
    <w:next w:val="24"/>
    <w:link w:val="181"/>
    <w:autoRedefine/>
    <w:qFormat/>
    <w:uiPriority w:val="0"/>
    <w:pPr>
      <w:spacing w:before="260" w:after="260" w:line="413" w:lineRule="auto"/>
      <w:jc w:val="both"/>
    </w:pPr>
    <w:rPr>
      <w:sz w:val="24"/>
    </w:rPr>
  </w:style>
  <w:style w:type="character" w:customStyle="1" w:styleId="183">
    <w:name w:val="明显引用 Char"/>
    <w:link w:val="184"/>
    <w:autoRedefine/>
    <w:qFormat/>
    <w:uiPriority w:val="0"/>
    <w:rPr>
      <w:b/>
      <w:bCs/>
      <w:i/>
      <w:iCs/>
      <w:color w:val="4F81BD"/>
      <w:kern w:val="2"/>
      <w:sz w:val="21"/>
      <w:szCs w:val="22"/>
      <w:lang w:bidi="ar-SA"/>
    </w:rPr>
  </w:style>
  <w:style w:type="paragraph" w:styleId="184">
    <w:name w:val="Intense Quote"/>
    <w:basedOn w:val="1"/>
    <w:next w:val="1"/>
    <w:link w:val="183"/>
    <w:autoRedefine/>
    <w:qFormat/>
    <w:uiPriority w:val="0"/>
    <w:pPr>
      <w:pBdr>
        <w:bottom w:val="single" w:color="4F81BD" w:sz="4" w:space="4"/>
      </w:pBdr>
      <w:spacing w:before="200" w:after="280"/>
      <w:ind w:left="936" w:right="936"/>
    </w:pPr>
    <w:rPr>
      <w:b/>
      <w:bCs/>
      <w:i/>
      <w:iCs/>
      <w:color w:val="4F81BD"/>
      <w:szCs w:val="22"/>
    </w:rPr>
  </w:style>
  <w:style w:type="character" w:customStyle="1" w:styleId="185">
    <w:name w:val="标题5 Char Char"/>
    <w:link w:val="186"/>
    <w:autoRedefine/>
    <w:qFormat/>
    <w:uiPriority w:val="0"/>
    <w:rPr>
      <w:rFonts w:ascii="Arial" w:hAnsi="Arial"/>
      <w:b/>
      <w:bCs/>
      <w:sz w:val="24"/>
      <w:szCs w:val="32"/>
      <w:lang w:bidi="ar-SA"/>
    </w:rPr>
  </w:style>
  <w:style w:type="paragraph" w:customStyle="1" w:styleId="186">
    <w:name w:val="标题5"/>
    <w:basedOn w:val="4"/>
    <w:link w:val="185"/>
    <w:autoRedefine/>
    <w:qFormat/>
    <w:uiPriority w:val="0"/>
    <w:pPr>
      <w:spacing w:before="260" w:after="260" w:line="413" w:lineRule="auto"/>
      <w:ind w:firstLine="0" w:firstLineChars="0"/>
      <w:jc w:val="both"/>
    </w:pPr>
    <w:rPr>
      <w:rFonts w:ascii="Arial" w:hAnsi="Arial"/>
      <w:sz w:val="24"/>
    </w:rPr>
  </w:style>
  <w:style w:type="character" w:customStyle="1" w:styleId="187">
    <w:name w:val="引用 Char"/>
    <w:link w:val="68"/>
    <w:autoRedefine/>
    <w:qFormat/>
    <w:uiPriority w:val="0"/>
    <w:rPr>
      <w:i/>
      <w:iCs/>
      <w:color w:val="000000"/>
      <w:kern w:val="2"/>
      <w:sz w:val="21"/>
      <w:szCs w:val="22"/>
      <w:lang w:bidi="ar-SA"/>
    </w:rPr>
  </w:style>
  <w:style w:type="character" w:customStyle="1" w:styleId="188">
    <w:name w:val="书籍标题1"/>
    <w:autoRedefine/>
    <w:qFormat/>
    <w:uiPriority w:val="0"/>
    <w:rPr>
      <w:b/>
      <w:bCs/>
      <w:smallCaps/>
      <w:spacing w:val="5"/>
    </w:rPr>
  </w:style>
  <w:style w:type="character" w:customStyle="1" w:styleId="189">
    <w:name w:val="明显强调1"/>
    <w:autoRedefine/>
    <w:qFormat/>
    <w:uiPriority w:val="0"/>
    <w:rPr>
      <w:b/>
      <w:bCs/>
      <w:i/>
      <w:iCs/>
      <w:color w:val="4F81BD"/>
    </w:rPr>
  </w:style>
  <w:style w:type="character" w:customStyle="1" w:styleId="190">
    <w:name w:val="textcontents"/>
    <w:autoRedefine/>
    <w:qFormat/>
    <w:uiPriority w:val="0"/>
    <w:rPr>
      <w:rFonts w:cs="Times New Roman"/>
    </w:rPr>
  </w:style>
  <w:style w:type="character" w:customStyle="1" w:styleId="191">
    <w:name w:val="不明显强调1"/>
    <w:autoRedefine/>
    <w:qFormat/>
    <w:uiPriority w:val="0"/>
    <w:rPr>
      <w:i/>
      <w:iCs/>
      <w:color w:val="808080"/>
    </w:rPr>
  </w:style>
  <w:style w:type="character" w:customStyle="1" w:styleId="192">
    <w:name w:val="不明显参考1"/>
    <w:autoRedefine/>
    <w:qFormat/>
    <w:uiPriority w:val="0"/>
    <w:rPr>
      <w:smallCaps/>
      <w:color w:val="C0504D"/>
      <w:u w:val="single"/>
    </w:rPr>
  </w:style>
  <w:style w:type="character" w:customStyle="1" w:styleId="193">
    <w:name w:val="日期 Char1"/>
    <w:autoRedefine/>
    <w:qFormat/>
    <w:uiPriority w:val="0"/>
    <w:rPr>
      <w:kern w:val="2"/>
      <w:sz w:val="21"/>
      <w:szCs w:val="22"/>
    </w:rPr>
  </w:style>
  <w:style w:type="character" w:customStyle="1" w:styleId="194">
    <w:name w:val="正文文本 Char1"/>
    <w:autoRedefine/>
    <w:qFormat/>
    <w:uiPriority w:val="0"/>
    <w:rPr>
      <w:kern w:val="2"/>
      <w:sz w:val="21"/>
      <w:szCs w:val="22"/>
    </w:rPr>
  </w:style>
  <w:style w:type="character" w:customStyle="1" w:styleId="195">
    <w:name w:val="批注主题 Char1"/>
    <w:autoRedefine/>
    <w:qFormat/>
    <w:uiPriority w:val="0"/>
    <w:rPr>
      <w:b/>
      <w:bCs/>
      <w:kern w:val="2"/>
      <w:sz w:val="21"/>
      <w:szCs w:val="22"/>
    </w:rPr>
  </w:style>
  <w:style w:type="character" w:customStyle="1" w:styleId="196">
    <w:name w:val="批注文字 Char Char"/>
    <w:autoRedefine/>
    <w:qFormat/>
    <w:uiPriority w:val="0"/>
    <w:rPr>
      <w:rFonts w:ascii="宋体" w:hAnsi="Times New Roman" w:eastAsia="宋体" w:cs="Times New Roman"/>
      <w:sz w:val="28"/>
      <w:szCs w:val="20"/>
    </w:rPr>
  </w:style>
  <w:style w:type="character" w:customStyle="1" w:styleId="197">
    <w:name w:val="明显参考1"/>
    <w:autoRedefine/>
    <w:qFormat/>
    <w:uiPriority w:val="0"/>
    <w:rPr>
      <w:b/>
      <w:bCs/>
      <w:smallCaps/>
      <w:color w:val="C0504D"/>
      <w:spacing w:val="5"/>
      <w:u w:val="single"/>
    </w:rPr>
  </w:style>
  <w:style w:type="character" w:customStyle="1" w:styleId="198">
    <w:name w:val="批注框文本 Char1"/>
    <w:autoRedefine/>
    <w:qFormat/>
    <w:uiPriority w:val="0"/>
    <w:rPr>
      <w:kern w:val="2"/>
      <w:sz w:val="18"/>
      <w:szCs w:val="18"/>
    </w:rPr>
  </w:style>
  <w:style w:type="character" w:customStyle="1" w:styleId="199">
    <w:name w:val="文档结构图 Char1"/>
    <w:autoRedefine/>
    <w:qFormat/>
    <w:uiPriority w:val="0"/>
    <w:rPr>
      <w:rFonts w:ascii="宋体"/>
      <w:kern w:val="2"/>
      <w:sz w:val="18"/>
      <w:szCs w:val="18"/>
    </w:rPr>
  </w:style>
  <w:style w:type="character" w:customStyle="1" w:styleId="200">
    <w:name w:val="批注文字 Char1"/>
    <w:autoRedefine/>
    <w:qFormat/>
    <w:uiPriority w:val="0"/>
    <w:rPr>
      <w:kern w:val="2"/>
      <w:sz w:val="21"/>
      <w:szCs w:val="24"/>
    </w:rPr>
  </w:style>
  <w:style w:type="paragraph" w:customStyle="1" w:styleId="201">
    <w:name w:val="样式 标题 2 + Times New Roman 四号 非加粗 段前: 5 磅 段后: 0 磅 行距: 固定值 20..."/>
    <w:basedOn w:val="3"/>
    <w:autoRedefine/>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2">
    <w:name w:val="副标题 Char1"/>
    <w:autoRedefine/>
    <w:qFormat/>
    <w:uiPriority w:val="0"/>
    <w:rPr>
      <w:rFonts w:ascii="Cambria" w:hAnsi="Cambria" w:cs="Times New Roman"/>
      <w:b/>
      <w:bCs/>
      <w:kern w:val="28"/>
      <w:sz w:val="32"/>
      <w:szCs w:val="32"/>
    </w:rPr>
  </w:style>
  <w:style w:type="character" w:customStyle="1" w:styleId="203">
    <w:name w:val="明显引用 Char1"/>
    <w:autoRedefine/>
    <w:qFormat/>
    <w:uiPriority w:val="0"/>
    <w:rPr>
      <w:b/>
      <w:bCs/>
      <w:i/>
      <w:iCs/>
      <w:color w:val="4F81BD"/>
      <w:kern w:val="2"/>
      <w:sz w:val="21"/>
      <w:szCs w:val="24"/>
    </w:rPr>
  </w:style>
  <w:style w:type="character" w:customStyle="1" w:styleId="204">
    <w:name w:val="正文文本 Char2"/>
    <w:autoRedefine/>
    <w:qFormat/>
    <w:uiPriority w:val="0"/>
    <w:rPr>
      <w:kern w:val="2"/>
      <w:sz w:val="21"/>
      <w:szCs w:val="24"/>
    </w:rPr>
  </w:style>
  <w:style w:type="character" w:customStyle="1" w:styleId="205">
    <w:name w:val="引用 Char1"/>
    <w:autoRedefine/>
    <w:qFormat/>
    <w:uiPriority w:val="0"/>
    <w:rPr>
      <w:i/>
      <w:iCs/>
      <w:color w:val="000000"/>
      <w:kern w:val="2"/>
      <w:sz w:val="21"/>
      <w:szCs w:val="24"/>
    </w:rPr>
  </w:style>
  <w:style w:type="character" w:customStyle="1" w:styleId="206">
    <w:name w:val="批注主题 Char2"/>
    <w:autoRedefine/>
    <w:qFormat/>
    <w:uiPriority w:val="0"/>
    <w:rPr>
      <w:b/>
      <w:bCs/>
      <w:kern w:val="2"/>
      <w:sz w:val="21"/>
      <w:szCs w:val="24"/>
    </w:rPr>
  </w:style>
  <w:style w:type="paragraph" w:customStyle="1" w:styleId="207">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08">
    <w:name w:val="日期 Char2"/>
    <w:autoRedefine/>
    <w:qFormat/>
    <w:uiPriority w:val="0"/>
    <w:rPr>
      <w:kern w:val="2"/>
      <w:sz w:val="21"/>
      <w:szCs w:val="24"/>
    </w:rPr>
  </w:style>
  <w:style w:type="character" w:customStyle="1" w:styleId="209">
    <w:name w:val="批注框文本 Char2"/>
    <w:autoRedefine/>
    <w:qFormat/>
    <w:uiPriority w:val="0"/>
    <w:rPr>
      <w:kern w:val="2"/>
      <w:sz w:val="18"/>
      <w:szCs w:val="18"/>
    </w:rPr>
  </w:style>
  <w:style w:type="paragraph" w:customStyle="1" w:styleId="210">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11">
    <w:name w:val="样式 标题 3 + (中文) 黑体 小四 非加粗 段前: 7.8 磅 段后: 0 磅 行距: 固定值 20 磅"/>
    <w:basedOn w:val="4"/>
    <w:link w:val="414"/>
    <w:autoRedefine/>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2">
    <w:name w:val="TOC 标题1"/>
    <w:basedOn w:val="2"/>
    <w:next w:val="1"/>
    <w:autoRedefine/>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3">
    <w:name w:val="Char Char Char Char Char Char Char"/>
    <w:basedOn w:val="1"/>
    <w:autoRedefine/>
    <w:qFormat/>
    <w:uiPriority w:val="0"/>
    <w:pPr>
      <w:tabs>
        <w:tab w:val="left" w:pos="432"/>
      </w:tabs>
      <w:ind w:left="432" w:hanging="432"/>
    </w:pPr>
    <w:rPr>
      <w:szCs w:val="20"/>
    </w:rPr>
  </w:style>
  <w:style w:type="character" w:customStyle="1" w:styleId="214">
    <w:name w:val="正文缩进 Char"/>
    <w:link w:val="13"/>
    <w:autoRedefine/>
    <w:qFormat/>
    <w:uiPriority w:val="0"/>
    <w:rPr>
      <w:rFonts w:ascii="宋体"/>
      <w:kern w:val="2"/>
      <w:sz w:val="21"/>
    </w:rPr>
  </w:style>
  <w:style w:type="paragraph" w:customStyle="1" w:styleId="215">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216">
    <w:name w:val="标题 6 Char"/>
    <w:basedOn w:val="53"/>
    <w:link w:val="7"/>
    <w:autoRedefine/>
    <w:qFormat/>
    <w:uiPriority w:val="0"/>
    <w:rPr>
      <w:rFonts w:ascii="Arial" w:hAnsi="Arial" w:eastAsia="黑体"/>
      <w:b/>
      <w:bCs/>
      <w:sz w:val="24"/>
      <w:szCs w:val="24"/>
    </w:rPr>
  </w:style>
  <w:style w:type="character" w:customStyle="1" w:styleId="217">
    <w:name w:val="标题 7 Char"/>
    <w:basedOn w:val="53"/>
    <w:link w:val="8"/>
    <w:autoRedefine/>
    <w:qFormat/>
    <w:uiPriority w:val="0"/>
    <w:rPr>
      <w:b/>
      <w:bCs/>
      <w:sz w:val="24"/>
      <w:szCs w:val="24"/>
    </w:rPr>
  </w:style>
  <w:style w:type="character" w:customStyle="1" w:styleId="218">
    <w:name w:val="标题 8 Char"/>
    <w:basedOn w:val="53"/>
    <w:link w:val="9"/>
    <w:autoRedefine/>
    <w:qFormat/>
    <w:uiPriority w:val="0"/>
    <w:rPr>
      <w:rFonts w:ascii="Arial" w:hAnsi="Arial" w:eastAsia="黑体"/>
      <w:sz w:val="24"/>
      <w:szCs w:val="24"/>
    </w:rPr>
  </w:style>
  <w:style w:type="character" w:customStyle="1" w:styleId="219">
    <w:name w:val="标题 9 Char"/>
    <w:basedOn w:val="53"/>
    <w:link w:val="10"/>
    <w:autoRedefine/>
    <w:qFormat/>
    <w:uiPriority w:val="0"/>
    <w:rPr>
      <w:rFonts w:ascii="Arial" w:hAnsi="Arial" w:eastAsia="黑体"/>
      <w:sz w:val="21"/>
      <w:szCs w:val="21"/>
    </w:rPr>
  </w:style>
  <w:style w:type="character" w:customStyle="1" w:styleId="220">
    <w:name w:val="正文文本 3 Char"/>
    <w:basedOn w:val="53"/>
    <w:link w:val="18"/>
    <w:autoRedefine/>
    <w:qFormat/>
    <w:uiPriority w:val="0"/>
    <w:rPr>
      <w:b/>
      <w:bCs/>
      <w:kern w:val="2"/>
      <w:sz w:val="44"/>
      <w:szCs w:val="18"/>
    </w:rPr>
  </w:style>
  <w:style w:type="paragraph" w:customStyle="1" w:styleId="221">
    <w:name w:val="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character" w:customStyle="1" w:styleId="222">
    <w:name w:val="标题 Char"/>
    <w:basedOn w:val="53"/>
    <w:link w:val="47"/>
    <w:autoRedefine/>
    <w:qFormat/>
    <w:uiPriority w:val="0"/>
    <w:rPr>
      <w:rFonts w:ascii="Cambria" w:hAnsi="Cambria"/>
      <w:b/>
      <w:bCs/>
      <w:kern w:val="2"/>
      <w:sz w:val="32"/>
      <w:szCs w:val="32"/>
    </w:rPr>
  </w:style>
  <w:style w:type="character" w:customStyle="1" w:styleId="223">
    <w:name w:val="标题 Char1"/>
    <w:basedOn w:val="53"/>
    <w:autoRedefine/>
    <w:qFormat/>
    <w:uiPriority w:val="0"/>
    <w:rPr>
      <w:rFonts w:ascii="Cambria" w:hAnsi="Cambria" w:eastAsia="宋体" w:cs="Times New Roman"/>
      <w:b/>
      <w:bCs/>
      <w:sz w:val="32"/>
      <w:szCs w:val="32"/>
    </w:rPr>
  </w:style>
  <w:style w:type="character" w:customStyle="1" w:styleId="224">
    <w:name w:val="副标题 Char"/>
    <w:link w:val="37"/>
    <w:autoRedefine/>
    <w:qFormat/>
    <w:uiPriority w:val="0"/>
    <w:rPr>
      <w:rFonts w:ascii="Cambria" w:hAnsi="Cambria" w:eastAsia="Times New Roman"/>
      <w:b/>
      <w:bCs/>
      <w:kern w:val="28"/>
      <w:sz w:val="32"/>
      <w:szCs w:val="32"/>
    </w:rPr>
  </w:style>
  <w:style w:type="paragraph" w:customStyle="1" w:styleId="225">
    <w:name w:val="_Style 10"/>
    <w:basedOn w:val="1"/>
    <w:autoRedefine/>
    <w:qFormat/>
    <w:uiPriority w:val="0"/>
  </w:style>
  <w:style w:type="character" w:customStyle="1" w:styleId="226">
    <w:name w:val="不明显参考1_0"/>
    <w:autoRedefine/>
    <w:qFormat/>
    <w:uiPriority w:val="0"/>
    <w:rPr>
      <w:smallCaps/>
      <w:color w:val="C0504D"/>
      <w:u w:val="single"/>
    </w:rPr>
  </w:style>
  <w:style w:type="character" w:customStyle="1" w:styleId="227">
    <w:name w:val="明显参考1_0"/>
    <w:autoRedefine/>
    <w:qFormat/>
    <w:uiPriority w:val="0"/>
    <w:rPr>
      <w:b/>
      <w:smallCaps/>
      <w:color w:val="C0504D"/>
      <w:spacing w:val="5"/>
      <w:u w:val="single"/>
    </w:rPr>
  </w:style>
  <w:style w:type="character" w:customStyle="1" w:styleId="228">
    <w:name w:val="明显强调1_0"/>
    <w:autoRedefine/>
    <w:qFormat/>
    <w:uiPriority w:val="0"/>
    <w:rPr>
      <w:b/>
      <w:i/>
      <w:color w:val="4F81BD"/>
    </w:rPr>
  </w:style>
  <w:style w:type="character" w:customStyle="1" w:styleId="229">
    <w:name w:val="org_name2"/>
    <w:basedOn w:val="53"/>
    <w:autoRedefine/>
    <w:qFormat/>
    <w:uiPriority w:val="0"/>
  </w:style>
  <w:style w:type="character" w:customStyle="1" w:styleId="230">
    <w:name w:val="Comment Text Char"/>
    <w:autoRedefine/>
    <w:qFormat/>
    <w:uiPriority w:val="0"/>
    <w:rPr>
      <w:kern w:val="2"/>
      <w:sz w:val="22"/>
      <w:szCs w:val="22"/>
    </w:rPr>
  </w:style>
  <w:style w:type="character" w:customStyle="1" w:styleId="231">
    <w:name w:val="Subtitle Char1"/>
    <w:autoRedefine/>
    <w:qFormat/>
    <w:uiPriority w:val="0"/>
    <w:rPr>
      <w:rFonts w:ascii="Cambria" w:hAnsi="Cambria" w:cs="Times New Roman"/>
      <w:b/>
      <w:bCs/>
      <w:kern w:val="28"/>
      <w:sz w:val="32"/>
      <w:szCs w:val="32"/>
    </w:rPr>
  </w:style>
  <w:style w:type="character" w:customStyle="1" w:styleId="232">
    <w:name w:val="文本块 Char"/>
    <w:link w:val="23"/>
    <w:autoRedefine/>
    <w:qFormat/>
    <w:uiPriority w:val="0"/>
    <w:rPr>
      <w:sz w:val="24"/>
    </w:rPr>
  </w:style>
  <w:style w:type="character" w:customStyle="1" w:styleId="233">
    <w:name w:val="不明显强调1_0"/>
    <w:autoRedefine/>
    <w:qFormat/>
    <w:uiPriority w:val="0"/>
    <w:rPr>
      <w:i/>
      <w:color w:val="808080"/>
    </w:rPr>
  </w:style>
  <w:style w:type="character" w:customStyle="1" w:styleId="234">
    <w:name w:val="样式 黑体 小四 自定义颜色(RGB(1500))"/>
    <w:autoRedefine/>
    <w:qFormat/>
    <w:uiPriority w:val="0"/>
    <w:rPr>
      <w:rFonts w:ascii="Times New Roman" w:hAnsi="Times New Roman" w:eastAsia="黑体"/>
      <w:color w:val="0F0000"/>
      <w:kern w:val="0"/>
      <w:sz w:val="24"/>
      <w:szCs w:val="24"/>
    </w:rPr>
  </w:style>
  <w:style w:type="character" w:customStyle="1" w:styleId="235">
    <w:name w:val="top-icon"/>
    <w:basedOn w:val="53"/>
    <w:autoRedefine/>
    <w:qFormat/>
    <w:uiPriority w:val="0"/>
  </w:style>
  <w:style w:type="character" w:customStyle="1" w:styleId="236">
    <w:name w:val="样式4 Char Char"/>
    <w:link w:val="237"/>
    <w:autoRedefine/>
    <w:qFormat/>
    <w:uiPriority w:val="0"/>
    <w:rPr>
      <w:rFonts w:ascii="宋体"/>
      <w:b/>
      <w:bCs/>
      <w:sz w:val="24"/>
      <w:szCs w:val="24"/>
    </w:rPr>
  </w:style>
  <w:style w:type="paragraph" w:customStyle="1" w:styleId="237">
    <w:name w:val="样式4 Char"/>
    <w:basedOn w:val="19"/>
    <w:link w:val="236"/>
    <w:autoRedefine/>
    <w:qFormat/>
    <w:uiPriority w:val="0"/>
    <w:pPr>
      <w:spacing w:after="0" w:line="500" w:lineRule="exact"/>
      <w:ind w:firstLine="480" w:firstLineChars="200"/>
    </w:pPr>
    <w:rPr>
      <w:rFonts w:ascii="宋体"/>
      <w:b/>
      <w:bCs/>
    </w:rPr>
  </w:style>
  <w:style w:type="character" w:customStyle="1" w:styleId="238">
    <w:name w:val="font51"/>
    <w:autoRedefine/>
    <w:qFormat/>
    <w:uiPriority w:val="0"/>
    <w:rPr>
      <w:rFonts w:hint="eastAsia" w:ascii="宋体" w:hAnsi="宋体" w:eastAsia="宋体"/>
      <w:b/>
      <w:bCs/>
      <w:color w:val="000000"/>
      <w:sz w:val="40"/>
      <w:szCs w:val="40"/>
      <w:u w:val="none"/>
    </w:rPr>
  </w:style>
  <w:style w:type="character" w:customStyle="1" w:styleId="239">
    <w:name w:val="style11"/>
    <w:autoRedefine/>
    <w:qFormat/>
    <w:uiPriority w:val="0"/>
    <w:rPr>
      <w:b/>
      <w:bCs/>
    </w:rPr>
  </w:style>
  <w:style w:type="character" w:customStyle="1" w:styleId="240">
    <w:name w:val="no72"/>
    <w:basedOn w:val="53"/>
    <w:autoRedefine/>
    <w:qFormat/>
    <w:uiPriority w:val="0"/>
  </w:style>
  <w:style w:type="character" w:customStyle="1" w:styleId="241">
    <w:name w:val="Char Char7"/>
    <w:autoRedefine/>
    <w:qFormat/>
    <w:uiPriority w:val="0"/>
    <w:rPr>
      <w:rFonts w:ascii="宋体" w:eastAsia="宋体"/>
      <w:b/>
      <w:bCs/>
      <w:kern w:val="44"/>
      <w:sz w:val="30"/>
      <w:szCs w:val="30"/>
      <w:lang w:val="en-US" w:eastAsia="zh-CN" w:bidi="ar-SA"/>
    </w:rPr>
  </w:style>
  <w:style w:type="character" w:customStyle="1" w:styleId="242">
    <w:name w:val="尾注文本 Char"/>
    <w:link w:val="31"/>
    <w:autoRedefine/>
    <w:qFormat/>
    <w:uiPriority w:val="0"/>
  </w:style>
  <w:style w:type="character" w:customStyle="1" w:styleId="243">
    <w:name w:val="脚注文本 Char"/>
    <w:link w:val="38"/>
    <w:autoRedefine/>
    <w:qFormat/>
    <w:uiPriority w:val="0"/>
    <w:rPr>
      <w:sz w:val="18"/>
    </w:rPr>
  </w:style>
  <w:style w:type="character" w:customStyle="1" w:styleId="244">
    <w:name w:val="样式5 Char Char Char Char"/>
    <w:autoRedefine/>
    <w:qFormat/>
    <w:uiPriority w:val="0"/>
    <w:rPr>
      <w:rFonts w:ascii="黑体" w:eastAsia="黑体"/>
      <w:b/>
      <w:bCs/>
      <w:kern w:val="2"/>
      <w:sz w:val="32"/>
      <w:szCs w:val="32"/>
      <w:lang w:val="en-US" w:eastAsia="zh-CN" w:bidi="ar-SA"/>
    </w:rPr>
  </w:style>
  <w:style w:type="character" w:customStyle="1" w:styleId="245">
    <w:name w:val="Title Char Char"/>
    <w:autoRedefine/>
    <w:qFormat/>
    <w:uiPriority w:val="0"/>
    <w:rPr>
      <w:rFonts w:ascii="Cambria" w:hAnsi="Cambria" w:cs="Cambria"/>
      <w:b/>
      <w:bCs/>
      <w:kern w:val="2"/>
      <w:sz w:val="32"/>
      <w:szCs w:val="32"/>
    </w:rPr>
  </w:style>
  <w:style w:type="character" w:customStyle="1" w:styleId="246">
    <w:name w:val="no62"/>
    <w:basedOn w:val="53"/>
    <w:autoRedefine/>
    <w:qFormat/>
    <w:uiPriority w:val="0"/>
  </w:style>
  <w:style w:type="character" w:customStyle="1" w:styleId="247">
    <w:name w:val="正文首行缩进 2 Char"/>
    <w:link w:val="50"/>
    <w:autoRedefine/>
    <w:qFormat/>
    <w:uiPriority w:val="0"/>
    <w:rPr>
      <w:szCs w:val="24"/>
    </w:rPr>
  </w:style>
  <w:style w:type="character" w:customStyle="1" w:styleId="248">
    <w:name w:val="Blockquote Char"/>
    <w:link w:val="249"/>
    <w:autoRedefine/>
    <w:qFormat/>
    <w:uiPriority w:val="0"/>
    <w:rPr>
      <w:sz w:val="24"/>
    </w:rPr>
  </w:style>
  <w:style w:type="paragraph" w:customStyle="1" w:styleId="249">
    <w:name w:val="Blockquote"/>
    <w:basedOn w:val="1"/>
    <w:link w:val="248"/>
    <w:autoRedefine/>
    <w:qFormat/>
    <w:uiPriority w:val="0"/>
    <w:pPr>
      <w:autoSpaceDE w:val="0"/>
      <w:autoSpaceDN w:val="0"/>
      <w:adjustRightInd w:val="0"/>
      <w:spacing w:before="100" w:after="100"/>
      <w:ind w:left="360" w:right="360"/>
      <w:jc w:val="left"/>
    </w:pPr>
    <w:rPr>
      <w:kern w:val="0"/>
      <w:sz w:val="24"/>
      <w:szCs w:val="20"/>
    </w:rPr>
  </w:style>
  <w:style w:type="character" w:customStyle="1" w:styleId="250">
    <w:name w:val="Title Char1"/>
    <w:autoRedefine/>
    <w:qFormat/>
    <w:uiPriority w:val="0"/>
    <w:rPr>
      <w:rFonts w:ascii="Cambria" w:hAnsi="Cambria" w:cs="Times New Roman"/>
      <w:b/>
      <w:bCs/>
      <w:kern w:val="2"/>
      <w:sz w:val="32"/>
      <w:szCs w:val="32"/>
    </w:rPr>
  </w:style>
  <w:style w:type="character" w:customStyle="1" w:styleId="251">
    <w:name w:val="Document Map Char Char"/>
    <w:autoRedefine/>
    <w:qFormat/>
    <w:uiPriority w:val="0"/>
    <w:rPr>
      <w:rFonts w:ascii="Times New Roman" w:hAnsi="Times New Roman" w:cs="Times New Roman"/>
      <w:sz w:val="24"/>
      <w:szCs w:val="24"/>
      <w:shd w:val="clear" w:color="auto" w:fill="000080"/>
    </w:rPr>
  </w:style>
  <w:style w:type="character" w:customStyle="1" w:styleId="252">
    <w:name w:val="标题 2 Char Char"/>
    <w:autoRedefine/>
    <w:qFormat/>
    <w:uiPriority w:val="0"/>
    <w:rPr>
      <w:sz w:val="28"/>
    </w:rPr>
  </w:style>
  <w:style w:type="character" w:customStyle="1" w:styleId="253">
    <w:name w:val="Subtitle Char Char"/>
    <w:autoRedefine/>
    <w:qFormat/>
    <w:uiPriority w:val="0"/>
    <w:rPr>
      <w:rFonts w:ascii="Cambria" w:hAnsi="Cambria" w:cs="Cambria"/>
      <w:b/>
      <w:bCs/>
      <w:kern w:val="28"/>
      <w:sz w:val="32"/>
      <w:szCs w:val="32"/>
    </w:rPr>
  </w:style>
  <w:style w:type="character" w:customStyle="1" w:styleId="254">
    <w:name w:val="no42"/>
    <w:basedOn w:val="53"/>
    <w:autoRedefine/>
    <w:qFormat/>
    <w:uiPriority w:val="0"/>
  </w:style>
  <w:style w:type="character" w:customStyle="1" w:styleId="255">
    <w:name w:val="tip7"/>
    <w:autoRedefine/>
    <w:qFormat/>
    <w:uiPriority w:val="0"/>
    <w:rPr>
      <w:vanish/>
      <w:color w:val="FF0000"/>
      <w:sz w:val="18"/>
      <w:szCs w:val="18"/>
    </w:rPr>
  </w:style>
  <w:style w:type="character" w:customStyle="1" w:styleId="256">
    <w:name w:val="HTML Markup"/>
    <w:autoRedefine/>
    <w:qFormat/>
    <w:uiPriority w:val="0"/>
    <w:rPr>
      <w:vanish/>
      <w:color w:val="FF0000"/>
    </w:rPr>
  </w:style>
  <w:style w:type="character" w:customStyle="1" w:styleId="257">
    <w:name w:val="Blockquote Char Char"/>
    <w:autoRedefine/>
    <w:qFormat/>
    <w:uiPriority w:val="0"/>
    <w:rPr>
      <w:rFonts w:eastAsia="宋体"/>
      <w:sz w:val="24"/>
      <w:lang w:val="en-US" w:eastAsia="zh-CN" w:bidi="ar-SA"/>
    </w:rPr>
  </w:style>
  <w:style w:type="character" w:customStyle="1" w:styleId="258">
    <w:name w:val="Document Map Char1"/>
    <w:link w:val="259"/>
    <w:autoRedefine/>
    <w:qFormat/>
    <w:uiPriority w:val="0"/>
    <w:rPr>
      <w:sz w:val="16"/>
      <w:szCs w:val="16"/>
      <w:shd w:val="clear" w:color="auto" w:fill="000080"/>
    </w:rPr>
  </w:style>
  <w:style w:type="paragraph" w:customStyle="1" w:styleId="259">
    <w:name w:val="文档结构图1"/>
    <w:basedOn w:val="1"/>
    <w:link w:val="258"/>
    <w:autoRedefine/>
    <w:qFormat/>
    <w:uiPriority w:val="0"/>
    <w:pPr>
      <w:shd w:val="clear" w:color="auto" w:fill="000080"/>
    </w:pPr>
    <w:rPr>
      <w:kern w:val="0"/>
      <w:sz w:val="16"/>
      <w:szCs w:val="16"/>
      <w:shd w:val="clear" w:color="auto" w:fill="000080"/>
    </w:rPr>
  </w:style>
  <w:style w:type="character" w:customStyle="1" w:styleId="260">
    <w:name w:val="Body Text Char Char"/>
    <w:autoRedefine/>
    <w:qFormat/>
    <w:uiPriority w:val="0"/>
    <w:rPr>
      <w:rFonts w:ascii="Times New Roman" w:hAnsi="Times New Roman" w:cs="Times New Roman"/>
    </w:rPr>
  </w:style>
  <w:style w:type="character" w:customStyle="1" w:styleId="261">
    <w:name w:val="Date Char Char"/>
    <w:autoRedefine/>
    <w:qFormat/>
    <w:uiPriority w:val="0"/>
    <w:rPr>
      <w:rFonts w:ascii="宋体" w:hAnsi="Times New Roman" w:cs="宋体"/>
      <w:sz w:val="28"/>
      <w:szCs w:val="28"/>
    </w:rPr>
  </w:style>
  <w:style w:type="character" w:customStyle="1" w:styleId="262">
    <w:name w:val="Intense Quote Char1"/>
    <w:autoRedefine/>
    <w:qFormat/>
    <w:uiPriority w:val="0"/>
    <w:rPr>
      <w:b/>
      <w:bCs/>
      <w:i/>
      <w:iCs/>
      <w:color w:val="4F81BD"/>
      <w:kern w:val="2"/>
      <w:sz w:val="21"/>
      <w:szCs w:val="22"/>
    </w:rPr>
  </w:style>
  <w:style w:type="character" w:customStyle="1" w:styleId="263">
    <w:name w:val="f-star"/>
    <w:autoRedefine/>
    <w:qFormat/>
    <w:uiPriority w:val="0"/>
    <w:rPr>
      <w:color w:val="999999"/>
      <w:sz w:val="21"/>
      <w:szCs w:val="21"/>
    </w:rPr>
  </w:style>
  <w:style w:type="character" w:customStyle="1" w:styleId="264">
    <w:name w:val="bds_more"/>
    <w:basedOn w:val="53"/>
    <w:autoRedefine/>
    <w:qFormat/>
    <w:uiPriority w:val="0"/>
  </w:style>
  <w:style w:type="character" w:customStyle="1" w:styleId="265">
    <w:name w:val="Quote Char"/>
    <w:link w:val="266"/>
    <w:autoRedefine/>
    <w:qFormat/>
    <w:locked/>
    <w:uiPriority w:val="0"/>
    <w:rPr>
      <w:i/>
      <w:color w:val="000000"/>
      <w:sz w:val="22"/>
    </w:rPr>
  </w:style>
  <w:style w:type="paragraph" w:customStyle="1" w:styleId="266">
    <w:name w:val="引用2"/>
    <w:basedOn w:val="1"/>
    <w:next w:val="1"/>
    <w:link w:val="265"/>
    <w:autoRedefine/>
    <w:qFormat/>
    <w:uiPriority w:val="0"/>
    <w:rPr>
      <w:i/>
      <w:color w:val="000000"/>
      <w:kern w:val="0"/>
      <w:sz w:val="22"/>
      <w:szCs w:val="20"/>
    </w:rPr>
  </w:style>
  <w:style w:type="character" w:customStyle="1" w:styleId="267">
    <w:name w:val="页脚 Char1"/>
    <w:autoRedefine/>
    <w:qFormat/>
    <w:uiPriority w:val="0"/>
    <w:rPr>
      <w:rFonts w:eastAsia="??"/>
      <w:color w:val="000000"/>
      <w:kern w:val="2"/>
      <w:sz w:val="18"/>
      <w:szCs w:val="18"/>
      <w:lang w:val="en-US" w:eastAsia="zh-CN" w:bidi="ar-SA"/>
    </w:rPr>
  </w:style>
  <w:style w:type="character" w:customStyle="1" w:styleId="268">
    <w:name w:val="Date Char1"/>
    <w:link w:val="269"/>
    <w:autoRedefine/>
    <w:qFormat/>
    <w:uiPriority w:val="0"/>
    <w:rPr>
      <w:rFonts w:asciiTheme="minorHAnsi" w:hAnsiTheme="minorHAnsi" w:eastAsiaTheme="minorEastAsia" w:cstheme="minorBidi"/>
      <w:kern w:val="2"/>
      <w:sz w:val="21"/>
      <w:szCs w:val="22"/>
    </w:rPr>
  </w:style>
  <w:style w:type="paragraph" w:customStyle="1" w:styleId="269">
    <w:name w:val="日期1"/>
    <w:basedOn w:val="1"/>
    <w:next w:val="1"/>
    <w:link w:val="268"/>
    <w:autoRedefine/>
    <w:qFormat/>
    <w:uiPriority w:val="0"/>
    <w:pPr>
      <w:ind w:left="100" w:leftChars="2500"/>
    </w:pPr>
    <w:rPr>
      <w:rFonts w:asciiTheme="minorHAnsi" w:hAnsiTheme="minorHAnsi" w:eastAsiaTheme="minorEastAsia" w:cstheme="minorBidi"/>
      <w:szCs w:val="22"/>
    </w:rPr>
  </w:style>
  <w:style w:type="character" w:customStyle="1" w:styleId="270">
    <w:name w:val="样式 段落编号 + (中文) 黑体 两端对齐 Char Char Char Char Char"/>
    <w:link w:val="271"/>
    <w:autoRedefine/>
    <w:qFormat/>
    <w:uiPriority w:val="0"/>
    <w:rPr>
      <w:rFonts w:ascii="宋体" w:hAnsi="宋体" w:eastAsia="黑体" w:cs="宋体"/>
      <w:sz w:val="24"/>
      <w:szCs w:val="24"/>
    </w:rPr>
  </w:style>
  <w:style w:type="paragraph" w:customStyle="1" w:styleId="271">
    <w:name w:val="样式 段落编号 + (中文) 黑体 两端对齐 Char Char Char Char"/>
    <w:basedOn w:val="1"/>
    <w:link w:val="270"/>
    <w:autoRedefine/>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2">
    <w:name w:val="ui-bz-bg-hover"/>
    <w:autoRedefine/>
    <w:qFormat/>
    <w:uiPriority w:val="0"/>
    <w:rPr>
      <w:shd w:val="clear" w:color="auto" w:fill="000000"/>
    </w:rPr>
  </w:style>
  <w:style w:type="character" w:customStyle="1" w:styleId="273">
    <w:name w:val="样式4 Char Char Char Char"/>
    <w:autoRedefine/>
    <w:qFormat/>
    <w:uiPriority w:val="0"/>
    <w:rPr>
      <w:rFonts w:ascii="宋体" w:eastAsia="宋体"/>
      <w:b/>
      <w:bCs/>
      <w:kern w:val="2"/>
      <w:sz w:val="24"/>
      <w:szCs w:val="24"/>
      <w:lang w:val="en-US" w:eastAsia="zh-CN" w:bidi="ar-SA"/>
    </w:rPr>
  </w:style>
  <w:style w:type="character" w:customStyle="1" w:styleId="274">
    <w:name w:val="my-class"/>
    <w:basedOn w:val="53"/>
    <w:autoRedefine/>
    <w:qFormat/>
    <w:uiPriority w:val="0"/>
  </w:style>
  <w:style w:type="character" w:customStyle="1" w:styleId="275">
    <w:name w:val="Comment Subject Char"/>
    <w:autoRedefine/>
    <w:qFormat/>
    <w:uiPriority w:val="0"/>
    <w:rPr>
      <w:rFonts w:ascii="宋体" w:hAnsi="Times New Roman" w:cs="宋体"/>
      <w:b/>
      <w:bCs/>
      <w:sz w:val="28"/>
      <w:szCs w:val="28"/>
    </w:rPr>
  </w:style>
  <w:style w:type="character" w:customStyle="1" w:styleId="276">
    <w:name w:val="bds_more2"/>
    <w:autoRedefine/>
    <w:qFormat/>
    <w:uiPriority w:val="0"/>
    <w:rPr>
      <w:rFonts w:ascii="宋体 ! important" w:hAnsi="宋体 ! important" w:eastAsia="宋体 ! important" w:cs="宋体 ! important"/>
      <w:color w:val="454545"/>
      <w:sz w:val="18"/>
      <w:szCs w:val="18"/>
    </w:rPr>
  </w:style>
  <w:style w:type="character" w:customStyle="1" w:styleId="277">
    <w:name w:val="页脚 Char Char Char"/>
    <w:autoRedefine/>
    <w:qFormat/>
    <w:uiPriority w:val="0"/>
    <w:rPr>
      <w:kern w:val="2"/>
      <w:sz w:val="18"/>
      <w:szCs w:val="18"/>
    </w:rPr>
  </w:style>
  <w:style w:type="character" w:customStyle="1" w:styleId="278">
    <w:name w:val="fo Char"/>
    <w:autoRedefine/>
    <w:qFormat/>
    <w:uiPriority w:val="0"/>
    <w:rPr>
      <w:rFonts w:eastAsia="宋体"/>
      <w:kern w:val="2"/>
      <w:sz w:val="18"/>
      <w:lang w:val="en-US" w:eastAsia="zh-CN" w:bidi="ar-SA"/>
    </w:rPr>
  </w:style>
  <w:style w:type="character" w:customStyle="1" w:styleId="279">
    <w:name w:val="Footer Char"/>
    <w:autoRedefine/>
    <w:qFormat/>
    <w:uiPriority w:val="0"/>
    <w:rPr>
      <w:kern w:val="2"/>
      <w:sz w:val="18"/>
      <w:szCs w:val="18"/>
    </w:rPr>
  </w:style>
  <w:style w:type="character" w:customStyle="1" w:styleId="280">
    <w:name w:val="Body Text Indent 3 Char Char"/>
    <w:link w:val="281"/>
    <w:autoRedefine/>
    <w:qFormat/>
    <w:uiPriority w:val="0"/>
    <w:rPr>
      <w:sz w:val="16"/>
      <w:szCs w:val="16"/>
    </w:rPr>
  </w:style>
  <w:style w:type="paragraph" w:customStyle="1" w:styleId="281">
    <w:name w:val="正文文本缩进 31"/>
    <w:basedOn w:val="1"/>
    <w:link w:val="280"/>
    <w:autoRedefine/>
    <w:qFormat/>
    <w:uiPriority w:val="0"/>
    <w:pPr>
      <w:spacing w:after="120"/>
      <w:ind w:left="420" w:leftChars="200"/>
    </w:pPr>
    <w:rPr>
      <w:kern w:val="0"/>
      <w:sz w:val="16"/>
      <w:szCs w:val="16"/>
    </w:rPr>
  </w:style>
  <w:style w:type="character" w:customStyle="1" w:styleId="282">
    <w:name w:val="Char Char5"/>
    <w:autoRedefine/>
    <w:qFormat/>
    <w:uiPriority w:val="0"/>
    <w:rPr>
      <w:rFonts w:eastAsia="宋体"/>
      <w:kern w:val="2"/>
      <w:sz w:val="21"/>
      <w:szCs w:val="24"/>
      <w:lang w:val="en-US" w:eastAsia="zh-CN" w:bidi="ar-SA"/>
    </w:rPr>
  </w:style>
  <w:style w:type="character" w:customStyle="1" w:styleId="283">
    <w:name w:val="bds_nopic2"/>
    <w:basedOn w:val="53"/>
    <w:autoRedefine/>
    <w:qFormat/>
    <w:uiPriority w:val="0"/>
  </w:style>
  <w:style w:type="character" w:customStyle="1" w:styleId="284">
    <w:name w:val="no52"/>
    <w:autoRedefine/>
    <w:qFormat/>
    <w:uiPriority w:val="0"/>
    <w:rPr>
      <w:sz w:val="19"/>
      <w:szCs w:val="19"/>
    </w:rPr>
  </w:style>
  <w:style w:type="character" w:customStyle="1" w:styleId="285">
    <w:name w:val="bds_nopic"/>
    <w:basedOn w:val="53"/>
    <w:autoRedefine/>
    <w:qFormat/>
    <w:uiPriority w:val="0"/>
  </w:style>
  <w:style w:type="character" w:customStyle="1" w:styleId="286">
    <w:name w:val="样式 正文文本缩进 + 首行缩进:  2 字符 Char Char"/>
    <w:link w:val="287"/>
    <w:autoRedefine/>
    <w:qFormat/>
    <w:uiPriority w:val="0"/>
    <w:rPr>
      <w:rFonts w:cs="宋体"/>
      <w:sz w:val="24"/>
      <w:szCs w:val="24"/>
    </w:rPr>
  </w:style>
  <w:style w:type="paragraph" w:customStyle="1" w:styleId="287">
    <w:name w:val="样式 正文文本缩进 + 首行缩进:  2 字符 Char"/>
    <w:basedOn w:val="21"/>
    <w:link w:val="286"/>
    <w:autoRedefine/>
    <w:qFormat/>
    <w:uiPriority w:val="0"/>
    <w:pPr>
      <w:tabs>
        <w:tab w:val="left" w:pos="9016"/>
      </w:tabs>
      <w:spacing w:line="500" w:lineRule="exact"/>
      <w:ind w:firstLine="480"/>
    </w:pPr>
    <w:rPr>
      <w:rFonts w:ascii="Times New Roman" w:eastAsia="宋体" w:cs="宋体"/>
    </w:rPr>
  </w:style>
  <w:style w:type="character" w:customStyle="1" w:styleId="288">
    <w:name w:val="书籍标题1_0"/>
    <w:autoRedefine/>
    <w:qFormat/>
    <w:uiPriority w:val="0"/>
    <w:rPr>
      <w:b/>
      <w:smallCaps/>
      <w:spacing w:val="5"/>
    </w:rPr>
  </w:style>
  <w:style w:type="character" w:customStyle="1" w:styleId="289">
    <w:name w:val="no4"/>
    <w:autoRedefine/>
    <w:qFormat/>
    <w:uiPriority w:val="0"/>
    <w:rPr>
      <w:color w:val="999999"/>
      <w:sz w:val="18"/>
      <w:szCs w:val="18"/>
    </w:rPr>
  </w:style>
  <w:style w:type="character" w:customStyle="1" w:styleId="290">
    <w:name w:val="Intense Quote Char Char"/>
    <w:autoRedefine/>
    <w:qFormat/>
    <w:uiPriority w:val="0"/>
    <w:rPr>
      <w:b/>
      <w:bCs/>
      <w:i/>
      <w:iCs/>
      <w:color w:val="4F81BD"/>
      <w:kern w:val="2"/>
      <w:sz w:val="22"/>
      <w:szCs w:val="22"/>
    </w:rPr>
  </w:style>
  <w:style w:type="character" w:customStyle="1" w:styleId="291">
    <w:name w:val="Header Char"/>
    <w:autoRedefine/>
    <w:qFormat/>
    <w:uiPriority w:val="0"/>
    <w:rPr>
      <w:kern w:val="2"/>
      <w:sz w:val="18"/>
      <w:szCs w:val="18"/>
    </w:rPr>
  </w:style>
  <w:style w:type="character" w:customStyle="1" w:styleId="292">
    <w:name w:val="Quote Char1"/>
    <w:autoRedefine/>
    <w:qFormat/>
    <w:uiPriority w:val="0"/>
    <w:rPr>
      <w:i/>
      <w:iCs/>
      <w:color w:val="000000"/>
      <w:kern w:val="2"/>
      <w:sz w:val="21"/>
      <w:szCs w:val="22"/>
    </w:rPr>
  </w:style>
  <w:style w:type="character" w:customStyle="1" w:styleId="293">
    <w:name w:val="书籍标题2"/>
    <w:autoRedefine/>
    <w:qFormat/>
    <w:uiPriority w:val="0"/>
    <w:rPr>
      <w:b/>
      <w:smallCaps/>
      <w:spacing w:val="5"/>
    </w:rPr>
  </w:style>
  <w:style w:type="character" w:customStyle="1" w:styleId="294">
    <w:name w:val="页脚 Char Char"/>
    <w:autoRedefine/>
    <w:qFormat/>
    <w:uiPriority w:val="0"/>
    <w:rPr>
      <w:rFonts w:eastAsia="宋体"/>
      <w:sz w:val="18"/>
      <w:szCs w:val="18"/>
      <w:lang w:bidi="ar-SA"/>
    </w:rPr>
  </w:style>
  <w:style w:type="character" w:customStyle="1" w:styleId="295">
    <w:name w:val="javascript"/>
    <w:basedOn w:val="53"/>
    <w:autoRedefine/>
    <w:qFormat/>
    <w:uiPriority w:val="0"/>
  </w:style>
  <w:style w:type="character" w:customStyle="1" w:styleId="296">
    <w:name w:val="my-class2"/>
    <w:basedOn w:val="53"/>
    <w:autoRedefine/>
    <w:qFormat/>
    <w:uiPriority w:val="0"/>
  </w:style>
  <w:style w:type="character" w:customStyle="1" w:styleId="297">
    <w:name w:val="Heading 3 Char"/>
    <w:autoRedefine/>
    <w:qFormat/>
    <w:uiPriority w:val="0"/>
    <w:rPr>
      <w:b/>
      <w:bCs/>
      <w:kern w:val="2"/>
      <w:sz w:val="32"/>
      <w:szCs w:val="32"/>
    </w:rPr>
  </w:style>
  <w:style w:type="character" w:customStyle="1" w:styleId="298">
    <w:name w:val="bds_nopic1"/>
    <w:basedOn w:val="53"/>
    <w:autoRedefine/>
    <w:qFormat/>
    <w:uiPriority w:val="0"/>
  </w:style>
  <w:style w:type="character" w:customStyle="1" w:styleId="299">
    <w:name w:val="tip3"/>
    <w:autoRedefine/>
    <w:qFormat/>
    <w:uiPriority w:val="0"/>
    <w:rPr>
      <w:vanish/>
      <w:color w:val="FF0000"/>
      <w:sz w:val="18"/>
      <w:szCs w:val="18"/>
    </w:rPr>
  </w:style>
  <w:style w:type="character" w:customStyle="1" w:styleId="300">
    <w:name w:val="Balloon Text Char Char"/>
    <w:autoRedefine/>
    <w:qFormat/>
    <w:uiPriority w:val="0"/>
    <w:rPr>
      <w:rFonts w:ascii="宋体" w:hAnsi="Times New Roman" w:cs="宋体"/>
      <w:sz w:val="18"/>
      <w:szCs w:val="18"/>
    </w:rPr>
  </w:style>
  <w:style w:type="character" w:customStyle="1" w:styleId="301">
    <w:name w:val="Comment Subject Char1"/>
    <w:link w:val="302"/>
    <w:autoRedefine/>
    <w:qFormat/>
    <w:uiPriority w:val="0"/>
    <w:rPr>
      <w:b/>
      <w:bCs/>
    </w:rPr>
  </w:style>
  <w:style w:type="paragraph" w:customStyle="1" w:styleId="302">
    <w:name w:val="批注主题1"/>
    <w:basedOn w:val="17"/>
    <w:next w:val="17"/>
    <w:link w:val="301"/>
    <w:autoRedefine/>
    <w:qFormat/>
    <w:uiPriority w:val="0"/>
    <w:rPr>
      <w:b/>
      <w:bCs/>
      <w:sz w:val="20"/>
      <w:szCs w:val="20"/>
    </w:rPr>
  </w:style>
  <w:style w:type="character" w:customStyle="1" w:styleId="303">
    <w:name w:val="样式 正文文本缩进 + 首行缩进:  2 字符 Char Char Char Char"/>
    <w:autoRedefine/>
    <w:qFormat/>
    <w:uiPriority w:val="0"/>
    <w:rPr>
      <w:rFonts w:eastAsia="宋体" w:cs="宋体"/>
      <w:sz w:val="24"/>
      <w:szCs w:val="24"/>
      <w:lang w:val="en-US" w:eastAsia="zh-CN" w:bidi="ar-SA"/>
    </w:rPr>
  </w:style>
  <w:style w:type="character" w:customStyle="1" w:styleId="304">
    <w:name w:val="t-tag"/>
    <w:autoRedefine/>
    <w:qFormat/>
    <w:uiPriority w:val="0"/>
    <w:rPr>
      <w:color w:val="FFFFFF"/>
      <w:sz w:val="18"/>
      <w:szCs w:val="18"/>
      <w:shd w:val="clear" w:color="auto" w:fill="FE8833"/>
    </w:rPr>
  </w:style>
  <w:style w:type="character" w:customStyle="1" w:styleId="305">
    <w:name w:val="Intense Quote Char"/>
    <w:link w:val="306"/>
    <w:autoRedefine/>
    <w:qFormat/>
    <w:locked/>
    <w:uiPriority w:val="0"/>
    <w:rPr>
      <w:b/>
      <w:i/>
      <w:color w:val="4F81BD"/>
      <w:sz w:val="22"/>
    </w:rPr>
  </w:style>
  <w:style w:type="paragraph" w:customStyle="1" w:styleId="306">
    <w:name w:val="明显引用1"/>
    <w:basedOn w:val="1"/>
    <w:next w:val="1"/>
    <w:link w:val="305"/>
    <w:autoRedefine/>
    <w:qFormat/>
    <w:uiPriority w:val="0"/>
    <w:pPr>
      <w:pBdr>
        <w:bottom w:val="single" w:color="4F81BD" w:sz="4" w:space="4"/>
      </w:pBdr>
      <w:spacing w:before="200" w:after="280"/>
      <w:ind w:left="936" w:right="936"/>
    </w:pPr>
    <w:rPr>
      <w:b/>
      <w:i/>
      <w:color w:val="4F81BD"/>
      <w:kern w:val="0"/>
      <w:sz w:val="22"/>
      <w:szCs w:val="20"/>
    </w:rPr>
  </w:style>
  <w:style w:type="character" w:customStyle="1" w:styleId="307">
    <w:name w:val="Char Char3"/>
    <w:autoRedefine/>
    <w:qFormat/>
    <w:uiPriority w:val="0"/>
    <w:rPr>
      <w:rFonts w:eastAsia="宋体"/>
      <w:lang w:val="en-US" w:eastAsia="zh-CN" w:bidi="ar-SA"/>
    </w:rPr>
  </w:style>
  <w:style w:type="character" w:customStyle="1" w:styleId="308">
    <w:name w:val="Quote Char Char"/>
    <w:autoRedefine/>
    <w:qFormat/>
    <w:uiPriority w:val="0"/>
    <w:rPr>
      <w:i/>
      <w:iCs/>
      <w:color w:val="000000"/>
      <w:kern w:val="2"/>
      <w:sz w:val="22"/>
      <w:szCs w:val="22"/>
    </w:rPr>
  </w:style>
  <w:style w:type="character" w:customStyle="1" w:styleId="309">
    <w:name w:val="标题 3 Char Char"/>
    <w:autoRedefine/>
    <w:qFormat/>
    <w:uiPriority w:val="0"/>
    <w:rPr>
      <w:rFonts w:ascii="仿宋_GB2312" w:eastAsia="仿宋_GB2312"/>
      <w:b/>
      <w:sz w:val="28"/>
      <w:szCs w:val="28"/>
      <w:lang w:val="en-US" w:eastAsia="zh-CN" w:bidi="ar-SA"/>
    </w:rPr>
  </w:style>
  <w:style w:type="character" w:customStyle="1" w:styleId="310">
    <w:name w:val="ui-bz-bg-hover1"/>
    <w:basedOn w:val="53"/>
    <w:autoRedefine/>
    <w:qFormat/>
    <w:uiPriority w:val="0"/>
  </w:style>
  <w:style w:type="character" w:customStyle="1" w:styleId="311">
    <w:name w:val="样式 段落编号 + (中文) 黑体 两端对齐 Char Char Char Char Char Char Char"/>
    <w:autoRedefine/>
    <w:qFormat/>
    <w:uiPriority w:val="0"/>
    <w:rPr>
      <w:rFonts w:ascii="宋体" w:hAnsi="宋体" w:eastAsia="黑体" w:cs="宋体"/>
      <w:kern w:val="2"/>
      <w:sz w:val="24"/>
      <w:szCs w:val="24"/>
      <w:lang w:val="en-US" w:eastAsia="zh-CN" w:bidi="ar-SA"/>
    </w:rPr>
  </w:style>
  <w:style w:type="character" w:customStyle="1" w:styleId="312">
    <w:name w:val="orange6"/>
    <w:autoRedefine/>
    <w:qFormat/>
    <w:uiPriority w:val="0"/>
    <w:rPr>
      <w:color w:val="3FB58F"/>
    </w:rPr>
  </w:style>
  <w:style w:type="character" w:customStyle="1" w:styleId="313">
    <w:name w:val="批注引用1"/>
    <w:autoRedefine/>
    <w:qFormat/>
    <w:uiPriority w:val="0"/>
    <w:rPr>
      <w:sz w:val="21"/>
      <w:szCs w:val="21"/>
    </w:rPr>
  </w:style>
  <w:style w:type="character" w:customStyle="1" w:styleId="314">
    <w:name w:val="明显参考2"/>
    <w:autoRedefine/>
    <w:qFormat/>
    <w:uiPriority w:val="0"/>
    <w:rPr>
      <w:b/>
      <w:smallCaps/>
      <w:color w:val="C0504D"/>
      <w:spacing w:val="5"/>
      <w:u w:val="single"/>
    </w:rPr>
  </w:style>
  <w:style w:type="character" w:customStyle="1" w:styleId="315">
    <w:name w:val="my-notice1"/>
    <w:basedOn w:val="53"/>
    <w:autoRedefine/>
    <w:qFormat/>
    <w:uiPriority w:val="0"/>
  </w:style>
  <w:style w:type="character" w:customStyle="1" w:styleId="316">
    <w:name w:val="样式5 Char Char"/>
    <w:link w:val="317"/>
    <w:autoRedefine/>
    <w:qFormat/>
    <w:uiPriority w:val="0"/>
    <w:rPr>
      <w:rFonts w:ascii="黑体" w:eastAsia="黑体"/>
      <w:b/>
      <w:bCs/>
      <w:sz w:val="32"/>
      <w:szCs w:val="32"/>
    </w:rPr>
  </w:style>
  <w:style w:type="paragraph" w:customStyle="1" w:styleId="317">
    <w:name w:val="样式5 Char"/>
    <w:basedOn w:val="237"/>
    <w:link w:val="316"/>
    <w:autoRedefine/>
    <w:qFormat/>
    <w:uiPriority w:val="0"/>
    <w:pPr>
      <w:spacing w:beforeLines="80" w:afterLines="60"/>
      <w:ind w:firstLine="0" w:firstLineChars="0"/>
      <w:jc w:val="center"/>
    </w:pPr>
    <w:rPr>
      <w:rFonts w:ascii="黑体" w:eastAsia="黑体"/>
      <w:sz w:val="32"/>
      <w:szCs w:val="32"/>
    </w:rPr>
  </w:style>
  <w:style w:type="character" w:customStyle="1" w:styleId="318">
    <w:name w:val="页码1"/>
    <w:basedOn w:val="53"/>
    <w:autoRedefine/>
    <w:qFormat/>
    <w:uiPriority w:val="0"/>
  </w:style>
  <w:style w:type="character" w:customStyle="1" w:styleId="319">
    <w:name w:val="bds_more1"/>
    <w:autoRedefine/>
    <w:qFormat/>
    <w:uiPriority w:val="0"/>
    <w:rPr>
      <w:rFonts w:hint="eastAsia" w:ascii="宋体" w:hAnsi="宋体" w:eastAsia="宋体" w:cs="宋体"/>
      <w:b/>
    </w:rPr>
  </w:style>
  <w:style w:type="character" w:customStyle="1" w:styleId="320">
    <w:name w:val="my-notice"/>
    <w:basedOn w:val="53"/>
    <w:autoRedefine/>
    <w:qFormat/>
    <w:uiPriority w:val="0"/>
  </w:style>
  <w:style w:type="character" w:customStyle="1" w:styleId="321">
    <w:name w:val="Char Char6"/>
    <w:autoRedefine/>
    <w:qFormat/>
    <w:uiPriority w:val="0"/>
    <w:rPr>
      <w:rFonts w:eastAsia="宋体"/>
      <w:kern w:val="2"/>
      <w:sz w:val="21"/>
      <w:szCs w:val="24"/>
      <w:lang w:val="en-US" w:eastAsia="zh-CN" w:bidi="ar-SA"/>
    </w:rPr>
  </w:style>
  <w:style w:type="character" w:customStyle="1" w:styleId="322">
    <w:name w:val="脚注文本 Char1"/>
    <w:basedOn w:val="53"/>
    <w:autoRedefine/>
    <w:qFormat/>
    <w:uiPriority w:val="0"/>
    <w:rPr>
      <w:kern w:val="2"/>
      <w:sz w:val="18"/>
      <w:szCs w:val="18"/>
    </w:rPr>
  </w:style>
  <w:style w:type="character" w:customStyle="1" w:styleId="323">
    <w:name w:val="正文首行缩进 2 Char1"/>
    <w:basedOn w:val="92"/>
    <w:autoRedefine/>
    <w:qFormat/>
    <w:uiPriority w:val="0"/>
    <w:rPr>
      <w:rFonts w:ascii="仿宋_GB2312" w:hAnsi="Times New Roman" w:eastAsia="仿宋_GB2312" w:cs="Times New Roman"/>
      <w:kern w:val="2"/>
      <w:sz w:val="21"/>
      <w:szCs w:val="24"/>
    </w:rPr>
  </w:style>
  <w:style w:type="character" w:customStyle="1" w:styleId="324">
    <w:name w:val="HTML 预设格式 Char"/>
    <w:basedOn w:val="53"/>
    <w:link w:val="43"/>
    <w:autoRedefine/>
    <w:qFormat/>
    <w:uiPriority w:val="0"/>
    <w:rPr>
      <w:rFonts w:ascii="宋体" w:hAnsi="宋体" w:cs="宋体"/>
      <w:sz w:val="24"/>
      <w:szCs w:val="24"/>
    </w:rPr>
  </w:style>
  <w:style w:type="character" w:customStyle="1" w:styleId="325">
    <w:name w:val="正文文本 2 Char1"/>
    <w:basedOn w:val="53"/>
    <w:autoRedefine/>
    <w:qFormat/>
    <w:uiPriority w:val="0"/>
    <w:rPr>
      <w:rFonts w:ascii="Times New Roman" w:hAnsi="Times New Roman" w:eastAsia="宋体" w:cs="Times New Roman"/>
      <w:szCs w:val="24"/>
    </w:rPr>
  </w:style>
  <w:style w:type="character" w:customStyle="1" w:styleId="326">
    <w:name w:val="尾注文本 Char1"/>
    <w:basedOn w:val="53"/>
    <w:autoRedefine/>
    <w:qFormat/>
    <w:uiPriority w:val="0"/>
    <w:rPr>
      <w:kern w:val="2"/>
      <w:sz w:val="21"/>
      <w:szCs w:val="24"/>
    </w:rPr>
  </w:style>
  <w:style w:type="paragraph" w:customStyle="1" w:styleId="327">
    <w:name w:val="第四行"/>
    <w:basedOn w:val="1"/>
    <w:autoRedefine/>
    <w:qFormat/>
    <w:uiPriority w:val="0"/>
    <w:pPr>
      <w:spacing w:beforeLines="200" w:line="360" w:lineRule="auto"/>
      <w:ind w:left="-400" w:leftChars="-400"/>
      <w:jc w:val="center"/>
    </w:pPr>
    <w:rPr>
      <w:rFonts w:ascii="宋体"/>
      <w:b/>
      <w:bCs/>
      <w:sz w:val="28"/>
      <w:szCs w:val="28"/>
    </w:rPr>
  </w:style>
  <w:style w:type="paragraph" w:customStyle="1" w:styleId="328">
    <w:name w:val="菲页2"/>
    <w:basedOn w:val="4"/>
    <w:autoRedefine/>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29">
    <w:name w:val="样式 样式 第四行 + 左侧:  -4 字符 段前: 2 行 + 左侧:  -3 字符 段前: 2 行"/>
    <w:basedOn w:val="330"/>
    <w:autoRedefine/>
    <w:qFormat/>
    <w:uiPriority w:val="0"/>
    <w:pPr>
      <w:ind w:left="-200" w:leftChars="-200"/>
    </w:pPr>
  </w:style>
  <w:style w:type="paragraph" w:customStyle="1" w:styleId="330">
    <w:name w:val="样式 第四行 + 左侧:  -4 字符 段前: 2 行"/>
    <w:basedOn w:val="327"/>
    <w:autoRedefine/>
    <w:qFormat/>
    <w:uiPriority w:val="0"/>
    <w:pPr>
      <w:ind w:left="-300" w:leftChars="-300"/>
    </w:pPr>
    <w:rPr>
      <w:szCs w:val="20"/>
    </w:rPr>
  </w:style>
  <w:style w:type="paragraph" w:customStyle="1" w:styleId="331">
    <w:name w:val="样式 样式 样式 宋体 小四 黑色 两端对齐 + 首行缩进:  2 字符 + 五号 首行缩进:  2 字符"/>
    <w:basedOn w:val="1"/>
    <w:autoRedefine/>
    <w:qFormat/>
    <w:uiPriority w:val="0"/>
    <w:pPr>
      <w:widowControl/>
      <w:spacing w:line="340" w:lineRule="exact"/>
      <w:ind w:firstLine="200" w:firstLineChars="200"/>
    </w:pPr>
    <w:rPr>
      <w:rFonts w:ascii="宋体" w:hAnsi="宋体"/>
      <w:color w:val="000000"/>
      <w:kern w:val="0"/>
      <w:szCs w:val="20"/>
    </w:rPr>
  </w:style>
  <w:style w:type="paragraph" w:customStyle="1" w:styleId="332">
    <w:name w:val="reader-word-layer reader-word-s13-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3">
    <w:name w:val="样式 第五行 + 左侧:  -8 字符 段前: 2 行1"/>
    <w:basedOn w:val="334"/>
    <w:autoRedefine/>
    <w:qFormat/>
    <w:uiPriority w:val="0"/>
    <w:pPr>
      <w:ind w:left="-300" w:leftChars="-300"/>
    </w:pPr>
    <w:rPr>
      <w:szCs w:val="20"/>
    </w:rPr>
  </w:style>
  <w:style w:type="paragraph" w:customStyle="1" w:styleId="334">
    <w:name w:val="第五行"/>
    <w:basedOn w:val="327"/>
    <w:autoRedefine/>
    <w:qFormat/>
    <w:uiPriority w:val="0"/>
    <w:pPr>
      <w:ind w:left="-800" w:leftChars="-800"/>
    </w:pPr>
  </w:style>
  <w:style w:type="paragraph" w:customStyle="1" w:styleId="335">
    <w:name w:val="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336">
    <w:name w:val="表标题"/>
    <w:basedOn w:val="1"/>
    <w:autoRedefine/>
    <w:qFormat/>
    <w:uiPriority w:val="0"/>
    <w:pPr>
      <w:widowControl/>
      <w:spacing w:beforeLines="100" w:line="280" w:lineRule="exact"/>
      <w:ind w:firstLine="50" w:firstLineChars="50"/>
      <w:jc w:val="left"/>
    </w:pPr>
    <w:rPr>
      <w:rFonts w:eastAsia="黑体"/>
      <w:kern w:val="0"/>
      <w:sz w:val="24"/>
    </w:rPr>
  </w:style>
  <w:style w:type="paragraph" w:customStyle="1" w:styleId="337">
    <w:name w:val="reader-word-layer reader-word-s13-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8">
    <w:name w:val="1"/>
    <w:basedOn w:val="1"/>
    <w:next w:val="23"/>
    <w:autoRedefine/>
    <w:qFormat/>
    <w:uiPriority w:val="0"/>
    <w:pPr>
      <w:adjustRightInd w:val="0"/>
      <w:ind w:left="420" w:right="33"/>
      <w:jc w:val="left"/>
      <w:textAlignment w:val="baseline"/>
    </w:pPr>
    <w:rPr>
      <w:kern w:val="0"/>
      <w:sz w:val="24"/>
      <w:szCs w:val="20"/>
    </w:rPr>
  </w:style>
  <w:style w:type="paragraph" w:customStyle="1" w:styleId="339">
    <w:name w:val="scc"/>
    <w:basedOn w:val="1"/>
    <w:autoRedefine/>
    <w:qFormat/>
    <w:uiPriority w:val="0"/>
    <w:pPr>
      <w:adjustRightInd w:val="0"/>
      <w:spacing w:line="400" w:lineRule="atLeast"/>
      <w:jc w:val="center"/>
      <w:textAlignment w:val="baseline"/>
    </w:pPr>
    <w:rPr>
      <w:rFonts w:eastAsia="楷体_GB2312"/>
      <w:b/>
      <w:kern w:val="0"/>
      <w:sz w:val="24"/>
      <w:szCs w:val="20"/>
    </w:rPr>
  </w:style>
  <w:style w:type="paragraph" w:customStyle="1" w:styleId="340">
    <w:name w:val="普通(网站)1"/>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1">
    <w:name w:val="TOC 标题1_0"/>
    <w:basedOn w:val="2"/>
    <w:next w:val="1"/>
    <w:autoRedefine/>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2">
    <w:name w:val="7"/>
    <w:basedOn w:val="1"/>
    <w:autoRedefine/>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3">
    <w:name w:val="reader-word-layer reader-word-s1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44">
    <w:name w:val="样式3"/>
    <w:basedOn w:val="3"/>
    <w:autoRedefine/>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5">
    <w:name w:val="Char6"/>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46">
    <w:name w:val="索引 41"/>
    <w:basedOn w:val="1"/>
    <w:next w:val="1"/>
    <w:autoRedefine/>
    <w:qFormat/>
    <w:uiPriority w:val="0"/>
    <w:pPr>
      <w:ind w:left="600" w:leftChars="600"/>
    </w:pPr>
    <w:rPr>
      <w:szCs w:val="21"/>
    </w:rPr>
  </w:style>
  <w:style w:type="paragraph" w:customStyle="1" w:styleId="347">
    <w:name w:val="样式 第五行 + 左侧:  -8 字符 段前: 2 行"/>
    <w:basedOn w:val="334"/>
    <w:autoRedefine/>
    <w:qFormat/>
    <w:uiPriority w:val="0"/>
    <w:pPr>
      <w:ind w:left="-600" w:leftChars="-600"/>
    </w:pPr>
    <w:rPr>
      <w:szCs w:val="20"/>
    </w:rPr>
  </w:style>
  <w:style w:type="paragraph" w:customStyle="1" w:styleId="348">
    <w:name w:val="正文1"/>
    <w:basedOn w:val="1"/>
    <w:autoRedefine/>
    <w:qFormat/>
    <w:uiPriority w:val="0"/>
    <w:pPr>
      <w:spacing w:line="360" w:lineRule="auto"/>
      <w:ind w:firstLine="200" w:firstLineChars="200"/>
    </w:pPr>
    <w:rPr>
      <w:rFonts w:ascii="宋体"/>
      <w:szCs w:val="21"/>
    </w:rPr>
  </w:style>
  <w:style w:type="paragraph" w:customStyle="1" w:styleId="349">
    <w:name w:val="菲页(卷)"/>
    <w:basedOn w:val="2"/>
    <w:next w:val="350"/>
    <w:autoRedefine/>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0">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1">
    <w:name w:val="编号（1）"/>
    <w:basedOn w:val="1"/>
    <w:autoRedefine/>
    <w:qFormat/>
    <w:uiPriority w:val="0"/>
    <w:pPr>
      <w:tabs>
        <w:tab w:val="left" w:pos="420"/>
      </w:tabs>
      <w:spacing w:line="360" w:lineRule="auto"/>
      <w:ind w:left="450" w:leftChars="200" w:hanging="200" w:hangingChars="200"/>
    </w:pPr>
    <w:rPr>
      <w:rFonts w:ascii="宋体"/>
      <w:szCs w:val="21"/>
    </w:rPr>
  </w:style>
  <w:style w:type="paragraph" w:customStyle="1" w:styleId="352">
    <w:name w:val="+标题4"/>
    <w:basedOn w:val="5"/>
    <w:autoRedefine/>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3">
    <w:name w:val="样式 样式 样式 标题 3 + 首行缩进:  2 字符 + 首行缩进:  2 字符 + 首行缩进:  2 字符 Char"/>
    <w:basedOn w:val="1"/>
    <w:autoRedefine/>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4">
    <w:name w:val="样式 样式 第六行 + 左侧:  -2 字符 段前: 2 行 + 左侧:  -10 字符 段前: 2 行"/>
    <w:basedOn w:val="355"/>
    <w:autoRedefine/>
    <w:qFormat/>
    <w:uiPriority w:val="0"/>
    <w:pPr>
      <w:ind w:left="-1100" w:leftChars="-1100"/>
    </w:pPr>
    <w:rPr>
      <w:szCs w:val="28"/>
    </w:rPr>
  </w:style>
  <w:style w:type="paragraph" w:customStyle="1" w:styleId="355">
    <w:name w:val="样式 第六行 + 左侧:  -2 字符 段前: 2 行"/>
    <w:basedOn w:val="356"/>
    <w:qFormat/>
    <w:uiPriority w:val="0"/>
    <w:pPr>
      <w:ind w:left="-1000" w:leftChars="-1000"/>
    </w:pPr>
    <w:rPr>
      <w:szCs w:val="20"/>
    </w:rPr>
  </w:style>
  <w:style w:type="paragraph" w:customStyle="1" w:styleId="356">
    <w:name w:val="第六行"/>
    <w:basedOn w:val="357"/>
    <w:autoRedefine/>
    <w:qFormat/>
    <w:uiPriority w:val="0"/>
    <w:pPr>
      <w:ind w:left="-200" w:leftChars="-200"/>
    </w:pPr>
  </w:style>
  <w:style w:type="paragraph" w:customStyle="1" w:styleId="357">
    <w:name w:val="样式 样式 样式 第五行 + 左侧:  -8 字符 段前: 2 行 + 左侧:  -6 字符 段前: 2 行 + 左侧:  -4..."/>
    <w:basedOn w:val="358"/>
    <w:autoRedefine/>
    <w:qFormat/>
    <w:uiPriority w:val="0"/>
    <w:rPr>
      <w:szCs w:val="28"/>
    </w:rPr>
  </w:style>
  <w:style w:type="paragraph" w:customStyle="1" w:styleId="358">
    <w:name w:val="样式 样式 第五行 + 左侧:  -8 字符 段前: 2 行 + 左侧:  -6 字符 段前: 2 行"/>
    <w:basedOn w:val="347"/>
    <w:autoRedefine/>
    <w:qFormat/>
    <w:uiPriority w:val="0"/>
    <w:pPr>
      <w:ind w:left="-400" w:leftChars="-400"/>
    </w:pPr>
  </w:style>
  <w:style w:type="paragraph" w:customStyle="1" w:styleId="359">
    <w:name w:val="样式9"/>
    <w:basedOn w:val="4"/>
    <w:autoRedefine/>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0">
    <w:name w:val="第1行"/>
    <w:basedOn w:val="1"/>
    <w:autoRedefine/>
    <w:qFormat/>
    <w:uiPriority w:val="0"/>
    <w:pPr>
      <w:numPr>
        <w:ilvl w:val="0"/>
        <w:numId w:val="1"/>
      </w:numPr>
      <w:tabs>
        <w:tab w:val="left" w:pos="720"/>
      </w:tabs>
      <w:snapToGrid w:val="0"/>
      <w:spacing w:line="460" w:lineRule="exact"/>
    </w:pPr>
    <w:rPr>
      <w:rFonts w:ascii="宋体" w:hAnsi="宋体"/>
      <w:szCs w:val="28"/>
    </w:rPr>
  </w:style>
  <w:style w:type="paragraph" w:customStyle="1" w:styleId="361">
    <w:name w:val="第三行"/>
    <w:basedOn w:val="1"/>
    <w:autoRedefine/>
    <w:qFormat/>
    <w:uiPriority w:val="0"/>
    <w:pPr>
      <w:spacing w:beforeLines="200" w:line="360" w:lineRule="auto"/>
      <w:jc w:val="center"/>
    </w:pPr>
    <w:rPr>
      <w:rFonts w:ascii="楷体_GB2312" w:eastAsia="楷体_GB2312"/>
      <w:b/>
      <w:bCs/>
      <w:sz w:val="48"/>
      <w:szCs w:val="48"/>
    </w:rPr>
  </w:style>
  <w:style w:type="paragraph" w:customStyle="1" w:styleId="362">
    <w:name w:val="引用1"/>
    <w:basedOn w:val="1"/>
    <w:next w:val="1"/>
    <w:link w:val="426"/>
    <w:autoRedefine/>
    <w:qFormat/>
    <w:uiPriority w:val="0"/>
    <w:rPr>
      <w:i/>
      <w:color w:val="000000"/>
      <w:kern w:val="0"/>
      <w:sz w:val="22"/>
      <w:szCs w:val="20"/>
    </w:rPr>
  </w:style>
  <w:style w:type="paragraph" w:customStyle="1" w:styleId="363">
    <w:name w:val="样式 标题 2 + 左侧:  0 厘米 首行缩进:  0 厘米"/>
    <w:basedOn w:val="3"/>
    <w:autoRedefine/>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4">
    <w:name w:val="Char6 Char Char Char"/>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5">
    <w:name w:val="+标题1"/>
    <w:basedOn w:val="2"/>
    <w:autoRedefine/>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6">
    <w:name w:val="p12"/>
    <w:basedOn w:val="1"/>
    <w:autoRedefine/>
    <w:qFormat/>
    <w:uiPriority w:val="0"/>
    <w:pPr>
      <w:widowControl/>
      <w:spacing w:before="100" w:beforeAutospacing="1" w:after="100" w:afterAutospacing="1"/>
      <w:jc w:val="left"/>
    </w:pPr>
    <w:rPr>
      <w:rFonts w:ascii="??" w:hAnsi="??" w:eastAsia="??" w:cs="??"/>
      <w:color w:val="000000"/>
      <w:kern w:val="0"/>
      <w:sz w:val="24"/>
    </w:rPr>
  </w:style>
  <w:style w:type="paragraph" w:customStyle="1" w:styleId="367">
    <w:name w:val="样式 样式 样式 第六行 + 左侧:  -2 字符 段前: 2 行 + 左侧:  -10 字符 段前: 2 行 + 左侧:  -..."/>
    <w:basedOn w:val="354"/>
    <w:autoRedefine/>
    <w:qFormat/>
    <w:uiPriority w:val="0"/>
    <w:pPr>
      <w:ind w:left="-1200" w:leftChars="-1200"/>
    </w:pPr>
    <w:rPr>
      <w:szCs w:val="20"/>
    </w:rPr>
  </w:style>
  <w:style w:type="paragraph" w:customStyle="1" w:styleId="368">
    <w:name w:val="样式 样式 样式 样式 第六行 + 左侧:  -2 字符 段前: 2 行 + 左侧:  -10 字符 段前: 2 行 + 左侧:..."/>
    <w:basedOn w:val="367"/>
    <w:autoRedefine/>
    <w:qFormat/>
    <w:uiPriority w:val="0"/>
    <w:pPr>
      <w:ind w:left="-1000" w:leftChars="-1000"/>
    </w:pPr>
  </w:style>
  <w:style w:type="paragraph" w:customStyle="1" w:styleId="369">
    <w:name w:val="列出段落2"/>
    <w:basedOn w:val="1"/>
    <w:link w:val="468"/>
    <w:autoRedefine/>
    <w:qFormat/>
    <w:uiPriority w:val="0"/>
    <w:pPr>
      <w:ind w:firstLine="420" w:firstLineChars="200"/>
    </w:pPr>
    <w:rPr>
      <w:rFonts w:ascii="Calibri" w:hAnsi="Calibri" w:cs="Calibri"/>
      <w:szCs w:val="21"/>
    </w:rPr>
  </w:style>
  <w:style w:type="paragraph" w:customStyle="1" w:styleId="370">
    <w:name w:val="+标题3"/>
    <w:basedOn w:val="4"/>
    <w:autoRedefine/>
    <w:qFormat/>
    <w:uiPriority w:val="0"/>
    <w:pPr>
      <w:tabs>
        <w:tab w:val="left" w:pos="1260"/>
      </w:tabs>
      <w:ind w:left="1260" w:hanging="420"/>
      <w:jc w:val="both"/>
    </w:pPr>
    <w:rPr>
      <w:rFonts w:ascii="Times New Roman"/>
      <w:b w:val="0"/>
      <w:kern w:val="2"/>
      <w:sz w:val="30"/>
      <w:szCs w:val="28"/>
    </w:rPr>
  </w:style>
  <w:style w:type="paragraph" w:customStyle="1" w:styleId="371">
    <w:name w:val="样式2"/>
    <w:basedOn w:val="5"/>
    <w:next w:val="5"/>
    <w:autoRedefine/>
    <w:qFormat/>
    <w:uiPriority w:val="0"/>
    <w:pPr>
      <w:widowControl/>
      <w:spacing w:line="374" w:lineRule="auto"/>
      <w:jc w:val="left"/>
    </w:pPr>
    <w:rPr>
      <w:rFonts w:ascii="黑体"/>
      <w:kern w:val="0"/>
      <w:sz w:val="24"/>
      <w:szCs w:val="30"/>
    </w:rPr>
  </w:style>
  <w:style w:type="paragraph" w:customStyle="1" w:styleId="372">
    <w:name w:val="Char Char2 Char Char Char Char Char Char Char Char Char Char Char Char Char"/>
    <w:basedOn w:val="1"/>
    <w:autoRedefine/>
    <w:qFormat/>
    <w:uiPriority w:val="0"/>
    <w:pPr>
      <w:ind w:firstLine="360" w:firstLineChars="150"/>
    </w:pPr>
    <w:rPr>
      <w:rFonts w:ascii="Tahoma" w:hAnsi="Tahoma"/>
      <w:sz w:val="24"/>
      <w:szCs w:val="20"/>
    </w:rPr>
  </w:style>
  <w:style w:type="paragraph" w:customStyle="1" w:styleId="373">
    <w:name w:val="横表格"/>
    <w:basedOn w:val="374"/>
    <w:autoRedefine/>
    <w:qFormat/>
    <w:uiPriority w:val="0"/>
    <w:pPr>
      <w:spacing w:beforeLines="0" w:line="240" w:lineRule="auto"/>
    </w:pPr>
    <w:rPr>
      <w:b w:val="0"/>
    </w:rPr>
  </w:style>
  <w:style w:type="paragraph" w:customStyle="1" w:styleId="374">
    <w:name w:val="横表名"/>
    <w:basedOn w:val="1"/>
    <w:autoRedefine/>
    <w:qFormat/>
    <w:uiPriority w:val="0"/>
    <w:pPr>
      <w:spacing w:beforeLines="50" w:line="360" w:lineRule="auto"/>
      <w:jc w:val="center"/>
    </w:pPr>
    <w:rPr>
      <w:rFonts w:ascii="宋体"/>
      <w:b/>
      <w:szCs w:val="21"/>
    </w:rPr>
  </w:style>
  <w:style w:type="paragraph" w:customStyle="1" w:styleId="375">
    <w:name w:val="3级"/>
    <w:basedOn w:val="1"/>
    <w:autoRedefine/>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6">
    <w:name w:val="+正文"/>
    <w:basedOn w:val="1"/>
    <w:autoRedefine/>
    <w:qFormat/>
    <w:uiPriority w:val="0"/>
    <w:pPr>
      <w:spacing w:line="360" w:lineRule="auto"/>
      <w:ind w:firstLine="200" w:firstLineChars="200"/>
    </w:pPr>
    <w:rPr>
      <w:sz w:val="24"/>
      <w:szCs w:val="28"/>
    </w:rPr>
  </w:style>
  <w:style w:type="paragraph" w:customStyle="1" w:styleId="377">
    <w:name w:val="+列表1"/>
    <w:basedOn w:val="1"/>
    <w:autoRedefine/>
    <w:qFormat/>
    <w:uiPriority w:val="0"/>
    <w:pPr>
      <w:jc w:val="center"/>
    </w:pPr>
  </w:style>
  <w:style w:type="paragraph" w:customStyle="1" w:styleId="378">
    <w:name w:val="修订1_0"/>
    <w:autoRedefine/>
    <w:qFormat/>
    <w:uiPriority w:val="0"/>
    <w:rPr>
      <w:rFonts w:ascii="Times New Roman" w:hAnsi="Times New Roman" w:eastAsia="宋体" w:cs="Times New Roman"/>
      <w:kern w:val="2"/>
      <w:sz w:val="21"/>
      <w:szCs w:val="24"/>
      <w:lang w:val="en-US" w:eastAsia="zh-CN" w:bidi="ar-SA"/>
    </w:rPr>
  </w:style>
  <w:style w:type="paragraph" w:customStyle="1" w:styleId="379">
    <w:name w:val="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0">
    <w:name w:val="样式 日期 + 黑体 三号"/>
    <w:basedOn w:val="29"/>
    <w:autoRedefine/>
    <w:qFormat/>
    <w:uiPriority w:val="0"/>
    <w:pPr>
      <w:spacing w:line="600" w:lineRule="exact"/>
      <w:ind w:left="0" w:leftChars="0"/>
    </w:pPr>
    <w:rPr>
      <w:rFonts w:ascii="黑体" w:hAnsi="黑体" w:eastAsia="黑体"/>
      <w:kern w:val="2"/>
      <w:sz w:val="32"/>
    </w:rPr>
  </w:style>
  <w:style w:type="paragraph" w:customStyle="1" w:styleId="381">
    <w:name w:val="Char Char Char"/>
    <w:basedOn w:val="1"/>
    <w:autoRedefine/>
    <w:qFormat/>
    <w:uiPriority w:val="0"/>
    <w:pPr>
      <w:ind w:left="432" w:hanging="432"/>
    </w:pPr>
    <w:rPr>
      <w:sz w:val="24"/>
    </w:rPr>
  </w:style>
  <w:style w:type="paragraph" w:customStyle="1" w:styleId="382">
    <w:name w:val="样式4"/>
    <w:basedOn w:val="19"/>
    <w:autoRedefine/>
    <w:qFormat/>
    <w:uiPriority w:val="0"/>
    <w:pPr>
      <w:spacing w:after="0" w:line="500" w:lineRule="exact"/>
      <w:ind w:firstLine="480" w:firstLineChars="200"/>
    </w:pPr>
    <w:rPr>
      <w:kern w:val="2"/>
    </w:rPr>
  </w:style>
  <w:style w:type="paragraph" w:customStyle="1" w:styleId="383">
    <w:name w:val="样式7"/>
    <w:basedOn w:val="384"/>
    <w:autoRedefine/>
    <w:qFormat/>
    <w:uiPriority w:val="0"/>
  </w:style>
  <w:style w:type="paragraph" w:customStyle="1" w:styleId="384">
    <w:name w:val="表格内容"/>
    <w:basedOn w:val="1"/>
    <w:autoRedefine/>
    <w:qFormat/>
    <w:uiPriority w:val="0"/>
    <w:pPr>
      <w:widowControl/>
      <w:spacing w:line="260" w:lineRule="exact"/>
      <w:jc w:val="center"/>
    </w:pPr>
    <w:rPr>
      <w:kern w:val="0"/>
      <w:sz w:val="20"/>
      <w:szCs w:val="20"/>
    </w:rPr>
  </w:style>
  <w:style w:type="paragraph" w:customStyle="1" w:styleId="385">
    <w:name w:val="样式 段落编号 + (中文) 黑体 两端对齐 Char Char Char"/>
    <w:basedOn w:val="1"/>
    <w:autoRedefine/>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6">
    <w:name w:val="样式8"/>
    <w:basedOn w:val="4"/>
    <w:autoRedefine/>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87">
    <w:name w:val="样式 表格内容 + 居中"/>
    <w:basedOn w:val="384"/>
    <w:autoRedefine/>
    <w:qFormat/>
    <w:uiPriority w:val="0"/>
    <w:rPr>
      <w:rFonts w:cs="宋体"/>
    </w:rPr>
  </w:style>
  <w:style w:type="paragraph" w:customStyle="1" w:styleId="388">
    <w:name w:val="p19"/>
    <w:basedOn w:val="1"/>
    <w:autoRedefine/>
    <w:qFormat/>
    <w:uiPriority w:val="0"/>
    <w:pPr>
      <w:widowControl/>
    </w:pPr>
    <w:rPr>
      <w:rFonts w:ascii="宋体" w:hAnsi="宋体" w:cs="宋体"/>
      <w:kern w:val="0"/>
      <w:szCs w:val="21"/>
    </w:rPr>
  </w:style>
  <w:style w:type="paragraph" w:customStyle="1" w:styleId="389">
    <w:name w:val="样式 正文文本缩进 + 首行缩进:  2 字符"/>
    <w:basedOn w:val="21"/>
    <w:autoRedefine/>
    <w:qFormat/>
    <w:uiPriority w:val="0"/>
    <w:pPr>
      <w:tabs>
        <w:tab w:val="left" w:pos="9016"/>
      </w:tabs>
      <w:spacing w:line="500" w:lineRule="exact"/>
      <w:ind w:firstLine="480"/>
    </w:pPr>
    <w:rPr>
      <w:rFonts w:ascii="Times New Roman" w:eastAsia="宋体" w:cs="宋体"/>
    </w:rPr>
  </w:style>
  <w:style w:type="paragraph" w:customStyle="1" w:styleId="390">
    <w:name w:val="Char Char Char Char1 Char Char"/>
    <w:basedOn w:val="1"/>
    <w:autoRedefine/>
    <w:qFormat/>
    <w:uiPriority w:val="0"/>
  </w:style>
  <w:style w:type="paragraph" w:customStyle="1" w:styleId="391">
    <w:name w:val="抬头"/>
    <w:basedOn w:val="1"/>
    <w:autoRedefine/>
    <w:qFormat/>
    <w:uiPriority w:val="0"/>
    <w:pPr>
      <w:spacing w:line="360" w:lineRule="auto"/>
    </w:pPr>
    <w:rPr>
      <w:rFonts w:ascii="宋体"/>
      <w:szCs w:val="21"/>
    </w:rPr>
  </w:style>
  <w:style w:type="paragraph" w:customStyle="1" w:styleId="392">
    <w:name w:val="样式 样式5 + 首行缩进:  2 字符"/>
    <w:basedOn w:val="317"/>
    <w:autoRedefine/>
    <w:qFormat/>
    <w:uiPriority w:val="0"/>
    <w:pPr>
      <w:ind w:firstLine="200" w:firstLineChars="200"/>
      <w:jc w:val="both"/>
    </w:pPr>
    <w:rPr>
      <w:rFonts w:ascii="Times New Roman" w:eastAsia="宋体" w:cs="宋体"/>
      <w:sz w:val="24"/>
      <w:szCs w:val="24"/>
    </w:rPr>
  </w:style>
  <w:style w:type="paragraph" w:customStyle="1" w:styleId="393">
    <w:name w:val="样式 样式 样式5 + 首行缩进:  2 字符 + 首行缩进:  2 字符 段前: 0.8 行 段后: 0.6 行"/>
    <w:basedOn w:val="392"/>
    <w:autoRedefine/>
    <w:qFormat/>
    <w:uiPriority w:val="0"/>
    <w:pPr>
      <w:spacing w:beforeLines="0" w:afterLines="0"/>
      <w:ind w:firstLine="0" w:firstLineChars="0"/>
    </w:pPr>
    <w:rPr>
      <w:rFonts w:ascii="仿宋_GB2312" w:hAnsi="仿宋" w:eastAsia="仿宋_GB2312"/>
      <w:b w:val="0"/>
      <w:sz w:val="20"/>
      <w:szCs w:val="20"/>
    </w:rPr>
  </w:style>
  <w:style w:type="paragraph" w:customStyle="1" w:styleId="394">
    <w:name w:val="样式 样式 样式 第四行 + 左侧:  -4 字符 段前: 2 行 + 左侧:  -3 字符 段前: 2 行 + 左侧:  -2..."/>
    <w:basedOn w:val="329"/>
    <w:autoRedefine/>
    <w:qFormat/>
    <w:uiPriority w:val="0"/>
    <w:pPr>
      <w:ind w:left="0" w:leftChars="0"/>
    </w:pPr>
  </w:style>
  <w:style w:type="paragraph" w:customStyle="1" w:styleId="395">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96">
    <w:name w:val="reader-word-layer reader-word-s1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7">
    <w:name w:val="第一行"/>
    <w:basedOn w:val="1"/>
    <w:autoRedefine/>
    <w:qFormat/>
    <w:uiPriority w:val="0"/>
    <w:pPr>
      <w:spacing w:beforeLines="100" w:line="360" w:lineRule="auto"/>
      <w:jc w:val="center"/>
    </w:pPr>
    <w:rPr>
      <w:rFonts w:ascii="宋体"/>
      <w:b/>
      <w:bCs/>
      <w:sz w:val="32"/>
      <w:szCs w:val="32"/>
    </w:rPr>
  </w:style>
  <w:style w:type="paragraph" w:customStyle="1" w:styleId="398">
    <w:name w:val="默认段落字体 Para Char"/>
    <w:basedOn w:val="1"/>
    <w:autoRedefine/>
    <w:qFormat/>
    <w:uiPriority w:val="0"/>
    <w:pPr>
      <w:snapToGrid w:val="0"/>
      <w:spacing w:line="360" w:lineRule="auto"/>
      <w:ind w:firstLine="200" w:firstLineChars="200"/>
    </w:pPr>
    <w:rPr>
      <w:rFonts w:eastAsia="仿宋_GB2312"/>
      <w:sz w:val="24"/>
    </w:rPr>
  </w:style>
  <w:style w:type="paragraph" w:customStyle="1" w:styleId="399">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0">
    <w:name w:val="默认段落字体 Para Char Char Char Char"/>
    <w:basedOn w:val="1"/>
    <w:autoRedefine/>
    <w:qFormat/>
    <w:uiPriority w:val="0"/>
  </w:style>
  <w:style w:type="paragraph" w:customStyle="1" w:styleId="401">
    <w:name w:val="菲页1"/>
    <w:basedOn w:val="3"/>
    <w:autoRedefine/>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2">
    <w:name w:val="修订2"/>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403">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404">
    <w:name w:val="Char2"/>
    <w:basedOn w:val="1"/>
    <w:autoRedefine/>
    <w:qFormat/>
    <w:uiPriority w:val="0"/>
    <w:pPr>
      <w:ind w:left="432" w:hanging="432"/>
    </w:pPr>
    <w:rPr>
      <w:sz w:val="24"/>
    </w:rPr>
  </w:style>
  <w:style w:type="paragraph" w:customStyle="1" w:styleId="405">
    <w:name w:val="p18"/>
    <w:basedOn w:val="1"/>
    <w:autoRedefine/>
    <w:qFormat/>
    <w:uiPriority w:val="0"/>
    <w:pPr>
      <w:widowControl/>
      <w:snapToGrid w:val="0"/>
      <w:spacing w:before="100" w:after="100"/>
      <w:ind w:left="360" w:right="360"/>
      <w:jc w:val="left"/>
    </w:pPr>
    <w:rPr>
      <w:kern w:val="0"/>
      <w:sz w:val="24"/>
    </w:rPr>
  </w:style>
  <w:style w:type="paragraph" w:customStyle="1" w:styleId="406">
    <w:name w:val="正文缩进1"/>
    <w:basedOn w:val="1"/>
    <w:autoRedefine/>
    <w:qFormat/>
    <w:uiPriority w:val="0"/>
    <w:pPr>
      <w:adjustRightInd w:val="0"/>
      <w:spacing w:line="360" w:lineRule="atLeast"/>
      <w:ind w:firstLine="482"/>
      <w:textAlignment w:val="baseline"/>
    </w:pPr>
    <w:rPr>
      <w:kern w:val="0"/>
      <w:sz w:val="24"/>
    </w:rPr>
  </w:style>
  <w:style w:type="paragraph" w:customStyle="1" w:styleId="407">
    <w:name w:val="Char Char Char Char 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408">
    <w:name w:val="opening2"/>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09">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410">
    <w:name w:val="样式5"/>
    <w:basedOn w:val="382"/>
    <w:autoRedefine/>
    <w:qFormat/>
    <w:uiPriority w:val="0"/>
    <w:pPr>
      <w:spacing w:beforeLines="80" w:afterLines="60"/>
      <w:ind w:firstLine="0" w:firstLineChars="0"/>
      <w:jc w:val="center"/>
    </w:pPr>
    <w:rPr>
      <w:rFonts w:ascii="黑体" w:eastAsia="黑体"/>
      <w:sz w:val="32"/>
      <w:szCs w:val="32"/>
    </w:rPr>
  </w:style>
  <w:style w:type="paragraph" w:customStyle="1" w:styleId="411">
    <w:name w:val="样式6"/>
    <w:basedOn w:val="384"/>
    <w:autoRedefine/>
    <w:qFormat/>
    <w:uiPriority w:val="0"/>
  </w:style>
  <w:style w:type="paragraph" w:customStyle="1" w:styleId="412">
    <w:name w:val="第二行"/>
    <w:basedOn w:val="1"/>
    <w:autoRedefine/>
    <w:qFormat/>
    <w:uiPriority w:val="0"/>
    <w:pPr>
      <w:spacing w:beforeLines="100" w:line="360" w:lineRule="auto"/>
      <w:jc w:val="center"/>
    </w:pPr>
    <w:rPr>
      <w:rFonts w:ascii="宋体"/>
      <w:b/>
      <w:bCs/>
      <w:sz w:val="36"/>
      <w:szCs w:val="36"/>
    </w:rPr>
  </w:style>
  <w:style w:type="paragraph" w:customStyle="1" w:styleId="413">
    <w:name w:val="+标题2"/>
    <w:basedOn w:val="3"/>
    <w:autoRedefine/>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4">
    <w:name w:val="样式 标题 3 + (中文) 黑体 小四 非加粗 段前: 7.8 磅 段后: 0 磅 行距: 固定值 20 磅 Char Char"/>
    <w:link w:val="211"/>
    <w:autoRedefine/>
    <w:qFormat/>
    <w:uiPriority w:val="0"/>
    <w:rPr>
      <w:rFonts w:eastAsia="黑体" w:cs="宋体"/>
      <w:kern w:val="2"/>
      <w:sz w:val="24"/>
    </w:rPr>
  </w:style>
  <w:style w:type="paragraph" w:customStyle="1" w:styleId="415">
    <w:name w:val="Char Char Char1 Char7"/>
    <w:basedOn w:val="1"/>
    <w:autoRedefine/>
    <w:qFormat/>
    <w:uiPriority w:val="99"/>
    <w:pPr>
      <w:spacing w:line="360" w:lineRule="auto"/>
      <w:ind w:firstLine="200" w:firstLineChars="200"/>
    </w:pPr>
    <w:rPr>
      <w:rFonts w:ascii="宋体" w:hAnsi="宋体"/>
      <w:sz w:val="24"/>
      <w:szCs w:val="20"/>
    </w:rPr>
  </w:style>
  <w:style w:type="paragraph" w:customStyle="1" w:styleId="416">
    <w:name w:val="Char Char1 Char Char"/>
    <w:basedOn w:val="1"/>
    <w:autoRedefine/>
    <w:qFormat/>
    <w:uiPriority w:val="0"/>
    <w:pPr>
      <w:tabs>
        <w:tab w:val="left" w:pos="360"/>
      </w:tabs>
    </w:pPr>
    <w:rPr>
      <w:kern w:val="0"/>
      <w:sz w:val="24"/>
    </w:rPr>
  </w:style>
  <w:style w:type="paragraph" w:customStyle="1" w:styleId="417">
    <w:name w:val="CM57"/>
    <w:basedOn w:val="133"/>
    <w:next w:val="133"/>
    <w:autoRedefine/>
    <w:qFormat/>
    <w:uiPriority w:val="0"/>
    <w:rPr>
      <w:rFonts w:ascii="Times New Roman" w:hAnsi="Times New Roman" w:eastAsia="宋体" w:cs="Times New Roman"/>
      <w:color w:val="auto"/>
    </w:rPr>
  </w:style>
  <w:style w:type="paragraph" w:customStyle="1" w:styleId="418">
    <w:name w:val="CM2"/>
    <w:basedOn w:val="133"/>
    <w:next w:val="133"/>
    <w:autoRedefine/>
    <w:qFormat/>
    <w:uiPriority w:val="0"/>
    <w:pPr>
      <w:spacing w:line="188" w:lineRule="atLeast"/>
    </w:pPr>
    <w:rPr>
      <w:rFonts w:ascii="Times New Roman" w:hAnsi="Times New Roman" w:eastAsia="宋体" w:cs="Times New Roman"/>
      <w:color w:val="auto"/>
    </w:rPr>
  </w:style>
  <w:style w:type="paragraph" w:customStyle="1" w:styleId="419">
    <w:name w:val="CM3"/>
    <w:basedOn w:val="133"/>
    <w:next w:val="133"/>
    <w:autoRedefine/>
    <w:qFormat/>
    <w:uiPriority w:val="0"/>
    <w:rPr>
      <w:rFonts w:ascii="Times New Roman" w:hAnsi="Times New Roman" w:eastAsia="宋体" w:cs="Times New Roman"/>
      <w:color w:val="auto"/>
    </w:rPr>
  </w:style>
  <w:style w:type="character" w:customStyle="1" w:styleId="420">
    <w:name w:val="明显引用 Char Char"/>
    <w:autoRedefine/>
    <w:qFormat/>
    <w:locked/>
    <w:uiPriority w:val="0"/>
    <w:rPr>
      <w:b/>
      <w:bCs/>
      <w:i/>
      <w:iCs/>
      <w:color w:val="4F81BD"/>
      <w:kern w:val="2"/>
      <w:sz w:val="21"/>
      <w:szCs w:val="22"/>
    </w:rPr>
  </w:style>
  <w:style w:type="paragraph" w:customStyle="1" w:styleId="421">
    <w:name w:val="Char Char Char1 Char2"/>
    <w:basedOn w:val="1"/>
    <w:autoRedefine/>
    <w:qFormat/>
    <w:uiPriority w:val="99"/>
    <w:pPr>
      <w:spacing w:line="360" w:lineRule="auto"/>
      <w:ind w:firstLine="200" w:firstLineChars="200"/>
    </w:pPr>
    <w:rPr>
      <w:rFonts w:ascii="宋体" w:hAnsi="宋体"/>
      <w:sz w:val="24"/>
      <w:szCs w:val="20"/>
    </w:rPr>
  </w:style>
  <w:style w:type="paragraph" w:customStyle="1" w:styleId="422">
    <w:name w:val="Char Char Char Char Char Char Char Char Char Char Char Char Char Char Char Char"/>
    <w:basedOn w:val="1"/>
    <w:autoRedefine/>
    <w:qFormat/>
    <w:uiPriority w:val="0"/>
    <w:pPr>
      <w:tabs>
        <w:tab w:val="left" w:pos="360"/>
      </w:tabs>
    </w:pPr>
    <w:rPr>
      <w:sz w:val="24"/>
    </w:rPr>
  </w:style>
  <w:style w:type="paragraph" w:customStyle="1" w:styleId="423">
    <w:name w:val="CM56"/>
    <w:basedOn w:val="133"/>
    <w:next w:val="133"/>
    <w:qFormat/>
    <w:uiPriority w:val="0"/>
    <w:rPr>
      <w:rFonts w:ascii="Times New Roman" w:hAnsi="Times New Roman" w:eastAsia="宋体" w:cs="Times New Roman"/>
      <w:color w:val="auto"/>
    </w:rPr>
  </w:style>
  <w:style w:type="paragraph" w:customStyle="1" w:styleId="424">
    <w:name w:val="Char Char Char1 Char6"/>
    <w:basedOn w:val="1"/>
    <w:autoRedefine/>
    <w:qFormat/>
    <w:uiPriority w:val="99"/>
    <w:pPr>
      <w:spacing w:line="360" w:lineRule="auto"/>
      <w:ind w:firstLine="200" w:firstLineChars="200"/>
    </w:pPr>
    <w:rPr>
      <w:rFonts w:ascii="宋体" w:hAnsi="宋体"/>
      <w:sz w:val="24"/>
      <w:szCs w:val="20"/>
    </w:rPr>
  </w:style>
  <w:style w:type="paragraph" w:customStyle="1" w:styleId="425">
    <w:name w:val="Char Char Char1 Char"/>
    <w:basedOn w:val="1"/>
    <w:autoRedefine/>
    <w:semiHidden/>
    <w:qFormat/>
    <w:uiPriority w:val="99"/>
    <w:pPr>
      <w:spacing w:line="360" w:lineRule="auto"/>
      <w:ind w:firstLine="200" w:firstLineChars="200"/>
    </w:pPr>
    <w:rPr>
      <w:rFonts w:ascii="宋体" w:hAnsi="宋体" w:cs="宋体"/>
      <w:sz w:val="24"/>
      <w:szCs w:val="20"/>
    </w:rPr>
  </w:style>
  <w:style w:type="character" w:customStyle="1" w:styleId="426">
    <w:name w:val="引用 Char Char"/>
    <w:link w:val="362"/>
    <w:autoRedefine/>
    <w:qFormat/>
    <w:locked/>
    <w:uiPriority w:val="0"/>
    <w:rPr>
      <w:i/>
      <w:color w:val="000000"/>
      <w:sz w:val="22"/>
    </w:rPr>
  </w:style>
  <w:style w:type="paragraph" w:customStyle="1" w:styleId="427">
    <w:name w:val="Char Char Char1 Char4"/>
    <w:basedOn w:val="1"/>
    <w:autoRedefine/>
    <w:qFormat/>
    <w:uiPriority w:val="99"/>
    <w:pPr>
      <w:spacing w:line="360" w:lineRule="auto"/>
      <w:ind w:firstLine="200" w:firstLineChars="200"/>
    </w:pPr>
    <w:rPr>
      <w:rFonts w:ascii="宋体" w:hAnsi="宋体"/>
      <w:sz w:val="24"/>
      <w:szCs w:val="20"/>
    </w:rPr>
  </w:style>
  <w:style w:type="paragraph" w:customStyle="1" w:styleId="428">
    <w:name w:val="Char1 Char Char Char Char Char Char"/>
    <w:basedOn w:val="1"/>
    <w:autoRedefine/>
    <w:qFormat/>
    <w:uiPriority w:val="0"/>
  </w:style>
  <w:style w:type="paragraph" w:customStyle="1" w:styleId="429">
    <w:name w:val="表格"/>
    <w:basedOn w:val="1"/>
    <w:qFormat/>
    <w:uiPriority w:val="0"/>
    <w:pPr>
      <w:spacing w:line="460" w:lineRule="exact"/>
      <w:jc w:val="left"/>
    </w:pPr>
    <w:rPr>
      <w:rFonts w:ascii="宋体"/>
      <w:szCs w:val="20"/>
    </w:rPr>
  </w:style>
  <w:style w:type="paragraph" w:customStyle="1" w:styleId="430">
    <w:name w:val="4小节标题"/>
    <w:basedOn w:val="1"/>
    <w:autoRedefine/>
    <w:qFormat/>
    <w:uiPriority w:val="0"/>
    <w:pPr>
      <w:numPr>
        <w:ilvl w:val="0"/>
        <w:numId w:val="2"/>
      </w:numPr>
      <w:spacing w:beforeLines="100" w:afterLines="100" w:line="360" w:lineRule="auto"/>
      <w:jc w:val="center"/>
      <w:outlineLvl w:val="3"/>
    </w:pPr>
    <w:rPr>
      <w:rFonts w:eastAsia="黑体"/>
      <w:sz w:val="32"/>
    </w:rPr>
  </w:style>
  <w:style w:type="paragraph" w:customStyle="1" w:styleId="431">
    <w:name w:val="CM37"/>
    <w:basedOn w:val="133"/>
    <w:next w:val="133"/>
    <w:autoRedefine/>
    <w:qFormat/>
    <w:uiPriority w:val="0"/>
    <w:rPr>
      <w:rFonts w:ascii="Times New Roman" w:hAnsi="Times New Roman" w:eastAsia="宋体" w:cs="Times New Roman"/>
      <w:color w:val="auto"/>
    </w:rPr>
  </w:style>
  <w:style w:type="paragraph" w:customStyle="1" w:styleId="432">
    <w:name w:val="Char Char Char1 Char5"/>
    <w:basedOn w:val="1"/>
    <w:autoRedefine/>
    <w:qFormat/>
    <w:uiPriority w:val="99"/>
    <w:pPr>
      <w:spacing w:line="360" w:lineRule="auto"/>
      <w:ind w:firstLine="200" w:firstLineChars="200"/>
    </w:pPr>
    <w:rPr>
      <w:rFonts w:ascii="宋体" w:hAnsi="宋体"/>
      <w:sz w:val="24"/>
      <w:szCs w:val="20"/>
    </w:rPr>
  </w:style>
  <w:style w:type="paragraph" w:customStyle="1" w:styleId="433">
    <w:name w:val="样式 标题 4 + 段前: 0.5 行"/>
    <w:basedOn w:val="5"/>
    <w:autoRedefine/>
    <w:qFormat/>
    <w:uiPriority w:val="0"/>
    <w:pPr>
      <w:spacing w:beforeLines="50" w:after="0" w:line="360" w:lineRule="auto"/>
    </w:pPr>
    <w:rPr>
      <w:rFonts w:eastAsia="宋体" w:cs="宋体"/>
      <w:bCs w:val="0"/>
      <w:sz w:val="23"/>
      <w:szCs w:val="20"/>
    </w:rPr>
  </w:style>
  <w:style w:type="paragraph" w:customStyle="1" w:styleId="434">
    <w:name w:val="Char Char Char1 Char3"/>
    <w:basedOn w:val="1"/>
    <w:autoRedefine/>
    <w:qFormat/>
    <w:uiPriority w:val="99"/>
    <w:pPr>
      <w:spacing w:line="360" w:lineRule="auto"/>
      <w:ind w:firstLine="200" w:firstLineChars="200"/>
    </w:pPr>
    <w:rPr>
      <w:rFonts w:ascii="宋体" w:hAnsi="宋体"/>
      <w:sz w:val="24"/>
      <w:szCs w:val="20"/>
    </w:rPr>
  </w:style>
  <w:style w:type="paragraph" w:customStyle="1" w:styleId="435">
    <w:name w:val="Char Char Char1 Char8"/>
    <w:basedOn w:val="1"/>
    <w:autoRedefine/>
    <w:qFormat/>
    <w:uiPriority w:val="99"/>
    <w:pPr>
      <w:spacing w:line="360" w:lineRule="auto"/>
      <w:ind w:firstLine="200" w:firstLineChars="200"/>
    </w:pPr>
    <w:rPr>
      <w:rFonts w:ascii="宋体" w:hAnsi="宋体"/>
      <w:sz w:val="24"/>
      <w:szCs w:val="20"/>
    </w:rPr>
  </w:style>
  <w:style w:type="character" w:customStyle="1" w:styleId="436">
    <w:name w:val="样式 标题 2 + 五号 非加粗 Char Char"/>
    <w:link w:val="437"/>
    <w:autoRedefine/>
    <w:qFormat/>
    <w:locked/>
    <w:uiPriority w:val="0"/>
    <w:rPr>
      <w:rFonts w:ascii="Arial" w:hAnsi="Arial" w:cs="Arial"/>
      <w:b/>
      <w:kern w:val="2"/>
      <w:sz w:val="24"/>
    </w:rPr>
  </w:style>
  <w:style w:type="paragraph" w:customStyle="1" w:styleId="437">
    <w:name w:val="样式 标题 2 + 五号 非加粗"/>
    <w:basedOn w:val="3"/>
    <w:link w:val="436"/>
    <w:autoRedefine/>
    <w:qFormat/>
    <w:uiPriority w:val="0"/>
    <w:pPr>
      <w:keepNext w:val="0"/>
      <w:keepLines w:val="0"/>
      <w:spacing w:line="440" w:lineRule="exact"/>
    </w:pPr>
    <w:rPr>
      <w:rFonts w:cs="Arial"/>
      <w:bCs w:val="0"/>
      <w:kern w:val="2"/>
      <w:sz w:val="24"/>
      <w:szCs w:val="20"/>
    </w:rPr>
  </w:style>
  <w:style w:type="paragraph" w:customStyle="1" w:styleId="438">
    <w:name w:val="CM5"/>
    <w:basedOn w:val="133"/>
    <w:next w:val="133"/>
    <w:autoRedefine/>
    <w:qFormat/>
    <w:uiPriority w:val="0"/>
    <w:pPr>
      <w:spacing w:line="180" w:lineRule="atLeast"/>
    </w:pPr>
    <w:rPr>
      <w:rFonts w:ascii="Times New Roman" w:hAnsi="Times New Roman" w:eastAsia="宋体" w:cs="Times New Roman"/>
      <w:color w:val="auto"/>
    </w:rPr>
  </w:style>
  <w:style w:type="paragraph" w:customStyle="1" w:styleId="439">
    <w:name w:val="CM60"/>
    <w:basedOn w:val="133"/>
    <w:next w:val="133"/>
    <w:autoRedefine/>
    <w:qFormat/>
    <w:uiPriority w:val="0"/>
    <w:rPr>
      <w:rFonts w:ascii="Times New Roman" w:hAnsi="Times New Roman" w:eastAsia="宋体" w:cs="Times New Roman"/>
      <w:color w:val="auto"/>
    </w:rPr>
  </w:style>
  <w:style w:type="paragraph" w:customStyle="1" w:styleId="440">
    <w:name w:val="CM7"/>
    <w:basedOn w:val="133"/>
    <w:next w:val="133"/>
    <w:autoRedefine/>
    <w:qFormat/>
    <w:uiPriority w:val="0"/>
    <w:pPr>
      <w:spacing w:line="191" w:lineRule="atLeast"/>
    </w:pPr>
    <w:rPr>
      <w:rFonts w:ascii="Times New Roman" w:hAnsi="Times New Roman" w:eastAsia="宋体" w:cs="Times New Roman"/>
      <w:color w:val="auto"/>
    </w:rPr>
  </w:style>
  <w:style w:type="paragraph" w:customStyle="1" w:styleId="441">
    <w:name w:val="Char Char Char1 Char1"/>
    <w:basedOn w:val="1"/>
    <w:autoRedefine/>
    <w:qFormat/>
    <w:uiPriority w:val="99"/>
    <w:pPr>
      <w:spacing w:line="360" w:lineRule="auto"/>
      <w:ind w:firstLine="200" w:firstLineChars="200"/>
    </w:pPr>
    <w:rPr>
      <w:rFonts w:ascii="宋体" w:hAnsi="宋体"/>
      <w:sz w:val="24"/>
      <w:szCs w:val="20"/>
    </w:rPr>
  </w:style>
  <w:style w:type="paragraph" w:customStyle="1" w:styleId="442">
    <w:name w:val="_Style 49"/>
    <w:basedOn w:val="1"/>
    <w:next w:val="27"/>
    <w:autoRedefine/>
    <w:qFormat/>
    <w:uiPriority w:val="99"/>
    <w:rPr>
      <w:rFonts w:ascii="宋体" w:hAnsi="Courier New"/>
      <w:sz w:val="24"/>
      <w:szCs w:val="20"/>
    </w:rPr>
  </w:style>
  <w:style w:type="paragraph" w:customStyle="1" w:styleId="443">
    <w:name w:val="样式 标题 2 + 居中"/>
    <w:basedOn w:val="3"/>
    <w:qFormat/>
    <w:uiPriority w:val="0"/>
    <w:pPr>
      <w:keepNext w:val="0"/>
      <w:keepLines w:val="0"/>
    </w:pPr>
    <w:rPr>
      <w:rFonts w:eastAsia="黑体" w:cs="宋体"/>
      <w:b w:val="0"/>
      <w:bCs w:val="0"/>
      <w:szCs w:val="20"/>
    </w:rPr>
  </w:style>
  <w:style w:type="character" w:customStyle="1" w:styleId="444">
    <w:name w:val="Heading 4 Char"/>
    <w:autoRedefine/>
    <w:qFormat/>
    <w:locked/>
    <w:uiPriority w:val="0"/>
    <w:rPr>
      <w:rFonts w:hint="default" w:ascii="Arial" w:hAnsi="Arial" w:eastAsia="宋体" w:cs="Arial"/>
      <w:b/>
      <w:kern w:val="2"/>
      <w:sz w:val="28"/>
      <w:lang w:val="en-US" w:eastAsia="zh-CN"/>
    </w:rPr>
  </w:style>
  <w:style w:type="character" w:customStyle="1" w:styleId="445">
    <w:name w:val="Title Char"/>
    <w:autoRedefine/>
    <w:qFormat/>
    <w:locked/>
    <w:uiPriority w:val="0"/>
    <w:rPr>
      <w:rFonts w:hint="default" w:ascii="Cambria" w:hAnsi="Cambria"/>
      <w:b/>
      <w:kern w:val="2"/>
      <w:sz w:val="32"/>
    </w:rPr>
  </w:style>
  <w:style w:type="character" w:customStyle="1" w:styleId="446">
    <w:name w:val="Char Char18"/>
    <w:autoRedefine/>
    <w:qFormat/>
    <w:uiPriority w:val="0"/>
    <w:rPr>
      <w:rFonts w:hint="default" w:ascii="Calibri" w:hAnsi="Calibri" w:eastAsia="宋体"/>
      <w:b/>
      <w:bCs/>
      <w:kern w:val="44"/>
      <w:sz w:val="44"/>
      <w:szCs w:val="44"/>
      <w:lang w:val="en-US" w:eastAsia="zh-CN" w:bidi="ar-SA"/>
    </w:rPr>
  </w:style>
  <w:style w:type="character" w:customStyle="1" w:styleId="447">
    <w:name w:val="三级目录"/>
    <w:autoRedefine/>
    <w:qFormat/>
    <w:uiPriority w:val="0"/>
    <w:rPr>
      <w:rFonts w:hint="eastAsia" w:ascii="宋体" w:hAnsi="宋体" w:eastAsia="宋体"/>
      <w:b/>
      <w:bCs/>
      <w:sz w:val="23"/>
    </w:rPr>
  </w:style>
  <w:style w:type="character" w:customStyle="1" w:styleId="448">
    <w:name w:val="Heading 1 Char"/>
    <w:autoRedefine/>
    <w:qFormat/>
    <w:locked/>
    <w:uiPriority w:val="0"/>
    <w:rPr>
      <w:rFonts w:hint="eastAsia" w:ascii="宋体" w:hAnsi="宋体" w:eastAsia="宋体"/>
      <w:b/>
      <w:kern w:val="44"/>
      <w:sz w:val="44"/>
      <w:lang w:val="en-US" w:eastAsia="zh-CN"/>
    </w:rPr>
  </w:style>
  <w:style w:type="character" w:customStyle="1" w:styleId="449">
    <w:name w:val="Heading 6 Char"/>
    <w:autoRedefine/>
    <w:qFormat/>
    <w:locked/>
    <w:uiPriority w:val="0"/>
    <w:rPr>
      <w:rFonts w:hint="default" w:ascii="Cambria" w:hAnsi="Cambria" w:eastAsia="宋体"/>
      <w:b/>
      <w:kern w:val="2"/>
      <w:sz w:val="24"/>
      <w:lang w:val="en-US" w:eastAsia="zh-CN"/>
    </w:rPr>
  </w:style>
  <w:style w:type="character" w:customStyle="1" w:styleId="450">
    <w:name w:val="Char Char17"/>
    <w:autoRedefine/>
    <w:qFormat/>
    <w:uiPriority w:val="0"/>
    <w:rPr>
      <w:rFonts w:hint="default" w:ascii="Cambria" w:hAnsi="Cambria" w:eastAsia="宋体"/>
      <w:b/>
      <w:bCs/>
      <w:kern w:val="2"/>
      <w:sz w:val="32"/>
      <w:szCs w:val="32"/>
      <w:lang w:val="en-US" w:eastAsia="zh-CN" w:bidi="ar-SA"/>
    </w:rPr>
  </w:style>
  <w:style w:type="character" w:customStyle="1" w:styleId="451">
    <w:name w:val="Heading 2 Char"/>
    <w:autoRedefine/>
    <w:qFormat/>
    <w:locked/>
    <w:uiPriority w:val="0"/>
    <w:rPr>
      <w:rFonts w:hint="default" w:ascii="Arial" w:hAnsi="Arial" w:eastAsia="黑体" w:cs="Arial"/>
      <w:b/>
      <w:kern w:val="2"/>
      <w:sz w:val="32"/>
      <w:lang w:val="en-US" w:eastAsia="zh-CN"/>
    </w:rPr>
  </w:style>
  <w:style w:type="character" w:customStyle="1" w:styleId="452">
    <w:name w:val="Char Char1"/>
    <w:autoRedefine/>
    <w:qFormat/>
    <w:uiPriority w:val="0"/>
    <w:rPr>
      <w:rFonts w:hint="default" w:ascii="Courier New" w:hAnsi="Courier New" w:eastAsia="宋体" w:cs="Courier New"/>
      <w:kern w:val="2"/>
      <w:sz w:val="21"/>
      <w:lang w:val="en-US" w:eastAsia="zh-CN" w:bidi="ar-SA"/>
    </w:rPr>
  </w:style>
  <w:style w:type="character" w:customStyle="1" w:styleId="453">
    <w:name w:val="Document Map Char"/>
    <w:autoRedefine/>
    <w:qFormat/>
    <w:locked/>
    <w:uiPriority w:val="0"/>
    <w:rPr>
      <w:rFonts w:hint="eastAsia" w:ascii="宋体" w:hAnsi="宋体" w:eastAsia="宋体"/>
      <w:kern w:val="2"/>
      <w:sz w:val="24"/>
      <w:lang w:val="en-US" w:eastAsia="zh-CN"/>
    </w:rPr>
  </w:style>
  <w:style w:type="character" w:customStyle="1" w:styleId="454">
    <w:name w:val="Heading 9 Char"/>
    <w:autoRedefine/>
    <w:qFormat/>
    <w:locked/>
    <w:uiPriority w:val="0"/>
    <w:rPr>
      <w:rFonts w:hint="default" w:ascii="Cambria" w:hAnsi="Cambria" w:eastAsia="宋体"/>
      <w:kern w:val="2"/>
      <w:sz w:val="21"/>
      <w:lang w:val="en-US" w:eastAsia="zh-CN"/>
    </w:rPr>
  </w:style>
  <w:style w:type="character" w:customStyle="1" w:styleId="455">
    <w:name w:val="Body Text Char"/>
    <w:autoRedefine/>
    <w:qFormat/>
    <w:locked/>
    <w:uiPriority w:val="0"/>
    <w:rPr>
      <w:rFonts w:hint="eastAsia" w:ascii="宋体" w:hAnsi="宋体" w:eastAsia="宋体"/>
      <w:b/>
      <w:color w:val="0000FF"/>
      <w:kern w:val="2"/>
      <w:sz w:val="24"/>
      <w:lang w:val="en-US" w:eastAsia="zh-CN"/>
    </w:rPr>
  </w:style>
  <w:style w:type="character" w:customStyle="1" w:styleId="456">
    <w:name w:val="标题 1 Char1"/>
    <w:autoRedefine/>
    <w:qFormat/>
    <w:locked/>
    <w:uiPriority w:val="0"/>
    <w:rPr>
      <w:rFonts w:ascii="宋体" w:hAnsi="宋体" w:eastAsia="黑体" w:cs="宋体"/>
      <w:kern w:val="44"/>
      <w:sz w:val="30"/>
    </w:rPr>
  </w:style>
  <w:style w:type="character" w:customStyle="1" w:styleId="457">
    <w:name w:val="Subtitle Char"/>
    <w:qFormat/>
    <w:locked/>
    <w:uiPriority w:val="0"/>
    <w:rPr>
      <w:rFonts w:hint="default" w:ascii="Cambria" w:hAnsi="Cambria"/>
      <w:b/>
      <w:kern w:val="28"/>
      <w:sz w:val="32"/>
    </w:rPr>
  </w:style>
  <w:style w:type="character" w:customStyle="1" w:styleId="458">
    <w:name w:val="ca-2"/>
    <w:autoRedefine/>
    <w:qFormat/>
    <w:uiPriority w:val="0"/>
    <w:rPr>
      <w:rFonts w:hint="eastAsia" w:ascii="宋体" w:hAnsi="宋体" w:eastAsia="宋体"/>
      <w:sz w:val="24"/>
    </w:rPr>
  </w:style>
  <w:style w:type="character" w:customStyle="1" w:styleId="459">
    <w:name w:val="Char Char9"/>
    <w:autoRedefine/>
    <w:qFormat/>
    <w:uiPriority w:val="0"/>
    <w:rPr>
      <w:kern w:val="2"/>
      <w:sz w:val="21"/>
      <w:szCs w:val="22"/>
      <w:lang w:bidi="ar-SA"/>
    </w:rPr>
  </w:style>
  <w:style w:type="character" w:customStyle="1" w:styleId="460">
    <w:name w:val="Heading 8 Char"/>
    <w:autoRedefine/>
    <w:qFormat/>
    <w:locked/>
    <w:uiPriority w:val="0"/>
    <w:rPr>
      <w:rFonts w:hint="default" w:ascii="Cambria" w:hAnsi="Cambria" w:eastAsia="宋体"/>
      <w:kern w:val="2"/>
      <w:sz w:val="24"/>
      <w:lang w:val="en-US" w:eastAsia="zh-CN"/>
    </w:rPr>
  </w:style>
  <w:style w:type="character" w:customStyle="1" w:styleId="461">
    <w:name w:val="Plain Text Char"/>
    <w:autoRedefine/>
    <w:qFormat/>
    <w:locked/>
    <w:uiPriority w:val="0"/>
    <w:rPr>
      <w:rFonts w:hint="eastAsia" w:ascii="宋体" w:hAnsi="Courier New" w:eastAsia="宋体"/>
      <w:kern w:val="2"/>
      <w:sz w:val="24"/>
      <w:lang w:val="en-US" w:eastAsia="zh-CN"/>
    </w:rPr>
  </w:style>
  <w:style w:type="character" w:customStyle="1" w:styleId="462">
    <w:name w:val="Heading 5 Char"/>
    <w:autoRedefine/>
    <w:qFormat/>
    <w:locked/>
    <w:uiPriority w:val="0"/>
    <w:rPr>
      <w:rFonts w:hint="default" w:ascii="Calibri" w:hAnsi="Calibri" w:eastAsia="宋体"/>
      <w:b/>
      <w:kern w:val="2"/>
      <w:sz w:val="28"/>
      <w:lang w:val="en-US" w:eastAsia="zh-CN"/>
    </w:rPr>
  </w:style>
  <w:style w:type="character" w:customStyle="1" w:styleId="463">
    <w:name w:val="Heading 7 Char"/>
    <w:autoRedefine/>
    <w:qFormat/>
    <w:locked/>
    <w:uiPriority w:val="0"/>
    <w:rPr>
      <w:rFonts w:hint="default" w:ascii="Calibri" w:hAnsi="Calibri" w:eastAsia="宋体"/>
      <w:b/>
      <w:kern w:val="2"/>
      <w:sz w:val="24"/>
      <w:lang w:val="en-US" w:eastAsia="zh-CN"/>
    </w:rPr>
  </w:style>
  <w:style w:type="character" w:customStyle="1" w:styleId="464">
    <w:name w:val="正文文本缩进 Char1"/>
    <w:basedOn w:val="53"/>
    <w:autoRedefine/>
    <w:semiHidden/>
    <w:qFormat/>
    <w:locked/>
    <w:uiPriority w:val="99"/>
    <w:rPr>
      <w:kern w:val="2"/>
      <w:sz w:val="21"/>
    </w:rPr>
  </w:style>
  <w:style w:type="character" w:customStyle="1" w:styleId="465">
    <w:name w:val="文档结构图 Char2"/>
    <w:basedOn w:val="53"/>
    <w:autoRedefine/>
    <w:semiHidden/>
    <w:qFormat/>
    <w:locked/>
    <w:uiPriority w:val="0"/>
    <w:rPr>
      <w:kern w:val="2"/>
      <w:sz w:val="21"/>
      <w:shd w:val="clear" w:color="auto" w:fill="000080"/>
    </w:rPr>
  </w:style>
  <w:style w:type="paragraph" w:customStyle="1" w:styleId="466">
    <w:name w:val="样式 标题 2标题 2 Char +"/>
    <w:basedOn w:val="1"/>
    <w:autoRedefine/>
    <w:qFormat/>
    <w:uiPriority w:val="0"/>
    <w:pPr>
      <w:numPr>
        <w:ilvl w:val="1"/>
        <w:numId w:val="3"/>
      </w:numPr>
      <w:ind w:left="709" w:firstLine="0"/>
    </w:pPr>
  </w:style>
  <w:style w:type="paragraph" w:customStyle="1" w:styleId="467">
    <w:name w:val="2正文"/>
    <w:basedOn w:val="1"/>
    <w:autoRedefine/>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68">
    <w:name w:val="列出段落 Char"/>
    <w:link w:val="369"/>
    <w:autoRedefine/>
    <w:qFormat/>
    <w:uiPriority w:val="0"/>
    <w:rPr>
      <w:rFonts w:ascii="Calibri" w:hAnsi="Calibri" w:cs="Calibri"/>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759431-A43D-40E3-8760-43B51D2979A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106</Pages>
  <Words>4346</Words>
  <Characters>5339</Characters>
  <Lines>427</Lines>
  <Paragraphs>120</Paragraphs>
  <TotalTime>12</TotalTime>
  <ScaleCrop>false</ScaleCrop>
  <LinksUpToDate>false</LinksUpToDate>
  <CharactersWithSpaces>5442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彼日花未名</cp:lastModifiedBy>
  <cp:lastPrinted>2026-03-02T07:04:00Z</cp:lastPrinted>
  <dcterms:modified xsi:type="dcterms:W3CDTF">2026-08-26T03:29:17Z</dcterms:modified>
  <dc:title>谈判文件</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7FFC6C50609C4D539AA58EA3BB122777_13</vt:lpwstr>
  </property>
  <property fmtid="{D5CDD505-2E9C-101B-9397-08002B2CF9AE}" pid="4" name="KSOTemplateDocerSaveRecord">
    <vt:lpwstr>eyJoZGlkIjoiMzljNWMwMDZkMTYwMWJkMWYxYmNmMDliY2IxZDMzZTkiLCJ1c2VySWQiOiI2OTM0NjA4MjEifQ==</vt:lpwstr>
  </property>
</Properties>
</file>