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E947E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outlineLvl w:val="0"/>
        <w:rPr>
          <w:rFonts w:hint="eastAsia" w:asciiTheme="minorEastAsia" w:hAnsiTheme="minorEastAsia" w:eastAsiaTheme="minorEastAsia" w:cstheme="minorEastAsia"/>
          <w:b/>
          <w:color w:val="auto"/>
          <w:sz w:val="56"/>
          <w:szCs w:val="56"/>
          <w:highlight w:val="none"/>
          <w:lang w:eastAsia="zh-CN"/>
        </w:rPr>
      </w:pPr>
    </w:p>
    <w:p w14:paraId="2569509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outlineLvl w:val="0"/>
        <w:rPr>
          <w:rFonts w:hint="eastAsia" w:asciiTheme="minorEastAsia" w:hAnsiTheme="minorEastAsia" w:eastAsiaTheme="minorEastAsia" w:cstheme="minorEastAsia"/>
          <w:b/>
          <w:color w:val="auto"/>
          <w:sz w:val="56"/>
          <w:szCs w:val="56"/>
          <w:highlight w:val="none"/>
          <w:lang w:eastAsia="zh-CN"/>
        </w:rPr>
      </w:pPr>
      <w:r>
        <w:rPr>
          <w:rFonts w:hint="eastAsia" w:asciiTheme="minorEastAsia" w:hAnsiTheme="minorEastAsia" w:eastAsiaTheme="minorEastAsia" w:cstheme="minorEastAsia"/>
          <w:b/>
          <w:color w:val="auto"/>
          <w:sz w:val="56"/>
          <w:szCs w:val="56"/>
          <w:highlight w:val="none"/>
          <w:lang w:eastAsia="zh-CN"/>
        </w:rPr>
        <w:t>临沧市临翔区人民医院2025年度医用耗材第二标段采购项目</w:t>
      </w:r>
    </w:p>
    <w:p w14:paraId="41BA3F5E">
      <w:pPr>
        <w:pStyle w:val="2"/>
        <w:shd w:val="clear" w:color="auto" w:fill="auto"/>
        <w:rPr>
          <w:rFonts w:hint="eastAsia" w:asciiTheme="minorEastAsia" w:hAnsiTheme="minorEastAsia" w:eastAsiaTheme="minorEastAsia" w:cstheme="minorEastAsia"/>
          <w:color w:val="auto"/>
          <w:highlight w:val="none"/>
        </w:rPr>
      </w:pPr>
    </w:p>
    <w:p w14:paraId="2E0CD0DC">
      <w:pPr>
        <w:pStyle w:val="2"/>
        <w:shd w:val="clear" w:color="auto" w:fill="auto"/>
        <w:rPr>
          <w:rFonts w:hint="eastAsia" w:asciiTheme="minorEastAsia" w:hAnsiTheme="minorEastAsia" w:eastAsiaTheme="minorEastAsia" w:cstheme="minorEastAsia"/>
          <w:color w:val="auto"/>
          <w:highlight w:val="none"/>
        </w:rPr>
      </w:pPr>
    </w:p>
    <w:p w14:paraId="57B821EA">
      <w:pPr>
        <w:pStyle w:val="16"/>
        <w:shd w:val="clear" w:color="auto" w:fill="auto"/>
        <w:jc w:val="both"/>
        <w:rPr>
          <w:rFonts w:hint="eastAsia" w:asciiTheme="minorEastAsia" w:hAnsiTheme="minorEastAsia" w:eastAsiaTheme="minorEastAsia" w:cstheme="minorEastAsia"/>
          <w:color w:val="auto"/>
          <w:sz w:val="72"/>
          <w:highlight w:val="none"/>
        </w:rPr>
      </w:pPr>
    </w:p>
    <w:p w14:paraId="1D6DCA11">
      <w:pPr>
        <w:shd w:val="clear" w:color="auto" w:fill="auto"/>
        <w:jc w:val="center"/>
        <w:rPr>
          <w:rFonts w:hint="eastAsia" w:asciiTheme="minorEastAsia" w:hAnsiTheme="minorEastAsia" w:eastAsiaTheme="minorEastAsia" w:cstheme="minorEastAsia"/>
          <w:b/>
          <w:color w:val="auto"/>
          <w:sz w:val="52"/>
          <w:highlight w:val="none"/>
        </w:rPr>
      </w:pPr>
      <w:r>
        <w:rPr>
          <w:rFonts w:hint="eastAsia" w:asciiTheme="minorEastAsia" w:hAnsiTheme="minorEastAsia" w:eastAsiaTheme="minorEastAsia" w:cstheme="minorEastAsia"/>
          <w:b/>
          <w:color w:val="auto"/>
          <w:sz w:val="72"/>
          <w:szCs w:val="36"/>
          <w:highlight w:val="none"/>
        </w:rPr>
        <w:t>招</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件</w:t>
      </w:r>
    </w:p>
    <w:p w14:paraId="283F0189">
      <w:pPr>
        <w:pStyle w:val="16"/>
        <w:shd w:val="clear" w:color="auto" w:fill="auto"/>
        <w:jc w:val="center"/>
        <w:rPr>
          <w:rFonts w:hint="eastAsia" w:asciiTheme="minorEastAsia" w:hAnsiTheme="minorEastAsia" w:eastAsiaTheme="minorEastAsia" w:cstheme="minorEastAsia"/>
          <w:b/>
          <w:color w:val="auto"/>
          <w:sz w:val="32"/>
          <w:szCs w:val="32"/>
          <w:highlight w:val="none"/>
        </w:rPr>
      </w:pPr>
    </w:p>
    <w:p w14:paraId="6EF8D78C">
      <w:pPr>
        <w:pStyle w:val="16"/>
        <w:shd w:val="clear" w:color="auto" w:fill="auto"/>
        <w:jc w:val="center"/>
        <w:outlineLvl w:val="0"/>
        <w:rPr>
          <w:rFonts w:hint="eastAsia" w:asciiTheme="minorEastAsia" w:hAnsiTheme="minorEastAsia" w:eastAsiaTheme="minorEastAsia" w:cstheme="minorEastAsia"/>
          <w:b/>
          <w:color w:val="auto"/>
          <w:sz w:val="36"/>
          <w:szCs w:val="36"/>
          <w:highlight w:val="none"/>
          <w:lang w:val="en-US" w:eastAsia="zh-CN"/>
        </w:rPr>
      </w:pPr>
      <w:bookmarkStart w:id="0" w:name="_Toc4054"/>
      <w:r>
        <w:rPr>
          <w:rFonts w:hint="eastAsia" w:asciiTheme="minorEastAsia" w:hAnsiTheme="minorEastAsia" w:eastAsiaTheme="minorEastAsia" w:cstheme="minorEastAsia"/>
          <w:b/>
          <w:color w:val="auto"/>
          <w:sz w:val="36"/>
          <w:szCs w:val="36"/>
          <w:highlight w:val="none"/>
        </w:rPr>
        <w:t>项目编号:</w:t>
      </w:r>
      <w:bookmarkEnd w:id="0"/>
      <w:r>
        <w:rPr>
          <w:rFonts w:hint="eastAsia" w:asciiTheme="minorEastAsia" w:hAnsiTheme="minorEastAsia" w:eastAsiaTheme="minorEastAsia" w:cstheme="minorEastAsia"/>
          <w:b/>
          <w:color w:val="auto"/>
          <w:sz w:val="36"/>
          <w:szCs w:val="36"/>
          <w:highlight w:val="none"/>
          <w:lang w:val="en-US" w:eastAsia="zh-CN"/>
        </w:rPr>
        <w:t>LCZC2025-G1-00390-YNLX-0031</w:t>
      </w:r>
    </w:p>
    <w:p w14:paraId="6223851C">
      <w:pPr>
        <w:pStyle w:val="16"/>
        <w:shd w:val="clear" w:color="auto" w:fill="auto"/>
        <w:rPr>
          <w:rFonts w:hint="eastAsia" w:asciiTheme="minorEastAsia" w:hAnsiTheme="minorEastAsia" w:eastAsiaTheme="minorEastAsia" w:cstheme="minorEastAsia"/>
          <w:color w:val="auto"/>
          <w:highlight w:val="none"/>
        </w:rPr>
      </w:pPr>
    </w:p>
    <w:p w14:paraId="7794EE45">
      <w:pPr>
        <w:pStyle w:val="16"/>
        <w:shd w:val="clear" w:color="auto" w:fill="auto"/>
        <w:rPr>
          <w:rFonts w:hint="eastAsia" w:asciiTheme="minorEastAsia" w:hAnsiTheme="minorEastAsia" w:eastAsiaTheme="minorEastAsia" w:cstheme="minorEastAsia"/>
          <w:color w:val="auto"/>
          <w:highlight w:val="none"/>
        </w:rPr>
      </w:pPr>
    </w:p>
    <w:p w14:paraId="1E49D17D">
      <w:pPr>
        <w:pStyle w:val="16"/>
        <w:shd w:val="clear" w:color="auto" w:fill="auto"/>
        <w:rPr>
          <w:rFonts w:hint="eastAsia" w:asciiTheme="minorEastAsia" w:hAnsiTheme="minorEastAsia" w:eastAsiaTheme="minorEastAsia" w:cstheme="minorEastAsia"/>
          <w:color w:val="auto"/>
          <w:sz w:val="36"/>
          <w:highlight w:val="none"/>
        </w:rPr>
      </w:pPr>
    </w:p>
    <w:p w14:paraId="203D6638">
      <w:pPr>
        <w:pStyle w:val="16"/>
        <w:shd w:val="clear" w:color="auto" w:fill="auto"/>
        <w:rPr>
          <w:rFonts w:hint="eastAsia" w:asciiTheme="minorEastAsia" w:hAnsiTheme="minorEastAsia" w:eastAsiaTheme="minorEastAsia" w:cstheme="minorEastAsia"/>
          <w:color w:val="auto"/>
          <w:sz w:val="36"/>
          <w:highlight w:val="none"/>
        </w:rPr>
      </w:pPr>
    </w:p>
    <w:p w14:paraId="59F53B5A">
      <w:pPr>
        <w:shd w:val="clear" w:color="auto" w:fill="auto"/>
        <w:rPr>
          <w:rFonts w:hint="eastAsia" w:asciiTheme="minorEastAsia" w:hAnsiTheme="minorEastAsia" w:eastAsiaTheme="minorEastAsia" w:cstheme="minorEastAsia"/>
          <w:color w:val="auto"/>
          <w:highlight w:val="none"/>
        </w:rPr>
      </w:pPr>
    </w:p>
    <w:p w14:paraId="7902ED98">
      <w:pPr>
        <w:pStyle w:val="2"/>
        <w:shd w:val="clear" w:color="auto" w:fill="auto"/>
        <w:rPr>
          <w:rFonts w:hint="eastAsia" w:asciiTheme="minorEastAsia" w:hAnsiTheme="minorEastAsia" w:eastAsiaTheme="minorEastAsia" w:cstheme="minorEastAsia"/>
          <w:color w:val="auto"/>
          <w:highlight w:val="none"/>
        </w:rPr>
      </w:pPr>
    </w:p>
    <w:p w14:paraId="628F21EA">
      <w:pPr>
        <w:shd w:val="clear" w:color="auto" w:fill="auto"/>
        <w:spacing w:line="800" w:lineRule="exact"/>
        <w:outlineLvl w:val="0"/>
        <w:rPr>
          <w:rFonts w:hint="eastAsia" w:asciiTheme="minorEastAsia" w:hAnsiTheme="minorEastAsia" w:eastAsiaTheme="minorEastAsia" w:cstheme="minorEastAsia"/>
          <w:b/>
          <w:color w:val="auto"/>
          <w:sz w:val="36"/>
          <w:szCs w:val="36"/>
          <w:highlight w:val="none"/>
        </w:rPr>
      </w:pPr>
      <w:bookmarkStart w:id="1" w:name="_Toc25754"/>
    </w:p>
    <w:p w14:paraId="44A7BBBA">
      <w:pPr>
        <w:shd w:val="clear" w:color="auto" w:fill="auto"/>
        <w:spacing w:line="800" w:lineRule="exact"/>
        <w:outlineLvl w:val="0"/>
        <w:rPr>
          <w:rFonts w:hint="eastAsia" w:asciiTheme="minorEastAsia" w:hAnsiTheme="minorEastAsia" w:eastAsiaTheme="minorEastAsia" w:cstheme="minorEastAsia"/>
          <w:b/>
          <w:color w:val="auto"/>
          <w:sz w:val="36"/>
          <w:szCs w:val="36"/>
          <w:highlight w:val="none"/>
        </w:rPr>
      </w:pPr>
    </w:p>
    <w:p w14:paraId="3AA1F979">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u w:val="none"/>
        </w:rPr>
      </w:pPr>
      <w:r>
        <w:rPr>
          <w:rFonts w:hint="eastAsia" w:asciiTheme="minorEastAsia" w:hAnsiTheme="minorEastAsia" w:eastAsiaTheme="minorEastAsia" w:cstheme="minorEastAsia"/>
          <w:b/>
          <w:color w:val="auto"/>
          <w:sz w:val="36"/>
          <w:szCs w:val="36"/>
          <w:highlight w:val="none"/>
        </w:rPr>
        <w:t>采   购   人：</w:t>
      </w:r>
      <w:r>
        <w:rPr>
          <w:rFonts w:hint="eastAsia" w:asciiTheme="minorEastAsia" w:hAnsiTheme="minorEastAsia" w:eastAsiaTheme="minorEastAsia" w:cstheme="minorEastAsia"/>
          <w:b/>
          <w:color w:val="auto"/>
          <w:sz w:val="36"/>
          <w:szCs w:val="36"/>
          <w:highlight w:val="none"/>
          <w:lang w:eastAsia="zh-CN"/>
        </w:rPr>
        <w:t>临沧市临翔区人民医院</w:t>
      </w:r>
      <w:bookmarkEnd w:id="1"/>
      <w:r>
        <w:rPr>
          <w:rFonts w:hint="eastAsia" w:asciiTheme="minorEastAsia" w:hAnsiTheme="minorEastAsia" w:eastAsiaTheme="minorEastAsia" w:cstheme="minorEastAsia"/>
          <w:b/>
          <w:color w:val="auto"/>
          <w:sz w:val="36"/>
          <w:szCs w:val="36"/>
          <w:highlight w:val="none"/>
          <w:u w:val="none"/>
        </w:rPr>
        <w:t xml:space="preserve"> </w:t>
      </w:r>
    </w:p>
    <w:p w14:paraId="744CD799">
      <w:pPr>
        <w:shd w:val="clear" w:color="auto" w:fill="auto"/>
        <w:spacing w:line="800" w:lineRule="exact"/>
        <w:ind w:firstLine="723" w:firstLineChars="200"/>
        <w:rPr>
          <w:rFonts w:hint="eastAsia" w:asciiTheme="minorEastAsia" w:hAnsiTheme="minorEastAsia" w:eastAsiaTheme="minorEastAsia" w:cstheme="minorEastAsia"/>
          <w:b/>
          <w:color w:val="auto"/>
          <w:sz w:val="36"/>
          <w:szCs w:val="36"/>
          <w:highlight w:val="none"/>
          <w:u w:val="none"/>
          <w:lang w:eastAsia="zh-CN"/>
        </w:rPr>
      </w:pPr>
      <w:r>
        <w:rPr>
          <w:rFonts w:hint="eastAsia" w:asciiTheme="minorEastAsia" w:hAnsiTheme="minorEastAsia" w:eastAsiaTheme="minorEastAsia" w:cstheme="minorEastAsia"/>
          <w:b/>
          <w:color w:val="auto"/>
          <w:sz w:val="36"/>
          <w:szCs w:val="36"/>
          <w:highlight w:val="none"/>
          <w:u w:val="none"/>
        </w:rPr>
        <w:t>采购代理机构：</w:t>
      </w:r>
      <w:r>
        <w:rPr>
          <w:rFonts w:hint="eastAsia" w:asciiTheme="minorEastAsia" w:hAnsiTheme="minorEastAsia" w:eastAsiaTheme="minorEastAsia" w:cstheme="minorEastAsia"/>
          <w:b/>
          <w:color w:val="auto"/>
          <w:sz w:val="36"/>
          <w:szCs w:val="36"/>
          <w:highlight w:val="none"/>
          <w:u w:val="none"/>
          <w:lang w:eastAsia="zh-CN"/>
        </w:rPr>
        <w:t>云南临祥项目管理咨询有限公司</w:t>
      </w:r>
    </w:p>
    <w:p w14:paraId="3EAFFD68">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rPr>
      </w:pPr>
      <w:bookmarkStart w:id="2" w:name="_Toc17365"/>
      <w:r>
        <w:rPr>
          <w:rFonts w:hint="eastAsia" w:asciiTheme="minorEastAsia" w:hAnsiTheme="minorEastAsia" w:eastAsiaTheme="minorEastAsia" w:cstheme="minorEastAsia"/>
          <w:b/>
          <w:color w:val="auto"/>
          <w:sz w:val="36"/>
          <w:szCs w:val="36"/>
          <w:highlight w:val="none"/>
        </w:rPr>
        <w:t>日</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期：</w:t>
      </w:r>
      <w:r>
        <w:rPr>
          <w:rFonts w:hint="eastAsia" w:asciiTheme="minorEastAsia" w:hAnsiTheme="minorEastAsia" w:eastAsiaTheme="minorEastAsia" w:cstheme="minorEastAsia"/>
          <w:b/>
          <w:color w:val="auto"/>
          <w:sz w:val="36"/>
          <w:szCs w:val="36"/>
          <w:highlight w:val="none"/>
          <w:u w:val="none"/>
        </w:rPr>
        <w:t>202</w:t>
      </w:r>
      <w:r>
        <w:rPr>
          <w:rFonts w:hint="eastAsia" w:asciiTheme="minorEastAsia" w:hAnsiTheme="minorEastAsia" w:eastAsiaTheme="minorEastAsia" w:cstheme="minorEastAsia"/>
          <w:b/>
          <w:color w:val="auto"/>
          <w:sz w:val="36"/>
          <w:szCs w:val="36"/>
          <w:highlight w:val="none"/>
          <w:u w:val="none"/>
          <w:lang w:val="en-US" w:eastAsia="zh-CN"/>
        </w:rPr>
        <w:t>5</w:t>
      </w:r>
      <w:r>
        <w:rPr>
          <w:rFonts w:hint="eastAsia" w:asciiTheme="minorEastAsia" w:hAnsiTheme="minorEastAsia" w:eastAsiaTheme="minorEastAsia" w:cstheme="minorEastAsia"/>
          <w:b/>
          <w:color w:val="auto"/>
          <w:sz w:val="36"/>
          <w:szCs w:val="36"/>
          <w:highlight w:val="none"/>
          <w:u w:val="none"/>
        </w:rPr>
        <w:t>年</w:t>
      </w:r>
      <w:r>
        <w:rPr>
          <w:rFonts w:hint="eastAsia" w:asciiTheme="minorEastAsia" w:hAnsiTheme="minorEastAsia" w:eastAsiaTheme="minorEastAsia" w:cstheme="minorEastAsia"/>
          <w:b/>
          <w:color w:val="auto"/>
          <w:sz w:val="36"/>
          <w:szCs w:val="36"/>
          <w:highlight w:val="none"/>
          <w:u w:val="none"/>
          <w:lang w:val="en-US" w:eastAsia="zh-CN"/>
        </w:rPr>
        <w:t>6</w:t>
      </w:r>
      <w:r>
        <w:rPr>
          <w:rFonts w:hint="eastAsia" w:asciiTheme="minorEastAsia" w:hAnsiTheme="minorEastAsia" w:eastAsiaTheme="minorEastAsia" w:cstheme="minorEastAsia"/>
          <w:b/>
          <w:color w:val="auto"/>
          <w:sz w:val="36"/>
          <w:szCs w:val="36"/>
          <w:highlight w:val="none"/>
        </w:rPr>
        <w:t>月</w:t>
      </w:r>
      <w:bookmarkEnd w:id="2"/>
    </w:p>
    <w:p w14:paraId="1B3A5740">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r>
    </w:p>
    <w:p w14:paraId="661051C3">
      <w:pPr>
        <w:shd w:val="clear" w:color="auto" w:fill="auto"/>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36"/>
          <w:szCs w:val="36"/>
          <w:highlight w:val="none"/>
        </w:rPr>
        <w:t>目     录</w:t>
      </w:r>
    </w:p>
    <w:p w14:paraId="65A71C89">
      <w:pPr>
        <w:shd w:val="clear" w:color="auto" w:fil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smallCaps/>
          <w:color w:val="auto"/>
          <w:sz w:val="32"/>
          <w:szCs w:val="32"/>
          <w:highlight w:val="none"/>
        </w:rPr>
        <w:t xml:space="preserve"> </w:t>
      </w:r>
    </w:p>
    <w:sdt>
      <w:sdtPr>
        <w:rPr>
          <w:rFonts w:hint="eastAsia" w:asciiTheme="minorEastAsia" w:hAnsiTheme="minorEastAsia" w:eastAsiaTheme="minorEastAsia" w:cstheme="minorEastAsia"/>
          <w:kern w:val="2"/>
          <w:sz w:val="21"/>
          <w:szCs w:val="24"/>
          <w:highlight w:val="none"/>
          <w:lang w:val="en-US" w:eastAsia="zh-CN" w:bidi="ar-SA"/>
        </w:rPr>
        <w:id w:val="147477566"/>
        <w15:color w:val="DBDBDB"/>
        <w:docPartObj>
          <w:docPartGallery w:val="Table of Contents"/>
          <w:docPartUnique/>
        </w:docPartObj>
      </w:sdtPr>
      <w:sdtEndPr>
        <w:rPr>
          <w:rFonts w:hint="eastAsia" w:asciiTheme="minorEastAsia" w:hAnsiTheme="minorEastAsia" w:eastAsiaTheme="minorEastAsia" w:cstheme="minorEastAsia"/>
          <w:kern w:val="2"/>
          <w:sz w:val="21"/>
          <w:szCs w:val="24"/>
          <w:highlight w:val="none"/>
          <w:lang w:val="en-US" w:eastAsia="zh-CN" w:bidi="ar-SA"/>
        </w:rPr>
      </w:sdtEndPr>
      <w:sdtContent>
        <w:p w14:paraId="044EBFD4">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highlight w:val="none"/>
            </w:rPr>
          </w:pPr>
        </w:p>
        <w:p w14:paraId="4A003C23">
          <w:pPr>
            <w:pStyle w:val="54"/>
            <w:tabs>
              <w:tab w:val="right" w:leader="dot" w:pos="9746"/>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TOC \o "1-1" \h \u </w:instrText>
          </w:r>
          <w:r>
            <w:rPr>
              <w:rFonts w:hint="eastAsia" w:asciiTheme="minorEastAsia" w:hAnsiTheme="minorEastAsia" w:eastAsiaTheme="minorEastAsia" w:cstheme="minorEastAsia"/>
              <w:highlight w:val="none"/>
            </w:rPr>
            <w:fldChar w:fldCharType="separate"/>
          </w:r>
        </w:p>
        <w:p w14:paraId="2DD9E396">
          <w:pPr>
            <w:pStyle w:val="54"/>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_Toc31738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kern w:val="0"/>
              <w:sz w:val="28"/>
              <w:szCs w:val="52"/>
              <w:highlight w:val="none"/>
            </w:rPr>
            <w:t>第一章 招标公告</w:t>
          </w:r>
          <w:r>
            <w:rPr>
              <w:rFonts w:hint="eastAsia" w:asciiTheme="minorEastAsia" w:hAnsiTheme="minorEastAsia" w:eastAsiaTheme="minorEastAsia" w:cstheme="minorEastAsia"/>
              <w:sz w:val="28"/>
              <w:szCs w:val="28"/>
              <w:highlight w:val="none"/>
            </w:rPr>
            <w:tab/>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PAGEREF _Toc31738 \h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1</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68630117">
          <w:pPr>
            <w:pStyle w:val="54"/>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_Toc18107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52"/>
              <w:highlight w:val="none"/>
            </w:rPr>
            <w:t xml:space="preserve">第二章 </w:t>
          </w:r>
          <w:r>
            <w:rPr>
              <w:rFonts w:hint="eastAsia" w:asciiTheme="minorEastAsia" w:hAnsiTheme="minorEastAsia" w:eastAsiaTheme="minorEastAsia" w:cstheme="minorEastAsia"/>
              <w:sz w:val="28"/>
              <w:szCs w:val="52"/>
              <w:highlight w:val="none"/>
              <w:lang w:val="en-US" w:eastAsia="zh-CN"/>
            </w:rPr>
            <w:t>供应商</w:t>
          </w:r>
          <w:r>
            <w:rPr>
              <w:rFonts w:hint="eastAsia" w:asciiTheme="minorEastAsia" w:hAnsiTheme="minorEastAsia" w:eastAsiaTheme="minorEastAsia" w:cstheme="minorEastAsia"/>
              <w:sz w:val="28"/>
              <w:szCs w:val="52"/>
              <w:highlight w:val="none"/>
            </w:rPr>
            <w:t>须知</w:t>
          </w:r>
          <w:r>
            <w:rPr>
              <w:rFonts w:hint="eastAsia" w:asciiTheme="minorEastAsia" w:hAnsiTheme="minorEastAsia" w:eastAsiaTheme="minorEastAsia" w:cstheme="minorEastAsia"/>
              <w:sz w:val="28"/>
              <w:szCs w:val="28"/>
              <w:highlight w:val="none"/>
            </w:rPr>
            <w:tab/>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PAGEREF _Toc18107 \h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9</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6007086E">
          <w:pPr>
            <w:pStyle w:val="54"/>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_Toc28379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48"/>
              <w:highlight w:val="none"/>
            </w:rPr>
            <w:t>第</w:t>
          </w:r>
          <w:r>
            <w:rPr>
              <w:rFonts w:hint="eastAsia" w:asciiTheme="minorEastAsia" w:hAnsiTheme="minorEastAsia" w:eastAsiaTheme="minorEastAsia" w:cstheme="minorEastAsia"/>
              <w:sz w:val="28"/>
              <w:szCs w:val="48"/>
              <w:highlight w:val="none"/>
              <w:lang w:val="en-US" w:eastAsia="zh-CN"/>
            </w:rPr>
            <w:t>三</w:t>
          </w:r>
          <w:r>
            <w:rPr>
              <w:rFonts w:hint="eastAsia" w:asciiTheme="minorEastAsia" w:hAnsiTheme="minorEastAsia" w:eastAsiaTheme="minorEastAsia" w:cstheme="minorEastAsia"/>
              <w:sz w:val="28"/>
              <w:szCs w:val="48"/>
              <w:highlight w:val="none"/>
            </w:rPr>
            <w:t>章 评标方法（综合评分法）</w:t>
          </w:r>
          <w:r>
            <w:rPr>
              <w:rFonts w:hint="eastAsia" w:asciiTheme="minorEastAsia" w:hAnsiTheme="minorEastAsia" w:eastAsiaTheme="minorEastAsia" w:cstheme="minorEastAsia"/>
              <w:sz w:val="28"/>
              <w:szCs w:val="28"/>
              <w:highlight w:val="none"/>
            </w:rPr>
            <w:tab/>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PAGEREF _Toc28379 \h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28</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6F792A3F">
          <w:pPr>
            <w:pStyle w:val="54"/>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_Toc28640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52"/>
              <w:highlight w:val="none"/>
              <w:lang w:val="en-US" w:eastAsia="zh-CN"/>
            </w:rPr>
            <w:t xml:space="preserve">第四章 </w:t>
          </w:r>
          <w:r>
            <w:rPr>
              <w:rFonts w:hint="eastAsia" w:asciiTheme="minorEastAsia" w:hAnsiTheme="minorEastAsia" w:eastAsiaTheme="minorEastAsia" w:cstheme="minorEastAsia"/>
              <w:sz w:val="28"/>
              <w:szCs w:val="52"/>
              <w:highlight w:val="none"/>
            </w:rPr>
            <w:t>合同主要条款</w:t>
          </w:r>
          <w:r>
            <w:rPr>
              <w:rFonts w:hint="eastAsia" w:asciiTheme="minorEastAsia" w:hAnsiTheme="minorEastAsia" w:eastAsiaTheme="minorEastAsia" w:cstheme="minorEastAsia"/>
              <w:sz w:val="28"/>
              <w:szCs w:val="52"/>
              <w:highlight w:val="none"/>
              <w:lang w:val="en-US" w:eastAsia="zh-CN"/>
            </w:rPr>
            <w:t>及</w:t>
          </w:r>
          <w:r>
            <w:rPr>
              <w:rFonts w:hint="eastAsia" w:asciiTheme="minorEastAsia" w:hAnsiTheme="minorEastAsia" w:eastAsiaTheme="minorEastAsia" w:cstheme="minorEastAsia"/>
              <w:sz w:val="28"/>
              <w:szCs w:val="52"/>
              <w:highlight w:val="none"/>
            </w:rPr>
            <w:t>格式</w:t>
          </w:r>
          <w:r>
            <w:rPr>
              <w:rFonts w:hint="eastAsia" w:asciiTheme="minorEastAsia" w:hAnsiTheme="minorEastAsia" w:eastAsiaTheme="minorEastAsia" w:cstheme="minorEastAsia"/>
              <w:sz w:val="28"/>
              <w:szCs w:val="28"/>
              <w:highlight w:val="none"/>
            </w:rPr>
            <w:tab/>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PAGEREF _Toc28640 \h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38</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5619B66B">
          <w:pPr>
            <w:pStyle w:val="54"/>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_Toc7675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52"/>
              <w:highlight w:val="none"/>
            </w:rPr>
            <w:t>第</w:t>
          </w:r>
          <w:r>
            <w:rPr>
              <w:rFonts w:hint="eastAsia" w:asciiTheme="minorEastAsia" w:hAnsiTheme="minorEastAsia" w:eastAsiaTheme="minorEastAsia" w:cstheme="minorEastAsia"/>
              <w:sz w:val="28"/>
              <w:szCs w:val="52"/>
              <w:highlight w:val="none"/>
              <w:lang w:val="en-US" w:eastAsia="zh-CN"/>
            </w:rPr>
            <w:t>五</w:t>
          </w:r>
          <w:r>
            <w:rPr>
              <w:rFonts w:hint="eastAsia" w:asciiTheme="minorEastAsia" w:hAnsiTheme="minorEastAsia" w:eastAsiaTheme="minorEastAsia" w:cstheme="minorEastAsia"/>
              <w:sz w:val="28"/>
              <w:szCs w:val="52"/>
              <w:highlight w:val="none"/>
            </w:rPr>
            <w:t>章 投标文件格式</w:t>
          </w:r>
          <w:r>
            <w:rPr>
              <w:rFonts w:hint="eastAsia" w:asciiTheme="minorEastAsia" w:hAnsiTheme="minorEastAsia" w:eastAsiaTheme="minorEastAsia" w:cstheme="minorEastAsia"/>
              <w:sz w:val="28"/>
              <w:szCs w:val="28"/>
              <w:highlight w:val="none"/>
            </w:rPr>
            <w:tab/>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PAGEREF _Toc7675 \h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47</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p>
        <w:p w14:paraId="5B71754F">
          <w:pPr>
            <w:pStyle w:val="54"/>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_Toc3512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52"/>
              <w:highlight w:val="none"/>
            </w:rPr>
            <w:t>第</w:t>
          </w:r>
          <w:r>
            <w:rPr>
              <w:rFonts w:hint="eastAsia" w:asciiTheme="minorEastAsia" w:hAnsiTheme="minorEastAsia" w:eastAsiaTheme="minorEastAsia" w:cstheme="minorEastAsia"/>
              <w:sz w:val="28"/>
              <w:szCs w:val="52"/>
              <w:highlight w:val="none"/>
              <w:lang w:val="en-US" w:eastAsia="zh-CN"/>
            </w:rPr>
            <w:t>六</w:t>
          </w:r>
          <w:r>
            <w:rPr>
              <w:rFonts w:hint="eastAsia" w:asciiTheme="minorEastAsia" w:hAnsiTheme="minorEastAsia" w:eastAsiaTheme="minorEastAsia" w:cstheme="minorEastAsia"/>
              <w:sz w:val="28"/>
              <w:szCs w:val="52"/>
              <w:highlight w:val="none"/>
            </w:rPr>
            <w:t>章 采购需求</w:t>
          </w:r>
          <w:r>
            <w:rPr>
              <w:rFonts w:hint="eastAsia" w:asciiTheme="minorEastAsia" w:hAnsiTheme="minorEastAsia" w:eastAsiaTheme="minorEastAsia" w:cstheme="minorEastAsia"/>
              <w:sz w:val="28"/>
              <w:szCs w:val="28"/>
              <w:highlight w:val="none"/>
            </w:rPr>
            <w:tab/>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PAGEREF _Toc3512 \h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lang w:val="en-US" w:eastAsia="zh-CN"/>
            </w:rPr>
            <w:t>6</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lang w:val="en-US" w:eastAsia="zh-CN"/>
            </w:rPr>
            <w:t>8</w:t>
          </w:r>
        </w:p>
        <w:p w14:paraId="0234AF00">
          <w:pPr>
            <w:rPr>
              <w:rFonts w:hint="eastAsia" w:asciiTheme="minorEastAsia" w:hAnsiTheme="minorEastAsia" w:eastAsiaTheme="minorEastAsia" w:cstheme="minorEastAsia"/>
              <w:highlight w:val="none"/>
            </w:rPr>
            <w:sectPr>
              <w:headerReference r:id="rId4" w:type="first"/>
              <w:headerReference r:id="rId3" w:type="default"/>
              <w:type w:val="continuous"/>
              <w:pgSz w:w="11906" w:h="16838"/>
              <w:pgMar w:top="1440" w:right="1080" w:bottom="1440" w:left="1080" w:header="850" w:footer="992" w:gutter="0"/>
              <w:pgNumType w:fmt="decimal"/>
              <w:cols w:space="0" w:num="1"/>
              <w:rtlGutter w:val="0"/>
              <w:docGrid w:type="lines" w:linePitch="321" w:charSpace="0"/>
            </w:sectPr>
          </w:pPr>
          <w:r>
            <w:rPr>
              <w:rFonts w:hint="eastAsia" w:asciiTheme="minorEastAsia" w:hAnsiTheme="minorEastAsia" w:eastAsiaTheme="minorEastAsia" w:cstheme="minorEastAsia"/>
              <w:highlight w:val="none"/>
            </w:rPr>
            <w:fldChar w:fldCharType="end"/>
          </w:r>
        </w:p>
      </w:sdtContent>
    </w:sdt>
    <w:p w14:paraId="754FA658">
      <w:pPr>
        <w:pStyle w:val="3"/>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color w:val="auto"/>
          <w:kern w:val="0"/>
          <w:sz w:val="36"/>
          <w:szCs w:val="36"/>
          <w:highlight w:val="none"/>
        </w:rPr>
      </w:pPr>
      <w:bookmarkStart w:id="3" w:name="_Toc29933"/>
      <w:bookmarkStart w:id="4" w:name="_Toc8470"/>
      <w:bookmarkStart w:id="5" w:name="_Toc31738"/>
      <w:r>
        <w:rPr>
          <w:rFonts w:hint="eastAsia" w:asciiTheme="minorEastAsia" w:hAnsiTheme="minorEastAsia" w:eastAsiaTheme="minorEastAsia" w:cstheme="minorEastAsia"/>
          <w:color w:val="auto"/>
          <w:kern w:val="0"/>
          <w:sz w:val="36"/>
          <w:szCs w:val="36"/>
          <w:highlight w:val="none"/>
        </w:rPr>
        <w:t>第一章 招标公告</w:t>
      </w:r>
      <w:bookmarkEnd w:id="3"/>
      <w:bookmarkEnd w:id="4"/>
      <w:bookmarkEnd w:id="5"/>
    </w:p>
    <w:p w14:paraId="107A2DED">
      <w:pPr>
        <w:keepNext w:val="0"/>
        <w:keepLines w:val="0"/>
        <w:pageBreakBefore w:val="0"/>
        <w:shd w:val="clear" w:color="auto" w:fill="auto"/>
        <w:kinsoku/>
        <w:overflowPunct/>
        <w:topLinePunct w:val="0"/>
        <w:autoSpaceDE/>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bookmarkStart w:id="6" w:name="_Toc223860496"/>
      <w:bookmarkStart w:id="7" w:name="_Toc403511210"/>
      <w:bookmarkStart w:id="8" w:name="_Toc353901291"/>
      <w:r>
        <w:rPr>
          <w:rFonts w:hint="eastAsia" w:asciiTheme="minorEastAsia" w:hAnsiTheme="minorEastAsia" w:eastAsiaTheme="minorEastAsia" w:cstheme="minorEastAsia"/>
          <w:b/>
          <w:bCs/>
          <w:color w:val="auto"/>
          <w:sz w:val="28"/>
          <w:szCs w:val="28"/>
          <w:highlight w:val="none"/>
          <w:lang w:val="en-US" w:eastAsia="zh-CN"/>
        </w:rPr>
        <w:t>临沧市临翔区人民医院2025年度医用耗材第二标段采购项目</w:t>
      </w:r>
      <w:r>
        <w:rPr>
          <w:rFonts w:hint="eastAsia" w:asciiTheme="minorEastAsia" w:hAnsiTheme="minorEastAsia" w:eastAsiaTheme="minorEastAsia" w:cstheme="minorEastAsia"/>
          <w:b/>
          <w:bCs/>
          <w:color w:val="auto"/>
          <w:sz w:val="28"/>
          <w:szCs w:val="28"/>
          <w:highlight w:val="none"/>
        </w:rPr>
        <w:t>招标公告</w:t>
      </w:r>
      <w:bookmarkEnd w:id="6"/>
      <w:bookmarkEnd w:id="7"/>
      <w:bookmarkEnd w:id="8"/>
    </w:p>
    <w:p w14:paraId="5F4215F7">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p>
    <w:p w14:paraId="5AE5EB14">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r>
        <w:rPr>
          <w:rFonts w:hint="eastAsia" w:asciiTheme="minorEastAsia" w:hAnsiTheme="minorEastAsia" w:eastAsiaTheme="minorEastAsia" w:cstheme="minorEastAsia"/>
          <w:color w:val="auto"/>
          <w:sz w:val="24"/>
          <w:szCs w:val="24"/>
          <w:highlight w:val="none"/>
        </w:rPr>
        <w:t>的潜在</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u w:val="single"/>
        </w:rPr>
        <w:t>政采云平台（</w:t>
      </w: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HYPERLINK "https://www.zcygov.cn/"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https://www.zcygov.cn/</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下同</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获取招标文件，并于</w:t>
      </w:r>
      <w:r>
        <w:rPr>
          <w:rFonts w:hint="eastAsia" w:asciiTheme="minorEastAsia" w:hAnsiTheme="minorEastAsia" w:eastAsiaTheme="minorEastAsia" w:cstheme="minorEastAsia"/>
          <w:color w:val="auto"/>
          <w:sz w:val="24"/>
          <w:szCs w:val="24"/>
          <w:highlight w:val="none"/>
          <w:u w:val="none"/>
        </w:rPr>
        <w:t>202</w:t>
      </w:r>
      <w:r>
        <w:rPr>
          <w:rFonts w:hint="eastAsia" w:asciiTheme="minorEastAsia" w:hAnsiTheme="minorEastAsia" w:eastAsiaTheme="minorEastAsia" w:cstheme="minorEastAsia"/>
          <w:color w:val="auto"/>
          <w:sz w:val="24"/>
          <w:szCs w:val="24"/>
          <w:highlight w:val="none"/>
          <w:u w:val="none"/>
          <w:lang w:val="en-US" w:eastAsia="zh-CN"/>
        </w:rPr>
        <w:t>5</w:t>
      </w:r>
      <w:r>
        <w:rPr>
          <w:rFonts w:hint="eastAsia" w:asciiTheme="minorEastAsia" w:hAnsiTheme="minorEastAsia" w:eastAsiaTheme="minorEastAsia" w:cstheme="minorEastAsia"/>
          <w:bCs/>
          <w:color w:val="auto"/>
          <w:sz w:val="24"/>
          <w:szCs w:val="24"/>
          <w:highlight w:val="none"/>
          <w:u w:val="none"/>
        </w:rPr>
        <w:t>年</w:t>
      </w:r>
      <w:r>
        <w:rPr>
          <w:rFonts w:hint="eastAsia" w:asciiTheme="minorEastAsia" w:hAnsiTheme="minorEastAsia" w:eastAsiaTheme="minorEastAsia" w:cstheme="minorEastAsia"/>
          <w:bCs/>
          <w:color w:val="auto"/>
          <w:sz w:val="24"/>
          <w:szCs w:val="24"/>
          <w:highlight w:val="none"/>
          <w:u w:val="none"/>
          <w:lang w:val="en-US" w:eastAsia="zh-CN"/>
        </w:rPr>
        <w:t>07</w:t>
      </w:r>
      <w:r>
        <w:rPr>
          <w:rFonts w:hint="eastAsia" w:asciiTheme="minorEastAsia" w:hAnsiTheme="minorEastAsia" w:eastAsiaTheme="minorEastAsia" w:cstheme="minorEastAsia"/>
          <w:bCs/>
          <w:color w:val="auto"/>
          <w:sz w:val="24"/>
          <w:szCs w:val="24"/>
          <w:highlight w:val="none"/>
          <w:u w:val="none"/>
        </w:rPr>
        <w:t>月</w:t>
      </w:r>
      <w:r>
        <w:rPr>
          <w:rFonts w:hint="eastAsia" w:asciiTheme="minorEastAsia" w:hAnsiTheme="minorEastAsia" w:eastAsiaTheme="minorEastAsia" w:cstheme="minorEastAsia"/>
          <w:bCs/>
          <w:color w:val="auto"/>
          <w:sz w:val="24"/>
          <w:szCs w:val="24"/>
          <w:highlight w:val="none"/>
          <w:u w:val="none"/>
          <w:lang w:val="en-US" w:eastAsia="zh-CN"/>
        </w:rPr>
        <w:t>14</w:t>
      </w:r>
      <w:r>
        <w:rPr>
          <w:rFonts w:hint="eastAsia" w:asciiTheme="minorEastAsia" w:hAnsiTheme="minorEastAsia" w:eastAsiaTheme="minorEastAsia" w:cstheme="minorEastAsia"/>
          <w:bCs/>
          <w:color w:val="auto"/>
          <w:sz w:val="24"/>
          <w:szCs w:val="24"/>
          <w:highlight w:val="none"/>
          <w:u w:val="none"/>
        </w:rPr>
        <w:t>日</w:t>
      </w:r>
      <w:r>
        <w:rPr>
          <w:rFonts w:hint="eastAsia" w:asciiTheme="minorEastAsia" w:hAnsiTheme="minorEastAsia" w:eastAsiaTheme="minorEastAsia" w:cstheme="minorEastAsia"/>
          <w:bCs/>
          <w:color w:val="auto"/>
          <w:sz w:val="24"/>
          <w:szCs w:val="24"/>
          <w:highlight w:val="none"/>
          <w:u w:val="none"/>
          <w:lang w:val="en-US" w:eastAsia="zh-CN"/>
        </w:rPr>
        <w:t>09时0</w:t>
      </w:r>
      <w:r>
        <w:rPr>
          <w:rFonts w:hint="eastAsia" w:asciiTheme="minorEastAsia" w:hAnsiTheme="minorEastAsia" w:eastAsiaTheme="minorEastAsia" w:cstheme="minorEastAsia"/>
          <w:bCs/>
          <w:color w:val="auto"/>
          <w:sz w:val="24"/>
          <w:szCs w:val="24"/>
          <w:highlight w:val="none"/>
          <w:u w:val="none"/>
        </w:rPr>
        <w:t>0分（</w:t>
      </w:r>
      <w:r>
        <w:rPr>
          <w:rFonts w:hint="eastAsia" w:asciiTheme="minorEastAsia" w:hAnsiTheme="minorEastAsia" w:eastAsiaTheme="minorEastAsia" w:cstheme="minorEastAsia"/>
          <w:bCs/>
          <w:color w:val="auto"/>
          <w:sz w:val="24"/>
          <w:szCs w:val="24"/>
          <w:highlight w:val="none"/>
        </w:rPr>
        <w:t>北京时间）前递交投标文件</w:t>
      </w:r>
      <w:r>
        <w:rPr>
          <w:rFonts w:hint="eastAsia" w:asciiTheme="minorEastAsia" w:hAnsiTheme="minorEastAsia" w:eastAsiaTheme="minorEastAsia" w:cstheme="minorEastAsia"/>
          <w:color w:val="auto"/>
          <w:sz w:val="24"/>
          <w:szCs w:val="24"/>
          <w:highlight w:val="none"/>
        </w:rPr>
        <w:t>。</w:t>
      </w:r>
    </w:p>
    <w:p w14:paraId="51ADFE2D">
      <w:pPr>
        <w:keepNext w:val="0"/>
        <w:keepLines w:val="0"/>
        <w:pageBreakBefore w:val="0"/>
        <w:widowControl w:val="0"/>
        <w:shd w:val="clear" w:color="auto" w:fill="auto"/>
        <w:kinsoku/>
        <w:wordWrap/>
        <w:overflowPunct/>
        <w:topLinePunct w:val="0"/>
        <w:autoSpaceDE/>
        <w:bidi w:val="0"/>
        <w:adjustRightInd/>
        <w:snapToGrid/>
        <w:spacing w:line="600" w:lineRule="exact"/>
        <w:jc w:val="left"/>
        <w:textAlignment w:val="auto"/>
        <w:rPr>
          <w:rFonts w:hint="eastAsia" w:asciiTheme="minorEastAsia" w:hAnsiTheme="minorEastAsia" w:eastAsiaTheme="minorEastAsia" w:cstheme="minorEastAsia"/>
          <w:color w:val="auto"/>
          <w:sz w:val="24"/>
          <w:szCs w:val="24"/>
          <w:highlight w:val="none"/>
        </w:rPr>
      </w:pPr>
      <w:bookmarkStart w:id="9" w:name="_Toc28359079"/>
      <w:bookmarkStart w:id="10" w:name="_Toc35393621"/>
      <w:bookmarkStart w:id="11" w:name="_Toc35393790"/>
      <w:bookmarkStart w:id="12" w:name="_Toc28359002"/>
      <w:bookmarkStart w:id="13" w:name="_Hlk24379207"/>
      <w:r>
        <w:rPr>
          <w:rFonts w:hint="eastAsia" w:asciiTheme="minorEastAsia" w:hAnsiTheme="minorEastAsia" w:eastAsiaTheme="minorEastAsia" w:cstheme="minorEastAsia"/>
          <w:b/>
          <w:bCs/>
          <w:color w:val="auto"/>
          <w:sz w:val="24"/>
          <w:szCs w:val="24"/>
          <w:highlight w:val="none"/>
        </w:rPr>
        <w:t>一、项目基本情况</w:t>
      </w:r>
      <w:bookmarkEnd w:id="9"/>
      <w:bookmarkEnd w:id="10"/>
      <w:bookmarkEnd w:id="11"/>
      <w:bookmarkEnd w:id="12"/>
    </w:p>
    <w:p w14:paraId="747C06A4">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1.招标</w:t>
      </w: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lang w:eastAsia="zh-CN"/>
        </w:rPr>
        <w:t>LCZC2025-G1-00390-YNLX-0031</w:t>
      </w:r>
    </w:p>
    <w:p w14:paraId="7BEE5A06">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val="en-US" w:eastAsia="zh-CN"/>
        </w:rPr>
        <w:t>临沧市临翔区人民医院2025年度医用耗材第二标段采购项目</w:t>
      </w:r>
    </w:p>
    <w:bookmarkEnd w:id="13"/>
    <w:p w14:paraId="0ED7BF5F">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3.采购方式：公开招标</w:t>
      </w:r>
    </w:p>
    <w:p w14:paraId="2CEF8EF0">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vertAlign w:val="baseline"/>
          <w:lang w:val="en-US" w:eastAsia="zh-CN"/>
        </w:rPr>
        <w:t>231.68976</w:t>
      </w:r>
    </w:p>
    <w:p w14:paraId="23436EFD">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vertAlign w:val="baseline"/>
          <w:lang w:val="en-US" w:eastAsia="zh-CN"/>
        </w:rPr>
        <w:t>231.68976</w:t>
      </w:r>
      <w:r>
        <w:rPr>
          <w:rFonts w:hint="eastAsia" w:asciiTheme="minorEastAsia" w:hAnsiTheme="minorEastAsia" w:eastAsiaTheme="minorEastAsia" w:cstheme="minorEastAsia"/>
          <w:color w:val="auto"/>
          <w:sz w:val="24"/>
          <w:szCs w:val="24"/>
          <w:highlight w:val="none"/>
          <w:lang w:val="en-US" w:eastAsia="zh-CN"/>
        </w:rPr>
        <w:t>。最高限价及各项耗材的单价最高限价详见招标文件</w:t>
      </w:r>
    </w:p>
    <w:p w14:paraId="174630E9">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采购需求：</w:t>
      </w:r>
    </w:p>
    <w:p w14:paraId="76840E3F">
      <w:pPr>
        <w:keepNext w:val="0"/>
        <w:keepLines w:val="0"/>
        <w:pageBreakBefore w:val="0"/>
        <w:widowControl w:val="0"/>
        <w:shd w:val="clear" w:color="auto" w:fill="auto"/>
        <w:kinsoku/>
        <w:wordWrap/>
        <w:overflowPunct/>
        <w:topLinePunct w:val="0"/>
        <w:autoSpaceDE/>
        <w:autoSpaceDN w:val="0"/>
        <w:bidi w:val="0"/>
        <w:adjustRightInd/>
        <w:snapToGrid/>
        <w:spacing w:line="600" w:lineRule="exact"/>
        <w:ind w:firstLine="482" w:firstLineChars="200"/>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（1）</w:t>
      </w:r>
      <w:r>
        <w:rPr>
          <w:rFonts w:hint="eastAsia" w:asciiTheme="minorEastAsia" w:hAnsiTheme="minorEastAsia" w:eastAsiaTheme="minorEastAsia" w:cstheme="minorEastAsia"/>
          <w:b/>
          <w:bCs/>
          <w:color w:val="auto"/>
          <w:kern w:val="0"/>
          <w:sz w:val="24"/>
          <w:szCs w:val="24"/>
          <w:highlight w:val="none"/>
        </w:rPr>
        <w:t>采购内容</w:t>
      </w:r>
    </w:p>
    <w:p w14:paraId="6D740DEA">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为进一步深化医药卫生体制改革，规范医用耗材采购行为，维护耗材流通秩序，经临沧市临翔区卫生健康局以《临沧市临翔区卫生健康局关于临沧市临翔区医疗卫生共同体总医院以区人民医院为主体统一招采医共体各成员单位医用耗材的批复》（临翔卫健发〔2023〕242号）批准，拟由临沧市临翔区人民医院为采购人（以下称“采购人”），统一组织临沧市临翔区医疗卫生共同体的医用耗材采购工作。经公开招标确定耗材供应商后，采购人代表医共体与中标人签订采购合同，医共体各成员单位（以下称“医院”）根据采购结果及自身耗材使用情况，分别与供应商签订供应配送合同，供应商根据供应配送合同将所需耗材配送至医院。</w:t>
      </w:r>
    </w:p>
    <w:p w14:paraId="5472ECF4">
      <w:pPr>
        <w:keepNext w:val="0"/>
        <w:keepLines w:val="0"/>
        <w:pageBreakBefore w:val="0"/>
        <w:widowControl w:val="0"/>
        <w:kinsoku/>
        <w:wordWrap/>
        <w:overflowPunct/>
        <w:topLinePunct w:val="0"/>
        <w:autoSpaceDE/>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采购标的的数量：</w:t>
      </w:r>
    </w:p>
    <w:p w14:paraId="22A6D544">
      <w:pPr>
        <w:pStyle w:val="34"/>
        <w:rPr>
          <w:rFonts w:hint="eastAsia"/>
          <w:highlight w:val="none"/>
          <w:lang w:val="en-US" w:eastAsia="zh-CN"/>
        </w:rPr>
      </w:pPr>
    </w:p>
    <w:tbl>
      <w:tblPr>
        <w:tblStyle w:val="27"/>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0"/>
        <w:gridCol w:w="2389"/>
        <w:gridCol w:w="2561"/>
        <w:gridCol w:w="2539"/>
      </w:tblGrid>
      <w:tr w14:paraId="25C7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760" w:type="dxa"/>
            <w:vAlign w:val="center"/>
          </w:tcPr>
          <w:p w14:paraId="3E138948">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序号</w:t>
            </w:r>
          </w:p>
        </w:tc>
        <w:tc>
          <w:tcPr>
            <w:tcW w:w="2389" w:type="dxa"/>
            <w:vAlign w:val="center"/>
          </w:tcPr>
          <w:p w14:paraId="0B853950">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涉及耗材种类</w:t>
            </w:r>
          </w:p>
        </w:tc>
        <w:tc>
          <w:tcPr>
            <w:tcW w:w="2561" w:type="dxa"/>
            <w:vAlign w:val="center"/>
          </w:tcPr>
          <w:p w14:paraId="29DA09BD">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数量、规格或要求</w:t>
            </w:r>
          </w:p>
        </w:tc>
        <w:tc>
          <w:tcPr>
            <w:tcW w:w="2539" w:type="dxa"/>
            <w:vAlign w:val="center"/>
          </w:tcPr>
          <w:p w14:paraId="50E4B18F">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最高限价（万元）</w:t>
            </w:r>
          </w:p>
        </w:tc>
      </w:tr>
      <w:tr w14:paraId="5DF7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760" w:type="dxa"/>
            <w:vAlign w:val="center"/>
          </w:tcPr>
          <w:p w14:paraId="738DCC3E">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p>
        </w:tc>
        <w:tc>
          <w:tcPr>
            <w:tcW w:w="2389" w:type="dxa"/>
            <w:vAlign w:val="center"/>
          </w:tcPr>
          <w:p w14:paraId="5FB706C6">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检验试剂</w:t>
            </w:r>
          </w:p>
        </w:tc>
        <w:tc>
          <w:tcPr>
            <w:tcW w:w="2561" w:type="dxa"/>
            <w:vAlign w:val="center"/>
          </w:tcPr>
          <w:p w14:paraId="430E7B4B">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详见招标文件</w:t>
            </w:r>
          </w:p>
        </w:tc>
        <w:tc>
          <w:tcPr>
            <w:tcW w:w="2539" w:type="dxa"/>
            <w:vAlign w:val="center"/>
          </w:tcPr>
          <w:p w14:paraId="412697D7">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231.68976</w:t>
            </w:r>
          </w:p>
        </w:tc>
      </w:tr>
      <w:tr w14:paraId="3DC3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710" w:type="dxa"/>
            <w:gridSpan w:val="3"/>
            <w:vAlign w:val="center"/>
          </w:tcPr>
          <w:p w14:paraId="6365661B">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合计</w:t>
            </w:r>
          </w:p>
        </w:tc>
        <w:tc>
          <w:tcPr>
            <w:tcW w:w="2539" w:type="dxa"/>
            <w:vAlign w:val="center"/>
          </w:tcPr>
          <w:p w14:paraId="14958AC2">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231.68976</w:t>
            </w:r>
          </w:p>
        </w:tc>
      </w:tr>
    </w:tbl>
    <w:p w14:paraId="0A5A3A25">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Theme="minorEastAsia" w:hAnsiTheme="minorEastAsia" w:eastAsiaTheme="minorEastAsia" w:cstheme="minorEastAsia"/>
          <w:b w:val="0"/>
          <w:bCs w:val="0"/>
          <w:color w:val="FF0000"/>
          <w:kern w:val="0"/>
          <w:sz w:val="24"/>
          <w:szCs w:val="24"/>
          <w:highlight w:val="none"/>
          <w:lang w:val="en-US"/>
        </w:rPr>
      </w:pPr>
      <w:r>
        <w:rPr>
          <w:rFonts w:hint="eastAsia" w:asciiTheme="minorEastAsia" w:hAnsiTheme="minorEastAsia" w:eastAsiaTheme="minorEastAsia" w:cstheme="minorEastAsia"/>
          <w:b/>
          <w:bCs/>
          <w:color w:val="auto"/>
          <w:kern w:val="0"/>
          <w:sz w:val="24"/>
          <w:szCs w:val="24"/>
          <w:highlight w:val="none"/>
          <w:lang w:val="en-US" w:eastAsia="zh-CN"/>
        </w:rPr>
        <w:t>（2）交货地点：</w:t>
      </w:r>
      <w:r>
        <w:rPr>
          <w:rFonts w:hint="eastAsia" w:asciiTheme="minorEastAsia" w:hAnsiTheme="minorEastAsia" w:eastAsiaTheme="minorEastAsia" w:cstheme="minorEastAsia"/>
          <w:b w:val="0"/>
          <w:bCs w:val="0"/>
          <w:color w:val="auto"/>
          <w:kern w:val="0"/>
          <w:sz w:val="24"/>
          <w:szCs w:val="24"/>
          <w:highlight w:val="none"/>
          <w:lang w:val="en-US" w:eastAsia="zh-CN"/>
        </w:rPr>
        <w:t>医院指定地点。</w:t>
      </w:r>
    </w:p>
    <w:p w14:paraId="2AD4B6E5">
      <w:pPr>
        <w:keepNext w:val="0"/>
        <w:keepLines w:val="0"/>
        <w:pageBreakBefore w:val="0"/>
        <w:widowControl w:val="0"/>
        <w:kinsoku/>
        <w:wordWrap/>
        <w:overflowPunct/>
        <w:topLinePunct w:val="0"/>
        <w:autoSpaceDE/>
        <w:bidi w:val="0"/>
        <w:adjustRightInd/>
        <w:snapToGrid/>
        <w:spacing w:line="560" w:lineRule="exact"/>
        <w:ind w:firstLine="482"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（3）交货要求：</w:t>
      </w:r>
      <w:r>
        <w:rPr>
          <w:rFonts w:hint="eastAsia" w:asciiTheme="minorEastAsia" w:hAnsiTheme="minorEastAsia" w:eastAsiaTheme="minorEastAsia" w:cstheme="minorEastAsia"/>
          <w:color w:val="auto"/>
          <w:kern w:val="0"/>
          <w:sz w:val="24"/>
          <w:szCs w:val="24"/>
          <w:highlight w:val="none"/>
          <w:lang w:val="en-US" w:eastAsia="zh-CN"/>
        </w:rPr>
        <w:t>供应商须按医院提供的耗材供应配送需求清单分批次进行交货。</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应</w:t>
      </w:r>
      <w:r>
        <w:rPr>
          <w:rFonts w:hint="eastAsia" w:asciiTheme="minorEastAsia" w:hAnsiTheme="minorEastAsia" w:eastAsiaTheme="minorEastAsia" w:cstheme="minorEastAsia"/>
          <w:color w:val="auto"/>
          <w:kern w:val="0"/>
          <w:sz w:val="24"/>
          <w:szCs w:val="24"/>
          <w:highlight w:val="none"/>
          <w:lang w:val="en-US" w:eastAsia="zh-CN"/>
        </w:rPr>
        <w:t>自行踏勘各医院所需耗材的交货地点，充分了解医院的运距、路况等，依据所签订的供应配送合同按时、按质、按量完成所需耗材的采购、运输、交货工作，保证所需耗材均能满足医院使用要求，供应配送中所产生的费用及运输途中的损耗由供应商承担。如所供医用耗材与供应配送合同要求不符，供应商须无条件更换，并承担由此产生的相关费用。</w:t>
      </w:r>
    </w:p>
    <w:p w14:paraId="2EBC6132">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2"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（4）供应配送时限要求：</w:t>
      </w:r>
      <w:r>
        <w:rPr>
          <w:rFonts w:hint="eastAsia" w:asciiTheme="minorEastAsia" w:hAnsiTheme="minorEastAsia" w:eastAsiaTheme="minorEastAsia" w:cstheme="minorEastAsia"/>
          <w:color w:val="auto"/>
          <w:sz w:val="24"/>
          <w:szCs w:val="24"/>
          <w:highlight w:val="none"/>
          <w:lang w:val="en-US" w:eastAsia="zh-CN"/>
        </w:rPr>
        <w:t>接到医院配送需求后，供应商应在5个工作日内完成所需医用耗材的供应配送工作，紧急情况下，耗材供应配送时间不得超过24小时。</w:t>
      </w:r>
    </w:p>
    <w:p w14:paraId="0813B845">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（5）产品质量要求：</w:t>
      </w:r>
    </w:p>
    <w:p w14:paraId="6C207963">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①</w:t>
      </w:r>
      <w:r>
        <w:rPr>
          <w:rFonts w:hint="eastAsia" w:asciiTheme="minorEastAsia" w:hAnsiTheme="minorEastAsia" w:eastAsiaTheme="minorEastAsia" w:cstheme="minorEastAsia"/>
          <w:color w:val="auto"/>
          <w:kern w:val="0"/>
          <w:sz w:val="24"/>
          <w:szCs w:val="24"/>
          <w:highlight w:val="none"/>
          <w:lang w:val="en-US" w:eastAsia="zh-CN"/>
        </w:rPr>
        <w:t>所供耗材必须是全新未使用过的，满足国家质量标准和行业规范，符合经注册或备案的产品技术要求（按规定无需注册或备案的符合产品出厂要求），配送至指定地点时剩余保质期时间须不低于额定保质期的四分之三。</w:t>
      </w:r>
    </w:p>
    <w:p w14:paraId="154E1057">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供应商须保证所供耗材与医院目前所使用的医疗设备（仪器）、医疗方法相匹配，以确保医院的诊疗效果。若供应商所供耗材与医院目前所使用的医疗设备（仪器）、医疗方法不匹配，无法达到使用效果的，采购人（或医院）有权要求供应商更换相应耗材直至达到使用效果为止，采购人（或医院）不另行支付因此产生的费用。</w:t>
      </w:r>
    </w:p>
    <w:p w14:paraId="6DC3F4B3">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0"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（6）</w:t>
      </w:r>
      <w:r>
        <w:rPr>
          <w:rFonts w:hint="eastAsia" w:asciiTheme="minorEastAsia" w:hAnsiTheme="minorEastAsia" w:eastAsiaTheme="minorEastAsia" w:cstheme="minorEastAsia"/>
          <w:b/>
          <w:bCs/>
          <w:color w:val="auto"/>
          <w:sz w:val="24"/>
          <w:szCs w:val="24"/>
          <w:highlight w:val="none"/>
          <w:lang w:val="en-US" w:eastAsia="zh-CN"/>
        </w:rPr>
        <w:t>验收要求：</w:t>
      </w:r>
    </w:p>
    <w:p w14:paraId="0341EEB4">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0" w:leftChars="0"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①</w:t>
      </w:r>
      <w:r>
        <w:rPr>
          <w:rFonts w:hint="eastAsia" w:asciiTheme="minorEastAsia" w:hAnsiTheme="minorEastAsia" w:eastAsiaTheme="minorEastAsia" w:cstheme="minorEastAsia"/>
          <w:color w:val="auto"/>
          <w:kern w:val="0"/>
          <w:sz w:val="24"/>
          <w:szCs w:val="24"/>
          <w:highlight w:val="none"/>
          <w:lang w:val="en-US" w:eastAsia="zh-CN"/>
        </w:rPr>
        <w:t>医院应在收到供应商交付耗材后2日内进行验收，由双方验收人员确认耗材的名称、规格、数量以及外观等情况，所供耗材与供应配送合同、配送清单一致的，双方验收人员在验收单据上签字确认，不一致的应当场通知供应商进行更换，并在验收单据中进行说明。</w:t>
      </w:r>
    </w:p>
    <w:p w14:paraId="42FFBB8D">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验收时，医院有权当面拒收破损或不符合供应配送合同约定的耗材，并有权要求供应商进行更换。</w:t>
      </w:r>
    </w:p>
    <w:p w14:paraId="57784951">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③</w:t>
      </w:r>
      <w:r>
        <w:rPr>
          <w:rFonts w:hint="eastAsia" w:asciiTheme="minorEastAsia" w:hAnsiTheme="minorEastAsia" w:eastAsiaTheme="minorEastAsia" w:cstheme="minorEastAsia"/>
          <w:color w:val="auto"/>
          <w:kern w:val="0"/>
          <w:sz w:val="24"/>
          <w:szCs w:val="24"/>
          <w:highlight w:val="none"/>
          <w:lang w:val="en-US" w:eastAsia="zh-CN"/>
        </w:rPr>
        <w:t>供应商所供应耗材的有效期低于该耗材额定保质期的四分之三的耗材，医院应拒收，并有权要求供应商进行更换。</w:t>
      </w:r>
    </w:p>
    <w:p w14:paraId="5D06EBEF">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④</w:t>
      </w:r>
      <w:r>
        <w:rPr>
          <w:rFonts w:hint="eastAsia" w:asciiTheme="minorEastAsia" w:hAnsiTheme="minorEastAsia" w:eastAsiaTheme="minorEastAsia" w:cstheme="minorEastAsia"/>
          <w:color w:val="auto"/>
          <w:kern w:val="0"/>
          <w:sz w:val="24"/>
          <w:szCs w:val="24"/>
          <w:highlight w:val="none"/>
          <w:lang w:val="en-US" w:eastAsia="zh-CN"/>
        </w:rPr>
        <w:t>医院或上级部门有权定期不定期抽查（抽检）供应商供应配送的耗材，若发现耗材质量不达标的，医院有权退货，由供应商进行更换，所造成的损失及责任由供应商承担。</w:t>
      </w:r>
    </w:p>
    <w:p w14:paraId="1D050B56">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⑤</w:t>
      </w:r>
      <w:r>
        <w:rPr>
          <w:rFonts w:hint="eastAsia" w:asciiTheme="minorEastAsia" w:hAnsiTheme="minorEastAsia" w:eastAsiaTheme="minorEastAsia" w:cstheme="minorEastAsia"/>
          <w:color w:val="auto"/>
          <w:kern w:val="0"/>
          <w:sz w:val="24"/>
          <w:szCs w:val="24"/>
          <w:highlight w:val="none"/>
          <w:lang w:val="en-US" w:eastAsia="zh-CN"/>
        </w:rPr>
        <w:t>因供应商所供应配送的耗材质量问题引起医疗纠纷的，供应商应承担相应的赔偿责任。</w:t>
      </w:r>
    </w:p>
    <w:p w14:paraId="1A62D96F">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（7）其他</w:t>
      </w:r>
    </w:p>
    <w:p w14:paraId="4B92BA2D">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①合同履行过程中，涉及集采目录的按照集采目录价格执行</w:t>
      </w:r>
      <w:r>
        <w:rPr>
          <w:rFonts w:hint="eastAsia" w:asciiTheme="minorEastAsia" w:hAnsiTheme="minorEastAsia" w:eastAsiaTheme="minorEastAsia" w:cstheme="minorEastAsia"/>
          <w:color w:val="auto"/>
          <w:kern w:val="0"/>
          <w:sz w:val="24"/>
          <w:szCs w:val="24"/>
          <w:highlight w:val="none"/>
          <w:lang w:val="en-US" w:eastAsia="zh-CN"/>
        </w:rPr>
        <w:t>。</w:t>
      </w:r>
    </w:p>
    <w:p w14:paraId="101860EA">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具体采购内容、医共体各成员单位情况详见本招标文件相关章节。</w:t>
      </w:r>
    </w:p>
    <w:p w14:paraId="771512FB">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7.合同履行期限：自合同签订之日起1年</w:t>
      </w:r>
      <w:r>
        <w:rPr>
          <w:rFonts w:hint="eastAsia" w:asciiTheme="minorEastAsia" w:hAnsiTheme="minorEastAsia" w:eastAsiaTheme="minorEastAsia" w:cstheme="minorEastAsia"/>
          <w:b w:val="0"/>
          <w:bCs w:val="0"/>
          <w:sz w:val="24"/>
          <w:szCs w:val="24"/>
          <w:highlight w:val="none"/>
        </w:rPr>
        <w:t>。</w:t>
      </w:r>
    </w:p>
    <w:p w14:paraId="0B6DAB84">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kern w:val="0"/>
          <w:sz w:val="24"/>
          <w:szCs w:val="24"/>
          <w:highlight w:val="none"/>
        </w:rPr>
      </w:pPr>
      <w:r>
        <w:rPr>
          <w:rFonts w:hint="eastAsia" w:asciiTheme="minorEastAsia" w:hAnsiTheme="minorEastAsia" w:eastAsiaTheme="minorEastAsia" w:cstheme="minorEastAsia"/>
          <w:b w:val="0"/>
          <w:bCs w:val="0"/>
          <w:color w:val="auto"/>
          <w:kern w:val="0"/>
          <w:sz w:val="24"/>
          <w:szCs w:val="24"/>
          <w:highlight w:val="none"/>
          <w:lang w:val="en-US" w:eastAsia="zh-CN"/>
        </w:rPr>
        <w:t>8.</w:t>
      </w:r>
      <w:r>
        <w:rPr>
          <w:rFonts w:hint="eastAsia" w:asciiTheme="minorEastAsia" w:hAnsiTheme="minorEastAsia" w:eastAsiaTheme="minorEastAsia" w:cstheme="minorEastAsia"/>
          <w:b w:val="0"/>
          <w:bCs w:val="0"/>
          <w:color w:val="auto"/>
          <w:kern w:val="0"/>
          <w:sz w:val="24"/>
          <w:szCs w:val="24"/>
          <w:highlight w:val="none"/>
        </w:rPr>
        <w:t>本项目（否）接受联合体投标。</w:t>
      </w:r>
    </w:p>
    <w:p w14:paraId="0DBCD1D6">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14" w:name="_Toc35393622"/>
      <w:bookmarkStart w:id="15" w:name="_Toc28359080"/>
      <w:bookmarkStart w:id="16" w:name="_Toc35393791"/>
      <w:bookmarkStart w:id="17" w:name="_Toc28359003"/>
      <w:r>
        <w:rPr>
          <w:rFonts w:hint="eastAsia" w:asciiTheme="minorEastAsia" w:hAnsiTheme="minorEastAsia" w:eastAsiaTheme="minorEastAsia" w:cstheme="minorEastAsia"/>
          <w:b/>
          <w:bCs/>
          <w:color w:val="auto"/>
          <w:sz w:val="24"/>
          <w:szCs w:val="24"/>
          <w:highlight w:val="none"/>
        </w:rPr>
        <w:t>二、</w:t>
      </w:r>
      <w:r>
        <w:rPr>
          <w:rFonts w:hint="eastAsia" w:asciiTheme="minorEastAsia" w:hAnsiTheme="minorEastAsia" w:eastAsiaTheme="minorEastAsia" w:cstheme="minorEastAsia"/>
          <w:b/>
          <w:bCs/>
          <w:color w:val="auto"/>
          <w:sz w:val="24"/>
          <w:szCs w:val="24"/>
          <w:highlight w:val="none"/>
          <w:lang w:val="en-US" w:eastAsia="zh-CN"/>
        </w:rPr>
        <w:t>供应商</w:t>
      </w:r>
      <w:r>
        <w:rPr>
          <w:rFonts w:hint="eastAsia" w:asciiTheme="minorEastAsia" w:hAnsiTheme="minorEastAsia" w:eastAsiaTheme="minorEastAsia" w:cstheme="minorEastAsia"/>
          <w:b/>
          <w:bCs/>
          <w:color w:val="auto"/>
          <w:sz w:val="24"/>
          <w:szCs w:val="24"/>
          <w:highlight w:val="none"/>
        </w:rPr>
        <w:t>的资格要求：</w:t>
      </w:r>
      <w:bookmarkEnd w:id="14"/>
      <w:bookmarkEnd w:id="15"/>
      <w:bookmarkEnd w:id="16"/>
      <w:bookmarkEnd w:id="17"/>
    </w:p>
    <w:p w14:paraId="7F5E5DF7">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bookmarkStart w:id="18" w:name="_Toc35393623"/>
      <w:bookmarkStart w:id="19" w:name="_Toc35393792"/>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169E974F">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2.落实政府采购政策需满足的资格要求：</w:t>
      </w:r>
    </w:p>
    <w:p w14:paraId="578C51FA">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（1）符合《中华人民共和国政府采购法》《中华人民共和国政府采购法实施条例》等有关法律、法规规定。</w:t>
      </w:r>
    </w:p>
    <w:p w14:paraId="23F081F8">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r>
        <w:rPr>
          <w:rFonts w:hint="eastAsia" w:asciiTheme="minorEastAsia" w:hAnsiTheme="minorEastAsia" w:eastAsiaTheme="minorEastAsia" w:cstheme="minorEastAsia"/>
          <w:color w:val="auto"/>
          <w:sz w:val="24"/>
          <w:szCs w:val="24"/>
          <w:highlight w:val="none"/>
          <w:lang w:eastAsia="zh-CN"/>
        </w:rPr>
        <w:t>。</w:t>
      </w:r>
    </w:p>
    <w:p w14:paraId="5E499FF5">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本项目不属于专门面向中小企业采购的项目。</w:t>
      </w:r>
    </w:p>
    <w:p w14:paraId="1203246F">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供应商所投货物全部由符合政策要求的小微企业制造的，对供应商的价格给予10%的扣除，用扣除后的价格参与评审；监狱企业、残疾人福利性单位视同小型、微型企业，其提供的货物在评审时对供应商给予相同的价格扣除</w:t>
      </w:r>
      <w:r>
        <w:rPr>
          <w:rFonts w:hint="eastAsia" w:asciiTheme="minorEastAsia" w:hAnsiTheme="minorEastAsia" w:eastAsiaTheme="minorEastAsia" w:cstheme="minorEastAsia"/>
          <w:color w:val="auto"/>
          <w:sz w:val="24"/>
          <w:szCs w:val="24"/>
          <w:highlight w:val="none"/>
        </w:rPr>
        <w:t>。</w:t>
      </w:r>
    </w:p>
    <w:p w14:paraId="7A830FA6">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）本项目采购标的对应的中小企业划分标准所属行业为：</w:t>
      </w:r>
      <w:r>
        <w:rPr>
          <w:rFonts w:hint="eastAsia" w:asciiTheme="minorEastAsia" w:hAnsiTheme="minorEastAsia" w:eastAsiaTheme="minorEastAsia" w:cstheme="minorEastAsia"/>
          <w:color w:val="auto"/>
          <w:sz w:val="24"/>
          <w:szCs w:val="24"/>
          <w:highlight w:val="none"/>
          <w:lang w:val="en-US" w:eastAsia="zh-CN"/>
        </w:rPr>
        <w:t>工信部联企业〔2011〕300号中的“工业”。</w:t>
      </w:r>
    </w:p>
    <w:p w14:paraId="46AB9C96">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3.本项目的特定资格要求：</w:t>
      </w:r>
    </w:p>
    <w:p w14:paraId="561624B5">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须为在中华人民共和国注册</w:t>
      </w:r>
      <w:r>
        <w:rPr>
          <w:rFonts w:hint="eastAsia" w:asciiTheme="minorEastAsia" w:hAnsiTheme="minorEastAsia" w:eastAsiaTheme="minorEastAsia" w:cstheme="minorEastAsia"/>
          <w:color w:val="auto"/>
          <w:sz w:val="24"/>
          <w:szCs w:val="24"/>
          <w:highlight w:val="none"/>
          <w:lang w:val="en-US" w:eastAsia="zh-CN"/>
        </w:rPr>
        <w:t>且</w:t>
      </w:r>
      <w:r>
        <w:rPr>
          <w:rFonts w:hint="eastAsia" w:asciiTheme="minorEastAsia" w:hAnsiTheme="minorEastAsia" w:eastAsiaTheme="minorEastAsia" w:cstheme="minorEastAsia"/>
          <w:color w:val="auto"/>
          <w:sz w:val="24"/>
          <w:szCs w:val="24"/>
          <w:highlight w:val="none"/>
        </w:rPr>
        <w:t>具有独立承担民事责任能力的法人</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其他组织，持有有效的法人或者其他组织的营业执照等证明文件。</w:t>
      </w:r>
    </w:p>
    <w:p w14:paraId="2E59E815">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如果是代理商或经销商的，须提供医疗器械经营许可/备案证；供应商如果是制造商的，须提供医疗器械生产许可/备案证。医疗器械生产/经营许可/备案证生产或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的规定，在《医疗器械分类目录》内的产品必须按照《医疗器械监督管理条例》的要求提供，其他不在《医疗器械分类目录》内的不作强行要求）。</w:t>
      </w:r>
    </w:p>
    <w:p w14:paraId="7A774F7E">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供应商须具有良好的商业信誉和健全的财务会计制度，提供2023、2024年度任意一年度财务报表（资产负债表、现金流量表、利润表）（2025年以后新成立的公司则提供现有财务资料或开户银行出具的资信证明）</w:t>
      </w:r>
      <w:r>
        <w:rPr>
          <w:rFonts w:hint="eastAsia" w:asciiTheme="minorEastAsia" w:hAnsiTheme="minorEastAsia" w:eastAsiaTheme="minorEastAsia" w:cstheme="minorEastAsia"/>
          <w:color w:val="auto"/>
          <w:sz w:val="24"/>
          <w:szCs w:val="24"/>
          <w:highlight w:val="none"/>
          <w:lang w:eastAsia="zh-CN"/>
        </w:rPr>
        <w:t>。</w:t>
      </w:r>
    </w:p>
    <w:p w14:paraId="2FBCFD3B">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供应商须</w:t>
      </w:r>
      <w:r>
        <w:rPr>
          <w:rFonts w:hint="eastAsia" w:asciiTheme="minorEastAsia" w:hAnsiTheme="minorEastAsia" w:eastAsiaTheme="minorEastAsia" w:cstheme="minorEastAsia"/>
          <w:color w:val="auto"/>
          <w:sz w:val="24"/>
          <w:szCs w:val="24"/>
          <w:highlight w:val="none"/>
        </w:rPr>
        <w:t>具有履行合同所必需的设备和专业技术能力。</w:t>
      </w:r>
    </w:p>
    <w:p w14:paraId="0103836D">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供应商须具有依法缴纳税收和社保资金的良好记录，提供</w:t>
      </w:r>
      <w:r>
        <w:rPr>
          <w:rFonts w:hint="eastAsia" w:asciiTheme="minorEastAsia" w:hAnsiTheme="minorEastAsia" w:eastAsiaTheme="minorEastAsia" w:cstheme="minorEastAsia"/>
          <w:sz w:val="24"/>
          <w:szCs w:val="24"/>
          <w:highlight w:val="none"/>
        </w:rPr>
        <w:t>税务局税收通用缴款书或银行电子缴税（费）凭证或税务局出具纳税情况的相关证明</w:t>
      </w:r>
      <w:r>
        <w:rPr>
          <w:rFonts w:hint="eastAsia" w:asciiTheme="minorEastAsia" w:hAnsiTheme="minorEastAsia" w:eastAsiaTheme="minorEastAsia" w:cstheme="minorEastAsia"/>
          <w:color w:val="auto"/>
          <w:sz w:val="24"/>
          <w:szCs w:val="24"/>
          <w:highlight w:val="none"/>
          <w:lang w:val="en-US" w:eastAsia="zh-CN"/>
        </w:rPr>
        <w:t>（新成立的供应商，提供情况说明或未拖欠税收、社保资金承诺或证明材料）；依法免税或无需缴纳社会保障资金的供应商，应具有相应证明文件。</w:t>
      </w:r>
    </w:p>
    <w:p w14:paraId="5913358C">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参加政府采购</w:t>
      </w:r>
      <w:r>
        <w:rPr>
          <w:rFonts w:hint="eastAsia" w:asciiTheme="minorEastAsia" w:hAnsiTheme="minorEastAsia" w:eastAsiaTheme="minorEastAsia" w:cstheme="minorEastAsia"/>
          <w:color w:val="auto"/>
          <w:sz w:val="24"/>
          <w:szCs w:val="24"/>
          <w:highlight w:val="none"/>
          <w:lang w:eastAsia="zh-CN"/>
        </w:rPr>
        <w:t>活动前三年内</w:t>
      </w:r>
      <w:r>
        <w:rPr>
          <w:rFonts w:hint="eastAsia" w:asciiTheme="minorEastAsia" w:hAnsiTheme="minorEastAsia" w:eastAsiaTheme="minorEastAsia" w:cstheme="minorEastAsia"/>
          <w:color w:val="auto"/>
          <w:sz w:val="24"/>
          <w:szCs w:val="24"/>
          <w:highlight w:val="none"/>
        </w:rPr>
        <w:t>，在经营活动中没有重大违法记录。</w:t>
      </w:r>
    </w:p>
    <w:p w14:paraId="5717EE32">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供应商未被列入“信用中国”网站“失信被执行人”、“重大税收违法案件当事人名单”、“政府采购严重违法失信行为记录名单”及中国政府采购网“政府采购严重违法失信行为信息记录”（被禁止在一定期限内参加政府采购活动但期限届满的除外，由采购人或采购代理机构在项目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前统一查询）。</w:t>
      </w:r>
    </w:p>
    <w:p w14:paraId="33960886">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（8）根据《中华人民共和国政府采购法实施条例》第十八条规定，单位负责人为同一人或者存在直接控股、管理关系的不同供应商，不得参加同一合同项下的政府采购活动。</w:t>
      </w:r>
    </w:p>
    <w:p w14:paraId="7FB6D818">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（9）其他要求详见招标文件。</w:t>
      </w:r>
    </w:p>
    <w:p w14:paraId="446C92FC">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三、获取招标</w:t>
      </w:r>
      <w:bookmarkEnd w:id="18"/>
      <w:bookmarkEnd w:id="19"/>
      <w:r>
        <w:rPr>
          <w:rFonts w:hint="eastAsia" w:asciiTheme="minorEastAsia" w:hAnsiTheme="minorEastAsia" w:eastAsiaTheme="minorEastAsia" w:cstheme="minorEastAsia"/>
          <w:b/>
          <w:bCs/>
          <w:color w:val="auto"/>
          <w:sz w:val="24"/>
          <w:szCs w:val="24"/>
          <w:highlight w:val="none"/>
          <w:lang w:val="en-US" w:eastAsia="zh-CN"/>
        </w:rPr>
        <w:t>文件</w:t>
      </w:r>
    </w:p>
    <w:p w14:paraId="76A922B8">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bookmarkStart w:id="20" w:name="_Toc28359082"/>
      <w:bookmarkStart w:id="21" w:name="_Toc28359005"/>
      <w:bookmarkStart w:id="22" w:name="_Toc35393793"/>
      <w:bookmarkStart w:id="23" w:name="_Toc35393624"/>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none"/>
          <w:lang w:val="en-US" w:eastAsia="zh-CN"/>
        </w:rPr>
        <w:t>2025</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06</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23</w:t>
      </w:r>
      <w:r>
        <w:rPr>
          <w:rFonts w:hint="eastAsia" w:asciiTheme="minorEastAsia" w:hAnsiTheme="minorEastAsia" w:eastAsiaTheme="minorEastAsia" w:cstheme="minorEastAsia"/>
          <w:color w:val="auto"/>
          <w:sz w:val="24"/>
          <w:szCs w:val="24"/>
          <w:highlight w:val="none"/>
          <w:u w:val="none"/>
        </w:rPr>
        <w:t>日至</w:t>
      </w:r>
      <w:r>
        <w:rPr>
          <w:rFonts w:hint="eastAsia" w:asciiTheme="minorEastAsia" w:hAnsiTheme="minorEastAsia" w:eastAsiaTheme="minorEastAsia" w:cstheme="minorEastAsia"/>
          <w:color w:val="auto"/>
          <w:sz w:val="24"/>
          <w:szCs w:val="24"/>
          <w:highlight w:val="none"/>
          <w:u w:val="none"/>
          <w:lang w:val="en-US" w:eastAsia="zh-CN"/>
        </w:rPr>
        <w:t>2025</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06</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30</w:t>
      </w:r>
      <w:r>
        <w:rPr>
          <w:rFonts w:hint="eastAsia" w:asciiTheme="minorEastAsia" w:hAnsiTheme="minorEastAsia" w:eastAsiaTheme="minorEastAsia" w:cstheme="minorEastAsia"/>
          <w:color w:val="auto"/>
          <w:sz w:val="24"/>
          <w:szCs w:val="24"/>
          <w:highlight w:val="none"/>
          <w:u w:val="none"/>
        </w:rPr>
        <w:t>日</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每天上午6时00分至12时00分，</w:t>
      </w:r>
      <w:r>
        <w:rPr>
          <w:rFonts w:hint="eastAsia" w:asciiTheme="minorEastAsia" w:hAnsiTheme="minorEastAsia" w:eastAsiaTheme="minorEastAsia" w:cstheme="minorEastAsia"/>
          <w:strike w:val="0"/>
          <w:dstrike w:val="0"/>
          <w:color w:val="auto"/>
          <w:sz w:val="24"/>
          <w:szCs w:val="24"/>
          <w:highlight w:val="none"/>
          <w:u w:val="none"/>
          <w:lang w:val="en-US" w:eastAsia="zh-CN"/>
        </w:rPr>
        <w:t>下午</w:t>
      </w:r>
      <w:r>
        <w:rPr>
          <w:rFonts w:hint="eastAsia" w:asciiTheme="minorEastAsia" w:hAnsiTheme="minorEastAsia" w:eastAsiaTheme="minorEastAsia" w:cstheme="minorEastAsia"/>
          <w:color w:val="auto"/>
          <w:sz w:val="24"/>
          <w:szCs w:val="24"/>
          <w:highlight w:val="none"/>
          <w:u w:val="none"/>
          <w:lang w:val="en-US" w:eastAsia="zh-CN"/>
        </w:rPr>
        <w:t>12时00分至23时59分</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法定节假日除外</w:t>
      </w:r>
      <w:r>
        <w:rPr>
          <w:rFonts w:hint="eastAsia" w:asciiTheme="minorEastAsia" w:hAnsiTheme="minorEastAsia" w:eastAsiaTheme="minorEastAsia" w:cstheme="minorEastAsia"/>
          <w:color w:val="auto"/>
          <w:sz w:val="24"/>
          <w:szCs w:val="24"/>
          <w:highlight w:val="none"/>
        </w:rPr>
        <w:t>）</w:t>
      </w:r>
    </w:p>
    <w:p w14:paraId="3A2E4A5C">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val="en-US" w:eastAsia="zh-CN"/>
        </w:rPr>
        <w:t>政采云平台（http://www.zcygov.cn）线上获取（操作路径：登录“政采云”平台-项目采购-获取采购文件-找到本项目-点击“申请获取采购文件”）。政采云电子交易服务热线：95763。</w:t>
      </w:r>
    </w:p>
    <w:p w14:paraId="3ACFD7DD">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方式：1.凡有意参加投标者，须在政采云平台办理数字证书（CA），并在政采云绑定数字证书（CA）后线上获取</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文件及其它</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资料。CA申领链接：https://middle.zcygov.cn/ca/apply/list?_app_=zcy.sys，CA申领后需登陆政采云平台完成数字证书（CA）绑定才可以使用，数字证书（CA）详见其办理流程。</w:t>
      </w:r>
    </w:p>
    <w:p w14:paraId="2DB5FB7C">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.按上述要求获取文件的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视为合法获取了本项目</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文件，具备本项目的投标资格。</w:t>
      </w:r>
    </w:p>
    <w:p w14:paraId="76AFA620">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售价：</w:t>
      </w:r>
      <w:r>
        <w:rPr>
          <w:rFonts w:hint="eastAsia" w:asciiTheme="minorEastAsia" w:hAnsiTheme="minorEastAsia" w:eastAsiaTheme="minorEastAsia" w:cstheme="minorEastAsia"/>
          <w:color w:val="auto"/>
          <w:sz w:val="24"/>
          <w:szCs w:val="24"/>
          <w:highlight w:val="none"/>
          <w:lang w:val="en-US" w:eastAsia="zh-CN"/>
        </w:rPr>
        <w:t>0元</w:t>
      </w:r>
    </w:p>
    <w:p w14:paraId="3FC590E0">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四、提交投标文件</w:t>
      </w:r>
      <w:bookmarkEnd w:id="20"/>
      <w:bookmarkEnd w:id="21"/>
      <w:r>
        <w:rPr>
          <w:rFonts w:hint="eastAsia" w:asciiTheme="minorEastAsia" w:hAnsiTheme="minorEastAsia" w:eastAsiaTheme="minorEastAsia" w:cstheme="minorEastAsia"/>
          <w:b/>
          <w:bCs/>
          <w:color w:val="auto"/>
          <w:sz w:val="24"/>
          <w:szCs w:val="24"/>
          <w:highlight w:val="none"/>
        </w:rPr>
        <w:t>截止时间、开标时间和地点</w:t>
      </w:r>
      <w:bookmarkEnd w:id="22"/>
      <w:bookmarkEnd w:id="23"/>
    </w:p>
    <w:p w14:paraId="265CDC7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24" w:name="_Toc35393625"/>
      <w:bookmarkStart w:id="25" w:name="_Toc28359007"/>
      <w:bookmarkStart w:id="26" w:name="_Toc35393794"/>
      <w:bookmarkStart w:id="27" w:name="_Toc28359084"/>
      <w:r>
        <w:rPr>
          <w:rFonts w:hint="eastAsia" w:asciiTheme="minorEastAsia" w:hAnsiTheme="minorEastAsia" w:eastAsiaTheme="minorEastAsia" w:cstheme="minorEastAsia"/>
          <w:color w:val="auto"/>
          <w:sz w:val="24"/>
          <w:szCs w:val="24"/>
          <w:highlight w:val="none"/>
          <w:lang w:val="en-US" w:eastAsia="zh-CN"/>
        </w:rPr>
        <w:t>1.截止时间：2025</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u w:val="none"/>
          <w:lang w:val="en-US" w:eastAsia="zh-CN"/>
        </w:rPr>
        <w:t>14</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u w:val="none"/>
          <w:lang w:val="en-US" w:eastAsia="zh-CN"/>
        </w:rPr>
        <w:t>09</w:t>
      </w:r>
      <w:r>
        <w:rPr>
          <w:rFonts w:hint="eastAsia" w:asciiTheme="minorEastAsia" w:hAnsiTheme="minorEastAsia" w:eastAsiaTheme="minorEastAsia" w:cstheme="minorEastAsia"/>
          <w:color w:val="auto"/>
          <w:sz w:val="24"/>
          <w:szCs w:val="24"/>
          <w:highlight w:val="none"/>
          <w:lang w:val="en-US" w:eastAsia="zh-CN"/>
        </w:rPr>
        <w:t>时</w:t>
      </w:r>
      <w:r>
        <w:rPr>
          <w:rFonts w:hint="eastAsia" w:asciiTheme="minorEastAsia" w:hAnsiTheme="minorEastAsia" w:eastAsiaTheme="minorEastAsia" w:cstheme="minorEastAsia"/>
          <w:color w:val="auto"/>
          <w:sz w:val="24"/>
          <w:szCs w:val="24"/>
          <w:highlight w:val="none"/>
          <w:u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518C19A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2.开标时间：2025</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u w:val="none"/>
          <w:lang w:val="en-US" w:eastAsia="zh-CN"/>
        </w:rPr>
        <w:t>14</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u w:val="none"/>
          <w:lang w:val="en-US" w:eastAsia="zh-CN"/>
        </w:rPr>
        <w:t>09</w:t>
      </w:r>
      <w:r>
        <w:rPr>
          <w:rFonts w:hint="eastAsia" w:asciiTheme="minorEastAsia" w:hAnsiTheme="minorEastAsia" w:eastAsiaTheme="minorEastAsia" w:cstheme="minorEastAsia"/>
          <w:color w:val="auto"/>
          <w:sz w:val="24"/>
          <w:szCs w:val="24"/>
          <w:highlight w:val="none"/>
          <w:lang w:val="en-US" w:eastAsia="zh-CN"/>
        </w:rPr>
        <w:t>时</w:t>
      </w:r>
      <w:r>
        <w:rPr>
          <w:rFonts w:hint="eastAsia" w:asciiTheme="minorEastAsia" w:hAnsiTheme="minorEastAsia" w:eastAsiaTheme="minorEastAsia" w:cstheme="minorEastAsia"/>
          <w:color w:val="auto"/>
          <w:sz w:val="24"/>
          <w:szCs w:val="24"/>
          <w:highlight w:val="none"/>
          <w:u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7F8A4C9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val="en-US" w:eastAsia="zh-CN"/>
        </w:rPr>
        <w:t>政采云平台（http://www.zcygov.cn，各供应商须在投标截止时间前完成所有投标文件的上传，投标截止时间前未完成投标文件上传的，视为撤回投标文件。若供应商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4362E67D">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五、公告期限</w:t>
      </w:r>
      <w:bookmarkEnd w:id="24"/>
      <w:bookmarkEnd w:id="25"/>
      <w:bookmarkEnd w:id="26"/>
      <w:bookmarkEnd w:id="27"/>
    </w:p>
    <w:p w14:paraId="2B993147">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p>
    <w:p w14:paraId="692812BD">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28" w:name="_Toc35393626"/>
      <w:bookmarkStart w:id="29" w:name="_Toc35393795"/>
      <w:r>
        <w:rPr>
          <w:rFonts w:hint="eastAsia" w:asciiTheme="minorEastAsia" w:hAnsiTheme="minorEastAsia" w:eastAsiaTheme="minorEastAsia" w:cstheme="minorEastAsia"/>
          <w:b/>
          <w:bCs/>
          <w:color w:val="auto"/>
          <w:sz w:val="24"/>
          <w:szCs w:val="24"/>
          <w:highlight w:val="none"/>
        </w:rPr>
        <w:t>六、其他补充事宜</w:t>
      </w:r>
      <w:bookmarkEnd w:id="28"/>
      <w:bookmarkEnd w:id="29"/>
    </w:p>
    <w:p w14:paraId="10076E67">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30" w:name="_Toc35393627"/>
      <w:bookmarkStart w:id="31" w:name="_Toc35393796"/>
      <w:bookmarkStart w:id="32" w:name="_Toc28359085"/>
      <w:bookmarkStart w:id="33" w:name="_Toc28359008"/>
      <w:r>
        <w:rPr>
          <w:rFonts w:hint="eastAsia" w:asciiTheme="minorEastAsia" w:hAnsiTheme="minorEastAsia" w:eastAsiaTheme="minorEastAsia" w:cstheme="minorEastAsia"/>
          <w:b w:val="0"/>
          <w:bCs w:val="0"/>
          <w:color w:val="auto"/>
          <w:sz w:val="24"/>
          <w:szCs w:val="24"/>
          <w:highlight w:val="none"/>
          <w:lang w:val="en-US" w:eastAsia="zh-CN"/>
        </w:rPr>
        <w:t>（一）获取招标文件</w:t>
      </w:r>
    </w:p>
    <w:p w14:paraId="11F7EF9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凡有意参加本项目投标的供应商，须在本项目规定的“获取招标文件”时限内在政采云平台完成“注册”、“登录”、“办理数字证书（CA）”、“绑定数字证书（CA）”等流程后，即可线上获取招标文件及相关资料。</w:t>
      </w:r>
    </w:p>
    <w:p w14:paraId="0569628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w:t>
      </w:r>
      <w:bookmarkStart w:id="34" w:name="OLE_LINK7"/>
      <w:r>
        <w:rPr>
          <w:rFonts w:hint="eastAsia" w:asciiTheme="minorEastAsia" w:hAnsiTheme="minorEastAsia" w:eastAsiaTheme="minorEastAsia" w:cstheme="minorEastAsia"/>
          <w:b w:val="0"/>
          <w:bCs w:val="0"/>
          <w:color w:val="auto"/>
          <w:sz w:val="24"/>
          <w:szCs w:val="24"/>
          <w:highlight w:val="none"/>
          <w:lang w:val="en-US" w:eastAsia="zh-CN"/>
        </w:rPr>
        <w:t>供应商已在政采云平台办理过数字证书（CA）的，直接绑定即可，无需重复办理。云南省外供应商在政采云平台办理的其他CA可直接使用，无需重复办理。</w:t>
      </w:r>
      <w:bookmarkEnd w:id="34"/>
      <w:r>
        <w:rPr>
          <w:rFonts w:hint="eastAsia" w:asciiTheme="minorEastAsia" w:hAnsiTheme="minorEastAsia" w:eastAsiaTheme="minorEastAsia" w:cstheme="minorEastAsia"/>
          <w:b w:val="0"/>
          <w:bCs w:val="0"/>
          <w:color w:val="auto"/>
          <w:sz w:val="24"/>
          <w:szCs w:val="24"/>
          <w:highlight w:val="none"/>
          <w:lang w:val="en-US" w:eastAsia="zh-CN"/>
        </w:rPr>
        <w:t>若供应商未办理数字证书（CA）的，政府采购云平台支持多家CA服务商，供应商可根据自己需求，在政采云平台自主选择CA办理方式，其中：</w:t>
      </w:r>
    </w:p>
    <w:p w14:paraId="1D483EA5">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方式一（云南壹证通CA）：CA申领链接为</w:t>
      </w:r>
      <w:r>
        <w:rPr>
          <w:rFonts w:hint="eastAsia" w:asciiTheme="minorEastAsia" w:hAnsiTheme="minorEastAsia" w:eastAsiaTheme="minorEastAsia" w:cstheme="minorEastAsia"/>
          <w:b w:val="0"/>
          <w:bCs w:val="0"/>
          <w:color w:val="auto"/>
          <w:sz w:val="24"/>
          <w:szCs w:val="24"/>
          <w:highlight w:val="none"/>
          <w:lang w:val="en-US" w:eastAsia="zh-CN"/>
        </w:rPr>
        <w:fldChar w:fldCharType="begin"/>
      </w:r>
      <w:r>
        <w:rPr>
          <w:rFonts w:hint="eastAsia" w:asciiTheme="minorEastAsia" w:hAnsiTheme="minorEastAsia" w:eastAsiaTheme="minorEastAsia" w:cstheme="minorEastAsia"/>
          <w:b w:val="0"/>
          <w:bCs w:val="0"/>
          <w:color w:val="auto"/>
          <w:sz w:val="24"/>
          <w:szCs w:val="24"/>
          <w:highlight w:val="none"/>
          <w:lang w:val="en-US" w:eastAsia="zh-CN"/>
        </w:rPr>
        <w:instrText xml:space="preserve"> HYPERLINK "http://yzt.ynsmartcert.cn/cms/yztlccb.html" </w:instrText>
      </w:r>
      <w:r>
        <w:rPr>
          <w:rFonts w:hint="eastAsia" w:asciiTheme="minorEastAsia" w:hAnsiTheme="minorEastAsia" w:eastAsiaTheme="minorEastAsia" w:cstheme="minorEastAsia"/>
          <w:b w:val="0"/>
          <w:bCs w:val="0"/>
          <w:color w:val="auto"/>
          <w:sz w:val="24"/>
          <w:szCs w:val="24"/>
          <w:highlight w:val="none"/>
          <w:lang w:val="en-US" w:eastAsia="zh-CN"/>
        </w:rPr>
        <w:fldChar w:fldCharType="separate"/>
      </w:r>
      <w:r>
        <w:rPr>
          <w:rFonts w:hint="eastAsia" w:asciiTheme="minorEastAsia" w:hAnsiTheme="minorEastAsia" w:eastAsiaTheme="minorEastAsia" w:cstheme="minorEastAsia"/>
          <w:b w:val="0"/>
          <w:bCs w:val="0"/>
          <w:color w:val="auto"/>
          <w:sz w:val="24"/>
          <w:szCs w:val="24"/>
          <w:highlight w:val="none"/>
          <w:lang w:val="en-US" w:eastAsia="zh-CN"/>
        </w:rPr>
        <w:t>http://yzt.ynsmartcert.cn/cms/yztlccb.html</w:t>
      </w:r>
      <w:r>
        <w:rPr>
          <w:rFonts w:hint="eastAsia" w:asciiTheme="minorEastAsia" w:hAnsiTheme="minorEastAsia" w:eastAsiaTheme="minorEastAsia" w:cstheme="minorEastAsia"/>
          <w:b w:val="0"/>
          <w:bCs w:val="0"/>
          <w:color w:val="auto"/>
          <w:sz w:val="24"/>
          <w:szCs w:val="24"/>
          <w:highlight w:val="none"/>
          <w:lang w:val="en-US" w:eastAsia="zh-CN"/>
        </w:rPr>
        <w:fldChar w:fldCharType="end"/>
      </w:r>
      <w:r>
        <w:rPr>
          <w:rFonts w:hint="eastAsia" w:asciiTheme="minorEastAsia" w:hAnsiTheme="minorEastAsia" w:eastAsiaTheme="minorEastAsia" w:cstheme="minorEastAsia"/>
          <w:b w:val="0"/>
          <w:bCs w:val="0"/>
          <w:color w:val="auto"/>
          <w:sz w:val="24"/>
          <w:szCs w:val="24"/>
          <w:highlight w:val="none"/>
          <w:lang w:val="en-US" w:eastAsia="zh-CN"/>
        </w:rPr>
        <w:t>，支持线上、线下办理方式，并提供7*24小时全天候客户服务支持，客服热线400-004-0628（紧急CA办理电话：19988166369）；</w:t>
      </w:r>
    </w:p>
    <w:p w14:paraId="67D508D8">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方式二（云南CA）：CA申领链接为</w:t>
      </w:r>
      <w:bookmarkStart w:id="35" w:name="OLE_LINK3"/>
      <w:r>
        <w:rPr>
          <w:rFonts w:hint="eastAsia" w:asciiTheme="minorEastAsia" w:hAnsiTheme="minorEastAsia" w:eastAsiaTheme="minorEastAsia" w:cstheme="minorEastAsia"/>
          <w:b w:val="0"/>
          <w:bCs w:val="0"/>
          <w:color w:val="auto"/>
          <w:sz w:val="24"/>
          <w:szCs w:val="24"/>
          <w:highlight w:val="none"/>
          <w:lang w:val="en-US" w:eastAsia="zh-CN"/>
        </w:rPr>
        <w:t>https://cap.yunnanca.net/，支持线上、线下办理方式，并提供7*24小时全天候客户服务支持，客服热线400-672-7666（紧急办理CA电话：18725158190）</w:t>
      </w:r>
      <w:bookmarkEnd w:id="35"/>
      <w:r>
        <w:rPr>
          <w:rFonts w:hint="eastAsia" w:asciiTheme="minorEastAsia" w:hAnsiTheme="minorEastAsia" w:eastAsiaTheme="minorEastAsia" w:cstheme="minorEastAsia"/>
          <w:b w:val="0"/>
          <w:bCs w:val="0"/>
          <w:color w:val="auto"/>
          <w:sz w:val="24"/>
          <w:szCs w:val="24"/>
          <w:highlight w:val="none"/>
          <w:lang w:val="en-US" w:eastAsia="zh-CN"/>
        </w:rPr>
        <w:t>。</w:t>
      </w:r>
    </w:p>
    <w:p w14:paraId="30F9925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3.数字证书（CA）申领完成之后进入政采云平台，将企业账号与CA进行绑定，凭CA进行项目报名并下载招标文件。</w:t>
      </w:r>
    </w:p>
    <w:p w14:paraId="1B3F14A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（二）提交投标文件方式</w:t>
      </w:r>
    </w:p>
    <w:p w14:paraId="6FDCFC4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1.本项目为云南省全流程电子化项目，通过“政采云平台”（https://w ww.zcygov.cn/）实行在线电子投标，供应商应先安装“政采云电子交易客户端”（请自行前往政采云平台进行下载），并按照本项目采购文件和政采云平台的要求编制、加密、提交投标文件。</w:t>
      </w:r>
    </w:p>
    <w:p w14:paraId="7283953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2.供应商完成投标文件的编制、加密后，须在提交投标文件截止时间前上传至政采云平台，未按规定完成投标文件上传的，视为撤回投标文件。</w:t>
      </w:r>
    </w:p>
    <w:p w14:paraId="7DEA880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供应商在政采云平台提交电子版投标文件时，请填写参加远程采购活动经办人联系方式。供应商应提前调试好网络、音视频设备并于提交投标文件截止时间（开标时间）前在系统上等待通知，并进行“投标文件远程解密及签字”等开标流程。</w:t>
      </w:r>
    </w:p>
    <w:p w14:paraId="38598F1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（三）其他</w:t>
      </w:r>
    </w:p>
    <w:p w14:paraId="72DC826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1.与本项目有关的通知将在“云南省政府采购网”、</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b w:val="0"/>
          <w:bCs w:val="0"/>
          <w:color w:val="auto"/>
          <w:sz w:val="24"/>
          <w:szCs w:val="24"/>
          <w:highlight w:val="none"/>
          <w:lang w:val="en-US" w:eastAsia="zh-CN"/>
        </w:rPr>
        <w:t>发布，请各供应商在提交投标文件前随时查看，以获取最新信息。因供应商不留意网站公告，导致后果由其自行负责，采购人及采购代理机构不承担任何责任。采购人及代理机构对其他网站发布的同类信息不承担任何责任。</w:t>
      </w:r>
    </w:p>
    <w:p w14:paraId="3A9BAA1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供应商将政采云电子交易客户端下载、安装完成后，通过账号密码或CA登录客户端进行投标文件的制作。各供应商应确保在开标前成为政采云平台的供应商，并完成CA数字证书申领，因未注册入库、未办理CA数字证书等原因造成无法投标或投标失败等后果由供应商自行承担。</w:t>
      </w:r>
    </w:p>
    <w:p w14:paraId="540C5AD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在使用政采云电子交易客户端时，建议使用WIN7（64位）及以上操作系统。如因供应商自身原因导致在规定时间内无法正常解密的（如：浏览器故障、未安装相关驱动、网络故障、加密CA与解密CA不一致等），代理机构不予异常处理，视为供应商放弃本次投标。</w:t>
      </w:r>
    </w:p>
    <w:p w14:paraId="747253F1">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注：政采云电子交易客户端可在政采云公司网站（</w:t>
      </w:r>
      <w:r>
        <w:rPr>
          <w:rFonts w:hint="eastAsia" w:asciiTheme="minorEastAsia" w:hAnsiTheme="minorEastAsia" w:eastAsiaTheme="minorEastAsia" w:cstheme="minorEastAsia"/>
          <w:b w:val="0"/>
          <w:bCs w:val="0"/>
          <w:color w:val="auto"/>
          <w:sz w:val="24"/>
          <w:szCs w:val="24"/>
          <w:highlight w:val="none"/>
          <w:lang w:val="en-US" w:eastAsia="zh-CN"/>
        </w:rPr>
        <w:fldChar w:fldCharType="begin"/>
      </w:r>
      <w:r>
        <w:rPr>
          <w:rFonts w:hint="eastAsia" w:asciiTheme="minorEastAsia" w:hAnsiTheme="minorEastAsia" w:eastAsiaTheme="minorEastAsia" w:cstheme="minorEastAsia"/>
          <w:b w:val="0"/>
          <w:bCs w:val="0"/>
          <w:color w:val="auto"/>
          <w:sz w:val="24"/>
          <w:szCs w:val="24"/>
          <w:highlight w:val="none"/>
          <w:lang w:val="en-US" w:eastAsia="zh-CN"/>
        </w:rPr>
        <w:instrText xml:space="preserve"> HYPERLINK "https://edu.zcygov.cn/luban/yunnan-dzjy-gys" </w:instrText>
      </w:r>
      <w:r>
        <w:rPr>
          <w:rFonts w:hint="eastAsia" w:asciiTheme="minorEastAsia" w:hAnsiTheme="minorEastAsia" w:eastAsiaTheme="minorEastAsia" w:cstheme="minorEastAsia"/>
          <w:b w:val="0"/>
          <w:bCs w:val="0"/>
          <w:color w:val="auto"/>
          <w:sz w:val="24"/>
          <w:szCs w:val="24"/>
          <w:highlight w:val="none"/>
          <w:lang w:val="en-US" w:eastAsia="zh-CN"/>
        </w:rPr>
        <w:fldChar w:fldCharType="separate"/>
      </w:r>
      <w:r>
        <w:rPr>
          <w:rFonts w:hint="eastAsia" w:asciiTheme="minorEastAsia" w:hAnsiTheme="minorEastAsia" w:eastAsiaTheme="minorEastAsia" w:cstheme="minorEastAsia"/>
          <w:b w:val="0"/>
          <w:bCs w:val="0"/>
          <w:color w:val="auto"/>
          <w:sz w:val="24"/>
          <w:szCs w:val="24"/>
          <w:highlight w:val="none"/>
          <w:lang w:val="en-US" w:eastAsia="zh-CN"/>
        </w:rPr>
        <w:t>https://edu.zcygov.cn/luban/yunnan-dzjy-gys</w:t>
      </w:r>
      <w:r>
        <w:rPr>
          <w:rFonts w:hint="eastAsia" w:asciiTheme="minorEastAsia" w:hAnsiTheme="minorEastAsia" w:eastAsiaTheme="minorEastAsia" w:cstheme="minorEastAsia"/>
          <w:b w:val="0"/>
          <w:bCs w:val="0"/>
          <w:color w:val="auto"/>
          <w:sz w:val="24"/>
          <w:szCs w:val="24"/>
          <w:highlight w:val="none"/>
          <w:lang w:val="en-US" w:eastAsia="zh-CN"/>
        </w:rPr>
        <w:fldChar w:fldCharType="end"/>
      </w:r>
      <w:r>
        <w:rPr>
          <w:rFonts w:hint="eastAsia" w:asciiTheme="minorEastAsia" w:hAnsiTheme="minorEastAsia" w:eastAsiaTheme="minorEastAsia" w:cstheme="minorEastAsia"/>
          <w:b w:val="0"/>
          <w:bCs w:val="0"/>
          <w:color w:val="auto"/>
          <w:sz w:val="24"/>
          <w:szCs w:val="24"/>
          <w:highlight w:val="none"/>
          <w:lang w:val="en-US" w:eastAsia="zh-CN"/>
        </w:rPr>
        <w:t>）进行查看下载，如有问题可拨打政采云客户服务热线400-881-7190或95763进行咨询。</w:t>
      </w:r>
    </w:p>
    <w:p w14:paraId="2F75E53A">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未进行网上注册并办理数字证书（CA认证）的供应商将无法参与本项目采购活动，供应商应提交投标文件截止时间前完成政采云平台的CA数字证书办理及投标文件提交等。办理CA数字证书需要花费一定的时间，请各供应商合理安排办理时间。</w:t>
      </w:r>
    </w:p>
    <w:p w14:paraId="1FA943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5.本招标公告如与招标文件不一致之处，以招标文件为准。</w:t>
      </w:r>
    </w:p>
    <w:p w14:paraId="466E54FF">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七、对本次招标提出询问，请按以下方式联系</w:t>
      </w:r>
      <w:bookmarkEnd w:id="30"/>
      <w:bookmarkEnd w:id="31"/>
      <w:bookmarkEnd w:id="32"/>
      <w:bookmarkEnd w:id="33"/>
    </w:p>
    <w:p w14:paraId="03899FA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采购人</w:t>
      </w:r>
      <w:r>
        <w:rPr>
          <w:rFonts w:hint="eastAsia" w:asciiTheme="minorEastAsia" w:hAnsiTheme="minorEastAsia" w:eastAsiaTheme="minorEastAsia" w:cstheme="minorEastAsia"/>
          <w:b w:val="0"/>
          <w:bCs w:val="0"/>
          <w:color w:val="auto"/>
          <w:sz w:val="24"/>
          <w:szCs w:val="24"/>
          <w:highlight w:val="none"/>
        </w:rPr>
        <w:t>信息</w:t>
      </w:r>
    </w:p>
    <w:p w14:paraId="73C3BEC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临沧市临翔区人民医院</w:t>
      </w:r>
      <w:r>
        <w:rPr>
          <w:rFonts w:hint="eastAsia" w:asciiTheme="minorEastAsia" w:hAnsiTheme="minorEastAsia" w:eastAsiaTheme="minorEastAsia" w:cstheme="minorEastAsia"/>
          <w:b w:val="0"/>
          <w:bCs w:val="0"/>
          <w:color w:val="auto"/>
          <w:sz w:val="24"/>
          <w:szCs w:val="24"/>
          <w:highlight w:val="none"/>
          <w:lang w:val="en-US" w:eastAsia="zh-CN"/>
        </w:rPr>
        <w:t xml:space="preserve"> </w:t>
      </w:r>
    </w:p>
    <w:p w14:paraId="2FEB4DD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地址：临沧市临翔区汀旗路261号</w:t>
      </w:r>
      <w:r>
        <w:rPr>
          <w:rFonts w:hint="eastAsia" w:asciiTheme="minorEastAsia" w:hAnsiTheme="minorEastAsia" w:eastAsiaTheme="minorEastAsia" w:cstheme="minorEastAsia"/>
          <w:b w:val="0"/>
          <w:bCs w:val="0"/>
          <w:color w:val="auto"/>
          <w:sz w:val="24"/>
          <w:szCs w:val="24"/>
          <w:highlight w:val="none"/>
          <w:lang w:val="en-US" w:eastAsia="zh-CN"/>
        </w:rPr>
        <w:t xml:space="preserve"> </w:t>
      </w:r>
    </w:p>
    <w:p w14:paraId="224AF5A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color w:val="auto"/>
          <w:sz w:val="24"/>
          <w:szCs w:val="24"/>
          <w:highlight w:val="none"/>
          <w:u w:val="none"/>
          <w:lang w:val="en-US" w:eastAsia="zh-CN"/>
        </w:rPr>
        <w:t>13988312581</w:t>
      </w:r>
    </w:p>
    <w:p w14:paraId="5D77C6E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eastAsia="zh-CN"/>
        </w:rPr>
        <w:t>采购代理机构</w:t>
      </w:r>
      <w:r>
        <w:rPr>
          <w:rFonts w:hint="eastAsia" w:asciiTheme="minorEastAsia" w:hAnsiTheme="minorEastAsia" w:eastAsiaTheme="minorEastAsia" w:cstheme="minorEastAsia"/>
          <w:b w:val="0"/>
          <w:bCs w:val="0"/>
          <w:color w:val="auto"/>
          <w:sz w:val="24"/>
          <w:szCs w:val="24"/>
          <w:highlight w:val="none"/>
        </w:rPr>
        <w:t>信息</w:t>
      </w:r>
    </w:p>
    <w:p w14:paraId="115189B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云南临祥项目管理咨询有限公司</w:t>
      </w:r>
    </w:p>
    <w:p w14:paraId="6CFDE9C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地址：</w:t>
      </w:r>
      <w:r>
        <w:rPr>
          <w:rFonts w:hint="eastAsia" w:asciiTheme="minorEastAsia" w:hAnsiTheme="minorEastAsia" w:eastAsiaTheme="minorEastAsia" w:cstheme="minorEastAsia"/>
          <w:b w:val="0"/>
          <w:bCs w:val="0"/>
          <w:color w:val="auto"/>
          <w:sz w:val="24"/>
          <w:szCs w:val="24"/>
          <w:highlight w:val="none"/>
          <w:lang w:eastAsia="zh-CN"/>
        </w:rPr>
        <w:t>云南省临沧市临翔区迎宾路159号锦绣花园二期4单元101</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lang w:eastAsia="zh-CN"/>
        </w:rPr>
        <w:t>室</w:t>
      </w:r>
    </w:p>
    <w:p w14:paraId="42046DF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b w:val="0"/>
          <w:bCs w:val="0"/>
          <w:color w:val="auto"/>
          <w:sz w:val="24"/>
          <w:szCs w:val="24"/>
          <w:highlight w:val="none"/>
          <w:lang w:val="en-US" w:eastAsia="zh-CN"/>
        </w:rPr>
        <w:t>18213744303</w:t>
      </w:r>
      <w:r>
        <w:rPr>
          <w:rFonts w:hint="eastAsia" w:asciiTheme="minorEastAsia" w:hAnsiTheme="minorEastAsia" w:eastAsiaTheme="minorEastAsia" w:cstheme="minorEastAsia"/>
          <w:b w:val="0"/>
          <w:bCs w:val="0"/>
          <w:color w:val="auto"/>
          <w:sz w:val="24"/>
          <w:szCs w:val="24"/>
          <w:highlight w:val="none"/>
        </w:rPr>
        <w:t xml:space="preserve"> </w:t>
      </w:r>
    </w:p>
    <w:p w14:paraId="5112782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3.项目联系方式</w:t>
      </w:r>
    </w:p>
    <w:p w14:paraId="11BF955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项目联系人：</w:t>
      </w:r>
      <w:r>
        <w:rPr>
          <w:rFonts w:hint="eastAsia" w:asciiTheme="minorEastAsia" w:hAnsiTheme="minorEastAsia" w:eastAsiaTheme="minorEastAsia" w:cstheme="minorEastAsia"/>
          <w:b w:val="0"/>
          <w:bCs w:val="0"/>
          <w:color w:val="auto"/>
          <w:sz w:val="24"/>
          <w:szCs w:val="24"/>
          <w:highlight w:val="none"/>
          <w:lang w:val="en-US" w:eastAsia="zh-CN"/>
        </w:rPr>
        <w:t xml:space="preserve">孙师/李工 </w:t>
      </w:r>
    </w:p>
    <w:p w14:paraId="7385A48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电话：</w:t>
      </w:r>
      <w:r>
        <w:rPr>
          <w:rFonts w:hint="eastAsia" w:asciiTheme="minorEastAsia" w:hAnsiTheme="minorEastAsia" w:eastAsiaTheme="minorEastAsia" w:cstheme="minorEastAsia"/>
          <w:color w:val="auto"/>
          <w:sz w:val="24"/>
          <w:szCs w:val="24"/>
          <w:highlight w:val="none"/>
          <w:u w:val="none"/>
          <w:lang w:val="en-US" w:eastAsia="zh-CN"/>
        </w:rPr>
        <w:t>13988312581</w:t>
      </w:r>
      <w:r>
        <w:rPr>
          <w:rFonts w:hint="eastAsia" w:asciiTheme="minorEastAsia" w:hAnsiTheme="minorEastAsia" w:eastAsiaTheme="minorEastAsia" w:cstheme="minorEastAsia"/>
          <w:b w:val="0"/>
          <w:bCs w:val="0"/>
          <w:color w:val="auto"/>
          <w:sz w:val="24"/>
          <w:szCs w:val="24"/>
          <w:highlight w:val="none"/>
        </w:rPr>
        <w:t>/</w:t>
      </w:r>
      <w:bookmarkStart w:id="36" w:name="_Toc2956"/>
      <w:r>
        <w:rPr>
          <w:rFonts w:hint="eastAsia" w:asciiTheme="minorEastAsia" w:hAnsiTheme="minorEastAsia" w:eastAsiaTheme="minorEastAsia" w:cstheme="minorEastAsia"/>
          <w:b w:val="0"/>
          <w:bCs w:val="0"/>
          <w:color w:val="auto"/>
          <w:sz w:val="24"/>
          <w:szCs w:val="24"/>
          <w:highlight w:val="none"/>
          <w:lang w:val="en-US" w:eastAsia="zh-CN"/>
        </w:rPr>
        <w:t>18213744303</w:t>
      </w:r>
    </w:p>
    <w:p w14:paraId="0A93A7D3">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1FF7C850">
      <w:pPr>
        <w:pStyle w:val="3"/>
        <w:shd w:val="clear" w:color="auto" w:fill="auto"/>
        <w:tabs>
          <w:tab w:val="left" w:pos="360"/>
        </w:tabs>
        <w:spacing w:before="0" w:line="540" w:lineRule="exact"/>
        <w:ind w:left="0" w:firstLine="0"/>
        <w:jc w:val="center"/>
        <w:rPr>
          <w:rFonts w:hint="eastAsia" w:asciiTheme="minorEastAsia" w:hAnsiTheme="minorEastAsia" w:eastAsiaTheme="minorEastAsia" w:cstheme="minorEastAsia"/>
          <w:color w:val="auto"/>
          <w:sz w:val="36"/>
          <w:szCs w:val="36"/>
          <w:highlight w:val="none"/>
        </w:rPr>
      </w:pPr>
      <w:bookmarkStart w:id="37" w:name="_Toc18107"/>
      <w:bookmarkStart w:id="38" w:name="_Toc24233"/>
      <w:r>
        <w:rPr>
          <w:rFonts w:hint="eastAsia" w:asciiTheme="minorEastAsia" w:hAnsiTheme="minorEastAsia" w:eastAsiaTheme="minorEastAsia" w:cstheme="minorEastAsia"/>
          <w:color w:val="auto"/>
          <w:sz w:val="36"/>
          <w:szCs w:val="36"/>
          <w:highlight w:val="none"/>
        </w:rPr>
        <w:t xml:space="preserve">第二章 </w:t>
      </w:r>
      <w:r>
        <w:rPr>
          <w:rFonts w:hint="eastAsia" w:asciiTheme="minorEastAsia" w:hAnsiTheme="minorEastAsia" w:eastAsiaTheme="minorEastAsia" w:cstheme="minorEastAsia"/>
          <w:color w:val="auto"/>
          <w:sz w:val="36"/>
          <w:szCs w:val="36"/>
          <w:highlight w:val="none"/>
          <w:lang w:val="en-US" w:eastAsia="zh-CN"/>
        </w:rPr>
        <w:t>供应商</w:t>
      </w:r>
      <w:r>
        <w:rPr>
          <w:rFonts w:hint="eastAsia" w:asciiTheme="minorEastAsia" w:hAnsiTheme="minorEastAsia" w:eastAsiaTheme="minorEastAsia" w:cstheme="minorEastAsia"/>
          <w:color w:val="auto"/>
          <w:sz w:val="36"/>
          <w:szCs w:val="36"/>
          <w:highlight w:val="none"/>
        </w:rPr>
        <w:t>须知</w:t>
      </w:r>
      <w:bookmarkEnd w:id="36"/>
      <w:bookmarkEnd w:id="37"/>
      <w:bookmarkEnd w:id="38"/>
    </w:p>
    <w:p w14:paraId="6DDD49D7">
      <w:pPr>
        <w:widowControl/>
        <w:shd w:val="clear" w:color="auto" w:fill="auto"/>
        <w:spacing w:line="413" w:lineRule="auto"/>
        <w:ind w:right="960"/>
        <w:jc w:val="left"/>
        <w:rPr>
          <w:rFonts w:hint="eastAsia" w:asciiTheme="minorEastAsia" w:hAnsiTheme="minorEastAsia" w:eastAsiaTheme="minorEastAsia" w:cstheme="minorEastAsia"/>
          <w:b/>
          <w:bCs/>
          <w:color w:val="auto"/>
          <w:sz w:val="24"/>
          <w:szCs w:val="24"/>
          <w:highlight w:val="none"/>
        </w:rPr>
      </w:pPr>
      <w:bookmarkStart w:id="39" w:name="_Toc213141090"/>
      <w:bookmarkStart w:id="40" w:name="_Toc30758"/>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须知前附表</w:t>
      </w:r>
    </w:p>
    <w:tbl>
      <w:tblPr>
        <w:tblStyle w:val="26"/>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126D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5" w:type="dxa"/>
            <w:noWrap w:val="0"/>
            <w:vAlign w:val="center"/>
          </w:tcPr>
          <w:p w14:paraId="5392D776">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条款号</w:t>
            </w:r>
          </w:p>
        </w:tc>
        <w:tc>
          <w:tcPr>
            <w:tcW w:w="2340" w:type="dxa"/>
            <w:noWrap w:val="0"/>
            <w:vAlign w:val="center"/>
          </w:tcPr>
          <w:p w14:paraId="1207A45E">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6054" w:type="dxa"/>
            <w:noWrap w:val="0"/>
            <w:vAlign w:val="center"/>
          </w:tcPr>
          <w:p w14:paraId="23F6892D">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编列内容</w:t>
            </w:r>
          </w:p>
        </w:tc>
      </w:tr>
      <w:tr w14:paraId="2818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85" w:type="dxa"/>
            <w:vMerge w:val="restart"/>
            <w:noWrap w:val="0"/>
            <w:vAlign w:val="center"/>
          </w:tcPr>
          <w:p w14:paraId="39183981">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6DC6DED1">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p>
        </w:tc>
        <w:tc>
          <w:tcPr>
            <w:tcW w:w="6054" w:type="dxa"/>
            <w:noWrap w:val="0"/>
            <w:vAlign w:val="center"/>
          </w:tcPr>
          <w:p w14:paraId="42009C18">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采购单位名称</w:t>
            </w:r>
            <w:r>
              <w:rPr>
                <w:rFonts w:hint="eastAsia" w:asciiTheme="minorEastAsia" w:hAnsiTheme="minorEastAsia" w:eastAsiaTheme="minorEastAsia" w:cstheme="minorEastAsia"/>
                <w:color w:val="auto"/>
                <w:sz w:val="24"/>
                <w:szCs w:val="24"/>
                <w:highlight w:val="none"/>
                <w:lang w:eastAsia="zh-CN"/>
              </w:rPr>
              <w:t xml:space="preserve">：临沧市临翔区人民医院 </w:t>
            </w:r>
          </w:p>
          <w:p w14:paraId="2E84EAC5">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地址：临沧市临翔区汀旗路261号 </w:t>
            </w:r>
          </w:p>
          <w:p w14:paraId="2EA09DDF">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联系方式：13988312581</w:t>
            </w:r>
          </w:p>
          <w:p w14:paraId="0955D229">
            <w:pPr>
              <w:shd w:val="clear" w:color="auto" w:fill="auto"/>
              <w:spacing w:line="480" w:lineRule="exact"/>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联系人：孙师</w:t>
            </w:r>
          </w:p>
        </w:tc>
      </w:tr>
      <w:tr w14:paraId="3926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85" w:type="dxa"/>
            <w:vMerge w:val="continue"/>
            <w:noWrap w:val="0"/>
            <w:vAlign w:val="center"/>
          </w:tcPr>
          <w:p w14:paraId="79AE116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3CB4C212">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6054" w:type="dxa"/>
            <w:noWrap w:val="0"/>
            <w:vAlign w:val="center"/>
          </w:tcPr>
          <w:p w14:paraId="2CF1C20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采购代理机构：云南临祥项目管理咨询有限公司</w:t>
            </w:r>
          </w:p>
          <w:p w14:paraId="71A397A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址：云南省临沧市临翔区凤翔街道办事处章嘎社区迎宾路159号锦绣花园二期4单元101-1室</w:t>
            </w:r>
          </w:p>
          <w:p w14:paraId="116AE22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联系人：李工</w:t>
            </w:r>
          </w:p>
          <w:p w14:paraId="14AAD641">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电  话：18213744303</w:t>
            </w:r>
          </w:p>
        </w:tc>
      </w:tr>
      <w:tr w14:paraId="6056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085" w:type="dxa"/>
            <w:noWrap w:val="0"/>
            <w:vAlign w:val="center"/>
          </w:tcPr>
          <w:p w14:paraId="4F5AD17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340" w:type="dxa"/>
            <w:noWrap w:val="0"/>
            <w:vAlign w:val="center"/>
          </w:tcPr>
          <w:p w14:paraId="2307D25E">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w:t>
            </w:r>
          </w:p>
        </w:tc>
        <w:tc>
          <w:tcPr>
            <w:tcW w:w="6054" w:type="dxa"/>
            <w:noWrap w:val="0"/>
            <w:vAlign w:val="center"/>
          </w:tcPr>
          <w:p w14:paraId="6D01D9D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自筹资金</w:t>
            </w:r>
          </w:p>
        </w:tc>
      </w:tr>
      <w:tr w14:paraId="3CC1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85" w:type="dxa"/>
            <w:noWrap w:val="0"/>
            <w:vAlign w:val="center"/>
          </w:tcPr>
          <w:p w14:paraId="4404EA15">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0B11A751">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54" w:type="dxa"/>
            <w:noWrap w:val="0"/>
            <w:vAlign w:val="center"/>
          </w:tcPr>
          <w:p w14:paraId="26E0D52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rPr>
              <w:t>招标公告</w:t>
            </w:r>
            <w:r>
              <w:rPr>
                <w:rFonts w:hint="eastAsia" w:asciiTheme="minorEastAsia" w:hAnsiTheme="minorEastAsia" w:eastAsiaTheme="minorEastAsia" w:cstheme="minorEastAsia"/>
                <w:color w:val="auto"/>
                <w:sz w:val="24"/>
                <w:szCs w:val="24"/>
                <w:highlight w:val="none"/>
                <w:lang w:val="en-US" w:eastAsia="zh-CN"/>
              </w:rPr>
              <w:t>及招标文件要求</w:t>
            </w:r>
          </w:p>
        </w:tc>
      </w:tr>
      <w:tr w14:paraId="58B2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85" w:type="dxa"/>
            <w:noWrap w:val="0"/>
            <w:vAlign w:val="center"/>
          </w:tcPr>
          <w:p w14:paraId="5CB8516C">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2340" w:type="dxa"/>
            <w:noWrap w:val="0"/>
            <w:vAlign w:val="center"/>
          </w:tcPr>
          <w:p w14:paraId="1283D752">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w:t>
            </w:r>
          </w:p>
        </w:tc>
        <w:tc>
          <w:tcPr>
            <w:tcW w:w="6054" w:type="dxa"/>
            <w:noWrap w:val="0"/>
            <w:vAlign w:val="center"/>
          </w:tcPr>
          <w:p w14:paraId="285C3A1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1.报价方式</w:t>
            </w:r>
          </w:p>
          <w:p w14:paraId="5B5B251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（1）供应商应结合市场行情及自身实际情况，报出所投耗材的投标单价（投标单价不得超出单价限价），并依据招标文件中耗材预估数量计算出投标总价，即为投标报价。</w:t>
            </w:r>
          </w:p>
          <w:p w14:paraId="691070E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（2）投标单价为综合单价，该单价一旦成为中标价，在合同期限内不得调整。</w:t>
            </w:r>
          </w:p>
          <w:p w14:paraId="28D4890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投标报价为耗材供应配送到</w:t>
            </w:r>
            <w:r>
              <w:rPr>
                <w:rFonts w:hint="eastAsia" w:asciiTheme="minorEastAsia" w:hAnsiTheme="minorEastAsia" w:eastAsiaTheme="minorEastAsia" w:cstheme="minorEastAsia"/>
                <w:color w:val="auto"/>
                <w:sz w:val="24"/>
                <w:szCs w:val="24"/>
                <w:highlight w:val="none"/>
                <w:lang w:val="en-US" w:eastAsia="zh-CN"/>
              </w:rPr>
              <w:t>医院，至</w:t>
            </w:r>
            <w:r>
              <w:rPr>
                <w:rFonts w:hint="eastAsia" w:asciiTheme="minorEastAsia" w:hAnsiTheme="minorEastAsia" w:eastAsiaTheme="minorEastAsia" w:cstheme="minorEastAsia"/>
                <w:color w:val="auto"/>
                <w:sz w:val="24"/>
                <w:szCs w:val="24"/>
                <w:highlight w:val="none"/>
              </w:rPr>
              <w:t>验收合格的一切费用，包括但不限于：耗材的生产制造或购买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或进口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费</w:t>
            </w:r>
            <w:r>
              <w:rPr>
                <w:rFonts w:hint="eastAsia" w:asciiTheme="minorEastAsia" w:hAnsiTheme="minorEastAsia" w:eastAsiaTheme="minorEastAsia" w:cstheme="minorEastAsia"/>
                <w:color w:val="auto"/>
                <w:sz w:val="24"/>
                <w:szCs w:val="24"/>
                <w:highlight w:val="none"/>
                <w:lang w:val="en-US" w:eastAsia="zh-CN"/>
              </w:rPr>
              <w:t>用</w:t>
            </w:r>
            <w:r>
              <w:rPr>
                <w:rFonts w:hint="eastAsia" w:asciiTheme="minorEastAsia" w:hAnsiTheme="minorEastAsia" w:eastAsiaTheme="minorEastAsia" w:cstheme="minorEastAsia"/>
                <w:color w:val="auto"/>
                <w:sz w:val="24"/>
                <w:szCs w:val="24"/>
                <w:highlight w:val="none"/>
              </w:rPr>
              <w:t>、包装费、运输费（含二次运输费）、装卸费、</w:t>
            </w:r>
            <w:r>
              <w:rPr>
                <w:rFonts w:hint="eastAsia" w:asciiTheme="minorEastAsia" w:hAnsiTheme="minorEastAsia" w:eastAsiaTheme="minorEastAsia" w:cstheme="minorEastAsia"/>
                <w:color w:val="auto"/>
                <w:sz w:val="24"/>
                <w:szCs w:val="24"/>
                <w:highlight w:val="none"/>
                <w:lang w:val="en-US" w:eastAsia="zh-CN"/>
              </w:rPr>
              <w:t>退换货费用、</w:t>
            </w:r>
            <w:r>
              <w:rPr>
                <w:rFonts w:hint="eastAsia" w:asciiTheme="minorEastAsia" w:hAnsiTheme="minorEastAsia" w:eastAsiaTheme="minorEastAsia" w:cstheme="minorEastAsia"/>
                <w:color w:val="auto"/>
                <w:sz w:val="24"/>
                <w:szCs w:val="24"/>
                <w:highlight w:val="none"/>
              </w:rPr>
              <w:t>保管费、配送费、调试费、检验费、测试费、保修费、维护保养费、人员培训费、保险费、管理费、税费、SPD服务费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仅临沧市临翔区人民医院所采购耗材涉及本项费用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、中标服务费等全部费用；</w:t>
            </w:r>
          </w:p>
          <w:p w14:paraId="37D77282">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报价应充分考虑市场风险、价格风险、政策风险、汇率风险等所有因素。</w:t>
            </w:r>
          </w:p>
        </w:tc>
      </w:tr>
      <w:tr w14:paraId="31B6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79F5DB17">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p>
        </w:tc>
        <w:tc>
          <w:tcPr>
            <w:tcW w:w="2340" w:type="dxa"/>
            <w:noWrap w:val="0"/>
            <w:vAlign w:val="center"/>
          </w:tcPr>
          <w:p w14:paraId="6F78ED55">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资格要求</w:t>
            </w:r>
          </w:p>
        </w:tc>
        <w:tc>
          <w:tcPr>
            <w:tcW w:w="6054" w:type="dxa"/>
            <w:noWrap w:val="0"/>
            <w:vAlign w:val="center"/>
          </w:tcPr>
          <w:p w14:paraId="6AD5C96F">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rPr>
              <w:t>招标公告</w:t>
            </w:r>
            <w:r>
              <w:rPr>
                <w:rFonts w:hint="eastAsia" w:asciiTheme="minorEastAsia" w:hAnsiTheme="minorEastAsia" w:eastAsiaTheme="minorEastAsia" w:cstheme="minorEastAsia"/>
                <w:color w:val="auto"/>
                <w:sz w:val="24"/>
                <w:szCs w:val="24"/>
                <w:highlight w:val="none"/>
                <w:lang w:val="en-US" w:eastAsia="zh-CN"/>
              </w:rPr>
              <w:t>要求</w:t>
            </w:r>
          </w:p>
        </w:tc>
      </w:tr>
      <w:tr w14:paraId="4F24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500224FC">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p>
        </w:tc>
        <w:tc>
          <w:tcPr>
            <w:tcW w:w="2340" w:type="dxa"/>
            <w:noWrap w:val="0"/>
            <w:vAlign w:val="center"/>
          </w:tcPr>
          <w:p w14:paraId="7038836C">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联合体投标</w:t>
            </w:r>
          </w:p>
        </w:tc>
        <w:tc>
          <w:tcPr>
            <w:tcW w:w="6054" w:type="dxa"/>
            <w:noWrap w:val="0"/>
            <w:vAlign w:val="center"/>
          </w:tcPr>
          <w:p w14:paraId="75007319">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接受联合体投标</w:t>
            </w:r>
          </w:p>
        </w:tc>
      </w:tr>
      <w:tr w14:paraId="2A5C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6C97834D">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w:t>
            </w:r>
          </w:p>
        </w:tc>
        <w:tc>
          <w:tcPr>
            <w:tcW w:w="2340" w:type="dxa"/>
            <w:noWrap w:val="0"/>
            <w:vAlign w:val="center"/>
          </w:tcPr>
          <w:p w14:paraId="100F5DB6">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分包</w:t>
            </w:r>
          </w:p>
        </w:tc>
        <w:tc>
          <w:tcPr>
            <w:tcW w:w="6054" w:type="dxa"/>
            <w:noWrap w:val="0"/>
            <w:vAlign w:val="center"/>
          </w:tcPr>
          <w:p w14:paraId="67EFB35E">
            <w:pPr>
              <w:shd w:val="clear" w:color="auto" w:fill="auto"/>
              <w:spacing w:line="480" w:lineRule="exac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lang w:val="en-US" w:eastAsia="zh-CN"/>
              </w:rPr>
              <w:t>本项目不允许分包</w:t>
            </w:r>
          </w:p>
        </w:tc>
      </w:tr>
      <w:tr w14:paraId="09596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61D5745B">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w:t>
            </w:r>
          </w:p>
        </w:tc>
        <w:tc>
          <w:tcPr>
            <w:tcW w:w="2340" w:type="dxa"/>
            <w:noWrap w:val="0"/>
            <w:vAlign w:val="center"/>
          </w:tcPr>
          <w:p w14:paraId="55EBA038">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中标服务费</w:t>
            </w:r>
          </w:p>
        </w:tc>
        <w:tc>
          <w:tcPr>
            <w:tcW w:w="6054" w:type="dxa"/>
            <w:noWrap w:val="0"/>
            <w:vAlign w:val="center"/>
          </w:tcPr>
          <w:p w14:paraId="71EFFC17">
            <w:pPr>
              <w:shd w:val="clear" w:color="auto" w:fill="auto"/>
              <w:spacing w:line="48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中标服务费：参考云建招协〔2025〕10号中的规定收取下浮10%。由成交供应商支付。由中标人在领取中标通知书前一次性支付给本项目的招标代理服务机构。</w:t>
            </w:r>
          </w:p>
        </w:tc>
      </w:tr>
      <w:tr w14:paraId="224A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1085" w:type="dxa"/>
            <w:noWrap w:val="0"/>
            <w:vAlign w:val="center"/>
          </w:tcPr>
          <w:p w14:paraId="112935F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w:t>
            </w:r>
          </w:p>
        </w:tc>
        <w:tc>
          <w:tcPr>
            <w:tcW w:w="2340" w:type="dxa"/>
            <w:noWrap w:val="0"/>
            <w:vAlign w:val="center"/>
          </w:tcPr>
          <w:p w14:paraId="0F6E7661">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招标文件澄清截止时间</w:t>
            </w:r>
          </w:p>
        </w:tc>
        <w:tc>
          <w:tcPr>
            <w:tcW w:w="6054" w:type="dxa"/>
            <w:noWrap w:val="0"/>
            <w:vAlign w:val="center"/>
          </w:tcPr>
          <w:p w14:paraId="586048B6">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提交投标文件截止时间</w:t>
            </w:r>
            <w:r>
              <w:rPr>
                <w:rFonts w:hint="eastAsia" w:asciiTheme="minorEastAsia" w:hAnsiTheme="minorEastAsia" w:eastAsiaTheme="minorEastAsia" w:cstheme="minorEastAsia"/>
                <w:color w:val="auto"/>
                <w:sz w:val="24"/>
                <w:szCs w:val="24"/>
                <w:highlight w:val="none"/>
                <w:lang w:val="en-US" w:eastAsia="zh-CN"/>
              </w:rPr>
              <w:t>十五</w:t>
            </w:r>
            <w:r>
              <w:rPr>
                <w:rFonts w:hint="eastAsia" w:asciiTheme="minorEastAsia" w:hAnsiTheme="minorEastAsia" w:eastAsiaTheme="minorEastAsia" w:cstheme="minorEastAsia"/>
                <w:color w:val="auto"/>
                <w:sz w:val="24"/>
                <w:szCs w:val="24"/>
                <w:highlight w:val="none"/>
              </w:rPr>
              <w:t>日前</w:t>
            </w:r>
          </w:p>
        </w:tc>
      </w:tr>
      <w:tr w14:paraId="3401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85" w:type="dxa"/>
            <w:noWrap w:val="0"/>
            <w:vAlign w:val="center"/>
          </w:tcPr>
          <w:p w14:paraId="0403E076">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2340" w:type="dxa"/>
            <w:noWrap w:val="0"/>
            <w:vAlign w:val="center"/>
          </w:tcPr>
          <w:p w14:paraId="0CA39694">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投标文件的组成</w:t>
            </w:r>
          </w:p>
        </w:tc>
        <w:tc>
          <w:tcPr>
            <w:tcW w:w="6054" w:type="dxa"/>
            <w:noWrap w:val="0"/>
            <w:vAlign w:val="center"/>
          </w:tcPr>
          <w:p w14:paraId="3A800946">
            <w:pPr>
              <w:shd w:val="clear" w:color="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详见第五章投标文件格式部分</w:t>
            </w:r>
          </w:p>
        </w:tc>
      </w:tr>
      <w:tr w14:paraId="1516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085" w:type="dxa"/>
            <w:noWrap w:val="0"/>
            <w:vAlign w:val="center"/>
          </w:tcPr>
          <w:p w14:paraId="7C7F6988">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12.1</w:t>
            </w:r>
          </w:p>
        </w:tc>
        <w:tc>
          <w:tcPr>
            <w:tcW w:w="2340" w:type="dxa"/>
            <w:noWrap w:val="0"/>
            <w:vAlign w:val="center"/>
          </w:tcPr>
          <w:p w14:paraId="23BABFEE">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电子</w:t>
            </w:r>
            <w:r>
              <w:rPr>
                <w:rFonts w:hint="eastAsia" w:asciiTheme="minorEastAsia" w:hAnsiTheme="minorEastAsia" w:eastAsiaTheme="minorEastAsia" w:cstheme="minorEastAsia"/>
                <w:color w:val="auto"/>
                <w:sz w:val="24"/>
                <w:szCs w:val="24"/>
                <w:highlight w:val="none"/>
              </w:rPr>
              <w:t>投标文件</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编制</w:t>
            </w:r>
          </w:p>
        </w:tc>
        <w:tc>
          <w:tcPr>
            <w:tcW w:w="6054" w:type="dxa"/>
            <w:noWrap w:val="0"/>
            <w:vAlign w:val="center"/>
          </w:tcPr>
          <w:p w14:paraId="3F03B706">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电子投标文件应使用政采云平台中下载的政采云电子投标客户端</w:t>
            </w:r>
            <w:r>
              <w:rPr>
                <w:rFonts w:hint="eastAsia" w:asciiTheme="minorEastAsia" w:hAnsiTheme="minorEastAsia" w:eastAsiaTheme="minorEastAsia" w:cstheme="minorEastAsia"/>
                <w:color w:val="auto"/>
                <w:sz w:val="24"/>
                <w:szCs w:val="24"/>
                <w:highlight w:val="none"/>
                <w:lang w:val="en-US" w:eastAsia="zh-CN"/>
              </w:rPr>
              <w:t>进行</w:t>
            </w:r>
            <w:r>
              <w:rPr>
                <w:rFonts w:hint="eastAsia" w:asciiTheme="minorEastAsia" w:hAnsiTheme="minorEastAsia" w:eastAsiaTheme="minorEastAsia" w:cstheme="minorEastAsia"/>
                <w:color w:val="auto"/>
                <w:sz w:val="24"/>
                <w:szCs w:val="24"/>
                <w:highlight w:val="none"/>
              </w:rPr>
              <w:t>制作，编制要求详见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供应商操作手册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tc>
      </w:tr>
      <w:tr w14:paraId="74A6F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noWrap w:val="0"/>
            <w:vAlign w:val="center"/>
          </w:tcPr>
          <w:p w14:paraId="251CBA23">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12.4</w:t>
            </w:r>
          </w:p>
        </w:tc>
        <w:tc>
          <w:tcPr>
            <w:tcW w:w="2340" w:type="dxa"/>
            <w:noWrap w:val="0"/>
            <w:vAlign w:val="center"/>
          </w:tcPr>
          <w:p w14:paraId="11B9457B">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签字或盖章要求</w:t>
            </w:r>
          </w:p>
        </w:tc>
        <w:tc>
          <w:tcPr>
            <w:tcW w:w="6054" w:type="dxa"/>
            <w:noWrap w:val="0"/>
            <w:vAlign w:val="center"/>
          </w:tcPr>
          <w:p w14:paraId="5B3BDA5B">
            <w:pPr>
              <w:shd w:val="clear" w:color="auto" w:fill="auto"/>
              <w:spacing w:line="48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供应商应按照投标文件格式，在需要电子签章的地方采用单位数字证书（CA）、法定代表人（或委托代理人）的个人数字证书（CA）进行电子签章。</w:t>
            </w:r>
          </w:p>
          <w:p w14:paraId="65F89835">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注：投标文件中法定代表人及委托代理人的签字笔迹应保持前后一致（包括授权委托书），若因签字笔迹差异过大，经评标委员会评审后认为投标文件由未经授权的人员签署，存在投标文件未按规定签字盖章的情形判定投标文件无效时，其后果由供应商自行承担</w:t>
            </w:r>
            <w:r>
              <w:rPr>
                <w:rFonts w:hint="eastAsia" w:asciiTheme="minorEastAsia" w:hAnsiTheme="minorEastAsia" w:eastAsiaTheme="minorEastAsia" w:cstheme="minorEastAsia"/>
                <w:b w:val="0"/>
                <w:bCs w:val="0"/>
                <w:color w:val="auto"/>
                <w:sz w:val="24"/>
                <w:szCs w:val="24"/>
                <w:highlight w:val="none"/>
              </w:rPr>
              <w:t>。</w:t>
            </w:r>
          </w:p>
        </w:tc>
      </w:tr>
      <w:tr w14:paraId="5F28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085" w:type="dxa"/>
            <w:noWrap w:val="0"/>
            <w:vAlign w:val="center"/>
          </w:tcPr>
          <w:p w14:paraId="257D2791">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2340" w:type="dxa"/>
            <w:noWrap w:val="0"/>
            <w:vAlign w:val="center"/>
          </w:tcPr>
          <w:p w14:paraId="58467206">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提交电子投标文件截止时间</w:t>
            </w:r>
          </w:p>
        </w:tc>
        <w:tc>
          <w:tcPr>
            <w:tcW w:w="6054" w:type="dxa"/>
            <w:noWrap w:val="0"/>
            <w:vAlign w:val="center"/>
          </w:tcPr>
          <w:p w14:paraId="55BE7D84">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2025年07月14日09时00分（北京时间）</w:t>
            </w:r>
          </w:p>
        </w:tc>
      </w:tr>
      <w:tr w14:paraId="3162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85" w:type="dxa"/>
            <w:noWrap w:val="0"/>
            <w:vAlign w:val="center"/>
          </w:tcPr>
          <w:p w14:paraId="6FB4BD25">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14.2</w:t>
            </w:r>
          </w:p>
        </w:tc>
        <w:tc>
          <w:tcPr>
            <w:tcW w:w="2340" w:type="dxa"/>
            <w:noWrap w:val="0"/>
            <w:vAlign w:val="center"/>
          </w:tcPr>
          <w:p w14:paraId="599E6918">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提交电子投标文件的网址</w:t>
            </w:r>
          </w:p>
        </w:tc>
        <w:tc>
          <w:tcPr>
            <w:tcW w:w="6054" w:type="dxa"/>
            <w:noWrap w:val="0"/>
            <w:vAlign w:val="center"/>
          </w:tcPr>
          <w:p w14:paraId="0B71763B">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“政采云平台”（https://www.zcygov.cn/）</w:t>
            </w:r>
          </w:p>
        </w:tc>
      </w:tr>
      <w:tr w14:paraId="7DF6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5" w:type="dxa"/>
            <w:noWrap w:val="0"/>
            <w:vAlign w:val="center"/>
          </w:tcPr>
          <w:p w14:paraId="38B6EC20">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p>
        </w:tc>
        <w:tc>
          <w:tcPr>
            <w:tcW w:w="2340" w:type="dxa"/>
            <w:noWrap w:val="0"/>
            <w:vAlign w:val="center"/>
          </w:tcPr>
          <w:p w14:paraId="1860BE8D">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054" w:type="dxa"/>
            <w:noWrap w:val="0"/>
            <w:vAlign w:val="center"/>
          </w:tcPr>
          <w:p w14:paraId="34E3F943">
            <w:pPr>
              <w:shd w:val="clear" w:color="auto" w:fill="auto"/>
              <w:spacing w:line="48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一、保证金提交方式</w:t>
            </w:r>
          </w:p>
          <w:p w14:paraId="0DB3FC2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imes New Roman" w:hAnsi="Times New Roman" w:eastAsia="宋体" w:cs="Times New Roman"/>
                <w:sz w:val="24"/>
                <w:highlight w:val="none"/>
                <w:lang w:val="en-US" w:eastAsia="zh-CN"/>
              </w:rPr>
              <w:t>支票、汇票、本票、银行转账、银行保函、保证保险。</w:t>
            </w:r>
          </w:p>
          <w:p w14:paraId="77145F0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（一）银行转账：投标保证金应以供应商自身的名义提交，并且必须从其基本账户转出。</w:t>
            </w:r>
          </w:p>
          <w:p w14:paraId="7A37E2B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保函：保函申请人必须是供应商，受益人必须是采购人，保证人必须是供应商基本账号的开户银行或其他担保机构；保函必须正确填写受益人和申请人的全称，并与招标文件规定的名称一致，以免造成投标无效。</w:t>
            </w:r>
          </w:p>
          <w:p w14:paraId="4C1928A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（三）保证保险：1.供应商在支付投标保证金保险费时，必须使用基本账户支付购买，未从基本账户转出支付保费造成的后果由供应商自行承担。2.在保证保险单中，供应商为投保人，采购人为被保险人。</w:t>
            </w:r>
          </w:p>
          <w:p w14:paraId="056E3245">
            <w:pPr>
              <w:shd w:val="clear" w:color="auto" w:fill="auto"/>
              <w:spacing w:line="48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二、投标保证金的递交时间</w:t>
            </w:r>
          </w:p>
          <w:p w14:paraId="41573A6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投标保证金递交截止时间与提交投标文件截止时间一致。供应商需在提交投标文件截止时间前按招标文件规定递交保证金，否则，一切后果由供应商自行承担。</w:t>
            </w:r>
          </w:p>
          <w:p w14:paraId="14F4575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投标保证金有效期与投标有效期一致。</w:t>
            </w:r>
          </w:p>
          <w:p w14:paraId="10A2D890">
            <w:pPr>
              <w:shd w:val="clear" w:color="auto" w:fill="auto"/>
              <w:spacing w:line="48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三、投标保证金的办理程序</w:t>
            </w:r>
          </w:p>
          <w:p w14:paraId="39CDFD5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6B332759">
            <w:pPr>
              <w:shd w:val="clear" w:color="auto" w:fill="auto"/>
              <w:spacing w:line="480" w:lineRule="exact"/>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w:t>
            </w:r>
            <w:r>
              <w:rPr>
                <w:rFonts w:hint="eastAsia" w:asciiTheme="minorEastAsia" w:hAnsiTheme="minorEastAsia" w:eastAsiaTheme="minorEastAsia" w:cstheme="minorEastAsia"/>
                <w:color w:val="auto"/>
                <w:sz w:val="24"/>
                <w:szCs w:val="24"/>
                <w:highlight w:val="none"/>
                <w:u w:val="none"/>
                <w:lang w:val="en-US" w:eastAsia="zh-CN"/>
              </w:rPr>
              <w:t>临沧市临翔区人民医院2025年度医用耗材采购项目第二标段；</w:t>
            </w:r>
          </w:p>
          <w:p w14:paraId="08F1854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户名：云南临祥项目管理咨询有限公司；</w:t>
            </w:r>
          </w:p>
          <w:p w14:paraId="409192F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开户行：中国工商银行股份有限公司临沧临翔支行；</w:t>
            </w:r>
          </w:p>
          <w:p w14:paraId="1F68680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保证金提交账号：2518041309200361920；</w:t>
            </w:r>
          </w:p>
          <w:p w14:paraId="3F37FFD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保证金金额：20000.00元。</w:t>
            </w:r>
          </w:p>
          <w:p w14:paraId="7FDC038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联系人：李工   18213744303</w:t>
            </w:r>
          </w:p>
          <w:p w14:paraId="2631502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办理程序：供应商应在2025年07月14日09时00分前，将投标保证金转入上述账户，进账凭证空白处或汇款凭证汇款用途栏上应明确项目名称、联系人及电话。</w:t>
            </w:r>
          </w:p>
          <w:p w14:paraId="3D09B27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投标保证金缴费凭证以银行回执单、网上银行电子回执单为准。</w:t>
            </w:r>
          </w:p>
          <w:p w14:paraId="234B69A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2.采用保函方式</w:t>
            </w:r>
          </w:p>
          <w:p w14:paraId="7F8B035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w:t>
            </w:r>
            <w:r>
              <w:rPr>
                <w:rFonts w:hint="eastAsia" w:asciiTheme="minorEastAsia" w:hAnsiTheme="minorEastAsia" w:eastAsiaTheme="minorEastAsia" w:cstheme="minorEastAsia"/>
                <w:color w:val="auto"/>
                <w:sz w:val="24"/>
                <w:szCs w:val="24"/>
                <w:highlight w:val="none"/>
                <w:u w:val="none"/>
                <w:lang w:val="en-US" w:eastAsia="zh-CN"/>
              </w:rPr>
              <w:t>临沧市临翔区人民医院2025年度医用耗材采购项目第二标段；</w:t>
            </w:r>
          </w:p>
          <w:p w14:paraId="5BF5BCB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保函申请人必须是供应商，受益人必须是采购人，保证人必须是供应商基本账号的开户银行；保函必须正确填写受益人和申请人的全称，并与招标文件规定的名称相一致，以免造成投标无效。</w:t>
            </w:r>
          </w:p>
          <w:p w14:paraId="5EF4181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w:t>
            </w:r>
            <w:r>
              <w:rPr>
                <w:rFonts w:hint="eastAsia" w:asciiTheme="minorEastAsia" w:hAnsiTheme="minorEastAsia" w:eastAsiaTheme="minorEastAsia" w:cstheme="minorEastAsia"/>
                <w:color w:val="auto"/>
                <w:sz w:val="24"/>
                <w:szCs w:val="24"/>
                <w:highlight w:val="none"/>
                <w:u w:val="none"/>
                <w:lang w:val="en-US" w:eastAsia="zh-CN"/>
              </w:rPr>
              <w:t>额：20000.00元。</w:t>
            </w:r>
          </w:p>
          <w:p w14:paraId="5E9AE47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注：供应商需对其真实性负责，经查证不属实的，所有责任由供应商自行承担。</w:t>
            </w:r>
          </w:p>
          <w:p w14:paraId="5BE7D32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投标保证金缴费凭证以金融机构保函为准。</w:t>
            </w:r>
          </w:p>
          <w:p w14:paraId="751D662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3.采用保证保险方式</w:t>
            </w:r>
          </w:p>
          <w:p w14:paraId="505384C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w:t>
            </w:r>
            <w:r>
              <w:rPr>
                <w:rFonts w:hint="eastAsia" w:asciiTheme="minorEastAsia" w:hAnsiTheme="minorEastAsia" w:eastAsiaTheme="minorEastAsia" w:cstheme="minorEastAsia"/>
                <w:color w:val="auto"/>
                <w:sz w:val="24"/>
                <w:szCs w:val="24"/>
                <w:highlight w:val="none"/>
                <w:u w:val="none"/>
                <w:lang w:val="en-US" w:eastAsia="zh-CN"/>
              </w:rPr>
              <w:t>临沧市临翔区人民医院2025年度医用耗材采购项目第二标段</w:t>
            </w:r>
            <w:r>
              <w:rPr>
                <w:rFonts w:hint="eastAsia" w:asciiTheme="minorEastAsia" w:hAnsiTheme="minorEastAsia" w:eastAsiaTheme="minorEastAsia" w:cstheme="minorEastAsia"/>
                <w:color w:val="auto"/>
                <w:sz w:val="24"/>
                <w:szCs w:val="24"/>
                <w:highlight w:val="none"/>
                <w:lang w:val="en-US" w:eastAsia="zh-CN"/>
              </w:rPr>
              <w:t>。</w:t>
            </w:r>
          </w:p>
          <w:p w14:paraId="60F97C4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在支付投标保证金保险费时，必须使用基本账号资金支付购买，未从基本账户转出支付保费造成经济纠纷的应由企业自行承担。在投标保证保险中，</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为投保人，</w:t>
            </w:r>
            <w:r>
              <w:rPr>
                <w:rFonts w:hint="eastAsia" w:asciiTheme="minorEastAsia" w:hAnsiTheme="minorEastAsia" w:eastAsiaTheme="minorEastAsia" w:cstheme="minorEastAsia"/>
                <w:color w:val="auto"/>
                <w:sz w:val="24"/>
                <w:highlight w:val="none"/>
                <w:lang w:val="en-US" w:eastAsia="zh-CN"/>
              </w:rPr>
              <w:t>采购人</w:t>
            </w:r>
            <w:r>
              <w:rPr>
                <w:rFonts w:hint="eastAsia" w:asciiTheme="minorEastAsia" w:hAnsiTheme="minorEastAsia" w:eastAsiaTheme="minorEastAsia" w:cstheme="minorEastAsia"/>
                <w:color w:val="auto"/>
                <w:sz w:val="24"/>
                <w:highlight w:val="none"/>
              </w:rPr>
              <w:t>为被保险人。</w:t>
            </w:r>
          </w:p>
          <w:p w14:paraId="64CBA03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w:t>
            </w:r>
            <w:r>
              <w:rPr>
                <w:rFonts w:hint="eastAsia" w:asciiTheme="minorEastAsia" w:hAnsiTheme="minorEastAsia" w:eastAsiaTheme="minorEastAsia" w:cstheme="minorEastAsia"/>
                <w:color w:val="auto"/>
                <w:sz w:val="24"/>
                <w:szCs w:val="24"/>
                <w:highlight w:val="none"/>
                <w:u w:val="none"/>
                <w:lang w:val="en-US" w:eastAsia="zh-CN"/>
              </w:rPr>
              <w:t>20000.00元</w:t>
            </w:r>
            <w:r>
              <w:rPr>
                <w:rFonts w:hint="eastAsia" w:asciiTheme="minorEastAsia" w:hAnsiTheme="minorEastAsia" w:eastAsiaTheme="minorEastAsia" w:cstheme="minorEastAsia"/>
                <w:color w:val="auto"/>
                <w:sz w:val="24"/>
                <w:szCs w:val="24"/>
                <w:highlight w:val="none"/>
                <w:lang w:val="en-US" w:eastAsia="zh-CN"/>
              </w:rPr>
              <w:t>。</w:t>
            </w:r>
          </w:p>
          <w:p w14:paraId="582DA63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注：供应商需对其真实性负责，经查证不属实的，所有责任由供应商自行承担。</w:t>
            </w:r>
          </w:p>
          <w:p w14:paraId="358D0A1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投标保证金缴费凭证以保险保单为准。</w:t>
            </w:r>
          </w:p>
          <w:p w14:paraId="24F6155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4.注意事项</w:t>
            </w:r>
          </w:p>
          <w:p w14:paraId="236E1C4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68876BB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①保证金转账方式包括电汇、网银方式，其他转账方式视为无效；</w:t>
            </w:r>
          </w:p>
          <w:p w14:paraId="2CC0C44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②保证金提交时间以保证金账户实际到账时间为准，未在投标文件递交截止时间前到账的保证金无效；</w:t>
            </w:r>
          </w:p>
          <w:p w14:paraId="59101DE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③请潜在供应商在跨行转账时考虑以下因素：①按照人民银行相关规定，跨行转账在工作日下午16时30分前办理手续，可以保证实时跨行到账；②跨行转账尽量采用电汇方式。</w:t>
            </w:r>
          </w:p>
          <w:p w14:paraId="253687F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④拒绝私人账户汇款及银行存现。</w:t>
            </w:r>
          </w:p>
          <w:p w14:paraId="5039747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（2）采用保函、保证保险方式：</w:t>
            </w:r>
          </w:p>
          <w:p w14:paraId="14ED3D7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供应商应充分考虑保函、保证保险办理所需时间，尽量提前办理，避免出现保证金不能顺利递交情况。</w:t>
            </w:r>
          </w:p>
        </w:tc>
      </w:tr>
      <w:tr w14:paraId="52F59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jc w:val="center"/>
        </w:trPr>
        <w:tc>
          <w:tcPr>
            <w:tcW w:w="1085" w:type="dxa"/>
            <w:noWrap w:val="0"/>
            <w:vAlign w:val="center"/>
          </w:tcPr>
          <w:p w14:paraId="4F129213">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17</w:t>
            </w:r>
          </w:p>
        </w:tc>
        <w:tc>
          <w:tcPr>
            <w:tcW w:w="2340" w:type="dxa"/>
            <w:noWrap w:val="0"/>
            <w:vAlign w:val="center"/>
          </w:tcPr>
          <w:p w14:paraId="33576695">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纸质投标文件</w:t>
            </w:r>
          </w:p>
        </w:tc>
        <w:tc>
          <w:tcPr>
            <w:tcW w:w="6054" w:type="dxa"/>
            <w:noWrap w:val="0"/>
            <w:vAlign w:val="center"/>
          </w:tcPr>
          <w:p w14:paraId="57A7A6A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参加本项目的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无需提交纸质投标文件，签订</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合同时中标人须向采购人提交纸质投标文件正本1份，副本1份，所提交纸质投标文件应与</w:t>
            </w:r>
            <w:r>
              <w:rPr>
                <w:rFonts w:hint="eastAsia" w:asciiTheme="minorEastAsia" w:hAnsiTheme="minorEastAsia" w:eastAsiaTheme="minorEastAsia" w:cstheme="minorEastAsia"/>
                <w:color w:val="auto"/>
                <w:sz w:val="24"/>
                <w:szCs w:val="24"/>
                <w:highlight w:val="none"/>
                <w:lang w:eastAsia="zh-CN"/>
              </w:rPr>
              <w:t>供应商提交</w:t>
            </w:r>
            <w:r>
              <w:rPr>
                <w:rFonts w:hint="eastAsia" w:asciiTheme="minorEastAsia" w:hAnsiTheme="minorEastAsia" w:eastAsiaTheme="minorEastAsia" w:cstheme="minorEastAsia"/>
                <w:color w:val="auto"/>
                <w:sz w:val="24"/>
                <w:szCs w:val="24"/>
                <w:highlight w:val="none"/>
              </w:rPr>
              <w:t>的电子投标文件一致，若不一致</w:t>
            </w:r>
            <w:r>
              <w:rPr>
                <w:rFonts w:hint="eastAsia" w:asciiTheme="minorEastAsia" w:hAnsiTheme="minorEastAsia" w:eastAsiaTheme="minorEastAsia" w:cstheme="minorEastAsia"/>
                <w:color w:val="auto"/>
                <w:sz w:val="24"/>
                <w:szCs w:val="24"/>
                <w:highlight w:val="none"/>
                <w:lang w:val="en-US" w:eastAsia="zh-CN"/>
              </w:rPr>
              <w:t>的以电子版为主，且</w:t>
            </w:r>
            <w:r>
              <w:rPr>
                <w:rFonts w:hint="eastAsia" w:asciiTheme="minorEastAsia" w:hAnsiTheme="minorEastAsia" w:eastAsiaTheme="minorEastAsia" w:cstheme="minorEastAsia"/>
                <w:color w:val="auto"/>
                <w:sz w:val="24"/>
                <w:szCs w:val="24"/>
                <w:highlight w:val="none"/>
              </w:rPr>
              <w:t>采购人可以就此作出对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最不利的处理决定。</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向采购人提供的纸质投标文件，应按照</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lang w:val="en-US" w:eastAsia="zh-CN"/>
              </w:rPr>
              <w:t>11.1</w:t>
            </w:r>
            <w:r>
              <w:rPr>
                <w:rFonts w:hint="eastAsia" w:asciiTheme="minorEastAsia" w:hAnsiTheme="minorEastAsia" w:eastAsiaTheme="minorEastAsia" w:cstheme="minorEastAsia"/>
                <w:color w:val="auto"/>
                <w:sz w:val="24"/>
                <w:szCs w:val="24"/>
                <w:highlight w:val="none"/>
              </w:rPr>
              <w:t>项规定的投标文件组成内容编制，</w:t>
            </w:r>
            <w:r>
              <w:rPr>
                <w:rFonts w:hint="eastAsia" w:asciiTheme="minorEastAsia" w:hAnsiTheme="minorEastAsia" w:eastAsiaTheme="minorEastAsia" w:cstheme="minorEastAsia"/>
                <w:color w:val="auto"/>
                <w:sz w:val="24"/>
                <w:szCs w:val="24"/>
                <w:highlight w:val="none"/>
                <w:lang w:val="en-US" w:eastAsia="zh-CN"/>
              </w:rPr>
              <w:t>纸质文件</w:t>
            </w:r>
            <w:r>
              <w:rPr>
                <w:rFonts w:hint="eastAsia" w:asciiTheme="minorEastAsia" w:hAnsiTheme="minorEastAsia" w:eastAsiaTheme="minorEastAsia" w:cstheme="minorEastAsia"/>
                <w:color w:val="auto"/>
                <w:sz w:val="24"/>
                <w:szCs w:val="24"/>
                <w:highlight w:val="none"/>
              </w:rPr>
              <w:t>正本与副本应分别装订成册，装订应牢固，不易拆散和换页，不得采用活页夹装订。</w:t>
            </w:r>
          </w:p>
        </w:tc>
      </w:tr>
      <w:tr w14:paraId="0901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085" w:type="dxa"/>
            <w:noWrap w:val="0"/>
            <w:vAlign w:val="center"/>
          </w:tcPr>
          <w:p w14:paraId="60D9A605">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18.1</w:t>
            </w:r>
          </w:p>
        </w:tc>
        <w:tc>
          <w:tcPr>
            <w:tcW w:w="2340" w:type="dxa"/>
            <w:noWrap w:val="0"/>
            <w:vAlign w:val="center"/>
          </w:tcPr>
          <w:p w14:paraId="1DF9ED99">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6054" w:type="dxa"/>
            <w:noWrap w:val="0"/>
            <w:vAlign w:val="center"/>
          </w:tcPr>
          <w:p w14:paraId="7022BE32">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从提交投标文件截止之日起90日历天</w:t>
            </w:r>
          </w:p>
        </w:tc>
      </w:tr>
      <w:tr w14:paraId="0184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1085" w:type="dxa"/>
            <w:noWrap w:val="0"/>
            <w:vAlign w:val="center"/>
          </w:tcPr>
          <w:p w14:paraId="087EDF5E">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2C88C71B">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开标时间和地点</w:t>
            </w:r>
          </w:p>
        </w:tc>
        <w:tc>
          <w:tcPr>
            <w:tcW w:w="6054" w:type="dxa"/>
            <w:noWrap w:val="0"/>
            <w:vAlign w:val="center"/>
          </w:tcPr>
          <w:p w14:paraId="3102121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开标时间：</w:t>
            </w:r>
            <w:r>
              <w:rPr>
                <w:rFonts w:hint="eastAsia" w:asciiTheme="minorEastAsia" w:hAnsiTheme="minorEastAsia" w:eastAsiaTheme="minorEastAsia" w:cstheme="minorEastAsia"/>
                <w:color w:val="auto"/>
                <w:sz w:val="24"/>
                <w:szCs w:val="24"/>
                <w:highlight w:val="none"/>
                <w:lang w:val="en-US" w:eastAsia="zh-CN"/>
              </w:rPr>
              <w:t>2025</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09ADCBF2">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开标地点：</w:t>
            </w:r>
            <w:r>
              <w:rPr>
                <w:rFonts w:hint="eastAsia" w:asciiTheme="minorEastAsia" w:hAnsiTheme="minorEastAsia" w:eastAsiaTheme="minorEastAsia" w:cstheme="minorEastAsia"/>
                <w:b w:val="0"/>
                <w:bCs w:val="0"/>
                <w:color w:val="auto"/>
                <w:sz w:val="24"/>
                <w:szCs w:val="24"/>
                <w:highlight w:val="none"/>
                <w:lang w:val="en-US" w:eastAsia="zh-CN"/>
              </w:rPr>
              <w:t>“政采云平台”（https://www.zcygov.cn/）</w:t>
            </w:r>
          </w:p>
          <w:p w14:paraId="7907D48E">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现场会议地点：</w:t>
            </w:r>
            <w:r>
              <w:rPr>
                <w:rFonts w:hint="eastAsia" w:asciiTheme="minorEastAsia" w:hAnsiTheme="minorEastAsia" w:eastAsiaTheme="minorEastAsia" w:cstheme="minorEastAsia"/>
                <w:color w:val="auto"/>
                <w:sz w:val="24"/>
                <w:szCs w:val="24"/>
                <w:highlight w:val="none"/>
                <w:lang w:eastAsia="zh-CN"/>
              </w:rPr>
              <w:t>云南临祥项目管理咨询有限公司</w:t>
            </w:r>
            <w:r>
              <w:rPr>
                <w:rFonts w:hint="eastAsia" w:asciiTheme="minorEastAsia" w:hAnsiTheme="minorEastAsia" w:eastAsiaTheme="minorEastAsia" w:cstheme="minorEastAsia"/>
                <w:color w:val="auto"/>
                <w:sz w:val="24"/>
                <w:szCs w:val="24"/>
                <w:highlight w:val="none"/>
              </w:rPr>
              <w:t>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标室（</w:t>
            </w:r>
            <w:r>
              <w:rPr>
                <w:rFonts w:hint="eastAsia" w:asciiTheme="minorEastAsia" w:hAnsiTheme="minorEastAsia" w:eastAsiaTheme="minorEastAsia" w:cstheme="minorEastAsia"/>
                <w:color w:val="auto"/>
                <w:sz w:val="24"/>
                <w:szCs w:val="24"/>
                <w:highlight w:val="none"/>
                <w:lang w:eastAsia="zh-CN"/>
              </w:rPr>
              <w:t>临翔区迎宾路159号锦绣花园二期四单元101</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室</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除供应商代表外现场开标的人员</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tc>
      </w:tr>
      <w:tr w14:paraId="6F86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085" w:type="dxa"/>
            <w:noWrap w:val="0"/>
            <w:vAlign w:val="center"/>
          </w:tcPr>
          <w:p w14:paraId="19266649">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2E3A4B87">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6054" w:type="dxa"/>
            <w:noWrap w:val="0"/>
            <w:vAlign w:val="center"/>
          </w:tcPr>
          <w:p w14:paraId="578DF4DF">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w:t>
            </w:r>
          </w:p>
        </w:tc>
      </w:tr>
      <w:tr w14:paraId="7C02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85" w:type="dxa"/>
            <w:noWrap w:val="0"/>
            <w:vAlign w:val="center"/>
          </w:tcPr>
          <w:p w14:paraId="76548866">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40C5A6F0">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备选方案</w:t>
            </w:r>
          </w:p>
        </w:tc>
        <w:tc>
          <w:tcPr>
            <w:tcW w:w="6054" w:type="dxa"/>
            <w:noWrap w:val="0"/>
            <w:vAlign w:val="center"/>
          </w:tcPr>
          <w:p w14:paraId="1976B43D">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不接受</w:t>
            </w:r>
          </w:p>
        </w:tc>
      </w:tr>
      <w:tr w14:paraId="1F90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3621C9F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29</w:t>
            </w:r>
          </w:p>
        </w:tc>
        <w:tc>
          <w:tcPr>
            <w:tcW w:w="2340" w:type="dxa"/>
            <w:noWrap w:val="0"/>
            <w:vAlign w:val="center"/>
          </w:tcPr>
          <w:p w14:paraId="5D8D1353">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数量变更</w:t>
            </w:r>
          </w:p>
        </w:tc>
        <w:tc>
          <w:tcPr>
            <w:tcW w:w="6054" w:type="dxa"/>
            <w:noWrap w:val="0"/>
            <w:vAlign w:val="center"/>
          </w:tcPr>
          <w:p w14:paraId="4F7B3BD0">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政府采购合同履行中，采购人需追加与合同标的相同的货物、工程或者服务的，在不改变合同其他条款的前提下，可以与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r>
              <w:rPr>
                <w:rFonts w:hint="eastAsia" w:asciiTheme="minorEastAsia" w:hAnsiTheme="minorEastAsia" w:eastAsiaTheme="minorEastAsia" w:cstheme="minorEastAsia"/>
                <w:color w:val="FF0000"/>
                <w:sz w:val="24"/>
                <w:szCs w:val="24"/>
                <w:highlight w:val="none"/>
                <w:lang w:eastAsia="zh-CN"/>
              </w:rPr>
              <w:t>。</w:t>
            </w:r>
          </w:p>
        </w:tc>
      </w:tr>
      <w:tr w14:paraId="5C379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4C785EC3">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30</w:t>
            </w:r>
          </w:p>
        </w:tc>
        <w:tc>
          <w:tcPr>
            <w:tcW w:w="2340" w:type="dxa"/>
            <w:noWrap w:val="0"/>
            <w:vAlign w:val="center"/>
          </w:tcPr>
          <w:p w14:paraId="0E99A807">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同品牌产品不同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的处理方式</w:t>
            </w:r>
          </w:p>
          <w:p w14:paraId="1D0B13B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（如有）</w:t>
            </w:r>
          </w:p>
        </w:tc>
        <w:tc>
          <w:tcPr>
            <w:tcW w:w="6054" w:type="dxa"/>
            <w:noWrap w:val="0"/>
            <w:vAlign w:val="center"/>
          </w:tcPr>
          <w:p w14:paraId="37EF3B4A">
            <w:pPr>
              <w:shd w:val="clear" w:color="auto" w:fill="auto"/>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供应商提供产品品牌相同的，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tc>
      </w:tr>
      <w:tr w14:paraId="35A4C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07BEAF62">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31</w:t>
            </w:r>
          </w:p>
        </w:tc>
        <w:tc>
          <w:tcPr>
            <w:tcW w:w="2340" w:type="dxa"/>
            <w:noWrap w:val="0"/>
            <w:vAlign w:val="center"/>
          </w:tcPr>
          <w:p w14:paraId="451C08CC">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w:t>
            </w:r>
          </w:p>
        </w:tc>
        <w:tc>
          <w:tcPr>
            <w:tcW w:w="6054" w:type="dxa"/>
            <w:noWrap w:val="0"/>
            <w:vAlign w:val="bottom"/>
          </w:tcPr>
          <w:p w14:paraId="7C00E241">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根据《政府采购促进中小企业发展管理办法》（财库﹝2020﹞46号）的规定，中小企业（含中型、小型、微型企业，下同）应当同时符合以下条件：</w:t>
            </w:r>
          </w:p>
          <w:p w14:paraId="43A4FAAB">
            <w:pPr>
              <w:pStyle w:val="43"/>
              <w:tabs>
                <w:tab w:val="left" w:pos="1635"/>
              </w:tabs>
              <w:autoSpaceDE w:val="0"/>
              <w:autoSpaceDN w:val="0"/>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（1）符合中小企业划分标准；</w:t>
            </w:r>
          </w:p>
          <w:p w14:paraId="5282044E">
            <w:pPr>
              <w:pStyle w:val="43"/>
              <w:tabs>
                <w:tab w:val="left" w:pos="1635"/>
              </w:tabs>
              <w:autoSpaceDE w:val="0"/>
              <w:autoSpaceDN w:val="0"/>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（2）提供本企业制造的货物、承担的工程或者服务，或者提供其他中小企业制造的货物。本项</w:t>
            </w:r>
            <w:r>
              <w:rPr>
                <w:rFonts w:hint="eastAsia" w:asciiTheme="minorEastAsia" w:hAnsiTheme="minorEastAsia" w:eastAsiaTheme="minorEastAsia" w:cstheme="minorEastAsia"/>
                <w:color w:val="auto"/>
                <w:sz w:val="24"/>
                <w:szCs w:val="24"/>
                <w:highlight w:val="none"/>
                <w:lang w:val="en-US" w:eastAsia="zh-CN"/>
              </w:rPr>
              <w:t>目</w:t>
            </w:r>
            <w:r>
              <w:rPr>
                <w:rFonts w:hint="eastAsia" w:asciiTheme="minorEastAsia" w:hAnsiTheme="minorEastAsia" w:eastAsiaTheme="minorEastAsia" w:cstheme="minorEastAsia"/>
                <w:color w:val="auto"/>
                <w:sz w:val="24"/>
                <w:szCs w:val="24"/>
                <w:highlight w:val="none"/>
              </w:rPr>
              <w:t>所称货物不包括使用大型企业注册商标的货物。</w:t>
            </w:r>
          </w:p>
          <w:p w14:paraId="5917FF7F">
            <w:pPr>
              <w:pStyle w:val="43"/>
              <w:tabs>
                <w:tab w:val="left" w:pos="1635"/>
              </w:tabs>
              <w:autoSpaceDE w:val="0"/>
              <w:autoSpaceDN w:val="0"/>
              <w:spacing w:line="360" w:lineRule="auto"/>
              <w:ind w:left="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本规定所称中小企业划分标准，是指国务院有关部门根据企业从业人员、营业收入、资产总额等指标制定的中小企业划型标准，详见《关于印发中小企业划型标准规定的通知》（工信部联企业〔2011〕300 号） 。</w:t>
            </w:r>
          </w:p>
          <w:p w14:paraId="769A7D4E">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小型、微型企业提供中型企业制造的货物的，视同为中型企业。</w:t>
            </w:r>
          </w:p>
          <w:p w14:paraId="7539A407">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提供本企业制造的货物或服务参与投标时，须提供本企业的《中小企业声明函》及证明材料；中小企业提供其他中小企业制造的货物参与投标时，还须同时提供货物制造企业的《中小企业声明函》及其证明材料。</w:t>
            </w:r>
          </w:p>
        </w:tc>
      </w:tr>
      <w:tr w14:paraId="669C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5DE81C7">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w:t>
            </w:r>
          </w:p>
        </w:tc>
        <w:tc>
          <w:tcPr>
            <w:tcW w:w="2340" w:type="dxa"/>
            <w:noWrap w:val="0"/>
            <w:vAlign w:val="center"/>
          </w:tcPr>
          <w:p w14:paraId="1E2D5B72">
            <w:pPr>
              <w:pStyle w:val="8"/>
              <w:autoSpaceDE w:val="0"/>
              <w:autoSpaceDN w:val="0"/>
              <w:spacing w:line="360" w:lineRule="auto"/>
              <w:ind w:lef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highlight w:val="none"/>
                <w:lang w:val="en-US" w:eastAsia="zh-CN"/>
              </w:rPr>
              <w:t>残疾人福利性单位</w:t>
            </w:r>
          </w:p>
        </w:tc>
        <w:tc>
          <w:tcPr>
            <w:tcW w:w="6054" w:type="dxa"/>
            <w:noWrap w:val="0"/>
            <w:vAlign w:val="bottom"/>
          </w:tcPr>
          <w:p w14:paraId="76E27C11">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享受政府采购支持政策的残疾人福利性单位应当同时满足以下条件：</w:t>
            </w:r>
          </w:p>
          <w:p w14:paraId="500843DB">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（1）安置的残疾人占本单位在职职工人数的比例不低于 25%（含 25%），并且安置的残疾人人数不少于 10 人（含 10 人）；</w:t>
            </w:r>
          </w:p>
          <w:p w14:paraId="5909CF65">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（2）依法与安置的每位残疾人签订了一年以上（含一年）的劳动合同或服务协议；</w:t>
            </w:r>
          </w:p>
          <w:p w14:paraId="2E3B5187">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为安置的每位残疾人按月足额缴纳了基本养老保险、基本医疗保险、失业保险、工伤保险和生育保险等社会保险费；</w:t>
            </w:r>
          </w:p>
          <w:p w14:paraId="6C9985EE">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（3）通过银行等金融机构向安置的每位残疾人，按月支付了不低于单位所在区县适用的经省级人民政府批准的月最低工资标准的工资；</w:t>
            </w:r>
          </w:p>
          <w:p w14:paraId="0D715437">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（4）提供本单位制造的货物、承担的工程或者服务（以下简称产品），或者提供其他残疾人福利性单位制造的货物（不包括使用非残疾人福利性单位注册商标的货物）。</w:t>
            </w:r>
          </w:p>
          <w:p w14:paraId="0630D443">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096C04D0">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条件的残疾人福利性单位在参加政府采购活动时，应当提供本《残疾人福利性单位声明函》（见附件），并对声明的真实性负责。任何单位或者个人在政府采购活动中均不得要求残疾人福利性单位提供其他证明声明函内容的材料。</w:t>
            </w:r>
          </w:p>
          <w:p w14:paraId="4D5A7663">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为残疾人福利性单位的，《残疾人福利性单位声明函》将与成交结果同时公告，接受社会监督。</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提供的《残疾人福利性单位声明函》与事实不符的，依照《</w:t>
            </w:r>
            <w:r>
              <w:rPr>
                <w:rFonts w:hint="eastAsia" w:asciiTheme="minorEastAsia" w:hAnsiTheme="minorEastAsia" w:eastAsiaTheme="minorEastAsia" w:cstheme="minorEastAsia"/>
                <w:color w:val="auto"/>
                <w:sz w:val="24"/>
                <w:szCs w:val="24"/>
                <w:highlight w:val="none"/>
                <w:lang w:val="en-US" w:eastAsia="zh-CN"/>
              </w:rPr>
              <w:t>中华人民共和国</w:t>
            </w:r>
            <w:r>
              <w:rPr>
                <w:rFonts w:hint="eastAsia" w:asciiTheme="minorEastAsia" w:hAnsiTheme="minorEastAsia" w:eastAsiaTheme="minorEastAsia" w:cstheme="minorEastAsia"/>
                <w:color w:val="auto"/>
                <w:sz w:val="24"/>
                <w:szCs w:val="24"/>
                <w:highlight w:val="none"/>
              </w:rPr>
              <w:t>政府采购法》第七十七条第一款的规定追究法律责任。</w:t>
            </w:r>
          </w:p>
        </w:tc>
      </w:tr>
      <w:tr w14:paraId="396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3588C52">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33</w:t>
            </w:r>
          </w:p>
        </w:tc>
        <w:tc>
          <w:tcPr>
            <w:tcW w:w="2340" w:type="dxa"/>
            <w:noWrap w:val="0"/>
            <w:vAlign w:val="center"/>
          </w:tcPr>
          <w:p w14:paraId="226D34FC">
            <w:pPr>
              <w:pStyle w:val="8"/>
              <w:autoSpaceDE w:val="0"/>
              <w:autoSpaceDN w:val="0"/>
              <w:spacing w:line="360" w:lineRule="auto"/>
              <w:ind w:left="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highlight w:val="none"/>
                <w:lang w:val="en-US" w:eastAsia="zh-CN"/>
              </w:rPr>
              <w:t>监狱企业</w:t>
            </w:r>
          </w:p>
        </w:tc>
        <w:tc>
          <w:tcPr>
            <w:tcW w:w="6054" w:type="dxa"/>
            <w:noWrap w:val="0"/>
            <w:vAlign w:val="bottom"/>
          </w:tcPr>
          <w:p w14:paraId="00936691">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541DF1">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监狱企业参加政府采购活动时，应当提供由省级以上监狱管理局、戒毒管理局（含新疆生产建设兵团）出具的属于监狱企业的证明文件。</w:t>
            </w:r>
          </w:p>
        </w:tc>
      </w:tr>
      <w:tr w14:paraId="52A32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406FD439">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34</w:t>
            </w:r>
          </w:p>
        </w:tc>
        <w:tc>
          <w:tcPr>
            <w:tcW w:w="2340" w:type="dxa"/>
            <w:noWrap w:val="0"/>
            <w:vAlign w:val="center"/>
          </w:tcPr>
          <w:p w14:paraId="6395B5F4">
            <w:pPr>
              <w:widowControl/>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节能、环境标志产品</w:t>
            </w:r>
          </w:p>
        </w:tc>
        <w:tc>
          <w:tcPr>
            <w:tcW w:w="6054" w:type="dxa"/>
            <w:noWrap w:val="0"/>
            <w:vAlign w:val="bottom"/>
          </w:tcPr>
          <w:p w14:paraId="144E1969">
            <w:pPr>
              <w:widowControl/>
              <w:spacing w:line="360" w:lineRule="auto"/>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47B82B7B">
            <w:pPr>
              <w:widowControl/>
              <w:spacing w:line="360" w:lineRule="auto"/>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3FFEF14">
            <w:pPr>
              <w:widowControl/>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可通过中国政府采购网(http：//ccgp.gov.cn/)、国家</w:t>
            </w:r>
            <w:r>
              <w:rPr>
                <w:rFonts w:hint="eastAsia" w:asciiTheme="minorEastAsia" w:hAnsiTheme="minorEastAsia" w:eastAsiaTheme="minorEastAsia" w:cstheme="minorEastAsia"/>
                <w:color w:val="auto"/>
                <w:sz w:val="24"/>
                <w:szCs w:val="24"/>
                <w:highlight w:val="none"/>
                <w:lang w:eastAsia="zh-CN"/>
              </w:rPr>
              <w:t>生态环境部</w:t>
            </w:r>
            <w:r>
              <w:rPr>
                <w:rFonts w:hint="eastAsia" w:asciiTheme="minorEastAsia" w:hAnsiTheme="minorEastAsia" w:eastAsiaTheme="minorEastAsia" w:cstheme="minorEastAsia"/>
                <w:color w:val="auto"/>
                <w:sz w:val="24"/>
                <w:szCs w:val="24"/>
                <w:highlight w:val="none"/>
              </w:rPr>
              <w:t>网(http：//www.sepa.gov.cn/)查阅、下载认证机构和获证产品相关情况。</w:t>
            </w:r>
          </w:p>
        </w:tc>
      </w:tr>
      <w:tr w14:paraId="3B7A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085" w:type="dxa"/>
            <w:noWrap w:val="0"/>
            <w:vAlign w:val="center"/>
          </w:tcPr>
          <w:p w14:paraId="3797C380">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35</w:t>
            </w:r>
          </w:p>
        </w:tc>
        <w:tc>
          <w:tcPr>
            <w:tcW w:w="2340" w:type="dxa"/>
            <w:noWrap w:val="0"/>
            <w:vAlign w:val="center"/>
          </w:tcPr>
          <w:p w14:paraId="2EE71815">
            <w:pPr>
              <w:widowControl/>
              <w:spacing w:line="360" w:lineRule="auto"/>
              <w:jc w:val="center"/>
              <w:rPr>
                <w:rFonts w:hint="default" w:asciiTheme="minorEastAsia" w:hAnsiTheme="minorEastAsia" w:eastAsiaTheme="minorEastAsia" w:cstheme="minorEastAsia"/>
                <w:b/>
                <w:bCs/>
                <w:color w:val="auto"/>
                <w:spacing w:val="-4"/>
                <w:sz w:val="24"/>
                <w:szCs w:val="24"/>
                <w:highlight w:val="none"/>
                <w:lang w:val="en-US" w:eastAsia="zh-CN"/>
              </w:rPr>
            </w:pPr>
            <w:r>
              <w:rPr>
                <w:rFonts w:hint="eastAsia" w:asciiTheme="minorEastAsia" w:hAnsiTheme="minorEastAsia" w:eastAsiaTheme="minorEastAsia" w:cstheme="minorEastAsia"/>
                <w:b/>
                <w:bCs/>
                <w:color w:val="auto"/>
                <w:spacing w:val="-4"/>
                <w:sz w:val="24"/>
                <w:szCs w:val="24"/>
                <w:highlight w:val="none"/>
                <w:lang w:val="en-US" w:eastAsia="zh-CN"/>
              </w:rPr>
              <w:t>其他要求</w:t>
            </w:r>
          </w:p>
        </w:tc>
        <w:tc>
          <w:tcPr>
            <w:tcW w:w="6054" w:type="dxa"/>
            <w:noWrap w:val="0"/>
            <w:vAlign w:val="bottom"/>
          </w:tcPr>
          <w:p w14:paraId="6EF73D9D">
            <w:pPr>
              <w:widowControl/>
              <w:spacing w:line="360" w:lineRule="auto"/>
              <w:jc w:val="left"/>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成交供应商签订合同前需提供所投产品厂家授权委托书（原件），若未能提供厂家授权委托书视为放弃成交资格，按照评标委员会推荐成交候选人顺序进行顺延，如成交候选人均未能满足，则重新招标。未满足要求的供应商视为虚假应标，并将该供应商名单提交相关部门。</w:t>
            </w:r>
          </w:p>
        </w:tc>
      </w:tr>
      <w:tr w14:paraId="0FAB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085" w:type="dxa"/>
            <w:noWrap w:val="0"/>
            <w:vAlign w:val="center"/>
          </w:tcPr>
          <w:p w14:paraId="678E147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36</w:t>
            </w:r>
          </w:p>
        </w:tc>
        <w:tc>
          <w:tcPr>
            <w:tcW w:w="2340" w:type="dxa"/>
            <w:noWrap w:val="0"/>
            <w:vAlign w:val="center"/>
          </w:tcPr>
          <w:p w14:paraId="649A5CB4">
            <w:pPr>
              <w:widowControl/>
              <w:spacing w:line="360" w:lineRule="auto"/>
              <w:jc w:val="center"/>
              <w:rPr>
                <w:rFonts w:hint="eastAsia" w:asciiTheme="minorEastAsia" w:hAnsiTheme="minorEastAsia" w:eastAsiaTheme="minorEastAsia" w:cstheme="minorEastAsia"/>
                <w:b/>
                <w:bCs/>
                <w:color w:val="auto"/>
                <w:spacing w:val="-4"/>
                <w:sz w:val="24"/>
                <w:szCs w:val="24"/>
                <w:highlight w:val="none"/>
                <w:lang w:val="en-US" w:eastAsia="zh-CN"/>
              </w:rPr>
            </w:pPr>
            <w:r>
              <w:rPr>
                <w:rFonts w:hint="eastAsia" w:asciiTheme="minorEastAsia" w:hAnsiTheme="minorEastAsia" w:eastAsiaTheme="minorEastAsia" w:cstheme="minorEastAsia"/>
                <w:b/>
                <w:bCs/>
                <w:color w:val="auto"/>
                <w:spacing w:val="-4"/>
                <w:sz w:val="24"/>
                <w:szCs w:val="24"/>
                <w:highlight w:val="none"/>
                <w:lang w:val="en-US" w:eastAsia="zh-CN"/>
              </w:rPr>
              <w:t>履约担保</w:t>
            </w:r>
          </w:p>
        </w:tc>
        <w:tc>
          <w:tcPr>
            <w:tcW w:w="6054" w:type="dxa"/>
            <w:noWrap w:val="0"/>
            <w:vAlign w:val="bottom"/>
          </w:tcPr>
          <w:p w14:paraId="637AD26A">
            <w:pPr>
              <w:widowControl/>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（1）履约担保的形式：支票、汇票、本票或者金融机构、担保机构出具的保函（履约担保的相关资料作为合同的附件）；</w:t>
            </w:r>
          </w:p>
          <w:p w14:paraId="45FC4C41">
            <w:pPr>
              <w:widowControl/>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（2）履约担保的金额：合同总价的5%；</w:t>
            </w:r>
          </w:p>
          <w:p w14:paraId="69CFB8EA">
            <w:pPr>
              <w:widowControl/>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（3）履约担保的提交时间：合同签订前；</w:t>
            </w:r>
          </w:p>
          <w:p w14:paraId="12A314F9">
            <w:pPr>
              <w:widowControl/>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（4）履约担保的期限：自提交履约担保之日起至合同履行期限之日止；</w:t>
            </w:r>
          </w:p>
          <w:p w14:paraId="6BB39D8E">
            <w:pPr>
              <w:widowControl/>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（5）履约担保的退还时间：如为银行转账则合同履行期限到期后一次性退还履约保证金，如为银行保函或者保证保函形式则自动失效。</w:t>
            </w:r>
          </w:p>
          <w:p w14:paraId="1F80D533">
            <w:pPr>
              <w:widowControl/>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注:不按招标文件要求缴纳履约担保的，视为放弃中标。</w:t>
            </w:r>
          </w:p>
        </w:tc>
      </w:tr>
    </w:tbl>
    <w:p w14:paraId="19E6F2D4">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759B7FF0">
      <w:pPr>
        <w:spacing w:line="500" w:lineRule="exact"/>
        <w:ind w:firstLine="510"/>
        <w:jc w:val="center"/>
        <w:rPr>
          <w:rFonts w:hint="eastAsia" w:asciiTheme="minorEastAsia" w:hAnsiTheme="minorEastAsia" w:eastAsiaTheme="minorEastAsia" w:cstheme="minorEastAsia"/>
          <w:b/>
          <w:bCs/>
          <w:color w:val="auto"/>
          <w:spacing w:val="14"/>
          <w:sz w:val="44"/>
          <w:highlight w:val="none"/>
        </w:rPr>
      </w:pPr>
      <w:r>
        <w:rPr>
          <w:rFonts w:hint="eastAsia" w:asciiTheme="minorEastAsia" w:hAnsiTheme="minorEastAsia" w:eastAsiaTheme="minorEastAsia" w:cstheme="minorEastAsia"/>
          <w:b/>
          <w:bCs/>
          <w:color w:val="auto"/>
          <w:spacing w:val="14"/>
          <w:sz w:val="44"/>
          <w:highlight w:val="none"/>
        </w:rPr>
        <w:t>投 标 人 须 知</w:t>
      </w:r>
    </w:p>
    <w:p w14:paraId="5571A2F1">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p>
    <w:p w14:paraId="5022C7F4">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一、总  则</w:t>
      </w:r>
    </w:p>
    <w:p w14:paraId="0F6F0D8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1.采购人、采购代理机构、项目名称，详见招标文件“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p w14:paraId="31FF2FA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2.资金来源</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详见招标文件“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p w14:paraId="77F45AA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3.采购</w:t>
      </w:r>
      <w:r>
        <w:rPr>
          <w:rFonts w:hint="eastAsia" w:asciiTheme="minorEastAsia" w:hAnsiTheme="minorEastAsia" w:eastAsiaTheme="minorEastAsia" w:cstheme="minorEastAsia"/>
          <w:b w:val="0"/>
          <w:bCs/>
          <w:color w:val="auto"/>
          <w:sz w:val="24"/>
          <w:szCs w:val="24"/>
          <w:highlight w:val="none"/>
          <w:lang w:val="en-US" w:eastAsia="zh-CN"/>
        </w:rPr>
        <w:t>需求</w:t>
      </w:r>
      <w:r>
        <w:rPr>
          <w:rFonts w:hint="eastAsia" w:asciiTheme="minorEastAsia" w:hAnsiTheme="minorEastAsia" w:eastAsiaTheme="minorEastAsia" w:cstheme="minorEastAsia"/>
          <w:b w:val="0"/>
          <w:bCs/>
          <w:color w:val="auto"/>
          <w:sz w:val="24"/>
          <w:szCs w:val="24"/>
          <w:highlight w:val="none"/>
        </w:rPr>
        <w:t>详见招标文件。</w:t>
      </w:r>
    </w:p>
    <w:p w14:paraId="6EE735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4.合格的</w:t>
      </w:r>
      <w:r>
        <w:rPr>
          <w:rFonts w:hint="eastAsia" w:asciiTheme="minorEastAsia" w:hAnsiTheme="minorEastAsia" w:eastAsiaTheme="minorEastAsia" w:cstheme="minorEastAsia"/>
          <w:b w:val="0"/>
          <w:bCs/>
          <w:color w:val="auto"/>
          <w:sz w:val="24"/>
          <w:szCs w:val="24"/>
          <w:highlight w:val="none"/>
          <w:lang w:eastAsia="zh-CN"/>
        </w:rPr>
        <w:t>供应商</w:t>
      </w:r>
    </w:p>
    <w:p w14:paraId="1815B39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4.1</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lang w:val="en-US" w:eastAsia="zh-CN"/>
        </w:rPr>
        <w:t>资格要求详</w:t>
      </w:r>
      <w:r>
        <w:rPr>
          <w:rFonts w:hint="eastAsia" w:asciiTheme="minorEastAsia" w:hAnsiTheme="minorEastAsia" w:eastAsiaTheme="minorEastAsia" w:cstheme="minorEastAsia"/>
          <w:b w:val="0"/>
          <w:bCs/>
          <w:color w:val="auto"/>
          <w:sz w:val="24"/>
          <w:szCs w:val="24"/>
          <w:highlight w:val="none"/>
        </w:rPr>
        <w:t>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77D02EB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4.2</w:t>
      </w:r>
      <w:r>
        <w:rPr>
          <w:rFonts w:hint="eastAsia" w:asciiTheme="minorEastAsia" w:hAnsiTheme="minorEastAsia" w:eastAsiaTheme="minorEastAsia" w:cstheme="minorEastAsia"/>
          <w:b w:val="0"/>
          <w:bCs/>
          <w:color w:val="auto"/>
          <w:sz w:val="24"/>
          <w:szCs w:val="24"/>
          <w:highlight w:val="none"/>
          <w:lang w:val="en-US" w:eastAsia="zh-CN"/>
        </w:rPr>
        <w:t>本项目不接受联合体投标。</w:t>
      </w:r>
    </w:p>
    <w:p w14:paraId="227DFCE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4.3本项目不允许分包。</w:t>
      </w:r>
    </w:p>
    <w:p w14:paraId="5EDBC33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5.投标费用</w:t>
      </w:r>
    </w:p>
    <w:p w14:paraId="116484AA">
      <w:pPr>
        <w:pStyle w:val="16"/>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5.1</w:t>
      </w:r>
      <w:r>
        <w:rPr>
          <w:rFonts w:hint="eastAsia" w:asciiTheme="minorEastAsia" w:hAnsiTheme="minorEastAsia" w:eastAsiaTheme="minorEastAsia" w:cstheme="minorEastAsia"/>
          <w:color w:val="auto"/>
          <w:sz w:val="24"/>
          <w:szCs w:val="24"/>
          <w:highlight w:val="none"/>
        </w:rPr>
        <w:t>不论投标结果如何，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均应自行承担所有与准备和参加投标活动有关的全部费用。</w:t>
      </w:r>
      <w:bookmarkStart w:id="41" w:name="_Toc321836357"/>
    </w:p>
    <w:p w14:paraId="6B48B509">
      <w:pPr>
        <w:pStyle w:val="16"/>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5.2供应商需成交本项目的成交服务费，详见招标文件“供应商须知前附表”。</w:t>
      </w:r>
    </w:p>
    <w:p w14:paraId="626AB5E6">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bookmarkEnd w:id="41"/>
      <w:r>
        <w:rPr>
          <w:rFonts w:hint="eastAsia" w:asciiTheme="minorEastAsia" w:hAnsiTheme="minorEastAsia" w:eastAsiaTheme="minorEastAsia" w:cstheme="minorEastAsia"/>
          <w:b/>
          <w:color w:val="auto"/>
          <w:sz w:val="28"/>
          <w:szCs w:val="28"/>
          <w:highlight w:val="none"/>
        </w:rPr>
        <w:t>二、招标文件</w:t>
      </w:r>
    </w:p>
    <w:p w14:paraId="20BA6E2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.招标文件构成</w:t>
      </w:r>
    </w:p>
    <w:p w14:paraId="4E51621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.1招标文件</w:t>
      </w:r>
      <w:r>
        <w:rPr>
          <w:rFonts w:hint="eastAsia" w:asciiTheme="minorEastAsia" w:hAnsiTheme="minorEastAsia" w:eastAsiaTheme="minorEastAsia" w:cstheme="minorEastAsia"/>
          <w:color w:val="auto"/>
          <w:sz w:val="24"/>
          <w:szCs w:val="24"/>
          <w:highlight w:val="none"/>
          <w:lang w:val="en-US" w:eastAsia="zh-CN"/>
        </w:rPr>
        <w:t>包括下列</w:t>
      </w:r>
      <w:r>
        <w:rPr>
          <w:rFonts w:hint="eastAsia" w:asciiTheme="minorEastAsia" w:hAnsiTheme="minorEastAsia" w:eastAsiaTheme="minorEastAsia" w:cstheme="minorEastAsia"/>
          <w:color w:val="auto"/>
          <w:sz w:val="24"/>
          <w:szCs w:val="24"/>
          <w:highlight w:val="none"/>
        </w:rPr>
        <w:t>内容：</w:t>
      </w:r>
    </w:p>
    <w:p w14:paraId="5D7D827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第一章 招标公告</w:t>
      </w:r>
    </w:p>
    <w:p w14:paraId="60D1CF5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第二章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rPr>
        <w:tab/>
      </w:r>
    </w:p>
    <w:p w14:paraId="6D801EB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第三章 评标方法（综合评分法）</w:t>
      </w:r>
      <w:r>
        <w:rPr>
          <w:rFonts w:hint="eastAsia" w:asciiTheme="minorEastAsia" w:hAnsiTheme="minorEastAsia" w:eastAsiaTheme="minorEastAsia" w:cstheme="minorEastAsia"/>
          <w:color w:val="auto"/>
          <w:sz w:val="24"/>
          <w:szCs w:val="24"/>
          <w:highlight w:val="none"/>
        </w:rPr>
        <w:tab/>
      </w:r>
    </w:p>
    <w:p w14:paraId="5FD6444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第四章 合同主要条款及格式</w:t>
      </w:r>
      <w:r>
        <w:rPr>
          <w:rFonts w:hint="eastAsia" w:asciiTheme="minorEastAsia" w:hAnsiTheme="minorEastAsia" w:eastAsiaTheme="minorEastAsia" w:cstheme="minorEastAsia"/>
          <w:color w:val="auto"/>
          <w:sz w:val="24"/>
          <w:szCs w:val="24"/>
          <w:highlight w:val="none"/>
        </w:rPr>
        <w:tab/>
      </w:r>
    </w:p>
    <w:p w14:paraId="33059FE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 投标文件格式</w:t>
      </w:r>
      <w:r>
        <w:rPr>
          <w:rFonts w:hint="eastAsia" w:asciiTheme="minorEastAsia" w:hAnsiTheme="minorEastAsia" w:eastAsiaTheme="minorEastAsia" w:cstheme="minorEastAsia"/>
          <w:color w:val="auto"/>
          <w:sz w:val="24"/>
          <w:szCs w:val="24"/>
          <w:highlight w:val="none"/>
        </w:rPr>
        <w:tab/>
      </w:r>
    </w:p>
    <w:p w14:paraId="0ED5C2E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第六章 采购需求</w:t>
      </w:r>
    </w:p>
    <w:p w14:paraId="3D4BCE83">
      <w:pPr>
        <w:pStyle w:val="16"/>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42" w:name="_Toc26868"/>
      <w:bookmarkStart w:id="43" w:name="_Toc3194"/>
      <w:bookmarkStart w:id="44" w:name="_Toc30125"/>
      <w:bookmarkStart w:id="45" w:name="_Toc35700997"/>
      <w:bookmarkStart w:id="46" w:name="_Toc22930"/>
      <w:bookmarkStart w:id="47" w:name="_Toc14269"/>
      <w:bookmarkStart w:id="48" w:name="_Toc35700926"/>
      <w:bookmarkStart w:id="49" w:name="_Toc7867"/>
      <w:bookmarkStart w:id="50" w:name="_Toc36116052"/>
      <w:bookmarkStart w:id="51" w:name="_Toc17071"/>
      <w:bookmarkStart w:id="52" w:name="_Toc32361"/>
      <w:bookmarkStart w:id="53" w:name="_Toc35701783"/>
      <w:bookmarkStart w:id="54" w:name="_Toc22304"/>
      <w:bookmarkStart w:id="55" w:name="_Toc31972"/>
      <w:bookmarkStart w:id="56" w:name="_Toc49935309"/>
      <w:bookmarkStart w:id="57" w:name="_Toc12240"/>
      <w:bookmarkStart w:id="58" w:name="_Hlk530346927"/>
      <w:bookmarkStart w:id="59" w:name="_Hlk530349586"/>
      <w:r>
        <w:rPr>
          <w:rFonts w:hint="eastAsia" w:asciiTheme="minorEastAsia" w:hAnsiTheme="minorEastAsia" w:eastAsiaTheme="minorEastAsia" w:cstheme="minorEastAsia"/>
          <w:b w:val="0"/>
          <w:bCs w:val="0"/>
          <w:color w:val="auto"/>
          <w:sz w:val="24"/>
          <w:szCs w:val="24"/>
          <w:highlight w:val="none"/>
          <w:lang w:val="en-US" w:eastAsia="zh-CN"/>
        </w:rPr>
        <w:t>7.招标文件的询问、澄清、修改</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7FF47ECE">
      <w:pPr>
        <w:pStyle w:val="16"/>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供应商应仔细阅读和检查招标文件的全部内容，如有疑问，供应商应当在提交投标文件截止时间10日前凭企业数字证书（CA）登录“政采云平台”（https://www.zcygov.cn/）通过在线方式向采购人或采购代理机构提出询问，采购人或者采购代理机构自收到异议之日起3日内对供应商依法提出的询问通过在线形式作出答复，但答复的内容不涉及商业秘密。</w:t>
      </w:r>
    </w:p>
    <w:p w14:paraId="40E4CC3A">
      <w:pPr>
        <w:pStyle w:val="16"/>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采购人或者采购代理机构可以对已发出的招标文件进行必要的澄清或者修改，该澄清或者修改的内容为招标文件的组成部分。澄清或者修改的内容可能影响投标文件编制的，采购人或者采购代理机构应当在提交投标文件截止时间至少15日前澄清或者修改招标文件；不足15日的，采购人或者采购代理机构应当顺延提交投标文件的截止时间。</w:t>
      </w:r>
    </w:p>
    <w:p w14:paraId="3E41C07C">
      <w:pPr>
        <w:pStyle w:val="16"/>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7.3采购人对招标文件中的涉及评标办法、评审项目等重要评审内容做出变更，将同时发布补遗文件进行说明，以便各供应商都能下载招标文件并用于编制电子投标文件。</w:t>
      </w:r>
    </w:p>
    <w:p w14:paraId="7304800E">
      <w:pPr>
        <w:pStyle w:val="16"/>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7.4招标文件澄清、招标文件修改文件内容均以网上电子文件为准，当招标文件、招标文件澄清、招标文件修改文件内容前后不一致时，以后发出的内容为准。</w:t>
      </w:r>
    </w:p>
    <w:p w14:paraId="1F27E4D0">
      <w:pPr>
        <w:pStyle w:val="16"/>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7.5本项目招标澄清和补遗全部通过网络送达，供应商须在提交投标文件截止时间前自行登录“政采云平台”（https://www.zcygov.cn/）查看有关该项目招标文件的答疑、补遗内容。否则，由此引起的投标损失自负。</w:t>
      </w:r>
      <w:bookmarkEnd w:id="58"/>
      <w:bookmarkEnd w:id="59"/>
    </w:p>
    <w:p w14:paraId="7A8A3EB5">
      <w:pPr>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三、</w:t>
      </w:r>
      <w:r>
        <w:rPr>
          <w:rFonts w:hint="eastAsia" w:asciiTheme="minorEastAsia" w:hAnsiTheme="minorEastAsia" w:eastAsiaTheme="minorEastAsia" w:cstheme="minorEastAsia"/>
          <w:b/>
          <w:bCs w:val="0"/>
          <w:color w:val="auto"/>
          <w:sz w:val="28"/>
          <w:szCs w:val="28"/>
          <w:highlight w:val="none"/>
        </w:rPr>
        <w:t>投标文件</w:t>
      </w:r>
    </w:p>
    <w:p w14:paraId="217AC48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8.投标文件编写注意事项</w:t>
      </w:r>
    </w:p>
    <w:p w14:paraId="51814EA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8.1供应商应仔细阅读招标文件，在完全了解本采购项目的实质性要求（技术要求和商务要求）后编写投标文件。投标文件必须响应招标文件的实质性要求（技术要求和商务要求）。</w:t>
      </w:r>
    </w:p>
    <w:p w14:paraId="7DBBBB4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8.2技术要求包括采购标的的名称、规格、产品技术要求、功能、性能、数量、产品质量要求、技术培训要求、配置要求等。</w:t>
      </w:r>
    </w:p>
    <w:p w14:paraId="6ADD3EA8">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8.3商务要求包括供应配送时限要求、项目验收要求、合同履行期限、投标报价说明等。</w:t>
      </w:r>
    </w:p>
    <w:p w14:paraId="455EBA2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9.投标的语言及计量单位</w:t>
      </w:r>
    </w:p>
    <w:p w14:paraId="3F911D9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9.1供应商的投标文件、供应商与采购人、采购代理机构就有关投标的所有来往函电统一使用中文（特别规定除外）。</w:t>
      </w:r>
    </w:p>
    <w:p w14:paraId="57D73EE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9.2除招标文件中有特殊规定外，本项目一律使用中国法定计量单位，投标货币为人民币。</w:t>
      </w:r>
    </w:p>
    <w:p w14:paraId="4DDDB23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rPr>
        <w:t>1</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.投标报价</w:t>
      </w:r>
    </w:p>
    <w:p w14:paraId="77F900A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 10.1</w:t>
      </w:r>
      <w:r>
        <w:rPr>
          <w:rFonts w:hint="eastAsia" w:asciiTheme="minorEastAsia" w:hAnsiTheme="minorEastAsia" w:eastAsiaTheme="minorEastAsia" w:cstheme="minorEastAsia"/>
          <w:color w:val="auto"/>
          <w:sz w:val="24"/>
          <w:szCs w:val="24"/>
          <w:highlight w:val="none"/>
          <w:lang w:val="en-US" w:eastAsia="zh-CN"/>
        </w:rPr>
        <w:t>详见招标文件“供应商须知前附表”。</w:t>
      </w:r>
    </w:p>
    <w:p w14:paraId="0F526D9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10.2供应商须提交保证接受“最低报价不能作为成交依据”的保证书。</w:t>
      </w:r>
    </w:p>
    <w:p w14:paraId="3C1DF98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10.3任何有选择的报价将不予接受，每种产品只允许有一个报价。</w:t>
      </w:r>
    </w:p>
    <w:p w14:paraId="4368A3B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10.4供应商不得哄抬报价，也不应低于成本价(或进价)报价，否则一经查实，其投标将可能被拒绝或被宣布为废标。</w:t>
      </w:r>
    </w:p>
    <w:p w14:paraId="2D95C86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10.5供应商须书面承诺其投标报价不低于成本价，其报价不会影响商品质量及合同履约，否则作无效标书处理。</w:t>
      </w:r>
    </w:p>
    <w:p w14:paraId="5438817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10.6报价必须包含一切费用，本项目全部相关的费用，供应商须在投标文件里单独进行承诺我公司所做出的报价均已考虑过各项风险因素（单独提供承诺书），未提供承诺的按无效标书处理。</w:t>
      </w:r>
    </w:p>
    <w:p w14:paraId="06E4AAC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11.投标文件构成</w:t>
      </w:r>
    </w:p>
    <w:p w14:paraId="14E5D41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11.1供应商编写的投标文件应按招标文件中“投标文件格式”要求填写。</w:t>
      </w:r>
    </w:p>
    <w:p w14:paraId="5C6034E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60" w:name="_Hlk530347046"/>
      <w:r>
        <w:rPr>
          <w:rFonts w:hint="eastAsia" w:asciiTheme="minorEastAsia" w:hAnsiTheme="minorEastAsia" w:eastAsiaTheme="minorEastAsia" w:cstheme="minorEastAsia"/>
          <w:b w:val="0"/>
          <w:bCs/>
          <w:color w:val="auto"/>
          <w:sz w:val="24"/>
          <w:szCs w:val="24"/>
          <w:highlight w:val="none"/>
          <w:lang w:val="en-US" w:eastAsia="zh-CN"/>
        </w:rPr>
        <w:t>11.2各供应商应登录“政采云平台”（https://www.zcygov.cn/），下载安装“政采云电子交易客户端”，并按照本项目采购文件和政采云平台的要求编制、加密、提交投标文件。</w:t>
      </w:r>
    </w:p>
    <w:p w14:paraId="1A87EBC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12.电子投标文件的编制</w:t>
      </w:r>
    </w:p>
    <w:p w14:paraId="79C0F08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1</w:t>
      </w:r>
      <w:r>
        <w:rPr>
          <w:rFonts w:hint="eastAsia" w:asciiTheme="minorEastAsia" w:hAnsiTheme="minorEastAsia" w:eastAsiaTheme="minorEastAsia" w:cstheme="minorEastAsia"/>
          <w:b w:val="0"/>
          <w:bCs/>
          <w:color w:val="auto"/>
          <w:sz w:val="24"/>
          <w:szCs w:val="24"/>
          <w:highlight w:val="none"/>
        </w:rPr>
        <w:t>电子投标文件应使用</w:t>
      </w:r>
      <w:r>
        <w:rPr>
          <w:rFonts w:hint="eastAsia" w:asciiTheme="minorEastAsia" w:hAnsiTheme="minorEastAsia" w:eastAsiaTheme="minorEastAsia" w:cstheme="minorEastAsia"/>
          <w:b w:val="0"/>
          <w:bCs/>
          <w:color w:val="auto"/>
          <w:sz w:val="24"/>
          <w:szCs w:val="24"/>
          <w:highlight w:val="none"/>
          <w:lang w:val="en-US" w:eastAsia="zh-CN"/>
        </w:rPr>
        <w:t>“政采云电子交易客户端”</w:t>
      </w:r>
      <w:r>
        <w:rPr>
          <w:rFonts w:hint="eastAsia" w:asciiTheme="minorEastAsia" w:hAnsiTheme="minorEastAsia" w:eastAsiaTheme="minorEastAsia" w:cstheme="minorEastAsia"/>
          <w:b w:val="0"/>
          <w:bCs/>
          <w:color w:val="auto"/>
          <w:sz w:val="24"/>
          <w:szCs w:val="24"/>
          <w:highlight w:val="none"/>
          <w:lang w:eastAsia="zh-CN"/>
        </w:rPr>
        <w:t>编制，编制要求详见</w:t>
      </w:r>
      <w:r>
        <w:rPr>
          <w:rFonts w:hint="eastAsia" w:asciiTheme="minorEastAsia" w:hAnsiTheme="minorEastAsia" w:eastAsiaTheme="minorEastAsia" w:cstheme="minorEastAsia"/>
          <w:b w:val="0"/>
          <w:bCs/>
          <w:color w:val="auto"/>
          <w:sz w:val="24"/>
          <w:szCs w:val="24"/>
          <w:highlight w:val="none"/>
          <w:lang w:val="en-US" w:eastAsia="zh-CN"/>
        </w:rPr>
        <w:t>“政采云平台”</w:t>
      </w:r>
      <w:r>
        <w:rPr>
          <w:rFonts w:hint="eastAsia" w:asciiTheme="minorEastAsia" w:hAnsiTheme="minorEastAsia" w:eastAsiaTheme="minorEastAsia" w:cstheme="minorEastAsia"/>
          <w:b w:val="0"/>
          <w:bCs/>
          <w:color w:val="auto"/>
          <w:sz w:val="24"/>
          <w:szCs w:val="24"/>
          <w:highlight w:val="none"/>
          <w:lang w:eastAsia="zh-CN"/>
        </w:rPr>
        <w:t>《供应商操作手册》</w:t>
      </w:r>
      <w:r>
        <w:rPr>
          <w:rFonts w:hint="eastAsia" w:asciiTheme="minorEastAsia" w:hAnsiTheme="minorEastAsia" w:eastAsiaTheme="minorEastAsia" w:cstheme="minorEastAsia"/>
          <w:b w:val="0"/>
          <w:bCs/>
          <w:color w:val="auto"/>
          <w:sz w:val="24"/>
          <w:szCs w:val="24"/>
          <w:highlight w:val="none"/>
        </w:rPr>
        <w:t>。</w:t>
      </w:r>
    </w:p>
    <w:p w14:paraId="6D472A5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12.2在编制电子投标文件时，上传的单个资料不能大于100MB或300MB（具体以政采云平台系统要求为准）。</w:t>
      </w:r>
      <w:bookmarkEnd w:id="60"/>
      <w:bookmarkStart w:id="61" w:name="_Hlk530347140"/>
    </w:p>
    <w:bookmarkEnd w:id="61"/>
    <w:p w14:paraId="7789DF4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bookmarkStart w:id="62" w:name="_Hlk530347202"/>
      <w:bookmarkStart w:id="63" w:name="_Hlk530349759"/>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投标文件中提供的资料，内容必须清晰可辨，若内容模糊</w:t>
      </w:r>
      <w:r>
        <w:rPr>
          <w:rFonts w:hint="eastAsia" w:asciiTheme="minorEastAsia" w:hAnsiTheme="minorEastAsia" w:eastAsiaTheme="minorEastAsia" w:cstheme="minorEastAsia"/>
          <w:b w:val="0"/>
          <w:bCs/>
          <w:color w:val="auto"/>
          <w:sz w:val="24"/>
          <w:szCs w:val="24"/>
          <w:highlight w:val="none"/>
          <w:lang w:val="en-US" w:eastAsia="zh-CN"/>
        </w:rPr>
        <w:t>不完整</w:t>
      </w:r>
      <w:r>
        <w:rPr>
          <w:rFonts w:hint="eastAsia" w:asciiTheme="minorEastAsia" w:hAnsiTheme="minorEastAsia" w:eastAsiaTheme="minorEastAsia" w:cstheme="minorEastAsia"/>
          <w:b w:val="0"/>
          <w:bCs/>
          <w:color w:val="auto"/>
          <w:sz w:val="24"/>
          <w:szCs w:val="24"/>
          <w:highlight w:val="none"/>
        </w:rPr>
        <w:t>，无法辨识</w:t>
      </w:r>
      <w:r>
        <w:rPr>
          <w:rFonts w:hint="eastAsia" w:asciiTheme="minorEastAsia" w:hAnsiTheme="minorEastAsia" w:eastAsiaTheme="minorEastAsia" w:cstheme="minorEastAsia"/>
          <w:b w:val="0"/>
          <w:bCs/>
          <w:color w:val="auto"/>
          <w:sz w:val="24"/>
          <w:szCs w:val="24"/>
          <w:highlight w:val="none"/>
          <w:lang w:eastAsia="zh-CN"/>
        </w:rPr>
        <w:t>的，</w:t>
      </w:r>
      <w:r>
        <w:rPr>
          <w:rFonts w:hint="eastAsia" w:asciiTheme="minorEastAsia" w:hAnsiTheme="minorEastAsia" w:eastAsiaTheme="minorEastAsia" w:cstheme="minorEastAsia"/>
          <w:b w:val="0"/>
          <w:bCs/>
          <w:color w:val="auto"/>
          <w:sz w:val="24"/>
          <w:szCs w:val="24"/>
          <w:highlight w:val="none"/>
          <w:lang w:val="en-US" w:eastAsia="zh-CN"/>
        </w:rPr>
        <w:t>评标委员会有权作出对供应商不利的处理决定。</w:t>
      </w:r>
    </w:p>
    <w:p w14:paraId="7765BF6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投标文件应由法定代表人或其委托代理人在规定签字处签字，要求盖章处应盖单位章，签字及盖章要求详见</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bookmarkEnd w:id="62"/>
    <w:p w14:paraId="7688304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13.提交电子投标文件截止时间</w:t>
      </w:r>
    </w:p>
    <w:p w14:paraId="43A6633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详见</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6F2CCCC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eastAsia="zh-CN"/>
        </w:rPr>
      </w:pPr>
      <w:bookmarkStart w:id="64" w:name="_Hlk530347395"/>
      <w:r>
        <w:rPr>
          <w:rFonts w:hint="eastAsia" w:asciiTheme="minorEastAsia" w:hAnsiTheme="minorEastAsia" w:eastAsiaTheme="minorEastAsia" w:cstheme="minorEastAsia"/>
          <w:b w:val="0"/>
          <w:bCs/>
          <w:color w:val="auto"/>
          <w:sz w:val="24"/>
          <w:szCs w:val="24"/>
          <w:highlight w:val="none"/>
          <w:lang w:val="en-US" w:eastAsia="zh-CN"/>
        </w:rPr>
        <w:t>14.电子</w:t>
      </w:r>
      <w:r>
        <w:rPr>
          <w:rFonts w:hint="eastAsia" w:asciiTheme="minorEastAsia" w:hAnsiTheme="minorEastAsia" w:eastAsiaTheme="minorEastAsia" w:cstheme="minorEastAsia"/>
          <w:b w:val="0"/>
          <w:bCs/>
          <w:color w:val="auto"/>
          <w:sz w:val="24"/>
          <w:szCs w:val="24"/>
          <w:highlight w:val="none"/>
        </w:rPr>
        <w:t>投标文件的</w:t>
      </w:r>
      <w:r>
        <w:rPr>
          <w:rFonts w:hint="eastAsia" w:asciiTheme="minorEastAsia" w:hAnsiTheme="minorEastAsia" w:eastAsiaTheme="minorEastAsia" w:cstheme="minorEastAsia"/>
          <w:b w:val="0"/>
          <w:bCs/>
          <w:color w:val="auto"/>
          <w:sz w:val="24"/>
          <w:szCs w:val="24"/>
          <w:highlight w:val="none"/>
          <w:lang w:eastAsia="zh-CN"/>
        </w:rPr>
        <w:t>提交</w:t>
      </w:r>
    </w:p>
    <w:p w14:paraId="071BE95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65" w:name="_Hlk530347341"/>
      <w:bookmarkStart w:id="66" w:name="_Toc152042334"/>
      <w:bookmarkStart w:id="67" w:name="_Toc247527583"/>
      <w:bookmarkStart w:id="68" w:name="_Toc247513982"/>
      <w:bookmarkStart w:id="69" w:name="_Toc152045558"/>
      <w:bookmarkStart w:id="70" w:name="_Toc144974526"/>
      <w:r>
        <w:rPr>
          <w:rFonts w:hint="eastAsia" w:asciiTheme="minorEastAsia" w:hAnsiTheme="minorEastAsia" w:eastAsiaTheme="minorEastAsia" w:cstheme="minorEastAsia"/>
          <w:b w:val="0"/>
          <w:bCs/>
          <w:color w:val="auto"/>
          <w:sz w:val="24"/>
          <w:szCs w:val="24"/>
          <w:highlight w:val="none"/>
          <w:lang w:val="en-US" w:eastAsia="zh-CN"/>
        </w:rPr>
        <w:t>14.1</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lang w:val="en-US" w:eastAsia="zh-CN"/>
        </w:rPr>
        <w:t>须</w:t>
      </w:r>
      <w:r>
        <w:rPr>
          <w:rFonts w:hint="eastAsia" w:asciiTheme="minorEastAsia" w:hAnsiTheme="minorEastAsia" w:eastAsiaTheme="minorEastAsia" w:cstheme="minorEastAsia"/>
          <w:b w:val="0"/>
          <w:bCs/>
          <w:color w:val="auto"/>
          <w:sz w:val="24"/>
          <w:szCs w:val="24"/>
          <w:highlight w:val="none"/>
        </w:rPr>
        <w:t>对</w:t>
      </w:r>
      <w:r>
        <w:rPr>
          <w:rFonts w:hint="eastAsia" w:asciiTheme="minorEastAsia" w:hAnsiTheme="minorEastAsia" w:eastAsiaTheme="minorEastAsia" w:cstheme="minorEastAsia"/>
          <w:b w:val="0"/>
          <w:bCs/>
          <w:color w:val="auto"/>
          <w:sz w:val="24"/>
          <w:szCs w:val="24"/>
          <w:highlight w:val="none"/>
          <w:lang w:val="en-US" w:eastAsia="zh-CN"/>
        </w:rPr>
        <w:t>电子</w:t>
      </w:r>
      <w:r>
        <w:rPr>
          <w:rFonts w:hint="eastAsia" w:asciiTheme="minorEastAsia" w:hAnsiTheme="minorEastAsia" w:eastAsiaTheme="minorEastAsia" w:cstheme="minorEastAsia"/>
          <w:b w:val="0"/>
          <w:bCs/>
          <w:color w:val="auto"/>
          <w:sz w:val="24"/>
          <w:szCs w:val="24"/>
          <w:highlight w:val="none"/>
        </w:rPr>
        <w:t>投标文件进行加密</w:t>
      </w:r>
      <w:bookmarkEnd w:id="65"/>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未按要求加密的，采购人不予受理</w:t>
      </w:r>
      <w:r>
        <w:rPr>
          <w:rFonts w:hint="eastAsia" w:asciiTheme="minorEastAsia" w:hAnsiTheme="minorEastAsia" w:eastAsiaTheme="minorEastAsia" w:cstheme="minorEastAsia"/>
          <w:b w:val="0"/>
          <w:bCs/>
          <w:color w:val="auto"/>
          <w:sz w:val="24"/>
          <w:szCs w:val="24"/>
          <w:highlight w:val="none"/>
          <w:lang w:eastAsia="zh-CN"/>
        </w:rPr>
        <w:t>。</w:t>
      </w:r>
    </w:p>
    <w:p w14:paraId="5E22282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14.2</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须在</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w:t>
      </w:r>
      <w:r>
        <w:rPr>
          <w:rFonts w:hint="eastAsia" w:asciiTheme="minorEastAsia" w:hAnsiTheme="minorEastAsia" w:eastAsiaTheme="minorEastAsia" w:cstheme="minorEastAsia"/>
          <w:b w:val="0"/>
          <w:bCs/>
          <w:color w:val="auto"/>
          <w:sz w:val="24"/>
          <w:szCs w:val="24"/>
          <w:highlight w:val="none"/>
          <w:lang w:val="en-US" w:eastAsia="zh-CN"/>
        </w:rPr>
        <w:t>登录政采云平台</w:t>
      </w:r>
      <w:r>
        <w:rPr>
          <w:rFonts w:hint="eastAsia" w:asciiTheme="minorEastAsia" w:hAnsiTheme="minorEastAsia" w:eastAsiaTheme="minorEastAsia" w:cstheme="minorEastAsia"/>
          <w:b w:val="0"/>
          <w:bCs/>
          <w:color w:val="auto"/>
          <w:sz w:val="24"/>
          <w:szCs w:val="24"/>
          <w:highlight w:val="none"/>
        </w:rPr>
        <w:t>完成所有投标文件的上传</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前未完成投标文件传输的，</w:t>
      </w:r>
      <w:r>
        <w:rPr>
          <w:rFonts w:hint="eastAsia" w:asciiTheme="minorEastAsia" w:hAnsiTheme="minorEastAsia" w:eastAsiaTheme="minorEastAsia" w:cstheme="minorEastAsia"/>
          <w:b w:val="0"/>
          <w:bCs/>
          <w:color w:val="auto"/>
          <w:sz w:val="24"/>
          <w:szCs w:val="24"/>
          <w:highlight w:val="none"/>
          <w:lang w:eastAsia="zh-CN"/>
        </w:rPr>
        <w:t>视为未提交投标文件</w:t>
      </w:r>
      <w:r>
        <w:rPr>
          <w:rFonts w:hint="eastAsia" w:asciiTheme="minorEastAsia" w:hAnsiTheme="minorEastAsia" w:eastAsiaTheme="minorEastAsia" w:cstheme="minorEastAsia"/>
          <w:b w:val="0"/>
          <w:bCs/>
          <w:color w:val="auto"/>
          <w:sz w:val="24"/>
          <w:szCs w:val="24"/>
          <w:highlight w:val="none"/>
        </w:rPr>
        <w:t>。</w:t>
      </w:r>
    </w:p>
    <w:p w14:paraId="38CEE8D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15.电子</w:t>
      </w:r>
      <w:r>
        <w:rPr>
          <w:rFonts w:hint="eastAsia" w:asciiTheme="minorEastAsia" w:hAnsiTheme="minorEastAsia" w:eastAsiaTheme="minorEastAsia" w:cstheme="minorEastAsia"/>
          <w:b w:val="0"/>
          <w:bCs/>
          <w:color w:val="auto"/>
          <w:sz w:val="24"/>
          <w:szCs w:val="24"/>
          <w:highlight w:val="none"/>
        </w:rPr>
        <w:t>投标文件的修改与撤回</w:t>
      </w:r>
      <w:bookmarkEnd w:id="66"/>
      <w:bookmarkEnd w:id="67"/>
      <w:bookmarkEnd w:id="68"/>
      <w:bookmarkEnd w:id="69"/>
      <w:bookmarkEnd w:id="70"/>
    </w:p>
    <w:p w14:paraId="483B908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可以补充、修改或撤回已在网上</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的投标文件。</w:t>
      </w:r>
    </w:p>
    <w:p w14:paraId="4FF2956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补充、修改的内容应当按招标文件要求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本须知附件1</w:t>
      </w:r>
      <w:r>
        <w:rPr>
          <w:rFonts w:hint="eastAsia" w:asciiTheme="minorEastAsia" w:hAnsiTheme="minorEastAsia" w:eastAsiaTheme="minorEastAsia" w:cstheme="minorEastAsia"/>
          <w:color w:val="auto"/>
          <w:sz w:val="24"/>
          <w:szCs w:val="24"/>
          <w:highlight w:val="none"/>
        </w:rPr>
        <w:t>《政府采购项目电子化交易操作须知》进行编制和</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w:t>
      </w:r>
      <w:bookmarkEnd w:id="64"/>
    </w:p>
    <w:p w14:paraId="2653FA4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16</w:t>
      </w:r>
      <w:r>
        <w:rPr>
          <w:rFonts w:hint="eastAsia" w:asciiTheme="minorEastAsia" w:hAnsiTheme="minorEastAsia" w:eastAsiaTheme="minorEastAsia" w:cstheme="minorEastAsia"/>
          <w:b w:val="0"/>
          <w:bCs w:val="0"/>
          <w:color w:val="auto"/>
          <w:sz w:val="24"/>
          <w:szCs w:val="24"/>
          <w:highlight w:val="none"/>
        </w:rPr>
        <w:t>.投标保证金</w:t>
      </w:r>
    </w:p>
    <w:p w14:paraId="56A6844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应在提交投标文件截止时间前按“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规定提交投标保证金。</w:t>
      </w:r>
    </w:p>
    <w:p w14:paraId="225B890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采购人或者采购代理机构应当自中标通知书发出之日起5个工作日内</w:t>
      </w:r>
      <w:r>
        <w:rPr>
          <w:rFonts w:hint="eastAsia" w:asciiTheme="minorEastAsia" w:hAnsiTheme="minorEastAsia" w:eastAsiaTheme="minorEastAsia" w:cstheme="minorEastAsia"/>
          <w:color w:val="auto"/>
          <w:sz w:val="24"/>
          <w:szCs w:val="24"/>
          <w:highlight w:val="none"/>
          <w:lang w:val="en-US" w:eastAsia="zh-CN"/>
        </w:rPr>
        <w:t>无息</w:t>
      </w:r>
      <w:r>
        <w:rPr>
          <w:rFonts w:hint="eastAsia" w:asciiTheme="minorEastAsia" w:hAnsiTheme="minorEastAsia" w:eastAsiaTheme="minorEastAsia" w:cstheme="minorEastAsia"/>
          <w:color w:val="auto"/>
          <w:sz w:val="24"/>
          <w:szCs w:val="24"/>
          <w:highlight w:val="none"/>
        </w:rPr>
        <w:t>退还未中标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的投标保证金，自政府采购合同签订之日起5个工作日内</w:t>
      </w:r>
      <w:r>
        <w:rPr>
          <w:rFonts w:hint="eastAsia" w:asciiTheme="minorEastAsia" w:hAnsiTheme="minorEastAsia" w:eastAsiaTheme="minorEastAsia" w:cstheme="minorEastAsia"/>
          <w:color w:val="auto"/>
          <w:sz w:val="24"/>
          <w:szCs w:val="24"/>
          <w:highlight w:val="none"/>
          <w:lang w:val="en-US" w:eastAsia="zh-CN"/>
        </w:rPr>
        <w:t>无息</w:t>
      </w:r>
      <w:r>
        <w:rPr>
          <w:rFonts w:hint="eastAsia" w:asciiTheme="minorEastAsia" w:hAnsiTheme="minorEastAsia" w:eastAsiaTheme="minorEastAsia" w:cstheme="minorEastAsia"/>
          <w:color w:val="auto"/>
          <w:sz w:val="24"/>
          <w:szCs w:val="24"/>
          <w:highlight w:val="none"/>
        </w:rPr>
        <w:t>退还中标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的投标保证金。</w:t>
      </w:r>
    </w:p>
    <w:p w14:paraId="33B7ECF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下列情况发生时，投标保证金将不予退还</w:t>
      </w:r>
      <w:r>
        <w:rPr>
          <w:rFonts w:hint="eastAsia" w:asciiTheme="minorEastAsia" w:hAnsiTheme="minorEastAsia" w:eastAsiaTheme="minorEastAsia" w:cstheme="minorEastAsia"/>
          <w:color w:val="auto"/>
          <w:sz w:val="24"/>
          <w:szCs w:val="24"/>
          <w:highlight w:val="none"/>
          <w:lang w:eastAsia="zh-CN"/>
        </w:rPr>
        <w:t>：</w:t>
      </w:r>
    </w:p>
    <w:bookmarkEnd w:id="63"/>
    <w:p w14:paraId="01E12DF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（1）供应商在提交响应文件截止时间后撤回响应文件的；</w:t>
      </w:r>
    </w:p>
    <w:p w14:paraId="14FB6C3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（2）供应商在响应文件中提供虚假材料的；</w:t>
      </w:r>
    </w:p>
    <w:p w14:paraId="645F171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（3）除因不可抗力或招标文件认可的情形以外，成交供应商不与采购人签订合同的；</w:t>
      </w:r>
    </w:p>
    <w:p w14:paraId="2F37E8E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（4）供应商与采购人、其他供应商或者采购代理机构恶意串通的；</w:t>
      </w:r>
    </w:p>
    <w:p w14:paraId="5166C49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（5）招标文件规定的其他情形。</w:t>
      </w:r>
    </w:p>
    <w:p w14:paraId="0040BD2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17.纸质投标文件</w:t>
      </w:r>
    </w:p>
    <w:p w14:paraId="0EFB83B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中标人提供的</w:t>
      </w:r>
      <w:r>
        <w:rPr>
          <w:rFonts w:hint="eastAsia" w:asciiTheme="minorEastAsia" w:hAnsiTheme="minorEastAsia" w:eastAsiaTheme="minorEastAsia" w:cstheme="minorEastAsia"/>
          <w:b w:val="0"/>
          <w:bCs w:val="0"/>
          <w:color w:val="auto"/>
          <w:sz w:val="24"/>
          <w:szCs w:val="24"/>
          <w:highlight w:val="none"/>
        </w:rPr>
        <w:t>纸质投标文件份数见“</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须知前附表”要求。投标文件封面上应标明项目名称、</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名称等内容。投标文件内容须清晰可辨</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编制目录装订成册</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装订应牢固，不得采用活页夹。</w:t>
      </w:r>
    </w:p>
    <w:p w14:paraId="085FD4D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8</w:t>
      </w:r>
      <w:r>
        <w:rPr>
          <w:rFonts w:hint="eastAsia" w:asciiTheme="minorEastAsia" w:hAnsiTheme="minorEastAsia" w:eastAsiaTheme="minorEastAsia" w:cstheme="minorEastAsia"/>
          <w:b w:val="0"/>
          <w:bCs w:val="0"/>
          <w:color w:val="auto"/>
          <w:sz w:val="24"/>
          <w:szCs w:val="24"/>
          <w:highlight w:val="none"/>
        </w:rPr>
        <w:t>.投标文件有效期</w:t>
      </w:r>
    </w:p>
    <w:p w14:paraId="748CC27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须知前附表”规</w:t>
      </w:r>
      <w:r>
        <w:rPr>
          <w:rFonts w:hint="eastAsia" w:asciiTheme="minorEastAsia" w:hAnsiTheme="minorEastAsia" w:eastAsiaTheme="minorEastAsia" w:cstheme="minorEastAsia"/>
          <w:color w:val="auto"/>
          <w:sz w:val="24"/>
          <w:szCs w:val="24"/>
          <w:highlight w:val="none"/>
        </w:rPr>
        <w:t>定的投标有效期内，</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不得要求撤销或修改其投标文件。</w:t>
      </w:r>
    </w:p>
    <w:p w14:paraId="2F1432A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.2</w:t>
      </w:r>
      <w:bookmarkStart w:id="71" w:name="_Hlk530349676"/>
      <w:r>
        <w:rPr>
          <w:rFonts w:hint="eastAsia" w:asciiTheme="minorEastAsia" w:hAnsiTheme="minorEastAsia" w:eastAsiaTheme="minorEastAsia" w:cstheme="minorEastAsia"/>
          <w:color w:val="auto"/>
          <w:sz w:val="24"/>
          <w:szCs w:val="24"/>
          <w:highlight w:val="none"/>
        </w:rPr>
        <w:t>在特殊情况需要延长投标有效期的，采购人在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上通知所有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延长投标有效期。</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同意延长的，应相应延长其投标保证金的有效期，但不得要求或被允许修改或撤销其投标文件；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拒绝延长的，其投标文件失效，但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有权</w:t>
      </w:r>
      <w:r>
        <w:rPr>
          <w:rFonts w:hint="eastAsia" w:asciiTheme="minorEastAsia" w:hAnsiTheme="minorEastAsia" w:eastAsiaTheme="minorEastAsia" w:cstheme="minorEastAsia"/>
          <w:color w:val="auto"/>
          <w:sz w:val="24"/>
          <w:szCs w:val="24"/>
          <w:highlight w:val="none"/>
          <w:lang w:val="en-US" w:eastAsia="zh-CN"/>
        </w:rPr>
        <w:t>要求予以退还</w:t>
      </w:r>
      <w:r>
        <w:rPr>
          <w:rFonts w:hint="eastAsia" w:asciiTheme="minorEastAsia" w:hAnsiTheme="minorEastAsia" w:eastAsiaTheme="minorEastAsia" w:cstheme="minorEastAsia"/>
          <w:color w:val="auto"/>
          <w:sz w:val="24"/>
          <w:szCs w:val="24"/>
          <w:highlight w:val="none"/>
        </w:rPr>
        <w:t>其投标保证金。</w:t>
      </w:r>
      <w:bookmarkEnd w:id="71"/>
    </w:p>
    <w:p w14:paraId="5B07BD67">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四</w:t>
      </w:r>
      <w:r>
        <w:rPr>
          <w:rFonts w:hint="eastAsia" w:asciiTheme="minorEastAsia" w:hAnsiTheme="minorEastAsia" w:eastAsiaTheme="minorEastAsia" w:cstheme="minorEastAsia"/>
          <w:b/>
          <w:bCs/>
          <w:color w:val="auto"/>
          <w:sz w:val="28"/>
          <w:szCs w:val="28"/>
          <w:highlight w:val="none"/>
        </w:rPr>
        <w:t>、</w:t>
      </w:r>
      <w:r>
        <w:rPr>
          <w:rFonts w:hint="eastAsia" w:asciiTheme="minorEastAsia" w:hAnsiTheme="minorEastAsia" w:eastAsiaTheme="minorEastAsia" w:cstheme="minorEastAsia"/>
          <w:b/>
          <w:color w:val="auto"/>
          <w:sz w:val="28"/>
          <w:szCs w:val="28"/>
          <w:highlight w:val="none"/>
        </w:rPr>
        <w:t>开标与评标</w:t>
      </w:r>
    </w:p>
    <w:p w14:paraId="4221434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lang w:val="en-US" w:eastAsia="zh-CN"/>
        </w:rPr>
        <w:t>19</w:t>
      </w:r>
      <w:r>
        <w:rPr>
          <w:rFonts w:hint="eastAsia" w:asciiTheme="minorEastAsia" w:hAnsiTheme="minorEastAsia" w:eastAsiaTheme="minorEastAsia" w:cstheme="minorEastAsia"/>
          <w:b w:val="0"/>
          <w:bCs w:val="0"/>
          <w:color w:val="auto"/>
          <w:sz w:val="24"/>
          <w:szCs w:val="24"/>
          <w:highlight w:val="none"/>
        </w:rPr>
        <w:t>.开标</w:t>
      </w:r>
    </w:p>
    <w:p w14:paraId="545DFD4E">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.1采购代理机构将在“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须知前附表”规定的时间和地点进行</w:t>
      </w:r>
      <w:r>
        <w:rPr>
          <w:rFonts w:hint="eastAsia" w:asciiTheme="minorEastAsia" w:hAnsiTheme="minorEastAsia" w:eastAsiaTheme="minorEastAsia" w:cstheme="minorEastAsia"/>
          <w:color w:val="auto"/>
          <w:sz w:val="24"/>
          <w:szCs w:val="24"/>
          <w:highlight w:val="none"/>
          <w:lang w:val="en-US" w:eastAsia="zh-CN"/>
        </w:rPr>
        <w:t>网上公开</w:t>
      </w:r>
      <w:r>
        <w:rPr>
          <w:rFonts w:hint="eastAsia" w:asciiTheme="minorEastAsia" w:hAnsiTheme="minorEastAsia" w:eastAsiaTheme="minorEastAsia" w:cstheme="minorEastAsia"/>
          <w:color w:val="auto"/>
          <w:sz w:val="24"/>
          <w:szCs w:val="24"/>
          <w:highlight w:val="none"/>
        </w:rPr>
        <w:t>开标，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的法定代表人或委托代理人应</w:t>
      </w:r>
      <w:r>
        <w:rPr>
          <w:rFonts w:hint="eastAsia" w:asciiTheme="minorEastAsia" w:hAnsiTheme="minorEastAsia" w:eastAsiaTheme="minorEastAsia" w:cstheme="minorEastAsia"/>
          <w:color w:val="auto"/>
          <w:sz w:val="24"/>
          <w:szCs w:val="24"/>
          <w:highlight w:val="none"/>
          <w:lang w:val="en-US" w:eastAsia="zh-CN"/>
        </w:rPr>
        <w:t>按时按规定</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未出席</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开标会，由此产生的后果由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自行负责。</w:t>
      </w:r>
    </w:p>
    <w:p w14:paraId="79507A06">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参加投标的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不足三家的，停止开标。</w:t>
      </w:r>
    </w:p>
    <w:p w14:paraId="2BD0FE5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72" w:name="_Hlk530349793"/>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.3开标程序：</w:t>
      </w:r>
    </w:p>
    <w:p w14:paraId="109A600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0465C40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（1）开标由本项目</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主持；</w:t>
      </w:r>
    </w:p>
    <w:p w14:paraId="6F8357D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（2）本</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项目的开标会议将于上述投标截止的同一时间在线远程网络公开进行（无需</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到开标现场），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前进入</w:t>
      </w:r>
      <w:r>
        <w:rPr>
          <w:rFonts w:hint="eastAsia" w:asciiTheme="minorEastAsia" w:hAnsiTheme="minorEastAsia" w:eastAsiaTheme="minorEastAsia" w:cstheme="minorEastAsia"/>
          <w:color w:val="auto"/>
          <w:sz w:val="24"/>
          <w:szCs w:val="24"/>
          <w:highlight w:val="none"/>
          <w:lang w:val="en-US" w:eastAsia="zh-CN"/>
        </w:rPr>
        <w:t>本</w:t>
      </w:r>
      <w:r>
        <w:rPr>
          <w:rFonts w:hint="eastAsia" w:asciiTheme="minorEastAsia" w:hAnsiTheme="minorEastAsia" w:eastAsiaTheme="minorEastAsia" w:cstheme="minorEastAsia"/>
          <w:color w:val="auto"/>
          <w:sz w:val="24"/>
          <w:szCs w:val="24"/>
          <w:highlight w:val="none"/>
        </w:rPr>
        <w:t>投标项目</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w:t>
      </w:r>
      <w:r>
        <w:rPr>
          <w:rFonts w:hint="eastAsia" w:asciiTheme="minorEastAsia" w:hAnsiTheme="minorEastAsia" w:eastAsiaTheme="minorEastAsia" w:cstheme="minorEastAsia"/>
          <w:color w:val="auto"/>
          <w:sz w:val="24"/>
          <w:szCs w:val="24"/>
          <w:highlight w:val="none"/>
          <w:lang w:eastAsia="zh-CN"/>
        </w:rPr>
        <w:t>；</w:t>
      </w:r>
    </w:p>
    <w:p w14:paraId="2E40C0A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）采购人或</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通过远程在线开标系统下达“网上解密”指令后，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应在采购人规定的投标文件解密时间内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lang w:val="en-US" w:eastAsia="zh-CN"/>
        </w:rPr>
        <w:t>——网上开标室显示时间为准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，使用编制投标文件时加密的数字证书进行解密。如若未在规定的解密时间内完成解密操作或因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自身原因致使其投标文件未成功解密的投标视为</w:t>
      </w:r>
      <w:r>
        <w:rPr>
          <w:rFonts w:hint="eastAsia" w:asciiTheme="minorEastAsia" w:hAnsiTheme="minorEastAsia" w:eastAsiaTheme="minorEastAsia" w:cstheme="minorEastAsia"/>
          <w:color w:val="auto"/>
          <w:sz w:val="24"/>
          <w:szCs w:val="24"/>
          <w:highlight w:val="none"/>
          <w:lang w:val="en-US" w:eastAsia="zh-CN"/>
        </w:rPr>
        <w:t>未提交</w:t>
      </w:r>
      <w:r>
        <w:rPr>
          <w:rFonts w:hint="eastAsia" w:asciiTheme="minorEastAsia" w:hAnsiTheme="minorEastAsia" w:eastAsiaTheme="minorEastAsia" w:cstheme="minorEastAsia"/>
          <w:color w:val="auto"/>
          <w:sz w:val="24"/>
          <w:szCs w:val="24"/>
          <w:highlight w:val="none"/>
        </w:rPr>
        <w:t xml:space="preserve">投标。 </w:t>
      </w:r>
    </w:p>
    <w:p w14:paraId="193907B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代表、记录人等有关人员在开标记录上签字确认；</w:t>
      </w:r>
    </w:p>
    <w:p w14:paraId="1784094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）开标结束。</w:t>
      </w:r>
    </w:p>
    <w:p w14:paraId="10A9ABC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开标异议</w:t>
      </w:r>
    </w:p>
    <w:p w14:paraId="5E60EEE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供应商若对本项目在线开标过程有任何异议，应在开标结束指令下达前提出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否则，视为供应商对本项目开标过程无任何异议。</w:t>
      </w:r>
      <w:r>
        <w:rPr>
          <w:rFonts w:hint="eastAsia" w:asciiTheme="minorEastAsia" w:hAnsiTheme="minorEastAsia" w:eastAsiaTheme="minorEastAsia" w:cstheme="minorEastAsia"/>
          <w:color w:val="auto"/>
          <w:sz w:val="24"/>
          <w:szCs w:val="24"/>
          <w:highlight w:val="none"/>
          <w:lang w:val="en-US" w:eastAsia="zh-CN"/>
        </w:rPr>
        <w:t>采购人或采购代理机构将在线</w:t>
      </w:r>
      <w:r>
        <w:rPr>
          <w:rFonts w:hint="eastAsia" w:asciiTheme="minorEastAsia" w:hAnsiTheme="minorEastAsia" w:eastAsiaTheme="minorEastAsia" w:cstheme="minorEastAsia"/>
          <w:color w:val="auto"/>
          <w:sz w:val="24"/>
          <w:szCs w:val="24"/>
          <w:highlight w:val="none"/>
        </w:rPr>
        <w:t>进行查看并回复</w:t>
      </w:r>
      <w:r>
        <w:rPr>
          <w:rFonts w:hint="eastAsia" w:asciiTheme="minorEastAsia" w:hAnsiTheme="minorEastAsia" w:eastAsiaTheme="minorEastAsia" w:cstheme="minorEastAsia"/>
          <w:color w:val="auto"/>
          <w:sz w:val="24"/>
          <w:szCs w:val="24"/>
          <w:highlight w:val="none"/>
          <w:lang w:eastAsia="zh-CN"/>
        </w:rPr>
        <w:t>。</w:t>
      </w:r>
    </w:p>
    <w:bookmarkEnd w:id="72"/>
    <w:p w14:paraId="3B39464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.评标</w:t>
      </w:r>
    </w:p>
    <w:p w14:paraId="34E999C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.1评标由采购人依法组建的评标委员会负责。评标委员会由采购人代表和有关技术、经济等方面的专家组成，成员人数应当为</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人以上单数。其中，技术、经济等方面的专家不得少于成员总数的三分之二。评标委员会应当推选组长，采购人代表不得担任组长。</w:t>
      </w:r>
    </w:p>
    <w:p w14:paraId="150AC31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bookmarkStart w:id="73" w:name="_Toc191374422"/>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.2评标原则</w:t>
      </w:r>
      <w:bookmarkEnd w:id="73"/>
      <w:r>
        <w:rPr>
          <w:rFonts w:hint="eastAsia" w:asciiTheme="minorEastAsia" w:hAnsiTheme="minorEastAsia" w:eastAsiaTheme="minorEastAsia" w:cstheme="minorEastAsia"/>
          <w:color w:val="auto"/>
          <w:sz w:val="24"/>
          <w:szCs w:val="24"/>
          <w:highlight w:val="none"/>
        </w:rPr>
        <w:t>及方法</w:t>
      </w:r>
    </w:p>
    <w:p w14:paraId="66FCD79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14:paraId="75451A7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.3评标方法</w:t>
      </w:r>
    </w:p>
    <w:p w14:paraId="10322B6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须知前附表”规定的评标方法评标。在评标中，不得改变招标文件中规定的评标标准、方法。“评标方法”没有规定的评审因素和标准，不作为评标依据。</w:t>
      </w:r>
    </w:p>
    <w:p w14:paraId="32B6D52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0AE0F52A">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五</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成交</w:t>
      </w:r>
      <w:r>
        <w:rPr>
          <w:rFonts w:hint="eastAsia" w:asciiTheme="minorEastAsia" w:hAnsiTheme="minorEastAsia" w:eastAsiaTheme="minorEastAsia" w:cstheme="minorEastAsia"/>
          <w:b/>
          <w:color w:val="auto"/>
          <w:sz w:val="28"/>
          <w:szCs w:val="28"/>
          <w:highlight w:val="none"/>
        </w:rPr>
        <w:t>结果</w:t>
      </w:r>
    </w:p>
    <w:p w14:paraId="064C75E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的确定</w:t>
      </w:r>
    </w:p>
    <w:p w14:paraId="3D2A3F3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.1采购代理机构应当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结束</w:t>
      </w:r>
      <w:r>
        <w:rPr>
          <w:rFonts w:hint="eastAsia" w:asciiTheme="minorEastAsia" w:hAnsiTheme="minorEastAsia" w:eastAsiaTheme="minorEastAsia" w:cstheme="minorEastAsia"/>
          <w:color w:val="auto"/>
          <w:sz w:val="24"/>
          <w:szCs w:val="24"/>
          <w:highlight w:val="none"/>
          <w:lang w:val="en-US" w:eastAsia="zh-CN"/>
        </w:rPr>
        <w:t>之日起2</w:t>
      </w:r>
      <w:r>
        <w:rPr>
          <w:rFonts w:hint="eastAsia" w:asciiTheme="minorEastAsia" w:hAnsiTheme="minorEastAsia" w:eastAsiaTheme="minorEastAsia" w:cstheme="minorEastAsia"/>
          <w:color w:val="auto"/>
          <w:sz w:val="24"/>
          <w:szCs w:val="24"/>
          <w:highlight w:val="none"/>
        </w:rPr>
        <w:t>个工作日内将</w:t>
      </w:r>
      <w:r>
        <w:rPr>
          <w:rFonts w:hint="eastAsia" w:asciiTheme="minorEastAsia" w:hAnsiTheme="minorEastAsia" w:eastAsiaTheme="minorEastAsia" w:cstheme="minorEastAsia"/>
          <w:color w:val="auto"/>
          <w:sz w:val="24"/>
          <w:szCs w:val="24"/>
          <w:highlight w:val="none"/>
          <w:lang w:eastAsia="zh-CN"/>
        </w:rPr>
        <w:t>评审报告</w:t>
      </w:r>
      <w:r>
        <w:rPr>
          <w:rFonts w:hint="eastAsia" w:asciiTheme="minorEastAsia" w:hAnsiTheme="minorEastAsia" w:eastAsiaTheme="minorEastAsia" w:cstheme="minorEastAsia"/>
          <w:color w:val="auto"/>
          <w:sz w:val="24"/>
          <w:szCs w:val="24"/>
          <w:highlight w:val="none"/>
        </w:rPr>
        <w:t>送</w:t>
      </w:r>
      <w:r>
        <w:rPr>
          <w:rFonts w:hint="eastAsia" w:asciiTheme="minorEastAsia" w:hAnsiTheme="minorEastAsia" w:eastAsiaTheme="minorEastAsia" w:cstheme="minorEastAsia"/>
          <w:color w:val="auto"/>
          <w:sz w:val="24"/>
          <w:szCs w:val="24"/>
          <w:highlight w:val="none"/>
          <w:lang w:val="en-US" w:eastAsia="zh-CN"/>
        </w:rPr>
        <w:t>交</w:t>
      </w:r>
      <w:r>
        <w:rPr>
          <w:rFonts w:hint="eastAsia" w:asciiTheme="minorEastAsia" w:hAnsiTheme="minorEastAsia" w:eastAsiaTheme="minorEastAsia" w:cstheme="minorEastAsia"/>
          <w:color w:val="auto"/>
          <w:sz w:val="24"/>
          <w:szCs w:val="24"/>
          <w:highlight w:val="none"/>
        </w:rPr>
        <w:t>采购人。</w:t>
      </w:r>
    </w:p>
    <w:p w14:paraId="6A1C32E6">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.2采购人应当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收到评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w:t>
      </w:r>
      <w:r>
        <w:rPr>
          <w:rFonts w:hint="eastAsia" w:asciiTheme="minorEastAsia" w:hAnsiTheme="minorEastAsia" w:eastAsiaTheme="minorEastAsia" w:cstheme="minorEastAsia"/>
          <w:color w:val="auto"/>
          <w:sz w:val="24"/>
          <w:szCs w:val="24"/>
          <w:highlight w:val="none"/>
          <w:lang w:val="en-US" w:eastAsia="zh-CN"/>
        </w:rPr>
        <w:t>之日起5</w:t>
      </w:r>
      <w:r>
        <w:rPr>
          <w:rFonts w:hint="eastAsia" w:asciiTheme="minorEastAsia" w:hAnsiTheme="minorEastAsia" w:eastAsiaTheme="minorEastAsia" w:cstheme="minorEastAsia"/>
          <w:color w:val="auto"/>
          <w:sz w:val="24"/>
          <w:szCs w:val="24"/>
          <w:highlight w:val="none"/>
        </w:rPr>
        <w:t>个工作日内</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报告推荐的</w:t>
      </w:r>
      <w:r>
        <w:rPr>
          <w:rFonts w:hint="eastAsia" w:asciiTheme="minorEastAsia" w:hAnsiTheme="minorEastAsia" w:eastAsiaTheme="minorEastAsia" w:cstheme="minorEastAsia"/>
          <w:color w:val="auto"/>
          <w:sz w:val="24"/>
          <w:szCs w:val="24"/>
          <w:highlight w:val="none"/>
          <w:lang w:val="en-US" w:eastAsia="zh-CN"/>
        </w:rPr>
        <w:t>成交候选中按</w:t>
      </w:r>
      <w:r>
        <w:rPr>
          <w:rFonts w:hint="eastAsia" w:asciiTheme="minorEastAsia" w:hAnsiTheme="minorEastAsia" w:eastAsiaTheme="minorEastAsia" w:cstheme="minorEastAsia"/>
          <w:color w:val="auto"/>
          <w:sz w:val="24"/>
          <w:szCs w:val="24"/>
          <w:highlight w:val="none"/>
        </w:rPr>
        <w:t>顺序确定中标</w:t>
      </w:r>
      <w:r>
        <w:rPr>
          <w:rFonts w:hint="eastAsia" w:asciiTheme="minorEastAsia" w:hAnsiTheme="minorEastAsia" w:eastAsiaTheme="minorEastAsia" w:cstheme="minorEastAsia"/>
          <w:color w:val="auto"/>
          <w:sz w:val="24"/>
          <w:szCs w:val="24"/>
          <w:highlight w:val="none"/>
          <w:lang w:val="en-US" w:eastAsia="zh-CN"/>
        </w:rPr>
        <w:t>单位</w:t>
      </w:r>
      <w:r>
        <w:rPr>
          <w:rFonts w:hint="eastAsia" w:asciiTheme="minorEastAsia" w:hAnsiTheme="minorEastAsia" w:eastAsiaTheme="minorEastAsia" w:cstheme="minorEastAsia"/>
          <w:color w:val="auto"/>
          <w:sz w:val="24"/>
          <w:szCs w:val="24"/>
          <w:highlight w:val="none"/>
        </w:rPr>
        <w:t>。</w:t>
      </w:r>
    </w:p>
    <w:p w14:paraId="7A01402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bookmarkStart w:id="74" w:name="_Hlk530347524"/>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w:t>
      </w:r>
      <w:bookmarkStart w:id="75" w:name="_Hlk530349836"/>
      <w:r>
        <w:rPr>
          <w:rFonts w:hint="eastAsia" w:asciiTheme="minorEastAsia" w:hAnsiTheme="minorEastAsia" w:eastAsiaTheme="minorEastAsia" w:cstheme="minorEastAsia"/>
          <w:color w:val="auto"/>
          <w:sz w:val="24"/>
          <w:szCs w:val="24"/>
          <w:highlight w:val="none"/>
        </w:rPr>
        <w:t>采购人或者采购代理机构应当自</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确定之日起2个工作日内，在省级以上</w:t>
      </w:r>
      <w:r>
        <w:rPr>
          <w:rFonts w:hint="eastAsia" w:asciiTheme="minorEastAsia" w:hAnsiTheme="minorEastAsia" w:eastAsiaTheme="minorEastAsia" w:cstheme="minorEastAsia"/>
          <w:color w:val="auto"/>
          <w:sz w:val="24"/>
          <w:szCs w:val="24"/>
          <w:highlight w:val="none"/>
          <w:lang w:val="en-US" w:eastAsia="zh-CN"/>
        </w:rPr>
        <w:t>人民政府</w:t>
      </w:r>
      <w:r>
        <w:rPr>
          <w:rFonts w:hint="eastAsia" w:asciiTheme="minorEastAsia" w:hAnsiTheme="minorEastAsia" w:eastAsiaTheme="minorEastAsia" w:cstheme="minorEastAsia"/>
          <w:color w:val="auto"/>
          <w:sz w:val="24"/>
          <w:szCs w:val="24"/>
          <w:highlight w:val="none"/>
        </w:rPr>
        <w:t>财政部门指定的媒体上</w:t>
      </w:r>
      <w:r>
        <w:rPr>
          <w:rFonts w:hint="eastAsia" w:asciiTheme="minorEastAsia" w:hAnsiTheme="minorEastAsia" w:eastAsiaTheme="minorEastAsia" w:cstheme="minorEastAsia"/>
          <w:color w:val="auto"/>
          <w:sz w:val="24"/>
          <w:szCs w:val="24"/>
          <w:highlight w:val="none"/>
          <w:lang w:val="en-US" w:eastAsia="zh-CN"/>
        </w:rPr>
        <w:t>依法</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结果。</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公告期限为1个工作日。</w:t>
      </w:r>
    </w:p>
    <w:bookmarkEnd w:id="74"/>
    <w:bookmarkEnd w:id="75"/>
    <w:p w14:paraId="7C28BF4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成交通知书</w:t>
      </w:r>
    </w:p>
    <w:p w14:paraId="6494934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bookmarkStart w:id="76" w:name="_Hlk530347544"/>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公告期限</w:t>
      </w:r>
      <w:r>
        <w:rPr>
          <w:rFonts w:hint="eastAsia" w:asciiTheme="minorEastAsia" w:hAnsiTheme="minorEastAsia" w:eastAsiaTheme="minorEastAsia" w:cstheme="minorEastAsia"/>
          <w:color w:val="auto"/>
          <w:sz w:val="24"/>
          <w:szCs w:val="24"/>
          <w:highlight w:val="none"/>
          <w:lang w:val="en-US" w:eastAsia="zh-CN"/>
        </w:rPr>
        <w:t>结束后</w:t>
      </w:r>
      <w:r>
        <w:rPr>
          <w:rFonts w:hint="eastAsia" w:asciiTheme="minorEastAsia" w:hAnsiTheme="minorEastAsia" w:eastAsiaTheme="minorEastAsia" w:cstheme="minorEastAsia"/>
          <w:color w:val="auto"/>
          <w:sz w:val="24"/>
          <w:szCs w:val="24"/>
          <w:highlight w:val="none"/>
        </w:rPr>
        <w:t>，采购人或者采购代理机构应当</w:t>
      </w:r>
      <w:r>
        <w:rPr>
          <w:rFonts w:hint="eastAsia" w:asciiTheme="minorEastAsia" w:hAnsiTheme="minorEastAsia" w:eastAsiaTheme="minorEastAsia" w:cstheme="minorEastAsia"/>
          <w:color w:val="auto"/>
          <w:sz w:val="24"/>
          <w:szCs w:val="24"/>
          <w:highlight w:val="none"/>
          <w:lang w:val="en-US" w:eastAsia="zh-CN"/>
        </w:rPr>
        <w:t>按规定</w:t>
      </w:r>
      <w:r>
        <w:rPr>
          <w:rFonts w:hint="eastAsia" w:asciiTheme="minorEastAsia" w:hAnsiTheme="minorEastAsia" w:eastAsiaTheme="minorEastAsia" w:cstheme="minorEastAsia"/>
          <w:color w:val="auto"/>
          <w:sz w:val="24"/>
          <w:szCs w:val="24"/>
          <w:highlight w:val="none"/>
        </w:rPr>
        <w:t>向</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发出</w:t>
      </w:r>
      <w:r>
        <w:rPr>
          <w:rFonts w:hint="eastAsia" w:asciiTheme="minorEastAsia" w:hAnsiTheme="minorEastAsia" w:eastAsiaTheme="minorEastAsia" w:cstheme="minorEastAsia"/>
          <w:color w:val="auto"/>
          <w:sz w:val="24"/>
          <w:szCs w:val="24"/>
          <w:highlight w:val="none"/>
          <w:lang w:eastAsia="zh-CN"/>
        </w:rPr>
        <w:t>成交通知书</w:t>
      </w:r>
      <w:r>
        <w:rPr>
          <w:rFonts w:hint="eastAsia" w:asciiTheme="minorEastAsia" w:hAnsiTheme="minorEastAsia" w:eastAsiaTheme="minorEastAsia" w:cstheme="minorEastAsia"/>
          <w:color w:val="auto"/>
          <w:sz w:val="24"/>
          <w:szCs w:val="24"/>
          <w:highlight w:val="none"/>
        </w:rPr>
        <w:t>。</w:t>
      </w:r>
    </w:p>
    <w:bookmarkEnd w:id="76"/>
    <w:p w14:paraId="55723890">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成交通知书</w:t>
      </w:r>
      <w:r>
        <w:rPr>
          <w:rFonts w:hint="eastAsia" w:asciiTheme="minorEastAsia" w:hAnsiTheme="minorEastAsia" w:eastAsiaTheme="minorEastAsia" w:cstheme="minorEastAsia"/>
          <w:color w:val="auto"/>
          <w:sz w:val="24"/>
          <w:szCs w:val="24"/>
          <w:highlight w:val="none"/>
        </w:rPr>
        <w:t>是合同的一个组成部分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与合同具有同等效力</w:t>
      </w:r>
      <w:r>
        <w:rPr>
          <w:rFonts w:hint="eastAsia" w:asciiTheme="minorEastAsia" w:hAnsiTheme="minorEastAsia" w:eastAsiaTheme="minorEastAsia" w:cstheme="minorEastAsia"/>
          <w:color w:val="auto"/>
          <w:sz w:val="24"/>
          <w:szCs w:val="24"/>
          <w:highlight w:val="none"/>
        </w:rPr>
        <w:t>。</w:t>
      </w:r>
    </w:p>
    <w:p w14:paraId="54E7DA50">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.签订合同</w:t>
      </w:r>
    </w:p>
    <w:p w14:paraId="77705A05">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.1采购人应当自</w:t>
      </w:r>
      <w:r>
        <w:rPr>
          <w:rFonts w:hint="eastAsia" w:asciiTheme="minorEastAsia" w:hAnsiTheme="minorEastAsia" w:eastAsiaTheme="minorEastAsia" w:cstheme="minorEastAsia"/>
          <w:color w:val="auto"/>
          <w:sz w:val="24"/>
          <w:szCs w:val="24"/>
          <w:highlight w:val="none"/>
          <w:lang w:eastAsia="zh-CN"/>
        </w:rPr>
        <w:t>成交通知书</w:t>
      </w:r>
      <w:r>
        <w:rPr>
          <w:rFonts w:hint="eastAsia" w:asciiTheme="minorEastAsia" w:hAnsiTheme="minorEastAsia" w:eastAsiaTheme="minorEastAsia" w:cstheme="minorEastAsia"/>
          <w:color w:val="auto"/>
          <w:sz w:val="24"/>
          <w:szCs w:val="24"/>
          <w:highlight w:val="none"/>
        </w:rPr>
        <w:t>发出之日起30日内，按照招标文件和中标人投标文件的规定，与中标人签订书面合同。所签订的合同不得对招标文件确定的事项和</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投标文件作实质性修改。</w:t>
      </w:r>
    </w:p>
    <w:p w14:paraId="19B4B467">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拒绝与采购人签订合同的，采购人可以按照评审报告推荐的</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候选人名单排序，确定下一候选人为</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，也可以重新开展政府采购活动。</w:t>
      </w:r>
    </w:p>
    <w:p w14:paraId="37E6719B">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.3政府采购合同履行中，采购人需追加与合同标的相同的</w:t>
      </w:r>
      <w:r>
        <w:rPr>
          <w:rFonts w:hint="eastAsia" w:asciiTheme="minorEastAsia" w:hAnsiTheme="minorEastAsia" w:eastAsiaTheme="minorEastAsia" w:cstheme="minorEastAsia"/>
          <w:color w:val="auto"/>
          <w:sz w:val="24"/>
          <w:szCs w:val="24"/>
          <w:highlight w:val="none"/>
          <w:lang w:val="en-US" w:eastAsia="zh-CN"/>
        </w:rPr>
        <w:t>货物</w:t>
      </w:r>
      <w:r>
        <w:rPr>
          <w:rFonts w:hint="eastAsia" w:asciiTheme="minorEastAsia" w:hAnsiTheme="minorEastAsia" w:eastAsiaTheme="minorEastAsia" w:cstheme="minorEastAsia"/>
          <w:color w:val="auto"/>
          <w:sz w:val="24"/>
          <w:szCs w:val="24"/>
          <w:highlight w:val="none"/>
        </w:rPr>
        <w:t>的，在不改变合同</w:t>
      </w:r>
      <w:r>
        <w:rPr>
          <w:rFonts w:hint="eastAsia" w:asciiTheme="minorEastAsia" w:hAnsiTheme="minorEastAsia" w:eastAsiaTheme="minorEastAsia" w:cstheme="minorEastAsia"/>
          <w:color w:val="auto"/>
          <w:sz w:val="24"/>
          <w:szCs w:val="24"/>
          <w:highlight w:val="none"/>
          <w:lang w:val="en-US" w:eastAsia="zh-CN"/>
        </w:rPr>
        <w:t>实质性条款和</w:t>
      </w:r>
      <w:r>
        <w:rPr>
          <w:rFonts w:hint="eastAsia" w:asciiTheme="minorEastAsia" w:hAnsiTheme="minorEastAsia" w:eastAsiaTheme="minorEastAsia" w:cstheme="minorEastAsia"/>
          <w:color w:val="auto"/>
          <w:sz w:val="24"/>
          <w:szCs w:val="24"/>
          <w:highlight w:val="none"/>
        </w:rPr>
        <w:t>其他条款的前提下，可以与</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p>
    <w:p w14:paraId="1FB14EDD">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六</w:t>
      </w:r>
      <w:r>
        <w:rPr>
          <w:rFonts w:hint="eastAsia" w:asciiTheme="minorEastAsia" w:hAnsiTheme="minorEastAsia" w:eastAsiaTheme="minorEastAsia" w:cstheme="minorEastAsia"/>
          <w:b/>
          <w:color w:val="auto"/>
          <w:sz w:val="28"/>
          <w:szCs w:val="28"/>
          <w:highlight w:val="none"/>
        </w:rPr>
        <w:t>、其他事项</w:t>
      </w:r>
    </w:p>
    <w:p w14:paraId="5DBAAE4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.在招标采购中，出现下列情形之一的，应予废标：</w:t>
      </w:r>
    </w:p>
    <w:p w14:paraId="0EFFFCB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24.1</w:t>
      </w:r>
      <w:r>
        <w:rPr>
          <w:rFonts w:hint="eastAsia" w:asciiTheme="minorEastAsia" w:hAnsiTheme="minorEastAsia" w:eastAsiaTheme="minorEastAsia" w:cstheme="minorEastAsia"/>
          <w:color w:val="auto"/>
          <w:sz w:val="24"/>
          <w:szCs w:val="24"/>
          <w:highlight w:val="none"/>
        </w:rPr>
        <w:t>符合专业条件的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或者对招标文件作实质</w:t>
      </w:r>
      <w:r>
        <w:rPr>
          <w:rFonts w:hint="eastAsia" w:asciiTheme="minorEastAsia" w:hAnsiTheme="minorEastAsia" w:eastAsiaTheme="minorEastAsia" w:cstheme="minorEastAsia"/>
          <w:color w:val="auto"/>
          <w:sz w:val="24"/>
          <w:szCs w:val="24"/>
          <w:highlight w:val="none"/>
          <w:lang w:val="en-US" w:eastAsia="zh-CN"/>
        </w:rPr>
        <w:t>性</w:t>
      </w:r>
      <w:r>
        <w:rPr>
          <w:rFonts w:hint="eastAsia" w:asciiTheme="minorEastAsia" w:hAnsiTheme="minorEastAsia" w:eastAsiaTheme="minorEastAsia" w:cstheme="minorEastAsia"/>
          <w:color w:val="auto"/>
          <w:sz w:val="24"/>
          <w:szCs w:val="24"/>
          <w:highlight w:val="none"/>
        </w:rPr>
        <w:t>响应的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不足</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家的；</w:t>
      </w:r>
    </w:p>
    <w:p w14:paraId="6F1B0E2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24.2</w:t>
      </w:r>
      <w:r>
        <w:rPr>
          <w:rFonts w:hint="eastAsia" w:asciiTheme="minorEastAsia" w:hAnsiTheme="minorEastAsia" w:eastAsiaTheme="minorEastAsia" w:cstheme="minorEastAsia"/>
          <w:color w:val="auto"/>
          <w:sz w:val="24"/>
          <w:szCs w:val="24"/>
          <w:highlight w:val="none"/>
        </w:rPr>
        <w:t>出现影响采购公正的违法、违规行为的；</w:t>
      </w:r>
    </w:p>
    <w:p w14:paraId="61EEA5F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24.3供应商</w:t>
      </w:r>
      <w:r>
        <w:rPr>
          <w:rFonts w:hint="eastAsia" w:asciiTheme="minorEastAsia" w:hAnsiTheme="minorEastAsia" w:eastAsiaTheme="minorEastAsia" w:cstheme="minorEastAsia"/>
          <w:color w:val="auto"/>
          <w:sz w:val="24"/>
          <w:szCs w:val="24"/>
          <w:highlight w:val="none"/>
        </w:rPr>
        <w:t>的报价均超过了采购预算，采购人不能支付的；</w:t>
      </w:r>
    </w:p>
    <w:p w14:paraId="11D7053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24.4</w:t>
      </w:r>
      <w:r>
        <w:rPr>
          <w:rFonts w:hint="eastAsia" w:asciiTheme="minorEastAsia" w:hAnsiTheme="minorEastAsia" w:eastAsiaTheme="minorEastAsia" w:cstheme="minorEastAsia"/>
          <w:color w:val="auto"/>
          <w:sz w:val="24"/>
          <w:szCs w:val="24"/>
          <w:highlight w:val="none"/>
        </w:rPr>
        <w:t>因重大变故，采购任务取消的。</w:t>
      </w:r>
    </w:p>
    <w:p w14:paraId="26F40EF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5</w:t>
      </w:r>
      <w:r>
        <w:rPr>
          <w:rFonts w:hint="eastAsia" w:asciiTheme="minorEastAsia" w:hAnsiTheme="minorEastAsia" w:eastAsiaTheme="minorEastAsia" w:cstheme="minorEastAsia"/>
          <w:b w:val="0"/>
          <w:bCs/>
          <w:color w:val="auto"/>
          <w:sz w:val="24"/>
          <w:szCs w:val="24"/>
          <w:highlight w:val="none"/>
        </w:rPr>
        <w:t>.招标文件编制依据</w:t>
      </w:r>
    </w:p>
    <w:p w14:paraId="6B9123D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本招标文件根据《中华人民共和国政府采购法》及相关法律法规编制。</w:t>
      </w:r>
    </w:p>
    <w:p w14:paraId="20A29BCF">
      <w:pPr>
        <w:keepNext w:val="0"/>
        <w:keepLines w:val="0"/>
        <w:pageBreakBefore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bookmarkStart w:id="77" w:name="_Toc321836356"/>
      <w:r>
        <w:rPr>
          <w:rFonts w:hint="eastAsia" w:asciiTheme="minorEastAsia" w:hAnsiTheme="minorEastAsia" w:eastAsiaTheme="minorEastAsia" w:cstheme="minorEastAsia"/>
          <w:b/>
          <w:bCs/>
          <w:color w:val="auto"/>
          <w:sz w:val="24"/>
          <w:szCs w:val="24"/>
          <w:highlight w:val="none"/>
          <w:lang w:val="en-US" w:eastAsia="zh-CN"/>
        </w:rPr>
        <w:t>26.</w:t>
      </w:r>
      <w:r>
        <w:rPr>
          <w:rFonts w:hint="eastAsia" w:asciiTheme="minorEastAsia" w:hAnsiTheme="minorEastAsia" w:eastAsiaTheme="minorEastAsia" w:cstheme="minorEastAsia"/>
          <w:b/>
          <w:bCs/>
          <w:color w:val="auto"/>
          <w:sz w:val="24"/>
          <w:szCs w:val="24"/>
          <w:highlight w:val="none"/>
        </w:rPr>
        <w:t>质疑</w:t>
      </w:r>
      <w:bookmarkEnd w:id="77"/>
      <w:r>
        <w:rPr>
          <w:rFonts w:hint="eastAsia" w:asciiTheme="minorEastAsia" w:hAnsiTheme="minorEastAsia" w:eastAsiaTheme="minorEastAsia" w:cstheme="minorEastAsia"/>
          <w:b/>
          <w:bCs/>
          <w:color w:val="auto"/>
          <w:sz w:val="24"/>
          <w:szCs w:val="24"/>
          <w:highlight w:val="none"/>
          <w:lang w:val="en-US" w:eastAsia="zh-CN"/>
        </w:rPr>
        <w:t>与投诉</w:t>
      </w:r>
    </w:p>
    <w:p w14:paraId="27ABA34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26.1供应商认为</w:t>
      </w:r>
      <w:r>
        <w:rPr>
          <w:rFonts w:hint="eastAsia" w:asciiTheme="minorEastAsia" w:hAnsiTheme="minorEastAsia" w:eastAsiaTheme="minorEastAsia" w:cstheme="minorEastAsia"/>
          <w:b w:val="0"/>
          <w:bCs/>
          <w:strike w:val="0"/>
          <w:dstrike w:val="0"/>
          <w:color w:val="auto"/>
          <w:sz w:val="24"/>
          <w:szCs w:val="24"/>
          <w:highlight w:val="none"/>
          <w:lang w:val="en-US" w:eastAsia="zh-CN"/>
        </w:rPr>
        <w:t>招标</w:t>
      </w:r>
      <w:r>
        <w:rPr>
          <w:rFonts w:hint="eastAsia" w:asciiTheme="minorEastAsia" w:hAnsiTheme="minorEastAsia" w:eastAsiaTheme="minorEastAsia" w:cstheme="minorEastAsia"/>
          <w:b w:val="0"/>
          <w:bCs/>
          <w:color w:val="auto"/>
          <w:sz w:val="24"/>
          <w:szCs w:val="24"/>
          <w:highlight w:val="none"/>
          <w:lang w:val="en-US" w:eastAsia="zh-CN"/>
        </w:rPr>
        <w:t>文件、</w:t>
      </w:r>
      <w:r>
        <w:rPr>
          <w:rFonts w:hint="eastAsia" w:asciiTheme="minorEastAsia" w:hAnsiTheme="minorEastAsia" w:eastAsiaTheme="minorEastAsia" w:cstheme="minorEastAsia"/>
          <w:b w:val="0"/>
          <w:bCs/>
          <w:strike w:val="0"/>
          <w:dstrike w:val="0"/>
          <w:color w:val="auto"/>
          <w:sz w:val="24"/>
          <w:szCs w:val="24"/>
          <w:highlight w:val="none"/>
          <w:lang w:val="en-US" w:eastAsia="zh-CN"/>
        </w:rPr>
        <w:t>评标</w:t>
      </w:r>
      <w:r>
        <w:rPr>
          <w:rFonts w:hint="eastAsia" w:asciiTheme="minorEastAsia" w:hAnsiTheme="minorEastAsia" w:eastAsiaTheme="minorEastAsia" w:cstheme="minorEastAsia"/>
          <w:b w:val="0"/>
          <w:bCs/>
          <w:color w:val="auto"/>
          <w:sz w:val="24"/>
          <w:szCs w:val="24"/>
          <w:highlight w:val="none"/>
          <w:lang w:val="en-US" w:eastAsia="zh-CN"/>
        </w:rPr>
        <w:t>过程和成交结果使自己的合法权益受到损害的，应当在知道或者应知其权益受到损害之日起7个工作日内，以书面形式向下列部门或采购人提出质疑。质疑内容不得含有虚假、恶意成分。当事人对自己提出的主张，有责任提供证据，提出质疑时应同时提交相关证据材料和注明事实的确切来源。</w:t>
      </w:r>
    </w:p>
    <w:p w14:paraId="5A37C31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受理质疑单位：云南临祥项目管理咨询有限公司</w:t>
      </w:r>
    </w:p>
    <w:p w14:paraId="28578EA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地址：云南省临沧市临翔区迎宾路159号锦绣花园二期4单元101-1室</w:t>
      </w:r>
    </w:p>
    <w:p w14:paraId="043E66E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联 系 人：李工</w:t>
      </w:r>
    </w:p>
    <w:p w14:paraId="2F3877E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电    话：18213744303</w:t>
      </w:r>
    </w:p>
    <w:p w14:paraId="43DC11E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26.2供应商提供的质疑书应符合中华人民共和国财政部第94号令《政府采购质疑和投诉办法》的规定。供应商提供的质疑书（如材料中有外文资料应同时附上中文译本）应当包括以下主要内容：</w:t>
      </w:r>
    </w:p>
    <w:p w14:paraId="6F46B30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（1）质疑项目名称；</w:t>
      </w:r>
    </w:p>
    <w:p w14:paraId="331D391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（2）质疑理由及事实依据；</w:t>
      </w:r>
    </w:p>
    <w:p w14:paraId="45830CD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（3）质疑对象；</w:t>
      </w:r>
    </w:p>
    <w:p w14:paraId="0F89DF2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（4）联系电话和地址；</w:t>
      </w:r>
    </w:p>
    <w:p w14:paraId="433DE7F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（5）质疑的日期；</w:t>
      </w:r>
    </w:p>
    <w:p w14:paraId="032E995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（6）质疑人署名。</w:t>
      </w:r>
    </w:p>
    <w:p w14:paraId="0DEA059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质疑书实行实名制，并提交由法定代表人或其授权代理人签字并加盖单位公章的原件。</w:t>
      </w:r>
    </w:p>
    <w:p w14:paraId="024A386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26.3采购人、采购代理机构将在收到供应商的书面质疑后7个工作日内做出书面答复，但答复的内容不涉及商业秘密。</w:t>
      </w:r>
    </w:p>
    <w:p w14:paraId="77EE395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26.4参与政府采购活动的供应商对开标过程或者结果提出质疑的，采购人或采购代理机构可以组织原评标委员会成员协助处理质疑事项，并依据评标委员会成员出具的意见进行书面答复。质疑答复导致成交结果改变的，采购人或采购代理机构应当将相关情况报财政部门备案。</w:t>
      </w:r>
    </w:p>
    <w:p w14:paraId="63CB54D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26.5投诉人必须首先经过质疑程序，在对采购人、采购代理机构的答复不满意，或者采购人、采购代理机构未在规定的时间内作出答复的，可以在答复期满后15个工作日内书面向当地政府采购监督管理部门投诉。</w:t>
      </w:r>
    </w:p>
    <w:p w14:paraId="0FE561F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27</w:t>
      </w:r>
      <w:r>
        <w:rPr>
          <w:rFonts w:hint="eastAsia" w:asciiTheme="minorEastAsia" w:hAnsiTheme="minorEastAsia" w:eastAsiaTheme="minorEastAsia" w:cstheme="minorEastAsia"/>
          <w:b w:val="0"/>
          <w:bCs/>
          <w:color w:val="auto"/>
          <w:sz w:val="24"/>
          <w:szCs w:val="24"/>
          <w:highlight w:val="none"/>
        </w:rPr>
        <w:t>.需要补充的其他内容</w:t>
      </w:r>
    </w:p>
    <w:p w14:paraId="662BBEB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须知前附表”中若规定可以接受备选方案的，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在投标文件中只能提供一个备选方案，并注明主选方案，且备选方案的投标价格不得高于主选方案。凡提供两个以上备选方案或未注明主选方案的，该投标将被视为未实质性响应招标文件要求。</w:t>
      </w:r>
    </w:p>
    <w:p w14:paraId="0016B33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w:t>
      </w:r>
      <w:r>
        <w:rPr>
          <w:rFonts w:hint="eastAsia" w:asciiTheme="minorEastAsia" w:hAnsiTheme="minorEastAsia" w:eastAsiaTheme="minorEastAsia" w:cstheme="minorEastAsia"/>
          <w:b w:val="0"/>
          <w:bCs w:val="0"/>
          <w:color w:val="auto"/>
          <w:sz w:val="24"/>
          <w:szCs w:val="24"/>
          <w:highlight w:val="none"/>
        </w:rPr>
        <w:t>.2本</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项目采购人不统一组织</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对现场情况进行踏勘，由</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根据</w:t>
      </w:r>
      <w:r>
        <w:rPr>
          <w:rFonts w:hint="eastAsia" w:asciiTheme="minorEastAsia" w:hAnsiTheme="minorEastAsia" w:eastAsiaTheme="minorEastAsia" w:cstheme="minorEastAsia"/>
          <w:b w:val="0"/>
          <w:bCs w:val="0"/>
          <w:color w:val="auto"/>
          <w:sz w:val="24"/>
          <w:szCs w:val="24"/>
          <w:highlight w:val="none"/>
          <w:lang w:val="en-US" w:eastAsia="zh-CN"/>
        </w:rPr>
        <w:t>本项目采购需求等</w:t>
      </w:r>
      <w:r>
        <w:rPr>
          <w:rFonts w:hint="eastAsia" w:asciiTheme="minorEastAsia" w:hAnsiTheme="minorEastAsia" w:eastAsiaTheme="minorEastAsia" w:cstheme="minorEastAsia"/>
          <w:b w:val="0"/>
          <w:bCs w:val="0"/>
          <w:color w:val="auto"/>
          <w:sz w:val="24"/>
          <w:szCs w:val="24"/>
          <w:highlight w:val="none"/>
        </w:rPr>
        <w:t>，自行踏勘。</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对踏勘中获取的现场资料</w:t>
      </w:r>
      <w:r>
        <w:rPr>
          <w:rFonts w:hint="eastAsia" w:asciiTheme="minorEastAsia" w:hAnsiTheme="minorEastAsia" w:eastAsiaTheme="minorEastAsia" w:cstheme="minorEastAsia"/>
          <w:b w:val="0"/>
          <w:bCs w:val="0"/>
          <w:color w:val="auto"/>
          <w:sz w:val="24"/>
          <w:szCs w:val="24"/>
          <w:highlight w:val="none"/>
          <w:lang w:val="en-US" w:eastAsia="zh-CN"/>
        </w:rPr>
        <w:t>自行承担理解及应用的责任</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并对踏勘过程中的责任和风险负责，无论</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是否踏勘过</w:t>
      </w:r>
      <w:r>
        <w:rPr>
          <w:rFonts w:hint="eastAsia" w:asciiTheme="minorEastAsia" w:hAnsiTheme="minorEastAsia" w:eastAsiaTheme="minorEastAsia" w:cstheme="minorEastAsia"/>
          <w:b w:val="0"/>
          <w:bCs w:val="0"/>
          <w:color w:val="auto"/>
          <w:sz w:val="24"/>
          <w:szCs w:val="24"/>
          <w:highlight w:val="none"/>
          <w:lang w:val="en-US" w:eastAsia="zh-CN"/>
        </w:rPr>
        <w:t>本项目</w:t>
      </w:r>
      <w:r>
        <w:rPr>
          <w:rFonts w:hint="eastAsia" w:asciiTheme="minorEastAsia" w:hAnsiTheme="minorEastAsia" w:eastAsiaTheme="minorEastAsia" w:cstheme="minorEastAsia"/>
          <w:b w:val="0"/>
          <w:bCs w:val="0"/>
          <w:color w:val="auto"/>
          <w:sz w:val="24"/>
          <w:szCs w:val="24"/>
          <w:highlight w:val="none"/>
        </w:rPr>
        <w:t>现场，均被认为在</w:t>
      </w:r>
      <w:r>
        <w:rPr>
          <w:rFonts w:hint="eastAsia" w:asciiTheme="minorEastAsia" w:hAnsiTheme="minorEastAsia" w:eastAsiaTheme="minorEastAsia" w:cstheme="minorEastAsia"/>
          <w:b w:val="0"/>
          <w:bCs w:val="0"/>
          <w:color w:val="auto"/>
          <w:sz w:val="24"/>
          <w:szCs w:val="24"/>
          <w:highlight w:val="none"/>
          <w:lang w:eastAsia="zh-CN"/>
        </w:rPr>
        <w:t>提交</w:t>
      </w:r>
      <w:r>
        <w:rPr>
          <w:rFonts w:hint="eastAsia" w:asciiTheme="minorEastAsia" w:hAnsiTheme="minorEastAsia" w:eastAsiaTheme="minorEastAsia" w:cstheme="minorEastAsia"/>
          <w:b w:val="0"/>
          <w:bCs w:val="0"/>
          <w:color w:val="auto"/>
          <w:sz w:val="24"/>
          <w:szCs w:val="24"/>
          <w:highlight w:val="none"/>
        </w:rPr>
        <w:t>投标文件之前已踏勘过</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现场，对本项目的风险和义务十分了解，并在其投标文件中充分考虑了</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现场的</w:t>
      </w:r>
      <w:r>
        <w:rPr>
          <w:rFonts w:hint="eastAsia" w:asciiTheme="minorEastAsia" w:hAnsiTheme="minorEastAsia" w:eastAsiaTheme="minorEastAsia" w:cstheme="minorEastAsia"/>
          <w:b w:val="0"/>
          <w:bCs w:val="0"/>
          <w:color w:val="auto"/>
          <w:sz w:val="24"/>
          <w:szCs w:val="24"/>
          <w:highlight w:val="none"/>
          <w:lang w:val="en-US" w:eastAsia="zh-CN"/>
        </w:rPr>
        <w:t>各项</w:t>
      </w:r>
      <w:r>
        <w:rPr>
          <w:rFonts w:hint="eastAsia" w:asciiTheme="minorEastAsia" w:hAnsiTheme="minorEastAsia" w:eastAsiaTheme="minorEastAsia" w:cstheme="minorEastAsia"/>
          <w:b w:val="0"/>
          <w:bCs w:val="0"/>
          <w:color w:val="auto"/>
          <w:sz w:val="24"/>
          <w:szCs w:val="24"/>
          <w:highlight w:val="none"/>
        </w:rPr>
        <w:t>条件</w:t>
      </w:r>
      <w:r>
        <w:rPr>
          <w:rFonts w:hint="eastAsia" w:asciiTheme="minorEastAsia" w:hAnsiTheme="minorEastAsia" w:eastAsiaTheme="minorEastAsia" w:cstheme="minorEastAsia"/>
          <w:b w:val="0"/>
          <w:bCs w:val="0"/>
          <w:color w:val="auto"/>
          <w:sz w:val="24"/>
          <w:szCs w:val="24"/>
          <w:highlight w:val="none"/>
          <w:lang w:eastAsia="zh-CN"/>
        </w:rPr>
        <w:t>。</w:t>
      </w:r>
    </w:p>
    <w:p w14:paraId="4E2ACCA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.3需要补充的其他内容详见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须知前附表。</w:t>
      </w:r>
    </w:p>
    <w:p w14:paraId="1A8B9F02">
      <w:pPr>
        <w:pStyle w:val="2"/>
        <w:rPr>
          <w:rFonts w:hint="eastAsia" w:asciiTheme="minorEastAsia" w:hAnsiTheme="minorEastAsia" w:eastAsiaTheme="minorEastAsia" w:cstheme="minorEastAsia"/>
          <w:b/>
          <w:color w:val="auto"/>
          <w:sz w:val="24"/>
          <w:szCs w:val="24"/>
          <w:highlight w:val="none"/>
        </w:rPr>
      </w:pPr>
      <w:bookmarkStart w:id="78" w:name="_Toc1256"/>
    </w:p>
    <w:p w14:paraId="3F0EDE89">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57E4DA76">
      <w:pPr>
        <w:shd w:val="clear" w:color="auto" w:fill="auto"/>
        <w:spacing w:line="413"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附件1：</w:t>
      </w:r>
      <w:bookmarkEnd w:id="78"/>
      <w:r>
        <w:rPr>
          <w:rFonts w:hint="eastAsia" w:asciiTheme="minorEastAsia" w:hAnsiTheme="minorEastAsia" w:eastAsiaTheme="minorEastAsia" w:cstheme="minorEastAsia"/>
          <w:b/>
          <w:color w:val="auto"/>
          <w:sz w:val="24"/>
          <w:szCs w:val="24"/>
          <w:highlight w:val="none"/>
        </w:rPr>
        <w:t>政府采购项目电子化交易操作须知</w:t>
      </w:r>
    </w:p>
    <w:p w14:paraId="2A93317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为规范临沧市政府采购电子交易平台操作和使用，整理交易操作流程等内容供各位潜在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学习，请认真阅读以免影响投标。</w:t>
      </w:r>
    </w:p>
    <w:p w14:paraId="60CAD69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凡有意参加投标者，须提前在政采云平台注册账号并办理数字证书（CA）。涉及电子交易平台使用问题的，请致电</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：95763。</w:t>
      </w:r>
    </w:p>
    <w:p w14:paraId="77BC32D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政采云平台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账号注册：登录</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rPr>
        <w:t>（https：//www.zcygov.cn/）注册账号。操作路径：政府采购云平台首页—商家入驻—云南省（找到云南省立即前往）—云南省政府采购</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入驻登记（立即登记），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根据平台系统提示逐步进行操作即可。</w:t>
      </w:r>
    </w:p>
    <w:p w14:paraId="4F8B87A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须办理数字证书（CA），并在政采云绑定数字证书（CA）后线上获取采购文件及其它采购资料。CA申领链接：http：//yzt.ynsmartcert.cn/cms/yztlccb.html云南壹证通CA可支持线上、线下办理方式，并提供7*24小时全天候客户服务支持，客服热线400-004-0628（紧急CA办理电话：19988166369）政府采购云平台支持多家CA服务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可自行选择。CA申领后需登陆政采云平台完成数字证书（CA）绑定才可以使用，数字证书（CA）详见其办理流程。</w:t>
      </w:r>
    </w:p>
    <w:p w14:paraId="3D32131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在政采云平台注册账号后，登录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（www.zcygov.cn），绑定数字证书（CA）后，在线申请获取电子招标（或采购）文件及其他相关资料（如有）；未办理数字证书（CA） 的潜在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，请登录CA数字证书申请系统注册并在网上申请办理证书；此前已经在云南省公共资源交易电子化平台申请过云南CA数字证书的，不用重复申请数字证书，可以互通共用。</w:t>
      </w:r>
    </w:p>
    <w:p w14:paraId="4B8B1E0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政府采购项目电子化操作流程</w:t>
      </w:r>
    </w:p>
    <w:p w14:paraId="52AAEB9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政府采购项目电子化操作学习：请各位潜在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进行学习。（操作路径：登录首页—操作指南—登录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账号—查看</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操作手册进行学习）。</w:t>
      </w:r>
    </w:p>
    <w:p w14:paraId="606E072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招标（或采购）文件获取：</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可自行在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下载采购文件（操作路径：登录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—项目采购—获取采购文件—找到本项目—点击“申请获取采购文件”）。获取时间截止到截标前，请各位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合理安排好时间，妥善处理好文件下载与制作响应文件时间关系。</w:t>
      </w:r>
    </w:p>
    <w:p w14:paraId="02C709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投标（或响应）文件编制与导入</w:t>
      </w:r>
    </w:p>
    <w:p w14:paraId="7B71D66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投标（或响应）文件编制：（操作路径：政采云投标客户端—投标响应文件编制），电子投标（响应）文件应使用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（http：//www.zcygov.cn）中下载的政采云电子投标客户端制作，并进行电子签章及加密后上传至</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t>
      </w:r>
    </w:p>
    <w:p w14:paraId="7553634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提交的电子标书不符合（1）要求或开标时无法读取导入或解密，其投标（响应）文件将不予受理。</w:t>
      </w:r>
    </w:p>
    <w:p w14:paraId="0D4A7E5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投标（或响应）文件导入：单个资料上传不能大于100MB或300MB（具体以政采云平台系统要求为准）。</w:t>
      </w:r>
    </w:p>
    <w:p w14:paraId="015E85D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投标文件格式：</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应当在政采云电子投标客户端上编制投标（或响应）文件，并生成电子加密标书，响应文件制作完成并生成加密标书后，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需在开标前将加密的响应文件上传至政采云平台。具体操作请下载附件（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政府采购电子交易平台操作指南）</w:t>
      </w:r>
    </w:p>
    <w:p w14:paraId="54024C5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投标（或响应）文件递交：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必须通过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递交电子投标响应文件。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须在投标截止时间前递交投标文件，完成所有电子投标文件的上传。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文件提交截止时间前可以补充、修改或者撤回投标文件。补充或者修改投标文件的，应当先行撤回原文件，补充、修改后重新上传、递交。投标截止时间前未完成投标文件传输的，视为未上传或撤回投标文件。不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递交投标文件的，均为无效</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p>
    <w:p w14:paraId="5B9E3F8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采用网上开标，远程解密投标响应文件，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无须参加开标活动。</w:t>
      </w:r>
    </w:p>
    <w:p w14:paraId="2FA61B8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远程解密、签字确认时间：本项目远程解密时间为</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分钟，签名确认时间为5分钟，请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务必携带加密数字证书在规定的时间内完成投标响应文件解密和签名确认工作。若在规定的时间内不能成功完成网上远程解密的，则视为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放弃此次投标；若未在签名确认时间内完成签名确认，则视为对本次开标无异议。</w:t>
      </w:r>
    </w:p>
    <w:p w14:paraId="1639FF91">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FB29A63">
      <w:pPr>
        <w:pStyle w:val="3"/>
        <w:shd w:val="clear" w:color="auto" w:fill="auto"/>
        <w:tabs>
          <w:tab w:val="left" w:pos="360"/>
        </w:tabs>
        <w:ind w:left="0" w:firstLine="0"/>
        <w:jc w:val="center"/>
        <w:rPr>
          <w:rFonts w:hint="eastAsia" w:asciiTheme="minorEastAsia" w:hAnsiTheme="minorEastAsia" w:eastAsiaTheme="minorEastAsia" w:cstheme="minorEastAsia"/>
          <w:color w:val="auto"/>
          <w:sz w:val="32"/>
          <w:szCs w:val="32"/>
          <w:highlight w:val="none"/>
        </w:rPr>
      </w:pPr>
      <w:bookmarkStart w:id="79" w:name="_Toc28379"/>
      <w:bookmarkStart w:id="80" w:name="_Toc21165"/>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三</w:t>
      </w:r>
      <w:r>
        <w:rPr>
          <w:rFonts w:hint="eastAsia" w:asciiTheme="minorEastAsia" w:hAnsiTheme="minorEastAsia" w:eastAsiaTheme="minorEastAsia" w:cstheme="minorEastAsia"/>
          <w:color w:val="auto"/>
          <w:sz w:val="32"/>
          <w:szCs w:val="32"/>
          <w:highlight w:val="none"/>
        </w:rPr>
        <w:t>章 评标方法（综合评分法）</w:t>
      </w:r>
      <w:bookmarkEnd w:id="79"/>
      <w:bookmarkEnd w:id="80"/>
    </w:p>
    <w:p w14:paraId="43003F3E">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color w:val="auto"/>
          <w:sz w:val="24"/>
          <w:szCs w:val="24"/>
          <w:highlight w:val="none"/>
        </w:rPr>
        <w:t>评标方法前附表</w:t>
      </w:r>
      <w:bookmarkStart w:id="81" w:name="_Toc312150716"/>
      <w:bookmarkStart w:id="82" w:name="_Toc313403325"/>
      <w:bookmarkStart w:id="83" w:name="_Toc15395"/>
      <w:bookmarkStart w:id="84" w:name="_Toc354867106"/>
      <w:bookmarkStart w:id="85" w:name="_Toc393222602"/>
      <w:bookmarkStart w:id="86" w:name="_Toc24895"/>
    </w:p>
    <w:tbl>
      <w:tblPr>
        <w:tblStyle w:val="26"/>
        <w:tblpPr w:leftFromText="180" w:rightFromText="180" w:vertAnchor="text" w:tblpXSpec="center" w:tblpY="1"/>
        <w:tblOverlap w:val="never"/>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
        <w:gridCol w:w="1883"/>
        <w:gridCol w:w="2504"/>
        <w:gridCol w:w="1"/>
        <w:gridCol w:w="3715"/>
      </w:tblGrid>
      <w:tr w14:paraId="2F73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34" w:type="dxa"/>
            <w:gridSpan w:val="2"/>
            <w:noWrap w:val="0"/>
            <w:vAlign w:val="center"/>
          </w:tcPr>
          <w:p w14:paraId="68E2BADC">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1883" w:type="dxa"/>
            <w:noWrap w:val="0"/>
            <w:vAlign w:val="center"/>
          </w:tcPr>
          <w:p w14:paraId="2BC91A8E">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6220" w:type="dxa"/>
            <w:gridSpan w:val="3"/>
            <w:noWrap w:val="0"/>
            <w:vAlign w:val="center"/>
          </w:tcPr>
          <w:p w14:paraId="40A4D692">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631C4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tcBorders>
              <w:right w:val="single" w:color="auto" w:sz="4" w:space="0"/>
            </w:tcBorders>
            <w:noWrap w:val="0"/>
            <w:vAlign w:val="center"/>
          </w:tcPr>
          <w:p w14:paraId="2BD6DB7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606" w:type="dxa"/>
            <w:vMerge w:val="restart"/>
            <w:tcBorders>
              <w:top w:val="single" w:color="auto" w:sz="4" w:space="0"/>
              <w:left w:val="single" w:color="auto" w:sz="4" w:space="0"/>
              <w:right w:val="single" w:color="auto" w:sz="4" w:space="0"/>
            </w:tcBorders>
            <w:noWrap w:val="0"/>
            <w:vAlign w:val="center"/>
          </w:tcPr>
          <w:p w14:paraId="155E4E7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资格评审标准</w:t>
            </w:r>
          </w:p>
        </w:tc>
        <w:tc>
          <w:tcPr>
            <w:tcW w:w="1883" w:type="dxa"/>
            <w:vMerge w:val="restart"/>
            <w:tcBorders>
              <w:left w:val="single" w:color="auto" w:sz="4" w:space="0"/>
            </w:tcBorders>
            <w:noWrap w:val="0"/>
            <w:vAlign w:val="center"/>
          </w:tcPr>
          <w:p w14:paraId="57EDABA9">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基本资质</w:t>
            </w:r>
          </w:p>
        </w:tc>
        <w:tc>
          <w:tcPr>
            <w:tcW w:w="2505" w:type="dxa"/>
            <w:gridSpan w:val="2"/>
            <w:noWrap w:val="0"/>
            <w:vAlign w:val="center"/>
          </w:tcPr>
          <w:p w14:paraId="448B1754">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营业执照</w:t>
            </w:r>
          </w:p>
        </w:tc>
        <w:tc>
          <w:tcPr>
            <w:tcW w:w="3715" w:type="dxa"/>
            <w:noWrap w:val="0"/>
            <w:vAlign w:val="center"/>
          </w:tcPr>
          <w:p w14:paraId="48F19BF3">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供应商须为在中华人民共和国注册且具有独立承担民事责任能力的法人或其他组织，持有有效的法人或者其他组织的营业执照等证明文件</w:t>
            </w:r>
          </w:p>
        </w:tc>
      </w:tr>
      <w:tr w14:paraId="7FB5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37F2296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0BAD0EF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vMerge w:val="continue"/>
            <w:tcBorders>
              <w:left w:val="single" w:color="auto" w:sz="4" w:space="0"/>
            </w:tcBorders>
            <w:noWrap w:val="0"/>
            <w:vAlign w:val="center"/>
          </w:tcPr>
          <w:p w14:paraId="665E6F7A">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p>
        </w:tc>
        <w:tc>
          <w:tcPr>
            <w:tcW w:w="2505" w:type="dxa"/>
            <w:gridSpan w:val="2"/>
            <w:noWrap w:val="0"/>
            <w:vAlign w:val="center"/>
          </w:tcPr>
          <w:p w14:paraId="562AD08D">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供应商须具有良好的商业信誉和健全的财务会计制度</w:t>
            </w:r>
          </w:p>
        </w:tc>
        <w:tc>
          <w:tcPr>
            <w:tcW w:w="3715" w:type="dxa"/>
            <w:noWrap w:val="0"/>
            <w:vAlign w:val="center"/>
          </w:tcPr>
          <w:p w14:paraId="74935FBF">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提供2023、2024年度任意一年度财务报表（资产负债表、现金流量表、利润表并加盖公章）（2025年以后新成立的公司则提供现有财务资料或开户银行出具的资信证明）</w:t>
            </w:r>
          </w:p>
        </w:tc>
      </w:tr>
      <w:tr w14:paraId="40BA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34768AD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123248C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vMerge w:val="continue"/>
            <w:tcBorders>
              <w:left w:val="single" w:color="auto" w:sz="4" w:space="0"/>
            </w:tcBorders>
            <w:noWrap w:val="0"/>
            <w:vAlign w:val="center"/>
          </w:tcPr>
          <w:p w14:paraId="03C11D3E">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p>
        </w:tc>
        <w:tc>
          <w:tcPr>
            <w:tcW w:w="2505" w:type="dxa"/>
            <w:gridSpan w:val="2"/>
            <w:noWrap w:val="0"/>
            <w:vAlign w:val="center"/>
          </w:tcPr>
          <w:p w14:paraId="075B0DBF">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none"/>
                <w:lang w:val="en-US" w:eastAsia="zh-CN"/>
              </w:rPr>
              <w:t>供应商须具有履行合同所必需的设备和专业技术能力</w:t>
            </w:r>
          </w:p>
        </w:tc>
        <w:tc>
          <w:tcPr>
            <w:tcW w:w="3715" w:type="dxa"/>
            <w:noWrap w:val="0"/>
            <w:vAlign w:val="center"/>
          </w:tcPr>
          <w:p w14:paraId="4201B6D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投标文件中提供承诺书或相关证明材料</w:t>
            </w:r>
          </w:p>
        </w:tc>
      </w:tr>
      <w:tr w14:paraId="060B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07F2B8B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57E9B33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vMerge w:val="continue"/>
            <w:tcBorders>
              <w:left w:val="single" w:color="auto" w:sz="4" w:space="0"/>
            </w:tcBorders>
            <w:noWrap w:val="0"/>
            <w:vAlign w:val="center"/>
          </w:tcPr>
          <w:p w14:paraId="5554A834">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p>
        </w:tc>
        <w:tc>
          <w:tcPr>
            <w:tcW w:w="2505" w:type="dxa"/>
            <w:gridSpan w:val="2"/>
            <w:noWrap w:val="0"/>
            <w:vAlign w:val="center"/>
          </w:tcPr>
          <w:p w14:paraId="22E86C96">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供应商须具有依法缴纳税收和社保资金的良好记录</w:t>
            </w:r>
          </w:p>
        </w:tc>
        <w:tc>
          <w:tcPr>
            <w:tcW w:w="3715" w:type="dxa"/>
            <w:noWrap w:val="0"/>
            <w:vAlign w:val="center"/>
          </w:tcPr>
          <w:p w14:paraId="2DCC15A8">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税务局税收通用缴款书复印件或银行电子缴税（费）凭证复印件或税务局出具纳税情况的相关证明（新成立的供应商，提供情况说明或未拖欠税收、社保资金承诺或证明材料）；依法免税或无需缴纳社会保障资金的供应商，应具有相应证明文件。</w:t>
            </w:r>
          </w:p>
        </w:tc>
      </w:tr>
      <w:tr w14:paraId="15B7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1E9EACE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5251150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vMerge w:val="continue"/>
            <w:tcBorders>
              <w:left w:val="single" w:color="auto" w:sz="4" w:space="0"/>
            </w:tcBorders>
            <w:noWrap w:val="0"/>
            <w:vAlign w:val="center"/>
          </w:tcPr>
          <w:p w14:paraId="3DC380C9">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p>
        </w:tc>
        <w:tc>
          <w:tcPr>
            <w:tcW w:w="2505" w:type="dxa"/>
            <w:gridSpan w:val="2"/>
            <w:noWrap w:val="0"/>
            <w:vAlign w:val="center"/>
          </w:tcPr>
          <w:p w14:paraId="669061E9">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参加政府采购</w:t>
            </w:r>
            <w:r>
              <w:rPr>
                <w:rFonts w:hint="eastAsia" w:asciiTheme="minorEastAsia" w:hAnsiTheme="minorEastAsia" w:eastAsiaTheme="minorEastAsia" w:cstheme="minorEastAsia"/>
                <w:color w:val="auto"/>
                <w:sz w:val="24"/>
                <w:szCs w:val="24"/>
                <w:highlight w:val="none"/>
                <w:lang w:eastAsia="zh-CN"/>
              </w:rPr>
              <w:t>活动前三年内</w:t>
            </w:r>
            <w:r>
              <w:rPr>
                <w:rFonts w:hint="eastAsia" w:asciiTheme="minorEastAsia" w:hAnsiTheme="minorEastAsia" w:eastAsiaTheme="minorEastAsia" w:cstheme="minorEastAsia"/>
                <w:color w:val="auto"/>
                <w:sz w:val="24"/>
                <w:szCs w:val="24"/>
                <w:highlight w:val="none"/>
              </w:rPr>
              <w:t>，在经营活动中没有重大违法记录（没有因违法经营受到刑事处罚或者没有被责令停产停业、被吊销许可证或者执照、被处以较大数额罚款等行政处罚，没有因违法经营被禁止参加政府采购活动的期限未满情形）</w:t>
            </w:r>
          </w:p>
        </w:tc>
        <w:tc>
          <w:tcPr>
            <w:tcW w:w="3715" w:type="dxa"/>
            <w:noWrap w:val="0"/>
            <w:vAlign w:val="center"/>
          </w:tcPr>
          <w:p w14:paraId="150F148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提供承诺书或相关证明材料</w:t>
            </w:r>
          </w:p>
        </w:tc>
      </w:tr>
      <w:tr w14:paraId="0B4A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1ED3BFD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265C9FC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vMerge w:val="continue"/>
            <w:tcBorders>
              <w:left w:val="single" w:color="auto" w:sz="4" w:space="0"/>
            </w:tcBorders>
            <w:noWrap w:val="0"/>
            <w:vAlign w:val="center"/>
          </w:tcPr>
          <w:p w14:paraId="7177B9E0">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p>
        </w:tc>
        <w:tc>
          <w:tcPr>
            <w:tcW w:w="2505" w:type="dxa"/>
            <w:gridSpan w:val="2"/>
            <w:noWrap w:val="0"/>
            <w:vAlign w:val="center"/>
          </w:tcPr>
          <w:p w14:paraId="6308E8E6">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信誉要求：</w:t>
            </w:r>
            <w:r>
              <w:rPr>
                <w:rFonts w:hint="eastAsia" w:asciiTheme="minorEastAsia" w:hAnsiTheme="minorEastAsia" w:eastAsiaTheme="minorEastAsia" w:cstheme="minorEastAsia"/>
                <w:color w:val="auto"/>
                <w:sz w:val="24"/>
                <w:szCs w:val="24"/>
                <w:highlight w:val="none"/>
              </w:rPr>
              <w:t>供应商未被列入“信用中国”网站（www.creditchina.gov.cn）“失信被执行人”、“重大税收违法案件当事人名单”、“政府采购严重违法失信行为记录名单”及中国政府采购网（www.ccgp.gov.cn）“政府采购严重违法失信行为信息记录”（被禁止在一定期限内参加政府采购活动但期限届满的除外，查询方式及时间：由采购人或采购代理机构在项目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前在上述官网统一查询）。</w:t>
            </w:r>
          </w:p>
        </w:tc>
        <w:tc>
          <w:tcPr>
            <w:tcW w:w="3715" w:type="dxa"/>
            <w:noWrap w:val="0"/>
            <w:vAlign w:val="center"/>
          </w:tcPr>
          <w:p w14:paraId="2740DF67">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采购人或代理机构于项目评审前在“信用中国”网站（www.creditchina.gov.cn）和“中国政府采购网”（www.ccgp.gov.cn）进行查询，供应商若被列入上述任意一项查询名单的，不予通过资格评审，其投标文件按无效响应处理，并留存查询结果的网页截图或网页打印稿</w:t>
            </w:r>
          </w:p>
        </w:tc>
      </w:tr>
      <w:tr w14:paraId="2D1C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0428132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089C280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vMerge w:val="continue"/>
            <w:tcBorders>
              <w:left w:val="single" w:color="auto" w:sz="4" w:space="0"/>
            </w:tcBorders>
            <w:noWrap w:val="0"/>
            <w:vAlign w:val="center"/>
          </w:tcPr>
          <w:p w14:paraId="48A7ED47">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p>
        </w:tc>
        <w:tc>
          <w:tcPr>
            <w:tcW w:w="2505" w:type="dxa"/>
            <w:gridSpan w:val="2"/>
            <w:noWrap w:val="0"/>
            <w:vAlign w:val="center"/>
          </w:tcPr>
          <w:p w14:paraId="28E58D45">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根据《中华人民共和国政府采购法实施条例》第十八条第一款规定，单位负责人为同一人或者存在直接控股、管理关系的不同</w:t>
            </w:r>
            <w:r>
              <w:rPr>
                <w:rFonts w:hint="eastAsia" w:asciiTheme="minorEastAsia" w:hAnsiTheme="minorEastAsia" w:eastAsiaTheme="minorEastAsia" w:cstheme="minorEastAsia"/>
                <w:bCs/>
                <w:color w:val="auto"/>
                <w:sz w:val="24"/>
                <w:szCs w:val="24"/>
                <w:highlight w:val="none"/>
                <w:lang w:eastAsia="zh-CN"/>
              </w:rPr>
              <w:t>供应商</w:t>
            </w:r>
            <w:r>
              <w:rPr>
                <w:rFonts w:hint="eastAsia" w:asciiTheme="minorEastAsia" w:hAnsiTheme="minorEastAsia" w:eastAsiaTheme="minorEastAsia" w:cstheme="minorEastAsia"/>
                <w:bCs/>
                <w:color w:val="auto"/>
                <w:sz w:val="24"/>
                <w:szCs w:val="24"/>
                <w:highlight w:val="none"/>
              </w:rPr>
              <w:t>，不得同时参加本项目投标</w:t>
            </w:r>
          </w:p>
        </w:tc>
        <w:tc>
          <w:tcPr>
            <w:tcW w:w="3715" w:type="dxa"/>
            <w:noWrap w:val="0"/>
            <w:vAlign w:val="center"/>
          </w:tcPr>
          <w:p w14:paraId="3D5483C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提供承诺书或相关证明材料</w:t>
            </w:r>
          </w:p>
        </w:tc>
      </w:tr>
      <w:tr w14:paraId="34A6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578BF46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13FAB5F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tcBorders>
              <w:left w:val="single" w:color="auto" w:sz="4" w:space="0"/>
            </w:tcBorders>
            <w:noWrap w:val="0"/>
            <w:vAlign w:val="center"/>
          </w:tcPr>
          <w:p w14:paraId="58E03465">
            <w:pPr>
              <w:pStyle w:val="16"/>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特定资质</w:t>
            </w:r>
          </w:p>
        </w:tc>
        <w:tc>
          <w:tcPr>
            <w:tcW w:w="2504" w:type="dxa"/>
            <w:noWrap w:val="0"/>
            <w:vAlign w:val="center"/>
          </w:tcPr>
          <w:p w14:paraId="72DB80DF">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资格证书</w:t>
            </w:r>
          </w:p>
        </w:tc>
        <w:tc>
          <w:tcPr>
            <w:tcW w:w="3716" w:type="dxa"/>
            <w:gridSpan w:val="2"/>
            <w:noWrap w:val="0"/>
            <w:vAlign w:val="center"/>
          </w:tcPr>
          <w:p w14:paraId="3DB4CDAA">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如果是代理商或经销商的，须提供医疗器械经营许可/备案证；供应商如果是制造商的，须提供医疗器械生产许可/备案证。医疗器械生产/经营许可/备案证生产或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tc>
      </w:tr>
      <w:tr w14:paraId="5186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8" w:type="dxa"/>
            <w:vMerge w:val="restart"/>
            <w:noWrap w:val="0"/>
            <w:vAlign w:val="center"/>
          </w:tcPr>
          <w:p w14:paraId="2D897FA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606" w:type="dxa"/>
            <w:vMerge w:val="restart"/>
            <w:tcBorders>
              <w:top w:val="single" w:color="auto" w:sz="4" w:space="0"/>
            </w:tcBorders>
            <w:noWrap w:val="0"/>
            <w:vAlign w:val="center"/>
          </w:tcPr>
          <w:p w14:paraId="3BFA01A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符合性评审标准</w:t>
            </w:r>
          </w:p>
        </w:tc>
        <w:tc>
          <w:tcPr>
            <w:tcW w:w="1883" w:type="dxa"/>
            <w:noWrap w:val="0"/>
            <w:vAlign w:val="center"/>
          </w:tcPr>
          <w:p w14:paraId="5E12C531">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220" w:type="dxa"/>
            <w:gridSpan w:val="3"/>
            <w:noWrap w:val="0"/>
            <w:vAlign w:val="center"/>
          </w:tcPr>
          <w:p w14:paraId="727F1964">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按时、足额缴纳投标保证金</w:t>
            </w:r>
          </w:p>
        </w:tc>
      </w:tr>
      <w:tr w14:paraId="1B6D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158D3EF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center"/>
          </w:tcPr>
          <w:p w14:paraId="1B2AD75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67E8FEF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投标文件格式及内容</w:t>
            </w:r>
          </w:p>
        </w:tc>
        <w:tc>
          <w:tcPr>
            <w:tcW w:w="6220" w:type="dxa"/>
            <w:gridSpan w:val="3"/>
            <w:noWrap w:val="0"/>
            <w:vAlign w:val="center"/>
          </w:tcPr>
          <w:p w14:paraId="68068DD6">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符合招标文件中规定的“投标文件格式”的要求</w:t>
            </w:r>
          </w:p>
        </w:tc>
      </w:tr>
      <w:tr w14:paraId="4136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7F7DA3B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center"/>
          </w:tcPr>
          <w:p w14:paraId="3EB235F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6C5CC72C">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投标文件签字盖章</w:t>
            </w:r>
          </w:p>
        </w:tc>
        <w:tc>
          <w:tcPr>
            <w:tcW w:w="6220" w:type="dxa"/>
            <w:gridSpan w:val="3"/>
            <w:noWrap w:val="0"/>
            <w:vAlign w:val="center"/>
          </w:tcPr>
          <w:p w14:paraId="773FAFD1">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有法定代表人或委托代理人签字及加盖单位章</w:t>
            </w:r>
          </w:p>
        </w:tc>
      </w:tr>
      <w:tr w14:paraId="446B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6362234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center"/>
          </w:tcPr>
          <w:p w14:paraId="3FDF6FB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34ADA852">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法定代表人身份证明书</w:t>
            </w:r>
          </w:p>
        </w:tc>
        <w:tc>
          <w:tcPr>
            <w:tcW w:w="6220" w:type="dxa"/>
            <w:gridSpan w:val="3"/>
            <w:noWrap w:val="0"/>
            <w:vAlign w:val="center"/>
          </w:tcPr>
          <w:p w14:paraId="64301419">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515E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6385E57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037E9B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4A51BF08">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tc>
        <w:tc>
          <w:tcPr>
            <w:tcW w:w="6220" w:type="dxa"/>
            <w:gridSpan w:val="3"/>
            <w:noWrap w:val="0"/>
            <w:vAlign w:val="center"/>
          </w:tcPr>
          <w:p w14:paraId="3043B579">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35DAA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28" w:type="dxa"/>
            <w:vMerge w:val="continue"/>
            <w:noWrap w:val="0"/>
            <w:vAlign w:val="top"/>
          </w:tcPr>
          <w:p w14:paraId="405FD5E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40F46DD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1F0C1486">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w:t>
            </w:r>
          </w:p>
        </w:tc>
        <w:tc>
          <w:tcPr>
            <w:tcW w:w="6220" w:type="dxa"/>
            <w:gridSpan w:val="3"/>
            <w:noWrap w:val="0"/>
            <w:vAlign w:val="center"/>
          </w:tcPr>
          <w:p w14:paraId="612D7FB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符合“</w:t>
            </w:r>
            <w:r>
              <w:rPr>
                <w:rFonts w:hint="eastAsia" w:asciiTheme="minorEastAsia" w:hAnsiTheme="minorEastAsia" w:eastAsiaTheme="minorEastAsia" w:cstheme="minorEastAsia"/>
                <w:color w:val="auto"/>
                <w:sz w:val="24"/>
                <w:szCs w:val="24"/>
                <w:highlight w:val="none"/>
                <w:lang w:eastAsia="zh-CN"/>
              </w:rPr>
              <w:t>投标人须知前附表</w:t>
            </w:r>
            <w:r>
              <w:rPr>
                <w:rFonts w:hint="eastAsia" w:asciiTheme="minorEastAsia" w:hAnsiTheme="minorEastAsia" w:eastAsiaTheme="minorEastAsia" w:cstheme="minorEastAsia"/>
                <w:color w:val="auto"/>
                <w:sz w:val="24"/>
                <w:szCs w:val="24"/>
                <w:highlight w:val="none"/>
                <w:lang w:val="en-US" w:eastAsia="zh-CN"/>
              </w:rPr>
              <w:t>4”的规定。</w:t>
            </w:r>
          </w:p>
        </w:tc>
      </w:tr>
      <w:tr w14:paraId="0141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8" w:type="dxa"/>
            <w:vMerge w:val="continue"/>
            <w:noWrap w:val="0"/>
            <w:vAlign w:val="top"/>
          </w:tcPr>
          <w:p w14:paraId="1B5ED7E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3C5AFA0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04C957F8">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交货地点</w:t>
            </w:r>
          </w:p>
        </w:tc>
        <w:tc>
          <w:tcPr>
            <w:tcW w:w="6220" w:type="dxa"/>
            <w:gridSpan w:val="3"/>
            <w:noWrap w:val="0"/>
            <w:vAlign w:val="center"/>
          </w:tcPr>
          <w:p w14:paraId="56D4D39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116E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8" w:type="dxa"/>
            <w:vMerge w:val="continue"/>
            <w:noWrap w:val="0"/>
            <w:vAlign w:val="top"/>
          </w:tcPr>
          <w:p w14:paraId="3EB21CA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6DBCE69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5C5B6E6A">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交货要求</w:t>
            </w:r>
          </w:p>
        </w:tc>
        <w:tc>
          <w:tcPr>
            <w:tcW w:w="6220" w:type="dxa"/>
            <w:gridSpan w:val="3"/>
            <w:noWrap w:val="0"/>
            <w:vAlign w:val="center"/>
          </w:tcPr>
          <w:p w14:paraId="176877AC">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0940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28" w:type="dxa"/>
            <w:vMerge w:val="continue"/>
            <w:noWrap w:val="0"/>
            <w:vAlign w:val="top"/>
          </w:tcPr>
          <w:p w14:paraId="44CBBA5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78C225E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1BE4E2C0">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供应配送时限</w:t>
            </w:r>
          </w:p>
        </w:tc>
        <w:tc>
          <w:tcPr>
            <w:tcW w:w="6220" w:type="dxa"/>
            <w:gridSpan w:val="3"/>
            <w:noWrap w:val="0"/>
            <w:vAlign w:val="center"/>
          </w:tcPr>
          <w:p w14:paraId="4E1C4A9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3219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8" w:type="dxa"/>
            <w:vMerge w:val="continue"/>
            <w:noWrap w:val="0"/>
            <w:vAlign w:val="top"/>
          </w:tcPr>
          <w:p w14:paraId="6F808CA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2841E92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497A9853">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产品质量</w:t>
            </w:r>
          </w:p>
        </w:tc>
        <w:tc>
          <w:tcPr>
            <w:tcW w:w="6220" w:type="dxa"/>
            <w:gridSpan w:val="3"/>
            <w:noWrap w:val="0"/>
            <w:vAlign w:val="center"/>
          </w:tcPr>
          <w:p w14:paraId="61FA4183">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2420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8" w:type="dxa"/>
            <w:vMerge w:val="continue"/>
            <w:noWrap w:val="0"/>
            <w:vAlign w:val="top"/>
          </w:tcPr>
          <w:p w14:paraId="0A52A0C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0B0B079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73BB8F95">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合同履约期限</w:t>
            </w:r>
          </w:p>
        </w:tc>
        <w:tc>
          <w:tcPr>
            <w:tcW w:w="6220" w:type="dxa"/>
            <w:gridSpan w:val="3"/>
            <w:noWrap w:val="0"/>
            <w:vAlign w:val="center"/>
          </w:tcPr>
          <w:p w14:paraId="11BC3B3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4D66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28" w:type="dxa"/>
            <w:vMerge w:val="continue"/>
            <w:noWrap w:val="0"/>
            <w:vAlign w:val="top"/>
          </w:tcPr>
          <w:p w14:paraId="509612EE">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03D2430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57A1BD7F">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商务条款偏离</w:t>
            </w:r>
          </w:p>
        </w:tc>
        <w:tc>
          <w:tcPr>
            <w:tcW w:w="6220" w:type="dxa"/>
            <w:gridSpan w:val="3"/>
            <w:noWrap w:val="0"/>
            <w:vAlign w:val="center"/>
          </w:tcPr>
          <w:p w14:paraId="57C068C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投标文件载明条款不存在采购人不能接受的偏离</w:t>
            </w:r>
          </w:p>
        </w:tc>
      </w:tr>
      <w:tr w14:paraId="45B3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28" w:type="dxa"/>
            <w:vMerge w:val="continue"/>
            <w:noWrap w:val="0"/>
            <w:vAlign w:val="top"/>
          </w:tcPr>
          <w:p w14:paraId="77D80A9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kern w:val="0"/>
                <w:sz w:val="24"/>
                <w:szCs w:val="24"/>
                <w:highlight w:val="none"/>
              </w:rPr>
            </w:pPr>
          </w:p>
        </w:tc>
        <w:tc>
          <w:tcPr>
            <w:tcW w:w="606" w:type="dxa"/>
            <w:vMerge w:val="continue"/>
            <w:noWrap w:val="0"/>
            <w:vAlign w:val="top"/>
          </w:tcPr>
          <w:p w14:paraId="399567E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kern w:val="0"/>
                <w:sz w:val="24"/>
                <w:szCs w:val="24"/>
                <w:highlight w:val="none"/>
              </w:rPr>
            </w:pPr>
          </w:p>
        </w:tc>
        <w:tc>
          <w:tcPr>
            <w:tcW w:w="1883" w:type="dxa"/>
            <w:noWrap w:val="0"/>
            <w:vAlign w:val="center"/>
          </w:tcPr>
          <w:p w14:paraId="698A276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技术条款偏离</w:t>
            </w:r>
          </w:p>
        </w:tc>
        <w:tc>
          <w:tcPr>
            <w:tcW w:w="6220" w:type="dxa"/>
            <w:gridSpan w:val="3"/>
            <w:noWrap w:val="0"/>
            <w:vAlign w:val="center"/>
          </w:tcPr>
          <w:p w14:paraId="25A0A24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投标文件载明条款不存在采购人不能接受的偏离</w:t>
            </w:r>
          </w:p>
        </w:tc>
      </w:tr>
      <w:tr w14:paraId="0D3B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28" w:type="dxa"/>
            <w:vMerge w:val="continue"/>
            <w:noWrap w:val="0"/>
            <w:vAlign w:val="top"/>
          </w:tcPr>
          <w:p w14:paraId="216A464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1E0976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5FC5E244">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6220" w:type="dxa"/>
            <w:gridSpan w:val="3"/>
            <w:noWrap w:val="0"/>
            <w:vAlign w:val="center"/>
          </w:tcPr>
          <w:p w14:paraId="775280E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025AA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top"/>
          </w:tcPr>
          <w:p w14:paraId="574CC25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239E0CA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667093FD">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无效</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rPr>
              <w:t>标条件</w:t>
            </w:r>
          </w:p>
        </w:tc>
        <w:tc>
          <w:tcPr>
            <w:tcW w:w="6220" w:type="dxa"/>
            <w:gridSpan w:val="3"/>
            <w:noWrap w:val="0"/>
            <w:vAlign w:val="center"/>
          </w:tcPr>
          <w:p w14:paraId="3C4C651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供应商或投标文件有下列情形之一的，其投标作无效标处理：</w:t>
            </w:r>
          </w:p>
          <w:p w14:paraId="4B324DF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1.投标文件的内容及有关材料弄虚作假；</w:t>
            </w:r>
          </w:p>
          <w:p w14:paraId="4A33C42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2.有串通投标或有其他违法行为的；</w:t>
            </w:r>
          </w:p>
          <w:p w14:paraId="3FC6294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3.投标文件不符合招标文件规定的实质性要求；</w:t>
            </w:r>
          </w:p>
          <w:p w14:paraId="429E8AB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4.投标文件不按规定格式及内容填写；</w:t>
            </w:r>
          </w:p>
          <w:p w14:paraId="52DDEC50">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5.投标文件未按招标文件规定的要求签名与盖章的；</w:t>
            </w:r>
          </w:p>
          <w:p w14:paraId="76D3CB8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6.供应商不按评标委员会要求对投标文件相关内容进行澄清、说明或补正的；</w:t>
            </w:r>
          </w:p>
          <w:p w14:paraId="0892910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7.供应商拒绝对投标文件中存在的算术错误按规定进行修正的；</w:t>
            </w:r>
          </w:p>
          <w:p w14:paraId="6C59AF2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8.投标文件附有其他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人不能接受的条件的；</w:t>
            </w:r>
          </w:p>
          <w:p w14:paraId="33D281A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9.不同单位的投标文件出现芯片序列号、硬盘序列号、网卡序列号中的某一项或几项一致的</w:t>
            </w:r>
            <w:r>
              <w:rPr>
                <w:rFonts w:hint="eastAsia" w:asciiTheme="minorEastAsia" w:hAnsiTheme="minorEastAsia" w:eastAsiaTheme="minorEastAsia" w:cstheme="minorEastAsia"/>
                <w:color w:val="auto"/>
                <w:sz w:val="24"/>
                <w:szCs w:val="24"/>
                <w:highlight w:val="none"/>
              </w:rPr>
              <w:t>。</w:t>
            </w:r>
          </w:p>
          <w:p w14:paraId="4B0A5B1D">
            <w:pPr>
              <w:pStyle w:val="1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10.法律、法规和招标文件规定的其他无效情形</w:t>
            </w:r>
          </w:p>
        </w:tc>
      </w:tr>
      <w:tr w14:paraId="3DC5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noWrap w:val="0"/>
            <w:vAlign w:val="center"/>
          </w:tcPr>
          <w:p w14:paraId="2BF1348D">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highlight w:val="none"/>
              </w:rPr>
            </w:pP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rPr>
              <w:br w:type="page"/>
            </w:r>
          </w:p>
        </w:tc>
        <w:tc>
          <w:tcPr>
            <w:tcW w:w="606" w:type="dxa"/>
            <w:vMerge w:val="restart"/>
            <w:tcBorders>
              <w:top w:val="single" w:color="auto" w:sz="4" w:space="0"/>
            </w:tcBorders>
            <w:noWrap w:val="0"/>
            <w:vAlign w:val="center"/>
          </w:tcPr>
          <w:p w14:paraId="6714F2FC">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1883" w:type="dxa"/>
            <w:noWrap w:val="0"/>
            <w:vAlign w:val="center"/>
          </w:tcPr>
          <w:p w14:paraId="6B5D3837">
            <w:pPr>
              <w:keepNext w:val="0"/>
              <w:keepLines w:val="0"/>
              <w:pageBreakBefore w:val="0"/>
              <w:shd w:val="clear" w:color="auto" w:fill="auto"/>
              <w:kinsoku/>
              <w:wordWrap/>
              <w:overflowPunct/>
              <w:topLinePunct w:val="0"/>
              <w:autoSpaceDE/>
              <w:autoSpaceDN/>
              <w:bidi w:val="0"/>
              <w:snapToGrid/>
              <w:spacing w:line="400" w:lineRule="exact"/>
              <w:ind w:firstLine="240" w:firstLineChars="1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评标总得分计算公式</w:t>
            </w:r>
          </w:p>
        </w:tc>
        <w:tc>
          <w:tcPr>
            <w:tcW w:w="6220" w:type="dxa"/>
            <w:gridSpan w:val="3"/>
            <w:noWrap w:val="0"/>
            <w:vAlign w:val="center"/>
          </w:tcPr>
          <w:p w14:paraId="4163B0E9">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的评标总得分＝F1＋F2＋F3</w:t>
            </w:r>
            <w:r>
              <w:rPr>
                <w:rFonts w:hint="eastAsia" w:asciiTheme="minorEastAsia" w:hAnsiTheme="minorEastAsia" w:eastAsiaTheme="minorEastAsia" w:cstheme="minorEastAsia"/>
                <w:color w:val="auto"/>
                <w:sz w:val="24"/>
                <w:szCs w:val="24"/>
                <w:highlight w:val="none"/>
                <w:lang w:val="en-US" w:eastAsia="zh-CN"/>
              </w:rPr>
              <w:t>+F4+F5+F6+F7+F8+F9</w:t>
            </w:r>
          </w:p>
          <w:p w14:paraId="19043E23">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其中：F1、F2、F3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F8</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F9,9</w:t>
            </w:r>
            <w:r>
              <w:rPr>
                <w:rFonts w:hint="eastAsia" w:asciiTheme="minorEastAsia" w:hAnsiTheme="minorEastAsia" w:eastAsiaTheme="minorEastAsia" w:cstheme="minorEastAsia"/>
                <w:color w:val="auto"/>
                <w:sz w:val="24"/>
                <w:szCs w:val="24"/>
                <w:highlight w:val="none"/>
              </w:rPr>
              <w:t>项评分因素的汇总得分。</w:t>
            </w:r>
          </w:p>
        </w:tc>
      </w:tr>
      <w:tr w14:paraId="33C7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28" w:type="dxa"/>
            <w:vMerge w:val="continue"/>
            <w:noWrap w:val="0"/>
            <w:vAlign w:val="top"/>
          </w:tcPr>
          <w:p w14:paraId="26E0B38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4BA25B6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6A4FF3B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投标报价得分F1</w:t>
            </w:r>
          </w:p>
          <w:p w14:paraId="41E11CD6">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0分）</w:t>
            </w:r>
          </w:p>
        </w:tc>
        <w:tc>
          <w:tcPr>
            <w:tcW w:w="6220" w:type="dxa"/>
            <w:gridSpan w:val="3"/>
            <w:noWrap w:val="0"/>
            <w:vAlign w:val="center"/>
          </w:tcPr>
          <w:p w14:paraId="5B577029">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价格分采用低价优先法计算，即满足招标文件要求且投标价格最低的评审报价为评标基准价，其价格分为满分。其他供应商的价格分统一按照下列公式计算：</w:t>
            </w:r>
          </w:p>
          <w:p w14:paraId="58367B0A">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投标报价得分=(评标基准价／评审报价)×30</w:t>
            </w:r>
          </w:p>
          <w:p w14:paraId="07DD5F35">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注：（1）评审过程中，不得去掉报价中的最高报价和最低报价。</w:t>
            </w:r>
          </w:p>
          <w:p w14:paraId="6F56E14F">
            <w:pPr>
              <w:pStyle w:val="2"/>
              <w:keepNext w:val="0"/>
              <w:keepLines w:val="0"/>
              <w:pageBreakBefore w:val="0"/>
              <w:widowControl w:val="0"/>
              <w:numPr>
                <w:ilvl w:val="0"/>
                <w:numId w:val="1"/>
              </w:numPr>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落实政府采购政策</w:t>
            </w:r>
            <w:r>
              <w:rPr>
                <w:rFonts w:hint="eastAsia" w:asciiTheme="minorEastAsia" w:hAnsiTheme="minorEastAsia" w:eastAsiaTheme="minorEastAsia" w:cstheme="minorEastAsia"/>
                <w:color w:val="auto"/>
                <w:sz w:val="24"/>
                <w:szCs w:val="24"/>
                <w:highlight w:val="none"/>
                <w:lang w:val="en-US" w:eastAsia="zh-CN"/>
              </w:rPr>
              <w:t>：本项目对符合规定的小微企业报价给予10%的扣除，监狱企业、残疾人福利性单位视同小微企业。监狱企业、残疾人福利性单位属于小微企业的，不重复享受价格扣除优惠政策；价格扣除比例对小型企业和微型企业同等对待，不作区分。</w:t>
            </w:r>
          </w:p>
          <w:p w14:paraId="6D2AAF9C">
            <w:pPr>
              <w:keepNext w:val="0"/>
              <w:keepLines w:val="0"/>
              <w:pageBreakBefore w:val="0"/>
              <w:widowControl w:val="0"/>
              <w:shd w:val="clear" w:color="auto" w:fill="auto"/>
              <w:kinsoku/>
              <w:wordWrap/>
              <w:overflowPunct/>
              <w:topLinePunct w:val="0"/>
              <w:autoSpaceDE/>
              <w:autoSpaceDN/>
              <w:bidi w:val="0"/>
              <w:adjustRightInd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即：享受政策的评审报价=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×（1-10%）；</w:t>
            </w:r>
          </w:p>
          <w:p w14:paraId="2D58E4F4">
            <w:pPr>
              <w:pStyle w:val="2"/>
              <w:keepNext w:val="0"/>
              <w:keepLines w:val="0"/>
              <w:pageBreakBefore w:val="0"/>
              <w:widowControl w:val="0"/>
              <w:numPr>
                <w:ilvl w:val="0"/>
                <w:numId w:val="0"/>
              </w:numPr>
              <w:shd w:val="clear" w:color="auto" w:fill="auto"/>
              <w:kinsoku/>
              <w:wordWrap/>
              <w:overflowPunct/>
              <w:topLinePunct w:val="0"/>
              <w:autoSpaceDE/>
              <w:autoSpaceDN/>
              <w:bidi w:val="0"/>
              <w:snapToGrid/>
              <w:spacing w:after="0" w:line="4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不享受政策的评审报价=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w:t>
            </w:r>
          </w:p>
          <w:p w14:paraId="710D3582">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用扣除后的价格参加评审。该扣除后的评审报价仅用于计算报价得分，采购合同价格仍按供应商的投标报价进行签订。</w:t>
            </w:r>
          </w:p>
        </w:tc>
      </w:tr>
      <w:tr w14:paraId="23A18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828" w:type="dxa"/>
            <w:vMerge w:val="continue"/>
            <w:noWrap w:val="0"/>
            <w:vAlign w:val="top"/>
          </w:tcPr>
          <w:p w14:paraId="600958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76F9F9F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69855C37">
            <w:pPr>
              <w:pStyle w:val="42"/>
              <w:keepNext w:val="0"/>
              <w:keepLines w:val="0"/>
              <w:pageBreakBefore w:val="0"/>
              <w:numPr>
                <w:ilvl w:val="0"/>
                <w:numId w:val="0"/>
              </w:numPr>
              <w:shd w:val="clear" w:fill="FFFFFF" w:themeFill="background1"/>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F2 </w:t>
            </w:r>
            <w:r>
              <w:rPr>
                <w:rFonts w:hint="eastAsia" w:asciiTheme="minorEastAsia" w:hAnsiTheme="minorEastAsia" w:eastAsiaTheme="minorEastAsia" w:cstheme="minorEastAsia"/>
                <w:b/>
                <w:bCs/>
                <w:color w:val="auto"/>
                <w:sz w:val="24"/>
                <w:szCs w:val="24"/>
                <w:highlight w:val="none"/>
              </w:rPr>
              <w:t>技术参数评审</w:t>
            </w:r>
          </w:p>
          <w:p w14:paraId="414598DA">
            <w:pPr>
              <w:pStyle w:val="42"/>
              <w:keepNext w:val="0"/>
              <w:keepLines w:val="0"/>
              <w:pageBreakBefore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（满分10分）</w:t>
            </w:r>
          </w:p>
        </w:tc>
        <w:tc>
          <w:tcPr>
            <w:tcW w:w="6220" w:type="dxa"/>
            <w:gridSpan w:val="3"/>
            <w:noWrap w:val="0"/>
            <w:vAlign w:val="center"/>
          </w:tcPr>
          <w:p w14:paraId="5CEF4627">
            <w:pPr>
              <w:keepNext w:val="0"/>
              <w:keepLines w:val="0"/>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评标委员会综合考虑投标人所投产品的技术参数、规格要求对招标文件的响应程度等因素综合打分：</w:t>
            </w:r>
          </w:p>
          <w:p w14:paraId="2735C388">
            <w:pPr>
              <w:keepNext w:val="0"/>
              <w:keepLines w:val="0"/>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技术参数、规格要求完全满足招标文件要求的,无负偏离或是正偏离的，得10分；出现负偏离的，每出现一项不满足招标文件要求的扣0.5分，扣完为止。</w:t>
            </w:r>
          </w:p>
        </w:tc>
      </w:tr>
      <w:tr w14:paraId="56B9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828" w:type="dxa"/>
            <w:vMerge w:val="continue"/>
            <w:noWrap w:val="0"/>
            <w:vAlign w:val="top"/>
          </w:tcPr>
          <w:p w14:paraId="1A4C8F4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7803D78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5B28C8D8">
            <w:pPr>
              <w:pStyle w:val="42"/>
              <w:keepNext w:val="0"/>
              <w:keepLines w:val="0"/>
              <w:pageBreakBefore w:val="0"/>
              <w:numPr>
                <w:ilvl w:val="0"/>
                <w:numId w:val="0"/>
              </w:numPr>
              <w:shd w:val="clear" w:fill="FFFFFF" w:themeFill="background1"/>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F3项目实施方案评审</w:t>
            </w:r>
          </w:p>
          <w:p w14:paraId="5741ED09">
            <w:pPr>
              <w:pStyle w:val="42"/>
              <w:keepNext w:val="0"/>
              <w:keepLines w:val="0"/>
              <w:pageBreakBefore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（满分20分）</w:t>
            </w:r>
          </w:p>
        </w:tc>
        <w:tc>
          <w:tcPr>
            <w:tcW w:w="6220" w:type="dxa"/>
            <w:gridSpan w:val="3"/>
            <w:noWrap w:val="0"/>
            <w:vAlign w:val="center"/>
          </w:tcPr>
          <w:p w14:paraId="1F7850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根据投标文件中提供的项目实施方案进行综合评审，项目实施方案至少包括</w:t>
            </w:r>
            <w:r>
              <w:rPr>
                <w:rFonts w:hint="eastAsia" w:asciiTheme="minorEastAsia" w:hAnsiTheme="minorEastAsia" w:eastAsiaTheme="minorEastAsia" w:cstheme="minorEastAsia"/>
                <w:strike w:val="0"/>
                <w:dstrike w:val="0"/>
                <w:color w:val="auto"/>
                <w:sz w:val="24"/>
                <w:szCs w:val="24"/>
                <w:highlight w:val="none"/>
                <w:lang w:eastAsia="zh-CN"/>
              </w:rPr>
              <w:t>：</w:t>
            </w:r>
          </w:p>
          <w:p w14:paraId="0EA822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①项目特点分析（项目特点分析充分结合项目特征，充分考虑了医院及使用科室的特点、需求，对重点关键环节把握到位,对难点问题有充分预计，把握考虑周到）；</w:t>
            </w:r>
          </w:p>
          <w:p w14:paraId="7FEEFF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②配送、交货方案及流程计划（配送、交货方案及流程计划完善合理，提供具有针对性的具体的集中配送管理及措施方案，配送、交货时间客观合理，能够完全保障项目供货要求，货物交接环节科学严谨）；</w:t>
            </w:r>
          </w:p>
          <w:p w14:paraId="0253A6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③配送应急预案（配送应急预案考虑全面，针对</w:t>
            </w:r>
            <w:r>
              <w:rPr>
                <w:rFonts w:hint="eastAsia" w:asciiTheme="minorEastAsia" w:hAnsiTheme="minorEastAsia" w:eastAsiaTheme="minorEastAsia" w:cstheme="minorEastAsia"/>
                <w:strike w:val="0"/>
                <w:dstrike w:val="0"/>
                <w:color w:val="auto"/>
                <w:sz w:val="24"/>
                <w:szCs w:val="24"/>
                <w:highlight w:val="none"/>
              </w:rPr>
              <w:t>配送过程中</w:t>
            </w:r>
            <w:r>
              <w:rPr>
                <w:rFonts w:hint="eastAsia" w:asciiTheme="minorEastAsia" w:hAnsiTheme="minorEastAsia" w:eastAsiaTheme="minorEastAsia" w:cstheme="minorEastAsia"/>
                <w:strike w:val="0"/>
                <w:dstrike w:val="0"/>
                <w:color w:val="auto"/>
                <w:sz w:val="24"/>
                <w:szCs w:val="24"/>
                <w:highlight w:val="none"/>
                <w:lang w:val="en-US" w:eastAsia="zh-CN"/>
              </w:rPr>
              <w:t>可能</w:t>
            </w:r>
            <w:r>
              <w:rPr>
                <w:rFonts w:hint="eastAsia" w:asciiTheme="minorEastAsia" w:hAnsiTheme="minorEastAsia" w:eastAsiaTheme="minorEastAsia" w:cstheme="minorEastAsia"/>
                <w:strike w:val="0"/>
                <w:dstrike w:val="0"/>
                <w:color w:val="auto"/>
                <w:sz w:val="24"/>
                <w:szCs w:val="24"/>
                <w:highlight w:val="none"/>
              </w:rPr>
              <w:t>风险点</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如恶劣天气、自然灾害、节假日配送等</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所供货产品可能出现的缺货情况及急诊手术等情况）建立了完善合理的应急预案，保障措施有力，处置方式完备合理）；</w:t>
            </w:r>
          </w:p>
          <w:p w14:paraId="47E20F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④配送保障措施（配送保障措施内容详尽、明确、清晰，阐述细致、透彻、条理清楚、思路清晰，对项目实际情况和关键难点把握充分，保障方法合理有效、有针对性、可行性和可操作性）；</w:t>
            </w:r>
          </w:p>
          <w:p w14:paraId="7B169C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⑤包装、运输方案（包装、运输方案符合相关包装运输规范、针对不同的耗材有相应的包装运输方式、阐述详细、明确，同时符合本项目的需求）。</w:t>
            </w:r>
          </w:p>
          <w:p w14:paraId="60E2508F">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kern w:val="2"/>
                <w:sz w:val="24"/>
                <w:szCs w:val="24"/>
                <w:highlight w:val="none"/>
                <w:lang w:val="en-US" w:eastAsia="zh-CN" w:bidi="ar-SA"/>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1、各项内容完整、科学、可行、能够充分满足招标文件采购需求的得4分；</w:t>
            </w:r>
          </w:p>
          <w:p w14:paraId="68358BB3">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kern w:val="2"/>
                <w:sz w:val="24"/>
                <w:szCs w:val="24"/>
                <w:highlight w:val="none"/>
                <w:lang w:val="en-US" w:eastAsia="zh-CN" w:bidi="ar-SA"/>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2、各项内容基本满足招标文件采购需求的得2分；</w:t>
            </w:r>
          </w:p>
          <w:p w14:paraId="57D7ECE1">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kern w:val="2"/>
                <w:sz w:val="24"/>
                <w:szCs w:val="24"/>
                <w:highlight w:val="none"/>
                <w:lang w:val="en-US" w:eastAsia="zh-CN" w:bidi="ar-SA"/>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3、各项内容不完整或无法充分满足招标文件采购需求的得1分；</w:t>
            </w:r>
          </w:p>
          <w:p w14:paraId="605ECC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注：以上5项内容累计计分，未提供不得分。</w:t>
            </w:r>
          </w:p>
        </w:tc>
      </w:tr>
      <w:tr w14:paraId="4807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28" w:type="dxa"/>
            <w:vMerge w:val="continue"/>
            <w:noWrap w:val="0"/>
            <w:vAlign w:val="top"/>
          </w:tcPr>
          <w:p w14:paraId="1E1AC49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highlight w:val="none"/>
              </w:rPr>
            </w:pPr>
          </w:p>
        </w:tc>
        <w:tc>
          <w:tcPr>
            <w:tcW w:w="606" w:type="dxa"/>
            <w:vMerge w:val="continue"/>
            <w:noWrap w:val="0"/>
            <w:vAlign w:val="top"/>
          </w:tcPr>
          <w:p w14:paraId="491D872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48988B5B">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F4</w:t>
            </w:r>
            <w:r>
              <w:rPr>
                <w:rFonts w:hint="eastAsia" w:asciiTheme="minorEastAsia" w:hAnsiTheme="minorEastAsia" w:eastAsiaTheme="minorEastAsia" w:cstheme="minorEastAsia"/>
                <w:b/>
                <w:bCs/>
                <w:color w:val="auto"/>
                <w:sz w:val="24"/>
                <w:szCs w:val="24"/>
                <w:highlight w:val="none"/>
              </w:rPr>
              <w:t>质量承诺及保障措施评审</w:t>
            </w:r>
          </w:p>
          <w:p w14:paraId="4E1F6FF1">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（满分10分）</w:t>
            </w:r>
          </w:p>
        </w:tc>
        <w:tc>
          <w:tcPr>
            <w:tcW w:w="6220" w:type="dxa"/>
            <w:gridSpan w:val="3"/>
            <w:noWrap w:val="0"/>
            <w:vAlign w:val="center"/>
          </w:tcPr>
          <w:p w14:paraId="747C7A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根据投标文件中提供的项目质量承诺及保障措施进行综合评审，质量承诺及保障措施至少包括：</w:t>
            </w:r>
          </w:p>
          <w:p w14:paraId="7868C2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w:t>
            </w:r>
            <w:r>
              <w:rPr>
                <w:rFonts w:hint="eastAsia" w:asciiTheme="minorEastAsia" w:hAnsiTheme="minorEastAsia" w:eastAsiaTheme="minorEastAsia" w:cstheme="minorEastAsia"/>
                <w:strike w:val="0"/>
                <w:dstrike w:val="0"/>
                <w:color w:val="auto"/>
                <w:kern w:val="0"/>
                <w:sz w:val="24"/>
                <w:szCs w:val="24"/>
                <w:highlight w:val="none"/>
              </w:rPr>
              <w:t>产品配送</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②</w:t>
            </w:r>
            <w:r>
              <w:rPr>
                <w:rFonts w:hint="eastAsia" w:asciiTheme="minorEastAsia" w:hAnsiTheme="minorEastAsia" w:eastAsiaTheme="minorEastAsia" w:cstheme="minorEastAsia"/>
                <w:strike w:val="0"/>
                <w:dstrike w:val="0"/>
                <w:color w:val="auto"/>
                <w:kern w:val="0"/>
                <w:sz w:val="24"/>
                <w:szCs w:val="24"/>
                <w:highlight w:val="none"/>
              </w:rPr>
              <w:t>供货渠道</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③</w:t>
            </w:r>
            <w:r>
              <w:rPr>
                <w:rFonts w:hint="eastAsia" w:asciiTheme="minorEastAsia" w:hAnsiTheme="minorEastAsia" w:eastAsiaTheme="minorEastAsia" w:cstheme="minorEastAsia"/>
                <w:strike w:val="0"/>
                <w:dstrike w:val="0"/>
                <w:color w:val="auto"/>
                <w:kern w:val="0"/>
                <w:sz w:val="24"/>
                <w:szCs w:val="24"/>
                <w:highlight w:val="none"/>
              </w:rPr>
              <w:t>质量承诺及违约惩罚措施</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④</w:t>
            </w:r>
            <w:r>
              <w:rPr>
                <w:rFonts w:hint="eastAsia" w:asciiTheme="minorEastAsia" w:hAnsiTheme="minorEastAsia" w:eastAsiaTheme="minorEastAsia" w:cstheme="minorEastAsia"/>
                <w:strike w:val="0"/>
                <w:dstrike w:val="0"/>
                <w:color w:val="auto"/>
                <w:kern w:val="0"/>
                <w:sz w:val="24"/>
                <w:szCs w:val="24"/>
                <w:highlight w:val="none"/>
              </w:rPr>
              <w:t>产品质量保障措施</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⑤</w:t>
            </w:r>
            <w:r>
              <w:rPr>
                <w:rFonts w:hint="eastAsia" w:asciiTheme="minorEastAsia" w:hAnsiTheme="minorEastAsia" w:eastAsiaTheme="minorEastAsia" w:cstheme="minorEastAsia"/>
                <w:strike w:val="0"/>
                <w:dstrike w:val="0"/>
                <w:color w:val="auto"/>
                <w:kern w:val="0"/>
                <w:sz w:val="24"/>
                <w:szCs w:val="24"/>
                <w:highlight w:val="none"/>
              </w:rPr>
              <w:t>服务质量保障措施</w:t>
            </w:r>
            <w:r>
              <w:rPr>
                <w:rFonts w:hint="eastAsia" w:asciiTheme="minorEastAsia" w:hAnsiTheme="minorEastAsia" w:eastAsiaTheme="minorEastAsia" w:cstheme="minorEastAsia"/>
                <w:strike w:val="0"/>
                <w:dstrike w:val="0"/>
                <w:color w:val="auto"/>
                <w:sz w:val="24"/>
                <w:szCs w:val="24"/>
                <w:highlight w:val="none"/>
                <w:lang w:val="en-US" w:eastAsia="zh-CN"/>
              </w:rPr>
              <w:t>。</w:t>
            </w:r>
          </w:p>
          <w:p w14:paraId="12ED8B4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auto"/>
                <w:kern w:val="2"/>
                <w:sz w:val="24"/>
                <w:szCs w:val="24"/>
                <w:highlight w:val="none"/>
                <w:lang w:val="en-US" w:eastAsia="zh-CN" w:bidi="ar-SA"/>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1、各项内容完整、科学、可行、能够充分满足招标文件采购需求的得2分；</w:t>
            </w:r>
          </w:p>
          <w:p w14:paraId="2B90B91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auto"/>
                <w:kern w:val="2"/>
                <w:sz w:val="24"/>
                <w:szCs w:val="24"/>
                <w:highlight w:val="none"/>
                <w:lang w:val="en-US" w:eastAsia="zh-CN" w:bidi="ar-SA"/>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2、各项内容基本满足招标文件采购需求的得1分；</w:t>
            </w:r>
          </w:p>
          <w:p w14:paraId="4A713EF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auto"/>
                <w:kern w:val="2"/>
                <w:sz w:val="24"/>
                <w:szCs w:val="24"/>
                <w:highlight w:val="none"/>
                <w:lang w:val="en-US" w:eastAsia="zh-CN" w:bidi="ar-SA"/>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3、各项内容不完整或无法充分满足招标文件采购需求的得0.5分；</w:t>
            </w:r>
          </w:p>
          <w:p w14:paraId="46B7AA4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kern w:val="2"/>
                <w:sz w:val="24"/>
                <w:szCs w:val="24"/>
                <w:highlight w:val="none"/>
                <w:lang w:val="en-US" w:eastAsia="zh-CN" w:bidi="ar-SA"/>
              </w:rPr>
              <w:t>注：以上5项内容累计计分，未提供不得分。</w:t>
            </w:r>
          </w:p>
        </w:tc>
      </w:tr>
      <w:tr w14:paraId="128E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28" w:type="dxa"/>
            <w:vMerge w:val="continue"/>
            <w:noWrap w:val="0"/>
            <w:vAlign w:val="top"/>
          </w:tcPr>
          <w:p w14:paraId="2CAB960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7E14BE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11F27C3D">
            <w:pPr>
              <w:keepNext w:val="0"/>
              <w:keepLines w:val="0"/>
              <w:pageBreakBefore w:val="0"/>
              <w:widowControl w:val="0"/>
              <w:kinsoku/>
              <w:wordWrap/>
              <w:overflowPunct/>
              <w:topLinePunct w:val="0"/>
              <w:autoSpaceDE/>
              <w:bidi w:val="0"/>
              <w:snapToGrid/>
              <w:spacing w:line="360" w:lineRule="auto"/>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F5</w:t>
            </w:r>
            <w:r>
              <w:rPr>
                <w:rFonts w:hint="eastAsia" w:asciiTheme="minorEastAsia" w:hAnsiTheme="minorEastAsia" w:eastAsiaTheme="minorEastAsia" w:cstheme="minorEastAsia"/>
                <w:b/>
                <w:color w:val="auto"/>
                <w:sz w:val="24"/>
                <w:szCs w:val="24"/>
                <w:highlight w:val="none"/>
              </w:rPr>
              <w:t>售后服务方案评审</w:t>
            </w:r>
          </w:p>
          <w:p w14:paraId="7012F37E">
            <w:pPr>
              <w:keepNext w:val="0"/>
              <w:keepLines w:val="0"/>
              <w:pageBreakBefore w:val="0"/>
              <w:widowControl w:val="0"/>
              <w:kinsoku/>
              <w:wordWrap/>
              <w:overflowPunct/>
              <w:topLinePunct w:val="0"/>
              <w:autoSpaceDE/>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（满分10分）</w:t>
            </w:r>
          </w:p>
        </w:tc>
        <w:tc>
          <w:tcPr>
            <w:tcW w:w="6220" w:type="dxa"/>
            <w:gridSpan w:val="3"/>
            <w:noWrap w:val="0"/>
            <w:vAlign w:val="center"/>
          </w:tcPr>
          <w:p w14:paraId="3CC875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根据投标文件中提供的售后服务方案进行综合评审，</w:t>
            </w:r>
            <w:r>
              <w:rPr>
                <w:rFonts w:hint="eastAsia" w:asciiTheme="minorEastAsia" w:hAnsiTheme="minorEastAsia" w:eastAsiaTheme="minorEastAsia" w:cstheme="minorEastAsia"/>
                <w:color w:val="auto"/>
                <w:sz w:val="24"/>
                <w:szCs w:val="24"/>
                <w:highlight w:val="none"/>
              </w:rPr>
              <w:t>售后服务</w:t>
            </w:r>
            <w:r>
              <w:rPr>
                <w:rFonts w:hint="eastAsia" w:asciiTheme="minorEastAsia" w:hAnsiTheme="minorEastAsia" w:eastAsiaTheme="minorEastAsia" w:cstheme="minorEastAsia"/>
                <w:color w:val="auto"/>
                <w:sz w:val="24"/>
                <w:szCs w:val="24"/>
                <w:highlight w:val="none"/>
                <w:lang w:val="en-US" w:eastAsia="zh-CN"/>
              </w:rPr>
              <w:t>方案至少包括：</w:t>
            </w:r>
          </w:p>
          <w:p w14:paraId="64F207CB">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售后服务承诺及相应的惩罚措施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②售后</w:t>
            </w:r>
            <w:r>
              <w:rPr>
                <w:rFonts w:hint="eastAsia" w:asciiTheme="minorEastAsia" w:hAnsiTheme="minorEastAsia" w:eastAsiaTheme="minorEastAsia" w:cstheme="minorEastAsia"/>
                <w:color w:val="auto"/>
                <w:sz w:val="24"/>
                <w:szCs w:val="24"/>
                <w:highlight w:val="none"/>
              </w:rPr>
              <w:t>服务计划</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③售后服务</w:t>
            </w:r>
            <w:r>
              <w:rPr>
                <w:rFonts w:hint="eastAsia" w:asciiTheme="minorEastAsia" w:hAnsiTheme="minorEastAsia" w:eastAsiaTheme="minorEastAsia" w:cstheme="minorEastAsia"/>
                <w:color w:val="auto"/>
                <w:sz w:val="24"/>
                <w:szCs w:val="24"/>
                <w:highlight w:val="none"/>
              </w:rPr>
              <w:t>保障措施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④</w:t>
            </w:r>
            <w:r>
              <w:rPr>
                <w:rFonts w:hint="eastAsia" w:asciiTheme="minorEastAsia" w:hAnsiTheme="minorEastAsia" w:eastAsiaTheme="minorEastAsia" w:cstheme="minorEastAsia"/>
                <w:color w:val="auto"/>
                <w:sz w:val="24"/>
                <w:szCs w:val="24"/>
                <w:highlight w:val="none"/>
              </w:rPr>
              <w:t>售后应急解决方案</w:t>
            </w:r>
            <w:r>
              <w:rPr>
                <w:rFonts w:hint="eastAsia" w:asciiTheme="minorEastAsia" w:hAnsiTheme="minorEastAsia" w:eastAsiaTheme="minorEastAsia" w:cstheme="minorEastAsia"/>
                <w:color w:val="auto"/>
                <w:sz w:val="24"/>
                <w:szCs w:val="24"/>
                <w:highlight w:val="none"/>
                <w:lang w:eastAsia="zh-CN"/>
              </w:rPr>
              <w:t>；⑤</w:t>
            </w:r>
            <w:r>
              <w:rPr>
                <w:rFonts w:hint="eastAsia" w:asciiTheme="minorEastAsia" w:hAnsiTheme="minorEastAsia" w:eastAsiaTheme="minorEastAsia" w:cstheme="minorEastAsia"/>
                <w:color w:val="auto"/>
                <w:sz w:val="24"/>
                <w:szCs w:val="24"/>
                <w:highlight w:val="none"/>
                <w:lang w:val="en-US" w:eastAsia="zh-CN"/>
              </w:rPr>
              <w:t>与项目</w:t>
            </w:r>
            <w:r>
              <w:rPr>
                <w:rFonts w:hint="eastAsia" w:asciiTheme="minorEastAsia" w:hAnsiTheme="minorEastAsia" w:eastAsiaTheme="minorEastAsia" w:cstheme="minorEastAsia"/>
                <w:b w:val="0"/>
                <w:bCs w:val="0"/>
                <w:color w:val="auto"/>
                <w:sz w:val="24"/>
                <w:szCs w:val="24"/>
                <w:highlight w:val="none"/>
              </w:rPr>
              <w:t>相关</w:t>
            </w:r>
            <w:r>
              <w:rPr>
                <w:rFonts w:hint="eastAsia" w:asciiTheme="minorEastAsia" w:hAnsiTheme="minorEastAsia" w:eastAsiaTheme="minorEastAsia" w:cstheme="minorEastAsia"/>
                <w:b w:val="0"/>
                <w:bCs w:val="0"/>
                <w:color w:val="auto"/>
                <w:sz w:val="24"/>
                <w:szCs w:val="24"/>
                <w:highlight w:val="none"/>
                <w:lang w:val="en-US" w:eastAsia="zh-CN"/>
              </w:rPr>
              <w:t>的</w:t>
            </w:r>
            <w:r>
              <w:rPr>
                <w:rFonts w:hint="eastAsia" w:asciiTheme="minorEastAsia" w:hAnsiTheme="minorEastAsia" w:eastAsiaTheme="minorEastAsia" w:cstheme="minorEastAsia"/>
                <w:b w:val="0"/>
                <w:bCs w:val="0"/>
                <w:color w:val="auto"/>
                <w:sz w:val="24"/>
                <w:szCs w:val="24"/>
                <w:highlight w:val="none"/>
              </w:rPr>
              <w:t>伴随服务</w:t>
            </w:r>
            <w:r>
              <w:rPr>
                <w:rFonts w:hint="eastAsia" w:asciiTheme="minorEastAsia" w:hAnsiTheme="minorEastAsia" w:eastAsiaTheme="minorEastAsia" w:cstheme="minorEastAsia"/>
                <w:color w:val="auto"/>
                <w:sz w:val="24"/>
                <w:szCs w:val="24"/>
                <w:highlight w:val="none"/>
                <w:lang w:eastAsia="zh-CN"/>
              </w:rPr>
              <w:t>。</w:t>
            </w:r>
          </w:p>
          <w:p w14:paraId="1EF5EC17">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1、各项内容完整、科学、可行、能够充分满足招标文件采购需求的得2分；</w:t>
            </w:r>
          </w:p>
          <w:p w14:paraId="7DC47AB4">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2、各项内容基本满足招标文件采购需求的得1分；</w:t>
            </w:r>
          </w:p>
          <w:p w14:paraId="1CCE3962">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3、各项内容不完整或无法充分满足招标文件采购需求的得0.5分；</w:t>
            </w:r>
          </w:p>
          <w:p w14:paraId="4601F1CD">
            <w:pPr>
              <w:keepNext w:val="0"/>
              <w:keepLines w:val="0"/>
              <w:pageBreakBefore w:val="0"/>
              <w:numPr>
                <w:ilvl w:val="0"/>
                <w:numId w:val="0"/>
              </w:numPr>
              <w:kinsoku/>
              <w:wordWrap/>
              <w:overflowPunct/>
              <w:topLinePunct w:val="0"/>
              <w:bidi w:val="0"/>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注：以上5项内容累计计分，未提供不得分。</w:t>
            </w:r>
          </w:p>
        </w:tc>
      </w:tr>
      <w:tr w14:paraId="2640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28" w:type="dxa"/>
            <w:vMerge w:val="continue"/>
            <w:noWrap w:val="0"/>
            <w:vAlign w:val="top"/>
          </w:tcPr>
          <w:p w14:paraId="501F4CF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724AF93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237B2DB2">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F6</w:t>
            </w:r>
            <w:r>
              <w:rPr>
                <w:rFonts w:hint="eastAsia" w:asciiTheme="minorEastAsia" w:hAnsiTheme="minorEastAsia" w:eastAsiaTheme="minorEastAsia" w:cstheme="minorEastAsia"/>
                <w:b/>
                <w:bCs/>
                <w:color w:val="auto"/>
                <w:sz w:val="24"/>
                <w:szCs w:val="24"/>
                <w:highlight w:val="none"/>
              </w:rPr>
              <w:t>仓储能力</w:t>
            </w:r>
            <w:r>
              <w:rPr>
                <w:rFonts w:hint="eastAsia" w:asciiTheme="minorEastAsia" w:hAnsiTheme="minorEastAsia" w:eastAsiaTheme="minorEastAsia" w:cstheme="minorEastAsia"/>
                <w:b/>
                <w:bCs/>
                <w:color w:val="auto"/>
                <w:sz w:val="24"/>
                <w:szCs w:val="24"/>
                <w:highlight w:val="none"/>
                <w:lang w:val="en-US" w:eastAsia="zh-CN"/>
              </w:rPr>
              <w:t>评审</w:t>
            </w:r>
          </w:p>
          <w:p w14:paraId="675AF148">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（满分5分）</w:t>
            </w:r>
          </w:p>
        </w:tc>
        <w:tc>
          <w:tcPr>
            <w:tcW w:w="6220" w:type="dxa"/>
            <w:gridSpan w:val="3"/>
            <w:noWrap w:val="0"/>
            <w:vAlign w:val="center"/>
          </w:tcPr>
          <w:p w14:paraId="3DF504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根据投标文件中提供的仓储能力进行综合评审，仓储能力至少包括：</w:t>
            </w:r>
          </w:p>
          <w:p w14:paraId="6D3E4787">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固定的仓储场地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提供了相应证明材料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如房产证或租房合同、仓储</w:t>
            </w:r>
            <w:r>
              <w:rPr>
                <w:rFonts w:hint="eastAsia" w:asciiTheme="minorEastAsia" w:hAnsiTheme="minorEastAsia" w:eastAsiaTheme="minorEastAsia" w:cstheme="minorEastAsia"/>
                <w:color w:val="auto"/>
                <w:sz w:val="24"/>
                <w:szCs w:val="24"/>
                <w:highlight w:val="none"/>
              </w:rPr>
              <w:t>场地</w:t>
            </w:r>
            <w:r>
              <w:rPr>
                <w:rFonts w:hint="eastAsia" w:asciiTheme="minorEastAsia" w:hAnsiTheme="minorEastAsia" w:eastAsiaTheme="minorEastAsia" w:cstheme="minorEastAsia"/>
                <w:color w:val="auto"/>
                <w:sz w:val="24"/>
                <w:szCs w:val="24"/>
                <w:highlight w:val="none"/>
                <w:lang w:val="en-US" w:eastAsia="zh-CN"/>
              </w:rPr>
              <w:t>图片等</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rPr>
              <w:t>仓储管理制度</w:t>
            </w:r>
            <w:r>
              <w:rPr>
                <w:rFonts w:hint="eastAsia" w:asciiTheme="minorEastAsia" w:hAnsiTheme="minorEastAsia" w:eastAsiaTheme="minorEastAsia" w:cstheme="minorEastAsia"/>
                <w:color w:val="auto"/>
                <w:sz w:val="24"/>
                <w:szCs w:val="24"/>
                <w:highlight w:val="none"/>
                <w:lang w:eastAsia="zh-CN"/>
              </w:rPr>
              <w:t>。</w:t>
            </w:r>
          </w:p>
          <w:p w14:paraId="0A50E4CC">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1、各项内容完整、科学、可行、能够充分满足招标文件采购需求的得2.5分；</w:t>
            </w:r>
          </w:p>
          <w:p w14:paraId="0341880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2、各项内容基本满足招标文件采购需求的得1.5分；</w:t>
            </w:r>
          </w:p>
          <w:p w14:paraId="7BB1E15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3、各项内容不完整或无法充分满足招标文件采购需求的得0.5分；</w:t>
            </w:r>
          </w:p>
          <w:p w14:paraId="7B12CB2A">
            <w:pPr>
              <w:keepNext w:val="0"/>
              <w:keepLines w:val="0"/>
              <w:pageBreakBefore w:val="0"/>
              <w:widowControl/>
              <w:kinsoku/>
              <w:wordWrap/>
              <w:overflowPunct/>
              <w:topLinePunct w:val="0"/>
              <w:bidi w:val="0"/>
              <w:snapToGrid/>
              <w:spacing w:line="36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注：以上2项内容累计计分，未提供不得分。</w:t>
            </w:r>
          </w:p>
        </w:tc>
      </w:tr>
      <w:tr w14:paraId="7D77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28" w:type="dxa"/>
            <w:vMerge w:val="continue"/>
            <w:noWrap w:val="0"/>
            <w:vAlign w:val="top"/>
          </w:tcPr>
          <w:p w14:paraId="431B10E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940BF9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2EFD24E5">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F7</w:t>
            </w:r>
            <w:r>
              <w:rPr>
                <w:rFonts w:hint="eastAsia" w:asciiTheme="minorEastAsia" w:hAnsiTheme="minorEastAsia" w:eastAsiaTheme="minorEastAsia" w:cstheme="minorEastAsia"/>
                <w:b/>
                <w:bCs/>
                <w:color w:val="auto"/>
                <w:sz w:val="24"/>
                <w:szCs w:val="24"/>
                <w:highlight w:val="none"/>
              </w:rPr>
              <w:t>配送设施设备</w:t>
            </w:r>
            <w:r>
              <w:rPr>
                <w:rFonts w:hint="eastAsia" w:asciiTheme="minorEastAsia" w:hAnsiTheme="minorEastAsia" w:eastAsiaTheme="minorEastAsia" w:cstheme="minorEastAsia"/>
                <w:b/>
                <w:bCs/>
                <w:color w:val="auto"/>
                <w:sz w:val="24"/>
                <w:szCs w:val="24"/>
                <w:highlight w:val="none"/>
                <w:lang w:val="en-US" w:eastAsia="zh-CN"/>
              </w:rPr>
              <w:t>评审</w:t>
            </w:r>
          </w:p>
          <w:p w14:paraId="0B2D4345">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分）</w:t>
            </w:r>
          </w:p>
        </w:tc>
        <w:tc>
          <w:tcPr>
            <w:tcW w:w="6220" w:type="dxa"/>
            <w:gridSpan w:val="3"/>
            <w:noWrap w:val="0"/>
            <w:vAlign w:val="center"/>
          </w:tcPr>
          <w:p w14:paraId="41D97E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结合项目采购需求，拟配备的配送设施设备搭配合理</w:t>
            </w:r>
            <w:r>
              <w:rPr>
                <w:rFonts w:hint="eastAsia" w:asciiTheme="minorEastAsia" w:hAnsiTheme="minorEastAsia" w:eastAsiaTheme="minorEastAsia" w:cstheme="minorEastAsia"/>
                <w:b w:val="0"/>
                <w:bCs w:val="0"/>
                <w:color w:val="auto"/>
                <w:sz w:val="24"/>
                <w:szCs w:val="24"/>
                <w:highlight w:val="none"/>
              </w:rPr>
              <w:t>，配送车辆，提供了车辆行驶证，并提供图片或设备合同等证明材料</w:t>
            </w:r>
            <w:r>
              <w:rPr>
                <w:rFonts w:hint="eastAsia" w:asciiTheme="minorEastAsia" w:hAnsiTheme="minorEastAsia" w:eastAsiaTheme="minorEastAsia" w:cstheme="minorEastAsia"/>
                <w:color w:val="auto"/>
                <w:sz w:val="24"/>
                <w:szCs w:val="24"/>
                <w:highlight w:val="none"/>
                <w:lang w:val="en-US" w:eastAsia="zh-CN"/>
              </w:rPr>
              <w:t>等条件有完整的证明资料，设施设备完全能满足配送服务需要的，得满分5分。</w:t>
            </w:r>
          </w:p>
          <w:p w14:paraId="321B2B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配送设施设备有1项目不满足条件的，扣1分，分数扣完为止。</w:t>
            </w:r>
          </w:p>
        </w:tc>
      </w:tr>
      <w:tr w14:paraId="6296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828" w:type="dxa"/>
            <w:vMerge w:val="continue"/>
            <w:noWrap w:val="0"/>
            <w:vAlign w:val="top"/>
          </w:tcPr>
          <w:p w14:paraId="0E72470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186846E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1A5A442E">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F8</w:t>
            </w:r>
            <w:r>
              <w:rPr>
                <w:rFonts w:hint="eastAsia" w:asciiTheme="minorEastAsia" w:hAnsiTheme="minorEastAsia" w:eastAsiaTheme="minorEastAsia" w:cstheme="minorEastAsia"/>
                <w:b/>
                <w:bCs/>
                <w:color w:val="auto"/>
                <w:sz w:val="24"/>
                <w:szCs w:val="24"/>
                <w:highlight w:val="none"/>
              </w:rPr>
              <w:t>人员配备评审</w:t>
            </w:r>
          </w:p>
          <w:p w14:paraId="6B871919">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（满分5分）</w:t>
            </w:r>
          </w:p>
        </w:tc>
        <w:tc>
          <w:tcPr>
            <w:tcW w:w="6220" w:type="dxa"/>
            <w:gridSpan w:val="3"/>
            <w:noWrap w:val="0"/>
            <w:vAlign w:val="center"/>
          </w:tcPr>
          <w:p w14:paraId="0B4D41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根据投标文件中提供的人员配备进行综合评审，人员配备案至少包括：</w:t>
            </w:r>
          </w:p>
          <w:p w14:paraId="6A69453F">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①</w:t>
            </w:r>
            <w:r>
              <w:rPr>
                <w:rFonts w:hint="eastAsia" w:asciiTheme="minorEastAsia" w:hAnsiTheme="minorEastAsia" w:eastAsiaTheme="minorEastAsia" w:cstheme="minorEastAsia"/>
                <w:b w:val="0"/>
                <w:bCs w:val="0"/>
                <w:strike w:val="0"/>
                <w:dstrike w:val="0"/>
                <w:color w:val="000000" w:themeColor="text1"/>
                <w:sz w:val="24"/>
                <w:szCs w:val="24"/>
                <w:highlight w:val="none"/>
                <w14:textFill>
                  <w14:solidFill>
                    <w14:schemeClr w14:val="tx1"/>
                  </w14:solidFill>
                </w14:textFill>
              </w:rPr>
              <w:t>项目</w:t>
            </w:r>
            <w:r>
              <w:rPr>
                <w:rFonts w:hint="eastAsia" w:asciiTheme="minorEastAsia" w:hAnsiTheme="minorEastAsia" w:eastAsiaTheme="minorEastAsia" w:cstheme="minorEastAsia"/>
                <w:b w:val="0"/>
                <w:bCs w:val="0"/>
                <w:strike w:val="0"/>
                <w:dstrike w:val="0"/>
                <w:color w:val="000000" w:themeColor="text1"/>
                <w:sz w:val="24"/>
                <w:szCs w:val="24"/>
                <w:highlight w:val="none"/>
                <w:lang w:val="en-US" w:eastAsia="zh-CN"/>
                <w14:textFill>
                  <w14:solidFill>
                    <w14:schemeClr w14:val="tx1"/>
                  </w14:solidFill>
                </w14:textFill>
              </w:rPr>
              <w:t>机构管理体系</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②项目团队人员配置（</w:t>
            </w:r>
            <w:r>
              <w:rPr>
                <w:rFonts w:hint="eastAsia" w:asciiTheme="minorEastAsia" w:hAnsiTheme="minorEastAsia" w:eastAsiaTheme="minorEastAsia" w:cstheme="minorEastAsia"/>
                <w:b w:val="0"/>
                <w:bCs w:val="0"/>
                <w:strike w:val="0"/>
                <w:dstrike w:val="0"/>
                <w:color w:val="000000" w:themeColor="text1"/>
                <w:sz w:val="24"/>
                <w:szCs w:val="24"/>
                <w:highlight w:val="none"/>
                <w14:textFill>
                  <w14:solidFill>
                    <w14:schemeClr w14:val="tx1"/>
                  </w14:solidFill>
                </w14:textFill>
              </w:rPr>
              <w:t>职能配置明确、分工及管理人员配备</w:t>
            </w:r>
            <w:r>
              <w:rPr>
                <w:rFonts w:hint="eastAsia" w:asciiTheme="minorEastAsia" w:hAnsiTheme="minorEastAsia" w:eastAsiaTheme="minorEastAsia" w:cstheme="minorEastAsia"/>
                <w:b w:val="0"/>
                <w:bCs w:val="0"/>
                <w:strike w:val="0"/>
                <w:dstrike w:val="0"/>
                <w:color w:val="000000" w:themeColor="text1"/>
                <w:sz w:val="24"/>
                <w:szCs w:val="24"/>
                <w:highlight w:val="none"/>
                <w:lang w:val="en-US" w:eastAsia="zh-CN"/>
                <w14:textFill>
                  <w14:solidFill>
                    <w14:schemeClr w14:val="tx1"/>
                  </w14:solidFill>
                </w14:textFill>
              </w:rPr>
              <w:t>合理</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③</w:t>
            </w:r>
            <w:r>
              <w:rPr>
                <w:rFonts w:hint="eastAsia" w:asciiTheme="minorEastAsia" w:hAnsiTheme="minorEastAsia" w:eastAsiaTheme="minorEastAsia" w:cstheme="minorEastAsia"/>
                <w:b w:val="0"/>
                <w:bCs w:val="0"/>
                <w:strike w:val="0"/>
                <w:dstrike w:val="0"/>
                <w:color w:val="000000" w:themeColor="text1"/>
                <w:sz w:val="24"/>
                <w:szCs w:val="24"/>
                <w:highlight w:val="none"/>
                <w14:textFill>
                  <w14:solidFill>
                    <w14:schemeClr w14:val="tx1"/>
                  </w14:solidFill>
                </w14:textFill>
              </w:rPr>
              <w:t>岗位职责</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④工作机制能有效运行</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；⑤</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人员管理制度</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p>
          <w:p w14:paraId="75D5B8D8">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1、各项内容完整、科学、可行、能够充分满足招标文件采购需求的得1分；</w:t>
            </w:r>
          </w:p>
          <w:p w14:paraId="644A5FB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2、各项内容基本满足招标文件采购需求的得0.6分；</w:t>
            </w:r>
          </w:p>
          <w:p w14:paraId="4AB15DF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3、各项内容不完整或无法充分满足招标文件采购需求的得0.2分；</w:t>
            </w:r>
          </w:p>
          <w:p w14:paraId="4FDF04F0">
            <w:pPr>
              <w:keepNext w:val="0"/>
              <w:keepLines w:val="0"/>
              <w:pageBreakBefore w:val="0"/>
              <w:widowControl/>
              <w:kinsoku/>
              <w:wordWrap/>
              <w:overflowPunct/>
              <w:topLinePunct w:val="0"/>
              <w:bidi w:val="0"/>
              <w:snapToGrid/>
              <w:spacing w:line="360" w:lineRule="auto"/>
              <w:jc w:val="left"/>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注：以上5项内容累计计分，未提供不得分。</w:t>
            </w:r>
          </w:p>
        </w:tc>
      </w:tr>
      <w:tr w14:paraId="5E73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28" w:type="dxa"/>
            <w:vMerge w:val="continue"/>
            <w:noWrap w:val="0"/>
            <w:vAlign w:val="top"/>
          </w:tcPr>
          <w:p w14:paraId="397F8B6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606" w:type="dxa"/>
            <w:vMerge w:val="continue"/>
            <w:noWrap w:val="0"/>
            <w:vAlign w:val="top"/>
          </w:tcPr>
          <w:p w14:paraId="4FB4D3D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1883" w:type="dxa"/>
            <w:noWrap w:val="0"/>
            <w:vAlign w:val="center"/>
          </w:tcPr>
          <w:p w14:paraId="513B9BE2">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F9</w:t>
            </w:r>
            <w:r>
              <w:rPr>
                <w:rFonts w:hint="eastAsia" w:asciiTheme="minorEastAsia" w:hAnsiTheme="minorEastAsia" w:eastAsiaTheme="minorEastAsia" w:cstheme="minorEastAsia"/>
                <w:b/>
                <w:bCs/>
                <w:color w:val="auto"/>
                <w:kern w:val="0"/>
                <w:sz w:val="24"/>
                <w:szCs w:val="24"/>
                <w:highlight w:val="none"/>
              </w:rPr>
              <w:t>供货方案及时间进度计划安排评审</w:t>
            </w:r>
          </w:p>
          <w:p w14:paraId="1412F4C4">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(满分</w:t>
            </w:r>
            <w:r>
              <w:rPr>
                <w:rFonts w:hint="eastAsia" w:asciiTheme="minorEastAsia" w:hAnsiTheme="minorEastAsia" w:eastAsiaTheme="minorEastAsia" w:cstheme="minorEastAsia"/>
                <w:b/>
                <w:bCs/>
                <w:color w:val="auto"/>
                <w:kern w:val="0"/>
                <w:sz w:val="24"/>
                <w:szCs w:val="24"/>
                <w:highlight w:val="none"/>
                <w:lang w:val="en-US" w:eastAsia="zh-CN"/>
              </w:rPr>
              <w:t>5</w:t>
            </w:r>
            <w:r>
              <w:rPr>
                <w:rFonts w:hint="eastAsia" w:asciiTheme="minorEastAsia" w:hAnsiTheme="minorEastAsia" w:eastAsiaTheme="minorEastAsia" w:cstheme="minorEastAsia"/>
                <w:b/>
                <w:bCs/>
                <w:color w:val="auto"/>
                <w:kern w:val="0"/>
                <w:sz w:val="24"/>
                <w:szCs w:val="24"/>
                <w:highlight w:val="none"/>
              </w:rPr>
              <w:t>分)</w:t>
            </w:r>
          </w:p>
        </w:tc>
        <w:tc>
          <w:tcPr>
            <w:tcW w:w="6220" w:type="dxa"/>
            <w:gridSpan w:val="3"/>
            <w:noWrap w:val="0"/>
            <w:vAlign w:val="center"/>
          </w:tcPr>
          <w:p w14:paraId="5788FC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根据投标文件中提供的供货方案及时间进度计划安排进行综合评审，供货方案及时间进度计划安排至少包括：</w:t>
            </w:r>
          </w:p>
          <w:p w14:paraId="29544A30">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①供货方式</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②</w:t>
            </w:r>
            <w:r>
              <w:rPr>
                <w:rFonts w:hint="eastAsia" w:asciiTheme="minorEastAsia" w:hAnsiTheme="minorEastAsia" w:eastAsiaTheme="minorEastAsia" w:cstheme="minorEastAsia"/>
                <w:strike w:val="0"/>
                <w:dstrike w:val="0"/>
                <w:color w:val="000000" w:themeColor="text1"/>
                <w:sz w:val="24"/>
                <w:szCs w:val="24"/>
                <w:highlight w:val="none"/>
                <w14:textFill>
                  <w14:solidFill>
                    <w14:schemeClr w14:val="tx1"/>
                  </w14:solidFill>
                </w14:textFill>
              </w:rPr>
              <w:t>进度计划</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③供货保证措施</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④</w:t>
            </w:r>
            <w:r>
              <w:rPr>
                <w:rFonts w:hint="eastAsia" w:asciiTheme="minorEastAsia" w:hAnsiTheme="minorEastAsia" w:eastAsiaTheme="minorEastAsia" w:cstheme="minorEastAsia"/>
                <w:strike w:val="0"/>
                <w:dstrike w:val="0"/>
                <w:color w:val="000000" w:themeColor="text1"/>
                <w:sz w:val="24"/>
                <w:szCs w:val="24"/>
                <w:highlight w:val="none"/>
                <w14:textFill>
                  <w14:solidFill>
                    <w14:schemeClr w14:val="tx1"/>
                  </w14:solidFill>
                </w14:textFill>
              </w:rPr>
              <w:t>交货安排</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；⑤</w:t>
            </w: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应急预案</w:t>
            </w:r>
            <w:r>
              <w:rPr>
                <w:rFonts w:hint="eastAsia" w:asciiTheme="minorEastAsia" w:hAnsiTheme="minorEastAsia" w:eastAsiaTheme="minorEastAsia" w:cstheme="minorEastAsia"/>
                <w:strike w:val="0"/>
                <w:dstrike w:val="0"/>
                <w:color w:val="000000" w:themeColor="text1"/>
                <w:sz w:val="24"/>
                <w:szCs w:val="24"/>
                <w:highlight w:val="none"/>
                <w:lang w:eastAsia="zh-CN"/>
                <w14:textFill>
                  <w14:solidFill>
                    <w14:schemeClr w14:val="tx1"/>
                  </w14:solidFill>
                </w14:textFill>
              </w:rPr>
              <w:t>。</w:t>
            </w:r>
          </w:p>
          <w:p w14:paraId="325A9968">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1、各项内容完整、科学、可行、能够充分满足招标文件采购需求的得1分；</w:t>
            </w:r>
          </w:p>
          <w:p w14:paraId="75538C7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2、各项内容基本满足招标文件采购需求的得0.6分；</w:t>
            </w:r>
          </w:p>
          <w:p w14:paraId="12C6B96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3、各项内容不完整或无法充分满足招标文件采购需求的得0.2分；</w:t>
            </w:r>
          </w:p>
          <w:p w14:paraId="0D5175DD">
            <w:pPr>
              <w:keepNext w:val="0"/>
              <w:keepLines w:val="0"/>
              <w:pageBreakBefore w:val="0"/>
              <w:widowControl/>
              <w:kinsoku/>
              <w:wordWrap/>
              <w:overflowPunct/>
              <w:topLinePunct w:val="0"/>
              <w:bidi w:val="0"/>
              <w:snapToGrid/>
              <w:spacing w:line="360" w:lineRule="auto"/>
              <w:jc w:val="left"/>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kern w:val="2"/>
                <w:sz w:val="24"/>
                <w:szCs w:val="24"/>
                <w:highlight w:val="none"/>
                <w:lang w:val="en-US" w:eastAsia="zh-CN" w:bidi="ar-SA"/>
                <w14:textFill>
                  <w14:solidFill>
                    <w14:schemeClr w14:val="tx1"/>
                  </w14:solidFill>
                </w14:textFill>
              </w:rPr>
              <w:t>注：以上5项内容累计计分，未提供不得分。</w:t>
            </w:r>
          </w:p>
        </w:tc>
      </w:tr>
    </w:tbl>
    <w:p w14:paraId="3C0D6EA1">
      <w:pPr>
        <w:keepNext w:val="0"/>
        <w:keepLines w:val="0"/>
        <w:pageBreakBefore w:val="0"/>
        <w:widowControl w:val="0"/>
        <w:shd w:val="clear" w:color="auto" w:fill="auto"/>
        <w:kinsoku/>
        <w:wordWrap/>
        <w:overflowPunct/>
        <w:topLinePunct w:val="0"/>
        <w:autoSpaceDE/>
        <w:autoSpaceDN/>
        <w:bidi w:val="0"/>
        <w:adjustRightInd/>
        <w:snapToGrid/>
        <w:spacing w:line="520" w:lineRule="exact"/>
        <w:jc w:val="left"/>
        <w:textAlignment w:val="auto"/>
        <w:rPr>
          <w:rFonts w:hint="eastAsia" w:asciiTheme="minorEastAsia" w:hAnsiTheme="minorEastAsia" w:eastAsiaTheme="minorEastAsia" w:cstheme="minorEastAsia"/>
          <w:color w:val="auto"/>
          <w:sz w:val="22"/>
          <w:szCs w:val="28"/>
          <w:highlight w:val="none"/>
        </w:rPr>
      </w:pPr>
      <w:r>
        <w:rPr>
          <w:rFonts w:hint="eastAsia" w:asciiTheme="minorEastAsia" w:hAnsiTheme="minorEastAsia" w:eastAsiaTheme="minorEastAsia" w:cstheme="minorEastAsia"/>
          <w:b/>
          <w:bCs/>
          <w:color w:val="auto"/>
          <w:sz w:val="28"/>
          <w:szCs w:val="28"/>
          <w:highlight w:val="none"/>
        </w:rPr>
        <w:t>1.评标方法</w:t>
      </w:r>
    </w:p>
    <w:p w14:paraId="2848AFD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本次评标采用综合评分法。</w:t>
      </w:r>
      <w:r>
        <w:rPr>
          <w:rFonts w:hint="eastAsia" w:asciiTheme="minorEastAsia" w:hAnsiTheme="minorEastAsia" w:eastAsiaTheme="minorEastAsia" w:cstheme="minorEastAsia"/>
          <w:b w:val="0"/>
          <w:bCs w:val="0"/>
          <w:color w:val="auto"/>
          <w:sz w:val="24"/>
          <w:szCs w:val="24"/>
          <w:highlight w:val="none"/>
        </w:rPr>
        <w:t>评标委员会对满足招标文件初步评审要求的投标文件，按照本章前附表规定的评分标准进行打分，并按下列评标总得分计算公式计算评标总得分：按</w:t>
      </w:r>
      <w:r>
        <w:rPr>
          <w:rFonts w:hint="eastAsia" w:asciiTheme="minorEastAsia" w:hAnsiTheme="minorEastAsia" w:eastAsiaTheme="minorEastAsia" w:cstheme="minorEastAsia"/>
          <w:b w:val="0"/>
          <w:bCs w:val="0"/>
          <w:color w:val="auto"/>
          <w:sz w:val="24"/>
          <w:szCs w:val="24"/>
          <w:highlight w:val="none"/>
          <w:lang w:val="en-US" w:eastAsia="zh-CN"/>
        </w:rPr>
        <w:t>评审得分</w:t>
      </w:r>
      <w:r>
        <w:rPr>
          <w:rFonts w:hint="eastAsia" w:asciiTheme="minorEastAsia" w:hAnsiTheme="minorEastAsia" w:eastAsiaTheme="minorEastAsia" w:cstheme="minorEastAsia"/>
          <w:b w:val="0"/>
          <w:bCs w:val="0"/>
          <w:color w:val="auto"/>
          <w:sz w:val="24"/>
          <w:szCs w:val="24"/>
          <w:highlight w:val="none"/>
        </w:rPr>
        <w:t>由高到低的顺序推荐中标候选人排序，评审得分相同的，按照</w:t>
      </w: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rPr>
        <w:t>投标报价（符合相关价格扣除政策的以扣除前的报价为准）由低到高进行排序；评审得分且最后报价都相同的，</w:t>
      </w:r>
      <w:r>
        <w:rPr>
          <w:rFonts w:hint="eastAsia" w:asciiTheme="minorEastAsia" w:hAnsiTheme="minorEastAsia" w:eastAsiaTheme="minorEastAsia" w:cstheme="minorEastAsia"/>
          <w:b w:val="0"/>
          <w:bCs w:val="0"/>
          <w:color w:val="auto"/>
          <w:sz w:val="24"/>
          <w:szCs w:val="24"/>
          <w:highlight w:val="none"/>
          <w:lang w:val="en-US" w:eastAsia="zh-CN"/>
        </w:rPr>
        <w:t>提供节能产品、环境标志产品的供应商排序在前</w:t>
      </w:r>
      <w:r>
        <w:rPr>
          <w:rFonts w:hint="eastAsia" w:asciiTheme="minorEastAsia" w:hAnsiTheme="minorEastAsia" w:eastAsiaTheme="minorEastAsia" w:cstheme="minorEastAsia"/>
          <w:b w:val="0"/>
          <w:bCs w:val="0"/>
          <w:color w:val="auto"/>
          <w:sz w:val="24"/>
          <w:szCs w:val="24"/>
          <w:highlight w:val="none"/>
        </w:rPr>
        <w:t>；出现其他情形的，由评标委员会投票，得票多者排序在前。</w:t>
      </w:r>
    </w:p>
    <w:p w14:paraId="4BE298D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1.1.提供相同品牌产品的不同供应商的推荐方式</w:t>
      </w:r>
    </w:p>
    <w:p w14:paraId="6A229A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p w14:paraId="6AF906F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1.2.节能产品、环境标志产品认定</w:t>
      </w:r>
    </w:p>
    <w:p w14:paraId="03B1B69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对列入财政部、发展改革委、生态环境部等部门发布的节能设备政府采购品目清单、环境标志设备政府采购品目清单，且取得市场监督管理总局等认证机构出具的、处于有效期之内的节能设备、环境标志设备认证证书的设备，实施政府优先采购或强制采购。若供应商所供设备属于上述清单内产品的，须在投标文件格式部分投标分项报价表“备注”中注明，并提供相应的认证证书，否则不予认可。</w:t>
      </w:r>
    </w:p>
    <w:p w14:paraId="7B995E9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（2）节能产品政府采购品目清单、环境标志产品政府采购品目清单可通过中国政府采购网（http://www.ccgp.gov.cn/）查阅。</w:t>
      </w:r>
    </w:p>
    <w:p w14:paraId="24255060">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2.评审标准</w:t>
      </w:r>
    </w:p>
    <w:p w14:paraId="5CCA93E3">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2.1初步评审标准</w:t>
      </w:r>
    </w:p>
    <w:p w14:paraId="073AC7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2.1.1资格评审标准：依据法律法规和招标文件的规定，对投标文件中的资格证明文件、投标保证金等进行审查，见评标方法前附表。</w:t>
      </w:r>
    </w:p>
    <w:p w14:paraId="20099D0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2.1.2符合性评审标准：依据招标文件的规定，从投标文件的有效性、完整性和对招标文件的响应程度进行审查，见评标方法前附表。</w:t>
      </w:r>
    </w:p>
    <w:p w14:paraId="1AF19986">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2.2分值构成与评分标准</w:t>
      </w:r>
    </w:p>
    <w:p w14:paraId="5BCB4D0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2.2.1分值构成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7435B25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2.2.2评分标准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72794857">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3.评标程序</w:t>
      </w:r>
    </w:p>
    <w:p w14:paraId="48A007FF">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3.1初步评审</w:t>
      </w:r>
    </w:p>
    <w:p w14:paraId="59AA609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3.1.1评标委员会依据本章第2.1.1项、第2.1.2项规定的标准对投标文件进行初步评审。有一项不符合评审标准的，该投标文件按无效投标处理。</w:t>
      </w:r>
    </w:p>
    <w:p w14:paraId="42C6AFB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3.1.2投标文件如果出现计算或表达上的错误，修正错误的原则如下：</w:t>
      </w:r>
    </w:p>
    <w:p w14:paraId="08A6E7C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1）开标时，投标文件中开标一览表内容与投标文件中明细表内容不一致的，以开标一览表为准。</w:t>
      </w:r>
    </w:p>
    <w:p w14:paraId="5F5A244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2）投标文件的大写金额和小写金额不一致的，以大写金额为准；</w:t>
      </w:r>
    </w:p>
    <w:p w14:paraId="5B30F24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3）总价金额与按单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汇总金额不一致的，以单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金额计算结果为准；</w:t>
      </w:r>
    </w:p>
    <w:p w14:paraId="345ACEE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金额小数点有明显错位的，应以总价为准，并修改单</w:t>
      </w:r>
      <w:r>
        <w:rPr>
          <w:rFonts w:hint="eastAsia" w:asciiTheme="minorEastAsia" w:hAnsiTheme="minorEastAsia" w:eastAsiaTheme="minorEastAsia" w:cstheme="minorEastAsia"/>
          <w:color w:val="auto"/>
          <w:sz w:val="24"/>
          <w:szCs w:val="24"/>
          <w:highlight w:val="none"/>
          <w:lang w:val="en-US" w:eastAsia="zh-CN"/>
        </w:rPr>
        <w:t>项价格</w:t>
      </w:r>
      <w:r>
        <w:rPr>
          <w:rFonts w:hint="eastAsia" w:asciiTheme="minorEastAsia" w:hAnsiTheme="minorEastAsia" w:eastAsiaTheme="minorEastAsia" w:cstheme="minorEastAsia"/>
          <w:color w:val="auto"/>
          <w:sz w:val="24"/>
          <w:szCs w:val="24"/>
          <w:highlight w:val="none"/>
        </w:rPr>
        <w:t>；</w:t>
      </w:r>
    </w:p>
    <w:p w14:paraId="2A40B20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5）对不同文字文本投标文件的解释发生异议的，以中文文本为准。</w:t>
      </w:r>
    </w:p>
    <w:p w14:paraId="1CD1443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6）按上述修正错误的原则及方法调整或修正投标文件的投标报价，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同意后，调整后的投标报价对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起约束作用。如果</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不接受修正后的报价，视为未实质性响应招标文件要求。</w:t>
      </w:r>
    </w:p>
    <w:p w14:paraId="4FE3B9E4">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3.2详细评审</w:t>
      </w:r>
    </w:p>
    <w:p w14:paraId="0E0E07C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3.2.1评标委员会按本章第2款规定的量化因素和分值进行打分，并计算出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的评标总得分。对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的客观评分项的评分应当一致，对其他需要借助专业知识评判的主观评分项，应当严格按照评分细则公正评分。</w:t>
      </w:r>
    </w:p>
    <w:p w14:paraId="2B59660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w:t>
      </w:r>
      <w:r>
        <w:rPr>
          <w:rFonts w:hint="eastAsia" w:asciiTheme="minorEastAsia" w:hAnsiTheme="minorEastAsia" w:eastAsiaTheme="minorEastAsia" w:cstheme="minorEastAsia"/>
          <w:color w:val="auto"/>
          <w:sz w:val="24"/>
          <w:szCs w:val="24"/>
          <w:highlight w:val="none"/>
          <w:lang w:val="en-US" w:eastAsia="zh-CN"/>
        </w:rPr>
        <w:t>详细评审部分</w:t>
      </w:r>
      <w:r>
        <w:rPr>
          <w:rFonts w:hint="eastAsia" w:asciiTheme="minorEastAsia" w:hAnsiTheme="minorEastAsia" w:eastAsiaTheme="minorEastAsia" w:cstheme="minorEastAsia"/>
          <w:color w:val="auto"/>
          <w:sz w:val="24"/>
          <w:szCs w:val="24"/>
          <w:highlight w:val="none"/>
        </w:rPr>
        <w:t>得分由评标委员会成员独立评分，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各项评分因素得分为该项因素各评委评分的算术平均值（保留小数点后两位），小数点后第三位“四舍五入”。</w:t>
      </w:r>
    </w:p>
    <w:p w14:paraId="06277CC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3.2.3评标委员会成员要依法独立评审，并对评审意见承担个人责任。评标委员会成员对需要共同认定的事项存在争议的，按照少数服从多数的原则</w:t>
      </w:r>
      <w:r>
        <w:rPr>
          <w:rFonts w:hint="eastAsia" w:asciiTheme="minorEastAsia" w:hAnsiTheme="minorEastAsia" w:eastAsiaTheme="minorEastAsia" w:cstheme="minorEastAsia"/>
          <w:color w:val="auto"/>
          <w:sz w:val="24"/>
          <w:szCs w:val="24"/>
          <w:highlight w:val="none"/>
          <w:lang w:val="en-US" w:eastAsia="zh-CN"/>
        </w:rPr>
        <w:t>作出</w:t>
      </w:r>
      <w:r>
        <w:rPr>
          <w:rFonts w:hint="eastAsia" w:asciiTheme="minorEastAsia" w:hAnsiTheme="minorEastAsia" w:eastAsiaTheme="minorEastAsia" w:cstheme="minorEastAsia"/>
          <w:color w:val="auto"/>
          <w:sz w:val="24"/>
          <w:szCs w:val="24"/>
          <w:highlight w:val="none"/>
        </w:rPr>
        <w:t>结论。持不同意见的评标委员会成员应当在评标报告上签署不同意见并说明理由，否则视为同意。</w:t>
      </w:r>
    </w:p>
    <w:p w14:paraId="322AA1ED">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3.3投标文件的澄清</w:t>
      </w:r>
      <w:r>
        <w:rPr>
          <w:rFonts w:hint="eastAsia" w:asciiTheme="minorEastAsia" w:hAnsiTheme="minorEastAsia" w:eastAsiaTheme="minorEastAsia" w:cstheme="minorEastAsia"/>
          <w:color w:val="auto"/>
          <w:sz w:val="24"/>
          <w:szCs w:val="24"/>
          <w:highlight w:val="none"/>
        </w:rPr>
        <w:t xml:space="preserve"> </w:t>
      </w:r>
    </w:p>
    <w:p w14:paraId="7D54178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3.3.1评标委员会可以要求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对投标文件中含义不明确的内容</w:t>
      </w:r>
      <w:r>
        <w:rPr>
          <w:rFonts w:hint="eastAsia" w:asciiTheme="minorEastAsia" w:hAnsiTheme="minorEastAsia" w:eastAsiaTheme="minorEastAsia" w:cstheme="minorEastAsia"/>
          <w:color w:val="auto"/>
          <w:sz w:val="24"/>
          <w:szCs w:val="24"/>
          <w:highlight w:val="none"/>
          <w:lang w:val="en-US" w:eastAsia="zh-CN"/>
        </w:rPr>
        <w:t>做</w:t>
      </w:r>
      <w:r>
        <w:rPr>
          <w:rFonts w:hint="eastAsia" w:asciiTheme="minorEastAsia" w:hAnsiTheme="minorEastAsia" w:eastAsiaTheme="minorEastAsia" w:cstheme="minorEastAsia"/>
          <w:color w:val="auto"/>
          <w:sz w:val="24"/>
          <w:szCs w:val="24"/>
          <w:highlight w:val="none"/>
        </w:rPr>
        <w:t>必要的澄清或者说明，但是澄清或者说明不得超出投标文件的范围或者改变投标文件的实质性内容。评标委员会不得暗示或者诱导</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作出澄清、说明，不得接受</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主动提出的澄清、说明。</w:t>
      </w:r>
    </w:p>
    <w:p w14:paraId="49FEA4C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w:t>
      </w:r>
      <w:bookmarkStart w:id="87" w:name="_Toc297531588"/>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电子招标投标办法</w:t>
      </w:r>
      <w:bookmarkEnd w:id="87"/>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八部委20号令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规定，</w:t>
      </w:r>
      <w:r>
        <w:rPr>
          <w:rFonts w:hint="eastAsia" w:asciiTheme="minorEastAsia" w:hAnsiTheme="minorEastAsia" w:eastAsiaTheme="minorEastAsia" w:cstheme="minorEastAsia"/>
          <w:color w:val="auto"/>
          <w:sz w:val="24"/>
          <w:szCs w:val="24"/>
          <w:highlight w:val="none"/>
        </w:rPr>
        <w:t>评标中需要</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对投标文件澄清或者说明的，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应当通过电子招标投标交易平台交换数据电文。</w:t>
      </w:r>
    </w:p>
    <w:p w14:paraId="11962DC2">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3.4评标结果</w:t>
      </w:r>
    </w:p>
    <w:p w14:paraId="73CBBFC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3.4.1评标委员会按最终得分由高到低顺序推荐中标候选人，并提出书面评标报告。</w:t>
      </w:r>
    </w:p>
    <w:p w14:paraId="1DF7278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根据评标委员会提出的书面评标报告和推荐的中标候选人名单，确定中标人。</w:t>
      </w:r>
    </w:p>
    <w:p w14:paraId="69FF135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3.4.3评审委员会发现采购文件存在歧义、重大缺陷导致评审工作无法进行，或者采购文件内容违反国家有关规定的，要停止评审工作并向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书面说明情况，</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应当修改采购文件后重新组织采购活动；发现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提供虚假材料、串通等违法违规行为的，要及时向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报告</w:t>
      </w:r>
      <w:bookmarkEnd w:id="81"/>
      <w:bookmarkEnd w:id="82"/>
      <w:bookmarkEnd w:id="83"/>
      <w:bookmarkEnd w:id="84"/>
      <w:bookmarkEnd w:id="85"/>
      <w:bookmarkEnd w:id="86"/>
      <w:r>
        <w:rPr>
          <w:rFonts w:hint="eastAsia" w:asciiTheme="minorEastAsia" w:hAnsiTheme="minorEastAsia" w:eastAsiaTheme="minorEastAsia" w:cstheme="minorEastAsia"/>
          <w:color w:val="auto"/>
          <w:sz w:val="24"/>
          <w:szCs w:val="24"/>
          <w:highlight w:val="none"/>
          <w:lang w:eastAsia="zh-CN"/>
        </w:rPr>
        <w:t>。</w:t>
      </w:r>
      <w:bookmarkEnd w:id="39"/>
      <w:bookmarkEnd w:id="40"/>
    </w:p>
    <w:p w14:paraId="1ACFBB7A">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2261D560">
      <w:pPr>
        <w:pStyle w:val="3"/>
        <w:numPr>
          <w:ilvl w:val="0"/>
          <w:numId w:val="0"/>
        </w:numPr>
        <w:shd w:val="clear" w:color="auto" w:fill="auto"/>
        <w:tabs>
          <w:tab w:val="left" w:pos="360"/>
        </w:tabs>
        <w:jc w:val="center"/>
        <w:rPr>
          <w:rFonts w:hint="eastAsia" w:asciiTheme="minorEastAsia" w:hAnsiTheme="minorEastAsia" w:eastAsiaTheme="minorEastAsia" w:cstheme="minorEastAsia"/>
          <w:color w:val="auto"/>
          <w:sz w:val="40"/>
          <w:szCs w:val="40"/>
          <w:highlight w:val="none"/>
        </w:rPr>
      </w:pPr>
      <w:bookmarkStart w:id="88" w:name="_Toc28640"/>
      <w:bookmarkStart w:id="89" w:name="_Toc27203"/>
      <w:r>
        <w:rPr>
          <w:rFonts w:hint="eastAsia" w:asciiTheme="minorEastAsia" w:hAnsiTheme="minorEastAsia" w:eastAsiaTheme="minorEastAsia" w:cstheme="minorEastAsia"/>
          <w:color w:val="auto"/>
          <w:sz w:val="36"/>
          <w:szCs w:val="36"/>
          <w:highlight w:val="none"/>
          <w:lang w:val="en-US" w:eastAsia="zh-CN"/>
        </w:rPr>
        <w:t xml:space="preserve">第四章 </w:t>
      </w:r>
      <w:r>
        <w:rPr>
          <w:rFonts w:hint="eastAsia" w:asciiTheme="minorEastAsia" w:hAnsiTheme="minorEastAsia" w:eastAsiaTheme="minorEastAsia" w:cstheme="minorEastAsia"/>
          <w:color w:val="auto"/>
          <w:sz w:val="36"/>
          <w:szCs w:val="36"/>
          <w:highlight w:val="none"/>
        </w:rPr>
        <w:t>合同主要条款</w:t>
      </w:r>
      <w:r>
        <w:rPr>
          <w:rFonts w:hint="eastAsia" w:asciiTheme="minorEastAsia" w:hAnsiTheme="minorEastAsia" w:eastAsiaTheme="minorEastAsia" w:cstheme="minorEastAsia"/>
          <w:color w:val="auto"/>
          <w:sz w:val="36"/>
          <w:szCs w:val="36"/>
          <w:highlight w:val="none"/>
          <w:lang w:val="en-US" w:eastAsia="zh-CN"/>
        </w:rPr>
        <w:t>及</w:t>
      </w:r>
      <w:r>
        <w:rPr>
          <w:rFonts w:hint="eastAsia" w:asciiTheme="minorEastAsia" w:hAnsiTheme="minorEastAsia" w:eastAsiaTheme="minorEastAsia" w:cstheme="minorEastAsia"/>
          <w:color w:val="auto"/>
          <w:sz w:val="36"/>
          <w:szCs w:val="36"/>
          <w:highlight w:val="none"/>
        </w:rPr>
        <w:t>格式</w:t>
      </w:r>
      <w:bookmarkEnd w:id="88"/>
      <w:bookmarkEnd w:id="89"/>
    </w:p>
    <w:p w14:paraId="1F2E968A">
      <w:pPr>
        <w:keepNext w:val="0"/>
        <w:keepLines w:val="0"/>
        <w:pageBreakBefore w:val="0"/>
        <w:widowControl w:val="0"/>
        <w:kinsoku/>
        <w:overflowPunct/>
        <w:autoSpaceDE/>
        <w:bidi w:val="0"/>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eastAsia="zh-CN"/>
        </w:rPr>
        <w:t>（本合同供参考，具体以实际签订合同为准）</w:t>
      </w:r>
    </w:p>
    <w:p w14:paraId="00C514DA">
      <w:pPr>
        <w:overflowPunct w:val="0"/>
        <w:autoSpaceDE w:val="0"/>
        <w:autoSpaceDN w:val="0"/>
        <w:adjustRightInd w:val="0"/>
        <w:spacing w:after="200" w:line="360" w:lineRule="auto"/>
        <w:rPr>
          <w:rFonts w:hint="eastAsia" w:asciiTheme="minorEastAsia" w:hAnsiTheme="minorEastAsia" w:eastAsiaTheme="minorEastAsia" w:cstheme="minorEastAsia"/>
          <w:color w:val="000000"/>
          <w:kern w:val="0"/>
          <w:sz w:val="28"/>
          <w:highlight w:val="none"/>
        </w:rPr>
      </w:pPr>
    </w:p>
    <w:p w14:paraId="5740C0A9">
      <w:pPr>
        <w:overflowPunct w:val="0"/>
        <w:autoSpaceDE w:val="0"/>
        <w:autoSpaceDN w:val="0"/>
        <w:adjustRightInd w:val="0"/>
        <w:spacing w:after="200" w:line="360" w:lineRule="auto"/>
        <w:rPr>
          <w:rFonts w:hint="eastAsia" w:asciiTheme="minorEastAsia" w:hAnsiTheme="minorEastAsia" w:eastAsiaTheme="minorEastAsia" w:cstheme="minorEastAsia"/>
          <w:color w:val="000000"/>
          <w:kern w:val="0"/>
          <w:sz w:val="28"/>
          <w:highlight w:val="none"/>
        </w:rPr>
      </w:pPr>
      <w:r>
        <w:rPr>
          <w:rFonts w:hint="eastAsia" w:asciiTheme="minorEastAsia" w:hAnsiTheme="minorEastAsia" w:eastAsiaTheme="minorEastAsia" w:cstheme="minorEastAsia"/>
          <w:color w:val="000000"/>
          <w:kern w:val="0"/>
          <w:sz w:val="28"/>
          <w:highlight w:val="none"/>
        </w:rPr>
        <w:t>合同编号：            合同自编号：              招标编号：</w:t>
      </w:r>
    </w:p>
    <w:p w14:paraId="321A2C18">
      <w:pPr>
        <w:pStyle w:val="24"/>
        <w:ind w:firstLine="210"/>
        <w:rPr>
          <w:rFonts w:hint="eastAsia" w:asciiTheme="minorEastAsia" w:hAnsiTheme="minorEastAsia" w:eastAsiaTheme="minorEastAsia" w:cstheme="minorEastAsia"/>
          <w:highlight w:val="none"/>
        </w:rPr>
      </w:pPr>
    </w:p>
    <w:p w14:paraId="6F51ED3B">
      <w:pPr>
        <w:spacing w:after="200" w:line="360" w:lineRule="auto"/>
        <w:rPr>
          <w:rFonts w:hint="eastAsia" w:asciiTheme="minorEastAsia" w:hAnsiTheme="minorEastAsia" w:eastAsiaTheme="minorEastAsia" w:cstheme="minorEastAsia"/>
          <w:color w:val="000000"/>
          <w:kern w:val="0"/>
          <w:sz w:val="28"/>
          <w:highlight w:val="none"/>
        </w:rPr>
      </w:pPr>
      <w:r>
        <w:rPr>
          <w:rFonts w:hint="eastAsia" w:asciiTheme="minorEastAsia" w:hAnsiTheme="minorEastAsia" w:eastAsiaTheme="minorEastAsia" w:cstheme="minorEastAsia"/>
          <w:color w:val="000000"/>
          <w:kern w:val="0"/>
          <w:sz w:val="28"/>
          <w:highlight w:val="none"/>
        </w:rPr>
        <w:t>·本合同须加盖甲乙双方骑缝章有效</w:t>
      </w:r>
    </w:p>
    <w:p w14:paraId="26863B1D">
      <w:pPr>
        <w:pStyle w:val="24"/>
        <w:ind w:firstLine="210"/>
        <w:rPr>
          <w:rFonts w:hint="eastAsia" w:asciiTheme="minorEastAsia" w:hAnsiTheme="minorEastAsia" w:eastAsiaTheme="minorEastAsia" w:cstheme="minorEastAsia"/>
          <w:highlight w:val="none"/>
        </w:rPr>
      </w:pPr>
    </w:p>
    <w:p w14:paraId="1F699BE9">
      <w:pPr>
        <w:overflowPunct w:val="0"/>
        <w:autoSpaceDE w:val="0"/>
        <w:autoSpaceDN w:val="0"/>
        <w:adjustRightInd w:val="0"/>
        <w:spacing w:after="200" w:line="360" w:lineRule="auto"/>
        <w:jc w:val="center"/>
        <w:rPr>
          <w:rFonts w:hint="eastAsia" w:asciiTheme="minorEastAsia" w:hAnsiTheme="minorEastAsia" w:eastAsiaTheme="minorEastAsia" w:cstheme="minorEastAsia"/>
          <w:b/>
          <w:color w:val="000000"/>
          <w:w w:val="80"/>
          <w:kern w:val="0"/>
          <w:sz w:val="52"/>
          <w:highlight w:val="none"/>
        </w:rPr>
      </w:pPr>
      <w:r>
        <w:rPr>
          <w:rFonts w:hint="eastAsia" w:asciiTheme="minorEastAsia" w:hAnsiTheme="minorEastAsia" w:eastAsiaTheme="minorEastAsia" w:cstheme="minorEastAsia"/>
          <w:b/>
          <w:color w:val="000000"/>
          <w:w w:val="80"/>
          <w:kern w:val="0"/>
          <w:sz w:val="52"/>
          <w:highlight w:val="none"/>
        </w:rPr>
        <w:t>云 南 省 政 府 采 购</w:t>
      </w:r>
    </w:p>
    <w:p w14:paraId="4FC95462">
      <w:pPr>
        <w:tabs>
          <w:tab w:val="left" w:pos="3885"/>
        </w:tabs>
        <w:overflowPunct w:val="0"/>
        <w:autoSpaceDE w:val="0"/>
        <w:autoSpaceDN w:val="0"/>
        <w:adjustRightInd w:val="0"/>
        <w:spacing w:after="200" w:line="360" w:lineRule="auto"/>
        <w:jc w:val="center"/>
        <w:rPr>
          <w:rFonts w:hint="eastAsia" w:asciiTheme="minorEastAsia" w:hAnsiTheme="minorEastAsia" w:eastAsiaTheme="minorEastAsia" w:cstheme="minorEastAsia"/>
          <w:b/>
          <w:color w:val="000000"/>
          <w:kern w:val="0"/>
          <w:sz w:val="32"/>
          <w:highlight w:val="none"/>
        </w:rPr>
      </w:pPr>
      <w:r>
        <w:rPr>
          <w:rFonts w:hint="eastAsia" w:asciiTheme="minorEastAsia" w:hAnsiTheme="minorEastAsia" w:eastAsiaTheme="minorEastAsia" w:cstheme="minorEastAsia"/>
          <w:b/>
          <w:color w:val="000000"/>
          <w:kern w:val="0"/>
          <w:sz w:val="32"/>
          <w:highlight w:val="none"/>
        </w:rPr>
        <w:t>（委托采购）</w:t>
      </w:r>
    </w:p>
    <w:p w14:paraId="0739343E">
      <w:pPr>
        <w:spacing w:after="200" w:line="360" w:lineRule="auto"/>
        <w:rPr>
          <w:rFonts w:hint="eastAsia" w:asciiTheme="minorEastAsia" w:hAnsiTheme="minorEastAsia" w:eastAsiaTheme="minorEastAsia" w:cstheme="minorEastAsia"/>
          <w:color w:val="000000"/>
          <w:highlight w:val="none"/>
        </w:rPr>
      </w:pPr>
    </w:p>
    <w:p w14:paraId="165E3D41">
      <w:pPr>
        <w:pStyle w:val="42"/>
        <w:rPr>
          <w:rFonts w:hint="eastAsia" w:asciiTheme="minorEastAsia" w:hAnsiTheme="minorEastAsia" w:eastAsiaTheme="minorEastAsia" w:cstheme="minorEastAsia"/>
          <w:highlight w:val="none"/>
        </w:rPr>
      </w:pPr>
    </w:p>
    <w:p w14:paraId="054852F7">
      <w:pPr>
        <w:tabs>
          <w:tab w:val="left" w:pos="3885"/>
        </w:tabs>
        <w:overflowPunct w:val="0"/>
        <w:autoSpaceDE w:val="0"/>
        <w:autoSpaceDN w:val="0"/>
        <w:adjustRightInd w:val="0"/>
        <w:spacing w:after="200" w:line="360" w:lineRule="auto"/>
        <w:jc w:val="center"/>
        <w:rPr>
          <w:rFonts w:hint="eastAsia" w:asciiTheme="minorEastAsia" w:hAnsiTheme="minorEastAsia" w:eastAsiaTheme="minorEastAsia" w:cstheme="minorEastAsia"/>
          <w:b/>
          <w:color w:val="000000"/>
          <w:kern w:val="0"/>
          <w:sz w:val="52"/>
          <w:highlight w:val="none"/>
        </w:rPr>
      </w:pPr>
      <w:r>
        <w:rPr>
          <w:rFonts w:hint="eastAsia" w:asciiTheme="minorEastAsia" w:hAnsiTheme="minorEastAsia" w:eastAsiaTheme="minorEastAsia" w:cstheme="minorEastAsia"/>
          <w:b/>
          <w:color w:val="000000"/>
          <w:kern w:val="0"/>
          <w:sz w:val="52"/>
          <w:highlight w:val="none"/>
        </w:rPr>
        <w:t>合</w:t>
      </w:r>
    </w:p>
    <w:p w14:paraId="142DAA2D">
      <w:pPr>
        <w:tabs>
          <w:tab w:val="left" w:pos="3885"/>
        </w:tabs>
        <w:overflowPunct w:val="0"/>
        <w:autoSpaceDE w:val="0"/>
        <w:autoSpaceDN w:val="0"/>
        <w:adjustRightInd w:val="0"/>
        <w:spacing w:after="200" w:line="360" w:lineRule="auto"/>
        <w:jc w:val="center"/>
        <w:rPr>
          <w:rFonts w:hint="eastAsia" w:asciiTheme="minorEastAsia" w:hAnsiTheme="minorEastAsia" w:eastAsiaTheme="minorEastAsia" w:cstheme="minorEastAsia"/>
          <w:color w:val="000000"/>
          <w:kern w:val="0"/>
          <w:sz w:val="52"/>
          <w:highlight w:val="none"/>
        </w:rPr>
      </w:pPr>
      <w:r>
        <w:rPr>
          <w:rFonts w:hint="eastAsia" w:asciiTheme="minorEastAsia" w:hAnsiTheme="minorEastAsia" w:eastAsiaTheme="minorEastAsia" w:cstheme="minorEastAsia"/>
          <w:b/>
          <w:color w:val="000000"/>
          <w:kern w:val="0"/>
          <w:sz w:val="52"/>
          <w:highlight w:val="none"/>
        </w:rPr>
        <w:t>同</w:t>
      </w:r>
    </w:p>
    <w:p w14:paraId="05914FB4">
      <w:pPr>
        <w:tabs>
          <w:tab w:val="left" w:pos="3990"/>
        </w:tabs>
        <w:overflowPunct w:val="0"/>
        <w:autoSpaceDE w:val="0"/>
        <w:autoSpaceDN w:val="0"/>
        <w:adjustRightInd w:val="0"/>
        <w:spacing w:after="200" w:line="360" w:lineRule="auto"/>
        <w:jc w:val="center"/>
        <w:rPr>
          <w:rFonts w:hint="eastAsia" w:asciiTheme="minorEastAsia" w:hAnsiTheme="minorEastAsia" w:eastAsiaTheme="minorEastAsia" w:cstheme="minorEastAsia"/>
          <w:b/>
          <w:color w:val="000000"/>
          <w:kern w:val="0"/>
          <w:sz w:val="52"/>
          <w:highlight w:val="none"/>
        </w:rPr>
      </w:pPr>
      <w:r>
        <w:rPr>
          <w:rFonts w:hint="eastAsia" w:asciiTheme="minorEastAsia" w:hAnsiTheme="minorEastAsia" w:eastAsiaTheme="minorEastAsia" w:cstheme="minorEastAsia"/>
          <w:b/>
          <w:color w:val="000000"/>
          <w:kern w:val="0"/>
          <w:sz w:val="52"/>
          <w:highlight w:val="none"/>
        </w:rPr>
        <w:t>书</w:t>
      </w:r>
    </w:p>
    <w:p w14:paraId="69F6CE6A">
      <w:pPr>
        <w:overflowPunct w:val="0"/>
        <w:autoSpaceDE w:val="0"/>
        <w:autoSpaceDN w:val="0"/>
        <w:adjustRightInd w:val="0"/>
        <w:spacing w:after="200" w:line="360" w:lineRule="auto"/>
        <w:jc w:val="left"/>
        <w:rPr>
          <w:rFonts w:hint="eastAsia" w:asciiTheme="minorEastAsia" w:hAnsiTheme="minorEastAsia" w:eastAsiaTheme="minorEastAsia" w:cstheme="minorEastAsia"/>
          <w:color w:val="000000"/>
          <w:kern w:val="0"/>
          <w:sz w:val="36"/>
          <w:highlight w:val="none"/>
        </w:rPr>
      </w:pPr>
    </w:p>
    <w:p w14:paraId="23FBCBE8">
      <w:pPr>
        <w:overflowPunct w:val="0"/>
        <w:autoSpaceDE w:val="0"/>
        <w:autoSpaceDN w:val="0"/>
        <w:adjustRightInd w:val="0"/>
        <w:spacing w:after="200" w:line="360" w:lineRule="auto"/>
        <w:ind w:firstLine="1440" w:firstLineChars="400"/>
        <w:jc w:val="left"/>
        <w:rPr>
          <w:rFonts w:hint="eastAsia" w:asciiTheme="minorEastAsia" w:hAnsiTheme="minorEastAsia" w:eastAsiaTheme="minorEastAsia" w:cstheme="minorEastAsia"/>
          <w:color w:val="000000"/>
          <w:kern w:val="0"/>
          <w:sz w:val="36"/>
          <w:highlight w:val="none"/>
        </w:rPr>
      </w:pPr>
      <w:r>
        <w:rPr>
          <w:rFonts w:hint="eastAsia" w:asciiTheme="minorEastAsia" w:hAnsiTheme="minorEastAsia" w:eastAsiaTheme="minorEastAsia" w:cstheme="minorEastAsia"/>
          <w:color w:val="000000"/>
          <w:kern w:val="0"/>
          <w:sz w:val="36"/>
          <w:highlight w:val="none"/>
        </w:rPr>
        <w:t>签订地点：</w:t>
      </w:r>
    </w:p>
    <w:p w14:paraId="54522AEA">
      <w:pPr>
        <w:overflowPunct w:val="0"/>
        <w:autoSpaceDE w:val="0"/>
        <w:autoSpaceDN w:val="0"/>
        <w:adjustRightInd w:val="0"/>
        <w:spacing w:after="200" w:line="360" w:lineRule="auto"/>
        <w:jc w:val="center"/>
        <w:rPr>
          <w:rFonts w:hint="eastAsia" w:asciiTheme="minorEastAsia" w:hAnsiTheme="minorEastAsia" w:eastAsiaTheme="minorEastAsia" w:cstheme="minorEastAsia"/>
          <w:color w:val="000000"/>
          <w:kern w:val="0"/>
          <w:sz w:val="36"/>
          <w:highlight w:val="none"/>
        </w:rPr>
      </w:pPr>
      <w:r>
        <w:rPr>
          <w:rFonts w:hint="eastAsia" w:asciiTheme="minorEastAsia" w:hAnsiTheme="minorEastAsia" w:eastAsiaTheme="minorEastAsia" w:cstheme="minorEastAsia"/>
          <w:color w:val="000000"/>
          <w:kern w:val="0"/>
          <w:sz w:val="36"/>
          <w:highlight w:val="none"/>
        </w:rPr>
        <w:t>云南省财政厅     制</w:t>
      </w:r>
    </w:p>
    <w:p w14:paraId="14571447">
      <w:pPr>
        <w:rPr>
          <w:rFonts w:hint="eastAsia" w:asciiTheme="minorEastAsia" w:hAnsiTheme="minorEastAsia" w:eastAsiaTheme="minorEastAsia" w:cstheme="minorEastAsia"/>
          <w:sz w:val="24"/>
          <w:highlight w:val="none"/>
          <w:u w:val="single"/>
          <w:lang w:val="zh-CN"/>
        </w:rPr>
      </w:pPr>
      <w:r>
        <w:rPr>
          <w:rFonts w:hint="eastAsia" w:asciiTheme="minorEastAsia" w:hAnsiTheme="minorEastAsia" w:eastAsiaTheme="minorEastAsia" w:cstheme="minorEastAsia"/>
          <w:sz w:val="24"/>
          <w:highlight w:val="none"/>
          <w:u w:val="single"/>
          <w:lang w:val="zh-CN"/>
        </w:rPr>
        <w:br w:type="page"/>
      </w:r>
    </w:p>
    <w:p w14:paraId="723812C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Cs/>
          <w:color w:val="auto"/>
          <w:sz w:val="24"/>
          <w:highlight w:val="none"/>
        </w:rPr>
      </w:pPr>
      <w:bookmarkStart w:id="90" w:name="_Toc20313"/>
      <w:r>
        <w:rPr>
          <w:rFonts w:hint="eastAsia" w:asciiTheme="minorEastAsia" w:hAnsiTheme="minorEastAsia" w:eastAsiaTheme="minorEastAsia" w:cstheme="minorEastAsia"/>
          <w:bCs/>
          <w:color w:val="auto"/>
          <w:sz w:val="24"/>
          <w:highlight w:val="none"/>
          <w:lang w:val="en-US" w:eastAsia="zh-CN"/>
        </w:rPr>
        <w:t>根据《中华人民共和国政府采购法》《中华人民共和国政府采购法实施条例》《政府采购货物和服务招标投标管理办法》和</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rPr>
        <w:t>中华人民共和国</w:t>
      </w:r>
      <w:r>
        <w:rPr>
          <w:rFonts w:hint="eastAsia" w:asciiTheme="minorEastAsia" w:hAnsiTheme="minorEastAsia" w:eastAsiaTheme="minorEastAsia" w:cstheme="minorEastAsia"/>
          <w:bCs/>
          <w:color w:val="auto"/>
          <w:sz w:val="24"/>
          <w:highlight w:val="none"/>
          <w:lang w:val="en-US" w:eastAsia="zh-CN"/>
        </w:rPr>
        <w:t>民法典</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lang w:val="en-US" w:eastAsia="zh-CN"/>
        </w:rPr>
        <w:t>等有关法律、法规和规章的规定，依据</w:t>
      </w:r>
      <w:r>
        <w:rPr>
          <w:rFonts w:hint="eastAsia" w:asciiTheme="minorEastAsia" w:hAnsiTheme="minorEastAsia" w:eastAsiaTheme="minorEastAsia" w:cstheme="minorEastAsia"/>
          <w:bCs/>
          <w:color w:val="auto"/>
          <w:sz w:val="24"/>
          <w:highlight w:val="none"/>
          <w:u w:val="single"/>
          <w:lang w:val="en-US" w:eastAsia="zh-CN"/>
        </w:rPr>
        <w:t xml:space="preserve">              </w:t>
      </w:r>
      <w:r>
        <w:rPr>
          <w:rFonts w:hint="eastAsia" w:asciiTheme="minorEastAsia" w:hAnsiTheme="minorEastAsia" w:eastAsiaTheme="minorEastAsia" w:cstheme="minorEastAsia"/>
          <w:bCs/>
          <w:color w:val="auto"/>
          <w:sz w:val="24"/>
          <w:highlight w:val="none"/>
          <w:u w:val="none"/>
          <w:lang w:val="en-US" w:eastAsia="zh-CN"/>
        </w:rPr>
        <w:t>第</w:t>
      </w:r>
      <w:r>
        <w:rPr>
          <w:rFonts w:hint="eastAsia" w:asciiTheme="minorEastAsia" w:hAnsiTheme="minorEastAsia" w:eastAsiaTheme="minorEastAsia" w:cstheme="minorEastAsia"/>
          <w:bCs/>
          <w:color w:val="auto"/>
          <w:sz w:val="24"/>
          <w:highlight w:val="none"/>
          <w:u w:val="single"/>
          <w:lang w:val="en-US" w:eastAsia="zh-CN"/>
        </w:rPr>
        <w:t xml:space="preserve">      </w:t>
      </w:r>
      <w:r>
        <w:rPr>
          <w:rFonts w:hint="eastAsia" w:asciiTheme="minorEastAsia" w:hAnsiTheme="minorEastAsia" w:eastAsiaTheme="minorEastAsia" w:cstheme="minorEastAsia"/>
          <w:bCs/>
          <w:color w:val="auto"/>
          <w:sz w:val="24"/>
          <w:highlight w:val="none"/>
          <w:u w:val="none"/>
          <w:lang w:val="en-US" w:eastAsia="zh-CN"/>
        </w:rPr>
        <w:t>标段</w:t>
      </w:r>
      <w:r>
        <w:rPr>
          <w:rFonts w:hint="eastAsia" w:asciiTheme="minorEastAsia" w:hAnsiTheme="minorEastAsia" w:eastAsiaTheme="minorEastAsia" w:cstheme="minorEastAsia"/>
          <w:bCs/>
          <w:color w:val="auto"/>
          <w:sz w:val="24"/>
          <w:highlight w:val="none"/>
          <w:lang w:val="en-US" w:eastAsia="zh-CN"/>
        </w:rPr>
        <w:t>公开招标结果，经过友好协商，本着公开、公平、诚实信用的原则，达成如下合同，并由双方共同恪守。</w:t>
      </w:r>
    </w:p>
    <w:p w14:paraId="6D2B73C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一、本项目由临沧市临翔区人民医院统一组织采购，并代表医共体与乙方签订采购合同，医共体各成员单位（以下称“医院”）根据采购结果及自身耗材使用情况，遵循本合同约定及招标文件要求、投标承诺分别与乙方签订供应配送合同，乙方根据供应配送合同将所需耗材配送至医院。</w:t>
      </w:r>
    </w:p>
    <w:p w14:paraId="51D83CD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医院与乙方可以根据本合同约定及招标确定事项进行完善和细化后签订供应配送合同，但不得改变招标确定事项。本合同及医院与乙方签订的供应配送合同具有同等法律效力，在合同履行过程中，若出现两者不一致时，以本合同为准。</w:t>
      </w:r>
    </w:p>
    <w:p w14:paraId="5E687D9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标的信息</w:t>
      </w:r>
    </w:p>
    <w:p w14:paraId="222D285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Cs/>
          <w:color w:val="auto"/>
          <w:sz w:val="24"/>
          <w:highlight w:val="none"/>
          <w:lang w:val="en-US" w:eastAsia="zh-CN"/>
        </w:rPr>
        <w:t>本合同确定由乙方向甲方（或医院）配送的医用耗材为</w:t>
      </w:r>
      <w:r>
        <w:rPr>
          <w:rFonts w:hint="eastAsia" w:asciiTheme="minorEastAsia" w:hAnsiTheme="minorEastAsia" w:eastAsiaTheme="minorEastAsia" w:cstheme="minorEastAsia"/>
          <w:bCs/>
          <w:color w:val="auto"/>
          <w:sz w:val="24"/>
          <w:highlight w:val="none"/>
          <w:u w:val="single"/>
          <w:lang w:val="en-US" w:eastAsia="zh-CN"/>
        </w:rPr>
        <w:t xml:space="preserve">       </w:t>
      </w:r>
      <w:r>
        <w:rPr>
          <w:rFonts w:hint="eastAsia" w:asciiTheme="minorEastAsia" w:hAnsiTheme="minorEastAsia" w:eastAsiaTheme="minorEastAsia" w:cstheme="minorEastAsia"/>
          <w:bCs/>
          <w:color w:val="auto"/>
          <w:sz w:val="24"/>
          <w:highlight w:val="none"/>
          <w:u w:val="none"/>
          <w:lang w:val="en-US" w:eastAsia="zh-CN"/>
        </w:rPr>
        <w:t>，具体清单详见本合同附件。</w:t>
      </w:r>
      <w:r>
        <w:rPr>
          <w:rFonts w:hint="eastAsia" w:asciiTheme="minorEastAsia" w:hAnsiTheme="minorEastAsia" w:eastAsiaTheme="minorEastAsia" w:cstheme="minorEastAsia"/>
          <w:b w:val="0"/>
          <w:bCs/>
          <w:color w:val="auto"/>
          <w:sz w:val="24"/>
          <w:szCs w:val="24"/>
          <w:highlight w:val="none"/>
        </w:rPr>
        <w:t>本</w:t>
      </w:r>
      <w:r>
        <w:rPr>
          <w:rFonts w:hint="eastAsia" w:asciiTheme="minorEastAsia" w:hAnsiTheme="minorEastAsia" w:eastAsiaTheme="minorEastAsia" w:cstheme="minorEastAsia"/>
          <w:b w:val="0"/>
          <w:bCs/>
          <w:color w:val="auto"/>
          <w:sz w:val="24"/>
          <w:szCs w:val="24"/>
          <w:highlight w:val="none"/>
          <w:lang w:val="en-US" w:eastAsia="zh-CN"/>
        </w:rPr>
        <w:t>合同</w:t>
      </w:r>
      <w:r>
        <w:rPr>
          <w:rFonts w:hint="eastAsia" w:asciiTheme="minorEastAsia" w:hAnsiTheme="minorEastAsia" w:eastAsiaTheme="minorEastAsia" w:cstheme="minorEastAsia"/>
          <w:b w:val="0"/>
          <w:bCs/>
          <w:color w:val="auto"/>
          <w:sz w:val="24"/>
          <w:szCs w:val="24"/>
          <w:highlight w:val="none"/>
        </w:rPr>
        <w:t>所列的采购清单仅为甲方</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或医院</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的采购计划，甲方</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或医院</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不保证</w:t>
      </w:r>
      <w:r>
        <w:rPr>
          <w:rFonts w:hint="eastAsia" w:asciiTheme="minorEastAsia" w:hAnsiTheme="minorEastAsia" w:eastAsiaTheme="minorEastAsia" w:cstheme="minorEastAsia"/>
          <w:b w:val="0"/>
          <w:bCs/>
          <w:color w:val="auto"/>
          <w:sz w:val="24"/>
          <w:szCs w:val="24"/>
          <w:highlight w:val="none"/>
          <w:lang w:val="en-US" w:eastAsia="zh-CN"/>
        </w:rPr>
        <w:t>完全按照</w:t>
      </w:r>
      <w:r>
        <w:rPr>
          <w:rFonts w:hint="eastAsia" w:asciiTheme="minorEastAsia" w:hAnsiTheme="minorEastAsia" w:eastAsiaTheme="minorEastAsia" w:cstheme="minorEastAsia"/>
          <w:b w:val="0"/>
          <w:bCs/>
          <w:color w:val="auto"/>
          <w:sz w:val="24"/>
          <w:szCs w:val="24"/>
          <w:highlight w:val="none"/>
        </w:rPr>
        <w:t>采购清单所列</w:t>
      </w:r>
      <w:r>
        <w:rPr>
          <w:rFonts w:hint="eastAsia" w:asciiTheme="minorEastAsia" w:hAnsiTheme="minorEastAsia" w:eastAsiaTheme="minorEastAsia" w:cstheme="minorEastAsia"/>
          <w:b w:val="0"/>
          <w:bCs/>
          <w:color w:val="auto"/>
          <w:sz w:val="24"/>
          <w:szCs w:val="24"/>
          <w:highlight w:val="none"/>
          <w:lang w:val="en-US" w:eastAsia="zh-CN"/>
        </w:rPr>
        <w:t>全部种类和数量采购耗材，乙方不得以此为由拒绝履行合同或向甲方（或医院）索赔</w:t>
      </w:r>
      <w:r>
        <w:rPr>
          <w:rFonts w:hint="eastAsia" w:asciiTheme="minorEastAsia" w:hAnsiTheme="minorEastAsia" w:eastAsiaTheme="minorEastAsia" w:cstheme="minorEastAsia"/>
          <w:b w:val="0"/>
          <w:bCs/>
          <w:color w:val="auto"/>
          <w:sz w:val="24"/>
          <w:szCs w:val="24"/>
          <w:highlight w:val="none"/>
        </w:rPr>
        <w:t>。</w:t>
      </w:r>
    </w:p>
    <w:p w14:paraId="1862C1C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三、合同履行过程中，涉及集采目录的按照集采目录价格执行。</w:t>
      </w:r>
    </w:p>
    <w:p w14:paraId="42547AA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合同总价</w:t>
      </w:r>
    </w:p>
    <w:p w14:paraId="535390B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sz w:val="24"/>
          <w:szCs w:val="24"/>
          <w:highlight w:val="none"/>
        </w:rPr>
        <w:t>元</w:t>
      </w:r>
    </w:p>
    <w:p w14:paraId="31E0B4C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lang w:val="en-US" w:eastAsia="zh-CN"/>
        </w:rPr>
        <w:t>人民币</w:t>
      </w:r>
      <w:r>
        <w:rPr>
          <w:rFonts w:hint="eastAsia" w:asciiTheme="minorEastAsia" w:hAnsiTheme="minorEastAsia" w:eastAsiaTheme="minorEastAsia" w:cstheme="minorEastAsia"/>
          <w:b/>
          <w:color w:val="auto"/>
          <w:sz w:val="24"/>
          <w:szCs w:val="24"/>
          <w:highlight w:val="none"/>
          <w:u w:val="single"/>
          <w:lang w:val="en-US" w:eastAsia="zh-CN"/>
        </w:rPr>
        <w:t xml:space="preserve">                         </w:t>
      </w:r>
    </w:p>
    <w:p w14:paraId="15431051">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1.本合同总价为暂定价，结算时以采购人实际采购、送耗材数量据实结算</w:t>
      </w:r>
      <w:r>
        <w:rPr>
          <w:rFonts w:hint="eastAsia" w:asciiTheme="minorEastAsia" w:hAnsiTheme="minorEastAsia" w:eastAsiaTheme="minorEastAsia" w:cstheme="minorEastAsia"/>
          <w:b/>
          <w:color w:val="auto"/>
          <w:sz w:val="24"/>
          <w:szCs w:val="24"/>
          <w:highlight w:val="none"/>
          <w:u w:val="none"/>
          <w:lang w:val="en-US" w:eastAsia="zh-CN"/>
        </w:rPr>
        <w:t>。</w:t>
      </w:r>
    </w:p>
    <w:p w14:paraId="59F7CA6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2.中标单价为综合单价，</w:t>
      </w:r>
      <w:r>
        <w:rPr>
          <w:rFonts w:hint="eastAsia" w:asciiTheme="minorEastAsia" w:hAnsiTheme="minorEastAsia" w:eastAsiaTheme="minorEastAsia" w:cstheme="minorEastAsia"/>
          <w:b/>
          <w:color w:val="auto"/>
          <w:sz w:val="24"/>
          <w:szCs w:val="24"/>
          <w:highlight w:val="none"/>
          <w:lang w:val="en-US" w:eastAsia="zh-CN"/>
        </w:rPr>
        <w:t>在合同期限内不得调整（因不可抗力因素必须调整的除外）</w:t>
      </w:r>
    </w:p>
    <w:p w14:paraId="3CBB831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3.合同价为</w:t>
      </w:r>
      <w:r>
        <w:rPr>
          <w:rFonts w:hint="eastAsia" w:asciiTheme="minorEastAsia" w:hAnsiTheme="minorEastAsia" w:eastAsiaTheme="minorEastAsia" w:cstheme="minorEastAsia"/>
          <w:color w:val="auto"/>
          <w:sz w:val="24"/>
          <w:szCs w:val="24"/>
          <w:highlight w:val="none"/>
        </w:rPr>
        <w:t>耗材供应配送到</w:t>
      </w:r>
      <w:r>
        <w:rPr>
          <w:rFonts w:hint="eastAsia" w:asciiTheme="minorEastAsia" w:hAnsiTheme="minorEastAsia" w:eastAsiaTheme="minorEastAsia" w:cstheme="minorEastAsia"/>
          <w:color w:val="auto"/>
          <w:sz w:val="24"/>
          <w:szCs w:val="24"/>
          <w:highlight w:val="none"/>
          <w:lang w:val="en-US" w:eastAsia="zh-CN"/>
        </w:rPr>
        <w:t>医院，至</w:t>
      </w:r>
      <w:r>
        <w:rPr>
          <w:rFonts w:hint="eastAsia" w:asciiTheme="minorEastAsia" w:hAnsiTheme="minorEastAsia" w:eastAsiaTheme="minorEastAsia" w:cstheme="minorEastAsia"/>
          <w:color w:val="auto"/>
          <w:sz w:val="24"/>
          <w:szCs w:val="24"/>
          <w:highlight w:val="none"/>
        </w:rPr>
        <w:t>验收合格的一切费用，包括但不限于：耗材的生产制造或购买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或进口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费</w:t>
      </w:r>
      <w:r>
        <w:rPr>
          <w:rFonts w:hint="eastAsia" w:asciiTheme="minorEastAsia" w:hAnsiTheme="minorEastAsia" w:eastAsiaTheme="minorEastAsia" w:cstheme="minorEastAsia"/>
          <w:color w:val="auto"/>
          <w:sz w:val="24"/>
          <w:szCs w:val="24"/>
          <w:highlight w:val="none"/>
          <w:lang w:val="en-US" w:eastAsia="zh-CN"/>
        </w:rPr>
        <w:t>用</w:t>
      </w:r>
      <w:r>
        <w:rPr>
          <w:rFonts w:hint="eastAsia" w:asciiTheme="minorEastAsia" w:hAnsiTheme="minorEastAsia" w:eastAsiaTheme="minorEastAsia" w:cstheme="minorEastAsia"/>
          <w:color w:val="auto"/>
          <w:sz w:val="24"/>
          <w:szCs w:val="24"/>
          <w:highlight w:val="none"/>
        </w:rPr>
        <w:t>、包装费、运输费（含二次运输费）、装卸费、</w:t>
      </w:r>
      <w:r>
        <w:rPr>
          <w:rFonts w:hint="eastAsia" w:asciiTheme="minorEastAsia" w:hAnsiTheme="minorEastAsia" w:eastAsiaTheme="minorEastAsia" w:cstheme="minorEastAsia"/>
          <w:b w:val="0"/>
          <w:bCs/>
          <w:color w:val="auto"/>
          <w:sz w:val="24"/>
          <w:szCs w:val="24"/>
          <w:highlight w:val="none"/>
          <w:lang w:val="en-US" w:eastAsia="zh-CN"/>
        </w:rPr>
        <w:t>退换货费用、</w:t>
      </w:r>
      <w:r>
        <w:rPr>
          <w:rFonts w:hint="eastAsia" w:asciiTheme="minorEastAsia" w:hAnsiTheme="minorEastAsia" w:eastAsiaTheme="minorEastAsia" w:cstheme="minorEastAsia"/>
          <w:color w:val="auto"/>
          <w:sz w:val="24"/>
          <w:szCs w:val="24"/>
          <w:highlight w:val="none"/>
        </w:rPr>
        <w:t>保管费、配送费、调试费、检验费、测试费、保修费、维护保养费、人员培训费、保险费、管理费、税费、SPD服务费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仅临沧市临翔区人民医院所采购耗材涉及本项费用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等全部费用；</w:t>
      </w:r>
      <w:r>
        <w:rPr>
          <w:rFonts w:hint="eastAsia" w:asciiTheme="minorEastAsia" w:hAnsiTheme="minorEastAsia" w:eastAsiaTheme="minorEastAsia" w:cstheme="minorEastAsia"/>
          <w:b w:val="0"/>
          <w:bCs/>
          <w:color w:val="auto"/>
          <w:sz w:val="24"/>
          <w:szCs w:val="24"/>
          <w:highlight w:val="none"/>
          <w:lang w:val="en-US" w:eastAsia="zh-CN"/>
        </w:rPr>
        <w:t>该合同价已充分考虑市场风险、价格风险、政策风险、汇率风险等所有因素。</w:t>
      </w:r>
    </w:p>
    <w:p w14:paraId="5A823CB8">
      <w:pPr>
        <w:keepNext w:val="0"/>
        <w:keepLines w:val="0"/>
        <w:pageBreakBefore w:val="0"/>
        <w:widowControl/>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rPr>
      </w:pPr>
      <w:r>
        <w:rPr>
          <w:rFonts w:hint="eastAsia" w:asciiTheme="minorEastAsia" w:hAnsiTheme="minorEastAsia" w:eastAsiaTheme="minorEastAsia" w:cstheme="minorEastAsia"/>
          <w:b w:val="0"/>
          <w:bCs/>
          <w:color w:val="auto"/>
          <w:kern w:val="0"/>
          <w:sz w:val="24"/>
          <w:szCs w:val="24"/>
          <w:highlight w:val="none"/>
          <w:lang w:val="en-US" w:eastAsia="zh-CN"/>
        </w:rPr>
        <w:t>4.</w:t>
      </w:r>
      <w:r>
        <w:rPr>
          <w:rFonts w:hint="eastAsia" w:asciiTheme="minorEastAsia" w:hAnsiTheme="minorEastAsia" w:eastAsiaTheme="minorEastAsia" w:cstheme="minorEastAsia"/>
          <w:b w:val="0"/>
          <w:bCs/>
          <w:color w:val="auto"/>
          <w:kern w:val="0"/>
          <w:sz w:val="24"/>
          <w:szCs w:val="24"/>
          <w:highlight w:val="none"/>
        </w:rPr>
        <w:t>如乙方未认真了解本合同所列要求，导致发生退货、换货</w:t>
      </w:r>
      <w:r>
        <w:rPr>
          <w:rFonts w:hint="eastAsia" w:asciiTheme="minorEastAsia" w:hAnsiTheme="minorEastAsia" w:eastAsiaTheme="minorEastAsia" w:cstheme="minorEastAsia"/>
          <w:b w:val="0"/>
          <w:bCs/>
          <w:color w:val="auto"/>
          <w:kern w:val="0"/>
          <w:sz w:val="24"/>
          <w:szCs w:val="24"/>
          <w:highlight w:val="none"/>
          <w:lang w:val="en-US" w:eastAsia="zh-CN"/>
        </w:rPr>
        <w:t>的</w:t>
      </w:r>
      <w:r>
        <w:rPr>
          <w:rFonts w:hint="eastAsia" w:asciiTheme="minorEastAsia" w:hAnsiTheme="minorEastAsia" w:eastAsiaTheme="minorEastAsia" w:cstheme="minorEastAsia"/>
          <w:b w:val="0"/>
          <w:bCs/>
          <w:color w:val="auto"/>
          <w:kern w:val="0"/>
          <w:sz w:val="24"/>
          <w:szCs w:val="24"/>
          <w:highlight w:val="none"/>
        </w:rPr>
        <w:t>费用由乙方自行负责，甲方不承担任何责任。</w:t>
      </w:r>
    </w:p>
    <w:p w14:paraId="5CEBF524">
      <w:pPr>
        <w:keepNext w:val="0"/>
        <w:keepLines w:val="0"/>
        <w:pageBreakBefore w:val="0"/>
        <w:widowControl/>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5.</w:t>
      </w:r>
      <w:r>
        <w:rPr>
          <w:rFonts w:hint="eastAsia" w:asciiTheme="minorEastAsia" w:hAnsiTheme="minorEastAsia" w:eastAsiaTheme="minorEastAsia" w:cstheme="minorEastAsia"/>
          <w:b w:val="0"/>
          <w:bCs/>
          <w:color w:val="auto"/>
          <w:sz w:val="24"/>
          <w:szCs w:val="24"/>
          <w:highlight w:val="none"/>
        </w:rPr>
        <w:t>甲方</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或医院</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有权拒付合同价以外的任何费用。</w:t>
      </w:r>
    </w:p>
    <w:p w14:paraId="22435B46">
      <w:pPr>
        <w:keepNext w:val="0"/>
        <w:keepLines w:val="0"/>
        <w:pageBreakBefore w:val="0"/>
        <w:widowControl/>
        <w:kinsoku/>
        <w:wordWrap/>
        <w:overflowPunct/>
        <w:topLinePunct w:val="0"/>
        <w:autoSpaceDE/>
        <w:autoSpaceDN/>
        <w:bidi w:val="0"/>
        <w:adjustRightInd/>
        <w:snapToGrid/>
        <w:spacing w:line="480" w:lineRule="exact"/>
        <w:ind w:firstLine="472" w:firstLineChars="196"/>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五</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交货地点</w:t>
      </w:r>
    </w:p>
    <w:p w14:paraId="1012182D">
      <w:pPr>
        <w:keepNext w:val="0"/>
        <w:keepLines w:val="0"/>
        <w:pageBreakBefore w:val="0"/>
        <w:widowControl/>
        <w:kinsoku/>
        <w:wordWrap/>
        <w:overflowPunct/>
        <w:topLinePunct w:val="0"/>
        <w:autoSpaceDE/>
        <w:autoSpaceDN/>
        <w:bidi w:val="0"/>
        <w:adjustRightInd/>
        <w:snapToGrid/>
        <w:spacing w:line="480" w:lineRule="exact"/>
        <w:ind w:firstLine="470" w:firstLineChars="196"/>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医院指定地点。</w:t>
      </w:r>
    </w:p>
    <w:p w14:paraId="38ED3F99">
      <w:pPr>
        <w:keepNext w:val="0"/>
        <w:keepLines w:val="0"/>
        <w:pageBreakBefore w:val="0"/>
        <w:widowControl/>
        <w:kinsoku/>
        <w:wordWrap/>
        <w:overflowPunct/>
        <w:topLinePunct w:val="0"/>
        <w:autoSpaceDE/>
        <w:autoSpaceDN/>
        <w:bidi w:val="0"/>
        <w:adjustRightInd/>
        <w:snapToGrid/>
        <w:spacing w:line="480" w:lineRule="exact"/>
        <w:ind w:firstLine="472" w:firstLineChars="196"/>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六、交货要求</w:t>
      </w:r>
    </w:p>
    <w:p w14:paraId="1355AF34">
      <w:pPr>
        <w:keepNext w:val="0"/>
        <w:keepLines w:val="0"/>
        <w:pageBreakBefore w:val="0"/>
        <w:widowControl/>
        <w:kinsoku/>
        <w:wordWrap/>
        <w:overflowPunct/>
        <w:topLinePunct w:val="0"/>
        <w:autoSpaceDE/>
        <w:autoSpaceDN/>
        <w:bidi w:val="0"/>
        <w:adjustRightInd/>
        <w:snapToGrid/>
        <w:spacing w:line="480" w:lineRule="exact"/>
        <w:ind w:firstLine="470" w:firstLineChars="196"/>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签订合同后，乙方须按甲方（或医院）提供的耗材供应配送需求清单分批次进行交货。乙方应自行踏勘各医院所需耗材的交货地点，充分了解运距、路况等，依据所签订的供应配送合同按时、按质、按量完成所有耗材的采购、运输、交货工作，保证所需耗材均能满足医院使用要求。</w:t>
      </w:r>
      <w:r>
        <w:rPr>
          <w:rFonts w:hint="eastAsia" w:asciiTheme="minorEastAsia" w:hAnsiTheme="minorEastAsia" w:eastAsiaTheme="minorEastAsia" w:cstheme="minorEastAsia"/>
          <w:color w:val="auto"/>
          <w:kern w:val="0"/>
          <w:sz w:val="24"/>
          <w:szCs w:val="24"/>
          <w:highlight w:val="none"/>
          <w:lang w:val="en-US" w:eastAsia="zh-CN"/>
        </w:rPr>
        <w:t>供应配送中所产生的费用及运输途中的损耗由供应商承担。</w:t>
      </w:r>
      <w:r>
        <w:rPr>
          <w:rFonts w:hint="eastAsia" w:asciiTheme="minorEastAsia" w:hAnsiTheme="minorEastAsia" w:eastAsiaTheme="minorEastAsia" w:cstheme="minorEastAsia"/>
          <w:b w:val="0"/>
          <w:bCs/>
          <w:color w:val="auto"/>
          <w:sz w:val="24"/>
          <w:szCs w:val="24"/>
          <w:highlight w:val="none"/>
          <w:lang w:val="en-US" w:eastAsia="zh-CN"/>
        </w:rPr>
        <w:t>如供应配送的医用耗材与本合同要求不符的，乙方须无条件更换，并承担由此产生的相关费用。</w:t>
      </w:r>
    </w:p>
    <w:p w14:paraId="609C4E87">
      <w:pPr>
        <w:keepNext w:val="0"/>
        <w:keepLines w:val="0"/>
        <w:pageBreakBefore w:val="0"/>
        <w:widowControl/>
        <w:kinsoku/>
        <w:wordWrap/>
        <w:overflowPunct/>
        <w:topLinePunct w:val="0"/>
        <w:autoSpaceDE/>
        <w:autoSpaceDN/>
        <w:bidi w:val="0"/>
        <w:adjustRightInd/>
        <w:snapToGrid/>
        <w:spacing w:line="480" w:lineRule="exact"/>
        <w:ind w:firstLine="472" w:firstLineChars="196"/>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七、供应配送时限要求</w:t>
      </w:r>
    </w:p>
    <w:p w14:paraId="3FC9617E">
      <w:pPr>
        <w:keepNext w:val="0"/>
        <w:keepLines w:val="0"/>
        <w:pageBreakBefore w:val="0"/>
        <w:widowControl/>
        <w:kinsoku/>
        <w:wordWrap/>
        <w:overflowPunct/>
        <w:topLinePunct w:val="0"/>
        <w:autoSpaceDE/>
        <w:autoSpaceDN/>
        <w:bidi w:val="0"/>
        <w:adjustRightInd/>
        <w:snapToGrid/>
        <w:spacing w:line="480" w:lineRule="exact"/>
        <w:ind w:firstLine="470" w:firstLineChars="196"/>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u w:val="none"/>
          <w:lang w:val="en-US" w:eastAsia="zh-CN"/>
        </w:rPr>
        <w:t>接到甲方（或医院）配送需求后，乙方应在</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sz w:val="24"/>
          <w:szCs w:val="24"/>
          <w:highlight w:val="none"/>
          <w:u w:val="none"/>
          <w:lang w:val="en-US" w:eastAsia="zh-CN"/>
        </w:rPr>
        <w:t>个工作日内完成所需医用耗材的供应配送工作，</w:t>
      </w:r>
      <w:r>
        <w:rPr>
          <w:rFonts w:hint="eastAsia" w:asciiTheme="minorEastAsia" w:hAnsiTheme="minorEastAsia" w:eastAsiaTheme="minorEastAsia" w:cstheme="minorEastAsia"/>
          <w:color w:val="auto"/>
          <w:sz w:val="24"/>
          <w:szCs w:val="24"/>
          <w:highlight w:val="none"/>
          <w:lang w:val="en-US" w:eastAsia="zh-CN"/>
        </w:rPr>
        <w:t>紧急情况下，耗材供应配送时间不得超过24小时。</w:t>
      </w:r>
    </w:p>
    <w:p w14:paraId="5F2F2F8E">
      <w:pPr>
        <w:keepNext w:val="0"/>
        <w:keepLines w:val="0"/>
        <w:pageBreakBefore w:val="0"/>
        <w:widowControl/>
        <w:kinsoku/>
        <w:wordWrap/>
        <w:overflowPunct/>
        <w:topLinePunct w:val="0"/>
        <w:autoSpaceDE/>
        <w:autoSpaceDN/>
        <w:bidi w:val="0"/>
        <w:adjustRightInd/>
        <w:snapToGrid/>
        <w:spacing w:line="480" w:lineRule="exact"/>
        <w:ind w:firstLine="472" w:firstLineChars="196"/>
        <w:jc w:val="left"/>
        <w:textAlignment w:val="auto"/>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lang w:val="en-US" w:eastAsia="zh-CN"/>
        </w:rPr>
        <w:t>八</w:t>
      </w:r>
      <w:r>
        <w:rPr>
          <w:rFonts w:hint="eastAsia" w:asciiTheme="minorEastAsia" w:hAnsiTheme="minorEastAsia" w:eastAsiaTheme="minorEastAsia" w:cstheme="minorEastAsia"/>
          <w:b/>
          <w:color w:val="auto"/>
          <w:kern w:val="0"/>
          <w:sz w:val="24"/>
          <w:szCs w:val="24"/>
          <w:highlight w:val="none"/>
        </w:rPr>
        <w:t>、合同履行期</w:t>
      </w:r>
      <w:r>
        <w:rPr>
          <w:rFonts w:hint="eastAsia" w:asciiTheme="minorEastAsia" w:hAnsiTheme="minorEastAsia" w:eastAsiaTheme="minorEastAsia" w:cstheme="minorEastAsia"/>
          <w:b/>
          <w:color w:val="auto"/>
          <w:kern w:val="0"/>
          <w:sz w:val="24"/>
          <w:szCs w:val="24"/>
          <w:highlight w:val="none"/>
          <w:lang w:val="en-US" w:eastAsia="zh-CN"/>
        </w:rPr>
        <w:t>限</w:t>
      </w:r>
    </w:p>
    <w:p w14:paraId="3C565DBB">
      <w:pPr>
        <w:keepNext w:val="0"/>
        <w:keepLines w:val="0"/>
        <w:pageBreakBefore w:val="0"/>
        <w:widowControl/>
        <w:kinsoku/>
        <w:wordWrap/>
        <w:overflowPunct/>
        <w:topLinePunct w:val="0"/>
        <w:autoSpaceDE/>
        <w:autoSpaceDN/>
        <w:bidi w:val="0"/>
        <w:adjustRightInd/>
        <w:snapToGrid/>
        <w:spacing w:line="480" w:lineRule="exact"/>
        <w:ind w:firstLine="470" w:firstLineChars="196"/>
        <w:jc w:val="left"/>
        <w:textAlignment w:val="auto"/>
        <w:rPr>
          <w:rFonts w:hint="default"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自合同签订之日起1年</w:t>
      </w:r>
      <w:r>
        <w:rPr>
          <w:rFonts w:hint="eastAsia" w:asciiTheme="minorEastAsia" w:hAnsiTheme="minorEastAsia" w:eastAsiaTheme="minorEastAsia" w:cstheme="minorEastAsia"/>
          <w:b w:val="0"/>
          <w:bCs/>
          <w:color w:val="auto"/>
          <w:kern w:val="0"/>
          <w:sz w:val="24"/>
          <w:szCs w:val="24"/>
          <w:highlight w:val="none"/>
        </w:rPr>
        <w:t>。</w:t>
      </w:r>
      <w:r>
        <w:rPr>
          <w:rFonts w:hint="eastAsia" w:asciiTheme="minorEastAsia" w:hAnsiTheme="minorEastAsia" w:eastAsiaTheme="minorEastAsia" w:cstheme="minorEastAsia"/>
          <w:b w:val="0"/>
          <w:bCs/>
          <w:color w:val="auto"/>
          <w:kern w:val="0"/>
          <w:sz w:val="24"/>
          <w:szCs w:val="24"/>
          <w:highlight w:val="none"/>
          <w:lang w:val="en-US" w:eastAsia="zh-CN"/>
        </w:rPr>
        <w:t xml:space="preserve">  年   月   日至   年   月   日。</w:t>
      </w:r>
    </w:p>
    <w:p w14:paraId="2CD9CF56">
      <w:pPr>
        <w:keepNext w:val="0"/>
        <w:keepLines w:val="0"/>
        <w:pageBreakBefore w:val="0"/>
        <w:widowControl/>
        <w:kinsoku/>
        <w:wordWrap/>
        <w:overflowPunct/>
        <w:topLinePunct w:val="0"/>
        <w:autoSpaceDE/>
        <w:autoSpaceDN/>
        <w:bidi w:val="0"/>
        <w:adjustRightInd/>
        <w:snapToGrid/>
        <w:spacing w:line="480" w:lineRule="exact"/>
        <w:ind w:firstLine="472" w:firstLineChars="196"/>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九</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产品</w:t>
      </w:r>
      <w:r>
        <w:rPr>
          <w:rFonts w:hint="eastAsia" w:asciiTheme="minorEastAsia" w:hAnsiTheme="minorEastAsia" w:eastAsiaTheme="minorEastAsia" w:cstheme="minorEastAsia"/>
          <w:b/>
          <w:color w:val="auto"/>
          <w:sz w:val="24"/>
          <w:szCs w:val="24"/>
          <w:highlight w:val="none"/>
        </w:rPr>
        <w:t>质量要求</w:t>
      </w:r>
    </w:p>
    <w:p w14:paraId="73596928">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0" w:firstLineChars="20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所供耗材必须是全新未使用过的，满足国家质量标准和行业规范，符合</w:t>
      </w:r>
      <w:r>
        <w:rPr>
          <w:rFonts w:hint="eastAsia" w:asciiTheme="minorEastAsia" w:hAnsiTheme="minorEastAsia" w:eastAsiaTheme="minorEastAsia" w:cstheme="minorEastAsia"/>
          <w:color w:val="auto"/>
          <w:kern w:val="0"/>
          <w:sz w:val="24"/>
          <w:szCs w:val="24"/>
          <w:highlight w:val="none"/>
          <w:lang w:val="en-US" w:eastAsia="zh-CN"/>
        </w:rPr>
        <w:t>经注册或备案的产品技术要求</w:t>
      </w:r>
      <w:r>
        <w:rPr>
          <w:rFonts w:hint="eastAsia" w:asciiTheme="minorEastAsia" w:hAnsiTheme="minorEastAsia" w:eastAsiaTheme="minorEastAsia" w:cstheme="minorEastAsia"/>
          <w:color w:val="auto"/>
          <w:kern w:val="0"/>
          <w:sz w:val="24"/>
          <w:szCs w:val="24"/>
          <w:highlight w:val="none"/>
        </w:rPr>
        <w:t>，配送至</w:t>
      </w:r>
      <w:r>
        <w:rPr>
          <w:rFonts w:hint="eastAsia" w:asciiTheme="minorEastAsia" w:hAnsiTheme="minorEastAsia" w:eastAsiaTheme="minorEastAsia" w:cstheme="minorEastAsia"/>
          <w:color w:val="auto"/>
          <w:kern w:val="0"/>
          <w:sz w:val="24"/>
          <w:szCs w:val="24"/>
          <w:highlight w:val="none"/>
          <w:lang w:val="en-US" w:eastAsia="zh-CN"/>
        </w:rPr>
        <w:t>医院之时</w:t>
      </w:r>
      <w:r>
        <w:rPr>
          <w:rFonts w:hint="eastAsia" w:asciiTheme="minorEastAsia" w:hAnsiTheme="minorEastAsia" w:eastAsiaTheme="minorEastAsia" w:cstheme="minorEastAsia"/>
          <w:color w:val="auto"/>
          <w:kern w:val="0"/>
          <w:sz w:val="24"/>
          <w:szCs w:val="24"/>
          <w:highlight w:val="none"/>
        </w:rPr>
        <w:t>剩余保质期时间须不低于额定保质期的四分之三</w:t>
      </w:r>
      <w:r>
        <w:rPr>
          <w:rFonts w:hint="eastAsia" w:asciiTheme="minorEastAsia" w:hAnsiTheme="minorEastAsia" w:eastAsiaTheme="minorEastAsia" w:cstheme="minorEastAsia"/>
          <w:color w:val="auto"/>
          <w:kern w:val="0"/>
          <w:sz w:val="24"/>
          <w:szCs w:val="24"/>
          <w:highlight w:val="none"/>
          <w:lang w:eastAsia="zh-CN"/>
        </w:rPr>
        <w:t>。</w:t>
      </w:r>
    </w:p>
    <w:p w14:paraId="0FC30ABF">
      <w:pPr>
        <w:keepNext w:val="0"/>
        <w:keepLines w:val="0"/>
        <w:pageBreakBefore w:val="0"/>
        <w:widowControl/>
        <w:kinsoku/>
        <w:wordWrap/>
        <w:overflowPunct/>
        <w:topLinePunct w:val="0"/>
        <w:autoSpaceDE/>
        <w:autoSpaceDN/>
        <w:bidi w:val="0"/>
        <w:adjustRightInd/>
        <w:snapToGrid/>
        <w:spacing w:line="480" w:lineRule="exact"/>
        <w:ind w:firstLine="470" w:firstLineChars="196"/>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2.乙方</w:t>
      </w:r>
      <w:r>
        <w:rPr>
          <w:rFonts w:hint="eastAsia" w:asciiTheme="minorEastAsia" w:hAnsiTheme="minorEastAsia" w:eastAsiaTheme="minorEastAsia" w:cstheme="minorEastAsia"/>
          <w:color w:val="auto"/>
          <w:kern w:val="0"/>
          <w:sz w:val="24"/>
          <w:szCs w:val="24"/>
          <w:highlight w:val="none"/>
        </w:rPr>
        <w:t>须保证所供耗材与</w:t>
      </w:r>
      <w:r>
        <w:rPr>
          <w:rFonts w:hint="eastAsia" w:asciiTheme="minorEastAsia" w:hAnsiTheme="minorEastAsia" w:eastAsiaTheme="minorEastAsia" w:cstheme="minorEastAsia"/>
          <w:color w:val="auto"/>
          <w:kern w:val="0"/>
          <w:sz w:val="24"/>
          <w:szCs w:val="24"/>
          <w:highlight w:val="none"/>
          <w:lang w:val="en-US" w:eastAsia="zh-CN"/>
        </w:rPr>
        <w:t>医院</w:t>
      </w:r>
      <w:r>
        <w:rPr>
          <w:rFonts w:hint="eastAsia" w:asciiTheme="minorEastAsia" w:hAnsiTheme="minorEastAsia" w:eastAsiaTheme="minorEastAsia" w:cstheme="minorEastAsia"/>
          <w:color w:val="auto"/>
          <w:kern w:val="0"/>
          <w:sz w:val="24"/>
          <w:szCs w:val="24"/>
          <w:highlight w:val="none"/>
        </w:rPr>
        <w:t>目前所使用的医疗设备</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仪器</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医疗方法</w:t>
      </w:r>
      <w:r>
        <w:rPr>
          <w:rFonts w:hint="eastAsia" w:asciiTheme="minorEastAsia" w:hAnsiTheme="minorEastAsia" w:eastAsiaTheme="minorEastAsia" w:cstheme="minorEastAsia"/>
          <w:color w:val="auto"/>
          <w:kern w:val="0"/>
          <w:sz w:val="24"/>
          <w:szCs w:val="24"/>
          <w:highlight w:val="none"/>
          <w:lang w:val="en-US" w:eastAsia="zh-CN"/>
        </w:rPr>
        <w:t>相匹配</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以确保医院的诊疗效果。若乙方所供耗材与医院目前所使用的医疗设备（仪器）、医疗方法不匹配，无法达到使用效果的，甲方（或医院）有权</w:t>
      </w:r>
      <w:r>
        <w:rPr>
          <w:rFonts w:hint="eastAsia" w:asciiTheme="minorEastAsia" w:hAnsiTheme="minorEastAsia" w:eastAsiaTheme="minorEastAsia" w:cstheme="minorEastAsia"/>
          <w:color w:val="auto"/>
          <w:kern w:val="0"/>
          <w:sz w:val="24"/>
          <w:szCs w:val="24"/>
          <w:highlight w:val="none"/>
          <w:lang w:eastAsia="zh-CN"/>
        </w:rPr>
        <w:t>要求</w:t>
      </w:r>
      <w:r>
        <w:rPr>
          <w:rFonts w:hint="eastAsia" w:asciiTheme="minorEastAsia" w:hAnsiTheme="minorEastAsia" w:eastAsiaTheme="minorEastAsia" w:cstheme="minorEastAsia"/>
          <w:color w:val="auto"/>
          <w:kern w:val="0"/>
          <w:sz w:val="24"/>
          <w:szCs w:val="24"/>
          <w:highlight w:val="none"/>
          <w:lang w:val="en-US" w:eastAsia="zh-CN"/>
        </w:rPr>
        <w:t>乙方</w:t>
      </w:r>
      <w:r>
        <w:rPr>
          <w:rFonts w:hint="eastAsia" w:asciiTheme="minorEastAsia" w:hAnsiTheme="minorEastAsia" w:eastAsiaTheme="minorEastAsia" w:cstheme="minorEastAsia"/>
          <w:color w:val="auto"/>
          <w:kern w:val="0"/>
          <w:sz w:val="24"/>
          <w:szCs w:val="24"/>
          <w:highlight w:val="none"/>
          <w:lang w:eastAsia="zh-CN"/>
        </w:rPr>
        <w:t>更换</w:t>
      </w:r>
      <w:r>
        <w:rPr>
          <w:rFonts w:hint="eastAsia" w:asciiTheme="minorEastAsia" w:hAnsiTheme="minorEastAsia" w:eastAsiaTheme="minorEastAsia" w:cstheme="minorEastAsia"/>
          <w:color w:val="auto"/>
          <w:kern w:val="0"/>
          <w:sz w:val="24"/>
          <w:szCs w:val="24"/>
          <w:highlight w:val="none"/>
          <w:lang w:val="en-US" w:eastAsia="zh-CN"/>
        </w:rPr>
        <w:t>相应耗材</w:t>
      </w:r>
      <w:r>
        <w:rPr>
          <w:rFonts w:hint="eastAsia" w:asciiTheme="minorEastAsia" w:hAnsiTheme="minorEastAsia" w:eastAsiaTheme="minorEastAsia" w:cstheme="minorEastAsia"/>
          <w:color w:val="auto"/>
          <w:kern w:val="0"/>
          <w:sz w:val="24"/>
          <w:szCs w:val="24"/>
          <w:highlight w:val="none"/>
          <w:lang w:eastAsia="zh-CN"/>
        </w:rPr>
        <w:t>直至</w:t>
      </w:r>
      <w:r>
        <w:rPr>
          <w:rFonts w:hint="eastAsia" w:asciiTheme="minorEastAsia" w:hAnsiTheme="minorEastAsia" w:eastAsiaTheme="minorEastAsia" w:cstheme="minorEastAsia"/>
          <w:color w:val="auto"/>
          <w:kern w:val="0"/>
          <w:sz w:val="24"/>
          <w:szCs w:val="24"/>
          <w:highlight w:val="none"/>
          <w:lang w:val="en-US" w:eastAsia="zh-CN"/>
        </w:rPr>
        <w:t>达到使用效果</w:t>
      </w:r>
      <w:r>
        <w:rPr>
          <w:rFonts w:hint="eastAsia" w:asciiTheme="minorEastAsia" w:hAnsiTheme="minorEastAsia" w:eastAsiaTheme="minorEastAsia" w:cstheme="minorEastAsia"/>
          <w:color w:val="auto"/>
          <w:kern w:val="0"/>
          <w:sz w:val="24"/>
          <w:szCs w:val="24"/>
          <w:highlight w:val="none"/>
          <w:lang w:eastAsia="zh-CN"/>
        </w:rPr>
        <w:t>为止，</w:t>
      </w:r>
      <w:r>
        <w:rPr>
          <w:rFonts w:hint="eastAsia" w:asciiTheme="minorEastAsia" w:hAnsiTheme="minorEastAsia" w:eastAsiaTheme="minorEastAsia" w:cstheme="minorEastAsia"/>
          <w:color w:val="auto"/>
          <w:kern w:val="0"/>
          <w:sz w:val="24"/>
          <w:szCs w:val="24"/>
          <w:highlight w:val="none"/>
          <w:lang w:val="en-US" w:eastAsia="zh-CN"/>
        </w:rPr>
        <w:t>采购人（或医院）不另行支付因此产生的费用。</w:t>
      </w:r>
    </w:p>
    <w:p w14:paraId="7A22E3BC">
      <w:pPr>
        <w:keepNext w:val="0"/>
        <w:keepLines w:val="0"/>
        <w:pageBreakBefore w:val="0"/>
        <w:widowControl/>
        <w:kinsoku/>
        <w:wordWrap/>
        <w:overflowPunct/>
        <w:topLinePunct w:val="0"/>
        <w:autoSpaceDE/>
        <w:autoSpaceDN/>
        <w:bidi w:val="0"/>
        <w:adjustRightInd/>
        <w:snapToGrid/>
        <w:spacing w:line="480" w:lineRule="exact"/>
        <w:ind w:firstLine="472" w:firstLineChars="196"/>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十、验收要求</w:t>
      </w:r>
    </w:p>
    <w:p w14:paraId="7C7FBD1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zh-CN"/>
        </w:rPr>
        <w:t>甲方（或医院）</w:t>
      </w:r>
      <w:r>
        <w:rPr>
          <w:rFonts w:hint="eastAsia" w:asciiTheme="minorEastAsia" w:hAnsiTheme="minorEastAsia" w:eastAsiaTheme="minorEastAsia" w:cstheme="minorEastAsia"/>
          <w:color w:val="auto"/>
          <w:kern w:val="0"/>
          <w:sz w:val="24"/>
          <w:szCs w:val="24"/>
          <w:highlight w:val="none"/>
          <w:lang w:val="en-US" w:eastAsia="zh-CN"/>
        </w:rPr>
        <w:t>应在</w:t>
      </w:r>
      <w:r>
        <w:rPr>
          <w:rFonts w:hint="eastAsia" w:asciiTheme="minorEastAsia" w:hAnsiTheme="minorEastAsia" w:eastAsiaTheme="minorEastAsia" w:cstheme="minorEastAsia"/>
          <w:color w:val="auto"/>
          <w:kern w:val="0"/>
          <w:sz w:val="24"/>
          <w:szCs w:val="24"/>
          <w:highlight w:val="none"/>
          <w:lang w:eastAsia="zh-CN"/>
        </w:rPr>
        <w:t>收到</w:t>
      </w:r>
      <w:r>
        <w:rPr>
          <w:rFonts w:hint="eastAsia" w:asciiTheme="minorEastAsia" w:hAnsiTheme="minorEastAsia" w:eastAsiaTheme="minorEastAsia" w:cstheme="minorEastAsia"/>
          <w:color w:val="auto"/>
          <w:kern w:val="0"/>
          <w:sz w:val="24"/>
          <w:szCs w:val="24"/>
          <w:highlight w:val="none"/>
          <w:lang w:val="en-US" w:eastAsia="zh-CN"/>
        </w:rPr>
        <w:t>乙方</w:t>
      </w:r>
      <w:r>
        <w:rPr>
          <w:rFonts w:hint="eastAsia" w:asciiTheme="minorEastAsia" w:hAnsiTheme="minorEastAsia" w:eastAsiaTheme="minorEastAsia" w:cstheme="minorEastAsia"/>
          <w:color w:val="auto"/>
          <w:kern w:val="0"/>
          <w:sz w:val="24"/>
          <w:szCs w:val="24"/>
          <w:highlight w:val="none"/>
          <w:lang w:eastAsia="zh-CN"/>
        </w:rPr>
        <w:t>交付耗材</w:t>
      </w:r>
      <w:r>
        <w:rPr>
          <w:rFonts w:hint="eastAsia" w:asciiTheme="minorEastAsia" w:hAnsiTheme="minorEastAsia" w:eastAsiaTheme="minorEastAsia" w:cstheme="minorEastAsia"/>
          <w:color w:val="auto"/>
          <w:kern w:val="0"/>
          <w:sz w:val="24"/>
          <w:szCs w:val="24"/>
          <w:highlight w:val="none"/>
          <w:lang w:val="en-US" w:eastAsia="zh-CN"/>
        </w:rPr>
        <w:t>后2日内进行验收，由双方验收人员</w:t>
      </w:r>
      <w:r>
        <w:rPr>
          <w:rFonts w:hint="eastAsia" w:asciiTheme="minorEastAsia" w:hAnsiTheme="minorEastAsia" w:eastAsiaTheme="minorEastAsia" w:cstheme="minorEastAsia"/>
          <w:color w:val="auto"/>
          <w:kern w:val="0"/>
          <w:sz w:val="24"/>
          <w:szCs w:val="24"/>
          <w:highlight w:val="none"/>
          <w:lang w:eastAsia="zh-CN"/>
        </w:rPr>
        <w:t>确认耗材的名称、规格、数量以及外观等情况，</w:t>
      </w:r>
      <w:r>
        <w:rPr>
          <w:rFonts w:hint="eastAsia" w:asciiTheme="minorEastAsia" w:hAnsiTheme="minorEastAsia" w:eastAsiaTheme="minorEastAsia" w:cstheme="minorEastAsia"/>
          <w:color w:val="auto"/>
          <w:kern w:val="0"/>
          <w:sz w:val="24"/>
          <w:szCs w:val="24"/>
          <w:highlight w:val="none"/>
          <w:lang w:val="en-US" w:eastAsia="zh-CN"/>
        </w:rPr>
        <w:t>所供耗材与供应配送合同、配送清单一致的</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双方验收人员在验收单据上签字确认，不一致的应当场通知乙方进行更换，并在验收单据中进行说明。</w:t>
      </w:r>
    </w:p>
    <w:p w14:paraId="43DB8B2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lang w:eastAsia="zh-CN"/>
        </w:rPr>
        <w:t>验收时</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lang w:val="en-US" w:eastAsia="zh-CN"/>
        </w:rPr>
        <w:t>（或医院）</w:t>
      </w:r>
      <w:r>
        <w:rPr>
          <w:rFonts w:hint="eastAsia" w:asciiTheme="minorEastAsia" w:hAnsiTheme="minorEastAsia" w:eastAsiaTheme="minorEastAsia" w:cstheme="minorEastAsia"/>
          <w:color w:val="auto"/>
          <w:kern w:val="0"/>
          <w:sz w:val="24"/>
          <w:szCs w:val="24"/>
          <w:highlight w:val="none"/>
          <w:lang w:eastAsia="zh-CN"/>
        </w:rPr>
        <w:t>有权当面拒收破损或</w:t>
      </w:r>
      <w:r>
        <w:rPr>
          <w:rFonts w:hint="eastAsia" w:asciiTheme="minorEastAsia" w:hAnsiTheme="minorEastAsia" w:eastAsiaTheme="minorEastAsia" w:cstheme="minorEastAsia"/>
          <w:color w:val="auto"/>
          <w:kern w:val="0"/>
          <w:sz w:val="24"/>
          <w:szCs w:val="24"/>
          <w:highlight w:val="none"/>
          <w:lang w:val="en-US" w:eastAsia="zh-CN"/>
        </w:rPr>
        <w:t>不符合合同约定的</w:t>
      </w:r>
      <w:r>
        <w:rPr>
          <w:rFonts w:hint="eastAsia" w:asciiTheme="minorEastAsia" w:hAnsiTheme="minorEastAsia" w:eastAsiaTheme="minorEastAsia" w:cstheme="minorEastAsia"/>
          <w:color w:val="auto"/>
          <w:kern w:val="0"/>
          <w:sz w:val="24"/>
          <w:szCs w:val="24"/>
          <w:highlight w:val="none"/>
          <w:lang w:eastAsia="zh-CN"/>
        </w:rPr>
        <w:t>耗材，</w:t>
      </w:r>
      <w:r>
        <w:rPr>
          <w:rFonts w:hint="eastAsia" w:asciiTheme="minorEastAsia" w:hAnsiTheme="minorEastAsia" w:eastAsiaTheme="minorEastAsia" w:cstheme="minorEastAsia"/>
          <w:color w:val="auto"/>
          <w:kern w:val="0"/>
          <w:sz w:val="24"/>
          <w:szCs w:val="24"/>
          <w:highlight w:val="none"/>
          <w:lang w:val="en-US" w:eastAsia="zh-CN"/>
        </w:rPr>
        <w:t>并有权要求乙方进行更换，由此产生的费用乙方自行承担</w:t>
      </w:r>
      <w:r>
        <w:rPr>
          <w:rFonts w:hint="eastAsia" w:asciiTheme="minorEastAsia" w:hAnsiTheme="minorEastAsia" w:eastAsiaTheme="minorEastAsia" w:cstheme="minorEastAsia"/>
          <w:color w:val="auto"/>
          <w:kern w:val="0"/>
          <w:sz w:val="24"/>
          <w:szCs w:val="24"/>
          <w:highlight w:val="none"/>
          <w:lang w:eastAsia="zh-CN"/>
        </w:rPr>
        <w:t>。</w:t>
      </w:r>
    </w:p>
    <w:p w14:paraId="703F9B5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3.乙方所供应耗材的有</w:t>
      </w:r>
      <w:r>
        <w:rPr>
          <w:rFonts w:hint="eastAsia" w:asciiTheme="minorEastAsia" w:hAnsiTheme="minorEastAsia" w:eastAsiaTheme="minorEastAsia" w:cstheme="minorEastAsia"/>
          <w:color w:val="auto"/>
          <w:kern w:val="0"/>
          <w:sz w:val="24"/>
          <w:szCs w:val="24"/>
          <w:highlight w:val="none"/>
          <w:lang w:eastAsia="zh-CN"/>
        </w:rPr>
        <w:t>效期低于</w:t>
      </w:r>
      <w:r>
        <w:rPr>
          <w:rFonts w:hint="eastAsia" w:asciiTheme="minorEastAsia" w:hAnsiTheme="minorEastAsia" w:eastAsiaTheme="minorEastAsia" w:cstheme="minorEastAsia"/>
          <w:color w:val="auto"/>
          <w:kern w:val="0"/>
          <w:sz w:val="24"/>
          <w:szCs w:val="24"/>
          <w:highlight w:val="none"/>
          <w:lang w:val="en-US" w:eastAsia="zh-CN"/>
        </w:rPr>
        <w:t>该耗材</w:t>
      </w:r>
      <w:r>
        <w:rPr>
          <w:rFonts w:hint="eastAsia" w:asciiTheme="minorEastAsia" w:hAnsiTheme="minorEastAsia" w:eastAsiaTheme="minorEastAsia" w:cstheme="minorEastAsia"/>
          <w:color w:val="auto"/>
          <w:kern w:val="0"/>
          <w:sz w:val="24"/>
          <w:szCs w:val="24"/>
          <w:highlight w:val="none"/>
          <w:lang w:eastAsia="zh-CN"/>
        </w:rPr>
        <w:t>额定保质期的四分之三的耗材，</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lang w:val="en-US" w:eastAsia="zh-CN"/>
        </w:rPr>
        <w:t>（或医院）</w:t>
      </w:r>
      <w:r>
        <w:rPr>
          <w:rFonts w:hint="eastAsia" w:asciiTheme="minorEastAsia" w:hAnsiTheme="minorEastAsia" w:eastAsiaTheme="minorEastAsia" w:cstheme="minorEastAsia"/>
          <w:color w:val="auto"/>
          <w:kern w:val="0"/>
          <w:sz w:val="24"/>
          <w:szCs w:val="24"/>
          <w:highlight w:val="none"/>
          <w:lang w:val="en-US" w:eastAsia="zh-CN"/>
        </w:rPr>
        <w:t>应</w:t>
      </w:r>
      <w:r>
        <w:rPr>
          <w:rFonts w:hint="eastAsia" w:asciiTheme="minorEastAsia" w:hAnsiTheme="minorEastAsia" w:eastAsiaTheme="minorEastAsia" w:cstheme="minorEastAsia"/>
          <w:color w:val="auto"/>
          <w:kern w:val="0"/>
          <w:sz w:val="24"/>
          <w:szCs w:val="24"/>
          <w:highlight w:val="none"/>
          <w:lang w:eastAsia="zh-CN"/>
        </w:rPr>
        <w:t>拒收，</w:t>
      </w:r>
      <w:r>
        <w:rPr>
          <w:rFonts w:hint="eastAsia" w:asciiTheme="minorEastAsia" w:hAnsiTheme="minorEastAsia" w:eastAsiaTheme="minorEastAsia" w:cstheme="minorEastAsia"/>
          <w:color w:val="auto"/>
          <w:kern w:val="0"/>
          <w:sz w:val="24"/>
          <w:szCs w:val="24"/>
          <w:highlight w:val="none"/>
          <w:lang w:val="en-US" w:eastAsia="zh-CN"/>
        </w:rPr>
        <w:t>并有权要求乙方进行更换，由此产生的费用乙方自行承担</w:t>
      </w:r>
      <w:r>
        <w:rPr>
          <w:rFonts w:hint="eastAsia" w:asciiTheme="minorEastAsia" w:hAnsiTheme="minorEastAsia" w:eastAsiaTheme="minorEastAsia" w:cstheme="minorEastAsia"/>
          <w:color w:val="auto"/>
          <w:kern w:val="0"/>
          <w:sz w:val="24"/>
          <w:szCs w:val="24"/>
          <w:highlight w:val="none"/>
          <w:lang w:eastAsia="zh-CN"/>
        </w:rPr>
        <w:t>。</w:t>
      </w:r>
    </w:p>
    <w:p w14:paraId="61FC6FE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4.甲方</w:t>
      </w:r>
      <w:r>
        <w:rPr>
          <w:rFonts w:hint="eastAsia" w:asciiTheme="minorEastAsia" w:hAnsiTheme="minorEastAsia" w:eastAsiaTheme="minorEastAsia" w:cstheme="minorEastAsia"/>
          <w:color w:val="auto"/>
          <w:sz w:val="24"/>
          <w:szCs w:val="24"/>
          <w:highlight w:val="none"/>
          <w:lang w:val="en-US" w:eastAsia="zh-CN"/>
        </w:rPr>
        <w:t>（或医院）</w:t>
      </w:r>
      <w:r>
        <w:rPr>
          <w:rFonts w:hint="eastAsia" w:asciiTheme="minorEastAsia" w:hAnsiTheme="minorEastAsia" w:eastAsiaTheme="minorEastAsia" w:cstheme="minorEastAsia"/>
          <w:color w:val="auto"/>
          <w:kern w:val="0"/>
          <w:sz w:val="24"/>
          <w:szCs w:val="24"/>
          <w:highlight w:val="none"/>
          <w:lang w:eastAsia="zh-CN"/>
        </w:rPr>
        <w:t>或上级部门有权定期不定期抽查（抽检）</w:t>
      </w:r>
      <w:r>
        <w:rPr>
          <w:rFonts w:hint="eastAsia" w:asciiTheme="minorEastAsia" w:hAnsiTheme="minorEastAsia" w:eastAsiaTheme="minorEastAsia" w:cstheme="minorEastAsia"/>
          <w:color w:val="auto"/>
          <w:kern w:val="0"/>
          <w:sz w:val="24"/>
          <w:szCs w:val="24"/>
          <w:highlight w:val="none"/>
          <w:lang w:val="en-US" w:eastAsia="zh-CN"/>
        </w:rPr>
        <w:t>乙方供应配送</w:t>
      </w:r>
      <w:r>
        <w:rPr>
          <w:rFonts w:hint="eastAsia" w:asciiTheme="minorEastAsia" w:hAnsiTheme="minorEastAsia" w:eastAsiaTheme="minorEastAsia" w:cstheme="minorEastAsia"/>
          <w:color w:val="auto"/>
          <w:kern w:val="0"/>
          <w:sz w:val="24"/>
          <w:szCs w:val="24"/>
          <w:highlight w:val="none"/>
          <w:lang w:eastAsia="zh-CN"/>
        </w:rPr>
        <w:t>的耗材，若发现耗材质量不达标</w:t>
      </w:r>
      <w:r>
        <w:rPr>
          <w:rFonts w:hint="eastAsia" w:asciiTheme="minorEastAsia" w:hAnsiTheme="minorEastAsia" w:eastAsiaTheme="minorEastAsia" w:cstheme="minorEastAsia"/>
          <w:color w:val="auto"/>
          <w:kern w:val="0"/>
          <w:sz w:val="24"/>
          <w:szCs w:val="24"/>
          <w:highlight w:val="none"/>
          <w:lang w:val="en-US" w:eastAsia="zh-CN"/>
        </w:rPr>
        <w:t>的</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lang w:val="en-US" w:eastAsia="zh-CN"/>
        </w:rPr>
        <w:t>（或医院）</w:t>
      </w:r>
      <w:r>
        <w:rPr>
          <w:rFonts w:hint="eastAsia" w:asciiTheme="minorEastAsia" w:hAnsiTheme="minorEastAsia" w:eastAsiaTheme="minorEastAsia" w:cstheme="minorEastAsia"/>
          <w:color w:val="auto"/>
          <w:kern w:val="0"/>
          <w:sz w:val="24"/>
          <w:szCs w:val="24"/>
          <w:highlight w:val="none"/>
          <w:lang w:eastAsia="zh-CN"/>
        </w:rPr>
        <w:t>有权退货，</w:t>
      </w:r>
      <w:r>
        <w:rPr>
          <w:rFonts w:hint="eastAsia" w:asciiTheme="minorEastAsia" w:hAnsiTheme="minorEastAsia" w:eastAsiaTheme="minorEastAsia" w:cstheme="minorEastAsia"/>
          <w:color w:val="auto"/>
          <w:kern w:val="0"/>
          <w:sz w:val="24"/>
          <w:szCs w:val="24"/>
          <w:highlight w:val="none"/>
          <w:lang w:val="en-US" w:eastAsia="zh-CN"/>
        </w:rPr>
        <w:t>由乙方进行更换，所造成的损失及责任由乙方承担。</w:t>
      </w:r>
    </w:p>
    <w:p w14:paraId="469F1F2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5.因乙方所供应配送</w:t>
      </w:r>
      <w:r>
        <w:rPr>
          <w:rFonts w:hint="eastAsia" w:asciiTheme="minorEastAsia" w:hAnsiTheme="minorEastAsia" w:eastAsiaTheme="minorEastAsia" w:cstheme="minorEastAsia"/>
          <w:color w:val="auto"/>
          <w:kern w:val="0"/>
          <w:sz w:val="24"/>
          <w:szCs w:val="24"/>
          <w:highlight w:val="none"/>
          <w:lang w:eastAsia="zh-CN"/>
        </w:rPr>
        <w:t>的耗材质量问题引起医疗纠纷</w:t>
      </w:r>
      <w:r>
        <w:rPr>
          <w:rFonts w:hint="eastAsia" w:asciiTheme="minorEastAsia" w:hAnsiTheme="minorEastAsia" w:eastAsiaTheme="minorEastAsia" w:cstheme="minorEastAsia"/>
          <w:color w:val="auto"/>
          <w:kern w:val="0"/>
          <w:sz w:val="24"/>
          <w:szCs w:val="24"/>
          <w:highlight w:val="none"/>
          <w:lang w:val="en-US" w:eastAsia="zh-CN"/>
        </w:rPr>
        <w:t>的</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乙方</w:t>
      </w:r>
      <w:r>
        <w:rPr>
          <w:rFonts w:hint="eastAsia" w:asciiTheme="minorEastAsia" w:hAnsiTheme="minorEastAsia" w:eastAsiaTheme="minorEastAsia" w:cstheme="minorEastAsia"/>
          <w:color w:val="auto"/>
          <w:kern w:val="0"/>
          <w:sz w:val="24"/>
          <w:szCs w:val="24"/>
          <w:highlight w:val="none"/>
          <w:lang w:eastAsia="zh-CN"/>
        </w:rPr>
        <w:t>应承担相应的赔偿责任。</w:t>
      </w:r>
    </w:p>
    <w:p w14:paraId="1FFC1A98">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十一、合同结算及付款</w:t>
      </w:r>
    </w:p>
    <w:p w14:paraId="0A74BD9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（一）合同结算</w:t>
      </w:r>
    </w:p>
    <w:p w14:paraId="7302A0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rPr>
        <w:t>以合同结算单价为依据，按</w:t>
      </w:r>
      <w:r>
        <w:rPr>
          <w:rFonts w:hint="eastAsia" w:asciiTheme="minorEastAsia" w:hAnsiTheme="minorEastAsia" w:eastAsiaTheme="minorEastAsia" w:cstheme="minorEastAsia"/>
          <w:b w:val="0"/>
          <w:bCs w:val="0"/>
          <w:color w:val="auto"/>
          <w:sz w:val="24"/>
          <w:szCs w:val="24"/>
          <w:highlight w:val="none"/>
          <w:lang w:val="en-US" w:eastAsia="zh-CN"/>
        </w:rPr>
        <w:t>供应商实际供应配送耗材数量据实结算。</w:t>
      </w:r>
    </w:p>
    <w:p w14:paraId="56B47598">
      <w:pPr>
        <w:keepNext w:val="0"/>
        <w:keepLines w:val="0"/>
        <w:pageBreakBefore w:val="0"/>
        <w:widowControl/>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（二）结算数量</w:t>
      </w:r>
    </w:p>
    <w:p w14:paraId="2690F786">
      <w:pPr>
        <w:keepNext w:val="0"/>
        <w:keepLines w:val="0"/>
        <w:pageBreakBefore w:val="0"/>
        <w:widowControl/>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1.乙方接到</w:t>
      </w:r>
      <w:r>
        <w:rPr>
          <w:rFonts w:hint="eastAsia" w:asciiTheme="minorEastAsia" w:hAnsiTheme="minorEastAsia" w:eastAsiaTheme="minorEastAsia" w:cstheme="minorEastAsia"/>
          <w:b w:val="0"/>
          <w:bCs/>
          <w:color w:val="auto"/>
          <w:sz w:val="24"/>
          <w:szCs w:val="24"/>
          <w:highlight w:val="none"/>
          <w:u w:val="none"/>
          <w:lang w:val="en-US" w:eastAsia="zh-CN"/>
        </w:rPr>
        <w:t>甲方（或医院）</w:t>
      </w:r>
      <w:r>
        <w:rPr>
          <w:rFonts w:hint="eastAsia" w:asciiTheme="minorEastAsia" w:hAnsiTheme="minorEastAsia" w:eastAsiaTheme="minorEastAsia" w:cstheme="minorEastAsia"/>
          <w:b w:val="0"/>
          <w:bCs/>
          <w:color w:val="auto"/>
          <w:kern w:val="0"/>
          <w:sz w:val="24"/>
          <w:szCs w:val="24"/>
          <w:highlight w:val="none"/>
          <w:lang w:val="en-US" w:eastAsia="zh-CN"/>
        </w:rPr>
        <w:t>的供应配送通知后，按</w:t>
      </w:r>
      <w:r>
        <w:rPr>
          <w:rFonts w:hint="eastAsia" w:asciiTheme="minorEastAsia" w:hAnsiTheme="minorEastAsia" w:eastAsiaTheme="minorEastAsia" w:cstheme="minorEastAsia"/>
          <w:b w:val="0"/>
          <w:bCs/>
          <w:color w:val="auto"/>
          <w:sz w:val="24"/>
          <w:szCs w:val="24"/>
          <w:highlight w:val="none"/>
          <w:u w:val="none"/>
          <w:lang w:val="en-US" w:eastAsia="zh-CN"/>
        </w:rPr>
        <w:t>甲方（或医院）</w:t>
      </w:r>
      <w:r>
        <w:rPr>
          <w:rFonts w:hint="eastAsia" w:asciiTheme="minorEastAsia" w:hAnsiTheme="minorEastAsia" w:eastAsiaTheme="minorEastAsia" w:cstheme="minorEastAsia"/>
          <w:b w:val="0"/>
          <w:bCs/>
          <w:color w:val="auto"/>
          <w:kern w:val="0"/>
          <w:sz w:val="24"/>
          <w:szCs w:val="24"/>
          <w:highlight w:val="none"/>
          <w:lang w:val="en-US" w:eastAsia="zh-CN"/>
        </w:rPr>
        <w:t>提供的供应配送需求清单完成供应配送。</w:t>
      </w:r>
    </w:p>
    <w:p w14:paraId="348F746C">
      <w:pPr>
        <w:keepNext w:val="0"/>
        <w:keepLines w:val="0"/>
        <w:pageBreakBefore w:val="0"/>
        <w:widowControl/>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2.供应配送验收单据经甲乙双方签字确认后作为结算依据。</w:t>
      </w:r>
    </w:p>
    <w:p w14:paraId="3206F25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（三）结算</w:t>
      </w:r>
    </w:p>
    <w:p w14:paraId="2AD78792">
      <w:pPr>
        <w:keepNext w:val="0"/>
        <w:keepLines w:val="0"/>
        <w:pageBreakBefore w:val="0"/>
        <w:widowControl/>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以结算单价乘以结算数量计算供应配送耗材的结算价。</w:t>
      </w:r>
    </w:p>
    <w:p w14:paraId="595119D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（四）付款</w:t>
      </w:r>
    </w:p>
    <w:p w14:paraId="60BB109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1.乙方根据当批次供应配送耗材的结算价向</w:t>
      </w:r>
      <w:r>
        <w:rPr>
          <w:rFonts w:hint="eastAsia" w:asciiTheme="minorEastAsia" w:hAnsiTheme="minorEastAsia" w:eastAsiaTheme="minorEastAsia" w:cstheme="minorEastAsia"/>
          <w:b w:val="0"/>
          <w:bCs/>
          <w:color w:val="auto"/>
          <w:sz w:val="24"/>
          <w:szCs w:val="24"/>
          <w:highlight w:val="none"/>
          <w:u w:val="none"/>
          <w:lang w:val="en-US" w:eastAsia="zh-CN"/>
        </w:rPr>
        <w:t>甲方（或医院）</w:t>
      </w:r>
      <w:r>
        <w:rPr>
          <w:rFonts w:hint="eastAsia" w:asciiTheme="minorEastAsia" w:hAnsiTheme="minorEastAsia" w:eastAsiaTheme="minorEastAsia" w:cstheme="minorEastAsia"/>
          <w:b w:val="0"/>
          <w:bCs/>
          <w:color w:val="auto"/>
          <w:kern w:val="0"/>
          <w:sz w:val="24"/>
          <w:szCs w:val="24"/>
          <w:highlight w:val="none"/>
          <w:lang w:val="en-US" w:eastAsia="zh-CN"/>
        </w:rPr>
        <w:t>开具正式发票及相关单据，经</w:t>
      </w:r>
      <w:r>
        <w:rPr>
          <w:rFonts w:hint="eastAsia" w:asciiTheme="minorEastAsia" w:hAnsiTheme="minorEastAsia" w:eastAsiaTheme="minorEastAsia" w:cstheme="minorEastAsia"/>
          <w:b w:val="0"/>
          <w:bCs/>
          <w:color w:val="auto"/>
          <w:sz w:val="24"/>
          <w:szCs w:val="24"/>
          <w:highlight w:val="none"/>
          <w:u w:val="none"/>
          <w:lang w:val="en-US" w:eastAsia="zh-CN"/>
        </w:rPr>
        <w:t>甲方（或医院）</w:t>
      </w:r>
      <w:r>
        <w:rPr>
          <w:rFonts w:hint="eastAsia" w:asciiTheme="minorEastAsia" w:hAnsiTheme="minorEastAsia" w:eastAsiaTheme="minorEastAsia" w:cstheme="minorEastAsia"/>
          <w:b w:val="0"/>
          <w:bCs/>
          <w:color w:val="auto"/>
          <w:kern w:val="0"/>
          <w:sz w:val="24"/>
          <w:szCs w:val="24"/>
          <w:highlight w:val="none"/>
          <w:lang w:val="en-US" w:eastAsia="zh-CN"/>
        </w:rPr>
        <w:t>确认无误后由医共体各成员单位分别向乙方支付。乙方未开具发票或开具发票不合格导致甲方逾期付款的，甲方不承担责任。</w:t>
      </w:r>
    </w:p>
    <w:p w14:paraId="5A25854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2.支付时间及比例</w:t>
      </w:r>
    </w:p>
    <w:p w14:paraId="208FC9D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p>
    <w:p w14:paraId="6A85137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 xml:space="preserve">3.乙方指定以下账户为收款账户： </w:t>
      </w:r>
    </w:p>
    <w:p w14:paraId="79F029E4">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账户名称：</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lang w:val="en-US" w:eastAsia="zh-CN"/>
        </w:rPr>
        <w:t>；</w:t>
      </w:r>
    </w:p>
    <w:p w14:paraId="44A420AB">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开户银行：</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lang w:val="en-US" w:eastAsia="zh-CN"/>
        </w:rPr>
        <w:t>；</w:t>
      </w:r>
    </w:p>
    <w:p w14:paraId="38A9D4D3">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银行账号：</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lang w:val="en-US" w:eastAsia="zh-CN"/>
        </w:rPr>
        <w:t>。</w:t>
      </w:r>
    </w:p>
    <w:p w14:paraId="334D181E">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十二、</w:t>
      </w:r>
      <w:r>
        <w:rPr>
          <w:rFonts w:hint="eastAsia" w:asciiTheme="minorEastAsia" w:hAnsiTheme="minorEastAsia" w:eastAsiaTheme="minorEastAsia" w:cstheme="minorEastAsia"/>
          <w:b/>
          <w:color w:val="auto"/>
          <w:sz w:val="24"/>
          <w:szCs w:val="24"/>
          <w:highlight w:val="none"/>
        </w:rPr>
        <w:t>双方的权利和义务</w:t>
      </w:r>
    </w:p>
    <w:p w14:paraId="4085545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（一）甲方的权利和义务</w:t>
      </w:r>
    </w:p>
    <w:p w14:paraId="7A20964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1.负责合同签订后项目实施的有关工作，如与乙方的具体联系和衔接、指派项目联系人等。</w:t>
      </w:r>
    </w:p>
    <w:p w14:paraId="618B23E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u w:val="singl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甲方联系人：</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lang w:val="en-US" w:eastAsia="zh-CN"/>
        </w:rPr>
        <w:t>，联系电话：</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u w:val="none"/>
          <w:lang w:val="en-US" w:eastAsia="zh-CN"/>
        </w:rPr>
        <w:t>。</w:t>
      </w:r>
    </w:p>
    <w:p w14:paraId="2FEA078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2.负责提供耗材供应配送所必须的场地和环境。</w:t>
      </w:r>
    </w:p>
    <w:p w14:paraId="4B0323B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3.根据自身需求及本合同约定的耗材种类、数量、规格，指定专人向乙方提交耗材供应配送需求清单。</w:t>
      </w:r>
    </w:p>
    <w:p w14:paraId="0FAC825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4.指定专人与乙方指定的供应配送人员共同核验供应配送的耗材，并在供应配送清单签字确认。</w:t>
      </w:r>
    </w:p>
    <w:p w14:paraId="4800F26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甲方（或医院）指定的核验人：</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lang w:val="en-US" w:eastAsia="zh-CN"/>
        </w:rPr>
        <w:t>，联系电话：</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u w:val="none"/>
          <w:lang w:val="en-US" w:eastAsia="zh-CN"/>
        </w:rPr>
        <w:t>。</w:t>
      </w:r>
    </w:p>
    <w:p w14:paraId="6C8A390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5.负责成立验收小组，对供应配送耗材进行验收。</w:t>
      </w:r>
    </w:p>
    <w:p w14:paraId="5573240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（1）甲方收到乙方交付的耗材后，甲方（或医院）应确认耗材的名称、规格、数量以及外观等情况，若发现任何不符或异常，应在发现</w:t>
      </w:r>
      <w:r>
        <w:rPr>
          <w:rFonts w:hint="eastAsia" w:asciiTheme="minorEastAsia" w:hAnsiTheme="minorEastAsia" w:eastAsiaTheme="minorEastAsia" w:cstheme="minorEastAsia"/>
          <w:b w:val="0"/>
          <w:bCs/>
          <w:color w:val="auto"/>
          <w:kern w:val="0"/>
          <w:sz w:val="24"/>
          <w:szCs w:val="24"/>
          <w:highlight w:val="none"/>
          <w:u w:val="none"/>
          <w:lang w:val="en-US" w:eastAsia="zh-CN"/>
        </w:rPr>
        <w:t>当日</w:t>
      </w:r>
      <w:r>
        <w:rPr>
          <w:rFonts w:hint="eastAsia" w:asciiTheme="minorEastAsia" w:hAnsiTheme="minorEastAsia" w:eastAsiaTheme="minorEastAsia" w:cstheme="minorEastAsia"/>
          <w:b w:val="0"/>
          <w:bCs/>
          <w:color w:val="auto"/>
          <w:kern w:val="0"/>
          <w:sz w:val="24"/>
          <w:szCs w:val="24"/>
          <w:highlight w:val="none"/>
          <w:lang w:val="en-US" w:eastAsia="zh-CN"/>
        </w:rPr>
        <w:t>内将有关异常或不符通知乙方，乙方予以及时处理。</w:t>
      </w:r>
    </w:p>
    <w:p w14:paraId="1779533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（2）验收时甲方（或医院）有权当面拒收破损或出现质量问题的耗材，但应在验收单据上注明破损或出现质量问题的耗材名称、规格、数量。</w:t>
      </w:r>
    </w:p>
    <w:p w14:paraId="11A65A6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（3）甲方（或医院）在验收时发现的错发、多发、漏发的，应及时通知乙方，并要求乙方进行换、退、补发。</w:t>
      </w:r>
    </w:p>
    <w:p w14:paraId="75817AD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（4）乙方所供应耗材的有效期低于该耗材额定保质期的四分之三的耗材，甲方（或医院）应拒收，并有权要求乙方进行更换。</w:t>
      </w:r>
    </w:p>
    <w:p w14:paraId="0187A5B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6.审核乙方报送的结算清单。</w:t>
      </w:r>
    </w:p>
    <w:p w14:paraId="0D885C3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7.按合同约定分别向乙方支付合同价款。</w:t>
      </w:r>
    </w:p>
    <w:p w14:paraId="6DD37D4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8.按合同规定享有乙方提供的售后服务。</w:t>
      </w:r>
    </w:p>
    <w:p w14:paraId="64BEFFA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9.承担所有耗材验收后的相关风险。</w:t>
      </w:r>
    </w:p>
    <w:p w14:paraId="5B23442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12.其他应由甲方（或医院）承担的义务。</w:t>
      </w:r>
    </w:p>
    <w:p w14:paraId="78374D3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（二）乙方的权利和义务</w:t>
      </w:r>
    </w:p>
    <w:p w14:paraId="0F5F6E5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1.乙方保证按合同约定完成甲方（或医院）所需耗材的供应配送，并保证提供的耗材满足甲方使用要求。</w:t>
      </w:r>
    </w:p>
    <w:p w14:paraId="4FF19DD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2.保证甲方（或医院）在耗材使用期间不受第三方提出侵犯其专利权、商标权和工业设计权的起诉，且对合作过程中所知晓的商业秘密等应当保密的信息予以保密。</w:t>
      </w:r>
    </w:p>
    <w:p w14:paraId="7BF25BC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val="0"/>
          <w:bCs/>
          <w:color w:val="auto"/>
          <w:kern w:val="0"/>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乙方</w:t>
      </w:r>
      <w:r>
        <w:rPr>
          <w:rFonts w:hint="eastAsia" w:asciiTheme="minorEastAsia" w:hAnsiTheme="minorEastAsia" w:eastAsiaTheme="minorEastAsia" w:cstheme="minorEastAsia"/>
          <w:bCs/>
          <w:color w:val="auto"/>
          <w:sz w:val="24"/>
          <w:szCs w:val="24"/>
          <w:highlight w:val="none"/>
          <w:lang w:val="en-US" w:eastAsia="zh-CN"/>
        </w:rPr>
        <w:t>应保证供应配送到甲方</w:t>
      </w:r>
      <w:r>
        <w:rPr>
          <w:rFonts w:hint="eastAsia" w:asciiTheme="minorEastAsia" w:hAnsiTheme="minorEastAsia" w:eastAsiaTheme="minorEastAsia" w:cstheme="minorEastAsia"/>
          <w:b w:val="0"/>
          <w:bCs/>
          <w:color w:val="auto"/>
          <w:kern w:val="0"/>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val="en-US" w:eastAsia="zh-CN"/>
        </w:rPr>
        <w:t>的</w:t>
      </w:r>
      <w:r>
        <w:rPr>
          <w:rFonts w:hint="eastAsia" w:asciiTheme="minorEastAsia" w:hAnsiTheme="minorEastAsia" w:eastAsiaTheme="minorEastAsia" w:cstheme="minorEastAsia"/>
          <w:bCs/>
          <w:color w:val="auto"/>
          <w:sz w:val="24"/>
          <w:szCs w:val="24"/>
          <w:highlight w:val="none"/>
        </w:rPr>
        <w:t>耗材</w:t>
      </w:r>
      <w:r>
        <w:rPr>
          <w:rFonts w:hint="eastAsia" w:asciiTheme="minorEastAsia" w:hAnsiTheme="minorEastAsia" w:eastAsiaTheme="minorEastAsia" w:cstheme="minorEastAsia"/>
          <w:bCs/>
          <w:color w:val="auto"/>
          <w:sz w:val="24"/>
          <w:szCs w:val="24"/>
          <w:highlight w:val="none"/>
          <w:lang w:val="en-US" w:eastAsia="zh-CN"/>
        </w:rPr>
        <w:t>符合以下要求</w:t>
      </w:r>
      <w:r>
        <w:rPr>
          <w:rFonts w:hint="eastAsia" w:asciiTheme="minorEastAsia" w:hAnsiTheme="minorEastAsia" w:eastAsiaTheme="minorEastAsia" w:cstheme="minorEastAsia"/>
          <w:bCs/>
          <w:color w:val="auto"/>
          <w:sz w:val="24"/>
          <w:szCs w:val="24"/>
          <w:highlight w:val="none"/>
        </w:rPr>
        <w:t>：</w:t>
      </w:r>
    </w:p>
    <w:p w14:paraId="680FB8A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为合法企业所生产的耗材，具有监督管理部门核发的批准文号</w:t>
      </w:r>
      <w:r>
        <w:rPr>
          <w:rFonts w:hint="eastAsia" w:asciiTheme="minorEastAsia" w:hAnsiTheme="minorEastAsia" w:eastAsiaTheme="minorEastAsia" w:cstheme="minorEastAsia"/>
          <w:bCs/>
          <w:color w:val="auto"/>
          <w:sz w:val="24"/>
          <w:szCs w:val="24"/>
          <w:highlight w:val="none"/>
          <w:lang w:eastAsia="zh-CN"/>
        </w:rPr>
        <w:t>；</w:t>
      </w:r>
    </w:p>
    <w:p w14:paraId="53D4921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质量符合国家</w:t>
      </w:r>
      <w:r>
        <w:rPr>
          <w:rFonts w:hint="eastAsia" w:asciiTheme="minorEastAsia" w:hAnsiTheme="minorEastAsia" w:eastAsiaTheme="minorEastAsia" w:cstheme="minorEastAsia"/>
          <w:bCs/>
          <w:color w:val="auto"/>
          <w:sz w:val="24"/>
          <w:szCs w:val="24"/>
          <w:highlight w:val="none"/>
          <w:lang w:val="en-US" w:eastAsia="zh-CN"/>
        </w:rPr>
        <w:t>及相关行业</w:t>
      </w:r>
      <w:r>
        <w:rPr>
          <w:rFonts w:hint="eastAsia" w:asciiTheme="minorEastAsia" w:hAnsiTheme="minorEastAsia" w:eastAsiaTheme="minorEastAsia" w:cstheme="minorEastAsia"/>
          <w:bCs/>
          <w:color w:val="auto"/>
          <w:sz w:val="24"/>
          <w:szCs w:val="24"/>
          <w:highlight w:val="none"/>
        </w:rPr>
        <w:t>标准</w:t>
      </w:r>
      <w:r>
        <w:rPr>
          <w:rFonts w:hint="eastAsia" w:asciiTheme="minorEastAsia" w:hAnsiTheme="minorEastAsia" w:eastAsiaTheme="minorEastAsia" w:cstheme="minorEastAsia"/>
          <w:bCs/>
          <w:color w:val="auto"/>
          <w:sz w:val="24"/>
          <w:szCs w:val="24"/>
          <w:highlight w:val="none"/>
          <w:lang w:eastAsia="zh-CN"/>
        </w:rPr>
        <w:t>；</w:t>
      </w:r>
    </w:p>
    <w:p w14:paraId="7CAE2CC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包装和标签符合国家有关规定和储运要求</w:t>
      </w:r>
      <w:r>
        <w:rPr>
          <w:rFonts w:hint="eastAsia" w:asciiTheme="minorEastAsia" w:hAnsiTheme="minorEastAsia" w:eastAsiaTheme="minorEastAsia" w:cstheme="minorEastAsia"/>
          <w:bCs/>
          <w:color w:val="auto"/>
          <w:sz w:val="24"/>
          <w:szCs w:val="24"/>
          <w:highlight w:val="none"/>
          <w:lang w:eastAsia="zh-CN"/>
        </w:rPr>
        <w:t>；</w:t>
      </w:r>
    </w:p>
    <w:p w14:paraId="55B534C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所有耗材按批号提供出厂检验报告复印件</w:t>
      </w:r>
      <w:r>
        <w:rPr>
          <w:rFonts w:hint="eastAsia" w:asciiTheme="minorEastAsia" w:hAnsiTheme="minorEastAsia" w:eastAsiaTheme="minorEastAsia" w:cstheme="minorEastAsia"/>
          <w:bCs/>
          <w:color w:val="auto"/>
          <w:sz w:val="24"/>
          <w:szCs w:val="24"/>
          <w:highlight w:val="none"/>
          <w:lang w:eastAsia="zh-CN"/>
        </w:rPr>
        <w:t>；</w:t>
      </w:r>
    </w:p>
    <w:p w14:paraId="77ACF85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进口耗材提供符合规定的“注册证”和“检验报告”或“进口通关单”复印件</w:t>
      </w:r>
      <w:r>
        <w:rPr>
          <w:rFonts w:hint="eastAsia" w:asciiTheme="minorEastAsia" w:hAnsiTheme="minorEastAsia" w:eastAsiaTheme="minorEastAsia" w:cstheme="minorEastAsia"/>
          <w:bCs/>
          <w:color w:val="auto"/>
          <w:sz w:val="24"/>
          <w:szCs w:val="24"/>
          <w:highlight w:val="none"/>
          <w:lang w:eastAsia="zh-CN"/>
        </w:rPr>
        <w:t>；</w:t>
      </w:r>
    </w:p>
    <w:p w14:paraId="2321504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6</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实施电子监管的耗材，应附符合要求的条码</w:t>
      </w:r>
      <w:r>
        <w:rPr>
          <w:rFonts w:hint="eastAsia" w:asciiTheme="minorEastAsia" w:hAnsiTheme="minorEastAsia" w:eastAsiaTheme="minorEastAsia" w:cstheme="minorEastAsia"/>
          <w:bCs/>
          <w:color w:val="auto"/>
          <w:sz w:val="24"/>
          <w:szCs w:val="24"/>
          <w:highlight w:val="none"/>
          <w:lang w:eastAsia="zh-CN"/>
        </w:rPr>
        <w:t>；</w:t>
      </w:r>
    </w:p>
    <w:p w14:paraId="3F024C0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与耗材质量有关的其他</w:t>
      </w:r>
      <w:r>
        <w:rPr>
          <w:rFonts w:hint="eastAsia" w:asciiTheme="minorEastAsia" w:hAnsiTheme="minorEastAsia" w:eastAsiaTheme="minorEastAsia" w:cstheme="minorEastAsia"/>
          <w:color w:val="auto"/>
          <w:sz w:val="24"/>
          <w:szCs w:val="24"/>
          <w:highlight w:val="none"/>
          <w:lang w:val="en-US" w:eastAsia="zh-CN"/>
        </w:rPr>
        <w:t>要求。</w:t>
      </w:r>
    </w:p>
    <w:p w14:paraId="2636F7C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4.质保期内，如乙方提供的耗材如有质量问题，乙方应负责更换并承担相应费用。</w:t>
      </w:r>
    </w:p>
    <w:p w14:paraId="2611802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5.指定专人接收甲方（或医院）提交的耗材供应配送需求清单，与甲方（或医院）确认后进行供应配送。指定供应配送人员与甲方（或医院）指定核验人共同核验供应配送的耗材，并在供应配送清单签字确认。</w:t>
      </w:r>
    </w:p>
    <w:p w14:paraId="32C8CB4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kern w:val="0"/>
          <w:sz w:val="24"/>
          <w:szCs w:val="24"/>
          <w:highlight w:val="none"/>
          <w:u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乙方指定核验人：</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u w:val="none"/>
          <w:lang w:val="en-US"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联系电话：</w:t>
      </w:r>
      <w:r>
        <w:rPr>
          <w:rFonts w:hint="eastAsia" w:asciiTheme="minorEastAsia" w:hAnsiTheme="minorEastAsia" w:eastAsiaTheme="minorEastAsia" w:cstheme="minorEastAsia"/>
          <w:b w:val="0"/>
          <w:bCs/>
          <w:color w:val="auto"/>
          <w:kern w:val="0"/>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kern w:val="0"/>
          <w:sz w:val="24"/>
          <w:szCs w:val="24"/>
          <w:highlight w:val="none"/>
          <w:u w:val="none"/>
          <w:lang w:val="en-US" w:eastAsia="zh-CN"/>
        </w:rPr>
        <w:t>。</w:t>
      </w:r>
    </w:p>
    <w:p w14:paraId="75285A4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u w:val="none"/>
          <w:lang w:val="en-US" w:eastAsia="zh-CN"/>
        </w:rPr>
        <w:t>6.乙方向甲方供应配送耗材时应满足</w:t>
      </w:r>
      <w:r>
        <w:rPr>
          <w:rFonts w:hint="eastAsia" w:asciiTheme="minorEastAsia" w:hAnsiTheme="minorEastAsia" w:eastAsiaTheme="minorEastAsia" w:cstheme="minorEastAsia"/>
          <w:b w:val="0"/>
          <w:bCs/>
          <w:color w:val="auto"/>
          <w:kern w:val="0"/>
          <w:sz w:val="24"/>
          <w:szCs w:val="24"/>
          <w:highlight w:val="none"/>
          <w:lang w:val="en-US" w:eastAsia="zh-CN"/>
        </w:rPr>
        <w:t>：</w:t>
      </w:r>
    </w:p>
    <w:p w14:paraId="4B87789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承担</w:t>
      </w:r>
      <w:r>
        <w:rPr>
          <w:rFonts w:hint="eastAsia" w:asciiTheme="minorEastAsia" w:hAnsiTheme="minorEastAsia" w:eastAsiaTheme="minorEastAsia" w:cstheme="minorEastAsia"/>
          <w:bCs/>
          <w:color w:val="auto"/>
          <w:sz w:val="24"/>
          <w:szCs w:val="24"/>
          <w:highlight w:val="none"/>
          <w:lang w:val="en-US" w:eastAsia="zh-CN"/>
        </w:rPr>
        <w:t>所有耗材经甲方（或医院）验收合格的</w:t>
      </w:r>
      <w:r>
        <w:rPr>
          <w:rFonts w:hint="eastAsia" w:asciiTheme="minorEastAsia" w:hAnsiTheme="minorEastAsia" w:eastAsiaTheme="minorEastAsia" w:cstheme="minorEastAsia"/>
          <w:bCs/>
          <w:color w:val="auto"/>
          <w:sz w:val="24"/>
          <w:szCs w:val="24"/>
          <w:highlight w:val="none"/>
        </w:rPr>
        <w:t>所有费用。</w:t>
      </w:r>
    </w:p>
    <w:p w14:paraId="721BB6B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按合同约定时限完成所有耗材的供应及配送。</w:t>
      </w:r>
    </w:p>
    <w:p w14:paraId="71E83AE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如乙方因不可抗力不能在</w:t>
      </w:r>
      <w:r>
        <w:rPr>
          <w:rFonts w:hint="eastAsia" w:asciiTheme="minorEastAsia" w:hAnsiTheme="minorEastAsia" w:eastAsiaTheme="minorEastAsia" w:cstheme="minorEastAsia"/>
          <w:bCs/>
          <w:color w:val="auto"/>
          <w:sz w:val="24"/>
          <w:szCs w:val="24"/>
          <w:highlight w:val="none"/>
          <w:lang w:val="en-US" w:eastAsia="zh-CN"/>
        </w:rPr>
        <w:t>合同约定时限</w:t>
      </w:r>
      <w:r>
        <w:rPr>
          <w:rFonts w:hint="eastAsia" w:asciiTheme="minorEastAsia" w:hAnsiTheme="minorEastAsia" w:eastAsiaTheme="minorEastAsia" w:cstheme="minorEastAsia"/>
          <w:bCs/>
          <w:color w:val="auto"/>
          <w:sz w:val="24"/>
          <w:szCs w:val="24"/>
          <w:highlight w:val="none"/>
        </w:rPr>
        <w:t>内将</w:t>
      </w:r>
      <w:r>
        <w:rPr>
          <w:rFonts w:hint="eastAsia" w:asciiTheme="minorEastAsia" w:hAnsiTheme="minorEastAsia" w:eastAsiaTheme="minorEastAsia" w:cstheme="minorEastAsia"/>
          <w:bCs/>
          <w:color w:val="auto"/>
          <w:sz w:val="24"/>
          <w:szCs w:val="24"/>
          <w:highlight w:val="none"/>
          <w:lang w:val="en-US" w:eastAsia="zh-CN"/>
        </w:rPr>
        <w:t>耗材</w:t>
      </w:r>
      <w:r>
        <w:rPr>
          <w:rFonts w:hint="eastAsia" w:asciiTheme="minorEastAsia" w:hAnsiTheme="minorEastAsia" w:eastAsiaTheme="minorEastAsia" w:cstheme="minorEastAsia"/>
          <w:bCs/>
          <w:color w:val="auto"/>
          <w:sz w:val="24"/>
          <w:szCs w:val="24"/>
          <w:highlight w:val="none"/>
        </w:rPr>
        <w:t>送至甲方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的</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乙方应及时通知甲方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有权</w:t>
      </w:r>
      <w:r>
        <w:rPr>
          <w:rFonts w:hint="eastAsia" w:asciiTheme="minorEastAsia" w:hAnsiTheme="minorEastAsia" w:eastAsiaTheme="minorEastAsia" w:cstheme="minorEastAsia"/>
          <w:bCs/>
          <w:color w:val="auto"/>
          <w:sz w:val="24"/>
          <w:szCs w:val="24"/>
          <w:highlight w:val="none"/>
          <w:lang w:val="en-US" w:eastAsia="zh-CN"/>
        </w:rPr>
        <w:t>向第三方采购。</w:t>
      </w:r>
    </w:p>
    <w:p w14:paraId="4FFEE85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耗材送达甲方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时，应提供加盖乙方</w:t>
      </w:r>
      <w:r>
        <w:rPr>
          <w:rFonts w:hint="eastAsia" w:asciiTheme="minorEastAsia" w:hAnsiTheme="minorEastAsia" w:eastAsiaTheme="minorEastAsia" w:cstheme="minorEastAsia"/>
          <w:bCs/>
          <w:color w:val="auto"/>
          <w:sz w:val="24"/>
          <w:szCs w:val="24"/>
          <w:highlight w:val="none"/>
          <w:lang w:val="en-US" w:eastAsia="zh-CN"/>
        </w:rPr>
        <w:t>公章（或专用章）</w:t>
      </w:r>
      <w:r>
        <w:rPr>
          <w:rFonts w:hint="eastAsia" w:asciiTheme="minorEastAsia" w:hAnsiTheme="minorEastAsia" w:eastAsiaTheme="minorEastAsia" w:cstheme="minorEastAsia"/>
          <w:bCs/>
          <w:color w:val="auto"/>
          <w:sz w:val="24"/>
          <w:szCs w:val="24"/>
          <w:highlight w:val="none"/>
        </w:rPr>
        <w:t>的随货同行单（票）</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注明甲乙双方单位全名、耗材</w:t>
      </w:r>
      <w:r>
        <w:rPr>
          <w:rFonts w:hint="eastAsia" w:asciiTheme="minorEastAsia" w:hAnsiTheme="minorEastAsia" w:eastAsiaTheme="minorEastAsia" w:cstheme="minorEastAsia"/>
          <w:bCs/>
          <w:color w:val="auto"/>
          <w:sz w:val="24"/>
          <w:szCs w:val="24"/>
          <w:highlight w:val="none"/>
          <w:lang w:val="en-US" w:eastAsia="zh-CN"/>
        </w:rPr>
        <w:t>名称</w:t>
      </w:r>
      <w:r>
        <w:rPr>
          <w:rFonts w:hint="eastAsia" w:asciiTheme="minorEastAsia" w:hAnsiTheme="minorEastAsia" w:eastAsiaTheme="minorEastAsia" w:cstheme="minorEastAsia"/>
          <w:bCs/>
          <w:color w:val="auto"/>
          <w:sz w:val="24"/>
          <w:szCs w:val="24"/>
          <w:highlight w:val="none"/>
        </w:rPr>
        <w:t>、规格、生产企业、单价、数量、批号、有效期等内容。</w:t>
      </w:r>
    </w:p>
    <w:p w14:paraId="537CE66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 w:val="0"/>
          <w:bCs/>
          <w:color w:val="auto"/>
          <w:kern w:val="0"/>
          <w:sz w:val="24"/>
          <w:szCs w:val="24"/>
          <w:highlight w:val="none"/>
          <w:lang w:val="en-US" w:eastAsia="zh-CN"/>
        </w:rPr>
        <w:t>.配合甲方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完成供应配送耗材的验收。</w:t>
      </w:r>
    </w:p>
    <w:p w14:paraId="299A886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8.按规定向甲方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报送结算清单。</w:t>
      </w:r>
    </w:p>
    <w:p w14:paraId="60A299C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9.按合同约定向甲方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催收合同价款。</w:t>
      </w:r>
    </w:p>
    <w:p w14:paraId="665B9FD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10.为加强甲方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精细化的物流管理，甲方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实行物流SPD管理，乙方有义务积极支持甲方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SPD的推行和实施，并积极满足甲方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或医院</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0"/>
          <w:sz w:val="24"/>
          <w:szCs w:val="24"/>
          <w:highlight w:val="none"/>
          <w:lang w:val="en-US" w:eastAsia="zh-CN"/>
        </w:rPr>
        <w:t>SPD物流管理要求。</w:t>
      </w:r>
    </w:p>
    <w:p w14:paraId="2FD7862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11.承担所有耗材验收前的相关风险。</w:t>
      </w:r>
    </w:p>
    <w:p w14:paraId="61E9392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12.其他应由乙方承担的义务。</w:t>
      </w:r>
    </w:p>
    <w:p w14:paraId="04420F3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十三、违约责任</w:t>
      </w:r>
    </w:p>
    <w:p w14:paraId="187FA74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1.合同签订后，乙方必须按甲方（或医院）通知，指派专人进行所需耗材配送，乙方不得以任何理由拒绝配送，更不得以时间紧、价值低、数量少等借口拒绝或拖延配送，否则视为乙方违约，乙方应承担</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lang w:val="en-US" w:eastAsia="zh-CN"/>
        </w:rPr>
        <w:t>的违约金。由此给甲方（或医院）造成损失的，还应承担相应的赔偿责任。</w:t>
      </w:r>
    </w:p>
    <w:p w14:paraId="2814F4B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2.乙方应在合同约定时限内完成甲方（或医院）所需医用耗材的供应配送工作，若乙方接到甲方（或医院）通知后不能按期进行供应配送的，视为乙方违约，每延期一天承担</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lang w:val="en-US" w:eastAsia="zh-CN"/>
        </w:rPr>
        <w:t>元或当批次供应配送耗材总价款的</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lang w:val="en-US" w:eastAsia="zh-CN"/>
        </w:rPr>
        <w:t>%（两者取其高者）。如乙方单次供货延期超过2天或连续二次供应配送均达不到甲方（或医院）的时间要求的，甲方（或医院）有权取消乙方的当次或全部耗材供应配送资格。由此给甲方（或医院）造成损失的，还应承担相应的赔偿责任。</w:t>
      </w:r>
    </w:p>
    <w:p w14:paraId="107D9B9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乙方所供耗材与合同要求的质量标准不相符时，甲方（或医院）有权拒收耗材并要求乙方在规定时间内再次供应配送，如连续二次供应配送耗材均达不到质量要求的，甲方（或医院）有权取消乙方的当次或全部耗材的供应配送资格，给甲方（或医院）造成损失的，乙方应承担赔偿责任。</w:t>
      </w:r>
    </w:p>
    <w:p w14:paraId="473C108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4.如经双方协商同意或因需求紧急，乙方无法满足供货需求时，甲方有权就合同所列采购清单中的某些耗材向其他供应商择优采购，甲方（或医院）的此类行为不应被视为违约，也不承担违约责任。</w:t>
      </w:r>
    </w:p>
    <w:p w14:paraId="5BE9F24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5.甲方（或医院）或上级部门有权定期不定期抽查（抽检）乙方提供的耗材，若发现乙方提供耗材质量不达标，甲方（或医院）有权要求退货，乙方自行承担退货损失及其他因此造成的损失。如上级部门抽检不合格导致的罚款由乙方承担。</w:t>
      </w:r>
    </w:p>
    <w:p w14:paraId="3440AED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w:t>
      </w:r>
      <w:r>
        <w:rPr>
          <w:rFonts w:hint="eastAsia" w:asciiTheme="minorEastAsia" w:hAnsiTheme="minorEastAsia" w:eastAsiaTheme="minorEastAsia" w:cstheme="minorEastAsia"/>
          <w:b w:val="0"/>
          <w:bCs/>
          <w:color w:val="auto"/>
          <w:kern w:val="0"/>
          <w:sz w:val="24"/>
          <w:szCs w:val="24"/>
          <w:highlight w:val="none"/>
          <w:lang w:val="en-US" w:eastAsia="zh-CN"/>
        </w:rPr>
        <w:t>甲方（或医院）在耗材使用期间受到第三方提出侵犯其专利权、商标权和工业设计权等赔偿诉讼的，由乙方承担责任。同时给甲方（或医院）造成损失的，应承担赔偿责任。</w:t>
      </w:r>
    </w:p>
    <w:p w14:paraId="2347132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heme="minorEastAsia" w:hAnsiTheme="minorEastAsia" w:eastAsiaTheme="minorEastAsia" w:cstheme="minorEastAsia"/>
          <w:b w:val="0"/>
          <w:bCs/>
          <w:color w:val="auto"/>
          <w:kern w:val="0"/>
          <w:sz w:val="24"/>
          <w:szCs w:val="24"/>
          <w:highlight w:val="none"/>
          <w:lang w:val="en-US" w:eastAsia="zh-CN"/>
        </w:rPr>
      </w:pPr>
      <w:r>
        <w:rPr>
          <w:rFonts w:hint="eastAsia" w:asciiTheme="minorEastAsia" w:hAnsiTheme="minorEastAsia" w:eastAsiaTheme="minorEastAsia" w:cstheme="minorEastAsia"/>
          <w:b w:val="0"/>
          <w:bCs/>
          <w:color w:val="auto"/>
          <w:kern w:val="0"/>
          <w:sz w:val="24"/>
          <w:szCs w:val="24"/>
          <w:highlight w:val="none"/>
          <w:lang w:val="en-US" w:eastAsia="zh-CN"/>
        </w:rPr>
        <w:t>7.乙方违反保密义务给甲方（医院）造成经济损失的，应当予以赔偿，且甲方有权追究泄密人的相关法律责任。</w:t>
      </w:r>
    </w:p>
    <w:p w14:paraId="5B3DF62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8.招标文件要求及投标文件承诺的其他违约责任。</w:t>
      </w:r>
    </w:p>
    <w:p w14:paraId="278D286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9.本合同所称损失包括但不限于实际损失以及因维权产生的鉴定费、诉讼费、律师费等费用。</w:t>
      </w:r>
    </w:p>
    <w:p w14:paraId="4CA0465B">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十四</w:t>
      </w:r>
      <w:r>
        <w:rPr>
          <w:rFonts w:hint="eastAsia" w:asciiTheme="minorEastAsia" w:hAnsiTheme="minorEastAsia" w:eastAsiaTheme="minorEastAsia" w:cstheme="minorEastAsia"/>
          <w:b/>
          <w:color w:val="auto"/>
          <w:sz w:val="24"/>
          <w:szCs w:val="24"/>
          <w:highlight w:val="none"/>
        </w:rPr>
        <w:t xml:space="preserve">、采购合同的变更 </w:t>
      </w:r>
    </w:p>
    <w:p w14:paraId="65C2B8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olor w:val="auto"/>
          <w:highlight w:val="none"/>
          <w:lang w:val="en-US"/>
        </w:rPr>
      </w:pPr>
      <w:r>
        <w:rPr>
          <w:rFonts w:hint="eastAsia" w:asciiTheme="minorEastAsia" w:hAnsiTheme="minorEastAsia" w:eastAsiaTheme="minorEastAsia" w:cstheme="minorEastAsia"/>
          <w:bCs/>
          <w:color w:val="auto"/>
          <w:sz w:val="24"/>
          <w:szCs w:val="24"/>
          <w:highlight w:val="none"/>
          <w:lang w:val="en-US" w:eastAsia="zh-CN"/>
        </w:rPr>
        <w:t>在对双方的权利和义务不造成重大改变，不存在显著差异或保留，不影响到合同主要目标实施的前提下，甲乙双方协商一致可另行签订补充协议。</w:t>
      </w:r>
    </w:p>
    <w:p w14:paraId="5CE278B4">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十五、甲乙双方在履行合同过程中发生纠纷，双方协商解决，协商不成，甲乙双方均可以直接向甲方所在地人民法院提出诉讼。</w:t>
      </w:r>
    </w:p>
    <w:p w14:paraId="671B86CA">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0000FF"/>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十六、本合同其它事宜</w:t>
      </w:r>
      <w:r>
        <w:rPr>
          <w:rFonts w:hint="eastAsia" w:asciiTheme="minorEastAsia" w:hAnsiTheme="minorEastAsia" w:eastAsiaTheme="minorEastAsia" w:cstheme="minorEastAsia"/>
          <w:b/>
          <w:strike w:val="0"/>
          <w:dstrike w:val="0"/>
          <w:color w:val="auto"/>
          <w:sz w:val="24"/>
          <w:szCs w:val="24"/>
          <w:highlight w:val="none"/>
          <w:lang w:val="en-US" w:eastAsia="zh-CN"/>
        </w:rPr>
        <w:t>按《中华人民共和国民法典》有关规定处理</w:t>
      </w:r>
      <w:r>
        <w:rPr>
          <w:rFonts w:hint="eastAsia" w:asciiTheme="minorEastAsia" w:hAnsiTheme="minorEastAsia" w:eastAsiaTheme="minorEastAsia" w:cstheme="minorEastAsia"/>
          <w:b/>
          <w:color w:val="0000FF"/>
          <w:sz w:val="24"/>
          <w:szCs w:val="24"/>
          <w:highlight w:val="none"/>
          <w:lang w:val="en-US" w:eastAsia="zh-CN"/>
        </w:rPr>
        <w:t>。</w:t>
      </w:r>
    </w:p>
    <w:p w14:paraId="3762D36E">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十七、本合同一式</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color w:val="auto"/>
          <w:sz w:val="24"/>
          <w:szCs w:val="24"/>
          <w:highlight w:val="none"/>
          <w:lang w:val="en-US" w:eastAsia="zh-CN"/>
        </w:rPr>
        <w:t>份，甲乙双方各执</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color w:val="auto"/>
          <w:sz w:val="24"/>
          <w:szCs w:val="24"/>
          <w:highlight w:val="none"/>
          <w:lang w:val="en-US" w:eastAsia="zh-CN"/>
        </w:rPr>
        <w:t>份，具有同等法律效力。</w:t>
      </w:r>
    </w:p>
    <w:p w14:paraId="51EC6A13">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十八、本合同自双方法定代表人（授权代表）签字并盖章之日起生效。</w:t>
      </w:r>
    </w:p>
    <w:p w14:paraId="408D8FD8">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十九、以下文件为本合同不可分割部分，与本合同具有同等法律效力：</w:t>
      </w:r>
    </w:p>
    <w:p w14:paraId="42A1D9D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招标文件及其澄清文件（如有）；</w:t>
      </w:r>
    </w:p>
    <w:p w14:paraId="04B93FE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投标文件及其澄清文件（如有）；</w:t>
      </w:r>
    </w:p>
    <w:p w14:paraId="47345B5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通知书</w:t>
      </w:r>
      <w:r>
        <w:rPr>
          <w:rFonts w:hint="eastAsia" w:asciiTheme="minorEastAsia" w:hAnsiTheme="minorEastAsia" w:eastAsiaTheme="minorEastAsia" w:cstheme="minorEastAsia"/>
          <w:color w:val="auto"/>
          <w:sz w:val="24"/>
          <w:szCs w:val="24"/>
          <w:highlight w:val="none"/>
          <w:lang w:eastAsia="zh-CN"/>
        </w:rPr>
        <w:t>；</w:t>
      </w:r>
    </w:p>
    <w:p w14:paraId="190DDB3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.合同书附件，补充协议等与本项目有关的资料。</w:t>
      </w:r>
    </w:p>
    <w:p w14:paraId="1D3C1490">
      <w:pPr>
        <w:pStyle w:val="2"/>
        <w:rPr>
          <w:rFonts w:hint="eastAsia" w:asciiTheme="minorEastAsia" w:hAnsiTheme="minorEastAsia" w:eastAsiaTheme="minorEastAsia" w:cstheme="minorEastAsia"/>
          <w:color w:val="auto"/>
          <w:sz w:val="24"/>
          <w:szCs w:val="24"/>
          <w:highlight w:val="none"/>
          <w:lang w:val="en-US" w:eastAsia="zh-CN"/>
        </w:rPr>
      </w:pPr>
    </w:p>
    <w:p w14:paraId="5485F49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甲方（公章）：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乙方（公章）：</w:t>
      </w:r>
    </w:p>
    <w:p w14:paraId="390CB8D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法定（授权）代表人（签字）：</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法定（授权）代表人（签字）：</w:t>
      </w:r>
    </w:p>
    <w:p w14:paraId="6B7240D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签订时间：                                签订时间：</w:t>
      </w:r>
    </w:p>
    <w:p w14:paraId="72EE0152">
      <w:pPr>
        <w:pStyle w:val="2"/>
        <w:rPr>
          <w:rFonts w:hint="eastAsia" w:asciiTheme="minorEastAsia" w:hAnsiTheme="minorEastAsia" w:eastAsiaTheme="minorEastAsia" w:cstheme="minorEastAsia"/>
          <w:color w:val="auto"/>
          <w:sz w:val="24"/>
          <w:szCs w:val="24"/>
          <w:highlight w:val="none"/>
          <w:lang w:val="en-US" w:eastAsia="zh-CN"/>
        </w:rPr>
      </w:pPr>
    </w:p>
    <w:p w14:paraId="1AB631BF">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0325C991">
      <w:pPr>
        <w:pStyle w:val="34"/>
        <w:jc w:val="lef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附件：</w:t>
      </w:r>
    </w:p>
    <w:p w14:paraId="52B237F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Cs/>
          <w:color w:val="auto"/>
          <w:sz w:val="24"/>
          <w:highlight w:val="none"/>
          <w:u w:val="none"/>
          <w:lang w:val="en-US" w:eastAsia="zh-CN"/>
        </w:rPr>
      </w:pPr>
    </w:p>
    <w:p w14:paraId="17B00D8B">
      <w:pPr>
        <w:pStyle w:val="34"/>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Cs/>
          <w:color w:val="auto"/>
          <w:sz w:val="24"/>
          <w:highlight w:val="none"/>
          <w:u w:val="none"/>
          <w:lang w:val="en-US" w:eastAsia="zh-CN"/>
        </w:rPr>
        <w:t>临沧市临翔区人民医院2025年度医用耗材第二标段采购项目清单</w:t>
      </w:r>
    </w:p>
    <w:tbl>
      <w:tblPr>
        <w:tblStyle w:val="26"/>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594"/>
        <w:gridCol w:w="2261"/>
        <w:gridCol w:w="1164"/>
        <w:gridCol w:w="802"/>
        <w:gridCol w:w="947"/>
        <w:gridCol w:w="1176"/>
      </w:tblGrid>
      <w:tr w14:paraId="6374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4"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053DA038">
            <w:pPr>
              <w:pStyle w:val="16"/>
              <w:jc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color w:val="auto"/>
                <w:spacing w:val="-20"/>
                <w:sz w:val="21"/>
                <w:szCs w:val="21"/>
                <w:highlight w:val="none"/>
              </w:rPr>
              <w:t>序号</w:t>
            </w:r>
          </w:p>
        </w:tc>
        <w:tc>
          <w:tcPr>
            <w:tcW w:w="1594" w:type="dxa"/>
            <w:tcBorders>
              <w:top w:val="single" w:color="auto" w:sz="4" w:space="0"/>
              <w:left w:val="single" w:color="auto" w:sz="4" w:space="0"/>
              <w:bottom w:val="single" w:color="auto" w:sz="4" w:space="0"/>
              <w:right w:val="single" w:color="auto" w:sz="4" w:space="0"/>
            </w:tcBorders>
            <w:noWrap w:val="0"/>
            <w:vAlign w:val="center"/>
          </w:tcPr>
          <w:p w14:paraId="5CCB495F">
            <w:pPr>
              <w:widowControl/>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耗材名称</w:t>
            </w:r>
          </w:p>
        </w:tc>
        <w:tc>
          <w:tcPr>
            <w:tcW w:w="2261" w:type="dxa"/>
            <w:tcBorders>
              <w:top w:val="single" w:color="auto" w:sz="4" w:space="0"/>
              <w:left w:val="single" w:color="auto" w:sz="4" w:space="0"/>
              <w:bottom w:val="single" w:color="auto" w:sz="4" w:space="0"/>
              <w:right w:val="single" w:color="auto" w:sz="4" w:space="0"/>
            </w:tcBorders>
            <w:noWrap w:val="0"/>
            <w:vAlign w:val="center"/>
          </w:tcPr>
          <w:p w14:paraId="0470C9F7">
            <w:pPr>
              <w:widowControl/>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规格、技术参数、性能说明</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2F7CC85E">
            <w:pPr>
              <w:widowControl/>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数量</w:t>
            </w:r>
          </w:p>
        </w:tc>
        <w:tc>
          <w:tcPr>
            <w:tcW w:w="802" w:type="dxa"/>
            <w:tcBorders>
              <w:top w:val="single" w:color="auto" w:sz="4" w:space="0"/>
              <w:left w:val="single" w:color="auto" w:sz="4" w:space="0"/>
              <w:bottom w:val="single" w:color="auto" w:sz="4" w:space="0"/>
              <w:right w:val="single" w:color="auto" w:sz="4" w:space="0"/>
            </w:tcBorders>
            <w:noWrap w:val="0"/>
            <w:vAlign w:val="center"/>
          </w:tcPr>
          <w:p w14:paraId="2AA0EAA3">
            <w:pPr>
              <w:widowControl/>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计量</w:t>
            </w:r>
            <w:r>
              <w:rPr>
                <w:rFonts w:hint="eastAsia" w:asciiTheme="minorEastAsia" w:hAnsiTheme="minorEastAsia" w:eastAsiaTheme="minorEastAsia" w:cstheme="minorEastAsia"/>
                <w:color w:val="auto"/>
                <w:kern w:val="0"/>
                <w:sz w:val="21"/>
                <w:szCs w:val="21"/>
                <w:highlight w:val="none"/>
              </w:rPr>
              <w:br w:type="textWrapping"/>
            </w:r>
            <w:r>
              <w:rPr>
                <w:rFonts w:hint="eastAsia" w:asciiTheme="minorEastAsia" w:hAnsiTheme="minorEastAsia" w:eastAsiaTheme="minorEastAsia" w:cstheme="minorEastAsia"/>
                <w:color w:val="auto"/>
                <w:kern w:val="0"/>
                <w:sz w:val="21"/>
                <w:szCs w:val="21"/>
                <w:highlight w:val="none"/>
              </w:rPr>
              <w:t>单位</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2C6B8D2B">
            <w:pPr>
              <w:pStyle w:val="16"/>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单价（元）</w:t>
            </w: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DC6FB91">
            <w:pPr>
              <w:pStyle w:val="16"/>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厂家、品牌</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型号</w:t>
            </w:r>
          </w:p>
        </w:tc>
      </w:tr>
      <w:tr w14:paraId="677F8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46274E1C">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4AECBFB3">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7BD83834">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C6ECE92">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129521D5">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7E36D517">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1AF26193">
            <w:pPr>
              <w:widowControl/>
              <w:jc w:val="center"/>
              <w:rPr>
                <w:rFonts w:hint="eastAsia" w:asciiTheme="minorEastAsia" w:hAnsiTheme="minorEastAsia" w:eastAsiaTheme="minorEastAsia" w:cstheme="minorEastAsia"/>
                <w:color w:val="auto"/>
                <w:kern w:val="0"/>
                <w:sz w:val="21"/>
                <w:szCs w:val="21"/>
                <w:highlight w:val="none"/>
              </w:rPr>
            </w:pPr>
          </w:p>
        </w:tc>
      </w:tr>
      <w:tr w14:paraId="6C31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46CC9DC4">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0C1BF8C7">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4DC3118A">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753165D">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67ACE045">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67B697C4">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65DF6F42">
            <w:pPr>
              <w:widowControl/>
              <w:jc w:val="center"/>
              <w:rPr>
                <w:rFonts w:hint="eastAsia" w:asciiTheme="minorEastAsia" w:hAnsiTheme="minorEastAsia" w:eastAsiaTheme="minorEastAsia" w:cstheme="minorEastAsia"/>
                <w:color w:val="auto"/>
                <w:kern w:val="0"/>
                <w:sz w:val="21"/>
                <w:szCs w:val="21"/>
                <w:highlight w:val="none"/>
              </w:rPr>
            </w:pPr>
          </w:p>
        </w:tc>
      </w:tr>
      <w:tr w14:paraId="53D1F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38FCC864">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10D0D8D6">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180B5FE5">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001EAA3">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1B00D03F">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4A91D17C">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85D7278">
            <w:pPr>
              <w:widowControl/>
              <w:jc w:val="center"/>
              <w:rPr>
                <w:rFonts w:hint="eastAsia" w:asciiTheme="minorEastAsia" w:hAnsiTheme="minorEastAsia" w:eastAsiaTheme="minorEastAsia" w:cstheme="minorEastAsia"/>
                <w:color w:val="auto"/>
                <w:kern w:val="0"/>
                <w:sz w:val="21"/>
                <w:szCs w:val="21"/>
                <w:highlight w:val="none"/>
              </w:rPr>
            </w:pPr>
          </w:p>
        </w:tc>
      </w:tr>
      <w:tr w14:paraId="40E4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2ACB14E7">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6DB652F0">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6F086102">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336E147B">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5FB08342">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5164C854">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61F9C0E">
            <w:pPr>
              <w:widowControl/>
              <w:jc w:val="center"/>
              <w:rPr>
                <w:rFonts w:hint="eastAsia" w:asciiTheme="minorEastAsia" w:hAnsiTheme="minorEastAsia" w:eastAsiaTheme="minorEastAsia" w:cstheme="minorEastAsia"/>
                <w:color w:val="auto"/>
                <w:kern w:val="0"/>
                <w:sz w:val="21"/>
                <w:szCs w:val="21"/>
                <w:highlight w:val="none"/>
              </w:rPr>
            </w:pPr>
          </w:p>
        </w:tc>
      </w:tr>
      <w:tr w14:paraId="0A4D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19EBB2BD">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5CA15EDE">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14B87A24">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4F04A48">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20F23AD5">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69CD561F">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3F3F5339">
            <w:pPr>
              <w:widowControl/>
              <w:jc w:val="center"/>
              <w:rPr>
                <w:rFonts w:hint="eastAsia" w:asciiTheme="minorEastAsia" w:hAnsiTheme="minorEastAsia" w:eastAsiaTheme="minorEastAsia" w:cstheme="minorEastAsia"/>
                <w:color w:val="auto"/>
                <w:kern w:val="0"/>
                <w:sz w:val="21"/>
                <w:szCs w:val="21"/>
                <w:highlight w:val="none"/>
              </w:rPr>
            </w:pPr>
          </w:p>
        </w:tc>
      </w:tr>
      <w:tr w14:paraId="3A275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360A6146">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145D465F">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73AC7F8A">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1512D442">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7DC9B6C6">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39B9F752">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2E22CEF0">
            <w:pPr>
              <w:widowControl/>
              <w:jc w:val="center"/>
              <w:rPr>
                <w:rFonts w:hint="eastAsia" w:asciiTheme="minorEastAsia" w:hAnsiTheme="minorEastAsia" w:eastAsiaTheme="minorEastAsia" w:cstheme="minorEastAsia"/>
                <w:color w:val="auto"/>
                <w:kern w:val="0"/>
                <w:sz w:val="21"/>
                <w:szCs w:val="21"/>
                <w:highlight w:val="none"/>
              </w:rPr>
            </w:pPr>
          </w:p>
        </w:tc>
      </w:tr>
      <w:tr w14:paraId="57A2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767B9DF5">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48FD397B">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5DC61B9F">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6D68EC9D">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632D43D5">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2202ED28">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47C0D6E9">
            <w:pPr>
              <w:widowControl/>
              <w:jc w:val="center"/>
              <w:rPr>
                <w:rFonts w:hint="eastAsia" w:asciiTheme="minorEastAsia" w:hAnsiTheme="minorEastAsia" w:eastAsiaTheme="minorEastAsia" w:cstheme="minorEastAsia"/>
                <w:color w:val="auto"/>
                <w:kern w:val="0"/>
                <w:sz w:val="21"/>
                <w:szCs w:val="21"/>
                <w:highlight w:val="none"/>
              </w:rPr>
            </w:pPr>
          </w:p>
        </w:tc>
      </w:tr>
      <w:tr w14:paraId="4211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768F756B">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416E1A63">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7E5A119A">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DE05904">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433E467C">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0A122D3F">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54E44E5D">
            <w:pPr>
              <w:widowControl/>
              <w:jc w:val="center"/>
              <w:rPr>
                <w:rFonts w:hint="eastAsia" w:asciiTheme="minorEastAsia" w:hAnsiTheme="minorEastAsia" w:eastAsiaTheme="minorEastAsia" w:cstheme="minorEastAsia"/>
                <w:color w:val="auto"/>
                <w:kern w:val="0"/>
                <w:sz w:val="21"/>
                <w:szCs w:val="21"/>
                <w:highlight w:val="none"/>
              </w:rPr>
            </w:pPr>
          </w:p>
        </w:tc>
      </w:tr>
      <w:tr w14:paraId="57C2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exact"/>
          <w:jc w:val="center"/>
        </w:trPr>
        <w:tc>
          <w:tcPr>
            <w:tcW w:w="674" w:type="dxa"/>
            <w:tcBorders>
              <w:top w:val="single" w:color="auto" w:sz="4" w:space="0"/>
              <w:left w:val="single" w:color="auto" w:sz="4" w:space="0"/>
              <w:bottom w:val="single" w:color="auto" w:sz="4" w:space="0"/>
              <w:right w:val="single" w:color="auto" w:sz="4" w:space="0"/>
            </w:tcBorders>
            <w:noWrap w:val="0"/>
            <w:vAlign w:val="center"/>
          </w:tcPr>
          <w:p w14:paraId="45E02211">
            <w:pPr>
              <w:widowControl/>
              <w:jc w:val="center"/>
              <w:rPr>
                <w:rFonts w:hint="eastAsia" w:asciiTheme="minorEastAsia" w:hAnsiTheme="minorEastAsia" w:eastAsiaTheme="minorEastAsia" w:cstheme="minorEastAsia"/>
                <w:color w:val="auto"/>
                <w:kern w:val="0"/>
                <w:sz w:val="21"/>
                <w:szCs w:val="21"/>
                <w:highlight w:val="none"/>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14:paraId="11337040">
            <w:pPr>
              <w:widowControl/>
              <w:jc w:val="center"/>
              <w:rPr>
                <w:rFonts w:hint="eastAsia" w:asciiTheme="minorEastAsia" w:hAnsiTheme="minorEastAsia" w:eastAsiaTheme="minorEastAsia" w:cstheme="minorEastAsia"/>
                <w:color w:val="auto"/>
                <w:kern w:val="0"/>
                <w:sz w:val="21"/>
                <w:szCs w:val="21"/>
                <w:highlight w:val="none"/>
              </w:rPr>
            </w:pPr>
          </w:p>
        </w:tc>
        <w:tc>
          <w:tcPr>
            <w:tcW w:w="2261" w:type="dxa"/>
            <w:tcBorders>
              <w:top w:val="single" w:color="auto" w:sz="4" w:space="0"/>
              <w:left w:val="single" w:color="auto" w:sz="4" w:space="0"/>
              <w:bottom w:val="single" w:color="auto" w:sz="4" w:space="0"/>
              <w:right w:val="single" w:color="auto" w:sz="4" w:space="0"/>
            </w:tcBorders>
            <w:noWrap w:val="0"/>
            <w:vAlign w:val="center"/>
          </w:tcPr>
          <w:p w14:paraId="2F43149B">
            <w:pPr>
              <w:widowControl/>
              <w:jc w:val="center"/>
              <w:rPr>
                <w:rFonts w:hint="eastAsia" w:asciiTheme="minorEastAsia" w:hAnsiTheme="minorEastAsia" w:eastAsiaTheme="minorEastAsia" w:cstheme="minorEastAsia"/>
                <w:color w:val="auto"/>
                <w:kern w:val="0"/>
                <w:sz w:val="21"/>
                <w:szCs w:val="21"/>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F82EDA6">
            <w:pPr>
              <w:widowControl/>
              <w:jc w:val="center"/>
              <w:rPr>
                <w:rFonts w:hint="eastAsia" w:asciiTheme="minorEastAsia" w:hAnsiTheme="minorEastAsia" w:eastAsiaTheme="minorEastAsia" w:cstheme="minorEastAsia"/>
                <w:color w:val="auto"/>
                <w:kern w:val="0"/>
                <w:sz w:val="21"/>
                <w:szCs w:val="21"/>
                <w:highlight w:val="none"/>
              </w:rPr>
            </w:pPr>
          </w:p>
        </w:tc>
        <w:tc>
          <w:tcPr>
            <w:tcW w:w="802" w:type="dxa"/>
            <w:tcBorders>
              <w:top w:val="single" w:color="auto" w:sz="4" w:space="0"/>
              <w:left w:val="single" w:color="auto" w:sz="4" w:space="0"/>
              <w:bottom w:val="single" w:color="auto" w:sz="4" w:space="0"/>
              <w:right w:val="single" w:color="auto" w:sz="4" w:space="0"/>
            </w:tcBorders>
            <w:noWrap w:val="0"/>
            <w:vAlign w:val="center"/>
          </w:tcPr>
          <w:p w14:paraId="7D33BBEE">
            <w:pPr>
              <w:widowControl/>
              <w:jc w:val="center"/>
              <w:rPr>
                <w:rFonts w:hint="eastAsia" w:asciiTheme="minorEastAsia" w:hAnsiTheme="minorEastAsia" w:eastAsiaTheme="minorEastAsia" w:cstheme="minorEastAsia"/>
                <w:color w:val="auto"/>
                <w:kern w:val="0"/>
                <w:sz w:val="21"/>
                <w:szCs w:val="21"/>
                <w:highlight w:val="none"/>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4DBBC04F">
            <w:pPr>
              <w:widowControl/>
              <w:jc w:val="center"/>
              <w:rPr>
                <w:rFonts w:hint="eastAsia" w:asciiTheme="minorEastAsia" w:hAnsiTheme="minorEastAsia" w:eastAsiaTheme="minorEastAsia" w:cstheme="minorEastAsia"/>
                <w:color w:val="auto"/>
                <w:kern w:val="0"/>
                <w:sz w:val="21"/>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0"/>
            <w:vAlign w:val="center"/>
          </w:tcPr>
          <w:p w14:paraId="55744786">
            <w:pPr>
              <w:widowControl/>
              <w:jc w:val="center"/>
              <w:rPr>
                <w:rFonts w:hint="eastAsia" w:asciiTheme="minorEastAsia" w:hAnsiTheme="minorEastAsia" w:eastAsiaTheme="minorEastAsia" w:cstheme="minorEastAsia"/>
                <w:color w:val="auto"/>
                <w:kern w:val="0"/>
                <w:sz w:val="21"/>
                <w:szCs w:val="21"/>
                <w:highlight w:val="none"/>
              </w:rPr>
            </w:pPr>
          </w:p>
        </w:tc>
      </w:tr>
    </w:tbl>
    <w:p w14:paraId="253BB603">
      <w:pPr>
        <w:rPr>
          <w:rFonts w:hint="eastAsia" w:asciiTheme="minorEastAsia" w:hAnsiTheme="minorEastAsia" w:eastAsiaTheme="minorEastAsia" w:cstheme="minorEastAsia"/>
          <w:color w:val="auto"/>
          <w:highlight w:val="none"/>
          <w:lang w:eastAsia="zh-CN"/>
        </w:rPr>
      </w:pPr>
    </w:p>
    <w:p w14:paraId="2648050E">
      <w:pPr>
        <w:pStyle w:val="34"/>
        <w:rPr>
          <w:rFonts w:hint="eastAsia" w:asciiTheme="minorEastAsia" w:hAnsiTheme="minorEastAsia" w:eastAsiaTheme="minorEastAsia" w:cstheme="minorEastAsia"/>
          <w:color w:val="auto"/>
          <w:highlight w:val="none"/>
          <w:lang w:eastAsia="zh-CN"/>
        </w:rPr>
      </w:pPr>
    </w:p>
    <w:p w14:paraId="6D857470">
      <w:pPr>
        <w:pStyle w:val="2"/>
        <w:rPr>
          <w:rFonts w:hint="eastAsia" w:asciiTheme="minorEastAsia" w:hAnsiTheme="minorEastAsia" w:eastAsiaTheme="minorEastAsia" w:cstheme="minorEastAsia"/>
          <w:color w:val="auto"/>
          <w:highlight w:val="none"/>
          <w:lang w:eastAsia="zh-CN"/>
        </w:rPr>
      </w:pPr>
    </w:p>
    <w:p w14:paraId="1D33AD57">
      <w:pPr>
        <w:rPr>
          <w:rFonts w:hint="eastAsia" w:asciiTheme="minorEastAsia" w:hAnsiTheme="minorEastAsia" w:eastAsiaTheme="minorEastAsia" w:cstheme="minorEastAsia"/>
          <w:color w:val="auto"/>
          <w:highlight w:val="none"/>
          <w:lang w:eastAsia="zh-CN"/>
        </w:rPr>
        <w:sectPr>
          <w:footerReference r:id="rId5" w:type="default"/>
          <w:pgSz w:w="11906" w:h="16838"/>
          <w:pgMar w:top="1440" w:right="1080" w:bottom="1440" w:left="1080" w:header="720" w:footer="720" w:gutter="0"/>
          <w:pgBorders>
            <w:top w:val="none" w:sz="0" w:space="0"/>
            <w:left w:val="none" w:sz="0" w:space="0"/>
            <w:bottom w:val="none" w:sz="0" w:space="0"/>
            <w:right w:val="none" w:sz="0" w:space="0"/>
          </w:pgBorders>
          <w:pgNumType w:fmt="decimal" w:start="1"/>
          <w:cols w:space="0" w:num="1"/>
          <w:rtlGutter w:val="0"/>
          <w:docGrid w:linePitch="331" w:charSpace="0"/>
        </w:sectPr>
      </w:pPr>
    </w:p>
    <w:bookmarkEnd w:id="90"/>
    <w:p w14:paraId="746A5920">
      <w:pPr>
        <w:pStyle w:val="3"/>
        <w:shd w:val="clear" w:color="auto" w:fill="auto"/>
        <w:tabs>
          <w:tab w:val="left" w:pos="360"/>
        </w:tabs>
        <w:jc w:val="center"/>
        <w:rPr>
          <w:rFonts w:hint="eastAsia" w:asciiTheme="minorEastAsia" w:hAnsiTheme="minorEastAsia" w:eastAsiaTheme="minorEastAsia" w:cstheme="minorEastAsia"/>
          <w:color w:val="auto"/>
          <w:sz w:val="36"/>
          <w:szCs w:val="36"/>
          <w:highlight w:val="none"/>
        </w:rPr>
      </w:pPr>
      <w:bookmarkStart w:id="91" w:name="_Toc304"/>
      <w:bookmarkStart w:id="92" w:name="_Toc7675"/>
      <w:r>
        <w:rPr>
          <w:rFonts w:hint="eastAsia" w:asciiTheme="minorEastAsia" w:hAnsiTheme="minorEastAsia" w:eastAsiaTheme="minorEastAsia" w:cstheme="minorEastAsia"/>
          <w:color w:val="auto"/>
          <w:sz w:val="36"/>
          <w:szCs w:val="36"/>
          <w:highlight w:val="none"/>
        </w:rPr>
        <w:t>第</w:t>
      </w:r>
      <w:r>
        <w:rPr>
          <w:rFonts w:hint="eastAsia" w:asciiTheme="minorEastAsia" w:hAnsiTheme="minorEastAsia" w:eastAsiaTheme="minorEastAsia" w:cstheme="minorEastAsia"/>
          <w:color w:val="auto"/>
          <w:sz w:val="36"/>
          <w:szCs w:val="36"/>
          <w:highlight w:val="none"/>
          <w:lang w:val="en-US" w:eastAsia="zh-CN"/>
        </w:rPr>
        <w:t>五</w:t>
      </w:r>
      <w:r>
        <w:rPr>
          <w:rFonts w:hint="eastAsia" w:asciiTheme="minorEastAsia" w:hAnsiTheme="minorEastAsia" w:eastAsiaTheme="minorEastAsia" w:cstheme="minorEastAsia"/>
          <w:color w:val="auto"/>
          <w:sz w:val="36"/>
          <w:szCs w:val="36"/>
          <w:highlight w:val="none"/>
        </w:rPr>
        <w:t>章 投标文件格式</w:t>
      </w:r>
      <w:bookmarkEnd w:id="91"/>
      <w:bookmarkEnd w:id="92"/>
    </w:p>
    <w:p w14:paraId="24A7BED4">
      <w:pPr>
        <w:pStyle w:val="16"/>
        <w:shd w:val="clear" w:color="auto" w:fill="auto"/>
        <w:spacing w:line="500" w:lineRule="exact"/>
        <w:ind w:firstLine="1564" w:firstLineChars="745"/>
        <w:rPr>
          <w:rFonts w:hint="eastAsia" w:asciiTheme="minorEastAsia" w:hAnsiTheme="minorEastAsia" w:eastAsiaTheme="minorEastAsia" w:cstheme="minorEastAsia"/>
          <w:color w:val="auto"/>
          <w:highlight w:val="none"/>
        </w:rPr>
      </w:pPr>
    </w:p>
    <w:p w14:paraId="64D593BF">
      <w:pPr>
        <w:pStyle w:val="16"/>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52"/>
          <w:szCs w:val="52"/>
          <w:highlight w:val="none"/>
          <w:u w:val="none"/>
          <w:lang w:eastAsia="zh-CN"/>
        </w:rPr>
      </w:pPr>
      <w:bookmarkStart w:id="93" w:name="_Toc20780"/>
      <w:bookmarkStart w:id="94" w:name="_Toc3512"/>
      <w:bookmarkStart w:id="95" w:name="_Toc8493"/>
      <w:r>
        <w:rPr>
          <w:rFonts w:hint="eastAsia" w:asciiTheme="minorEastAsia" w:hAnsiTheme="minorEastAsia" w:eastAsiaTheme="minorEastAsia" w:cstheme="minorEastAsia"/>
          <w:b/>
          <w:color w:val="auto"/>
          <w:sz w:val="52"/>
          <w:szCs w:val="52"/>
          <w:highlight w:val="none"/>
          <w:u w:val="none"/>
          <w:lang w:eastAsia="zh-CN"/>
        </w:rPr>
        <w:t>临沧市临翔区人民医院2025年度医用耗材第二标段采购项目</w:t>
      </w:r>
    </w:p>
    <w:p w14:paraId="6ACD8F94">
      <w:pPr>
        <w:pStyle w:val="16"/>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636DF94F">
      <w:pPr>
        <w:pStyle w:val="16"/>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3B6EDDF2">
      <w:pPr>
        <w:pStyle w:val="16"/>
        <w:shd w:val="clear" w:color="auto" w:fill="auto"/>
        <w:spacing w:line="500" w:lineRule="exact"/>
        <w:rPr>
          <w:rFonts w:hint="eastAsia" w:asciiTheme="minorEastAsia" w:hAnsiTheme="minorEastAsia" w:eastAsiaTheme="minorEastAsia" w:cstheme="minorEastAsia"/>
          <w:b/>
          <w:color w:val="auto"/>
          <w:sz w:val="32"/>
          <w:highlight w:val="none"/>
        </w:rPr>
      </w:pPr>
    </w:p>
    <w:p w14:paraId="431C97A8">
      <w:pPr>
        <w:pStyle w:val="16"/>
        <w:spacing w:line="360" w:lineRule="auto"/>
        <w:ind w:firstLine="3058" w:firstLineChars="1088"/>
        <w:rPr>
          <w:rFonts w:hAnsi="宋体" w:cs="宋体"/>
          <w:b/>
          <w:color w:val="auto"/>
          <w:sz w:val="28"/>
          <w:szCs w:val="28"/>
          <w:highlight w:val="none"/>
          <w:u w:val="single"/>
        </w:rPr>
      </w:pPr>
      <w:r>
        <w:rPr>
          <w:rFonts w:hint="eastAsia" w:hAnsi="宋体" w:cs="宋体"/>
          <w:b/>
          <w:color w:val="auto"/>
          <w:sz w:val="28"/>
          <w:szCs w:val="28"/>
          <w:highlight w:val="none"/>
        </w:rPr>
        <w:t>项目编号：</w:t>
      </w:r>
      <w:r>
        <w:rPr>
          <w:rFonts w:hint="eastAsia" w:hAnsi="宋体" w:cs="宋体"/>
          <w:b/>
          <w:color w:val="auto"/>
          <w:sz w:val="28"/>
          <w:szCs w:val="28"/>
          <w:highlight w:val="none"/>
          <w:u w:val="single"/>
        </w:rPr>
        <w:t xml:space="preserve">              </w:t>
      </w:r>
    </w:p>
    <w:p w14:paraId="493A9D26">
      <w:pPr>
        <w:pStyle w:val="16"/>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66524A0B">
      <w:pPr>
        <w:pStyle w:val="16"/>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09269949">
      <w:pPr>
        <w:pStyle w:val="16"/>
        <w:shd w:val="clear" w:color="auto" w:fill="auto"/>
        <w:spacing w:line="780" w:lineRule="exact"/>
        <w:jc w:val="center"/>
        <w:rPr>
          <w:rFonts w:hint="eastAsia" w:asciiTheme="minorEastAsia" w:hAnsiTheme="minorEastAsia" w:eastAsiaTheme="minorEastAsia" w:cstheme="minorEastAsia"/>
          <w:b/>
          <w:color w:val="auto"/>
          <w:sz w:val="60"/>
          <w:szCs w:val="36"/>
          <w:highlight w:val="none"/>
        </w:rPr>
      </w:pPr>
      <w:r>
        <w:rPr>
          <w:rFonts w:hint="eastAsia" w:asciiTheme="minorEastAsia" w:hAnsiTheme="minorEastAsia" w:eastAsiaTheme="minorEastAsia" w:cstheme="minorEastAsia"/>
          <w:b/>
          <w:color w:val="auto"/>
          <w:sz w:val="60"/>
          <w:szCs w:val="36"/>
          <w:highlight w:val="none"/>
        </w:rPr>
        <w:t>投  标  文  件</w:t>
      </w:r>
    </w:p>
    <w:p w14:paraId="36D25BF1">
      <w:pPr>
        <w:pStyle w:val="16"/>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67D9B040">
      <w:pPr>
        <w:pStyle w:val="16"/>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41974005">
      <w:pPr>
        <w:pStyle w:val="16"/>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768556F9">
      <w:pPr>
        <w:pStyle w:val="16"/>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342465C1">
      <w:pPr>
        <w:pStyle w:val="16"/>
        <w:shd w:val="clear" w:color="auto" w:fill="auto"/>
        <w:spacing w:line="500" w:lineRule="exact"/>
        <w:rPr>
          <w:rFonts w:hint="eastAsia" w:asciiTheme="minorEastAsia" w:hAnsiTheme="minorEastAsia" w:eastAsiaTheme="minorEastAsia" w:cstheme="minorEastAsia"/>
          <w:b/>
          <w:color w:val="auto"/>
          <w:sz w:val="72"/>
          <w:highlight w:val="none"/>
        </w:rPr>
      </w:pPr>
    </w:p>
    <w:p w14:paraId="4FB6862E">
      <w:pPr>
        <w:pStyle w:val="16"/>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72924D44">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(电子签章)</w:t>
      </w:r>
    </w:p>
    <w:p w14:paraId="74DCD539">
      <w:pPr>
        <w:pStyle w:val="16"/>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（电子签名或签章）</w:t>
      </w:r>
    </w:p>
    <w:p w14:paraId="2758FE4D">
      <w:pPr>
        <w:pStyle w:val="16"/>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237F68E4">
      <w:pPr>
        <w:shd w:val="clear" w:color="auto" w:fill="auto"/>
        <w:wordWrap w:val="0"/>
        <w:ind w:right="48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 w:val="28"/>
          <w:szCs w:val="28"/>
          <w:highlight w:val="none"/>
        </w:rPr>
        <w:br w:type="page"/>
      </w:r>
    </w:p>
    <w:p w14:paraId="5B9D6FE4">
      <w:pPr>
        <w:jc w:val="center"/>
        <w:rPr>
          <w:rFonts w:hint="default" w:asciiTheme="minorEastAsia" w:hAnsiTheme="minorEastAsia" w:eastAsiaTheme="minorEastAsia" w:cstheme="minorEastAsia"/>
          <w:b/>
          <w:color w:val="auto"/>
          <w:kern w:val="2"/>
          <w:sz w:val="32"/>
          <w:szCs w:val="32"/>
          <w:highlight w:val="none"/>
          <w:lang w:val="en-US" w:eastAsia="zh-CN" w:bidi="ar-SA"/>
        </w:rPr>
      </w:pPr>
      <w:r>
        <w:rPr>
          <w:rFonts w:hint="eastAsia" w:asciiTheme="minorEastAsia" w:hAnsiTheme="minorEastAsia" w:eastAsiaTheme="minorEastAsia" w:cstheme="minorEastAsia"/>
          <w:b/>
          <w:color w:val="auto"/>
          <w:kern w:val="2"/>
          <w:sz w:val="32"/>
          <w:szCs w:val="32"/>
          <w:highlight w:val="none"/>
          <w:lang w:val="en-US" w:eastAsia="zh-CN" w:bidi="ar-SA"/>
        </w:rPr>
        <w:t>第一部分  资格部分</w:t>
      </w:r>
    </w:p>
    <w:p w14:paraId="6435A3FF">
      <w:pPr>
        <w:numPr>
          <w:ilvl w:val="0"/>
          <w:numId w:val="0"/>
        </w:numPr>
        <w:shd w:val="clear" w:color="auto" w:fill="auto"/>
        <w:spacing w:line="480" w:lineRule="exact"/>
        <w:jc w:val="center"/>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bidi="ar-SA"/>
        </w:rPr>
        <w:t>一、</w:t>
      </w:r>
      <w:r>
        <w:rPr>
          <w:rFonts w:hint="eastAsia" w:asciiTheme="minorEastAsia" w:hAnsiTheme="minorEastAsia" w:eastAsiaTheme="minorEastAsia" w:cstheme="minorEastAsia"/>
          <w:b/>
          <w:color w:val="auto"/>
          <w:sz w:val="32"/>
          <w:szCs w:val="32"/>
          <w:highlight w:val="none"/>
          <w:lang w:val="en-US" w:eastAsia="zh-CN"/>
        </w:rPr>
        <w:t>基本资质证明文件</w:t>
      </w:r>
    </w:p>
    <w:p w14:paraId="72540B4C">
      <w:pPr>
        <w:numPr>
          <w:ilvl w:val="0"/>
          <w:numId w:val="0"/>
        </w:numPr>
        <w:shd w:val="clear" w:color="auto" w:fill="auto"/>
        <w:jc w:val="center"/>
        <w:outlineLvl w:val="1"/>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kern w:val="2"/>
          <w:sz w:val="28"/>
          <w:szCs w:val="28"/>
          <w:highlight w:val="none"/>
          <w:lang w:val="en-US" w:eastAsia="zh-CN" w:bidi="ar-SA"/>
        </w:rPr>
        <w:t>（一）</w:t>
      </w:r>
      <w:r>
        <w:rPr>
          <w:rFonts w:hint="eastAsia" w:asciiTheme="minorEastAsia" w:hAnsiTheme="minorEastAsia" w:eastAsiaTheme="minorEastAsia" w:cstheme="minorEastAsia"/>
          <w:b/>
          <w:color w:val="auto"/>
          <w:sz w:val="28"/>
          <w:szCs w:val="28"/>
          <w:highlight w:val="none"/>
          <w:lang w:val="en-US" w:eastAsia="zh-CN"/>
        </w:rPr>
        <w:t>供应商基本情况表</w:t>
      </w:r>
    </w:p>
    <w:p w14:paraId="1FDD78B4">
      <w:pPr>
        <w:numPr>
          <w:ilvl w:val="0"/>
          <w:numId w:val="0"/>
        </w:numPr>
        <w:shd w:val="clear" w:color="auto" w:fill="auto"/>
        <w:jc w:val="center"/>
        <w:outlineLvl w:val="1"/>
        <w:rPr>
          <w:rFonts w:hint="eastAsia" w:asciiTheme="minorEastAsia" w:hAnsiTheme="minorEastAsia" w:eastAsiaTheme="minorEastAsia" w:cstheme="minorEastAsia"/>
          <w:b/>
          <w:color w:val="auto"/>
          <w:sz w:val="28"/>
          <w:szCs w:val="28"/>
          <w:highlight w:val="none"/>
          <w:lang w:val="en-US" w:eastAsia="zh-CN"/>
        </w:rPr>
      </w:pPr>
    </w:p>
    <w:tbl>
      <w:tblPr>
        <w:tblStyle w:val="26"/>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875"/>
        <w:gridCol w:w="1803"/>
        <w:gridCol w:w="1535"/>
        <w:gridCol w:w="861"/>
        <w:gridCol w:w="1729"/>
      </w:tblGrid>
      <w:tr w14:paraId="4388A5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4B1DDD8E">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5AF6D708">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DCF7C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FE255EC">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3678" w:type="dxa"/>
            <w:gridSpan w:val="2"/>
            <w:tcBorders>
              <w:top w:val="single" w:color="auto" w:sz="4" w:space="0"/>
              <w:left w:val="single" w:color="auto" w:sz="4" w:space="0"/>
              <w:bottom w:val="single" w:color="auto" w:sz="4" w:space="0"/>
              <w:right w:val="single" w:color="auto" w:sz="4" w:space="0"/>
            </w:tcBorders>
            <w:noWrap w:val="0"/>
            <w:vAlign w:val="center"/>
          </w:tcPr>
          <w:p w14:paraId="08D3ECAA">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14:paraId="2E7B526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590" w:type="dxa"/>
            <w:gridSpan w:val="2"/>
            <w:tcBorders>
              <w:top w:val="single" w:color="auto" w:sz="4" w:space="0"/>
              <w:left w:val="single" w:color="auto" w:sz="4" w:space="0"/>
              <w:bottom w:val="single" w:color="auto" w:sz="4" w:space="0"/>
              <w:right w:val="single" w:color="auto" w:sz="4" w:space="0"/>
            </w:tcBorders>
            <w:noWrap w:val="0"/>
            <w:vAlign w:val="center"/>
          </w:tcPr>
          <w:p w14:paraId="4F38347D">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EE646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noWrap w:val="0"/>
            <w:vAlign w:val="center"/>
          </w:tcPr>
          <w:p w14:paraId="51EDAC84">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1875" w:type="dxa"/>
            <w:tcBorders>
              <w:top w:val="single" w:color="auto" w:sz="4" w:space="0"/>
              <w:left w:val="single" w:color="auto" w:sz="4" w:space="0"/>
              <w:bottom w:val="single" w:color="auto" w:sz="4" w:space="0"/>
              <w:right w:val="single" w:color="auto" w:sz="4" w:space="0"/>
            </w:tcBorders>
            <w:noWrap w:val="0"/>
            <w:vAlign w:val="center"/>
          </w:tcPr>
          <w:p w14:paraId="449F161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1803" w:type="dxa"/>
            <w:tcBorders>
              <w:top w:val="single" w:color="auto" w:sz="4" w:space="0"/>
              <w:left w:val="single" w:color="auto" w:sz="4" w:space="0"/>
              <w:bottom w:val="single" w:color="auto" w:sz="4" w:space="0"/>
              <w:right w:val="single" w:color="auto" w:sz="4" w:space="0"/>
            </w:tcBorders>
            <w:noWrap w:val="0"/>
            <w:vAlign w:val="center"/>
          </w:tcPr>
          <w:p w14:paraId="175EFBA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14:paraId="31FCAC0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590" w:type="dxa"/>
            <w:gridSpan w:val="2"/>
            <w:tcBorders>
              <w:top w:val="single" w:color="auto" w:sz="4" w:space="0"/>
              <w:left w:val="single" w:color="auto" w:sz="4" w:space="0"/>
              <w:bottom w:val="single" w:color="auto" w:sz="4" w:space="0"/>
              <w:right w:val="single" w:color="auto" w:sz="4" w:space="0"/>
            </w:tcBorders>
            <w:noWrap w:val="0"/>
            <w:vAlign w:val="center"/>
          </w:tcPr>
          <w:p w14:paraId="09701137">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3D31E4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noWrap w:val="0"/>
            <w:vAlign w:val="center"/>
          </w:tcPr>
          <w:p w14:paraId="77581F26">
            <w:pPr>
              <w:widowControl/>
              <w:shd w:val="clear" w:color="auto" w:fill="auto"/>
              <w:jc w:val="center"/>
              <w:rPr>
                <w:rFonts w:hint="eastAsia" w:asciiTheme="minorEastAsia" w:hAnsiTheme="minorEastAsia" w:eastAsiaTheme="minorEastAsia" w:cstheme="minorEastAsia"/>
                <w:color w:val="auto"/>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noWrap w:val="0"/>
            <w:vAlign w:val="center"/>
          </w:tcPr>
          <w:p w14:paraId="031C27D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1803" w:type="dxa"/>
            <w:tcBorders>
              <w:top w:val="single" w:color="auto" w:sz="4" w:space="0"/>
              <w:left w:val="single" w:color="auto" w:sz="4" w:space="0"/>
              <w:bottom w:val="single" w:color="auto" w:sz="4" w:space="0"/>
              <w:right w:val="single" w:color="auto" w:sz="4" w:space="0"/>
            </w:tcBorders>
            <w:noWrap w:val="0"/>
            <w:vAlign w:val="center"/>
          </w:tcPr>
          <w:p w14:paraId="6FA37C38">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14:paraId="54E3697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2590" w:type="dxa"/>
            <w:gridSpan w:val="2"/>
            <w:tcBorders>
              <w:top w:val="single" w:color="auto" w:sz="4" w:space="0"/>
              <w:left w:val="single" w:color="auto" w:sz="4" w:space="0"/>
              <w:bottom w:val="single" w:color="auto" w:sz="4" w:space="0"/>
              <w:right w:val="single" w:color="auto" w:sz="4" w:space="0"/>
            </w:tcBorders>
            <w:noWrap w:val="0"/>
            <w:vAlign w:val="center"/>
          </w:tcPr>
          <w:p w14:paraId="1506A6E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34ECAE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16D60B97">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1875" w:type="dxa"/>
            <w:tcBorders>
              <w:top w:val="single" w:color="auto" w:sz="4" w:space="0"/>
              <w:left w:val="single" w:color="auto" w:sz="4" w:space="0"/>
              <w:bottom w:val="single" w:color="auto" w:sz="4" w:space="0"/>
              <w:right w:val="single" w:color="auto" w:sz="4" w:space="0"/>
            </w:tcBorders>
            <w:noWrap w:val="0"/>
            <w:vAlign w:val="center"/>
          </w:tcPr>
          <w:p w14:paraId="734A849D">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803" w:type="dxa"/>
            <w:tcBorders>
              <w:top w:val="single" w:color="auto" w:sz="4" w:space="0"/>
              <w:left w:val="single" w:color="auto" w:sz="4" w:space="0"/>
              <w:bottom w:val="single" w:color="auto" w:sz="4" w:space="0"/>
              <w:right w:val="single" w:color="auto" w:sz="4" w:space="0"/>
            </w:tcBorders>
            <w:noWrap w:val="0"/>
            <w:vAlign w:val="center"/>
          </w:tcPr>
          <w:p w14:paraId="622876E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5D37158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noWrap w:val="0"/>
            <w:vAlign w:val="center"/>
          </w:tcPr>
          <w:p w14:paraId="24998E70">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noWrap w:val="0"/>
            <w:vAlign w:val="center"/>
          </w:tcPr>
          <w:p w14:paraId="60F4864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5B680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DB960B5">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w:t>
            </w:r>
          </w:p>
        </w:tc>
        <w:tc>
          <w:tcPr>
            <w:tcW w:w="1875" w:type="dxa"/>
            <w:tcBorders>
              <w:top w:val="single" w:color="auto" w:sz="4" w:space="0"/>
              <w:left w:val="single" w:color="auto" w:sz="4" w:space="0"/>
              <w:bottom w:val="single" w:color="auto" w:sz="4" w:space="0"/>
              <w:right w:val="single" w:color="auto" w:sz="4" w:space="0"/>
            </w:tcBorders>
            <w:noWrap w:val="0"/>
            <w:vAlign w:val="center"/>
          </w:tcPr>
          <w:p w14:paraId="0A20734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803" w:type="dxa"/>
            <w:tcBorders>
              <w:top w:val="single" w:color="auto" w:sz="4" w:space="0"/>
              <w:left w:val="single" w:color="auto" w:sz="4" w:space="0"/>
              <w:bottom w:val="single" w:color="auto" w:sz="4" w:space="0"/>
              <w:right w:val="single" w:color="auto" w:sz="4" w:space="0"/>
            </w:tcBorders>
            <w:noWrap w:val="0"/>
            <w:vAlign w:val="center"/>
          </w:tcPr>
          <w:p w14:paraId="06ED570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3555A04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noWrap w:val="0"/>
            <w:vAlign w:val="center"/>
          </w:tcPr>
          <w:p w14:paraId="76F890B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noWrap w:val="0"/>
            <w:vAlign w:val="center"/>
          </w:tcPr>
          <w:p w14:paraId="6E68381D">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626387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B661752">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1875" w:type="dxa"/>
            <w:tcBorders>
              <w:top w:val="single" w:color="auto" w:sz="4" w:space="0"/>
              <w:left w:val="single" w:color="auto" w:sz="4" w:space="0"/>
              <w:bottom w:val="single" w:color="auto" w:sz="4" w:space="0"/>
              <w:right w:val="single" w:color="auto" w:sz="4" w:space="0"/>
            </w:tcBorders>
            <w:noWrap w:val="0"/>
            <w:vAlign w:val="center"/>
          </w:tcPr>
          <w:p w14:paraId="3144B1B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5928" w:type="dxa"/>
            <w:gridSpan w:val="4"/>
            <w:tcBorders>
              <w:top w:val="single" w:color="auto" w:sz="4" w:space="0"/>
              <w:left w:val="single" w:color="auto" w:sz="4" w:space="0"/>
              <w:bottom w:val="single" w:color="auto" w:sz="4" w:space="0"/>
              <w:right w:val="single" w:color="auto" w:sz="4" w:space="0"/>
            </w:tcBorders>
            <w:noWrap w:val="0"/>
            <w:vAlign w:val="center"/>
          </w:tcPr>
          <w:p w14:paraId="13A038FD">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员工总人数</w:t>
            </w:r>
            <w:r>
              <w:rPr>
                <w:rFonts w:hint="eastAsia" w:asciiTheme="minorEastAsia" w:hAnsiTheme="minorEastAsia" w:eastAsiaTheme="minorEastAsia" w:cstheme="minorEastAsia"/>
                <w:color w:val="auto"/>
                <w:sz w:val="24"/>
                <w:szCs w:val="24"/>
                <w:highlight w:val="none"/>
                <w:lang w:eastAsia="zh-CN"/>
              </w:rPr>
              <w:t>：</w:t>
            </w:r>
          </w:p>
        </w:tc>
      </w:tr>
      <w:tr w14:paraId="310AA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01DAEBE">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582B99F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30F578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00A5938D">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32F1724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030F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24D04E2">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718FBC8A">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4F768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49EC06D1">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71A4807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FBB37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FDD5534">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033A0BCA">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24CEB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03E15716">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c>
          <w:tcPr>
            <w:tcW w:w="7803" w:type="dxa"/>
            <w:gridSpan w:val="5"/>
            <w:tcBorders>
              <w:top w:val="single" w:color="auto" w:sz="4" w:space="0"/>
              <w:left w:val="single" w:color="auto" w:sz="4" w:space="0"/>
              <w:bottom w:val="single" w:color="auto" w:sz="4" w:space="0"/>
              <w:right w:val="single" w:color="auto" w:sz="4" w:space="0"/>
            </w:tcBorders>
            <w:noWrap w:val="0"/>
            <w:vAlign w:val="center"/>
          </w:tcPr>
          <w:p w14:paraId="3F47D2C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bl>
    <w:p w14:paraId="486DDF7B">
      <w:pPr>
        <w:shd w:val="clear" w:color="auto" w:fill="auto"/>
        <w:spacing w:line="360" w:lineRule="auto"/>
        <w:jc w:val="left"/>
        <w:rPr>
          <w:rFonts w:hint="eastAsia" w:asciiTheme="minorEastAsia" w:hAnsiTheme="minorEastAsia" w:eastAsiaTheme="minorEastAsia" w:cstheme="minorEastAsia"/>
          <w:b/>
          <w:bCs/>
          <w:color w:val="auto"/>
          <w:szCs w:val="21"/>
          <w:highlight w:val="none"/>
        </w:rPr>
      </w:pPr>
    </w:p>
    <w:p w14:paraId="6C1FB471">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638B1B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（二）供应商须为在中华人民共和国注册且具有独立承担民事责任能力的法人或其他组织，持有有效的法人或者其他组织的营业执照等证明文件。</w:t>
      </w:r>
    </w:p>
    <w:p w14:paraId="040F62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三）供应商须具有良好的商业信誉和健全的财务会计制度，提供2023、2024年度任意一年度财务报表（资产负债表、现金流量表、利润表并加盖公章）（2025年以后新成立的公司则提供现有财务资料或开户银行出具的资信证明）。</w:t>
      </w:r>
    </w:p>
    <w:p w14:paraId="03350C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（四）供应商须具有履行合同所必需的设备和专业技术能力（提供承诺函或相关材料）。</w:t>
      </w:r>
    </w:p>
    <w:p w14:paraId="6A3678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五）供应商须具有依法缴纳税收和社保资金的良好记录，提供税务局税收通用缴款书或银行电子缴税（费）凭证或税务局出具纳税情况的相关证明（新成立的供应商，提供情况说明或未拖欠税收、社保资金承诺或证明材料）；依法免税或无需缴纳社会保障资金的供应商，应具有相应证明文件。</w:t>
      </w:r>
    </w:p>
    <w:p w14:paraId="67DC45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（六）供应商参加政府采购活动前三年内，在经营活动中没有重大违法记录（提供承诺函或相关材料。</w:t>
      </w:r>
    </w:p>
    <w:p w14:paraId="677119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注：重大违法记录是指因违法经营受到刑事处罚或者被责令停产停业、被吊销许可证或者执照、被处以较大数额罚款等行政处罚，因违法经营被禁止参加政府采购活动的期限未满情形。</w:t>
      </w:r>
    </w:p>
    <w:p w14:paraId="0DF206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七）信誉要求：供应商未被列入“信用中国”网站“失信被执行人”、“重大税收违法案件当事人名单”、“政府采购严重违法失信行为记录名单”及中国政府采购网“政府采购严重违法失信行为信息记录”（被禁止在一定期限内参加政府采购活动但期限届满的除外，由采购人或采购代理机构在项目评审前统一查询）。</w:t>
      </w:r>
    </w:p>
    <w:p w14:paraId="322E26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（八）根据《中华人民共和国政府采购法实施条例》第十八条规定，单位负责人为同一人或者存在直接控股、管理关系的不同供应商，不得参加同一合同项下的政府采购活动（提供承诺函或相关材料）。</w:t>
      </w:r>
    </w:p>
    <w:p w14:paraId="1D8067C2">
      <w:pPr>
        <w:pStyle w:val="34"/>
        <w:rPr>
          <w:rFonts w:hint="eastAsia"/>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（九）其它资料（招标文件要求及供应商认为有必要提供的其它资格证明材料）。</w:t>
      </w:r>
    </w:p>
    <w:p w14:paraId="2231E35B">
      <w:pP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br w:type="page"/>
      </w:r>
    </w:p>
    <w:p w14:paraId="2E68EF07">
      <w:pPr>
        <w:pStyle w:val="34"/>
        <w:jc w:val="center"/>
        <w:rPr>
          <w:rFonts w:hint="default"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二、特定资质证明文件</w:t>
      </w:r>
    </w:p>
    <w:p w14:paraId="37A10C55">
      <w:pPr>
        <w:pStyle w:val="2"/>
        <w:rPr>
          <w:rFonts w:hint="eastAsia" w:asciiTheme="minorEastAsia" w:hAnsiTheme="minorEastAsia" w:eastAsiaTheme="minorEastAsia" w:cstheme="minorEastAsia"/>
          <w:bCs/>
          <w:color w:val="auto"/>
          <w:sz w:val="24"/>
          <w:szCs w:val="24"/>
          <w:highlight w:val="none"/>
          <w:lang w:val="en-US" w:eastAsia="zh-CN"/>
        </w:rPr>
      </w:pPr>
    </w:p>
    <w:p w14:paraId="0AD967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如果是代理商或经销商的，须提供医疗器械经营许可/备案证；供应商如果是制造商的，须提供医疗器械生产许可/备案证。医疗器械生产/经营许可/备案证生产或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r>
        <w:rPr>
          <w:rFonts w:hint="eastAsia" w:asciiTheme="minorEastAsia" w:hAnsiTheme="minorEastAsia" w:eastAsiaTheme="minorEastAsia" w:cstheme="minorEastAsia"/>
          <w:bCs/>
          <w:color w:val="auto"/>
          <w:sz w:val="24"/>
          <w:szCs w:val="24"/>
          <w:highlight w:val="none"/>
          <w:lang w:val="en-US" w:eastAsia="zh-CN"/>
        </w:rPr>
        <w:t>。</w:t>
      </w:r>
    </w:p>
    <w:p w14:paraId="0B18CBC1">
      <w:pPr>
        <w:rPr>
          <w:rFonts w:hint="eastAsia"/>
          <w:highlight w:val="none"/>
          <w:lang w:val="en-US" w:eastAsia="zh-CN"/>
        </w:rPr>
      </w:pPr>
    </w:p>
    <w:p w14:paraId="603F5C48">
      <w:pPr>
        <w:rPr>
          <w:rFonts w:hint="eastAsia" w:asciiTheme="minorEastAsia" w:hAnsiTheme="minorEastAsia" w:eastAsiaTheme="minorEastAsia" w:cstheme="minorEastAsia"/>
          <w:sz w:val="28"/>
          <w:szCs w:val="21"/>
          <w:highlight w:val="none"/>
        </w:rPr>
      </w:pPr>
      <w:r>
        <w:rPr>
          <w:rFonts w:hint="eastAsia" w:asciiTheme="minorEastAsia" w:hAnsiTheme="minorEastAsia" w:eastAsiaTheme="minorEastAsia" w:cstheme="minorEastAsia"/>
          <w:b/>
          <w:bCs/>
          <w:color w:val="000000"/>
          <w:spacing w:val="1"/>
          <w:sz w:val="28"/>
          <w:szCs w:val="22"/>
          <w:highlight w:val="none"/>
          <w:lang w:val="en-US" w:eastAsia="zh-CN"/>
        </w:rPr>
        <w:br w:type="page"/>
      </w:r>
    </w:p>
    <w:p w14:paraId="7FB790E6">
      <w:pPr>
        <w:pStyle w:val="4"/>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Theme="minorEastAsia" w:hAnsiTheme="minorEastAsia" w:eastAsiaTheme="minorEastAsia" w:cstheme="minorEastAsia"/>
          <w:color w:val="auto"/>
          <w:sz w:val="32"/>
          <w:szCs w:val="32"/>
          <w:highlight w:val="none"/>
        </w:rPr>
      </w:pPr>
      <w:bookmarkStart w:id="96" w:name="_Toc3645"/>
      <w:r>
        <w:rPr>
          <w:rFonts w:hint="eastAsia" w:asciiTheme="minorEastAsia" w:hAnsiTheme="minorEastAsia" w:eastAsiaTheme="minorEastAsia" w:cstheme="minorEastAsia"/>
          <w:color w:val="auto"/>
          <w:sz w:val="32"/>
          <w:szCs w:val="32"/>
          <w:highlight w:val="none"/>
          <w:lang w:val="en-US" w:eastAsia="zh-CN"/>
        </w:rPr>
        <w:t xml:space="preserve">第二部分  </w:t>
      </w:r>
      <w:r>
        <w:rPr>
          <w:rFonts w:hint="eastAsia" w:asciiTheme="minorEastAsia" w:hAnsiTheme="minorEastAsia" w:eastAsiaTheme="minorEastAsia" w:cstheme="minorEastAsia"/>
          <w:color w:val="auto"/>
          <w:sz w:val="32"/>
          <w:szCs w:val="32"/>
          <w:highlight w:val="none"/>
        </w:rPr>
        <w:t>商务</w:t>
      </w:r>
      <w:r>
        <w:rPr>
          <w:rFonts w:hint="eastAsia" w:asciiTheme="minorEastAsia" w:hAnsiTheme="minorEastAsia" w:eastAsiaTheme="minorEastAsia" w:cstheme="minorEastAsia"/>
          <w:color w:val="auto"/>
          <w:sz w:val="32"/>
          <w:szCs w:val="32"/>
          <w:highlight w:val="none"/>
          <w:lang w:val="en-US" w:eastAsia="zh-CN"/>
        </w:rPr>
        <w:t>报价部分</w:t>
      </w:r>
      <w:bookmarkEnd w:id="96"/>
    </w:p>
    <w:p w14:paraId="04C47996">
      <w:pPr>
        <w:shd w:val="clear" w:color="auto" w:fill="auto"/>
        <w:jc w:val="center"/>
        <w:outlineLvl w:val="1"/>
        <w:rPr>
          <w:rFonts w:hint="eastAsia" w:asciiTheme="minorEastAsia" w:hAnsiTheme="minorEastAsia" w:eastAsiaTheme="minorEastAsia" w:cstheme="minorEastAsia"/>
          <w:b/>
          <w:color w:val="auto"/>
          <w:sz w:val="36"/>
          <w:szCs w:val="36"/>
          <w:highlight w:val="none"/>
        </w:rPr>
      </w:pPr>
      <w:bookmarkStart w:id="97" w:name="_Toc403511223"/>
      <w:r>
        <w:rPr>
          <w:rFonts w:hint="eastAsia" w:asciiTheme="minorEastAsia" w:hAnsiTheme="minorEastAsia" w:eastAsiaTheme="minorEastAsia" w:cstheme="minorEastAsia"/>
          <w:b/>
          <w:color w:val="auto"/>
          <w:sz w:val="36"/>
          <w:szCs w:val="36"/>
          <w:highlight w:val="none"/>
          <w:lang w:val="en-US" w:eastAsia="zh-CN"/>
        </w:rPr>
        <w:t>一、报价</w:t>
      </w:r>
      <w:r>
        <w:rPr>
          <w:rFonts w:hint="eastAsia" w:asciiTheme="minorEastAsia" w:hAnsiTheme="minorEastAsia" w:eastAsiaTheme="minorEastAsia" w:cstheme="minorEastAsia"/>
          <w:b/>
          <w:color w:val="auto"/>
          <w:sz w:val="36"/>
          <w:szCs w:val="36"/>
          <w:highlight w:val="none"/>
        </w:rPr>
        <w:t>一览表</w:t>
      </w:r>
      <w:bookmarkEnd w:id="97"/>
    </w:p>
    <w:p w14:paraId="416804B0">
      <w:pPr>
        <w:pStyle w:val="16"/>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1008387C">
      <w:pPr>
        <w:pStyle w:val="16"/>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6"/>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9"/>
        <w:gridCol w:w="3936"/>
        <w:gridCol w:w="3565"/>
      </w:tblGrid>
      <w:tr w14:paraId="4553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3D0007F4">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686B8412">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w:t>
            </w:r>
          </w:p>
        </w:tc>
        <w:tc>
          <w:tcPr>
            <w:tcW w:w="3565" w:type="dxa"/>
            <w:tcBorders>
              <w:top w:val="single" w:color="auto" w:sz="4" w:space="0"/>
              <w:left w:val="single" w:color="auto" w:sz="4" w:space="0"/>
              <w:bottom w:val="single" w:color="auto" w:sz="4" w:space="0"/>
              <w:right w:val="single" w:color="auto" w:sz="4" w:space="0"/>
            </w:tcBorders>
            <w:noWrap w:val="0"/>
            <w:vAlign w:val="center"/>
          </w:tcPr>
          <w:p w14:paraId="6B3BAD17">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498E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583B6DF0">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投标总价</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25B1AB17">
            <w:pPr>
              <w:pStyle w:val="16"/>
              <w:keepNext w:val="0"/>
              <w:keepLines w:val="0"/>
              <w:pageBreakBefore w:val="0"/>
              <w:widowControl w:val="0"/>
              <w:kinsoku/>
              <w:autoSpaceDE/>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p w14:paraId="109E0C5D">
            <w:pPr>
              <w:pStyle w:val="16"/>
              <w:keepNext w:val="0"/>
              <w:keepLines w:val="0"/>
              <w:pageBreakBefore w:val="0"/>
              <w:widowControl w:val="0"/>
              <w:kinsoku/>
              <w:autoSpaceDE/>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tc>
        <w:tc>
          <w:tcPr>
            <w:tcW w:w="3565" w:type="dxa"/>
            <w:tcBorders>
              <w:top w:val="single" w:color="auto" w:sz="4" w:space="0"/>
              <w:left w:val="single" w:color="auto" w:sz="4" w:space="0"/>
              <w:bottom w:val="single" w:color="auto" w:sz="4" w:space="0"/>
              <w:right w:val="single" w:color="auto" w:sz="4" w:space="0"/>
            </w:tcBorders>
            <w:noWrap w:val="0"/>
            <w:vAlign w:val="center"/>
          </w:tcPr>
          <w:p w14:paraId="0F0A7683">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r w14:paraId="02A8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78FCD855">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交货地点承诺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4E9E647F">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2D391BF0">
            <w:pPr>
              <w:pStyle w:val="16"/>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6BA2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1C1D6B09">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交货要求承诺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18AA8B1C">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SA"/>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64A643A3">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SA"/>
              </w:rPr>
            </w:pPr>
          </w:p>
        </w:tc>
      </w:tr>
      <w:tr w14:paraId="04B8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6E9D7838">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供应配送时限承诺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0045E4DF">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0DEB7EA0">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rPr>
            </w:pPr>
          </w:p>
        </w:tc>
      </w:tr>
      <w:tr w14:paraId="2BF6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17BF529F">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产品质量承诺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5B785A9C">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7436A447">
            <w:pPr>
              <w:pStyle w:val="16"/>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35B7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49AD2F6B">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验收承诺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46FD95AD">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3F0E19F5">
            <w:pPr>
              <w:pStyle w:val="16"/>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738E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759BC283">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合同履行期限承诺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443E0A39">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7F38AB1B">
            <w:pPr>
              <w:pStyle w:val="16"/>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27287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0E4327E9">
            <w:pPr>
              <w:pStyle w:val="16"/>
              <w:keepNext w:val="0"/>
              <w:keepLines w:val="0"/>
              <w:pageBreakBefore w:val="0"/>
              <w:widowControl w:val="0"/>
              <w:kinsoku/>
              <w:autoSpaceDE/>
              <w:bidi w:val="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其他承诺</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42429F30">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0098B41C">
            <w:pPr>
              <w:pStyle w:val="16"/>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461A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3"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0FDC7DCB">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6B7A7B5C">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44F79EF8">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r w14:paraId="758E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3"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5C25296D">
            <w:pPr>
              <w:pStyle w:val="16"/>
              <w:keepNext w:val="0"/>
              <w:keepLines w:val="0"/>
              <w:pageBreakBefore w:val="0"/>
              <w:widowControl w:val="0"/>
              <w:kinsoku/>
              <w:autoSpaceDE/>
              <w:bidi w:val="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项目负责人及联系方式</w:t>
            </w:r>
          </w:p>
        </w:tc>
        <w:tc>
          <w:tcPr>
            <w:tcW w:w="3936" w:type="dxa"/>
            <w:tcBorders>
              <w:top w:val="single" w:color="auto" w:sz="4" w:space="0"/>
              <w:left w:val="single" w:color="auto" w:sz="4" w:space="0"/>
              <w:bottom w:val="single" w:color="auto" w:sz="4" w:space="0"/>
              <w:right w:val="single" w:color="auto" w:sz="4" w:space="0"/>
            </w:tcBorders>
            <w:noWrap w:val="0"/>
            <w:vAlign w:val="center"/>
          </w:tcPr>
          <w:p w14:paraId="5D263F4B">
            <w:pPr>
              <w:pStyle w:val="16"/>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noWrap w:val="0"/>
            <w:vAlign w:val="center"/>
          </w:tcPr>
          <w:p w14:paraId="3F110F1D">
            <w:pPr>
              <w:pStyle w:val="16"/>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bl>
    <w:p w14:paraId="60C7A33E">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（电子签章）</w:t>
      </w:r>
    </w:p>
    <w:p w14:paraId="59C6DE48">
      <w:pPr>
        <w:shd w:val="clear" w:color="auto" w:fill="auto"/>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（电子签名或签章）</w:t>
      </w:r>
    </w:p>
    <w:p w14:paraId="65C45CEE">
      <w:pPr>
        <w:shd w:val="clear" w:color="auto" w:fill="auto"/>
        <w:spacing w:line="360" w:lineRule="auto"/>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7B0FDCE">
      <w:pPr>
        <w:shd w:val="clear" w:color="auto" w:fill="auto"/>
        <w:jc w:val="center"/>
        <w:rPr>
          <w:rFonts w:hint="eastAsia" w:asciiTheme="minorEastAsia" w:hAnsiTheme="minorEastAsia" w:eastAsiaTheme="minorEastAsia" w:cstheme="minorEastAsia"/>
          <w:b/>
          <w:color w:val="auto"/>
          <w:sz w:val="28"/>
          <w:szCs w:val="28"/>
          <w:highlight w:val="none"/>
        </w:rPr>
        <w:sectPr>
          <w:headerReference r:id="rId6" w:type="default"/>
          <w:footerReference r:id="rId7" w:type="default"/>
          <w:pgSz w:w="11906" w:h="16838"/>
          <w:pgMar w:top="1440" w:right="1080" w:bottom="1440" w:left="1080" w:header="850" w:footer="992" w:gutter="0"/>
          <w:pgNumType w:fmt="decimal"/>
          <w:cols w:space="0" w:num="1"/>
          <w:rtlGutter w:val="0"/>
          <w:docGrid w:type="lines" w:linePitch="321" w:charSpace="0"/>
        </w:sectPr>
      </w:pPr>
    </w:p>
    <w:p w14:paraId="58150204">
      <w:pPr>
        <w:shd w:val="clear" w:color="auto" w:fill="auto"/>
        <w:jc w:val="center"/>
        <w:outlineLvl w:val="1"/>
        <w:rPr>
          <w:rFonts w:hint="eastAsia"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lang w:val="en-US" w:eastAsia="zh-CN"/>
        </w:rPr>
        <w:t>二、投标函</w:t>
      </w:r>
    </w:p>
    <w:p w14:paraId="55993C9A">
      <w:pPr>
        <w:keepNext w:val="0"/>
        <w:keepLines w:val="0"/>
        <w:pageBreakBefore w:val="0"/>
        <w:widowControl w:val="0"/>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50A14B5E">
      <w:pPr>
        <w:keepNext w:val="0"/>
        <w:keepLines w:val="0"/>
        <w:pageBreakBefore w:val="0"/>
        <w:widowControl w:val="0"/>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（采购人）                </w:t>
      </w:r>
      <w:r>
        <w:rPr>
          <w:rFonts w:hint="eastAsia" w:asciiTheme="minorEastAsia" w:hAnsiTheme="minorEastAsia" w:eastAsiaTheme="minorEastAsia" w:cstheme="minorEastAsia"/>
          <w:color w:val="auto"/>
          <w:sz w:val="24"/>
          <w:szCs w:val="24"/>
          <w:highlight w:val="none"/>
          <w:u w:val="none"/>
        </w:rPr>
        <w:t>：</w:t>
      </w:r>
    </w:p>
    <w:p w14:paraId="1A18BC8C">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u w:val="none"/>
        </w:rPr>
        <w:t>贵方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w:t>
      </w:r>
      <w:r>
        <w:rPr>
          <w:rFonts w:hint="eastAsia" w:asciiTheme="minorEastAsia" w:hAnsiTheme="minorEastAsia" w:eastAsiaTheme="minorEastAsia" w:cstheme="minorEastAsia"/>
          <w:color w:val="auto"/>
          <w:sz w:val="24"/>
          <w:szCs w:val="24"/>
          <w:highlight w:val="none"/>
          <w:u w:val="single"/>
          <w:lang w:val="en-US" w:eastAsia="zh-CN"/>
        </w:rPr>
        <w:t>二</w:t>
      </w:r>
      <w:r>
        <w:rPr>
          <w:rFonts w:hint="eastAsia" w:asciiTheme="minorEastAsia" w:hAnsiTheme="minorEastAsia" w:eastAsiaTheme="minorEastAsia" w:cstheme="minorEastAsia"/>
          <w:color w:val="auto"/>
          <w:sz w:val="24"/>
          <w:szCs w:val="24"/>
          <w:highlight w:val="none"/>
          <w:u w:val="single"/>
          <w:lang w:eastAsia="zh-CN"/>
        </w:rPr>
        <w:t>标段采购项目</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（项目名称） </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lang w:val="en-US" w:eastAsia="zh-CN"/>
        </w:rPr>
        <w:t>文件要求</w:t>
      </w:r>
      <w:r>
        <w:rPr>
          <w:rFonts w:hint="eastAsia" w:asciiTheme="minorEastAsia" w:hAnsiTheme="minorEastAsia" w:eastAsiaTheme="minorEastAsia" w:cstheme="minorEastAsia"/>
          <w:color w:val="auto"/>
          <w:sz w:val="24"/>
          <w:szCs w:val="24"/>
          <w:highlight w:val="none"/>
        </w:rPr>
        <w:t>，正式授权下述签字人</w:t>
      </w:r>
      <w:r>
        <w:rPr>
          <w:rFonts w:hint="eastAsia" w:asciiTheme="minorEastAsia" w:hAnsiTheme="minorEastAsia" w:eastAsiaTheme="minorEastAsia" w:cstheme="minorEastAsia"/>
          <w:color w:val="auto"/>
          <w:sz w:val="24"/>
          <w:szCs w:val="24"/>
          <w:highlight w:val="none"/>
          <w:u w:val="single"/>
        </w:rPr>
        <w:t xml:space="preserve"> （姓名和职务） </w:t>
      </w:r>
      <w:r>
        <w:rPr>
          <w:rFonts w:hint="eastAsia" w:asciiTheme="minorEastAsia" w:hAnsiTheme="minorEastAsia" w:eastAsiaTheme="minorEastAsia" w:cstheme="minorEastAsia"/>
          <w:color w:val="auto"/>
          <w:sz w:val="24"/>
          <w:szCs w:val="24"/>
          <w:highlight w:val="none"/>
        </w:rPr>
        <w:t>全权代表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全称）</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w:t>
      </w:r>
      <w:r>
        <w:rPr>
          <w:rFonts w:hint="eastAsia" w:asciiTheme="minorEastAsia" w:hAnsiTheme="minorEastAsia" w:eastAsiaTheme="minorEastAsia" w:cstheme="minorEastAsia"/>
          <w:color w:val="auto"/>
          <w:sz w:val="24"/>
          <w:szCs w:val="24"/>
          <w:highlight w:val="none"/>
          <w:u w:val="single"/>
          <w:lang w:val="en-US" w:eastAsia="zh-CN"/>
        </w:rPr>
        <w:t>二</w:t>
      </w:r>
      <w:r>
        <w:rPr>
          <w:rFonts w:hint="eastAsia" w:asciiTheme="minorEastAsia" w:hAnsiTheme="minorEastAsia" w:eastAsiaTheme="minorEastAsia" w:cstheme="minorEastAsia"/>
          <w:color w:val="auto"/>
          <w:sz w:val="24"/>
          <w:szCs w:val="24"/>
          <w:highlight w:val="none"/>
          <w:u w:val="single"/>
          <w:lang w:eastAsia="zh-CN"/>
        </w:rPr>
        <w:t>标段采购项目</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lang w:eastAsia="zh-CN"/>
        </w:rPr>
        <w:t>标</w:t>
      </w:r>
      <w:r>
        <w:rPr>
          <w:rFonts w:hint="eastAsia" w:asciiTheme="minorEastAsia" w:hAnsiTheme="minorEastAsia" w:eastAsiaTheme="minorEastAsia" w:cstheme="minorEastAsia"/>
          <w:color w:val="auto"/>
          <w:sz w:val="24"/>
          <w:szCs w:val="24"/>
          <w:highlight w:val="none"/>
        </w:rPr>
        <w:t>，并提交</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w:t>
      </w:r>
    </w:p>
    <w:p w14:paraId="0F06D675">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739C6130">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文件采购</w:t>
      </w:r>
      <w:r>
        <w:rPr>
          <w:rFonts w:hint="eastAsia" w:asciiTheme="minorEastAsia" w:hAnsiTheme="minorEastAsia" w:eastAsiaTheme="minorEastAsia" w:cstheme="minorEastAsia"/>
          <w:color w:val="auto"/>
          <w:sz w:val="24"/>
          <w:szCs w:val="24"/>
          <w:highlight w:val="none"/>
          <w:lang w:val="en-US" w:eastAsia="zh-CN"/>
        </w:rPr>
        <w:t>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一览表》。</w:t>
      </w:r>
    </w:p>
    <w:p w14:paraId="31BE4971">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有效期为</w:t>
      </w:r>
      <w:r>
        <w:rPr>
          <w:rFonts w:hint="eastAsia" w:asciiTheme="minorEastAsia" w:hAnsiTheme="minorEastAsia" w:eastAsiaTheme="minorEastAsia" w:cstheme="minorEastAsia"/>
          <w:color w:val="auto"/>
          <w:sz w:val="24"/>
          <w:szCs w:val="24"/>
          <w:highlight w:val="none"/>
          <w:u w:val="none"/>
          <w:lang w:val="en-US" w:eastAsia="zh-CN"/>
        </w:rPr>
        <w:t>90</w:t>
      </w:r>
      <w:r>
        <w:rPr>
          <w:rFonts w:hint="eastAsia" w:asciiTheme="minorEastAsia" w:hAnsiTheme="minorEastAsia" w:eastAsiaTheme="minorEastAsia" w:cstheme="minorEastAsia"/>
          <w:color w:val="auto"/>
          <w:sz w:val="24"/>
          <w:szCs w:val="24"/>
          <w:highlight w:val="none"/>
        </w:rPr>
        <w:t>日历天，自</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截止时间算起。我方同意在规定的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有效期遵循本</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有效期满之前均具有约束力。如果我方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被接受，则至合同履行完为止，本函保持有效。</w:t>
      </w:r>
    </w:p>
    <w:p w14:paraId="688E7602">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应当具备的条件。</w:t>
      </w:r>
    </w:p>
    <w:p w14:paraId="413D44D3">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0EDF4C31">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文件，我方知道必须放弃提出含糊不清或误解问题的权利。</w:t>
      </w:r>
    </w:p>
    <w:p w14:paraId="6229D2CD">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有关的任何数据或资料。</w:t>
      </w:r>
    </w:p>
    <w:p w14:paraId="47B39B00">
      <w:pPr>
        <w:keepNext w:val="0"/>
        <w:keepLines w:val="0"/>
        <w:pageBreakBefore w:val="0"/>
        <w:widowControl w:val="0"/>
        <w:kinsoku/>
        <w:autoSpaceDE/>
        <w:bidi w:val="0"/>
        <w:spacing w:line="360" w:lineRule="auto"/>
        <w:ind w:firstLine="1440" w:firstLineChars="600"/>
        <w:rPr>
          <w:rFonts w:hint="eastAsia" w:asciiTheme="minorEastAsia" w:hAnsiTheme="minorEastAsia" w:eastAsiaTheme="minorEastAsia" w:cstheme="minorEastAsia"/>
          <w:color w:val="auto"/>
          <w:sz w:val="24"/>
          <w:szCs w:val="24"/>
          <w:highlight w:val="none"/>
        </w:rPr>
      </w:pPr>
    </w:p>
    <w:p w14:paraId="44A68122">
      <w:pPr>
        <w:keepNext w:val="0"/>
        <w:keepLines w:val="0"/>
        <w:pageBreakBefore w:val="0"/>
        <w:widowControl w:val="0"/>
        <w:kinsoku/>
        <w:autoSpaceDE/>
        <w:bidi w:val="0"/>
        <w:spacing w:line="360" w:lineRule="auto"/>
        <w:ind w:firstLine="1440" w:firstLineChars="600"/>
        <w:rPr>
          <w:rFonts w:hint="eastAsia" w:asciiTheme="minorEastAsia" w:hAnsiTheme="minorEastAsia" w:eastAsiaTheme="minorEastAsia" w:cstheme="minorEastAsia"/>
          <w:color w:val="auto"/>
          <w:sz w:val="24"/>
          <w:szCs w:val="24"/>
          <w:highlight w:val="none"/>
        </w:rPr>
      </w:pPr>
    </w:p>
    <w:p w14:paraId="7A8A2B64">
      <w:pPr>
        <w:pStyle w:val="34"/>
        <w:rPr>
          <w:rFonts w:hint="eastAsia" w:asciiTheme="minorEastAsia" w:hAnsiTheme="minorEastAsia" w:eastAsiaTheme="minorEastAsia" w:cstheme="minorEastAsia"/>
          <w:color w:val="auto"/>
          <w:sz w:val="24"/>
          <w:szCs w:val="24"/>
          <w:highlight w:val="none"/>
        </w:rPr>
      </w:pPr>
    </w:p>
    <w:p w14:paraId="4780F0A0">
      <w:pPr>
        <w:pStyle w:val="2"/>
        <w:rPr>
          <w:rFonts w:hint="eastAsia"/>
          <w:highlight w:val="none"/>
        </w:rPr>
      </w:pPr>
    </w:p>
    <w:p w14:paraId="47294AA5">
      <w:pPr>
        <w:rPr>
          <w:rFonts w:hint="eastAsia" w:asciiTheme="minorEastAsia" w:hAnsiTheme="minorEastAsia" w:eastAsiaTheme="minorEastAsia" w:cstheme="minorEastAsia"/>
          <w:color w:val="auto"/>
          <w:sz w:val="24"/>
          <w:szCs w:val="24"/>
          <w:highlight w:val="none"/>
        </w:rPr>
      </w:pPr>
    </w:p>
    <w:p w14:paraId="42925D5E">
      <w:pPr>
        <w:pStyle w:val="2"/>
        <w:rPr>
          <w:rFonts w:hint="eastAsia"/>
          <w:highlight w:val="none"/>
        </w:rPr>
      </w:pPr>
    </w:p>
    <w:p w14:paraId="3B0261B4">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6A589D60">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2105C94">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114C2C9">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br w:type="page"/>
      </w:r>
    </w:p>
    <w:p w14:paraId="531F6736">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三、投标分项报价</w:t>
      </w:r>
      <w:r>
        <w:rPr>
          <w:rFonts w:hint="eastAsia" w:asciiTheme="minorEastAsia" w:hAnsiTheme="minorEastAsia" w:eastAsiaTheme="minorEastAsia" w:cstheme="minorEastAsia"/>
          <w:color w:val="auto"/>
          <w:sz w:val="32"/>
          <w:szCs w:val="32"/>
          <w:highlight w:val="none"/>
        </w:rPr>
        <w:t>表</w:t>
      </w:r>
    </w:p>
    <w:p w14:paraId="7E36646D">
      <w:pPr>
        <w:pStyle w:val="16"/>
        <w:shd w:val="clear" w:color="auto" w:fill="auto"/>
        <w:spacing w:line="360" w:lineRule="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r>
        <w:rPr>
          <w:rFonts w:hint="eastAsia" w:asciiTheme="minorEastAsia" w:hAnsiTheme="minorEastAsia" w:eastAsiaTheme="minorEastAsia" w:cstheme="minorEastAsia"/>
          <w:bCs/>
          <w:color w:val="auto"/>
          <w:sz w:val="24"/>
          <w:szCs w:val="24"/>
          <w:highlight w:val="none"/>
          <w:u w:val="single"/>
          <w:lang w:val="en-US" w:eastAsia="zh-CN"/>
        </w:rPr>
        <w:t xml:space="preserve"> </w:t>
      </w:r>
    </w:p>
    <w:p w14:paraId="73372D6D">
      <w:pPr>
        <w:rPr>
          <w:rFonts w:hint="eastAsia" w:asciiTheme="minorEastAsia" w:hAnsiTheme="minorEastAsia" w:eastAsiaTheme="minorEastAsia" w:cstheme="minorEastAsia"/>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6"/>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642"/>
        <w:gridCol w:w="1445"/>
        <w:gridCol w:w="972"/>
        <w:gridCol w:w="1133"/>
        <w:gridCol w:w="1289"/>
        <w:gridCol w:w="886"/>
        <w:gridCol w:w="1031"/>
      </w:tblGrid>
      <w:tr w14:paraId="5D9A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9" w:hRule="exac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4C6EF05A">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642" w:type="dxa"/>
            <w:tcBorders>
              <w:top w:val="single" w:color="auto" w:sz="4" w:space="0"/>
              <w:left w:val="single" w:color="auto" w:sz="4" w:space="0"/>
              <w:bottom w:val="single" w:color="auto" w:sz="4" w:space="0"/>
              <w:right w:val="single" w:color="auto" w:sz="4" w:space="0"/>
            </w:tcBorders>
            <w:noWrap w:val="0"/>
            <w:vAlign w:val="center"/>
          </w:tcPr>
          <w:p w14:paraId="7192C567">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耗材</w:t>
            </w:r>
            <w:r>
              <w:rPr>
                <w:rFonts w:hint="eastAsia" w:asciiTheme="minorEastAsia" w:hAnsiTheme="minorEastAsia" w:eastAsiaTheme="minorEastAsia" w:cstheme="minorEastAsia"/>
                <w:color w:val="auto"/>
                <w:kern w:val="0"/>
                <w:sz w:val="24"/>
                <w:szCs w:val="24"/>
                <w:highlight w:val="none"/>
              </w:rPr>
              <w:t>名称</w:t>
            </w:r>
          </w:p>
        </w:tc>
        <w:tc>
          <w:tcPr>
            <w:tcW w:w="1445" w:type="dxa"/>
            <w:tcBorders>
              <w:top w:val="single" w:color="auto" w:sz="4" w:space="0"/>
              <w:left w:val="single" w:color="auto" w:sz="4" w:space="0"/>
              <w:bottom w:val="single" w:color="auto" w:sz="4" w:space="0"/>
              <w:right w:val="single" w:color="auto" w:sz="4" w:space="0"/>
            </w:tcBorders>
            <w:noWrap w:val="0"/>
            <w:vAlign w:val="center"/>
          </w:tcPr>
          <w:p w14:paraId="20A0BFB5">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规格</w:t>
            </w:r>
          </w:p>
        </w:tc>
        <w:tc>
          <w:tcPr>
            <w:tcW w:w="972" w:type="dxa"/>
            <w:tcBorders>
              <w:top w:val="single" w:color="auto" w:sz="4" w:space="0"/>
              <w:left w:val="single" w:color="auto" w:sz="4" w:space="0"/>
              <w:bottom w:val="single" w:color="auto" w:sz="4" w:space="0"/>
              <w:right w:val="single" w:color="auto" w:sz="4" w:space="0"/>
            </w:tcBorders>
            <w:noWrap w:val="0"/>
            <w:vAlign w:val="center"/>
          </w:tcPr>
          <w:p w14:paraId="0489E8AA">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数量</w:t>
            </w:r>
          </w:p>
        </w:tc>
        <w:tc>
          <w:tcPr>
            <w:tcW w:w="1133" w:type="dxa"/>
            <w:tcBorders>
              <w:top w:val="single" w:color="auto" w:sz="4" w:space="0"/>
              <w:left w:val="single" w:color="auto" w:sz="4" w:space="0"/>
              <w:bottom w:val="single" w:color="auto" w:sz="4" w:space="0"/>
              <w:right w:val="single" w:color="auto" w:sz="4" w:space="0"/>
            </w:tcBorders>
            <w:noWrap w:val="0"/>
            <w:vAlign w:val="center"/>
          </w:tcPr>
          <w:p w14:paraId="35C96C39">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计量</w:t>
            </w:r>
          </w:p>
          <w:p w14:paraId="17ACD9D2">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单位</w:t>
            </w:r>
          </w:p>
        </w:tc>
        <w:tc>
          <w:tcPr>
            <w:tcW w:w="1289" w:type="dxa"/>
            <w:tcBorders>
              <w:top w:val="single" w:color="auto" w:sz="4" w:space="0"/>
              <w:left w:val="single" w:color="auto" w:sz="4" w:space="0"/>
              <w:bottom w:val="single" w:color="auto" w:sz="4" w:space="0"/>
              <w:right w:val="single" w:color="auto" w:sz="4" w:space="0"/>
            </w:tcBorders>
            <w:noWrap w:val="0"/>
            <w:vAlign w:val="center"/>
          </w:tcPr>
          <w:p w14:paraId="1B23AFF9">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886" w:type="dxa"/>
            <w:tcBorders>
              <w:top w:val="single" w:color="auto" w:sz="4" w:space="0"/>
              <w:left w:val="single" w:color="auto" w:sz="4" w:space="0"/>
              <w:bottom w:val="single" w:color="auto" w:sz="4" w:space="0"/>
              <w:right w:val="single" w:color="auto" w:sz="4" w:space="0"/>
            </w:tcBorders>
            <w:noWrap w:val="0"/>
            <w:vAlign w:val="center"/>
          </w:tcPr>
          <w:p w14:paraId="569B285A">
            <w:pPr>
              <w:pStyle w:val="16"/>
              <w:keepNext w:val="0"/>
              <w:keepLines w:val="0"/>
              <w:pageBreakBefore w:val="0"/>
              <w:widowControl w:val="0"/>
              <w:kinsoku/>
              <w:autoSpaceDE/>
              <w:bidi w:val="0"/>
              <w:spacing w:line="320" w:lineRule="exact"/>
              <w:ind w:left="72"/>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合计（元）</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7078EEA6">
            <w:pPr>
              <w:pStyle w:val="16"/>
              <w:keepNext w:val="0"/>
              <w:keepLines w:val="0"/>
              <w:pageBreakBefore w:val="0"/>
              <w:widowControl w:val="0"/>
              <w:kinsoku/>
              <w:autoSpaceDE/>
              <w:bidi w:val="0"/>
              <w:spacing w:line="320" w:lineRule="exact"/>
              <w:ind w:left="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厂家、品牌</w:t>
            </w:r>
          </w:p>
        </w:tc>
      </w:tr>
      <w:tr w14:paraId="72C46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7065834C">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14:paraId="538FE7EF">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noWrap w:val="0"/>
            <w:vAlign w:val="center"/>
          </w:tcPr>
          <w:p w14:paraId="3AA277BF">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14:paraId="60D7A834">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14:paraId="36AA41A2">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1FF20BD3">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886" w:type="dxa"/>
            <w:tcBorders>
              <w:top w:val="single" w:color="auto" w:sz="4" w:space="0"/>
              <w:left w:val="single" w:color="auto" w:sz="4" w:space="0"/>
              <w:right w:val="single" w:color="auto" w:sz="4" w:space="0"/>
            </w:tcBorders>
            <w:noWrap w:val="0"/>
            <w:vAlign w:val="center"/>
          </w:tcPr>
          <w:p w14:paraId="66B08B7F">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31" w:type="dxa"/>
            <w:tcBorders>
              <w:top w:val="single" w:color="auto" w:sz="4" w:space="0"/>
              <w:left w:val="single" w:color="auto" w:sz="4" w:space="0"/>
              <w:right w:val="single" w:color="auto" w:sz="4" w:space="0"/>
            </w:tcBorders>
            <w:noWrap w:val="0"/>
            <w:vAlign w:val="center"/>
          </w:tcPr>
          <w:p w14:paraId="61FC862B">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0407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1DA2E648">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14:paraId="6426E586">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noWrap w:val="0"/>
            <w:vAlign w:val="center"/>
          </w:tcPr>
          <w:p w14:paraId="10EE3EA9">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14:paraId="0D8D107A">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14:paraId="2D1AA57A">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1FD58553">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886" w:type="dxa"/>
            <w:tcBorders>
              <w:left w:val="single" w:color="auto" w:sz="4" w:space="0"/>
              <w:right w:val="single" w:color="auto" w:sz="4" w:space="0"/>
            </w:tcBorders>
            <w:noWrap w:val="0"/>
            <w:vAlign w:val="center"/>
          </w:tcPr>
          <w:p w14:paraId="5EC9E18B">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31" w:type="dxa"/>
            <w:tcBorders>
              <w:left w:val="single" w:color="auto" w:sz="4" w:space="0"/>
              <w:right w:val="single" w:color="auto" w:sz="4" w:space="0"/>
            </w:tcBorders>
            <w:noWrap w:val="0"/>
            <w:vAlign w:val="center"/>
          </w:tcPr>
          <w:p w14:paraId="1BC3AED2">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7694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4AB9A185">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14:paraId="17CA6A7B">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noWrap w:val="0"/>
            <w:vAlign w:val="center"/>
          </w:tcPr>
          <w:p w14:paraId="282F7F6E">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14:paraId="36DB0DD7">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14:paraId="418E6652">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6E6ACE44">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886" w:type="dxa"/>
            <w:tcBorders>
              <w:left w:val="single" w:color="auto" w:sz="4" w:space="0"/>
              <w:right w:val="single" w:color="auto" w:sz="4" w:space="0"/>
            </w:tcBorders>
            <w:noWrap w:val="0"/>
            <w:vAlign w:val="center"/>
          </w:tcPr>
          <w:p w14:paraId="4C3C642E">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31" w:type="dxa"/>
            <w:tcBorders>
              <w:left w:val="single" w:color="auto" w:sz="4" w:space="0"/>
              <w:right w:val="single" w:color="auto" w:sz="4" w:space="0"/>
            </w:tcBorders>
            <w:noWrap w:val="0"/>
            <w:vAlign w:val="center"/>
          </w:tcPr>
          <w:p w14:paraId="06201595">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69FC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noWrap w:val="0"/>
            <w:vAlign w:val="center"/>
          </w:tcPr>
          <w:p w14:paraId="5F108FB4">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14:paraId="70A0654E">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noWrap w:val="0"/>
            <w:vAlign w:val="center"/>
          </w:tcPr>
          <w:p w14:paraId="5D59F4E0">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14:paraId="0FB1B436">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14:paraId="2677F383">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13DD6ADF">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886" w:type="dxa"/>
            <w:tcBorders>
              <w:left w:val="single" w:color="auto" w:sz="4" w:space="0"/>
              <w:right w:val="single" w:color="auto" w:sz="4" w:space="0"/>
            </w:tcBorders>
            <w:noWrap w:val="0"/>
            <w:vAlign w:val="center"/>
          </w:tcPr>
          <w:p w14:paraId="44AF1966">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31" w:type="dxa"/>
            <w:tcBorders>
              <w:left w:val="single" w:color="auto" w:sz="4" w:space="0"/>
              <w:right w:val="single" w:color="auto" w:sz="4" w:space="0"/>
            </w:tcBorders>
            <w:noWrap w:val="0"/>
            <w:vAlign w:val="center"/>
          </w:tcPr>
          <w:p w14:paraId="01C5B486">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59BF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2403" w:type="dxa"/>
            <w:gridSpan w:val="2"/>
            <w:vMerge w:val="restart"/>
            <w:tcBorders>
              <w:top w:val="single" w:color="auto" w:sz="4" w:space="0"/>
              <w:left w:val="single" w:color="auto" w:sz="4" w:space="0"/>
              <w:right w:val="single" w:color="auto" w:sz="4" w:space="0"/>
            </w:tcBorders>
            <w:noWrap w:val="0"/>
            <w:vAlign w:val="center"/>
          </w:tcPr>
          <w:p w14:paraId="7E1D2014">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合计（元）</w:t>
            </w:r>
          </w:p>
        </w:tc>
        <w:tc>
          <w:tcPr>
            <w:tcW w:w="6756" w:type="dxa"/>
            <w:gridSpan w:val="6"/>
            <w:tcBorders>
              <w:top w:val="single" w:color="auto" w:sz="4" w:space="0"/>
              <w:left w:val="single" w:color="auto" w:sz="4" w:space="0"/>
              <w:bottom w:val="single" w:color="auto" w:sz="4" w:space="0"/>
              <w:right w:val="single" w:color="auto" w:sz="4" w:space="0"/>
            </w:tcBorders>
            <w:noWrap w:val="0"/>
            <w:vAlign w:val="center"/>
          </w:tcPr>
          <w:p w14:paraId="6D409D2A">
            <w:pPr>
              <w:pStyle w:val="16"/>
              <w:keepNext w:val="0"/>
              <w:keepLines w:val="0"/>
              <w:pageBreakBefore w:val="0"/>
              <w:widowControl w:val="0"/>
              <w:kinsoku/>
              <w:autoSpaceDE/>
              <w:bidi w:val="0"/>
              <w:spacing w:line="32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小写：</w:t>
            </w:r>
          </w:p>
        </w:tc>
      </w:tr>
      <w:tr w14:paraId="43190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2403" w:type="dxa"/>
            <w:gridSpan w:val="2"/>
            <w:vMerge w:val="continue"/>
            <w:tcBorders>
              <w:left w:val="single" w:color="auto" w:sz="4" w:space="0"/>
              <w:bottom w:val="single" w:color="auto" w:sz="4" w:space="0"/>
              <w:right w:val="single" w:color="auto" w:sz="4" w:space="0"/>
            </w:tcBorders>
            <w:noWrap w:val="0"/>
            <w:vAlign w:val="center"/>
          </w:tcPr>
          <w:p w14:paraId="4D9C1E6C">
            <w:pPr>
              <w:pStyle w:val="16"/>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6756" w:type="dxa"/>
            <w:gridSpan w:val="6"/>
            <w:tcBorders>
              <w:top w:val="single" w:color="auto" w:sz="4" w:space="0"/>
              <w:left w:val="single" w:color="auto" w:sz="4" w:space="0"/>
              <w:bottom w:val="single" w:color="auto" w:sz="4" w:space="0"/>
              <w:right w:val="single" w:color="auto" w:sz="4" w:space="0"/>
            </w:tcBorders>
            <w:noWrap w:val="0"/>
            <w:vAlign w:val="center"/>
          </w:tcPr>
          <w:p w14:paraId="7539BCAE">
            <w:pPr>
              <w:pStyle w:val="16"/>
              <w:keepNext w:val="0"/>
              <w:keepLines w:val="0"/>
              <w:pageBreakBefore w:val="0"/>
              <w:widowControl w:val="0"/>
              <w:kinsoku/>
              <w:autoSpaceDE/>
              <w:bidi w:val="0"/>
              <w:spacing w:line="32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大写：</w:t>
            </w:r>
          </w:p>
        </w:tc>
      </w:tr>
    </w:tbl>
    <w:p w14:paraId="0AD00BE5">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w:t>
      </w:r>
      <w:r>
        <w:rPr>
          <w:rFonts w:hint="eastAsia" w:asciiTheme="minorEastAsia" w:hAnsiTheme="minorEastAsia" w:eastAsiaTheme="minorEastAsia" w:cstheme="minorEastAsia"/>
          <w:color w:val="auto"/>
          <w:sz w:val="24"/>
          <w:szCs w:val="24"/>
          <w:highlight w:val="none"/>
        </w:rPr>
        <w:t>投标报价为耗材供应配送到</w:t>
      </w:r>
      <w:r>
        <w:rPr>
          <w:rFonts w:hint="eastAsia" w:asciiTheme="minorEastAsia" w:hAnsiTheme="minorEastAsia" w:eastAsiaTheme="minorEastAsia" w:cstheme="minorEastAsia"/>
          <w:color w:val="auto"/>
          <w:sz w:val="24"/>
          <w:szCs w:val="24"/>
          <w:highlight w:val="none"/>
          <w:lang w:val="en-US" w:eastAsia="zh-CN"/>
        </w:rPr>
        <w:t>医院，至</w:t>
      </w:r>
      <w:r>
        <w:rPr>
          <w:rFonts w:hint="eastAsia" w:asciiTheme="minorEastAsia" w:hAnsiTheme="minorEastAsia" w:eastAsiaTheme="minorEastAsia" w:cstheme="minorEastAsia"/>
          <w:color w:val="auto"/>
          <w:sz w:val="24"/>
          <w:szCs w:val="24"/>
          <w:highlight w:val="none"/>
        </w:rPr>
        <w:t>验收合格的一切费用，包括但不限于：耗材的生产制造或购买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或进口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费</w:t>
      </w:r>
      <w:r>
        <w:rPr>
          <w:rFonts w:hint="eastAsia" w:asciiTheme="minorEastAsia" w:hAnsiTheme="minorEastAsia" w:eastAsiaTheme="minorEastAsia" w:cstheme="minorEastAsia"/>
          <w:color w:val="auto"/>
          <w:sz w:val="24"/>
          <w:szCs w:val="24"/>
          <w:highlight w:val="none"/>
          <w:lang w:val="en-US" w:eastAsia="zh-CN"/>
        </w:rPr>
        <w:t>用</w:t>
      </w:r>
      <w:r>
        <w:rPr>
          <w:rFonts w:hint="eastAsia" w:asciiTheme="minorEastAsia" w:hAnsiTheme="minorEastAsia" w:eastAsiaTheme="minorEastAsia" w:cstheme="minorEastAsia"/>
          <w:color w:val="auto"/>
          <w:sz w:val="24"/>
          <w:szCs w:val="24"/>
          <w:highlight w:val="none"/>
        </w:rPr>
        <w:t>、包装费、运输费（含二次运输费）、装卸费、</w:t>
      </w:r>
      <w:r>
        <w:rPr>
          <w:rFonts w:hint="eastAsia" w:asciiTheme="minorEastAsia" w:hAnsiTheme="minorEastAsia" w:eastAsiaTheme="minorEastAsia" w:cstheme="minorEastAsia"/>
          <w:color w:val="auto"/>
          <w:sz w:val="24"/>
          <w:szCs w:val="24"/>
          <w:highlight w:val="none"/>
          <w:lang w:val="en-US" w:eastAsia="zh-CN"/>
        </w:rPr>
        <w:t>退换货费用、</w:t>
      </w:r>
      <w:r>
        <w:rPr>
          <w:rFonts w:hint="eastAsia" w:asciiTheme="minorEastAsia" w:hAnsiTheme="minorEastAsia" w:eastAsiaTheme="minorEastAsia" w:cstheme="minorEastAsia"/>
          <w:color w:val="auto"/>
          <w:sz w:val="24"/>
          <w:szCs w:val="24"/>
          <w:highlight w:val="none"/>
        </w:rPr>
        <w:t>保管费、配送费、调试费、检验费、测试费、保修费、维护保养费、人员培训费、保险费、管理费、税费、SPD服务费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仅临沧市临翔区人民医院所采购耗材涉及本项费用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等全部费用；</w:t>
      </w:r>
    </w:p>
    <w:p w14:paraId="3A918E09">
      <w:pPr>
        <w:spacing w:line="360" w:lineRule="auto"/>
        <w:ind w:firstLine="960" w:firstLineChars="400"/>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报价应充分考虑市场风险、价格风险、政策风险、汇率风险等所有因素。</w:t>
      </w:r>
    </w:p>
    <w:p w14:paraId="59F95741">
      <w:pPr>
        <w:pStyle w:val="34"/>
        <w:rPr>
          <w:rFonts w:hint="eastAsia"/>
          <w:highlight w:val="none"/>
          <w:lang w:val="en-US" w:eastAsia="zh-CN"/>
        </w:rPr>
      </w:pPr>
    </w:p>
    <w:p w14:paraId="7E5D8746">
      <w:pPr>
        <w:pStyle w:val="2"/>
        <w:rPr>
          <w:rFonts w:hint="eastAsia"/>
          <w:highlight w:val="none"/>
          <w:lang w:val="en-US" w:eastAsia="zh-CN"/>
        </w:rPr>
      </w:pPr>
    </w:p>
    <w:p w14:paraId="04A3CC52">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  </w:t>
      </w:r>
    </w:p>
    <w:p w14:paraId="6A03C3EA">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r>
        <w:rPr>
          <w:rFonts w:hint="eastAsia" w:asciiTheme="minorEastAsia" w:hAnsiTheme="minorEastAsia" w:eastAsiaTheme="minorEastAsia" w:cstheme="minorEastAsia"/>
          <w:color w:val="auto"/>
          <w:sz w:val="24"/>
          <w:szCs w:val="24"/>
          <w:highlight w:val="none"/>
        </w:rPr>
        <w:t xml:space="preserve"> </w:t>
      </w:r>
    </w:p>
    <w:p w14:paraId="519EE9E6">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36"/>
          <w:szCs w:val="36"/>
          <w:highlight w:val="none"/>
        </w:rPr>
        <w:br w:type="page"/>
      </w:r>
    </w:p>
    <w:p w14:paraId="0A533A01">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四、商务条款偏离表</w:t>
      </w:r>
    </w:p>
    <w:p w14:paraId="29320D09">
      <w:pPr>
        <w:pStyle w:val="16"/>
        <w:shd w:val="clear" w:color="auto" w:fill="auto"/>
        <w:rPr>
          <w:rFonts w:hint="eastAsia" w:asciiTheme="minorEastAsia" w:hAnsiTheme="minorEastAsia" w:eastAsiaTheme="minorEastAsia" w:cstheme="minorEastAsia"/>
          <w:color w:val="auto"/>
          <w:sz w:val="24"/>
          <w:szCs w:val="24"/>
          <w:highlight w:val="none"/>
        </w:rPr>
      </w:pPr>
    </w:p>
    <w:p w14:paraId="6EBF9FEE">
      <w:pPr>
        <w:pStyle w:val="16"/>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p>
    <w:p w14:paraId="3C7A40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6E28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noWrap w:val="0"/>
            <w:vAlign w:val="center"/>
          </w:tcPr>
          <w:p w14:paraId="3A738FE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noWrap w:val="0"/>
            <w:vAlign w:val="center"/>
          </w:tcPr>
          <w:p w14:paraId="7384DF0B">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noWrap w:val="0"/>
            <w:vAlign w:val="center"/>
          </w:tcPr>
          <w:p w14:paraId="27C2BC09">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noWrap w:val="0"/>
            <w:vAlign w:val="center"/>
          </w:tcPr>
          <w:p w14:paraId="252494C3">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51E3D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14E3E5E0">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0AF4768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673A9A2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64FF9DE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09C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39FB1E7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1D33A2B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6CCDDA5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561A84C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7F7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616B81B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4C76100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7673B32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68FB81B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18DD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76BE8CB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5004CB5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1B3028C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4A075BD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11F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37BCEDC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4173239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457129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2F83726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1AE73696">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“偏离性质”系指“正偏离”、“负偏离”或“无偏离”。</w:t>
      </w:r>
    </w:p>
    <w:p w14:paraId="0FC7834C">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投标文件商务条款如与招标文件的要求有偏离，请认真填写该表。如无偏离，则只需注明“无偏离”即可，无需另行填表。</w:t>
      </w:r>
    </w:p>
    <w:p w14:paraId="2487D4F9">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5F55807D">
      <w:pPr>
        <w:shd w:val="clear" w:color="auto" w:fill="auto"/>
        <w:spacing w:line="360" w:lineRule="auto"/>
        <w:rPr>
          <w:rFonts w:hint="eastAsia" w:asciiTheme="minorEastAsia" w:hAnsiTheme="minorEastAsia" w:eastAsiaTheme="minorEastAsia" w:cstheme="minorEastAsia"/>
          <w:color w:val="auto"/>
          <w:szCs w:val="21"/>
          <w:highlight w:val="none"/>
        </w:rPr>
      </w:pPr>
    </w:p>
    <w:p w14:paraId="7DD7084E">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46E2A067">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22BE2BAB">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0AA3F500">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3729051">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FE9D9F4">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19A3093E">
      <w:pPr>
        <w:pStyle w:val="4"/>
        <w:spacing w:before="0" w:after="0" w:line="360" w:lineRule="auto"/>
        <w:jc w:val="center"/>
        <w:outlineLvl w:val="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五、</w:t>
      </w:r>
      <w:r>
        <w:rPr>
          <w:rFonts w:hint="eastAsia" w:asciiTheme="minorEastAsia" w:hAnsiTheme="minorEastAsia" w:eastAsiaTheme="minorEastAsia" w:cstheme="minorEastAsia"/>
          <w:color w:val="auto"/>
          <w:sz w:val="28"/>
          <w:szCs w:val="28"/>
          <w:highlight w:val="none"/>
        </w:rPr>
        <w:t>法定代表人身份证明</w:t>
      </w:r>
    </w:p>
    <w:p w14:paraId="1619F50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供应商名称：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w:t>
      </w:r>
    </w:p>
    <w:p w14:paraId="7ED084D9">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单位性质：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w:t>
      </w:r>
    </w:p>
    <w:p w14:paraId="4D420C5D">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rPr>
        <w:t xml:space="preserve">                                   </w:t>
      </w:r>
    </w:p>
    <w:p w14:paraId="2B60DD8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成立时间：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6E31BE09">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经营期限：</w:t>
      </w:r>
      <w:r>
        <w:rPr>
          <w:rFonts w:hint="eastAsia" w:asciiTheme="minorEastAsia" w:hAnsiTheme="minorEastAsia" w:eastAsiaTheme="minorEastAsia" w:cstheme="minorEastAsia"/>
          <w:color w:val="auto"/>
          <w:sz w:val="28"/>
          <w:szCs w:val="28"/>
          <w:highlight w:val="none"/>
          <w:u w:val="single"/>
        </w:rPr>
        <w:t xml:space="preserve">                               </w:t>
      </w:r>
    </w:p>
    <w:p w14:paraId="14E8E935">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姓名：</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性别：</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年龄：</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职务：</w:t>
      </w:r>
      <w:r>
        <w:rPr>
          <w:rFonts w:hint="eastAsia" w:asciiTheme="minorEastAsia" w:hAnsiTheme="minorEastAsia" w:eastAsiaTheme="minorEastAsia" w:cstheme="minorEastAsia"/>
          <w:color w:val="auto"/>
          <w:sz w:val="28"/>
          <w:szCs w:val="28"/>
          <w:highlight w:val="none"/>
          <w:u w:val="single"/>
        </w:rPr>
        <w:t xml:space="preserve">        </w:t>
      </w:r>
    </w:p>
    <w:p w14:paraId="51700F9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（供应商名称）的法定代表人。</w:t>
      </w:r>
    </w:p>
    <w:p w14:paraId="3AC85B1F">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特此证明。</w:t>
      </w:r>
    </w:p>
    <w:p w14:paraId="0158EA6D">
      <w:pPr>
        <w:spacing w:line="360" w:lineRule="auto"/>
        <w:rPr>
          <w:rFonts w:hint="eastAsia" w:asciiTheme="minorEastAsia" w:hAnsiTheme="minorEastAsia" w:eastAsiaTheme="minorEastAsia" w:cstheme="minorEastAsia"/>
          <w:color w:val="auto"/>
          <w:sz w:val="28"/>
          <w:szCs w:val="28"/>
          <w:highlight w:val="none"/>
        </w:rPr>
      </w:pPr>
    </w:p>
    <w:p w14:paraId="539EFB94">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附：法定代表人身份证复印件。</w:t>
      </w:r>
    </w:p>
    <w:tbl>
      <w:tblPr>
        <w:tblStyle w:val="27"/>
        <w:tblW w:w="9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9"/>
        <w:gridCol w:w="4174"/>
      </w:tblGrid>
      <w:tr w14:paraId="2E7B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1" w:hRule="atLeast"/>
        </w:trPr>
        <w:tc>
          <w:tcPr>
            <w:tcW w:w="4919" w:type="dxa"/>
          </w:tcPr>
          <w:p w14:paraId="714A2A9B">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1BE4070F">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1F916BB2">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正面</w:t>
            </w:r>
          </w:p>
        </w:tc>
        <w:tc>
          <w:tcPr>
            <w:tcW w:w="4174" w:type="dxa"/>
          </w:tcPr>
          <w:p w14:paraId="171D4EAD">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03701796">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41E1681A">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反面</w:t>
            </w:r>
          </w:p>
        </w:tc>
      </w:tr>
    </w:tbl>
    <w:p w14:paraId="20B0BDE6">
      <w:pPr>
        <w:spacing w:line="360" w:lineRule="auto"/>
        <w:rPr>
          <w:rFonts w:hint="eastAsia" w:asciiTheme="minorEastAsia" w:hAnsiTheme="minorEastAsia" w:eastAsiaTheme="minorEastAsia" w:cstheme="minorEastAsia"/>
          <w:color w:val="auto"/>
          <w:sz w:val="28"/>
          <w:szCs w:val="28"/>
          <w:highlight w:val="none"/>
        </w:rPr>
      </w:pPr>
    </w:p>
    <w:p w14:paraId="50646C63">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lang w:val="en-US" w:eastAsia="zh-CN"/>
        </w:rPr>
        <w:t>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电子签章</w:t>
      </w:r>
      <w:r>
        <w:rPr>
          <w:rFonts w:hint="eastAsia" w:asciiTheme="minorEastAsia" w:hAnsiTheme="minorEastAsia" w:eastAsiaTheme="minorEastAsia" w:cstheme="minorEastAsia"/>
          <w:color w:val="auto"/>
          <w:sz w:val="28"/>
          <w:szCs w:val="28"/>
          <w:highlight w:val="none"/>
        </w:rPr>
        <w:t>）</w:t>
      </w:r>
    </w:p>
    <w:p w14:paraId="7E3FB49D">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none"/>
          <w:lang w:val="en-US" w:eastAsia="zh-CN"/>
        </w:rPr>
        <w:t>日期：</w:t>
      </w:r>
      <w:r>
        <w:rPr>
          <w:rFonts w:hint="eastAsia" w:asciiTheme="minorEastAsia" w:hAnsiTheme="minorEastAsia" w:eastAsiaTheme="minorEastAsia" w:cstheme="minorEastAsia"/>
          <w:color w:val="auto"/>
          <w:sz w:val="28"/>
          <w:szCs w:val="28"/>
          <w:highlight w:val="none"/>
          <w:u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483DAEE">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r>
    </w:p>
    <w:p w14:paraId="4CA32E66">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98" w:name="_Toc247514284"/>
      <w:bookmarkStart w:id="99" w:name="_Toc247527832"/>
      <w:bookmarkStart w:id="100" w:name="_Toc31045"/>
      <w:bookmarkStart w:id="101" w:name="_Toc152042581"/>
      <w:bookmarkStart w:id="102" w:name="_Toc144974861"/>
      <w:bookmarkStart w:id="103" w:name="_Toc152045792"/>
      <w:bookmarkStart w:id="104" w:name="_Toc455687360"/>
      <w:bookmarkStart w:id="105" w:name="_Toc27634"/>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授权委托书</w:t>
      </w:r>
      <w:bookmarkEnd w:id="98"/>
      <w:bookmarkEnd w:id="99"/>
      <w:bookmarkEnd w:id="100"/>
      <w:bookmarkEnd w:id="101"/>
      <w:bookmarkEnd w:id="102"/>
      <w:bookmarkEnd w:id="103"/>
      <w:bookmarkEnd w:id="104"/>
      <w:bookmarkEnd w:id="105"/>
    </w:p>
    <w:p w14:paraId="280C85F8">
      <w:pPr>
        <w:topLinePunct/>
        <w:spacing w:line="360" w:lineRule="auto"/>
        <w:ind w:firstLine="560" w:firstLineChars="20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（供应商名称）的法定代表人，现委托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（项目名称）</w:t>
      </w:r>
      <w:r>
        <w:rPr>
          <w:rFonts w:hint="eastAsia" w:asciiTheme="minorEastAsia" w:hAnsiTheme="minorEastAsia" w:eastAsiaTheme="minorEastAsia" w:cstheme="minorEastAsia"/>
          <w:color w:val="auto"/>
          <w:sz w:val="28"/>
          <w:szCs w:val="28"/>
          <w:highlight w:val="none"/>
          <w:u w:val="none"/>
        </w:rPr>
        <w:t>投标</w:t>
      </w:r>
      <w:r>
        <w:rPr>
          <w:rFonts w:hint="eastAsia" w:asciiTheme="minorEastAsia" w:hAnsiTheme="minorEastAsia" w:eastAsiaTheme="minorEastAsia" w:cstheme="minorEastAsia"/>
          <w:color w:val="auto"/>
          <w:sz w:val="28"/>
          <w:szCs w:val="28"/>
          <w:highlight w:val="none"/>
        </w:rPr>
        <w:t>文件、签订合同和处理有关事宜，其法律后果由我方承担。</w:t>
      </w:r>
    </w:p>
    <w:p w14:paraId="4A0B0122">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委托期限：</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p>
    <w:p w14:paraId="44B1A65F">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代理人无转委托权。</w:t>
      </w:r>
    </w:p>
    <w:p w14:paraId="1AA356C1">
      <w:pPr>
        <w:spacing w:line="360" w:lineRule="auto"/>
        <w:rPr>
          <w:rFonts w:hint="eastAsia" w:asciiTheme="minorEastAsia" w:hAnsiTheme="minorEastAsia" w:eastAsiaTheme="minorEastAsia" w:cstheme="minorEastAsia"/>
          <w:color w:val="auto"/>
          <w:sz w:val="28"/>
          <w:szCs w:val="28"/>
          <w:highlight w:val="none"/>
        </w:rPr>
      </w:pPr>
    </w:p>
    <w:p w14:paraId="40EFCC4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电子签章</w:t>
      </w:r>
      <w:r>
        <w:rPr>
          <w:rFonts w:hint="eastAsia" w:asciiTheme="minorEastAsia" w:hAnsiTheme="minorEastAsia" w:eastAsiaTheme="minorEastAsia" w:cstheme="minorEastAsia"/>
          <w:color w:val="auto"/>
          <w:sz w:val="28"/>
          <w:szCs w:val="28"/>
          <w:highlight w:val="none"/>
        </w:rPr>
        <w:t>）</w:t>
      </w:r>
    </w:p>
    <w:p w14:paraId="73EDBE2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kern w:val="0"/>
          <w:sz w:val="28"/>
          <w:szCs w:val="28"/>
          <w:highlight w:val="none"/>
        </w:rPr>
        <w:t>电子签章或签字</w:t>
      </w:r>
      <w:r>
        <w:rPr>
          <w:rFonts w:hint="eastAsia" w:asciiTheme="minorEastAsia" w:hAnsiTheme="minorEastAsia" w:eastAsiaTheme="minorEastAsia" w:cstheme="minorEastAsia"/>
          <w:color w:val="auto"/>
          <w:sz w:val="28"/>
          <w:szCs w:val="28"/>
          <w:highlight w:val="none"/>
        </w:rPr>
        <w:t>）</w:t>
      </w:r>
    </w:p>
    <w:p w14:paraId="3F01CCA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身份证号码：</w:t>
      </w:r>
      <w:r>
        <w:rPr>
          <w:rFonts w:hint="eastAsia" w:asciiTheme="minorEastAsia" w:hAnsiTheme="minorEastAsia" w:eastAsiaTheme="minorEastAsia" w:cstheme="minorEastAsia"/>
          <w:color w:val="auto"/>
          <w:sz w:val="28"/>
          <w:szCs w:val="28"/>
          <w:highlight w:val="none"/>
          <w:u w:val="single"/>
        </w:rPr>
        <w:t xml:space="preserve">                                     </w:t>
      </w:r>
    </w:p>
    <w:p w14:paraId="5E765A6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 </w:t>
      </w:r>
    </w:p>
    <w:p w14:paraId="45350BC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身份证号码：</w:t>
      </w:r>
      <w:r>
        <w:rPr>
          <w:rFonts w:hint="eastAsia" w:asciiTheme="minorEastAsia" w:hAnsiTheme="minorEastAsia" w:eastAsiaTheme="minorEastAsia" w:cstheme="minorEastAsia"/>
          <w:color w:val="auto"/>
          <w:sz w:val="28"/>
          <w:szCs w:val="28"/>
          <w:highlight w:val="none"/>
          <w:u w:val="single"/>
        </w:rPr>
        <w:t xml:space="preserve">                            </w:t>
      </w:r>
    </w:p>
    <w:p w14:paraId="30BA75C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none"/>
          <w:lang w:val="en-US" w:eastAsia="zh-CN"/>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5CE4EE9">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附：授权委托人身份证复印件</w:t>
      </w:r>
    </w:p>
    <w:tbl>
      <w:tblPr>
        <w:tblStyle w:val="27"/>
        <w:tblW w:w="9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9"/>
        <w:gridCol w:w="4920"/>
      </w:tblGrid>
      <w:tr w14:paraId="5426A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4919" w:type="dxa"/>
          </w:tcPr>
          <w:p w14:paraId="496A7ED2">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3065AA31">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1DA40D3E">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正面</w:t>
            </w:r>
          </w:p>
        </w:tc>
        <w:tc>
          <w:tcPr>
            <w:tcW w:w="4920" w:type="dxa"/>
          </w:tcPr>
          <w:p w14:paraId="069E19EA">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24F32C8C">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06AAE5EB">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反面</w:t>
            </w:r>
          </w:p>
        </w:tc>
      </w:tr>
    </w:tbl>
    <w:p w14:paraId="30E6AA74">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4B3E0CAF">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七、投标保证金</w:t>
      </w:r>
    </w:p>
    <w:p w14:paraId="6D35AA6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t>投标保证金交纳凭证须附：</w:t>
      </w:r>
    </w:p>
    <w:p w14:paraId="3FB69A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17" w:firstLineChars="148"/>
        <w:textAlignment w:val="auto"/>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t>（1）投标保证金有效凭证单据复印件或扫描件；</w:t>
      </w:r>
    </w:p>
    <w:p w14:paraId="77AEF5B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17" w:firstLineChars="148"/>
        <w:jc w:val="both"/>
        <w:textAlignment w:val="auto"/>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t>（2）开户许可证或基本存款账户信息扫描件；</w:t>
      </w:r>
    </w:p>
    <w:p w14:paraId="51F817FF">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7D9A98B5">
      <w:pPr>
        <w:pStyle w:val="4"/>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b/>
          <w:color w:val="auto"/>
          <w:kern w:val="0"/>
          <w:sz w:val="32"/>
          <w:szCs w:val="32"/>
          <w:highlight w:val="none"/>
          <w:lang w:val="en-US" w:eastAsia="zh-CN" w:bidi="ar"/>
        </w:rPr>
        <w:t>八、</w:t>
      </w:r>
      <w:r>
        <w:rPr>
          <w:rFonts w:hint="eastAsia" w:asciiTheme="minorEastAsia" w:hAnsiTheme="minorEastAsia" w:eastAsiaTheme="minorEastAsia" w:cstheme="minorEastAsia"/>
          <w:color w:val="auto"/>
          <w:sz w:val="32"/>
          <w:szCs w:val="32"/>
          <w:highlight w:val="none"/>
          <w:lang w:val="en-US" w:eastAsia="zh-CN"/>
        </w:rPr>
        <w:t>中小企业声明函</w:t>
      </w:r>
    </w:p>
    <w:p w14:paraId="4ED29B55">
      <w:pPr>
        <w:wordWrap w:val="0"/>
        <w:spacing w:line="588" w:lineRule="exact"/>
        <w:rPr>
          <w:rFonts w:hint="eastAsia" w:ascii="宋体" w:hAnsi="宋体"/>
          <w:b/>
          <w:spacing w:val="6"/>
          <w:sz w:val="24"/>
          <w:highlight w:val="none"/>
        </w:rPr>
      </w:pPr>
      <w:r>
        <w:rPr>
          <w:rFonts w:hint="eastAsia" w:ascii="宋体" w:hAnsi="宋体"/>
          <w:b/>
          <w:spacing w:val="6"/>
          <w:sz w:val="24"/>
          <w:highlight w:val="none"/>
        </w:rPr>
        <w:t>请在对应的括号内打“√”</w:t>
      </w:r>
    </w:p>
    <w:p w14:paraId="5C038A83">
      <w:pPr>
        <w:wordWrap w:val="0"/>
        <w:spacing w:line="360" w:lineRule="auto"/>
        <w:ind w:firstLine="480" w:firstLineChars="200"/>
        <w:rPr>
          <w:rFonts w:hint="eastAsia" w:ascii="宋体" w:hAnsi="宋体"/>
          <w:sz w:val="24"/>
          <w:highlight w:val="none"/>
        </w:rPr>
      </w:pPr>
      <w:r>
        <w:rPr>
          <w:rFonts w:hint="eastAsia" w:ascii="宋体" w:hAnsi="宋体"/>
          <w:sz w:val="24"/>
          <w:highlight w:val="none"/>
        </w:rPr>
        <w:t>1、是（     ）</w:t>
      </w:r>
      <w:r>
        <w:rPr>
          <w:rFonts w:hint="eastAsia" w:ascii="宋体" w:hAnsi="宋体"/>
          <w:spacing w:val="6"/>
          <w:sz w:val="24"/>
          <w:highlight w:val="none"/>
        </w:rPr>
        <w:t>根据《政府采购促进中小企业发展管理办法》(财库(2020)46号)的规定</w:t>
      </w:r>
      <w:r>
        <w:rPr>
          <w:rFonts w:hint="eastAsia" w:ascii="宋体" w:hAnsi="宋体"/>
          <w:spacing w:val="6"/>
          <w:sz w:val="24"/>
          <w:highlight w:val="none"/>
          <w:lang w:eastAsia="zh-CN"/>
        </w:rPr>
        <w:t>，</w:t>
      </w:r>
      <w:r>
        <w:rPr>
          <w:rFonts w:hint="eastAsia" w:ascii="宋体" w:hAnsi="宋体"/>
          <w:spacing w:val="6"/>
          <w:sz w:val="24"/>
          <w:highlight w:val="none"/>
        </w:rPr>
        <w:t>提供《中小企业声明函》。</w:t>
      </w:r>
    </w:p>
    <w:p w14:paraId="0BE84F0C">
      <w:pPr>
        <w:wordWrap w:val="0"/>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2、否（     ）</w:t>
      </w:r>
      <w:r>
        <w:rPr>
          <w:rFonts w:hint="eastAsia" w:ascii="宋体" w:hAnsi="宋体"/>
          <w:sz w:val="24"/>
          <w:highlight w:val="none"/>
          <w:lang w:eastAsia="zh-CN"/>
        </w:rPr>
        <w:t>（</w:t>
      </w:r>
      <w:r>
        <w:rPr>
          <w:rFonts w:hint="eastAsia" w:ascii="宋体" w:hAnsi="宋体"/>
          <w:sz w:val="24"/>
          <w:highlight w:val="none"/>
          <w:lang w:val="en-US" w:eastAsia="zh-CN"/>
        </w:rPr>
        <w:t>无需提供中小企业声明函</w:t>
      </w:r>
      <w:r>
        <w:rPr>
          <w:rFonts w:hint="eastAsia" w:ascii="宋体" w:hAnsi="宋体"/>
          <w:sz w:val="24"/>
          <w:highlight w:val="none"/>
          <w:lang w:eastAsia="zh-CN"/>
        </w:rPr>
        <w:t>）</w:t>
      </w:r>
    </w:p>
    <w:p w14:paraId="158F4CEB">
      <w:pPr>
        <w:rPr>
          <w:rFonts w:hint="eastAsia" w:asciiTheme="minorEastAsia" w:hAnsiTheme="minorEastAsia" w:eastAsiaTheme="minorEastAsia" w:cstheme="minorEastAsia"/>
          <w:color w:val="auto"/>
          <w:sz w:val="32"/>
          <w:szCs w:val="32"/>
          <w:highlight w:val="none"/>
          <w:lang w:val="en-US" w:eastAsia="zh-CN"/>
        </w:rPr>
      </w:pPr>
    </w:p>
    <w:p w14:paraId="2EBDC809">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1BFA70D7">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中小企业声明函</w:t>
      </w:r>
    </w:p>
    <w:p w14:paraId="02F7678C">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pacing w:val="6"/>
          <w:szCs w:val="30"/>
          <w:highlight w:val="none"/>
        </w:rPr>
      </w:pPr>
      <w:r>
        <w:rPr>
          <w:rFonts w:hint="eastAsia" w:ascii="宋体" w:hAnsi="宋体" w:cs="宋体"/>
          <w:color w:val="auto"/>
          <w:spacing w:val="6"/>
          <w:szCs w:val="30"/>
          <w:highlight w:val="none"/>
        </w:rPr>
        <w:t>（根据</w:t>
      </w:r>
      <w:r>
        <w:rPr>
          <w:rFonts w:hint="eastAsia" w:ascii="宋体" w:hAnsi="宋体" w:cs="宋体"/>
          <w:color w:val="auto"/>
          <w:spacing w:val="6"/>
          <w:szCs w:val="30"/>
          <w:highlight w:val="none"/>
          <w:lang w:eastAsia="zh-CN"/>
        </w:rPr>
        <w:t>供应商</w:t>
      </w:r>
      <w:r>
        <w:rPr>
          <w:rFonts w:hint="eastAsia" w:ascii="宋体" w:hAnsi="宋体" w:cs="宋体"/>
          <w:color w:val="auto"/>
          <w:spacing w:val="6"/>
          <w:szCs w:val="30"/>
          <w:highlight w:val="none"/>
        </w:rPr>
        <w:t>自身情况如实提供）</w:t>
      </w:r>
    </w:p>
    <w:p w14:paraId="0E24EFC5">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活动，</w:t>
      </w:r>
      <w:r>
        <w:rPr>
          <w:rFonts w:hint="eastAsia" w:asciiTheme="minorEastAsia" w:hAnsiTheme="minorEastAsia" w:eastAsiaTheme="minorEastAsia" w:cstheme="minorEastAsia"/>
          <w:color w:val="auto"/>
          <w:sz w:val="24"/>
          <w:szCs w:val="24"/>
          <w:highlight w:val="none"/>
          <w:lang w:val="en-US" w:eastAsia="zh-CN"/>
        </w:rPr>
        <w:t>提供的货物全部由符合政策要求的中小企业制造</w:t>
      </w:r>
      <w:r>
        <w:rPr>
          <w:rFonts w:hint="eastAsia" w:asciiTheme="minorEastAsia" w:hAnsiTheme="minorEastAsia" w:eastAsiaTheme="minorEastAsia" w:cstheme="minorEastAsia"/>
          <w:color w:val="auto"/>
          <w:sz w:val="24"/>
          <w:szCs w:val="24"/>
          <w:highlight w:val="none"/>
        </w:rPr>
        <w:t>。相关企业的具体情况如下：</w:t>
      </w:r>
    </w:p>
    <w:p w14:paraId="69DA6695">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招标</w:t>
      </w:r>
      <w:r>
        <w:rPr>
          <w:rFonts w:hint="eastAsia" w:asciiTheme="minorEastAsia" w:hAnsiTheme="minorEastAsia" w:eastAsiaTheme="minorEastAsia" w:cstheme="minorEastAsia"/>
          <w:color w:val="auto"/>
          <w:sz w:val="24"/>
          <w:szCs w:val="24"/>
          <w:highlight w:val="none"/>
          <w:u w:val="single"/>
        </w:rPr>
        <w:t>文件中明确的所属行业）</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003C39BD">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招标</w:t>
      </w:r>
      <w:r>
        <w:rPr>
          <w:rFonts w:hint="eastAsia" w:asciiTheme="minorEastAsia" w:hAnsiTheme="minorEastAsia" w:eastAsiaTheme="minorEastAsia" w:cstheme="minorEastAsia"/>
          <w:color w:val="auto"/>
          <w:sz w:val="24"/>
          <w:szCs w:val="24"/>
          <w:highlight w:val="none"/>
          <w:u w:val="single"/>
        </w:rPr>
        <w:t>文件中明确的所属行业）</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4A06C5AC">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w:t>
      </w:r>
    </w:p>
    <w:p w14:paraId="5D244ABF">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以上企业，不属于大企业的分支机构，不存在控股股东为大企业的情形，也不存在与大企业的负责人为同一人的情形。</w:t>
      </w:r>
    </w:p>
    <w:p w14:paraId="363A9C76">
      <w:pPr>
        <w:pageBreakBefore w:val="0"/>
        <w:widowControl w:val="0"/>
        <w:shd w:val="clear" w:color="auto" w:fill="auto"/>
        <w:kinsoku/>
        <w:wordWrap/>
        <w:overflowPunct/>
        <w:bidi w:val="0"/>
        <w:spacing w:line="360" w:lineRule="auto"/>
        <w:ind w:left="420" w:leftChars="20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本企业对上述声明内容的真实性</w:t>
      </w:r>
      <w:r>
        <w:rPr>
          <w:rFonts w:hint="eastAsia" w:asciiTheme="minorEastAsia" w:hAnsiTheme="minorEastAsia" w:eastAsiaTheme="minorEastAsia" w:cstheme="minorEastAsia"/>
          <w:b/>
          <w:bCs/>
          <w:color w:val="auto"/>
          <w:sz w:val="24"/>
          <w:szCs w:val="24"/>
          <w:highlight w:val="none"/>
          <w:u w:val="single"/>
        </w:rPr>
        <w:t>负责</w:t>
      </w:r>
      <w:r>
        <w:rPr>
          <w:rFonts w:hint="eastAsia" w:asciiTheme="minorEastAsia" w:hAnsiTheme="minorEastAsia" w:eastAsiaTheme="minorEastAsia" w:cstheme="minorEastAsia"/>
          <w:b/>
          <w:bCs/>
          <w:color w:val="auto"/>
          <w:sz w:val="24"/>
          <w:szCs w:val="24"/>
          <w:highlight w:val="none"/>
        </w:rPr>
        <w:t>。如有虚假，将依法承担相应责任。</w:t>
      </w:r>
    </w:p>
    <w:p w14:paraId="34E562D2">
      <w:pPr>
        <w:pageBreakBefore w:val="0"/>
        <w:widowControl w:val="0"/>
        <w:shd w:val="clear" w:color="auto" w:fill="auto"/>
        <w:kinsoku/>
        <w:wordWrap/>
        <w:overflowPunct/>
        <w:bidi w:val="0"/>
        <w:spacing w:line="360" w:lineRule="auto"/>
        <w:ind w:right="2120"/>
        <w:textAlignment w:val="auto"/>
        <w:rPr>
          <w:rFonts w:hint="eastAsia" w:asciiTheme="minorEastAsia" w:hAnsiTheme="minorEastAsia" w:eastAsiaTheme="minorEastAsia" w:cstheme="minorEastAsia"/>
          <w:color w:val="auto"/>
          <w:sz w:val="24"/>
          <w:szCs w:val="24"/>
          <w:highlight w:val="none"/>
        </w:rPr>
      </w:pPr>
    </w:p>
    <w:p w14:paraId="1217B88F">
      <w:pPr>
        <w:pageBreakBefore w:val="0"/>
        <w:widowControl w:val="0"/>
        <w:shd w:val="clear" w:color="auto" w:fill="auto"/>
        <w:tabs>
          <w:tab w:val="left" w:pos="0"/>
        </w:tabs>
        <w:kinsoku/>
        <w:wordWrap/>
        <w:overflowPunct/>
        <w:bidi w:val="0"/>
        <w:spacing w:line="36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38F0815">
      <w:pPr>
        <w:pageBreakBefore w:val="0"/>
        <w:widowControl w:val="0"/>
        <w:shd w:val="clear" w:color="auto" w:fill="auto"/>
        <w:tabs>
          <w:tab w:val="left" w:pos="0"/>
        </w:tabs>
        <w:kinsoku/>
        <w:wordWrap/>
        <w:overflowPunct/>
        <w:bidi w:val="0"/>
        <w:spacing w:line="36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4DBBD27">
      <w:pPr>
        <w:pageBreakBefore w:val="0"/>
        <w:widowControl w:val="0"/>
        <w:shd w:val="clear" w:color="auto" w:fill="auto"/>
        <w:kinsoku/>
        <w:wordWrap/>
        <w:overflowPunct/>
        <w:bidi w:val="0"/>
        <w:spacing w:line="360" w:lineRule="auto"/>
        <w:ind w:firstLine="42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825C018">
      <w:pPr>
        <w:pageBreakBefore w:val="0"/>
        <w:widowControl w:val="0"/>
        <w:shd w:val="clear" w:color="auto" w:fill="auto"/>
        <w:kinsoku/>
        <w:wordWrap/>
        <w:overflowPunct/>
        <w:bidi w:val="0"/>
        <w:spacing w:line="360" w:lineRule="auto"/>
        <w:textAlignment w:val="auto"/>
        <w:rPr>
          <w:rFonts w:hint="eastAsia" w:asciiTheme="minorEastAsia" w:hAnsiTheme="minorEastAsia" w:eastAsiaTheme="minorEastAsia" w:cstheme="minorEastAsia"/>
          <w:color w:val="auto"/>
          <w:sz w:val="24"/>
          <w:szCs w:val="24"/>
          <w:highlight w:val="none"/>
        </w:rPr>
      </w:pPr>
    </w:p>
    <w:p w14:paraId="267A116D">
      <w:pPr>
        <w:pageBreakBefore w:val="0"/>
        <w:widowControl w:val="0"/>
        <w:shd w:val="clear" w:color="auto" w:fill="auto"/>
        <w:kinsoku/>
        <w:wordWrap/>
        <w:overflowPunct/>
        <w:bidi w:val="0"/>
        <w:spacing w:line="360" w:lineRule="auto"/>
        <w:textAlignment w:val="auto"/>
        <w:rPr>
          <w:rFonts w:hint="eastAsia" w:asciiTheme="minorEastAsia" w:hAnsiTheme="minorEastAsia" w:eastAsiaTheme="minorEastAsia" w:cstheme="minorEastAsia"/>
          <w:color w:val="auto"/>
          <w:sz w:val="24"/>
          <w:szCs w:val="24"/>
          <w:highlight w:val="none"/>
        </w:rPr>
      </w:pPr>
    </w:p>
    <w:p w14:paraId="1B2F0088">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说明：</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从业人员、营业收入、资产总额填报上一年度数据，无上一年度数据的新成立企业可不填报。</w:t>
      </w:r>
    </w:p>
    <w:p w14:paraId="148B6D9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Cs/>
          <w:color w:val="auto"/>
          <w:sz w:val="24"/>
          <w:szCs w:val="24"/>
          <w:highlight w:val="none"/>
          <w:lang w:val="en-US" w:eastAsia="zh-CN"/>
        </w:rPr>
      </w:pPr>
    </w:p>
    <w:p w14:paraId="51B3A7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349E381F">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九、残疾人福利性单位声明函</w:t>
      </w:r>
    </w:p>
    <w:p w14:paraId="28E1542A">
      <w:pPr>
        <w:wordWrap w:val="0"/>
        <w:spacing w:line="588" w:lineRule="exact"/>
        <w:rPr>
          <w:rFonts w:hint="eastAsia" w:ascii="宋体" w:hAnsi="宋体"/>
          <w:b/>
          <w:spacing w:val="6"/>
          <w:sz w:val="24"/>
          <w:highlight w:val="none"/>
        </w:rPr>
      </w:pPr>
      <w:r>
        <w:rPr>
          <w:rFonts w:hint="eastAsia" w:ascii="宋体" w:hAnsi="宋体"/>
          <w:b/>
          <w:spacing w:val="6"/>
          <w:sz w:val="24"/>
          <w:highlight w:val="none"/>
        </w:rPr>
        <w:t>请在对应的括号内打“√”</w:t>
      </w:r>
    </w:p>
    <w:p w14:paraId="1F5A63D3">
      <w:pPr>
        <w:wordWrap w:val="0"/>
        <w:spacing w:line="360" w:lineRule="auto"/>
        <w:ind w:firstLine="480" w:firstLineChars="200"/>
        <w:rPr>
          <w:rFonts w:hint="eastAsia" w:ascii="宋体" w:hAnsi="宋体"/>
          <w:sz w:val="24"/>
          <w:highlight w:val="none"/>
        </w:rPr>
      </w:pPr>
      <w:r>
        <w:rPr>
          <w:rFonts w:hint="eastAsia" w:ascii="宋体" w:hAnsi="宋体"/>
          <w:sz w:val="24"/>
          <w:highlight w:val="none"/>
        </w:rPr>
        <w:t>1、是（     ）</w:t>
      </w:r>
      <w:r>
        <w:rPr>
          <w:rFonts w:hint="eastAsia" w:ascii="宋体" w:hAnsi="宋体"/>
          <w:spacing w:val="6"/>
          <w:sz w:val="24"/>
          <w:highlight w:val="none"/>
        </w:rPr>
        <w:t>根据《财政部 民政部 中国残疾人联合会关于促进残疾人就业政府采购政策的通知》（财库</w:t>
      </w:r>
      <w:r>
        <w:rPr>
          <w:rFonts w:hint="eastAsia" w:ascii="宋体" w:hAnsi="宋体"/>
          <w:sz w:val="24"/>
          <w:highlight w:val="none"/>
        </w:rPr>
        <w:t>〔2017〕141</w:t>
      </w:r>
      <w:r>
        <w:rPr>
          <w:rFonts w:hint="eastAsia" w:ascii="宋体" w:hAnsi="宋体"/>
          <w:spacing w:val="6"/>
          <w:sz w:val="24"/>
          <w:highlight w:val="none"/>
        </w:rPr>
        <w:t>号）规定的格式提供《残疾人福利性单位声明函》。</w:t>
      </w:r>
    </w:p>
    <w:p w14:paraId="1072DBA7">
      <w:pPr>
        <w:wordWrap w:val="0"/>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2、否（     ）</w:t>
      </w:r>
      <w:r>
        <w:rPr>
          <w:rFonts w:hint="eastAsia" w:ascii="宋体" w:hAnsi="宋体"/>
          <w:sz w:val="24"/>
          <w:highlight w:val="none"/>
          <w:lang w:eastAsia="zh-CN"/>
        </w:rPr>
        <w:t>（</w:t>
      </w:r>
      <w:r>
        <w:rPr>
          <w:rFonts w:hint="eastAsia" w:ascii="宋体" w:hAnsi="宋体"/>
          <w:sz w:val="24"/>
          <w:highlight w:val="none"/>
          <w:lang w:val="en-US" w:eastAsia="zh-CN"/>
        </w:rPr>
        <w:t>无需提供残疾人福利性单位声明函</w:t>
      </w:r>
      <w:r>
        <w:rPr>
          <w:rFonts w:hint="eastAsia" w:ascii="宋体" w:hAnsi="宋体"/>
          <w:sz w:val="24"/>
          <w:highlight w:val="none"/>
          <w:lang w:eastAsia="zh-CN"/>
        </w:rPr>
        <w:t>）</w:t>
      </w:r>
    </w:p>
    <w:p w14:paraId="0E5383D2">
      <w:pPr>
        <w:rPr>
          <w:rFonts w:hint="eastAsia" w:asciiTheme="minorEastAsia" w:hAnsiTheme="minorEastAsia" w:eastAsiaTheme="minorEastAsia" w:cstheme="minorEastAsia"/>
          <w:b/>
          <w:color w:val="auto"/>
          <w:kern w:val="0"/>
          <w:sz w:val="32"/>
          <w:szCs w:val="32"/>
          <w:highlight w:val="none"/>
          <w:lang w:val="en-US" w:eastAsia="zh-CN" w:bidi="ar"/>
        </w:rPr>
      </w:pPr>
      <w:r>
        <w:rPr>
          <w:rFonts w:hint="eastAsia" w:asciiTheme="minorEastAsia" w:hAnsiTheme="minorEastAsia" w:eastAsiaTheme="minorEastAsia" w:cstheme="minorEastAsia"/>
          <w:b/>
          <w:color w:val="auto"/>
          <w:kern w:val="0"/>
          <w:sz w:val="32"/>
          <w:szCs w:val="32"/>
          <w:highlight w:val="none"/>
          <w:lang w:val="en-US" w:eastAsia="zh-CN" w:bidi="ar"/>
        </w:rPr>
        <w:br w:type="page"/>
      </w:r>
    </w:p>
    <w:p w14:paraId="1FABF1A8">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color w:val="auto"/>
          <w:kern w:val="0"/>
          <w:sz w:val="32"/>
          <w:szCs w:val="32"/>
          <w:highlight w:val="none"/>
          <w:lang w:val="en-US" w:eastAsia="zh-CN" w:bidi="ar"/>
        </w:rPr>
      </w:pPr>
      <w:r>
        <w:rPr>
          <w:rFonts w:hint="eastAsia" w:asciiTheme="minorEastAsia" w:hAnsiTheme="minorEastAsia" w:eastAsiaTheme="minorEastAsia" w:cstheme="minorEastAsia"/>
          <w:b/>
          <w:color w:val="auto"/>
          <w:kern w:val="0"/>
          <w:sz w:val="32"/>
          <w:szCs w:val="32"/>
          <w:highlight w:val="none"/>
          <w:lang w:val="en-US" w:eastAsia="zh-CN" w:bidi="ar"/>
        </w:rPr>
        <w:t>残疾人福利性单位声明函</w:t>
      </w:r>
    </w:p>
    <w:p w14:paraId="4D87F7E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中国残疾人联合会关于促进残疾人就业政府采购政策的通知》（财库〔2017〕141 号）的规定，本单位为符合条件的残疾人福利性单位，且本单位参</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4960B1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F01513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43A77C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7E148B9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86CE8B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44F4A4F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3D4114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202129C">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7E1664C">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A988F6C">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B9DDEE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97D75D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如为残疾人福利性单位并提供本《残疾人福利性单位声明函》的，必须对声明的真实性负责。</w:t>
      </w:r>
    </w:p>
    <w:p w14:paraId="2B065C0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如为残疾人福利性单位须提供相关证明材料。</w:t>
      </w:r>
    </w:p>
    <w:p w14:paraId="52F6F354">
      <w:pPr>
        <w:pageBreakBefore w:val="0"/>
        <w:widowControl w:val="0"/>
        <w:shd w:val="clear" w:color="auto" w:fill="auto"/>
        <w:kinsoku/>
        <w:wordWrap/>
        <w:overflowPunct/>
        <w:bidi w:val="0"/>
        <w:spacing w:line="360" w:lineRule="auto"/>
        <w:ind w:firstLine="720" w:firstLineChars="3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3.供应商不属于残疾人福利性单位的，本声明函内容可不填写，但落款必须填写单位名称并按规定进行电子签章。</w:t>
      </w:r>
    </w:p>
    <w:p w14:paraId="2EB3D298">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757A3435">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十、监狱企业声明函</w:t>
      </w:r>
    </w:p>
    <w:p w14:paraId="255E487C">
      <w:pPr>
        <w:wordWrap w:val="0"/>
        <w:spacing w:line="360" w:lineRule="auto"/>
        <w:jc w:val="left"/>
        <w:rPr>
          <w:rFonts w:hint="eastAsia" w:ascii="宋体" w:hAnsi="宋体"/>
          <w:sz w:val="24"/>
          <w:highlight w:val="none"/>
        </w:rPr>
      </w:pPr>
      <w:r>
        <w:rPr>
          <w:rFonts w:hint="eastAsia" w:ascii="宋体" w:hAnsi="宋体"/>
          <w:b/>
          <w:sz w:val="24"/>
          <w:highlight w:val="none"/>
        </w:rPr>
        <w:t>供应商为监狱企业的，应提供由省级以上监狱管理局、戒毒管理局（含新疆生产建设兵团）出具的属于监狱企业的证明文件</w:t>
      </w:r>
      <w:r>
        <w:rPr>
          <w:rFonts w:hint="eastAsia" w:ascii="宋体" w:hAnsi="宋体"/>
          <w:sz w:val="24"/>
          <w:highlight w:val="none"/>
        </w:rPr>
        <w:t>（原件彩色扫描件）：</w:t>
      </w:r>
    </w:p>
    <w:p w14:paraId="3CAA6C35">
      <w:pPr>
        <w:wordWrap w:val="0"/>
        <w:spacing w:line="360" w:lineRule="auto"/>
        <w:jc w:val="left"/>
        <w:rPr>
          <w:rFonts w:hint="eastAsia" w:ascii="宋体" w:hAnsi="宋体"/>
          <w:sz w:val="24"/>
          <w:highlight w:val="none"/>
        </w:rPr>
      </w:pPr>
    </w:p>
    <w:p w14:paraId="172C20CC">
      <w:pPr>
        <w:wordWrap w:val="0"/>
        <w:spacing w:line="360" w:lineRule="auto"/>
        <w:jc w:val="left"/>
        <w:rPr>
          <w:rFonts w:hint="eastAsia" w:ascii="宋体" w:hAnsi="宋体"/>
          <w:b/>
          <w:sz w:val="24"/>
          <w:highlight w:val="none"/>
        </w:rPr>
      </w:pPr>
    </w:p>
    <w:p w14:paraId="413A8994">
      <w:pPr>
        <w:wordWrap w:val="0"/>
        <w:spacing w:line="360" w:lineRule="auto"/>
        <w:rPr>
          <w:rFonts w:hint="eastAsia" w:ascii="宋体" w:hAnsi="宋体"/>
          <w:sz w:val="24"/>
          <w:highlight w:val="none"/>
        </w:rPr>
      </w:pPr>
      <w:r>
        <w:rPr>
          <w:rFonts w:hint="eastAsia" w:ascii="宋体" w:hAnsi="宋体"/>
          <w:b/>
          <w:spacing w:val="6"/>
          <w:sz w:val="24"/>
          <w:highlight w:val="none"/>
        </w:rPr>
        <w:t>请在对应的括号内打“√”</w:t>
      </w:r>
    </w:p>
    <w:p w14:paraId="37317F9B">
      <w:pPr>
        <w:wordWrap w:val="0"/>
        <w:spacing w:line="360" w:lineRule="auto"/>
        <w:ind w:firstLine="480" w:firstLineChars="200"/>
        <w:rPr>
          <w:rFonts w:hint="eastAsia" w:ascii="宋体" w:hAnsi="宋体"/>
          <w:sz w:val="24"/>
          <w:highlight w:val="none"/>
        </w:rPr>
      </w:pPr>
      <w:r>
        <w:rPr>
          <w:rFonts w:hint="eastAsia" w:ascii="宋体" w:hAnsi="宋体"/>
          <w:sz w:val="24"/>
          <w:highlight w:val="none"/>
        </w:rPr>
        <w:t>1、是（     ）根据《财政部 司法部关于政府采购支持监狱企业发展有关问题的通知》（财库〔2014〕68号）的规定提供属于监狱企业的证明文件（</w:t>
      </w:r>
      <w:r>
        <w:rPr>
          <w:rFonts w:hint="eastAsia" w:ascii="宋体" w:hAnsi="宋体"/>
          <w:sz w:val="24"/>
          <w:highlight w:val="none"/>
          <w:lang w:val="en-US" w:eastAsia="zh-CN"/>
        </w:rPr>
        <w:t>按照以下格式填写和提供相关证明文件</w:t>
      </w:r>
      <w:r>
        <w:rPr>
          <w:rFonts w:hint="eastAsia" w:ascii="宋体" w:hAnsi="宋体"/>
          <w:sz w:val="24"/>
          <w:highlight w:val="none"/>
        </w:rPr>
        <w:t>）。</w:t>
      </w:r>
    </w:p>
    <w:p w14:paraId="7AB57337">
      <w:pPr>
        <w:wordWrap w:val="0"/>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2、否（     ）</w:t>
      </w:r>
      <w:r>
        <w:rPr>
          <w:rFonts w:hint="eastAsia" w:ascii="宋体" w:hAnsi="宋体"/>
          <w:sz w:val="24"/>
          <w:highlight w:val="none"/>
          <w:lang w:eastAsia="zh-CN"/>
        </w:rPr>
        <w:t>（</w:t>
      </w:r>
      <w:r>
        <w:rPr>
          <w:rFonts w:hint="eastAsia" w:ascii="宋体" w:hAnsi="宋体"/>
          <w:sz w:val="24"/>
          <w:highlight w:val="none"/>
          <w:lang w:val="en-US" w:eastAsia="zh-CN"/>
        </w:rPr>
        <w:t>无需提供监狱企业证明文件</w:t>
      </w:r>
      <w:r>
        <w:rPr>
          <w:rFonts w:hint="eastAsia" w:ascii="宋体" w:hAnsi="宋体"/>
          <w:sz w:val="24"/>
          <w:highlight w:val="none"/>
          <w:lang w:eastAsia="zh-CN"/>
        </w:rPr>
        <w:t>）</w:t>
      </w:r>
    </w:p>
    <w:p w14:paraId="7B25C4B7">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p>
    <w:p w14:paraId="1E4B86A8">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5AE774B0">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监狱企业声明函</w:t>
      </w:r>
    </w:p>
    <w:p w14:paraId="1C84214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4A66F60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本单位郑重声明，根据《关于政府采购支持监狱企业发展有关问题的通知》(财库[2014]68号)的规定，本单位为符合条件的监狱企业，且本单位参加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采购活动提供本单位制造的货物（由本单位承担工程/提供服务），或者提供其他监狱企业制造的货物（不包括使用非监狱企业注册商标的货物）。</w:t>
      </w:r>
    </w:p>
    <w:p w14:paraId="614737D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ABC7CB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837394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55B6508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10C81D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5B9E00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4C5FF61">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8EE721F">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2C5FF69">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FF6A884">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AB5019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2113C75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5C02FC3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如为监狱企业并提供本《监狱企业声明函》的，必须对声明的真实性负责。</w:t>
      </w:r>
    </w:p>
    <w:p w14:paraId="0111144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2.监狱企业以省级以上监狱管理局、戒毒管理局(含新疆生产建设兵团)出具的属于监狱企业的证明文件为准。</w:t>
      </w:r>
    </w:p>
    <w:p w14:paraId="4C6447C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3.供应商不属于监狱企业的，本声明函内容可不填写，但落款必须填写单位名称并按规定进行电子签章。</w:t>
      </w:r>
    </w:p>
    <w:p w14:paraId="565B5D02">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75CB37AD">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589627D2">
      <w:pPr>
        <w:numPr>
          <w:ilvl w:val="2"/>
          <w:numId w:val="0"/>
        </w:numPr>
        <w:tabs>
          <w:tab w:val="left" w:pos="900"/>
        </w:tabs>
        <w:adjustRightInd w:val="0"/>
        <w:spacing w:line="360" w:lineRule="auto"/>
        <w:jc w:val="center"/>
        <w:textAlignment w:val="baseline"/>
        <w:outlineLvl w:val="2"/>
        <w:rPr>
          <w:rFonts w:ascii="宋体" w:hAnsi="宋体" w:cs="宋体"/>
          <w:b/>
          <w:color w:val="auto"/>
          <w:kern w:val="0"/>
          <w:sz w:val="32"/>
          <w:szCs w:val="21"/>
          <w:highlight w:val="none"/>
        </w:rPr>
      </w:pPr>
      <w:r>
        <w:rPr>
          <w:rFonts w:hint="eastAsia" w:ascii="宋体" w:hAnsi="宋体" w:cs="宋体"/>
          <w:b/>
          <w:color w:val="auto"/>
          <w:kern w:val="0"/>
          <w:sz w:val="32"/>
          <w:szCs w:val="21"/>
          <w:highlight w:val="none"/>
          <w:lang w:val="en-US" w:eastAsia="zh-CN"/>
        </w:rPr>
        <w:t>十一</w:t>
      </w:r>
      <w:r>
        <w:rPr>
          <w:rFonts w:hint="eastAsia" w:ascii="宋体" w:hAnsi="宋体" w:cs="宋体"/>
          <w:b/>
          <w:color w:val="auto"/>
          <w:kern w:val="0"/>
          <w:sz w:val="32"/>
          <w:szCs w:val="21"/>
          <w:highlight w:val="none"/>
          <w:lang w:eastAsia="zh-CN"/>
        </w:rPr>
        <w:t>、</w:t>
      </w:r>
      <w:r>
        <w:rPr>
          <w:rFonts w:hint="eastAsia" w:ascii="宋体" w:hAnsi="宋体" w:cs="宋体"/>
          <w:b/>
          <w:color w:val="auto"/>
          <w:kern w:val="0"/>
          <w:sz w:val="32"/>
          <w:szCs w:val="21"/>
          <w:highlight w:val="none"/>
        </w:rPr>
        <w:t>构成投标文件商务部分的其他资料</w:t>
      </w:r>
    </w:p>
    <w:p w14:paraId="5992BA80">
      <w:pPr>
        <w:jc w:val="center"/>
        <w:rPr>
          <w:rFonts w:hint="eastAsia" w:ascii="宋体" w:hAnsi="宋体" w:cs="宋体"/>
          <w:bCs/>
          <w:color w:val="auto"/>
          <w:szCs w:val="21"/>
          <w:highlight w:val="none"/>
        </w:rPr>
      </w:pPr>
    </w:p>
    <w:p w14:paraId="5816D433">
      <w:pPr>
        <w:jc w:val="center"/>
        <w:rPr>
          <w:rFonts w:hint="eastAsia" w:ascii="宋体" w:hAnsi="宋体" w:cs="宋体"/>
          <w:bCs/>
          <w:color w:val="auto"/>
          <w:szCs w:val="21"/>
          <w:highlight w:val="none"/>
        </w:rPr>
      </w:pPr>
      <w:r>
        <w:rPr>
          <w:rFonts w:hint="eastAsia" w:ascii="宋体" w:hAnsi="宋体" w:cs="宋体"/>
          <w:bCs/>
          <w:color w:val="auto"/>
          <w:szCs w:val="21"/>
          <w:highlight w:val="none"/>
        </w:rPr>
        <w:t>（如有）</w:t>
      </w:r>
    </w:p>
    <w:p w14:paraId="650E83F5">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0F887DA3">
      <w:pPr>
        <w:pStyle w:val="4"/>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jc w:val="center"/>
        <w:textAlignment w:val="auto"/>
        <w:outlineLvl w:val="0"/>
        <w:rPr>
          <w:rFonts w:hint="eastAsia" w:asciiTheme="minorEastAsia" w:hAnsiTheme="minorEastAsia" w:eastAsiaTheme="minorEastAsia" w:cstheme="minorEastAsia"/>
          <w:color w:val="auto"/>
          <w:sz w:val="32"/>
          <w:szCs w:val="32"/>
          <w:highlight w:val="none"/>
        </w:rPr>
      </w:pPr>
      <w:bookmarkStart w:id="106" w:name="_Toc567"/>
      <w:bookmarkStart w:id="107" w:name="_Toc31276"/>
      <w:bookmarkStart w:id="108" w:name="_Toc18235"/>
      <w:bookmarkStart w:id="109" w:name="_Toc8472"/>
      <w:bookmarkStart w:id="110" w:name="_Toc27342"/>
      <w:bookmarkStart w:id="111" w:name="_Toc22703"/>
      <w:bookmarkStart w:id="112" w:name="_Toc10907"/>
      <w:bookmarkStart w:id="113" w:name="_Toc7405"/>
      <w:r>
        <w:rPr>
          <w:rFonts w:hint="eastAsia" w:asciiTheme="minorEastAsia" w:hAnsiTheme="minorEastAsia" w:eastAsiaTheme="minorEastAsia" w:cstheme="minorEastAsia"/>
          <w:b/>
          <w:color w:val="auto"/>
          <w:kern w:val="0"/>
          <w:sz w:val="32"/>
          <w:szCs w:val="32"/>
          <w:highlight w:val="none"/>
          <w:lang w:val="en-US" w:eastAsia="zh-CN" w:bidi="ar"/>
        </w:rPr>
        <w:t xml:space="preserve">第三部分  </w:t>
      </w:r>
      <w:r>
        <w:rPr>
          <w:rFonts w:hint="eastAsia" w:asciiTheme="minorEastAsia" w:hAnsiTheme="minorEastAsia" w:eastAsiaTheme="minorEastAsia" w:cstheme="minorEastAsia"/>
          <w:color w:val="auto"/>
          <w:sz w:val="32"/>
          <w:szCs w:val="32"/>
          <w:highlight w:val="none"/>
        </w:rPr>
        <w:t>技术部分</w:t>
      </w:r>
      <w:bookmarkEnd w:id="106"/>
      <w:bookmarkEnd w:id="107"/>
      <w:bookmarkEnd w:id="108"/>
      <w:bookmarkEnd w:id="109"/>
      <w:bookmarkEnd w:id="110"/>
      <w:bookmarkEnd w:id="111"/>
      <w:bookmarkEnd w:id="112"/>
      <w:bookmarkEnd w:id="113"/>
    </w:p>
    <w:p w14:paraId="6B7F1602">
      <w:pPr>
        <w:pStyle w:val="4"/>
        <w:numPr>
          <w:ilvl w:val="0"/>
          <w:numId w:val="0"/>
        </w:numPr>
        <w:spacing w:line="360" w:lineRule="auto"/>
        <w:jc w:val="center"/>
        <w:outlineLvl w:val="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一、投标产品技术参数说明</w:t>
      </w:r>
    </w:p>
    <w:p w14:paraId="51409BDA">
      <w:pPr>
        <w:pStyle w:val="16"/>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p>
    <w:p w14:paraId="4D82FD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tbl>
      <w:tblPr>
        <w:tblStyle w:val="26"/>
        <w:tblW w:w="9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789"/>
        <w:gridCol w:w="3895"/>
        <w:gridCol w:w="1770"/>
        <w:gridCol w:w="990"/>
      </w:tblGrid>
      <w:tr w14:paraId="4ECB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757" w:type="dxa"/>
            <w:vAlign w:val="center"/>
          </w:tcPr>
          <w:p w14:paraId="3ED42658">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789" w:type="dxa"/>
            <w:vAlign w:val="center"/>
          </w:tcPr>
          <w:p w14:paraId="49C7049C">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耗材名称</w:t>
            </w:r>
          </w:p>
        </w:tc>
        <w:tc>
          <w:tcPr>
            <w:tcW w:w="3895" w:type="dxa"/>
            <w:vAlign w:val="center"/>
          </w:tcPr>
          <w:p w14:paraId="61EF4D6B">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4"/>
                <w:highlight w:val="none"/>
              </w:rPr>
              <w:t>投标</w:t>
            </w:r>
            <w:r>
              <w:rPr>
                <w:rFonts w:hint="eastAsia" w:asciiTheme="minorEastAsia" w:hAnsiTheme="minorEastAsia" w:eastAsiaTheme="minorEastAsia" w:cstheme="minorEastAsia"/>
                <w:color w:val="auto"/>
                <w:sz w:val="24"/>
                <w:highlight w:val="none"/>
                <w:lang w:val="en-US" w:eastAsia="zh-CN"/>
              </w:rPr>
              <w:t>产品主要性能参数介绍</w:t>
            </w:r>
          </w:p>
        </w:tc>
        <w:tc>
          <w:tcPr>
            <w:tcW w:w="1770" w:type="dxa"/>
            <w:vAlign w:val="center"/>
          </w:tcPr>
          <w:p w14:paraId="1A5122C3">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 w:val="24"/>
                <w:highlight w:val="none"/>
              </w:rPr>
              <w:t>技术支持资料索引（页码）</w:t>
            </w:r>
          </w:p>
        </w:tc>
        <w:tc>
          <w:tcPr>
            <w:tcW w:w="990" w:type="dxa"/>
            <w:vAlign w:val="center"/>
          </w:tcPr>
          <w:p w14:paraId="5D17F9C1">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14:paraId="51DBB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445B7A5F">
            <w:pPr>
              <w:shd w:val="clear" w:color="auto" w:fill="FFFFFF"/>
              <w:spacing w:line="400" w:lineRule="exact"/>
              <w:jc w:val="center"/>
              <w:rPr>
                <w:rFonts w:hint="eastAsia" w:asciiTheme="minorEastAsia" w:hAnsiTheme="minorEastAsia" w:eastAsiaTheme="minorEastAsia" w:cstheme="minorEastAsia"/>
                <w:color w:val="auto"/>
                <w:sz w:val="24"/>
                <w:highlight w:val="none"/>
              </w:rPr>
            </w:pPr>
            <w:bookmarkStart w:id="114" w:name="_Hlk50472260"/>
            <w:r>
              <w:rPr>
                <w:rFonts w:hint="eastAsia" w:asciiTheme="minorEastAsia" w:hAnsiTheme="minorEastAsia" w:eastAsiaTheme="minorEastAsia" w:cstheme="minorEastAsia"/>
                <w:color w:val="auto"/>
                <w:sz w:val="24"/>
                <w:highlight w:val="none"/>
              </w:rPr>
              <w:t>1</w:t>
            </w:r>
          </w:p>
        </w:tc>
        <w:tc>
          <w:tcPr>
            <w:tcW w:w="1789" w:type="dxa"/>
            <w:vAlign w:val="center"/>
          </w:tcPr>
          <w:p w14:paraId="6D952AF0">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895" w:type="dxa"/>
          </w:tcPr>
          <w:p w14:paraId="30256205">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770" w:type="dxa"/>
          </w:tcPr>
          <w:p w14:paraId="197E3177">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990" w:type="dxa"/>
          </w:tcPr>
          <w:p w14:paraId="31BF5072">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6FFF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2EA1C826">
            <w:pPr>
              <w:shd w:val="clear" w:color="auto" w:fill="FFFFFF"/>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789" w:type="dxa"/>
            <w:vAlign w:val="center"/>
          </w:tcPr>
          <w:p w14:paraId="59537A3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895" w:type="dxa"/>
          </w:tcPr>
          <w:p w14:paraId="001A56EE">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770" w:type="dxa"/>
          </w:tcPr>
          <w:p w14:paraId="604F4EAF">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990" w:type="dxa"/>
          </w:tcPr>
          <w:p w14:paraId="32E28E78">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6F8A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069AC522">
            <w:pPr>
              <w:shd w:val="clear" w:color="auto" w:fill="FFFFFF"/>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789" w:type="dxa"/>
            <w:vAlign w:val="center"/>
          </w:tcPr>
          <w:p w14:paraId="604159A1">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895" w:type="dxa"/>
          </w:tcPr>
          <w:p w14:paraId="1C06FBAB">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770" w:type="dxa"/>
          </w:tcPr>
          <w:p w14:paraId="4E92ABE1">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990" w:type="dxa"/>
          </w:tcPr>
          <w:p w14:paraId="7C0FEDC8">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1C16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57" w:type="dxa"/>
          </w:tcPr>
          <w:p w14:paraId="7719CC87">
            <w:pPr>
              <w:shd w:val="clear" w:color="auto" w:fill="FFFFFF"/>
              <w:spacing w:line="400" w:lineRule="exact"/>
              <w:jc w:val="center"/>
              <w:rPr>
                <w:rFonts w:hint="eastAsia"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w:t>
            </w:r>
          </w:p>
        </w:tc>
        <w:tc>
          <w:tcPr>
            <w:tcW w:w="1789" w:type="dxa"/>
          </w:tcPr>
          <w:p w14:paraId="38438BA8">
            <w:pPr>
              <w:shd w:val="clear" w:color="auto" w:fill="FFFFFF"/>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3895" w:type="dxa"/>
          </w:tcPr>
          <w:p w14:paraId="63C9F484">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770" w:type="dxa"/>
          </w:tcPr>
          <w:p w14:paraId="25A4753A">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990" w:type="dxa"/>
          </w:tcPr>
          <w:p w14:paraId="073490CE">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bookmarkEnd w:id="114"/>
    </w:tbl>
    <w:p w14:paraId="7E035723">
      <w:pPr>
        <w:tabs>
          <w:tab w:val="left" w:pos="1800"/>
          <w:tab w:val="left" w:pos="5580"/>
        </w:tabs>
        <w:jc w:val="left"/>
        <w:rPr>
          <w:rFonts w:hint="eastAsia" w:ascii="Times New Roman" w:hAnsi="Times New Roman" w:eastAsia="宋体" w:cs="Times New Roman"/>
          <w:color w:val="000000"/>
          <w:sz w:val="24"/>
          <w:highlight w:val="none"/>
        </w:rPr>
      </w:pPr>
    </w:p>
    <w:p w14:paraId="66D9654D">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both"/>
        <w:textAlignment w:val="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表格填写说明：</w:t>
      </w:r>
    </w:p>
    <w:p w14:paraId="20FE9752">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both"/>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1、供应商应按照采购清单认真填写上表。</w:t>
      </w:r>
    </w:p>
    <w:p w14:paraId="548DD141">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left"/>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供应商应提供所投产品的技术支持资料（如投标产品厂家技术白皮书或产品检测报告或产品厂家印刷宣传彩页或产品厂家性能参数说明书或相关承诺函），同时在“技术支持资料索引（页码）”一栏中标注投标产品技术支持材料的页码（如：P100—P108）</w:t>
      </w:r>
    </w:p>
    <w:p w14:paraId="5E713F3D">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14E83CA6">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3F32F34C">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4158DC85">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B2CC97F">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58F40B6">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7690A66C">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二、技术条款偏离表</w:t>
      </w:r>
    </w:p>
    <w:p w14:paraId="0380A48C">
      <w:pPr>
        <w:pStyle w:val="16"/>
        <w:shd w:val="clear" w:color="auto" w:fill="auto"/>
        <w:rPr>
          <w:rFonts w:hint="eastAsia" w:asciiTheme="minorEastAsia" w:hAnsiTheme="minorEastAsia" w:eastAsiaTheme="minorEastAsia" w:cstheme="minorEastAsia"/>
          <w:color w:val="auto"/>
          <w:szCs w:val="21"/>
          <w:highlight w:val="none"/>
        </w:rPr>
      </w:pPr>
    </w:p>
    <w:p w14:paraId="27612516">
      <w:pPr>
        <w:pStyle w:val="16"/>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临沧市临翔区人民医院2025年度医用耗材第二标段采购项目</w:t>
      </w:r>
    </w:p>
    <w:p w14:paraId="490788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p w14:paraId="5B1243B6">
      <w:pPr>
        <w:rPr>
          <w:rFonts w:hint="eastAsia"/>
          <w:highlight w:val="none"/>
          <w:lang w:val="en-US"/>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28216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23" w:hRule="atLeast"/>
          <w:jc w:val="center"/>
        </w:trPr>
        <w:tc>
          <w:tcPr>
            <w:tcW w:w="1640" w:type="dxa"/>
            <w:noWrap w:val="0"/>
            <w:vAlign w:val="center"/>
          </w:tcPr>
          <w:p w14:paraId="681A6E7C">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noWrap w:val="0"/>
            <w:vAlign w:val="center"/>
          </w:tcPr>
          <w:p w14:paraId="3C5BD973">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noWrap w:val="0"/>
            <w:vAlign w:val="center"/>
          </w:tcPr>
          <w:p w14:paraId="5CA045B5">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noWrap w:val="0"/>
            <w:vAlign w:val="center"/>
          </w:tcPr>
          <w:p w14:paraId="098EBB6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5A6CC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66E3C5B0">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58AF354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46357B7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5B0E026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BD48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2AC0107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2B39A20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4DDAFE5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3866BD8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F9D8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3660AE8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52B0BDA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0E26E1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151E1B9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8FF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1898FC0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2683B16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2D6221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694088F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66D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13AEF71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54CF46D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218C342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0D33498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2B310144">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“偏离性质”系指“正偏离”、“负偏离”或“无偏离”。</w:t>
      </w:r>
    </w:p>
    <w:p w14:paraId="0783166D">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所</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rPr>
        <w:t>产品的实际技术参数，如与招标文件的要求有偏离，请认真填写该表。如无偏离，则只需注明“无偏离”即可，无需另行填表。</w:t>
      </w:r>
    </w:p>
    <w:p w14:paraId="5E18C8F6">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3.如供应商所投标的产品技术参数出现瞒报或虚报的,一经证实，视为虚假应标，取消其投标资格，并报相关部门依法对其进行处理。</w:t>
      </w:r>
    </w:p>
    <w:p w14:paraId="45E82B4D">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3E361901">
      <w:pPr>
        <w:shd w:val="clear" w:color="auto" w:fill="auto"/>
        <w:spacing w:line="360" w:lineRule="auto"/>
        <w:rPr>
          <w:rFonts w:hint="eastAsia" w:asciiTheme="minorEastAsia" w:hAnsiTheme="minorEastAsia" w:eastAsiaTheme="minorEastAsia" w:cstheme="minorEastAsia"/>
          <w:color w:val="auto"/>
          <w:szCs w:val="21"/>
          <w:highlight w:val="none"/>
        </w:rPr>
      </w:pPr>
    </w:p>
    <w:p w14:paraId="393C3178">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039D11FD">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3A1B7480">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7F8D7BA2">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1721E76">
      <w:pPr>
        <w:shd w:val="clear" w:color="auto" w:fill="auto"/>
        <w:spacing w:line="360" w:lineRule="auto"/>
        <w:jc w:val="lef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F64770A">
      <w:pPr>
        <w:pStyle w:val="4"/>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jc w:val="center"/>
        <w:textAlignment w:val="auto"/>
        <w:outlineLvl w:val="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7E915553">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三、项目实施方案</w:t>
      </w:r>
    </w:p>
    <w:p w14:paraId="76E48681">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1D15905F">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四、质量承诺及保障措施</w:t>
      </w:r>
    </w:p>
    <w:p w14:paraId="628E824E">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6F64F25D">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五、售后服务方案</w:t>
      </w:r>
    </w:p>
    <w:p w14:paraId="63E8B64A">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0E4DBEAA">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六、仓储能力</w:t>
      </w:r>
    </w:p>
    <w:p w14:paraId="43B97611">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51CF962B">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七、配送设施设备</w:t>
      </w:r>
    </w:p>
    <w:p w14:paraId="089E19EB">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18F72FB1">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八、人员配备</w:t>
      </w:r>
    </w:p>
    <w:p w14:paraId="434B8CC9">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2A311B53">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九、供货方案及时间进度计划安排</w:t>
      </w:r>
    </w:p>
    <w:p w14:paraId="699DFE01">
      <w:pPr>
        <w:pStyle w:val="16"/>
        <w:spacing w:line="500" w:lineRule="exact"/>
        <w:jc w:val="center"/>
        <w:rPr>
          <w:rFonts w:hAnsi="宋体" w:cs="宋体"/>
          <w:color w:val="auto"/>
          <w:highlight w:val="none"/>
        </w:rPr>
      </w:pPr>
      <w:r>
        <w:rPr>
          <w:rFonts w:hint="eastAsia" w:hAnsi="宋体" w:cs="宋体"/>
          <w:bCs/>
          <w:color w:val="auto"/>
          <w:szCs w:val="21"/>
          <w:highlight w:val="none"/>
        </w:rPr>
        <w:t>（具体格式内容由</w:t>
      </w:r>
      <w:r>
        <w:rPr>
          <w:rFonts w:hint="eastAsia" w:hAnsi="宋体" w:cs="宋体"/>
          <w:bCs/>
          <w:color w:val="auto"/>
          <w:szCs w:val="21"/>
          <w:highlight w:val="none"/>
          <w:lang w:val="en-US" w:eastAsia="zh-CN"/>
        </w:rPr>
        <w:t>供应商</w:t>
      </w:r>
      <w:r>
        <w:rPr>
          <w:rFonts w:hint="eastAsia" w:hAnsi="宋体" w:cs="宋体"/>
          <w:bCs/>
          <w:color w:val="auto"/>
          <w:szCs w:val="21"/>
          <w:highlight w:val="none"/>
        </w:rPr>
        <w:t>自行</w:t>
      </w:r>
      <w:r>
        <w:rPr>
          <w:rFonts w:hint="eastAsia" w:hAnsi="宋体" w:cs="宋体"/>
          <w:bCs/>
          <w:color w:val="auto"/>
          <w:szCs w:val="21"/>
          <w:highlight w:val="none"/>
          <w:lang w:eastAsia="zh-CN"/>
        </w:rPr>
        <w:t>确定</w:t>
      </w:r>
      <w:r>
        <w:rPr>
          <w:rFonts w:hint="eastAsia" w:hAnsi="宋体" w:cs="宋体"/>
          <w:bCs/>
          <w:color w:val="auto"/>
          <w:szCs w:val="21"/>
          <w:highlight w:val="none"/>
        </w:rPr>
        <w:t>）</w:t>
      </w:r>
    </w:p>
    <w:p w14:paraId="53A464F5">
      <w:pPr>
        <w:numPr>
          <w:ilvl w:val="0"/>
          <w:numId w:val="0"/>
        </w:numPr>
        <w:tabs>
          <w:tab w:val="left" w:pos="900"/>
        </w:tabs>
        <w:adjustRightInd w:val="0"/>
        <w:spacing w:line="360" w:lineRule="auto"/>
        <w:jc w:val="center"/>
        <w:textAlignment w:val="baseline"/>
        <w:outlineLvl w:val="2"/>
        <w:rPr>
          <w:rFonts w:hint="eastAsia" w:ascii="宋体" w:hAnsi="宋体" w:cs="宋体"/>
          <w:b/>
          <w:color w:val="auto"/>
          <w:kern w:val="0"/>
          <w:sz w:val="32"/>
          <w:szCs w:val="21"/>
          <w:highlight w:val="none"/>
        </w:rPr>
      </w:pPr>
      <w:bookmarkStart w:id="115" w:name="_Toc22809"/>
      <w:r>
        <w:rPr>
          <w:rFonts w:hint="eastAsia" w:ascii="宋体" w:hAnsi="宋体" w:eastAsia="宋体" w:cs="宋体"/>
          <w:b/>
          <w:color w:val="auto"/>
          <w:kern w:val="0"/>
          <w:sz w:val="32"/>
          <w:szCs w:val="21"/>
          <w:highlight w:val="none"/>
          <w:lang w:val="en-US" w:eastAsia="zh-CN" w:bidi="ar-SA"/>
        </w:rPr>
        <w:t>十、</w:t>
      </w:r>
      <w:r>
        <w:rPr>
          <w:rFonts w:hint="eastAsia" w:ascii="宋体" w:hAnsi="宋体" w:cs="宋体"/>
          <w:b/>
          <w:color w:val="auto"/>
          <w:kern w:val="0"/>
          <w:sz w:val="32"/>
          <w:szCs w:val="21"/>
          <w:highlight w:val="none"/>
        </w:rPr>
        <w:t>构成投标文件技术部分的其他资料</w:t>
      </w:r>
      <w:bookmarkEnd w:id="115"/>
    </w:p>
    <w:p w14:paraId="29FC4254">
      <w:pPr>
        <w:numPr>
          <w:ilvl w:val="0"/>
          <w:numId w:val="0"/>
        </w:numPr>
        <w:tabs>
          <w:tab w:val="left" w:pos="900"/>
        </w:tabs>
        <w:adjustRightInd w:val="0"/>
        <w:spacing w:line="360" w:lineRule="auto"/>
        <w:jc w:val="center"/>
        <w:textAlignment w:val="baseline"/>
        <w:outlineLvl w:val="2"/>
        <w:rPr>
          <w:rFonts w:hint="eastAsia" w:asciiTheme="minorEastAsia" w:hAnsiTheme="minorEastAsia" w:eastAsiaTheme="minorEastAsia" w:cstheme="minorEastAsia"/>
          <w:color w:val="auto"/>
          <w:sz w:val="36"/>
          <w:szCs w:val="36"/>
          <w:highlight w:val="none"/>
        </w:rPr>
      </w:pPr>
      <w:r>
        <w:rPr>
          <w:rFonts w:hint="eastAsia" w:hAnsi="宋体" w:cs="宋体"/>
          <w:bCs/>
          <w:color w:val="auto"/>
          <w:szCs w:val="21"/>
          <w:highlight w:val="none"/>
        </w:rPr>
        <w:t>（如有）</w:t>
      </w:r>
    </w:p>
    <w:p w14:paraId="01CE2272">
      <w:pPr>
        <w:rPr>
          <w:highlight w:val="none"/>
        </w:rPr>
      </w:pPr>
    </w:p>
    <w:p w14:paraId="15738337">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168DA2C7">
      <w:pPr>
        <w:pStyle w:val="3"/>
        <w:shd w:val="clear" w:color="auto" w:fill="auto"/>
        <w:tabs>
          <w:tab w:val="left" w:pos="360"/>
        </w:tabs>
        <w:jc w:val="center"/>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_Toc26756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36"/>
          <w:highlight w:val="none"/>
        </w:rPr>
        <w:t>第</w:t>
      </w:r>
      <w:r>
        <w:rPr>
          <w:rFonts w:hint="eastAsia" w:asciiTheme="minorEastAsia" w:hAnsiTheme="minorEastAsia" w:eastAsiaTheme="minorEastAsia" w:cstheme="minorEastAsia"/>
          <w:color w:val="auto"/>
          <w:sz w:val="36"/>
          <w:szCs w:val="36"/>
          <w:highlight w:val="none"/>
          <w:lang w:val="en-US" w:eastAsia="zh-CN"/>
        </w:rPr>
        <w:t>六</w:t>
      </w:r>
      <w:r>
        <w:rPr>
          <w:rFonts w:hint="eastAsia" w:asciiTheme="minorEastAsia" w:hAnsiTheme="minorEastAsia" w:eastAsiaTheme="minorEastAsia" w:cstheme="minorEastAsia"/>
          <w:color w:val="auto"/>
          <w:sz w:val="36"/>
          <w:szCs w:val="36"/>
          <w:highlight w:val="none"/>
        </w:rPr>
        <w:t>章 采购需求</w:t>
      </w:r>
      <w:r>
        <w:rPr>
          <w:rFonts w:hint="eastAsia" w:asciiTheme="minorEastAsia" w:hAnsiTheme="minorEastAsia" w:eastAsiaTheme="minorEastAsia" w:cstheme="minorEastAsia"/>
          <w:color w:val="auto"/>
          <w:sz w:val="36"/>
          <w:szCs w:val="36"/>
          <w:highlight w:val="none"/>
        </w:rPr>
        <w:fldChar w:fldCharType="end"/>
      </w:r>
      <w:bookmarkEnd w:id="93"/>
      <w:bookmarkEnd w:id="94"/>
    </w:p>
    <w:bookmarkEnd w:id="95"/>
    <w:p w14:paraId="51372B72">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bookmarkStart w:id="116" w:name="_Toc11189"/>
      <w:r>
        <w:rPr>
          <w:rFonts w:hint="eastAsia" w:asciiTheme="minorEastAsia" w:hAnsiTheme="minorEastAsia" w:eastAsiaTheme="minorEastAsia" w:cstheme="minorEastAsia"/>
          <w:b/>
          <w:bCs/>
          <w:color w:val="auto"/>
          <w:sz w:val="24"/>
          <w:szCs w:val="24"/>
          <w:highlight w:val="none"/>
        </w:rPr>
        <w:t>一、采购需求应当完整、明确，包括以下内容：</w:t>
      </w:r>
    </w:p>
    <w:p w14:paraId="6C28729F">
      <w:pPr>
        <w:keepNext w:val="0"/>
        <w:keepLines w:val="0"/>
        <w:pageBreakBefore w:val="0"/>
        <w:widowControl w:val="0"/>
        <w:kinsoku/>
        <w:autoSpaceDE/>
        <w:bidi w:val="0"/>
        <w:spacing w:line="520" w:lineRule="exact"/>
        <w:ind w:firstLine="241" w:firstLineChars="1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（一）采购标的需实现的功能或者目标，以及为落实政府采购政策需满足的要求:</w:t>
      </w:r>
    </w:p>
    <w:p w14:paraId="59D53CC7">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1.采购标的需实现目标</w:t>
      </w:r>
    </w:p>
    <w:p w14:paraId="33031070">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val="en-US" w:eastAsia="zh-CN"/>
        </w:rPr>
        <w:t>为进一步深化医药卫生体制改革，规范医用耗材采购行为，维护耗材流通秩序，经临沧市临翔区卫生健康局以《临沧市临翔区卫生健康局关于临沧市临翔区医疗卫生共同体总医院以区人民医院为主体统一招采医共体各成员单位医用耗材的批复》（临翔卫健发〔2023〕242号）批准，拟由临沧市临翔区人民医院为采购人，统一组织临沧市临翔区医疗卫生共同体的医用耗材采购工作。经公开招标确定耗材供应商后，</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代表医共体与</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签订采购合同，医共体各成员单位根据采购结果及</w:t>
      </w:r>
      <w:r>
        <w:rPr>
          <w:rFonts w:hint="eastAsia" w:ascii="宋体" w:hAnsi="宋体" w:cs="宋体"/>
          <w:color w:val="auto"/>
          <w:sz w:val="24"/>
          <w:szCs w:val="24"/>
          <w:highlight w:val="none"/>
          <w:lang w:val="en-US" w:eastAsia="zh-CN"/>
        </w:rPr>
        <w:t>自身</w:t>
      </w:r>
      <w:r>
        <w:rPr>
          <w:rFonts w:hint="eastAsia" w:ascii="宋体" w:hAnsi="宋体" w:eastAsia="宋体" w:cs="宋体"/>
          <w:color w:val="auto"/>
          <w:sz w:val="24"/>
          <w:szCs w:val="24"/>
          <w:highlight w:val="none"/>
          <w:lang w:val="en-US" w:eastAsia="zh-CN"/>
        </w:rPr>
        <w:t>耗材使用情况，分别与供应商签订供应配送合同，供应商根据供应配送合同将所需耗材配送至医院</w:t>
      </w:r>
      <w:r>
        <w:rPr>
          <w:rFonts w:hint="eastAsia" w:asciiTheme="minorEastAsia" w:hAnsiTheme="minorEastAsia" w:eastAsiaTheme="minorEastAsia" w:cstheme="minorEastAsia"/>
          <w:color w:val="auto"/>
          <w:sz w:val="24"/>
          <w:szCs w:val="24"/>
          <w:highlight w:val="none"/>
          <w:lang w:eastAsia="zh-CN"/>
        </w:rPr>
        <w:t>。</w:t>
      </w:r>
    </w:p>
    <w:p w14:paraId="093754EA">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2.为落实政府采购政策需满足的要求</w:t>
      </w:r>
    </w:p>
    <w:p w14:paraId="7BCCEE01">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）满足《中华人民共和国政府采购法》第二十二条规定；</w:t>
      </w:r>
    </w:p>
    <w:p w14:paraId="4AD7DDBE">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）落实政府采购政策需满足的资格要求：</w:t>
      </w:r>
    </w:p>
    <w:p w14:paraId="4796C14B">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eastAsia="zh-CN"/>
        </w:rPr>
        <w:t>①</w:t>
      </w:r>
      <w:r>
        <w:rPr>
          <w:rFonts w:hint="eastAsia" w:asciiTheme="minorEastAsia" w:hAnsiTheme="minorEastAsia" w:eastAsiaTheme="minorEastAsia" w:cstheme="minorEastAsia"/>
          <w:color w:val="auto"/>
          <w:sz w:val="24"/>
          <w:szCs w:val="24"/>
          <w:highlight w:val="none"/>
          <w:lang w:eastAsia="zh-CN"/>
        </w:rPr>
        <w:t>符合《中华人民共和国政府采购法》《中华人民共和国政府采购法实施条例》等有关法律、法规规定。</w:t>
      </w:r>
    </w:p>
    <w:p w14:paraId="62E4FE20">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eastAsia="zh-CN"/>
        </w:rPr>
        <w:t>②</w:t>
      </w:r>
      <w:r>
        <w:rPr>
          <w:rFonts w:hint="eastAsia" w:asciiTheme="minorEastAsia" w:hAnsiTheme="minorEastAsia" w:eastAsiaTheme="minorEastAsia" w:cstheme="minorEastAsia"/>
          <w:color w:val="auto"/>
          <w:sz w:val="24"/>
          <w:szCs w:val="24"/>
          <w:highlight w:val="none"/>
          <w:lang w:eastAsia="zh-CN"/>
        </w:rPr>
        <w:t>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p>
    <w:p w14:paraId="6154F76C">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eastAsia="zh-CN"/>
        </w:rPr>
        <w:t>③</w:t>
      </w:r>
      <w:r>
        <w:rPr>
          <w:rFonts w:hint="eastAsia" w:asciiTheme="minorEastAsia" w:hAnsiTheme="minorEastAsia" w:eastAsiaTheme="minorEastAsia" w:cstheme="minorEastAsia"/>
          <w:color w:val="auto"/>
          <w:sz w:val="24"/>
          <w:szCs w:val="24"/>
          <w:highlight w:val="none"/>
          <w:lang w:eastAsia="zh-CN"/>
        </w:rPr>
        <w:t>本项目不属于专门面向中小企业采购的项目。</w:t>
      </w:r>
    </w:p>
    <w:p w14:paraId="5D7D856A">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供应商所投货物全部由符合政策要求的小微企业提供的，对供应商的价格给予10%的扣除，用扣除后的价格参与评审；监狱企业、残疾人福利性单位视同小型、微型企业，其提供的货物在评审时对供应商给予相同的价格扣除。</w:t>
      </w:r>
    </w:p>
    <w:p w14:paraId="4774777E">
      <w:pPr>
        <w:pStyle w:val="2"/>
        <w:keepNext w:val="0"/>
        <w:keepLines w:val="0"/>
        <w:pageBreakBefore w:val="0"/>
        <w:widowControl w:val="0"/>
        <w:kinsoku/>
        <w:autoSpaceDE/>
        <w:bidi w:val="0"/>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eastAsia="zh-CN"/>
        </w:rPr>
        <w:t>④</w:t>
      </w:r>
      <w:r>
        <w:rPr>
          <w:rFonts w:hint="eastAsia" w:asciiTheme="minorEastAsia" w:hAnsiTheme="minorEastAsia" w:eastAsiaTheme="minorEastAsia" w:cstheme="minorEastAsia"/>
          <w:color w:val="auto"/>
          <w:sz w:val="24"/>
          <w:szCs w:val="24"/>
          <w:highlight w:val="none"/>
          <w:lang w:eastAsia="zh-CN"/>
        </w:rPr>
        <w:t>本项目采购标的对应的中小企业划分标准所属行业为：工信部联企业〔2011〕300号中的“工业”。</w:t>
      </w:r>
    </w:p>
    <w:p w14:paraId="35AE2B51">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（二）采购标的需执行的国家相关标准、行业标准、地方标准或者其他标准、规范:</w:t>
      </w:r>
    </w:p>
    <w:p w14:paraId="4A58B6D9">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《中华人民共和国政府采购法》《中华人民共和国政府采购法实施条例》《政府采购货物和服务招标投标管理办法》（财政部令第87号）</w:t>
      </w:r>
      <w:r>
        <w:rPr>
          <w:rFonts w:hint="eastAsia" w:asciiTheme="minorEastAsia" w:hAnsiTheme="minorEastAsia" w:eastAsiaTheme="minorEastAsia" w:cstheme="minorEastAsia"/>
          <w:color w:val="auto"/>
          <w:sz w:val="24"/>
          <w:szCs w:val="24"/>
          <w:highlight w:val="none"/>
          <w:lang w:eastAsia="zh-CN"/>
        </w:rPr>
        <w:t>《中华人民共和国药品管理法》《药品经营许可证管理办法》《药品注册管理办法》《医疗器械监督管理条例》《医疗器械经营监督管理办法》</w:t>
      </w:r>
      <w:r>
        <w:rPr>
          <w:rFonts w:hint="eastAsia" w:asciiTheme="minorEastAsia" w:hAnsiTheme="minorEastAsia" w:eastAsiaTheme="minorEastAsia" w:cstheme="minorEastAsia"/>
          <w:color w:val="auto"/>
          <w:sz w:val="24"/>
          <w:szCs w:val="24"/>
          <w:highlight w:val="none"/>
        </w:rPr>
        <w:t>等法律法规规定。</w:t>
      </w:r>
    </w:p>
    <w:p w14:paraId="62DCE9C6">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（三）采购标的需满足的质量、安全、技术规格、物理特性等要求:</w:t>
      </w:r>
    </w:p>
    <w:p w14:paraId="64B171E9">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所供耗材必须是全新未使用过的，满足国家质量标准和行业规范，符合</w:t>
      </w:r>
      <w:r>
        <w:rPr>
          <w:rFonts w:hint="eastAsia" w:ascii="宋体" w:hAnsi="宋体" w:cs="宋体"/>
          <w:color w:val="auto"/>
          <w:kern w:val="0"/>
          <w:sz w:val="24"/>
          <w:szCs w:val="24"/>
          <w:highlight w:val="none"/>
          <w:lang w:val="en-US" w:eastAsia="zh-CN"/>
        </w:rPr>
        <w:t>经注册或备案的产品技术要求</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配送至指定地点时剩余保质期时间须不低于额定保质期的四分之三</w:t>
      </w:r>
      <w:r>
        <w:rPr>
          <w:rFonts w:hint="eastAsia" w:ascii="宋体" w:hAnsi="宋体" w:eastAsia="宋体" w:cs="宋体"/>
          <w:color w:val="auto"/>
          <w:kern w:val="0"/>
          <w:sz w:val="24"/>
          <w:szCs w:val="24"/>
          <w:highlight w:val="none"/>
          <w:lang w:eastAsia="zh-CN"/>
        </w:rPr>
        <w:t>。</w:t>
      </w:r>
    </w:p>
    <w:p w14:paraId="367CC525">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供应商须保证所供耗材与</w:t>
      </w:r>
      <w:r>
        <w:rPr>
          <w:rFonts w:hint="eastAsia" w:ascii="宋体" w:hAnsi="宋体" w:eastAsia="宋体" w:cs="宋体"/>
          <w:color w:val="auto"/>
          <w:kern w:val="0"/>
          <w:sz w:val="24"/>
          <w:szCs w:val="24"/>
          <w:highlight w:val="none"/>
          <w:lang w:val="en-US" w:eastAsia="zh-CN"/>
        </w:rPr>
        <w:t>医院</w:t>
      </w:r>
      <w:r>
        <w:rPr>
          <w:rFonts w:hint="eastAsia" w:ascii="宋体" w:hAnsi="宋体" w:eastAsia="宋体" w:cs="宋体"/>
          <w:color w:val="auto"/>
          <w:kern w:val="0"/>
          <w:sz w:val="24"/>
          <w:szCs w:val="24"/>
          <w:highlight w:val="none"/>
        </w:rPr>
        <w:t>目前所使用的医疗设备</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仪器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医疗方法</w:t>
      </w:r>
      <w:r>
        <w:rPr>
          <w:rFonts w:hint="eastAsia" w:ascii="宋体" w:hAnsi="宋体" w:eastAsia="宋体" w:cs="宋体"/>
          <w:color w:val="auto"/>
          <w:kern w:val="0"/>
          <w:sz w:val="24"/>
          <w:szCs w:val="24"/>
          <w:highlight w:val="none"/>
          <w:lang w:val="en-US" w:eastAsia="zh-CN"/>
        </w:rPr>
        <w:t>相匹配</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以确保医院的诊疗效果。若供应商所供耗材与医院目前所使用的医疗设备（仪器）、医疗方法不匹配</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无法达到</w:t>
      </w:r>
      <w:r>
        <w:rPr>
          <w:rFonts w:hint="eastAsia" w:ascii="宋体" w:hAnsi="宋体" w:cs="宋体"/>
          <w:color w:val="auto"/>
          <w:kern w:val="0"/>
          <w:sz w:val="24"/>
          <w:szCs w:val="24"/>
          <w:highlight w:val="none"/>
          <w:lang w:val="en-US" w:eastAsia="zh-CN"/>
        </w:rPr>
        <w:t>使用</w:t>
      </w:r>
      <w:r>
        <w:rPr>
          <w:rFonts w:hint="eastAsia" w:ascii="宋体" w:hAnsi="宋体" w:eastAsia="宋体" w:cs="宋体"/>
          <w:color w:val="auto"/>
          <w:kern w:val="0"/>
          <w:sz w:val="24"/>
          <w:szCs w:val="24"/>
          <w:highlight w:val="none"/>
          <w:lang w:val="en-US" w:eastAsia="zh-CN"/>
        </w:rPr>
        <w:t>效果的，采购人（或医院）有权</w:t>
      </w:r>
      <w:r>
        <w:rPr>
          <w:rFonts w:hint="eastAsia" w:ascii="宋体" w:hAnsi="宋体" w:eastAsia="宋体" w:cs="宋体"/>
          <w:color w:val="auto"/>
          <w:kern w:val="0"/>
          <w:sz w:val="24"/>
          <w:szCs w:val="24"/>
          <w:highlight w:val="none"/>
          <w:lang w:eastAsia="zh-CN"/>
        </w:rPr>
        <w:t>要求</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eastAsia="zh-CN"/>
        </w:rPr>
        <w:t>更换</w:t>
      </w:r>
      <w:r>
        <w:rPr>
          <w:rFonts w:hint="eastAsia" w:ascii="宋体" w:hAnsi="宋体" w:eastAsia="宋体" w:cs="宋体"/>
          <w:color w:val="auto"/>
          <w:kern w:val="0"/>
          <w:sz w:val="24"/>
          <w:szCs w:val="24"/>
          <w:highlight w:val="none"/>
          <w:lang w:val="en-US" w:eastAsia="zh-CN"/>
        </w:rPr>
        <w:t>相应耗材</w:t>
      </w:r>
      <w:r>
        <w:rPr>
          <w:rFonts w:hint="eastAsia" w:ascii="宋体" w:hAnsi="宋体" w:eastAsia="宋体" w:cs="宋体"/>
          <w:color w:val="auto"/>
          <w:kern w:val="0"/>
          <w:sz w:val="24"/>
          <w:szCs w:val="24"/>
          <w:highlight w:val="none"/>
          <w:lang w:eastAsia="zh-CN"/>
        </w:rPr>
        <w:t>直至</w:t>
      </w:r>
      <w:r>
        <w:rPr>
          <w:rFonts w:hint="eastAsia" w:ascii="宋体" w:hAnsi="宋体" w:eastAsia="宋体" w:cs="宋体"/>
          <w:color w:val="auto"/>
          <w:kern w:val="0"/>
          <w:sz w:val="24"/>
          <w:szCs w:val="24"/>
          <w:highlight w:val="none"/>
          <w:lang w:val="en-US" w:eastAsia="zh-CN"/>
        </w:rPr>
        <w:t>达到</w:t>
      </w:r>
      <w:r>
        <w:rPr>
          <w:rFonts w:hint="eastAsia" w:ascii="宋体" w:hAnsi="宋体" w:cs="宋体"/>
          <w:color w:val="auto"/>
          <w:kern w:val="0"/>
          <w:sz w:val="24"/>
          <w:szCs w:val="24"/>
          <w:highlight w:val="none"/>
          <w:lang w:val="en-US" w:eastAsia="zh-CN"/>
        </w:rPr>
        <w:t>使用</w:t>
      </w:r>
      <w:r>
        <w:rPr>
          <w:rFonts w:hint="eastAsia" w:ascii="宋体" w:hAnsi="宋体" w:eastAsia="宋体" w:cs="宋体"/>
          <w:color w:val="auto"/>
          <w:kern w:val="0"/>
          <w:sz w:val="24"/>
          <w:szCs w:val="24"/>
          <w:highlight w:val="none"/>
          <w:lang w:val="en-US" w:eastAsia="zh-CN"/>
        </w:rPr>
        <w:t>效果</w:t>
      </w:r>
      <w:r>
        <w:rPr>
          <w:rFonts w:hint="eastAsia" w:ascii="宋体" w:hAnsi="宋体" w:eastAsia="宋体" w:cs="宋体"/>
          <w:color w:val="auto"/>
          <w:kern w:val="0"/>
          <w:sz w:val="24"/>
          <w:szCs w:val="24"/>
          <w:highlight w:val="none"/>
          <w:lang w:eastAsia="zh-CN"/>
        </w:rPr>
        <w:t>为止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采购人（或医院）不另行支付因此产生的费用。</w:t>
      </w:r>
    </w:p>
    <w:p w14:paraId="7348C973">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（四）采购标的的数量、采购项目交付或者实施的时间和地点；</w:t>
      </w:r>
    </w:p>
    <w:p w14:paraId="4DE446AB">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1.采购标的的数量：</w:t>
      </w:r>
    </w:p>
    <w:tbl>
      <w:tblPr>
        <w:tblStyle w:val="27"/>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0"/>
        <w:gridCol w:w="2389"/>
        <w:gridCol w:w="2561"/>
        <w:gridCol w:w="2539"/>
      </w:tblGrid>
      <w:tr w14:paraId="16A46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760" w:type="dxa"/>
            <w:vAlign w:val="center"/>
          </w:tcPr>
          <w:p w14:paraId="0B94EC75">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序号</w:t>
            </w:r>
          </w:p>
        </w:tc>
        <w:tc>
          <w:tcPr>
            <w:tcW w:w="2389" w:type="dxa"/>
            <w:vAlign w:val="center"/>
          </w:tcPr>
          <w:p w14:paraId="6725AAA5">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涉及耗材种类</w:t>
            </w:r>
          </w:p>
        </w:tc>
        <w:tc>
          <w:tcPr>
            <w:tcW w:w="2561" w:type="dxa"/>
            <w:vAlign w:val="center"/>
          </w:tcPr>
          <w:p w14:paraId="52FCBB84">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数量、规格或要求</w:t>
            </w:r>
          </w:p>
        </w:tc>
        <w:tc>
          <w:tcPr>
            <w:tcW w:w="2539" w:type="dxa"/>
            <w:vAlign w:val="center"/>
          </w:tcPr>
          <w:p w14:paraId="462A35BC">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最高限价（万元）</w:t>
            </w:r>
          </w:p>
        </w:tc>
      </w:tr>
      <w:tr w14:paraId="00D0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760" w:type="dxa"/>
            <w:vAlign w:val="center"/>
          </w:tcPr>
          <w:p w14:paraId="5A4FB25B">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p>
        </w:tc>
        <w:tc>
          <w:tcPr>
            <w:tcW w:w="2389" w:type="dxa"/>
            <w:vAlign w:val="center"/>
          </w:tcPr>
          <w:p w14:paraId="3296AECB">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检验试剂</w:t>
            </w:r>
          </w:p>
        </w:tc>
        <w:tc>
          <w:tcPr>
            <w:tcW w:w="2561" w:type="dxa"/>
            <w:vAlign w:val="center"/>
          </w:tcPr>
          <w:p w14:paraId="6D442E81">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详见招标文件</w:t>
            </w:r>
          </w:p>
        </w:tc>
        <w:tc>
          <w:tcPr>
            <w:tcW w:w="2539" w:type="dxa"/>
            <w:vAlign w:val="center"/>
          </w:tcPr>
          <w:p w14:paraId="655D5BC8">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231.68976</w:t>
            </w:r>
          </w:p>
        </w:tc>
      </w:tr>
      <w:tr w14:paraId="1763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710" w:type="dxa"/>
            <w:gridSpan w:val="3"/>
            <w:vAlign w:val="center"/>
          </w:tcPr>
          <w:p w14:paraId="655C8DA2">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合计</w:t>
            </w:r>
          </w:p>
        </w:tc>
        <w:tc>
          <w:tcPr>
            <w:tcW w:w="2539" w:type="dxa"/>
            <w:vAlign w:val="center"/>
          </w:tcPr>
          <w:p w14:paraId="4E70F5AD">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231.68976</w:t>
            </w:r>
          </w:p>
        </w:tc>
      </w:tr>
    </w:tbl>
    <w:p w14:paraId="668BCAE9">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具体耗材名称、规格或要求、数量及单价限价详见本部分附表。</w:t>
      </w:r>
    </w:p>
    <w:p w14:paraId="3297052E">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2.供应配送时限要求</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eastAsia="宋体" w:cs="宋体"/>
          <w:color w:val="auto"/>
          <w:sz w:val="24"/>
          <w:szCs w:val="24"/>
          <w:highlight w:val="none"/>
          <w:lang w:val="en-US" w:eastAsia="zh-CN"/>
        </w:rPr>
        <w:t>接到医院</w:t>
      </w:r>
      <w:r>
        <w:rPr>
          <w:rFonts w:hint="eastAsia" w:ascii="宋体" w:hAnsi="宋体" w:cs="宋体"/>
          <w:color w:val="auto"/>
          <w:sz w:val="24"/>
          <w:szCs w:val="24"/>
          <w:highlight w:val="none"/>
          <w:lang w:val="en-US" w:eastAsia="zh-CN"/>
        </w:rPr>
        <w:t>配送</w:t>
      </w:r>
      <w:r>
        <w:rPr>
          <w:rFonts w:hint="eastAsia" w:ascii="宋体" w:hAnsi="宋体" w:eastAsia="宋体" w:cs="宋体"/>
          <w:color w:val="auto"/>
          <w:sz w:val="24"/>
          <w:szCs w:val="24"/>
          <w:highlight w:val="none"/>
          <w:lang w:val="en-US" w:eastAsia="zh-CN"/>
        </w:rPr>
        <w:t>需求后，供应商应在</w:t>
      </w:r>
      <w:r>
        <w:rPr>
          <w:rFonts w:hint="eastAsia" w:ascii="宋体" w:hAnsi="宋体" w:cs="宋体"/>
          <w:color w:val="auto"/>
          <w:sz w:val="24"/>
          <w:szCs w:val="24"/>
          <w:highlight w:val="none"/>
          <w:lang w:val="en-US" w:eastAsia="zh-CN"/>
        </w:rPr>
        <w:t>5个工作日内</w:t>
      </w:r>
      <w:r>
        <w:rPr>
          <w:rFonts w:hint="eastAsia" w:ascii="宋体" w:hAnsi="宋体" w:eastAsia="宋体" w:cs="宋体"/>
          <w:color w:val="auto"/>
          <w:sz w:val="24"/>
          <w:szCs w:val="24"/>
          <w:highlight w:val="none"/>
          <w:lang w:val="en-US" w:eastAsia="zh-CN"/>
        </w:rPr>
        <w:t>完成所</w:t>
      </w:r>
      <w:r>
        <w:rPr>
          <w:rFonts w:hint="eastAsia" w:ascii="宋体" w:hAnsi="宋体" w:cs="宋体"/>
          <w:color w:val="auto"/>
          <w:sz w:val="24"/>
          <w:szCs w:val="24"/>
          <w:highlight w:val="none"/>
          <w:lang w:val="en-US" w:eastAsia="zh-CN"/>
        </w:rPr>
        <w:t>需</w:t>
      </w:r>
      <w:r>
        <w:rPr>
          <w:rFonts w:hint="eastAsia" w:ascii="宋体" w:hAnsi="宋体" w:eastAsia="宋体" w:cs="宋体"/>
          <w:color w:val="auto"/>
          <w:sz w:val="24"/>
          <w:szCs w:val="24"/>
          <w:highlight w:val="none"/>
          <w:lang w:val="en-US" w:eastAsia="zh-CN"/>
        </w:rPr>
        <w:t>医用耗材的供应配送工作，</w:t>
      </w:r>
      <w:r>
        <w:rPr>
          <w:rFonts w:hint="eastAsia" w:ascii="宋体" w:hAnsi="宋体" w:cs="宋体"/>
          <w:color w:val="auto"/>
          <w:sz w:val="24"/>
          <w:szCs w:val="24"/>
          <w:highlight w:val="none"/>
          <w:lang w:val="en-US" w:eastAsia="zh-CN"/>
        </w:rPr>
        <w:t>紧急情况下，</w:t>
      </w:r>
      <w:r>
        <w:rPr>
          <w:rFonts w:hint="eastAsia" w:ascii="宋体" w:hAnsi="宋体" w:eastAsia="宋体" w:cs="宋体"/>
          <w:color w:val="auto"/>
          <w:sz w:val="24"/>
          <w:szCs w:val="24"/>
          <w:highlight w:val="none"/>
          <w:lang w:val="en-US" w:eastAsia="zh-CN"/>
        </w:rPr>
        <w:t>耗材供应配送时间不得超过</w:t>
      </w:r>
      <w:r>
        <w:rPr>
          <w:rFonts w:hint="eastAsia" w:ascii="宋体" w:hAnsi="宋体" w:cs="宋体"/>
          <w:color w:val="auto"/>
          <w:sz w:val="24"/>
          <w:szCs w:val="24"/>
          <w:highlight w:val="none"/>
          <w:lang w:val="en-US" w:eastAsia="zh-CN"/>
        </w:rPr>
        <w:t>24小时。</w:t>
      </w:r>
    </w:p>
    <w:p w14:paraId="5BCC8A5B">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3.交货地点：医共体各成员单位</w:t>
      </w:r>
      <w:r>
        <w:rPr>
          <w:rFonts w:hint="eastAsia" w:asciiTheme="minorEastAsia" w:hAnsiTheme="minorEastAsia" w:eastAsiaTheme="minorEastAsia" w:cstheme="minorEastAsia"/>
          <w:color w:val="auto"/>
          <w:kern w:val="0"/>
          <w:sz w:val="24"/>
          <w:szCs w:val="24"/>
          <w:highlight w:val="none"/>
        </w:rPr>
        <w:t>。</w:t>
      </w:r>
    </w:p>
    <w:p w14:paraId="338B232C">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（五）采购标的需满足的服务标准、期限、效率等要求:</w:t>
      </w:r>
    </w:p>
    <w:p w14:paraId="514D6A8F">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交货要求</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须按医院提供的耗材供应配送需求清单分批次进行交货。</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w:t>
      </w:r>
      <w:r>
        <w:rPr>
          <w:rFonts w:hint="eastAsia" w:ascii="宋体" w:hAnsi="宋体" w:eastAsia="宋体" w:cs="宋体"/>
          <w:color w:val="auto"/>
          <w:kern w:val="0"/>
          <w:sz w:val="24"/>
          <w:szCs w:val="24"/>
          <w:highlight w:val="none"/>
          <w:lang w:val="en-US" w:eastAsia="zh-CN"/>
        </w:rPr>
        <w:t>自行踏勘各医院所需耗材的交货地点，充分了解医院的运距、路况等，依据所签订的供应配送合同按时、按质、按量完成所有耗材的采购、运输、交货工作，保证所需耗材均能满足医院使用要求，</w:t>
      </w:r>
      <w:r>
        <w:rPr>
          <w:rFonts w:hint="eastAsia" w:ascii="宋体" w:hAnsi="宋体" w:cs="宋体"/>
          <w:color w:val="auto"/>
          <w:kern w:val="0"/>
          <w:sz w:val="24"/>
          <w:szCs w:val="24"/>
          <w:highlight w:val="none"/>
          <w:lang w:val="en-US" w:eastAsia="zh-CN"/>
        </w:rPr>
        <w:t>供应</w:t>
      </w:r>
      <w:r>
        <w:rPr>
          <w:rFonts w:hint="eastAsia" w:ascii="宋体" w:hAnsi="宋体" w:eastAsia="宋体" w:cs="宋体"/>
          <w:color w:val="auto"/>
          <w:kern w:val="0"/>
          <w:sz w:val="24"/>
          <w:szCs w:val="24"/>
          <w:highlight w:val="none"/>
          <w:lang w:val="en-US" w:eastAsia="zh-CN"/>
        </w:rPr>
        <w:t>配送</w:t>
      </w:r>
      <w:r>
        <w:rPr>
          <w:rFonts w:hint="eastAsia" w:ascii="宋体" w:hAnsi="宋体" w:cs="宋体"/>
          <w:color w:val="auto"/>
          <w:kern w:val="0"/>
          <w:sz w:val="24"/>
          <w:szCs w:val="24"/>
          <w:highlight w:val="none"/>
          <w:lang w:val="en-US" w:eastAsia="zh-CN"/>
        </w:rPr>
        <w:t>中</w:t>
      </w:r>
      <w:r>
        <w:rPr>
          <w:rFonts w:hint="eastAsia" w:ascii="宋体" w:hAnsi="宋体" w:eastAsia="宋体" w:cs="宋体"/>
          <w:color w:val="auto"/>
          <w:kern w:val="0"/>
          <w:sz w:val="24"/>
          <w:szCs w:val="24"/>
          <w:highlight w:val="none"/>
          <w:lang w:val="en-US" w:eastAsia="zh-CN"/>
        </w:rPr>
        <w:t>所产生的费用及运输途中的损耗由供应商</w:t>
      </w:r>
      <w:r>
        <w:rPr>
          <w:rFonts w:hint="eastAsia" w:ascii="宋体" w:hAnsi="宋体" w:cs="宋体"/>
          <w:color w:val="auto"/>
          <w:kern w:val="0"/>
          <w:sz w:val="24"/>
          <w:szCs w:val="24"/>
          <w:highlight w:val="none"/>
          <w:lang w:val="en-US" w:eastAsia="zh-CN"/>
        </w:rPr>
        <w:t>承担。</w:t>
      </w:r>
      <w:r>
        <w:rPr>
          <w:rFonts w:hint="eastAsia" w:ascii="宋体" w:hAnsi="宋体" w:eastAsia="宋体" w:cs="宋体"/>
          <w:color w:val="auto"/>
          <w:kern w:val="0"/>
          <w:sz w:val="24"/>
          <w:szCs w:val="24"/>
          <w:highlight w:val="none"/>
          <w:lang w:val="en-US" w:eastAsia="zh-CN"/>
        </w:rPr>
        <w:t>如</w:t>
      </w:r>
      <w:r>
        <w:rPr>
          <w:rFonts w:hint="eastAsia" w:ascii="宋体" w:hAnsi="宋体" w:cs="宋体"/>
          <w:color w:val="auto"/>
          <w:kern w:val="0"/>
          <w:sz w:val="24"/>
          <w:szCs w:val="24"/>
          <w:highlight w:val="none"/>
          <w:lang w:val="en-US" w:eastAsia="zh-CN"/>
        </w:rPr>
        <w:t>所供</w:t>
      </w:r>
      <w:r>
        <w:rPr>
          <w:rFonts w:hint="eastAsia" w:ascii="宋体" w:hAnsi="宋体" w:eastAsia="宋体" w:cs="宋体"/>
          <w:color w:val="auto"/>
          <w:kern w:val="0"/>
          <w:sz w:val="24"/>
          <w:szCs w:val="24"/>
          <w:highlight w:val="none"/>
          <w:lang w:val="en-US" w:eastAsia="zh-CN"/>
        </w:rPr>
        <w:t>医用耗材与供应配送合同要求不符，供应商须无条件更换，并承担由此产生的相关费用。</w:t>
      </w:r>
    </w:p>
    <w:p w14:paraId="40D19819">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（六）采购标的的验收标准：</w:t>
      </w:r>
    </w:p>
    <w:p w14:paraId="199DCA2D">
      <w:pPr>
        <w:keepNext w:val="0"/>
        <w:keepLines w:val="0"/>
        <w:pageBreakBefore w:val="0"/>
        <w:widowControl w:val="0"/>
        <w:kinsoku/>
        <w:wordWrap/>
        <w:overflowPunct/>
        <w:topLinePunct w:val="0"/>
        <w:autoSpaceDE/>
        <w:bidi w:val="0"/>
        <w:adjustRightInd/>
        <w:snapToGrid/>
        <w:spacing w:line="560" w:lineRule="exact"/>
        <w:ind w:firstLine="42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1.医院应在</w:t>
      </w:r>
      <w:r>
        <w:rPr>
          <w:rFonts w:hint="eastAsia" w:ascii="宋体" w:hAnsi="宋体" w:eastAsia="宋体" w:cs="宋体"/>
          <w:color w:val="auto"/>
          <w:kern w:val="0"/>
          <w:sz w:val="24"/>
          <w:szCs w:val="24"/>
          <w:highlight w:val="none"/>
          <w:lang w:eastAsia="zh-CN"/>
        </w:rPr>
        <w:t>收到</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eastAsia="zh-CN"/>
        </w:rPr>
        <w:t>交付耗材</w:t>
      </w:r>
      <w:r>
        <w:rPr>
          <w:rFonts w:hint="eastAsia" w:ascii="宋体" w:hAnsi="宋体" w:eastAsia="宋体" w:cs="宋体"/>
          <w:color w:val="auto"/>
          <w:kern w:val="0"/>
          <w:sz w:val="24"/>
          <w:szCs w:val="24"/>
          <w:highlight w:val="none"/>
          <w:lang w:val="en-US" w:eastAsia="zh-CN"/>
        </w:rPr>
        <w:t>后2日内进行验收，由双方验收人员</w:t>
      </w:r>
      <w:r>
        <w:rPr>
          <w:rFonts w:hint="eastAsia" w:ascii="宋体" w:hAnsi="宋体" w:eastAsia="宋体" w:cs="宋体"/>
          <w:color w:val="auto"/>
          <w:kern w:val="0"/>
          <w:sz w:val="24"/>
          <w:szCs w:val="24"/>
          <w:highlight w:val="none"/>
          <w:lang w:eastAsia="zh-CN"/>
        </w:rPr>
        <w:t>确认耗材的名称、规格、数量以及外观等情况，</w:t>
      </w:r>
      <w:r>
        <w:rPr>
          <w:rFonts w:hint="eastAsia" w:ascii="宋体" w:hAnsi="宋体" w:eastAsia="宋体" w:cs="宋体"/>
          <w:color w:val="auto"/>
          <w:kern w:val="0"/>
          <w:sz w:val="24"/>
          <w:szCs w:val="24"/>
          <w:highlight w:val="none"/>
          <w:lang w:val="en-US" w:eastAsia="zh-CN"/>
        </w:rPr>
        <w:t>所供耗材与供应配送合同、配送清单一致的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双方验收人员在验收单据上签字确认，不一致的应当场通知供应商进行更换，并在验收单据中进行说明。</w:t>
      </w:r>
    </w:p>
    <w:p w14:paraId="4724C4A7">
      <w:pPr>
        <w:keepNext w:val="0"/>
        <w:keepLines w:val="0"/>
        <w:pageBreakBefore w:val="0"/>
        <w:widowControl w:val="0"/>
        <w:kinsoku/>
        <w:wordWrap/>
        <w:overflowPunct/>
        <w:topLinePunct w:val="0"/>
        <w:autoSpaceDE/>
        <w:bidi w:val="0"/>
        <w:adjustRightInd/>
        <w:snapToGrid/>
        <w:spacing w:line="560" w:lineRule="exact"/>
        <w:ind w:firstLine="42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验收时，</w:t>
      </w:r>
      <w:r>
        <w:rPr>
          <w:rFonts w:hint="eastAsia" w:ascii="宋体" w:hAnsi="宋体" w:eastAsia="宋体" w:cs="宋体"/>
          <w:color w:val="auto"/>
          <w:kern w:val="0"/>
          <w:sz w:val="24"/>
          <w:szCs w:val="24"/>
          <w:highlight w:val="none"/>
          <w:lang w:val="en-US" w:eastAsia="zh-CN"/>
        </w:rPr>
        <w:t>医院</w:t>
      </w:r>
      <w:r>
        <w:rPr>
          <w:rFonts w:hint="eastAsia" w:ascii="宋体" w:hAnsi="宋体" w:eastAsia="宋体" w:cs="宋体"/>
          <w:color w:val="auto"/>
          <w:kern w:val="0"/>
          <w:sz w:val="24"/>
          <w:szCs w:val="24"/>
          <w:highlight w:val="none"/>
          <w:lang w:eastAsia="zh-CN"/>
        </w:rPr>
        <w:t>有权当面拒收破损或</w:t>
      </w:r>
      <w:r>
        <w:rPr>
          <w:rFonts w:hint="eastAsia" w:ascii="宋体" w:hAnsi="宋体" w:eastAsia="宋体" w:cs="宋体"/>
          <w:color w:val="auto"/>
          <w:kern w:val="0"/>
          <w:sz w:val="24"/>
          <w:szCs w:val="24"/>
          <w:highlight w:val="none"/>
          <w:lang w:val="en-US" w:eastAsia="zh-CN"/>
        </w:rPr>
        <w:t>不符合供应配送合同约定的</w:t>
      </w:r>
      <w:r>
        <w:rPr>
          <w:rFonts w:hint="eastAsia" w:ascii="宋体" w:hAnsi="宋体" w:eastAsia="宋体" w:cs="宋体"/>
          <w:color w:val="auto"/>
          <w:kern w:val="0"/>
          <w:sz w:val="24"/>
          <w:szCs w:val="24"/>
          <w:highlight w:val="none"/>
          <w:lang w:eastAsia="zh-CN"/>
        </w:rPr>
        <w:t>耗材，</w:t>
      </w:r>
      <w:r>
        <w:rPr>
          <w:rFonts w:hint="eastAsia" w:ascii="宋体" w:hAnsi="宋体" w:eastAsia="宋体" w:cs="宋体"/>
          <w:color w:val="auto"/>
          <w:kern w:val="0"/>
          <w:sz w:val="24"/>
          <w:szCs w:val="24"/>
          <w:highlight w:val="none"/>
          <w:lang w:val="en-US" w:eastAsia="zh-CN"/>
        </w:rPr>
        <w:t>并有权要求供应商</w:t>
      </w:r>
      <w:r>
        <w:rPr>
          <w:rFonts w:hint="eastAsia" w:ascii="宋体" w:hAnsi="宋体" w:cs="宋体"/>
          <w:color w:val="auto"/>
          <w:kern w:val="0"/>
          <w:sz w:val="24"/>
          <w:szCs w:val="24"/>
          <w:highlight w:val="none"/>
          <w:lang w:val="en-US" w:eastAsia="zh-CN"/>
        </w:rPr>
        <w:t>进行</w:t>
      </w:r>
      <w:r>
        <w:rPr>
          <w:rFonts w:hint="eastAsia" w:ascii="宋体" w:hAnsi="宋体" w:eastAsia="宋体" w:cs="宋体"/>
          <w:color w:val="auto"/>
          <w:kern w:val="0"/>
          <w:sz w:val="24"/>
          <w:szCs w:val="24"/>
          <w:highlight w:val="none"/>
          <w:lang w:val="en-US" w:eastAsia="zh-CN"/>
        </w:rPr>
        <w:t>更换</w:t>
      </w:r>
      <w:r>
        <w:rPr>
          <w:rFonts w:hint="eastAsia" w:ascii="宋体" w:hAnsi="宋体" w:eastAsia="宋体" w:cs="宋体"/>
          <w:color w:val="auto"/>
          <w:kern w:val="0"/>
          <w:sz w:val="24"/>
          <w:szCs w:val="24"/>
          <w:highlight w:val="none"/>
          <w:lang w:eastAsia="zh-CN"/>
        </w:rPr>
        <w:t>。</w:t>
      </w:r>
    </w:p>
    <w:p w14:paraId="3633CB84">
      <w:pPr>
        <w:keepNext w:val="0"/>
        <w:keepLines w:val="0"/>
        <w:pageBreakBefore w:val="0"/>
        <w:widowControl w:val="0"/>
        <w:kinsoku/>
        <w:wordWrap/>
        <w:overflowPunct/>
        <w:topLinePunct w:val="0"/>
        <w:autoSpaceDE/>
        <w:bidi w:val="0"/>
        <w:adjustRightInd/>
        <w:snapToGrid/>
        <w:spacing w:line="560" w:lineRule="exact"/>
        <w:ind w:firstLine="42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3.供应商所供应耗材的有</w:t>
      </w:r>
      <w:r>
        <w:rPr>
          <w:rFonts w:hint="eastAsia" w:ascii="宋体" w:hAnsi="宋体" w:eastAsia="宋体" w:cs="宋体"/>
          <w:color w:val="auto"/>
          <w:kern w:val="0"/>
          <w:sz w:val="24"/>
          <w:szCs w:val="24"/>
          <w:highlight w:val="none"/>
          <w:lang w:eastAsia="zh-CN"/>
        </w:rPr>
        <w:t>效期低于</w:t>
      </w:r>
      <w:r>
        <w:rPr>
          <w:rFonts w:hint="eastAsia" w:ascii="宋体" w:hAnsi="宋体" w:eastAsia="宋体" w:cs="宋体"/>
          <w:color w:val="auto"/>
          <w:kern w:val="0"/>
          <w:sz w:val="24"/>
          <w:szCs w:val="24"/>
          <w:highlight w:val="none"/>
          <w:lang w:val="en-US" w:eastAsia="zh-CN"/>
        </w:rPr>
        <w:t>该耗材</w:t>
      </w:r>
      <w:r>
        <w:rPr>
          <w:rFonts w:hint="eastAsia" w:ascii="宋体" w:hAnsi="宋体" w:eastAsia="宋体" w:cs="宋体"/>
          <w:color w:val="auto"/>
          <w:kern w:val="0"/>
          <w:sz w:val="24"/>
          <w:szCs w:val="24"/>
          <w:highlight w:val="none"/>
          <w:lang w:eastAsia="zh-CN"/>
        </w:rPr>
        <w:t>额定保质期的四分之三的耗材，</w:t>
      </w:r>
      <w:r>
        <w:rPr>
          <w:rFonts w:hint="eastAsia" w:ascii="宋体" w:hAnsi="宋体" w:eastAsia="宋体" w:cs="宋体"/>
          <w:color w:val="auto"/>
          <w:kern w:val="0"/>
          <w:sz w:val="24"/>
          <w:szCs w:val="24"/>
          <w:highlight w:val="none"/>
          <w:lang w:val="en-US" w:eastAsia="zh-CN"/>
        </w:rPr>
        <w:t>医院应</w:t>
      </w:r>
      <w:r>
        <w:rPr>
          <w:rFonts w:hint="eastAsia" w:ascii="宋体" w:hAnsi="宋体" w:eastAsia="宋体" w:cs="宋体"/>
          <w:color w:val="auto"/>
          <w:kern w:val="0"/>
          <w:sz w:val="24"/>
          <w:szCs w:val="24"/>
          <w:highlight w:val="none"/>
          <w:lang w:eastAsia="zh-CN"/>
        </w:rPr>
        <w:t>拒收，</w:t>
      </w:r>
      <w:r>
        <w:rPr>
          <w:rFonts w:hint="eastAsia" w:ascii="宋体" w:hAnsi="宋体" w:eastAsia="宋体" w:cs="宋体"/>
          <w:color w:val="auto"/>
          <w:kern w:val="0"/>
          <w:sz w:val="24"/>
          <w:szCs w:val="24"/>
          <w:highlight w:val="none"/>
          <w:lang w:val="en-US" w:eastAsia="zh-CN"/>
        </w:rPr>
        <w:t>并有权要求供应商</w:t>
      </w:r>
      <w:r>
        <w:rPr>
          <w:rFonts w:hint="eastAsia" w:ascii="宋体" w:hAnsi="宋体" w:cs="宋体"/>
          <w:color w:val="auto"/>
          <w:kern w:val="0"/>
          <w:sz w:val="24"/>
          <w:szCs w:val="24"/>
          <w:highlight w:val="none"/>
          <w:lang w:val="en-US" w:eastAsia="zh-CN"/>
        </w:rPr>
        <w:t>进行</w:t>
      </w:r>
      <w:r>
        <w:rPr>
          <w:rFonts w:hint="eastAsia" w:ascii="宋体" w:hAnsi="宋体" w:eastAsia="宋体" w:cs="宋体"/>
          <w:color w:val="auto"/>
          <w:kern w:val="0"/>
          <w:sz w:val="24"/>
          <w:szCs w:val="24"/>
          <w:highlight w:val="none"/>
          <w:lang w:val="en-US" w:eastAsia="zh-CN"/>
        </w:rPr>
        <w:t>更换</w:t>
      </w:r>
      <w:r>
        <w:rPr>
          <w:rFonts w:hint="eastAsia" w:ascii="宋体" w:hAnsi="宋体" w:eastAsia="宋体" w:cs="宋体"/>
          <w:color w:val="auto"/>
          <w:kern w:val="0"/>
          <w:sz w:val="24"/>
          <w:szCs w:val="24"/>
          <w:highlight w:val="none"/>
          <w:lang w:eastAsia="zh-CN"/>
        </w:rPr>
        <w:t>。</w:t>
      </w:r>
    </w:p>
    <w:p w14:paraId="29BA0E9D">
      <w:pPr>
        <w:keepNext w:val="0"/>
        <w:keepLines w:val="0"/>
        <w:pageBreakBefore w:val="0"/>
        <w:widowControl w:val="0"/>
        <w:kinsoku/>
        <w:wordWrap/>
        <w:overflowPunct/>
        <w:topLinePunct w:val="0"/>
        <w:autoSpaceDE/>
        <w:bidi w:val="0"/>
        <w:adjustRightInd/>
        <w:snapToGrid/>
        <w:spacing w:line="560" w:lineRule="exact"/>
        <w:ind w:firstLine="42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4.医院</w:t>
      </w:r>
      <w:r>
        <w:rPr>
          <w:rFonts w:hint="eastAsia" w:ascii="宋体" w:hAnsi="宋体" w:eastAsia="宋体" w:cs="宋体"/>
          <w:color w:val="auto"/>
          <w:kern w:val="0"/>
          <w:sz w:val="24"/>
          <w:szCs w:val="24"/>
          <w:highlight w:val="none"/>
          <w:lang w:eastAsia="zh-CN"/>
        </w:rPr>
        <w:t>或上级部门有权定期不定期抽查（抽检）</w:t>
      </w:r>
      <w:r>
        <w:rPr>
          <w:rFonts w:hint="eastAsia" w:ascii="宋体" w:hAnsi="宋体" w:eastAsia="宋体" w:cs="宋体"/>
          <w:color w:val="auto"/>
          <w:kern w:val="0"/>
          <w:sz w:val="24"/>
          <w:szCs w:val="24"/>
          <w:highlight w:val="none"/>
          <w:lang w:val="en-US" w:eastAsia="zh-CN"/>
        </w:rPr>
        <w:t>供应商供应配送</w:t>
      </w:r>
      <w:r>
        <w:rPr>
          <w:rFonts w:hint="eastAsia" w:ascii="宋体" w:hAnsi="宋体" w:eastAsia="宋体" w:cs="宋体"/>
          <w:color w:val="auto"/>
          <w:kern w:val="0"/>
          <w:sz w:val="24"/>
          <w:szCs w:val="24"/>
          <w:highlight w:val="none"/>
          <w:lang w:eastAsia="zh-CN"/>
        </w:rPr>
        <w:t>的耗材，若发现耗材质量不达标</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医院</w:t>
      </w:r>
      <w:r>
        <w:rPr>
          <w:rFonts w:hint="eastAsia" w:ascii="宋体" w:hAnsi="宋体" w:eastAsia="宋体" w:cs="宋体"/>
          <w:color w:val="auto"/>
          <w:kern w:val="0"/>
          <w:sz w:val="24"/>
          <w:szCs w:val="24"/>
          <w:highlight w:val="none"/>
          <w:lang w:eastAsia="zh-CN"/>
        </w:rPr>
        <w:t>有权退货，</w:t>
      </w:r>
      <w:r>
        <w:rPr>
          <w:rFonts w:hint="eastAsia" w:ascii="宋体" w:hAnsi="宋体" w:eastAsia="宋体" w:cs="宋体"/>
          <w:color w:val="auto"/>
          <w:kern w:val="0"/>
          <w:sz w:val="24"/>
          <w:szCs w:val="24"/>
          <w:highlight w:val="none"/>
          <w:lang w:val="en-US" w:eastAsia="zh-CN"/>
        </w:rPr>
        <w:t>由供应商进行更换，所造成的损失及责任由供应商承担。</w:t>
      </w:r>
    </w:p>
    <w:p w14:paraId="343EA2EC">
      <w:pPr>
        <w:keepNext w:val="0"/>
        <w:keepLines w:val="0"/>
        <w:pageBreakBefore w:val="0"/>
        <w:widowControl w:val="0"/>
        <w:kinsoku/>
        <w:wordWrap/>
        <w:overflowPunct/>
        <w:topLinePunct w:val="0"/>
        <w:autoSpaceDE/>
        <w:bidi w:val="0"/>
        <w:adjustRightInd/>
        <w:snapToGrid/>
        <w:spacing w:line="56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kern w:val="0"/>
          <w:sz w:val="24"/>
          <w:szCs w:val="24"/>
          <w:highlight w:val="none"/>
          <w:lang w:val="en-US" w:eastAsia="zh-CN"/>
        </w:rPr>
        <w:t>5.因供应商所供应配送</w:t>
      </w:r>
      <w:r>
        <w:rPr>
          <w:rFonts w:hint="eastAsia" w:ascii="宋体" w:hAnsi="宋体" w:eastAsia="宋体" w:cs="宋体"/>
          <w:color w:val="auto"/>
          <w:kern w:val="0"/>
          <w:sz w:val="24"/>
          <w:szCs w:val="24"/>
          <w:highlight w:val="none"/>
          <w:lang w:eastAsia="zh-CN"/>
        </w:rPr>
        <w:t>的耗材质量问题引起医疗纠纷</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eastAsia="zh-CN"/>
        </w:rPr>
        <w:t>应承担相应的赔偿责任。</w:t>
      </w:r>
    </w:p>
    <w:p w14:paraId="74941575">
      <w:pPr>
        <w:keepNext w:val="0"/>
        <w:keepLines w:val="0"/>
        <w:pageBreakBefore w:val="0"/>
        <w:widowControl w:val="0"/>
        <w:kinsoku/>
        <w:autoSpaceDE/>
        <w:bidi w:val="0"/>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（七）采购标的的其他技术、服务等要求：</w:t>
      </w:r>
    </w:p>
    <w:p w14:paraId="0C79573F">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宋体" w:hAnsi="宋体" w:cs="宋体"/>
          <w:color w:val="auto"/>
          <w:kern w:val="0"/>
          <w:sz w:val="24"/>
          <w:szCs w:val="24"/>
          <w:highlight w:val="none"/>
          <w:lang w:val="en-US" w:eastAsia="zh-CN"/>
        </w:rPr>
        <w:t>合同履行过程中，涉及</w:t>
      </w:r>
      <w:r>
        <w:rPr>
          <w:rFonts w:hint="eastAsia" w:ascii="宋体" w:hAnsi="宋体" w:eastAsia="宋体" w:cs="宋体"/>
          <w:color w:val="auto"/>
          <w:kern w:val="0"/>
          <w:sz w:val="24"/>
          <w:szCs w:val="24"/>
          <w:highlight w:val="none"/>
          <w:lang w:val="en-US" w:eastAsia="zh-CN"/>
        </w:rPr>
        <w:t>集采目录</w:t>
      </w:r>
      <w:r>
        <w:rPr>
          <w:rFonts w:hint="eastAsia" w:ascii="宋体" w:hAnsi="宋体" w:cs="宋体"/>
          <w:color w:val="auto"/>
          <w:kern w:val="0"/>
          <w:sz w:val="24"/>
          <w:szCs w:val="24"/>
          <w:highlight w:val="none"/>
          <w:lang w:val="en-US" w:eastAsia="zh-CN"/>
        </w:rPr>
        <w:t>的按照</w:t>
      </w:r>
      <w:r>
        <w:rPr>
          <w:rFonts w:hint="eastAsia" w:ascii="宋体" w:hAnsi="宋体" w:eastAsia="宋体" w:cs="宋体"/>
          <w:color w:val="auto"/>
          <w:kern w:val="0"/>
          <w:sz w:val="24"/>
          <w:szCs w:val="24"/>
          <w:highlight w:val="none"/>
          <w:lang w:val="en-US" w:eastAsia="zh-CN"/>
        </w:rPr>
        <w:t>集采目录</w:t>
      </w:r>
      <w:r>
        <w:rPr>
          <w:rFonts w:hint="eastAsia" w:ascii="宋体" w:hAnsi="宋体" w:cs="宋体"/>
          <w:color w:val="auto"/>
          <w:kern w:val="0"/>
          <w:sz w:val="24"/>
          <w:szCs w:val="24"/>
          <w:highlight w:val="none"/>
          <w:lang w:val="en-US" w:eastAsia="zh-CN"/>
        </w:rPr>
        <w:t>价格执行</w:t>
      </w:r>
      <w:r>
        <w:rPr>
          <w:rFonts w:hint="eastAsia" w:asciiTheme="minorEastAsia" w:hAnsiTheme="minorEastAsia" w:eastAsiaTheme="minorEastAsia" w:cstheme="minorEastAsia"/>
          <w:b w:val="0"/>
          <w:bCs w:val="0"/>
          <w:color w:val="auto"/>
          <w:sz w:val="24"/>
          <w:szCs w:val="24"/>
          <w:highlight w:val="none"/>
          <w:lang w:val="en-US" w:eastAsia="zh-CN"/>
        </w:rPr>
        <w:t>。</w:t>
      </w:r>
    </w:p>
    <w:p w14:paraId="6B48348D">
      <w:pPr>
        <w:keepNext w:val="0"/>
        <w:keepLines w:val="0"/>
        <w:pageBreakBefore w:val="0"/>
        <w:widowControl w:val="0"/>
        <w:kinsoku/>
        <w:autoSpaceDE/>
        <w:bidi w:val="0"/>
        <w:spacing w:line="520" w:lineRule="exact"/>
        <w:ind w:firstLine="480" w:firstLineChars="20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b w:val="0"/>
          <w:bCs w:val="0"/>
          <w:color w:val="auto"/>
          <w:sz w:val="24"/>
          <w:szCs w:val="24"/>
          <w:highlight w:val="none"/>
          <w:lang w:val="en-US" w:eastAsia="zh-CN"/>
        </w:rPr>
        <w:t>按照《政府采购货物和服务招标投标管理办法》（财政部87号令）第三十一条第二款规定，提供相同品牌产品且通过资格审查、符合性审查的不同供应商参加同一合同项下投标的，按一家供应商计算。评审后得分最高的同品牌供应商获得中标人推荐资格；评审得分相同的，按照供应商投标报价（符合相关价格扣除政策的，以扣除前的报价为准）由低到高进行排序；评审得分且投标报价都相同的，按照履约能力评审得分由高到低进行排序；出现其他情形的，则由评标委员会采取随机抽取方式确定，其他同品牌供应商不作为中标候选人</w:t>
      </w:r>
      <w:r>
        <w:rPr>
          <w:rFonts w:hint="eastAsia" w:asciiTheme="minorEastAsia" w:hAnsiTheme="minorEastAsia" w:eastAsiaTheme="minorEastAsia" w:cstheme="minorEastAsia"/>
          <w:color w:val="auto"/>
          <w:sz w:val="24"/>
          <w:szCs w:val="24"/>
          <w:highlight w:val="none"/>
          <w:lang w:val="en-US" w:eastAsia="zh-CN"/>
        </w:rPr>
        <w:t>。各标段的核心产品详见本部分附件。</w:t>
      </w:r>
    </w:p>
    <w:p w14:paraId="3365A2C8">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3.在配送服务中，医用耗材属于临沧市临翔区人民医院的供应商需接受临沧市临翔区人民医院的SPD运营服务（医用物资供应链物流管理），以实现临沧市临翔区人民医院对医用耗材的追溯管理。</w:t>
      </w:r>
    </w:p>
    <w:p w14:paraId="233BC8F9">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4.临沧市临翔区医疗卫生共同体成员</w:t>
      </w:r>
    </w:p>
    <w:p w14:paraId="21D12B05">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（1）临沧市临翔区人民医院；</w:t>
      </w:r>
    </w:p>
    <w:p w14:paraId="1381BFB8">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（2）临沧市临翔区妇幼保健院；</w:t>
      </w:r>
    </w:p>
    <w:p w14:paraId="09597685">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（3）临沧市临翔区中医医院；</w:t>
      </w:r>
    </w:p>
    <w:p w14:paraId="308DB5BF">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（4）临沧市临翔区凤翔社区卫生服务中心；</w:t>
      </w:r>
    </w:p>
    <w:p w14:paraId="496D9078">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（5）临沧市临翔区博尚中心卫生院；</w:t>
      </w:r>
    </w:p>
    <w:p w14:paraId="612CD35A">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（6）临沧市临翔区马台中心卫生院；</w:t>
      </w:r>
    </w:p>
    <w:p w14:paraId="67A8118A">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（7）临沧市临翔区忙畔社区卫生服务中心</w:t>
      </w:r>
    </w:p>
    <w:p w14:paraId="094E07F0">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（8）临沧市临翔区平村彝族傣族乡卫生院；</w:t>
      </w:r>
    </w:p>
    <w:p w14:paraId="2FC85732">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（9）临沧市临翔区圈内乡卫生院；</w:t>
      </w:r>
    </w:p>
    <w:p w14:paraId="6C0D46E7">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（10）临沧市临翔区蚂蚁堆乡卫生院；</w:t>
      </w:r>
    </w:p>
    <w:p w14:paraId="21D22E44">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（11）临沧市临翔区邦东乡卫生院；</w:t>
      </w:r>
    </w:p>
    <w:p w14:paraId="379C3473">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（12）临沧市临翔区南美拉祜族乡卫生院；</w:t>
      </w:r>
    </w:p>
    <w:p w14:paraId="72DF2CFF">
      <w:pPr>
        <w:pStyle w:val="2"/>
        <w:shd w:val="clear" w:color="auto" w:fill="auto"/>
        <w:spacing w:after="0"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（13）临沧市临翔区章驮中心卫生院。</w:t>
      </w:r>
    </w:p>
    <w:p w14:paraId="1DD7D88F">
      <w:pPr>
        <w:pStyle w:val="2"/>
        <w:shd w:val="clear" w:color="auto" w:fill="auto"/>
        <w:spacing w:after="0" w:line="520" w:lineRule="exact"/>
        <w:ind w:firstLine="480" w:firstLineChars="200"/>
        <w:rPr>
          <w:rFonts w:hint="eastAsia"/>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（14）临沧市临翔区疾病预防控制中心。</w:t>
      </w:r>
    </w:p>
    <w:p w14:paraId="1BD562B4">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5C9F41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sectPr>
          <w:headerReference r:id="rId8" w:type="default"/>
          <w:footerReference r:id="rId9" w:type="default"/>
          <w:pgSz w:w="11906" w:h="16838"/>
          <w:pgMar w:top="1440" w:right="1080" w:bottom="1440" w:left="1080" w:header="850" w:footer="992" w:gutter="0"/>
          <w:pgNumType w:fmt="decimal"/>
          <w:cols w:space="0" w:num="1"/>
          <w:rtlGutter w:val="0"/>
          <w:docGrid w:type="lines" w:linePitch="327" w:charSpace="0"/>
        </w:sectPr>
      </w:pPr>
    </w:p>
    <w:p w14:paraId="06BD917B">
      <w:pPr>
        <w:pStyle w:val="2"/>
        <w:keepNext w:val="0"/>
        <w:keepLines w:val="0"/>
        <w:pageBreakBefore w:val="0"/>
        <w:widowControl w:val="0"/>
        <w:kinsoku/>
        <w:autoSpaceDE/>
        <w:bidi w:val="0"/>
        <w:jc w:val="both"/>
        <w:rPr>
          <w:rFonts w:hint="eastAsia" w:asciiTheme="minorEastAsia" w:hAnsiTheme="minorEastAsia" w:eastAsiaTheme="minorEastAsia" w:cstheme="minorEastAsia"/>
          <w:b/>
          <w:bCs/>
          <w:color w:val="auto"/>
          <w:sz w:val="24"/>
          <w:szCs w:val="24"/>
          <w:highlight w:val="none"/>
          <w:lang w:val="en-US" w:eastAsia="zh-CN"/>
        </w:rPr>
      </w:pPr>
    </w:p>
    <w:p w14:paraId="2662AFCA">
      <w:pPr>
        <w:pStyle w:val="2"/>
        <w:keepNext w:val="0"/>
        <w:keepLines w:val="0"/>
        <w:pageBreakBefore w:val="0"/>
        <w:widowControl w:val="0"/>
        <w:kinsoku/>
        <w:autoSpaceDE/>
        <w:bidi w:val="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附件</w:t>
      </w:r>
    </w:p>
    <w:p w14:paraId="63702A26">
      <w:pPr>
        <w:jc w:val="center"/>
        <w:rPr>
          <w:rFonts w:hint="eastAsia" w:asciiTheme="minorEastAsia" w:hAnsiTheme="minorEastAsia" w:eastAsiaTheme="minorEastAsia" w:cstheme="minorEastAsia"/>
          <w:b/>
          <w:bCs w:val="0"/>
          <w:color w:val="auto"/>
          <w:sz w:val="28"/>
          <w:szCs w:val="28"/>
          <w:highlight w:val="none"/>
          <w:u w:val="none"/>
          <w:lang w:val="en-US" w:eastAsia="zh-CN"/>
        </w:rPr>
      </w:pPr>
      <w:r>
        <w:rPr>
          <w:rFonts w:hint="eastAsia" w:asciiTheme="minorEastAsia" w:hAnsiTheme="minorEastAsia" w:eastAsiaTheme="minorEastAsia" w:cstheme="minorEastAsia"/>
          <w:b/>
          <w:bCs w:val="0"/>
          <w:color w:val="auto"/>
          <w:sz w:val="28"/>
          <w:szCs w:val="28"/>
          <w:highlight w:val="none"/>
          <w:u w:val="none"/>
          <w:lang w:val="en-US" w:eastAsia="zh-CN"/>
        </w:rPr>
        <w:t>临沧市临翔区人民医院2025年度医用耗材第二标段采购项目采购清单</w:t>
      </w:r>
    </w:p>
    <w:tbl>
      <w:tblPr>
        <w:tblStyle w:val="26"/>
        <w:tblW w:w="1377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3"/>
        <w:gridCol w:w="3810"/>
        <w:gridCol w:w="3737"/>
        <w:gridCol w:w="1375"/>
        <w:gridCol w:w="963"/>
        <w:gridCol w:w="1554"/>
        <w:gridCol w:w="1434"/>
      </w:tblGrid>
      <w:tr w14:paraId="5CA1C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5E5AD2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bookmarkStart w:id="117" w:name="_GoBack"/>
            <w:r>
              <w:rPr>
                <w:rFonts w:hint="eastAsia" w:ascii="宋体" w:hAnsi="宋体" w:eastAsia="宋体" w:cs="宋体"/>
                <w:b/>
                <w:bCs/>
                <w:i w:val="0"/>
                <w:iCs w:val="0"/>
                <w:color w:val="auto"/>
                <w:kern w:val="0"/>
                <w:sz w:val="21"/>
                <w:szCs w:val="21"/>
                <w:highlight w:val="none"/>
                <w:u w:val="none"/>
                <w:lang w:val="en-US" w:eastAsia="zh-CN" w:bidi="ar"/>
              </w:rPr>
              <w:t>序号</w:t>
            </w:r>
          </w:p>
        </w:tc>
        <w:tc>
          <w:tcPr>
            <w:tcW w:w="3810" w:type="dxa"/>
            <w:tcBorders>
              <w:tl2br w:val="nil"/>
              <w:tr2bl w:val="nil"/>
            </w:tcBorders>
            <w:noWrap w:val="0"/>
            <w:vAlign w:val="center"/>
          </w:tcPr>
          <w:p w14:paraId="53DDFC7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产品（项目）名称</w:t>
            </w:r>
          </w:p>
        </w:tc>
        <w:tc>
          <w:tcPr>
            <w:tcW w:w="3737" w:type="dxa"/>
            <w:tcBorders>
              <w:tl2br w:val="nil"/>
              <w:tr2bl w:val="nil"/>
            </w:tcBorders>
            <w:noWrap w:val="0"/>
            <w:vAlign w:val="center"/>
          </w:tcPr>
          <w:p w14:paraId="690721C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规格（技术参数、性能要求）</w:t>
            </w:r>
          </w:p>
        </w:tc>
        <w:tc>
          <w:tcPr>
            <w:tcW w:w="1375" w:type="dxa"/>
            <w:tcBorders>
              <w:tl2br w:val="nil"/>
              <w:tr2bl w:val="nil"/>
            </w:tcBorders>
            <w:noWrap w:val="0"/>
            <w:vAlign w:val="center"/>
          </w:tcPr>
          <w:p w14:paraId="516235F5">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计量单位</w:t>
            </w:r>
          </w:p>
        </w:tc>
        <w:tc>
          <w:tcPr>
            <w:tcW w:w="963" w:type="dxa"/>
            <w:tcBorders>
              <w:tl2br w:val="nil"/>
              <w:tr2bl w:val="nil"/>
            </w:tcBorders>
            <w:noWrap w:val="0"/>
            <w:vAlign w:val="center"/>
          </w:tcPr>
          <w:p w14:paraId="64C6EAE2">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1554" w:type="dxa"/>
            <w:tcBorders>
              <w:tl2br w:val="nil"/>
              <w:tr2bl w:val="nil"/>
            </w:tcBorders>
            <w:noWrap w:val="0"/>
            <w:vAlign w:val="center"/>
          </w:tcPr>
          <w:p w14:paraId="6CAB4EEC">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单价最高限价</w:t>
            </w:r>
          </w:p>
        </w:tc>
        <w:tc>
          <w:tcPr>
            <w:tcW w:w="1434" w:type="dxa"/>
            <w:tcBorders>
              <w:tl2br w:val="nil"/>
              <w:tr2bl w:val="nil"/>
            </w:tcBorders>
            <w:noWrap w:val="0"/>
            <w:vAlign w:val="center"/>
          </w:tcPr>
          <w:p w14:paraId="577F094B">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是</w:t>
            </w:r>
            <w:r>
              <w:rPr>
                <w:rFonts w:hint="eastAsia" w:ascii="宋体" w:hAnsi="宋体" w:cs="宋体"/>
                <w:b/>
                <w:bCs/>
                <w:i w:val="0"/>
                <w:iCs w:val="0"/>
                <w:color w:val="auto"/>
                <w:kern w:val="0"/>
                <w:sz w:val="21"/>
                <w:szCs w:val="21"/>
                <w:highlight w:val="none"/>
                <w:u w:val="none"/>
                <w:lang w:val="en-US" w:eastAsia="zh-CN" w:bidi="ar"/>
              </w:rPr>
              <w:t>否接受</w:t>
            </w:r>
            <w:r>
              <w:rPr>
                <w:rFonts w:hint="eastAsia" w:ascii="宋体" w:hAnsi="宋体" w:eastAsia="宋体" w:cs="宋体"/>
                <w:b/>
                <w:bCs/>
                <w:i w:val="0"/>
                <w:iCs w:val="0"/>
                <w:color w:val="auto"/>
                <w:kern w:val="0"/>
                <w:sz w:val="21"/>
                <w:szCs w:val="21"/>
                <w:highlight w:val="none"/>
                <w:u w:val="none"/>
                <w:lang w:val="en-US" w:eastAsia="zh-CN" w:bidi="ar"/>
              </w:rPr>
              <w:t>进口产品</w:t>
            </w:r>
          </w:p>
        </w:tc>
      </w:tr>
      <w:tr w14:paraId="1008D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DFB49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3810" w:type="dxa"/>
            <w:tcBorders>
              <w:tl2br w:val="nil"/>
              <w:tr2bl w:val="nil"/>
            </w:tcBorders>
            <w:noWrap w:val="0"/>
            <w:vAlign w:val="center"/>
          </w:tcPr>
          <w:p w14:paraId="04312C8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糖化血红蛋白测定试剂盒（乳胶免疫比浊法）</w:t>
            </w:r>
          </w:p>
        </w:tc>
        <w:tc>
          <w:tcPr>
            <w:tcW w:w="3737" w:type="dxa"/>
            <w:tcBorders>
              <w:tl2br w:val="nil"/>
              <w:tr2bl w:val="nil"/>
            </w:tcBorders>
            <w:noWrap w:val="0"/>
            <w:vAlign w:val="center"/>
          </w:tcPr>
          <w:p w14:paraId="252A124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试剂1:1*60ml，试剂2:1*20ml，溶血剂：2*90ml</w:t>
            </w:r>
          </w:p>
        </w:tc>
        <w:tc>
          <w:tcPr>
            <w:tcW w:w="1375" w:type="dxa"/>
            <w:tcBorders>
              <w:tl2br w:val="nil"/>
              <w:tr2bl w:val="nil"/>
            </w:tcBorders>
            <w:noWrap w:val="0"/>
            <w:vAlign w:val="center"/>
          </w:tcPr>
          <w:p w14:paraId="5ECB6E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26137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6A93859F">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3,800.00</w:t>
            </w:r>
          </w:p>
        </w:tc>
        <w:tc>
          <w:tcPr>
            <w:tcW w:w="1434" w:type="dxa"/>
            <w:tcBorders>
              <w:tl2br w:val="nil"/>
              <w:tr2bl w:val="nil"/>
            </w:tcBorders>
            <w:noWrap w:val="0"/>
            <w:vAlign w:val="center"/>
          </w:tcPr>
          <w:p w14:paraId="0914AA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p>
        </w:tc>
      </w:tr>
      <w:tr w14:paraId="046CD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02161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3810" w:type="dxa"/>
            <w:tcBorders>
              <w:tl2br w:val="nil"/>
              <w:tr2bl w:val="nil"/>
            </w:tcBorders>
            <w:noWrap w:val="0"/>
            <w:vAlign w:val="center"/>
          </w:tcPr>
          <w:p w14:paraId="4D12B32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电解质标准液（低值）</w:t>
            </w:r>
          </w:p>
        </w:tc>
        <w:tc>
          <w:tcPr>
            <w:tcW w:w="3737" w:type="dxa"/>
            <w:tcBorders>
              <w:tl2br w:val="nil"/>
              <w:tr2bl w:val="nil"/>
            </w:tcBorders>
            <w:noWrap w:val="0"/>
            <w:vAlign w:val="center"/>
          </w:tcPr>
          <w:p w14:paraId="7C7D36B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4*100ml</w:t>
            </w:r>
          </w:p>
        </w:tc>
        <w:tc>
          <w:tcPr>
            <w:tcW w:w="1375" w:type="dxa"/>
            <w:tcBorders>
              <w:tl2br w:val="nil"/>
              <w:tr2bl w:val="nil"/>
            </w:tcBorders>
            <w:noWrap w:val="0"/>
            <w:vAlign w:val="center"/>
          </w:tcPr>
          <w:p w14:paraId="7F85A0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963" w:type="dxa"/>
            <w:tcBorders>
              <w:tl2br w:val="nil"/>
              <w:tr2bl w:val="nil"/>
            </w:tcBorders>
            <w:noWrap w:val="0"/>
            <w:vAlign w:val="center"/>
          </w:tcPr>
          <w:p w14:paraId="262A7B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427FF5B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334.00</w:t>
            </w:r>
          </w:p>
        </w:tc>
        <w:tc>
          <w:tcPr>
            <w:tcW w:w="1434" w:type="dxa"/>
            <w:tcBorders>
              <w:tl2br w:val="nil"/>
              <w:tr2bl w:val="nil"/>
            </w:tcBorders>
            <w:noWrap w:val="0"/>
            <w:vAlign w:val="center"/>
          </w:tcPr>
          <w:p w14:paraId="56C954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是</w:t>
            </w:r>
          </w:p>
        </w:tc>
      </w:tr>
      <w:tr w14:paraId="21F5F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670DC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810" w:type="dxa"/>
            <w:tcBorders>
              <w:tl2br w:val="nil"/>
              <w:tr2bl w:val="nil"/>
            </w:tcBorders>
            <w:noWrap w:val="0"/>
            <w:vAlign w:val="center"/>
          </w:tcPr>
          <w:p w14:paraId="0D5057B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AU生化分析系统专用试剂-清洗液</w:t>
            </w:r>
          </w:p>
        </w:tc>
        <w:tc>
          <w:tcPr>
            <w:tcW w:w="3737" w:type="dxa"/>
            <w:tcBorders>
              <w:tl2br w:val="nil"/>
              <w:tr2bl w:val="nil"/>
            </w:tcBorders>
            <w:noWrap w:val="0"/>
            <w:vAlign w:val="center"/>
          </w:tcPr>
          <w:p w14:paraId="4ADD914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6*2L</w:t>
            </w:r>
          </w:p>
        </w:tc>
        <w:tc>
          <w:tcPr>
            <w:tcW w:w="1375" w:type="dxa"/>
            <w:tcBorders>
              <w:tl2br w:val="nil"/>
              <w:tr2bl w:val="nil"/>
            </w:tcBorders>
            <w:noWrap w:val="0"/>
            <w:vAlign w:val="center"/>
          </w:tcPr>
          <w:p w14:paraId="6DFCCA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963" w:type="dxa"/>
            <w:tcBorders>
              <w:tl2br w:val="nil"/>
              <w:tr2bl w:val="nil"/>
            </w:tcBorders>
            <w:noWrap w:val="0"/>
            <w:vAlign w:val="center"/>
          </w:tcPr>
          <w:p w14:paraId="353F4D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554" w:type="dxa"/>
            <w:tcBorders>
              <w:tl2br w:val="nil"/>
              <w:tr2bl w:val="nil"/>
            </w:tcBorders>
            <w:noWrap w:val="0"/>
            <w:vAlign w:val="center"/>
          </w:tcPr>
          <w:p w14:paraId="0074EA1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273.44</w:t>
            </w:r>
          </w:p>
        </w:tc>
        <w:tc>
          <w:tcPr>
            <w:tcW w:w="1434" w:type="dxa"/>
            <w:tcBorders>
              <w:tl2br w:val="nil"/>
              <w:tr2bl w:val="nil"/>
            </w:tcBorders>
            <w:noWrap w:val="0"/>
            <w:vAlign w:val="center"/>
          </w:tcPr>
          <w:p w14:paraId="068E0C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5EFC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967BC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3810" w:type="dxa"/>
            <w:tcBorders>
              <w:tl2br w:val="nil"/>
              <w:tr2bl w:val="nil"/>
            </w:tcBorders>
            <w:noWrap w:val="0"/>
            <w:vAlign w:val="center"/>
          </w:tcPr>
          <w:p w14:paraId="2FB2773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生化多项校准品</w:t>
            </w:r>
          </w:p>
        </w:tc>
        <w:tc>
          <w:tcPr>
            <w:tcW w:w="3737" w:type="dxa"/>
            <w:tcBorders>
              <w:tl2br w:val="nil"/>
              <w:tr2bl w:val="nil"/>
            </w:tcBorders>
            <w:noWrap w:val="0"/>
            <w:vAlign w:val="center"/>
          </w:tcPr>
          <w:p w14:paraId="562BC8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20*5ml</w:t>
            </w:r>
          </w:p>
        </w:tc>
        <w:tc>
          <w:tcPr>
            <w:tcW w:w="1375" w:type="dxa"/>
            <w:tcBorders>
              <w:tl2br w:val="nil"/>
              <w:tr2bl w:val="nil"/>
            </w:tcBorders>
            <w:noWrap w:val="0"/>
            <w:vAlign w:val="center"/>
          </w:tcPr>
          <w:p w14:paraId="44174C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963" w:type="dxa"/>
            <w:tcBorders>
              <w:tl2br w:val="nil"/>
              <w:tr2bl w:val="nil"/>
            </w:tcBorders>
            <w:noWrap w:val="0"/>
            <w:vAlign w:val="center"/>
          </w:tcPr>
          <w:p w14:paraId="42F52C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1554" w:type="dxa"/>
            <w:tcBorders>
              <w:tl2br w:val="nil"/>
              <w:tr2bl w:val="nil"/>
            </w:tcBorders>
            <w:noWrap w:val="0"/>
            <w:vAlign w:val="center"/>
          </w:tcPr>
          <w:p w14:paraId="26CE7A8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48.50</w:t>
            </w:r>
          </w:p>
        </w:tc>
        <w:tc>
          <w:tcPr>
            <w:tcW w:w="1434" w:type="dxa"/>
            <w:tcBorders>
              <w:tl2br w:val="nil"/>
              <w:tr2bl w:val="nil"/>
            </w:tcBorders>
            <w:noWrap w:val="0"/>
            <w:vAlign w:val="center"/>
          </w:tcPr>
          <w:p w14:paraId="1F11F5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9E66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9F15C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3810" w:type="dxa"/>
            <w:tcBorders>
              <w:tl2br w:val="nil"/>
              <w:tr2bl w:val="nil"/>
            </w:tcBorders>
            <w:noWrap w:val="0"/>
            <w:vAlign w:val="center"/>
          </w:tcPr>
          <w:p w14:paraId="3D3A38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电极清洗液</w:t>
            </w:r>
          </w:p>
        </w:tc>
        <w:tc>
          <w:tcPr>
            <w:tcW w:w="3737" w:type="dxa"/>
            <w:tcBorders>
              <w:tl2br w:val="nil"/>
              <w:tr2bl w:val="nil"/>
            </w:tcBorders>
            <w:noWrap w:val="0"/>
            <w:vAlign w:val="center"/>
          </w:tcPr>
          <w:p w14:paraId="77240EA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450ml</w:t>
            </w:r>
          </w:p>
        </w:tc>
        <w:tc>
          <w:tcPr>
            <w:tcW w:w="1375" w:type="dxa"/>
            <w:tcBorders>
              <w:tl2br w:val="nil"/>
              <w:tr2bl w:val="nil"/>
            </w:tcBorders>
            <w:noWrap w:val="0"/>
            <w:vAlign w:val="center"/>
          </w:tcPr>
          <w:p w14:paraId="69299D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963" w:type="dxa"/>
            <w:tcBorders>
              <w:tl2br w:val="nil"/>
              <w:tr2bl w:val="nil"/>
            </w:tcBorders>
            <w:noWrap w:val="0"/>
            <w:vAlign w:val="center"/>
          </w:tcPr>
          <w:p w14:paraId="3896E3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2879AB8">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398.00</w:t>
            </w:r>
          </w:p>
        </w:tc>
        <w:tc>
          <w:tcPr>
            <w:tcW w:w="1434" w:type="dxa"/>
            <w:tcBorders>
              <w:tl2br w:val="nil"/>
              <w:tr2bl w:val="nil"/>
            </w:tcBorders>
            <w:noWrap w:val="0"/>
            <w:vAlign w:val="center"/>
          </w:tcPr>
          <w:p w14:paraId="2A93D4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DC05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F67E6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3810" w:type="dxa"/>
            <w:tcBorders>
              <w:tl2br w:val="nil"/>
              <w:tr2bl w:val="nil"/>
            </w:tcBorders>
            <w:noWrap w:val="0"/>
            <w:vAlign w:val="center"/>
          </w:tcPr>
          <w:p w14:paraId="5D2ABE7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尿液电解质检测用校准品</w:t>
            </w:r>
          </w:p>
        </w:tc>
        <w:tc>
          <w:tcPr>
            <w:tcW w:w="3737" w:type="dxa"/>
            <w:tcBorders>
              <w:tl2br w:val="nil"/>
              <w:tr2bl w:val="nil"/>
            </w:tcBorders>
            <w:noWrap w:val="0"/>
            <w:vAlign w:val="center"/>
          </w:tcPr>
          <w:p w14:paraId="1DE96E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4*100ml</w:t>
            </w:r>
          </w:p>
        </w:tc>
        <w:tc>
          <w:tcPr>
            <w:tcW w:w="1375" w:type="dxa"/>
            <w:tcBorders>
              <w:tl2br w:val="nil"/>
              <w:tr2bl w:val="nil"/>
            </w:tcBorders>
            <w:noWrap w:val="0"/>
            <w:vAlign w:val="center"/>
          </w:tcPr>
          <w:p w14:paraId="333BAB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682D3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554" w:type="dxa"/>
            <w:tcBorders>
              <w:tl2br w:val="nil"/>
              <w:tr2bl w:val="nil"/>
            </w:tcBorders>
            <w:noWrap w:val="0"/>
            <w:vAlign w:val="center"/>
          </w:tcPr>
          <w:p w14:paraId="392995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1,020.00</w:t>
            </w:r>
          </w:p>
        </w:tc>
        <w:tc>
          <w:tcPr>
            <w:tcW w:w="1434" w:type="dxa"/>
            <w:tcBorders>
              <w:tl2br w:val="nil"/>
              <w:tr2bl w:val="nil"/>
            </w:tcBorders>
            <w:noWrap w:val="0"/>
            <w:vAlign w:val="center"/>
          </w:tcPr>
          <w:p w14:paraId="198ABD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4A2E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2E5FA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3810" w:type="dxa"/>
            <w:tcBorders>
              <w:tl2br w:val="nil"/>
              <w:tr2bl w:val="nil"/>
            </w:tcBorders>
            <w:noWrap w:val="0"/>
            <w:vAlign w:val="center"/>
          </w:tcPr>
          <w:p w14:paraId="0328CD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生化多项质控品</w:t>
            </w:r>
          </w:p>
        </w:tc>
        <w:tc>
          <w:tcPr>
            <w:tcW w:w="3737" w:type="dxa"/>
            <w:tcBorders>
              <w:tl2br w:val="nil"/>
              <w:tr2bl w:val="nil"/>
            </w:tcBorders>
            <w:noWrap w:val="0"/>
            <w:vAlign w:val="center"/>
          </w:tcPr>
          <w:p w14:paraId="45B93C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水平1：20*5ml</w:t>
            </w:r>
          </w:p>
        </w:tc>
        <w:tc>
          <w:tcPr>
            <w:tcW w:w="1375" w:type="dxa"/>
            <w:tcBorders>
              <w:tl2br w:val="nil"/>
              <w:tr2bl w:val="nil"/>
            </w:tcBorders>
            <w:noWrap w:val="0"/>
            <w:vAlign w:val="center"/>
          </w:tcPr>
          <w:p w14:paraId="44AD66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35A83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528A46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48.50</w:t>
            </w:r>
          </w:p>
        </w:tc>
        <w:tc>
          <w:tcPr>
            <w:tcW w:w="1434" w:type="dxa"/>
            <w:tcBorders>
              <w:tl2br w:val="nil"/>
              <w:tr2bl w:val="nil"/>
            </w:tcBorders>
            <w:noWrap w:val="0"/>
            <w:vAlign w:val="center"/>
          </w:tcPr>
          <w:p w14:paraId="2E5A68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504B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D041C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3810" w:type="dxa"/>
            <w:tcBorders>
              <w:tl2br w:val="nil"/>
              <w:tr2bl w:val="nil"/>
            </w:tcBorders>
            <w:noWrap w:val="0"/>
            <w:vAlign w:val="center"/>
          </w:tcPr>
          <w:p w14:paraId="003D715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游离三碘甲状腺原氨酸测定试剂盒（化学发光法）</w:t>
            </w:r>
          </w:p>
        </w:tc>
        <w:tc>
          <w:tcPr>
            <w:tcW w:w="3737" w:type="dxa"/>
            <w:tcBorders>
              <w:tl2br w:val="nil"/>
              <w:tr2bl w:val="nil"/>
            </w:tcBorders>
            <w:noWrap w:val="0"/>
            <w:vAlign w:val="center"/>
          </w:tcPr>
          <w:p w14:paraId="22AF87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248E98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80F93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1554" w:type="dxa"/>
            <w:tcBorders>
              <w:tl2br w:val="nil"/>
              <w:tr2bl w:val="nil"/>
            </w:tcBorders>
            <w:noWrap w:val="0"/>
            <w:vAlign w:val="center"/>
          </w:tcPr>
          <w:p w14:paraId="182F39A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1,220.00</w:t>
            </w:r>
          </w:p>
        </w:tc>
        <w:tc>
          <w:tcPr>
            <w:tcW w:w="1434" w:type="dxa"/>
            <w:tcBorders>
              <w:tl2br w:val="nil"/>
              <w:tr2bl w:val="nil"/>
            </w:tcBorders>
            <w:noWrap w:val="0"/>
            <w:vAlign w:val="center"/>
          </w:tcPr>
          <w:p w14:paraId="2481B9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1422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4E588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3810" w:type="dxa"/>
            <w:tcBorders>
              <w:tl2br w:val="nil"/>
              <w:tr2bl w:val="nil"/>
            </w:tcBorders>
            <w:noWrap w:val="0"/>
            <w:vAlign w:val="center"/>
          </w:tcPr>
          <w:p w14:paraId="73F7A51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甲状腺球蛋白抗体测定试剂盒（化学发光法）</w:t>
            </w:r>
          </w:p>
        </w:tc>
        <w:tc>
          <w:tcPr>
            <w:tcW w:w="3737" w:type="dxa"/>
            <w:tcBorders>
              <w:tl2br w:val="nil"/>
              <w:tr2bl w:val="nil"/>
            </w:tcBorders>
            <w:noWrap w:val="0"/>
            <w:vAlign w:val="center"/>
          </w:tcPr>
          <w:p w14:paraId="77D1A85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602739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2923F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105AB47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1,470.00</w:t>
            </w:r>
          </w:p>
        </w:tc>
        <w:tc>
          <w:tcPr>
            <w:tcW w:w="1434" w:type="dxa"/>
            <w:tcBorders>
              <w:tl2br w:val="nil"/>
              <w:tr2bl w:val="nil"/>
            </w:tcBorders>
            <w:noWrap w:val="0"/>
            <w:vAlign w:val="center"/>
          </w:tcPr>
          <w:p w14:paraId="315C90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B6BB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FD3F4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3810" w:type="dxa"/>
            <w:tcBorders>
              <w:tl2br w:val="nil"/>
              <w:tr2bl w:val="nil"/>
            </w:tcBorders>
            <w:noWrap w:val="0"/>
            <w:vAlign w:val="center"/>
          </w:tcPr>
          <w:p w14:paraId="68DE67E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总三碘甲状腺原氨酸测定试剂盒（化学发光法）</w:t>
            </w:r>
          </w:p>
        </w:tc>
        <w:tc>
          <w:tcPr>
            <w:tcW w:w="3737" w:type="dxa"/>
            <w:tcBorders>
              <w:tl2br w:val="nil"/>
              <w:tr2bl w:val="nil"/>
            </w:tcBorders>
            <w:noWrap w:val="0"/>
            <w:vAlign w:val="center"/>
          </w:tcPr>
          <w:p w14:paraId="6607500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43CA2D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506A0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554" w:type="dxa"/>
            <w:tcBorders>
              <w:tl2br w:val="nil"/>
              <w:tr2bl w:val="nil"/>
            </w:tcBorders>
            <w:noWrap w:val="0"/>
            <w:vAlign w:val="center"/>
          </w:tcPr>
          <w:p w14:paraId="3FA51584">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1,157.10</w:t>
            </w:r>
          </w:p>
        </w:tc>
        <w:tc>
          <w:tcPr>
            <w:tcW w:w="1434" w:type="dxa"/>
            <w:tcBorders>
              <w:tl2br w:val="nil"/>
              <w:tr2bl w:val="nil"/>
            </w:tcBorders>
            <w:noWrap w:val="0"/>
            <w:vAlign w:val="center"/>
          </w:tcPr>
          <w:p w14:paraId="78C85C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3296C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F5A7E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3810" w:type="dxa"/>
            <w:tcBorders>
              <w:tl2br w:val="nil"/>
              <w:tr2bl w:val="nil"/>
            </w:tcBorders>
            <w:noWrap w:val="0"/>
            <w:vAlign w:val="center"/>
          </w:tcPr>
          <w:p w14:paraId="7C7342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游离甲状腺素测定试剂盒（化学发光法）</w:t>
            </w:r>
          </w:p>
        </w:tc>
        <w:tc>
          <w:tcPr>
            <w:tcW w:w="3737" w:type="dxa"/>
            <w:tcBorders>
              <w:tl2br w:val="nil"/>
              <w:tr2bl w:val="nil"/>
            </w:tcBorders>
            <w:noWrap w:val="0"/>
            <w:vAlign w:val="center"/>
          </w:tcPr>
          <w:p w14:paraId="6C143C8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7401EF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5280F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4A63BCA0">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1,193.00</w:t>
            </w:r>
          </w:p>
        </w:tc>
        <w:tc>
          <w:tcPr>
            <w:tcW w:w="1434" w:type="dxa"/>
            <w:tcBorders>
              <w:tl2br w:val="nil"/>
              <w:tr2bl w:val="nil"/>
            </w:tcBorders>
            <w:noWrap w:val="0"/>
            <w:vAlign w:val="center"/>
          </w:tcPr>
          <w:p w14:paraId="0FE81B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B6DF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3AD89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3810" w:type="dxa"/>
            <w:tcBorders>
              <w:tl2br w:val="nil"/>
              <w:tr2bl w:val="nil"/>
            </w:tcBorders>
            <w:noWrap w:val="0"/>
            <w:vAlign w:val="center"/>
          </w:tcPr>
          <w:p w14:paraId="412512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总甲状腺素测定试剂盒（化学发光法）</w:t>
            </w:r>
          </w:p>
        </w:tc>
        <w:tc>
          <w:tcPr>
            <w:tcW w:w="3737" w:type="dxa"/>
            <w:tcBorders>
              <w:tl2br w:val="nil"/>
              <w:tr2bl w:val="nil"/>
            </w:tcBorders>
            <w:noWrap w:val="0"/>
            <w:vAlign w:val="center"/>
          </w:tcPr>
          <w:p w14:paraId="1DA8D3F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78CC52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5DFDD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281F5C9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1,157.10</w:t>
            </w:r>
          </w:p>
        </w:tc>
        <w:tc>
          <w:tcPr>
            <w:tcW w:w="1434" w:type="dxa"/>
            <w:tcBorders>
              <w:tl2br w:val="nil"/>
              <w:tr2bl w:val="nil"/>
            </w:tcBorders>
            <w:noWrap w:val="0"/>
            <w:vAlign w:val="center"/>
          </w:tcPr>
          <w:p w14:paraId="6F8552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1108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E70ED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3810" w:type="dxa"/>
            <w:tcBorders>
              <w:tl2br w:val="nil"/>
              <w:tr2bl w:val="nil"/>
            </w:tcBorders>
            <w:noWrap w:val="0"/>
            <w:vAlign w:val="center"/>
          </w:tcPr>
          <w:p w14:paraId="28265A1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癌抗原15-3检测试剂盒（化学发光法）</w:t>
            </w:r>
          </w:p>
        </w:tc>
        <w:tc>
          <w:tcPr>
            <w:tcW w:w="3737" w:type="dxa"/>
            <w:tcBorders>
              <w:tl2br w:val="nil"/>
              <w:tr2bl w:val="nil"/>
            </w:tcBorders>
            <w:noWrap w:val="0"/>
            <w:vAlign w:val="center"/>
          </w:tcPr>
          <w:p w14:paraId="784884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100测试：2*50测试/盒</w:t>
            </w:r>
          </w:p>
        </w:tc>
        <w:tc>
          <w:tcPr>
            <w:tcW w:w="1375" w:type="dxa"/>
            <w:tcBorders>
              <w:tl2br w:val="nil"/>
              <w:tr2bl w:val="nil"/>
            </w:tcBorders>
            <w:noWrap w:val="0"/>
            <w:vAlign w:val="center"/>
          </w:tcPr>
          <w:p w14:paraId="728D8C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4EB8C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c>
          <w:tcPr>
            <w:tcW w:w="1554" w:type="dxa"/>
            <w:tcBorders>
              <w:tl2br w:val="nil"/>
              <w:tr2bl w:val="nil"/>
            </w:tcBorders>
            <w:noWrap w:val="0"/>
            <w:vAlign w:val="center"/>
          </w:tcPr>
          <w:p w14:paraId="08AB3BE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2,210.00</w:t>
            </w:r>
          </w:p>
        </w:tc>
        <w:tc>
          <w:tcPr>
            <w:tcW w:w="1434" w:type="dxa"/>
            <w:tcBorders>
              <w:tl2br w:val="nil"/>
              <w:tr2bl w:val="nil"/>
            </w:tcBorders>
            <w:noWrap w:val="0"/>
            <w:vAlign w:val="center"/>
          </w:tcPr>
          <w:p w14:paraId="55DA2F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A517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6DBB3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3810" w:type="dxa"/>
            <w:tcBorders>
              <w:tl2br w:val="nil"/>
              <w:tr2bl w:val="nil"/>
            </w:tcBorders>
            <w:noWrap w:val="0"/>
            <w:vAlign w:val="center"/>
          </w:tcPr>
          <w:p w14:paraId="6374638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糖类抗原125检测试剂盒（化学发光法）</w:t>
            </w:r>
          </w:p>
        </w:tc>
        <w:tc>
          <w:tcPr>
            <w:tcW w:w="3737" w:type="dxa"/>
            <w:tcBorders>
              <w:tl2br w:val="nil"/>
              <w:tr2bl w:val="nil"/>
            </w:tcBorders>
            <w:noWrap w:val="0"/>
            <w:vAlign w:val="center"/>
          </w:tcPr>
          <w:p w14:paraId="1F3002D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5DCF78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A4612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A65F0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2,173.00</w:t>
            </w:r>
          </w:p>
        </w:tc>
        <w:tc>
          <w:tcPr>
            <w:tcW w:w="1434" w:type="dxa"/>
            <w:tcBorders>
              <w:tl2br w:val="nil"/>
              <w:tr2bl w:val="nil"/>
            </w:tcBorders>
            <w:noWrap w:val="0"/>
            <w:vAlign w:val="center"/>
          </w:tcPr>
          <w:p w14:paraId="605327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EF0B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643D0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3810" w:type="dxa"/>
            <w:tcBorders>
              <w:tl2br w:val="nil"/>
              <w:tr2bl w:val="nil"/>
            </w:tcBorders>
            <w:noWrap w:val="0"/>
            <w:vAlign w:val="center"/>
          </w:tcPr>
          <w:p w14:paraId="6AE329F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癌胚抗原测定试剂盒（化学发光法）</w:t>
            </w:r>
          </w:p>
        </w:tc>
        <w:tc>
          <w:tcPr>
            <w:tcW w:w="3737" w:type="dxa"/>
            <w:tcBorders>
              <w:tl2br w:val="nil"/>
              <w:tr2bl w:val="nil"/>
            </w:tcBorders>
            <w:noWrap w:val="0"/>
            <w:vAlign w:val="center"/>
          </w:tcPr>
          <w:p w14:paraId="074B512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100测试：2*50个测试/盒</w:t>
            </w:r>
          </w:p>
        </w:tc>
        <w:tc>
          <w:tcPr>
            <w:tcW w:w="1375" w:type="dxa"/>
            <w:tcBorders>
              <w:tl2br w:val="nil"/>
              <w:tr2bl w:val="nil"/>
            </w:tcBorders>
            <w:noWrap w:val="0"/>
            <w:vAlign w:val="center"/>
          </w:tcPr>
          <w:p w14:paraId="2A9BAD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B96E6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A2C92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1,220.00</w:t>
            </w:r>
          </w:p>
        </w:tc>
        <w:tc>
          <w:tcPr>
            <w:tcW w:w="1434" w:type="dxa"/>
            <w:tcBorders>
              <w:tl2br w:val="nil"/>
              <w:tr2bl w:val="nil"/>
            </w:tcBorders>
            <w:noWrap w:val="0"/>
            <w:vAlign w:val="center"/>
          </w:tcPr>
          <w:p w14:paraId="6F210A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30D4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7E6F6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3810" w:type="dxa"/>
            <w:tcBorders>
              <w:tl2br w:val="nil"/>
              <w:tr2bl w:val="nil"/>
            </w:tcBorders>
            <w:noWrap w:val="0"/>
            <w:vAlign w:val="center"/>
          </w:tcPr>
          <w:p w14:paraId="54CD3D4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甲状腺球蛋白测定试剂盒（化学发光法）</w:t>
            </w:r>
          </w:p>
        </w:tc>
        <w:tc>
          <w:tcPr>
            <w:tcW w:w="3737" w:type="dxa"/>
            <w:tcBorders>
              <w:tl2br w:val="nil"/>
              <w:tr2bl w:val="nil"/>
            </w:tcBorders>
            <w:noWrap w:val="0"/>
            <w:vAlign w:val="center"/>
          </w:tcPr>
          <w:p w14:paraId="13F4F0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100测试：2*50个测试/盒</w:t>
            </w:r>
          </w:p>
        </w:tc>
        <w:tc>
          <w:tcPr>
            <w:tcW w:w="1375" w:type="dxa"/>
            <w:tcBorders>
              <w:tl2br w:val="nil"/>
              <w:tr2bl w:val="nil"/>
            </w:tcBorders>
            <w:noWrap w:val="0"/>
            <w:vAlign w:val="center"/>
          </w:tcPr>
          <w:p w14:paraId="4CBB94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10BF0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6C8994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1,220.00</w:t>
            </w:r>
          </w:p>
        </w:tc>
        <w:tc>
          <w:tcPr>
            <w:tcW w:w="1434" w:type="dxa"/>
            <w:tcBorders>
              <w:tl2br w:val="nil"/>
              <w:tr2bl w:val="nil"/>
            </w:tcBorders>
            <w:noWrap w:val="0"/>
            <w:vAlign w:val="center"/>
          </w:tcPr>
          <w:p w14:paraId="2D2511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DB0B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56230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3810" w:type="dxa"/>
            <w:tcBorders>
              <w:tl2br w:val="nil"/>
              <w:tr2bl w:val="nil"/>
            </w:tcBorders>
            <w:noWrap w:val="0"/>
            <w:vAlign w:val="center"/>
          </w:tcPr>
          <w:p w14:paraId="4672E2F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载脂蛋白B测定试剂盒（免疫比浊法）</w:t>
            </w:r>
          </w:p>
        </w:tc>
        <w:tc>
          <w:tcPr>
            <w:tcW w:w="3737" w:type="dxa"/>
            <w:tcBorders>
              <w:tl2br w:val="nil"/>
              <w:tr2bl w:val="nil"/>
            </w:tcBorders>
            <w:noWrap w:val="0"/>
            <w:vAlign w:val="center"/>
          </w:tcPr>
          <w:p w14:paraId="2FC392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试剂1（R1）:4*13ML，试剂2（R2）:4*7ml</w:t>
            </w:r>
          </w:p>
        </w:tc>
        <w:tc>
          <w:tcPr>
            <w:tcW w:w="1375" w:type="dxa"/>
            <w:tcBorders>
              <w:tl2br w:val="nil"/>
              <w:tr2bl w:val="nil"/>
            </w:tcBorders>
            <w:noWrap w:val="0"/>
            <w:vAlign w:val="center"/>
          </w:tcPr>
          <w:p w14:paraId="5DD092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930CF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A9C0F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3,038.00</w:t>
            </w:r>
          </w:p>
        </w:tc>
        <w:tc>
          <w:tcPr>
            <w:tcW w:w="1434" w:type="dxa"/>
            <w:tcBorders>
              <w:tl2br w:val="nil"/>
              <w:tr2bl w:val="nil"/>
            </w:tcBorders>
            <w:noWrap w:val="0"/>
            <w:vAlign w:val="center"/>
          </w:tcPr>
          <w:p w14:paraId="1B60EF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EDCB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A75EF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3810" w:type="dxa"/>
            <w:tcBorders>
              <w:tl2br w:val="nil"/>
              <w:tr2bl w:val="nil"/>
            </w:tcBorders>
            <w:noWrap w:val="0"/>
            <w:vAlign w:val="center"/>
          </w:tcPr>
          <w:p w14:paraId="10EE14F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甲状腺球蛋白抗体测定试剂盒（化学发光法）</w:t>
            </w:r>
          </w:p>
        </w:tc>
        <w:tc>
          <w:tcPr>
            <w:tcW w:w="3737" w:type="dxa"/>
            <w:tcBorders>
              <w:tl2br w:val="nil"/>
              <w:tr2bl w:val="nil"/>
            </w:tcBorders>
            <w:noWrap w:val="0"/>
            <w:vAlign w:val="center"/>
          </w:tcPr>
          <w:p w14:paraId="2B313A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2D17A9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0B9F9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554" w:type="dxa"/>
            <w:tcBorders>
              <w:tl2br w:val="nil"/>
              <w:tr2bl w:val="nil"/>
            </w:tcBorders>
            <w:noWrap w:val="0"/>
            <w:vAlign w:val="center"/>
          </w:tcPr>
          <w:p w14:paraId="7BBC84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1,470.00</w:t>
            </w:r>
          </w:p>
        </w:tc>
        <w:tc>
          <w:tcPr>
            <w:tcW w:w="1434" w:type="dxa"/>
            <w:tcBorders>
              <w:tl2br w:val="nil"/>
              <w:tr2bl w:val="nil"/>
            </w:tcBorders>
            <w:noWrap w:val="0"/>
            <w:vAlign w:val="center"/>
          </w:tcPr>
          <w:p w14:paraId="5D22E6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4860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FFBF8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19</w:t>
            </w:r>
          </w:p>
        </w:tc>
        <w:tc>
          <w:tcPr>
            <w:tcW w:w="3810" w:type="dxa"/>
            <w:tcBorders>
              <w:tl2br w:val="nil"/>
              <w:tr2bl w:val="nil"/>
            </w:tcBorders>
            <w:noWrap w:val="0"/>
            <w:vAlign w:val="center"/>
          </w:tcPr>
          <w:p w14:paraId="5AE78BE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糖类抗原125检测试剂盒（化学发光法）</w:t>
            </w:r>
          </w:p>
        </w:tc>
        <w:tc>
          <w:tcPr>
            <w:tcW w:w="3737" w:type="dxa"/>
            <w:tcBorders>
              <w:tl2br w:val="nil"/>
              <w:tr2bl w:val="nil"/>
            </w:tcBorders>
            <w:noWrap w:val="0"/>
            <w:vAlign w:val="center"/>
          </w:tcPr>
          <w:p w14:paraId="57B7DE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76046E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C06A7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25A094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2,173.00</w:t>
            </w:r>
          </w:p>
        </w:tc>
        <w:tc>
          <w:tcPr>
            <w:tcW w:w="1434" w:type="dxa"/>
            <w:tcBorders>
              <w:tl2br w:val="nil"/>
              <w:tr2bl w:val="nil"/>
            </w:tcBorders>
            <w:noWrap w:val="0"/>
            <w:vAlign w:val="center"/>
          </w:tcPr>
          <w:p w14:paraId="277B39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7335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EFC2B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3810" w:type="dxa"/>
            <w:tcBorders>
              <w:tl2br w:val="nil"/>
              <w:tr2bl w:val="nil"/>
            </w:tcBorders>
            <w:noWrap w:val="0"/>
            <w:vAlign w:val="center"/>
          </w:tcPr>
          <w:p w14:paraId="3261FC0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血清学质控品</w:t>
            </w:r>
          </w:p>
        </w:tc>
        <w:tc>
          <w:tcPr>
            <w:tcW w:w="3737" w:type="dxa"/>
            <w:tcBorders>
              <w:tl2br w:val="nil"/>
              <w:tr2bl w:val="nil"/>
            </w:tcBorders>
            <w:noWrap w:val="0"/>
            <w:vAlign w:val="center"/>
          </w:tcPr>
          <w:p w14:paraId="27EC135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水平3:3*5ml</w:t>
            </w:r>
          </w:p>
        </w:tc>
        <w:tc>
          <w:tcPr>
            <w:tcW w:w="1375" w:type="dxa"/>
            <w:tcBorders>
              <w:tl2br w:val="nil"/>
              <w:tr2bl w:val="nil"/>
            </w:tcBorders>
            <w:noWrap w:val="0"/>
            <w:vAlign w:val="center"/>
          </w:tcPr>
          <w:p w14:paraId="699E37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6DE2E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554" w:type="dxa"/>
            <w:tcBorders>
              <w:tl2br w:val="nil"/>
              <w:tr2bl w:val="nil"/>
            </w:tcBorders>
            <w:noWrap w:val="0"/>
            <w:vAlign w:val="center"/>
          </w:tcPr>
          <w:p w14:paraId="104811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807.59</w:t>
            </w:r>
          </w:p>
        </w:tc>
        <w:tc>
          <w:tcPr>
            <w:tcW w:w="1434" w:type="dxa"/>
            <w:tcBorders>
              <w:tl2br w:val="nil"/>
              <w:tr2bl w:val="nil"/>
            </w:tcBorders>
            <w:noWrap w:val="0"/>
            <w:vAlign w:val="center"/>
          </w:tcPr>
          <w:p w14:paraId="72B983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BA8D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83799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3810" w:type="dxa"/>
            <w:tcBorders>
              <w:tl2br w:val="nil"/>
              <w:tr2bl w:val="nil"/>
            </w:tcBorders>
            <w:noWrap w:val="0"/>
            <w:vAlign w:val="center"/>
          </w:tcPr>
          <w:p w14:paraId="32519AA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多项校准品</w:t>
            </w:r>
          </w:p>
        </w:tc>
        <w:tc>
          <w:tcPr>
            <w:tcW w:w="3737" w:type="dxa"/>
            <w:tcBorders>
              <w:tl2br w:val="nil"/>
              <w:tr2bl w:val="nil"/>
            </w:tcBorders>
            <w:noWrap w:val="0"/>
            <w:vAlign w:val="center"/>
          </w:tcPr>
          <w:p w14:paraId="79446F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4*2ml</w:t>
            </w:r>
          </w:p>
        </w:tc>
        <w:tc>
          <w:tcPr>
            <w:tcW w:w="1375" w:type="dxa"/>
            <w:tcBorders>
              <w:tl2br w:val="nil"/>
              <w:tr2bl w:val="nil"/>
            </w:tcBorders>
            <w:noWrap w:val="0"/>
            <w:vAlign w:val="center"/>
          </w:tcPr>
          <w:p w14:paraId="0D4BFD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0DC1E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094E26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3,559.24</w:t>
            </w:r>
          </w:p>
        </w:tc>
        <w:tc>
          <w:tcPr>
            <w:tcW w:w="1434" w:type="dxa"/>
            <w:tcBorders>
              <w:tl2br w:val="nil"/>
              <w:tr2bl w:val="nil"/>
            </w:tcBorders>
            <w:noWrap w:val="0"/>
            <w:vAlign w:val="center"/>
          </w:tcPr>
          <w:p w14:paraId="417B49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5140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B3CC6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c>
          <w:tcPr>
            <w:tcW w:w="3810" w:type="dxa"/>
            <w:tcBorders>
              <w:tl2br w:val="nil"/>
              <w:tr2bl w:val="nil"/>
            </w:tcBorders>
            <w:noWrap w:val="0"/>
            <w:vAlign w:val="center"/>
          </w:tcPr>
          <w:p w14:paraId="5B3811E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尿液校准品</w:t>
            </w:r>
          </w:p>
        </w:tc>
        <w:tc>
          <w:tcPr>
            <w:tcW w:w="3737" w:type="dxa"/>
            <w:tcBorders>
              <w:tl2br w:val="nil"/>
              <w:tr2bl w:val="nil"/>
            </w:tcBorders>
            <w:noWrap w:val="0"/>
            <w:vAlign w:val="center"/>
          </w:tcPr>
          <w:p w14:paraId="2393FFC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 URINE CALIBRATOR 6*8ml</w:t>
            </w:r>
          </w:p>
        </w:tc>
        <w:tc>
          <w:tcPr>
            <w:tcW w:w="1375" w:type="dxa"/>
            <w:tcBorders>
              <w:tl2br w:val="nil"/>
              <w:tr2bl w:val="nil"/>
            </w:tcBorders>
            <w:noWrap w:val="0"/>
            <w:vAlign w:val="center"/>
          </w:tcPr>
          <w:p w14:paraId="61B037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963" w:type="dxa"/>
            <w:tcBorders>
              <w:tl2br w:val="nil"/>
              <w:tr2bl w:val="nil"/>
            </w:tcBorders>
            <w:noWrap w:val="0"/>
            <w:vAlign w:val="center"/>
          </w:tcPr>
          <w:p w14:paraId="5339B1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554" w:type="dxa"/>
            <w:tcBorders>
              <w:tl2br w:val="nil"/>
              <w:tr2bl w:val="nil"/>
            </w:tcBorders>
            <w:noWrap w:val="0"/>
            <w:vAlign w:val="center"/>
          </w:tcPr>
          <w:p w14:paraId="08CC86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271.17</w:t>
            </w:r>
          </w:p>
        </w:tc>
        <w:tc>
          <w:tcPr>
            <w:tcW w:w="1434" w:type="dxa"/>
            <w:tcBorders>
              <w:tl2br w:val="nil"/>
              <w:tr2bl w:val="nil"/>
            </w:tcBorders>
            <w:noWrap w:val="0"/>
            <w:vAlign w:val="center"/>
          </w:tcPr>
          <w:p w14:paraId="59E247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CBA7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1333E6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23</w:t>
            </w:r>
          </w:p>
        </w:tc>
        <w:tc>
          <w:tcPr>
            <w:tcW w:w="3810" w:type="dxa"/>
            <w:tcBorders>
              <w:tl2br w:val="nil"/>
              <w:tr2bl w:val="nil"/>
            </w:tcBorders>
            <w:noWrap w:val="0"/>
            <w:vAlign w:val="center"/>
          </w:tcPr>
          <w:p w14:paraId="4DA7DC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维生素B12测定试剂盒（化学发光法）</w:t>
            </w:r>
          </w:p>
        </w:tc>
        <w:tc>
          <w:tcPr>
            <w:tcW w:w="3737" w:type="dxa"/>
            <w:tcBorders>
              <w:tl2br w:val="nil"/>
              <w:tr2bl w:val="nil"/>
            </w:tcBorders>
            <w:noWrap w:val="0"/>
            <w:vAlign w:val="center"/>
          </w:tcPr>
          <w:p w14:paraId="126E2A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293251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B8A74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3F8FA0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1,630.00</w:t>
            </w:r>
          </w:p>
        </w:tc>
        <w:tc>
          <w:tcPr>
            <w:tcW w:w="1434" w:type="dxa"/>
            <w:tcBorders>
              <w:tl2br w:val="nil"/>
              <w:tr2bl w:val="nil"/>
            </w:tcBorders>
            <w:noWrap w:val="0"/>
            <w:vAlign w:val="center"/>
          </w:tcPr>
          <w:p w14:paraId="0A4F29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9259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DFB9B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3810" w:type="dxa"/>
            <w:tcBorders>
              <w:tl2br w:val="nil"/>
              <w:tr2bl w:val="nil"/>
            </w:tcBorders>
            <w:noWrap w:val="0"/>
            <w:vAlign w:val="center"/>
          </w:tcPr>
          <w:p w14:paraId="2807E73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铁蛋白测定试剂盒（化学发光法）</w:t>
            </w:r>
          </w:p>
        </w:tc>
        <w:tc>
          <w:tcPr>
            <w:tcW w:w="3737" w:type="dxa"/>
            <w:tcBorders>
              <w:tl2br w:val="nil"/>
              <w:tr2bl w:val="nil"/>
            </w:tcBorders>
            <w:noWrap w:val="0"/>
            <w:vAlign w:val="center"/>
          </w:tcPr>
          <w:p w14:paraId="46A15B9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22499A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28D7F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D81C1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1,391.00</w:t>
            </w:r>
          </w:p>
        </w:tc>
        <w:tc>
          <w:tcPr>
            <w:tcW w:w="1434" w:type="dxa"/>
            <w:tcBorders>
              <w:tl2br w:val="nil"/>
              <w:tr2bl w:val="nil"/>
            </w:tcBorders>
            <w:noWrap w:val="0"/>
            <w:vAlign w:val="center"/>
          </w:tcPr>
          <w:p w14:paraId="156893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93E6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9534E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3810" w:type="dxa"/>
            <w:tcBorders>
              <w:tl2br w:val="nil"/>
              <w:tr2bl w:val="nil"/>
            </w:tcBorders>
            <w:noWrap w:val="0"/>
            <w:vAlign w:val="center"/>
          </w:tcPr>
          <w:p w14:paraId="06816EA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叶酸测定试剂盒（化学发光法）</w:t>
            </w:r>
          </w:p>
        </w:tc>
        <w:tc>
          <w:tcPr>
            <w:tcW w:w="3737" w:type="dxa"/>
            <w:tcBorders>
              <w:tl2br w:val="nil"/>
              <w:tr2bl w:val="nil"/>
            </w:tcBorders>
            <w:noWrap w:val="0"/>
            <w:vAlign w:val="center"/>
          </w:tcPr>
          <w:p w14:paraId="5AC221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08ACD1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8EEEC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29DF79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1,421.00</w:t>
            </w:r>
          </w:p>
        </w:tc>
        <w:tc>
          <w:tcPr>
            <w:tcW w:w="1434" w:type="dxa"/>
            <w:tcBorders>
              <w:tl2br w:val="nil"/>
              <w:tr2bl w:val="nil"/>
            </w:tcBorders>
            <w:noWrap w:val="0"/>
            <w:vAlign w:val="center"/>
          </w:tcPr>
          <w:p w14:paraId="1B59F6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80F3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D73D0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26</w:t>
            </w:r>
          </w:p>
        </w:tc>
        <w:tc>
          <w:tcPr>
            <w:tcW w:w="3810" w:type="dxa"/>
            <w:tcBorders>
              <w:tl2br w:val="nil"/>
              <w:tr2bl w:val="nil"/>
            </w:tcBorders>
            <w:noWrap w:val="0"/>
            <w:vAlign w:val="center"/>
          </w:tcPr>
          <w:p w14:paraId="1B7F8B8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甲胎蛋白测定试剂盒（化学发光法）</w:t>
            </w:r>
          </w:p>
        </w:tc>
        <w:tc>
          <w:tcPr>
            <w:tcW w:w="3737" w:type="dxa"/>
            <w:tcBorders>
              <w:tl2br w:val="nil"/>
              <w:tr2bl w:val="nil"/>
            </w:tcBorders>
            <w:noWrap w:val="0"/>
            <w:vAlign w:val="center"/>
          </w:tcPr>
          <w:p w14:paraId="6DF49B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6*50测试/盒.校准品0（S0）-（S6）2.5ml/瓶</w:t>
            </w:r>
          </w:p>
        </w:tc>
        <w:tc>
          <w:tcPr>
            <w:tcW w:w="1375" w:type="dxa"/>
            <w:tcBorders>
              <w:tl2br w:val="nil"/>
              <w:tr2bl w:val="nil"/>
            </w:tcBorders>
            <w:noWrap w:val="0"/>
            <w:vAlign w:val="center"/>
          </w:tcPr>
          <w:p w14:paraId="3A9EEF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284C2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554" w:type="dxa"/>
            <w:tcBorders>
              <w:tl2br w:val="nil"/>
              <w:tr2bl w:val="nil"/>
            </w:tcBorders>
            <w:noWrap w:val="0"/>
            <w:vAlign w:val="center"/>
          </w:tcPr>
          <w:p w14:paraId="763C38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3,680.00</w:t>
            </w:r>
          </w:p>
        </w:tc>
        <w:tc>
          <w:tcPr>
            <w:tcW w:w="1434" w:type="dxa"/>
            <w:tcBorders>
              <w:tl2br w:val="nil"/>
              <w:tr2bl w:val="nil"/>
            </w:tcBorders>
            <w:noWrap w:val="0"/>
            <w:vAlign w:val="center"/>
          </w:tcPr>
          <w:p w14:paraId="4C85C7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66AB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15A54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27</w:t>
            </w:r>
          </w:p>
        </w:tc>
        <w:tc>
          <w:tcPr>
            <w:tcW w:w="3810" w:type="dxa"/>
            <w:tcBorders>
              <w:tl2br w:val="nil"/>
              <w:tr2bl w:val="nil"/>
            </w:tcBorders>
            <w:noWrap w:val="0"/>
            <w:vAlign w:val="center"/>
          </w:tcPr>
          <w:p w14:paraId="0BA3355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肌红蛋白测定试剂盒（化学发光法）</w:t>
            </w:r>
          </w:p>
        </w:tc>
        <w:tc>
          <w:tcPr>
            <w:tcW w:w="3737" w:type="dxa"/>
            <w:tcBorders>
              <w:tl2br w:val="nil"/>
              <w:tr2bl w:val="nil"/>
            </w:tcBorders>
            <w:noWrap w:val="0"/>
            <w:vAlign w:val="center"/>
          </w:tcPr>
          <w:p w14:paraId="6A915C8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307704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03232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DEADC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1,390.00</w:t>
            </w:r>
          </w:p>
        </w:tc>
        <w:tc>
          <w:tcPr>
            <w:tcW w:w="1434" w:type="dxa"/>
            <w:tcBorders>
              <w:tl2br w:val="nil"/>
              <w:tr2bl w:val="nil"/>
            </w:tcBorders>
            <w:noWrap w:val="0"/>
            <w:vAlign w:val="center"/>
          </w:tcPr>
          <w:p w14:paraId="6C3110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51B7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A8801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28</w:t>
            </w:r>
          </w:p>
        </w:tc>
        <w:tc>
          <w:tcPr>
            <w:tcW w:w="3810" w:type="dxa"/>
            <w:tcBorders>
              <w:tl2br w:val="nil"/>
              <w:tr2bl w:val="nil"/>
            </w:tcBorders>
            <w:noWrap w:val="0"/>
            <w:vAlign w:val="center"/>
          </w:tcPr>
          <w:p w14:paraId="31DFA8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甲状旁腺激素测定试剂盒（化学发光法）</w:t>
            </w:r>
          </w:p>
        </w:tc>
        <w:tc>
          <w:tcPr>
            <w:tcW w:w="3737" w:type="dxa"/>
            <w:tcBorders>
              <w:tl2br w:val="nil"/>
              <w:tr2bl w:val="nil"/>
            </w:tcBorders>
            <w:noWrap w:val="0"/>
            <w:vAlign w:val="center"/>
          </w:tcPr>
          <w:p w14:paraId="5200F4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6985B8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90AEF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5A2376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1,480.00</w:t>
            </w:r>
          </w:p>
        </w:tc>
        <w:tc>
          <w:tcPr>
            <w:tcW w:w="1434" w:type="dxa"/>
            <w:tcBorders>
              <w:tl2br w:val="nil"/>
              <w:tr2bl w:val="nil"/>
            </w:tcBorders>
            <w:noWrap w:val="0"/>
            <w:vAlign w:val="center"/>
          </w:tcPr>
          <w:p w14:paraId="4A2F47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C047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E0165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29</w:t>
            </w:r>
          </w:p>
        </w:tc>
        <w:tc>
          <w:tcPr>
            <w:tcW w:w="3810" w:type="dxa"/>
            <w:tcBorders>
              <w:tl2br w:val="nil"/>
              <w:tr2bl w:val="nil"/>
            </w:tcBorders>
            <w:noWrap w:val="0"/>
            <w:vAlign w:val="center"/>
          </w:tcPr>
          <w:p w14:paraId="0662727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皮质醇测定试剂盒（化学发光法）</w:t>
            </w:r>
          </w:p>
        </w:tc>
        <w:tc>
          <w:tcPr>
            <w:tcW w:w="3737" w:type="dxa"/>
            <w:tcBorders>
              <w:tl2br w:val="nil"/>
              <w:tr2bl w:val="nil"/>
            </w:tcBorders>
            <w:noWrap w:val="0"/>
            <w:vAlign w:val="center"/>
          </w:tcPr>
          <w:p w14:paraId="694B1B5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5AF3CC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F20F2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554" w:type="dxa"/>
            <w:tcBorders>
              <w:tl2br w:val="nil"/>
              <w:tr2bl w:val="nil"/>
            </w:tcBorders>
            <w:noWrap w:val="0"/>
            <w:vAlign w:val="center"/>
          </w:tcPr>
          <w:p w14:paraId="1D9FBF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1,609.30</w:t>
            </w:r>
          </w:p>
        </w:tc>
        <w:tc>
          <w:tcPr>
            <w:tcW w:w="1434" w:type="dxa"/>
            <w:tcBorders>
              <w:tl2br w:val="nil"/>
              <w:tr2bl w:val="nil"/>
            </w:tcBorders>
            <w:noWrap w:val="0"/>
            <w:vAlign w:val="center"/>
          </w:tcPr>
          <w:p w14:paraId="7F00E8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80AF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25AA6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3810" w:type="dxa"/>
            <w:tcBorders>
              <w:tl2br w:val="nil"/>
              <w:tr2bl w:val="nil"/>
            </w:tcBorders>
            <w:noWrap w:val="0"/>
            <w:vAlign w:val="center"/>
          </w:tcPr>
          <w:p w14:paraId="6EFC35D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样本稀释液</w:t>
            </w:r>
          </w:p>
        </w:tc>
        <w:tc>
          <w:tcPr>
            <w:tcW w:w="3737" w:type="dxa"/>
            <w:tcBorders>
              <w:tl2br w:val="nil"/>
              <w:tr2bl w:val="nil"/>
            </w:tcBorders>
            <w:noWrap w:val="0"/>
            <w:vAlign w:val="center"/>
          </w:tcPr>
          <w:p w14:paraId="21186C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4*120ml</w:t>
            </w:r>
          </w:p>
        </w:tc>
        <w:tc>
          <w:tcPr>
            <w:tcW w:w="1375" w:type="dxa"/>
            <w:tcBorders>
              <w:tl2br w:val="nil"/>
              <w:tr2bl w:val="nil"/>
            </w:tcBorders>
            <w:noWrap w:val="0"/>
            <w:vAlign w:val="center"/>
          </w:tcPr>
          <w:p w14:paraId="63EBF5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A7C61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5C0256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343.20</w:t>
            </w:r>
          </w:p>
        </w:tc>
        <w:tc>
          <w:tcPr>
            <w:tcW w:w="1434" w:type="dxa"/>
            <w:tcBorders>
              <w:tl2br w:val="nil"/>
              <w:tr2bl w:val="nil"/>
            </w:tcBorders>
            <w:noWrap w:val="0"/>
            <w:vAlign w:val="center"/>
          </w:tcPr>
          <w:p w14:paraId="604162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D6F3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13F74E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31</w:t>
            </w:r>
          </w:p>
        </w:tc>
        <w:tc>
          <w:tcPr>
            <w:tcW w:w="3810" w:type="dxa"/>
            <w:tcBorders>
              <w:tl2br w:val="nil"/>
              <w:tr2bl w:val="nil"/>
            </w:tcBorders>
            <w:noWrap w:val="0"/>
            <w:vAlign w:val="center"/>
          </w:tcPr>
          <w:p w14:paraId="613CD4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补位C4检测试剂盒（散射比浊法）</w:t>
            </w:r>
          </w:p>
        </w:tc>
        <w:tc>
          <w:tcPr>
            <w:tcW w:w="3737" w:type="dxa"/>
            <w:tcBorders>
              <w:tl2br w:val="nil"/>
              <w:tr2bl w:val="nil"/>
            </w:tcBorders>
            <w:noWrap w:val="0"/>
            <w:vAlign w:val="center"/>
          </w:tcPr>
          <w:p w14:paraId="314027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773733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27FE1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25540B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1,210.00</w:t>
            </w:r>
          </w:p>
        </w:tc>
        <w:tc>
          <w:tcPr>
            <w:tcW w:w="1434" w:type="dxa"/>
            <w:tcBorders>
              <w:tl2br w:val="nil"/>
              <w:tr2bl w:val="nil"/>
            </w:tcBorders>
            <w:noWrap w:val="0"/>
            <w:vAlign w:val="center"/>
          </w:tcPr>
          <w:p w14:paraId="47A425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4197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903" w:type="dxa"/>
            <w:tcBorders>
              <w:tl2br w:val="nil"/>
              <w:tr2bl w:val="nil"/>
            </w:tcBorders>
            <w:noWrap w:val="0"/>
            <w:vAlign w:val="center"/>
          </w:tcPr>
          <w:p w14:paraId="0C3634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32</w:t>
            </w:r>
          </w:p>
        </w:tc>
        <w:tc>
          <w:tcPr>
            <w:tcW w:w="3810" w:type="dxa"/>
            <w:tcBorders>
              <w:tl2br w:val="nil"/>
              <w:tr2bl w:val="nil"/>
            </w:tcBorders>
            <w:noWrap w:val="0"/>
            <w:vAlign w:val="center"/>
          </w:tcPr>
          <w:p w14:paraId="221CFC5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补位C3检测试剂盒（散射比浊法）</w:t>
            </w:r>
          </w:p>
        </w:tc>
        <w:tc>
          <w:tcPr>
            <w:tcW w:w="3737" w:type="dxa"/>
            <w:tcBorders>
              <w:tl2br w:val="nil"/>
              <w:tr2bl w:val="nil"/>
            </w:tcBorders>
            <w:noWrap w:val="0"/>
            <w:vAlign w:val="center"/>
          </w:tcPr>
          <w:p w14:paraId="558A444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68E616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FE3BA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554" w:type="dxa"/>
            <w:tcBorders>
              <w:tl2br w:val="nil"/>
              <w:tr2bl w:val="nil"/>
            </w:tcBorders>
            <w:noWrap w:val="0"/>
            <w:vAlign w:val="center"/>
          </w:tcPr>
          <w:p w14:paraId="1E00E6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1,214.00</w:t>
            </w:r>
          </w:p>
        </w:tc>
        <w:tc>
          <w:tcPr>
            <w:tcW w:w="1434" w:type="dxa"/>
            <w:tcBorders>
              <w:tl2br w:val="nil"/>
              <w:tr2bl w:val="nil"/>
            </w:tcBorders>
            <w:noWrap w:val="0"/>
            <w:vAlign w:val="center"/>
          </w:tcPr>
          <w:p w14:paraId="293FBE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2F57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3FCE8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33</w:t>
            </w:r>
          </w:p>
        </w:tc>
        <w:tc>
          <w:tcPr>
            <w:tcW w:w="3810" w:type="dxa"/>
            <w:tcBorders>
              <w:tl2br w:val="nil"/>
              <w:tr2bl w:val="nil"/>
            </w:tcBorders>
            <w:noWrap w:val="0"/>
            <w:vAlign w:val="center"/>
          </w:tcPr>
          <w:p w14:paraId="65F16A0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类风湿因子检测试剂盒（散射比浊法）</w:t>
            </w:r>
          </w:p>
        </w:tc>
        <w:tc>
          <w:tcPr>
            <w:tcW w:w="3737" w:type="dxa"/>
            <w:tcBorders>
              <w:tl2br w:val="nil"/>
              <w:tr2bl w:val="nil"/>
            </w:tcBorders>
            <w:noWrap w:val="0"/>
            <w:vAlign w:val="center"/>
          </w:tcPr>
          <w:p w14:paraId="3ED6E9F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61A8FA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06B51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554" w:type="dxa"/>
            <w:tcBorders>
              <w:tl2br w:val="nil"/>
              <w:tr2bl w:val="nil"/>
            </w:tcBorders>
            <w:noWrap w:val="0"/>
            <w:vAlign w:val="center"/>
          </w:tcPr>
          <w:p w14:paraId="3AFA1A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1,419.60</w:t>
            </w:r>
          </w:p>
        </w:tc>
        <w:tc>
          <w:tcPr>
            <w:tcW w:w="1434" w:type="dxa"/>
            <w:tcBorders>
              <w:tl2br w:val="nil"/>
              <w:tr2bl w:val="nil"/>
            </w:tcBorders>
            <w:noWrap w:val="0"/>
            <w:vAlign w:val="center"/>
          </w:tcPr>
          <w:p w14:paraId="16E985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34CD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49A1B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34</w:t>
            </w:r>
          </w:p>
        </w:tc>
        <w:tc>
          <w:tcPr>
            <w:tcW w:w="3810" w:type="dxa"/>
            <w:tcBorders>
              <w:tl2br w:val="nil"/>
              <w:tr2bl w:val="nil"/>
            </w:tcBorders>
            <w:noWrap w:val="0"/>
            <w:vAlign w:val="center"/>
          </w:tcPr>
          <w:p w14:paraId="747DDD6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抗链球菌溶血素O检测试剂盒（散射比浊法）</w:t>
            </w:r>
          </w:p>
        </w:tc>
        <w:tc>
          <w:tcPr>
            <w:tcW w:w="3737" w:type="dxa"/>
            <w:tcBorders>
              <w:tl2br w:val="nil"/>
              <w:tr2bl w:val="nil"/>
            </w:tcBorders>
            <w:noWrap w:val="0"/>
            <w:vAlign w:val="center"/>
          </w:tcPr>
          <w:p w14:paraId="1AEF74E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453873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BAB3A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554" w:type="dxa"/>
            <w:tcBorders>
              <w:tl2br w:val="nil"/>
              <w:tr2bl w:val="nil"/>
            </w:tcBorders>
            <w:noWrap w:val="0"/>
            <w:vAlign w:val="center"/>
          </w:tcPr>
          <w:p w14:paraId="706F93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2,081.95</w:t>
            </w:r>
          </w:p>
        </w:tc>
        <w:tc>
          <w:tcPr>
            <w:tcW w:w="1434" w:type="dxa"/>
            <w:tcBorders>
              <w:tl2br w:val="nil"/>
              <w:tr2bl w:val="nil"/>
            </w:tcBorders>
            <w:noWrap w:val="0"/>
            <w:vAlign w:val="center"/>
          </w:tcPr>
          <w:p w14:paraId="6F7FE0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9465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903" w:type="dxa"/>
            <w:tcBorders>
              <w:tl2br w:val="nil"/>
              <w:tr2bl w:val="nil"/>
            </w:tcBorders>
            <w:noWrap w:val="0"/>
            <w:vAlign w:val="center"/>
          </w:tcPr>
          <w:p w14:paraId="1A2DE6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35</w:t>
            </w:r>
          </w:p>
        </w:tc>
        <w:tc>
          <w:tcPr>
            <w:tcW w:w="3810" w:type="dxa"/>
            <w:tcBorders>
              <w:tl2br w:val="nil"/>
              <w:tr2bl w:val="nil"/>
            </w:tcBorders>
            <w:noWrap w:val="0"/>
            <w:vAlign w:val="center"/>
          </w:tcPr>
          <w:p w14:paraId="6AF88C1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免疫球蛋白G检测试剂盒（免疫比浊法）</w:t>
            </w:r>
          </w:p>
        </w:tc>
        <w:tc>
          <w:tcPr>
            <w:tcW w:w="3737" w:type="dxa"/>
            <w:tcBorders>
              <w:tl2br w:val="nil"/>
              <w:tr2bl w:val="nil"/>
            </w:tcBorders>
            <w:noWrap w:val="0"/>
            <w:vAlign w:val="center"/>
          </w:tcPr>
          <w:p w14:paraId="2627032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16CD70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33E1C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7D3CA8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1,277.90</w:t>
            </w:r>
          </w:p>
        </w:tc>
        <w:tc>
          <w:tcPr>
            <w:tcW w:w="1434" w:type="dxa"/>
            <w:tcBorders>
              <w:tl2br w:val="nil"/>
              <w:tr2bl w:val="nil"/>
            </w:tcBorders>
            <w:noWrap w:val="0"/>
            <w:vAlign w:val="center"/>
          </w:tcPr>
          <w:p w14:paraId="279F88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76FE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40D137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36</w:t>
            </w:r>
          </w:p>
        </w:tc>
        <w:tc>
          <w:tcPr>
            <w:tcW w:w="3810" w:type="dxa"/>
            <w:tcBorders>
              <w:tl2br w:val="nil"/>
              <w:tr2bl w:val="nil"/>
            </w:tcBorders>
            <w:noWrap w:val="0"/>
            <w:vAlign w:val="center"/>
          </w:tcPr>
          <w:p w14:paraId="649C66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脂肪酶测定试剂盒（色原底物法）</w:t>
            </w:r>
          </w:p>
        </w:tc>
        <w:tc>
          <w:tcPr>
            <w:tcW w:w="3737" w:type="dxa"/>
            <w:tcBorders>
              <w:tl2br w:val="nil"/>
              <w:tr2bl w:val="nil"/>
            </w:tcBorders>
            <w:noWrap w:val="0"/>
            <w:vAlign w:val="center"/>
          </w:tcPr>
          <w:p w14:paraId="0191D7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试剂1缓冲液（R1 Buffer）:4*10ml 试剂1冻干粉</w:t>
            </w:r>
          </w:p>
        </w:tc>
        <w:tc>
          <w:tcPr>
            <w:tcW w:w="1375" w:type="dxa"/>
            <w:tcBorders>
              <w:tl2br w:val="nil"/>
              <w:tr2bl w:val="nil"/>
            </w:tcBorders>
            <w:noWrap w:val="0"/>
            <w:vAlign w:val="center"/>
          </w:tcPr>
          <w:p w14:paraId="20249F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87861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8E194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1,400.00</w:t>
            </w:r>
          </w:p>
        </w:tc>
        <w:tc>
          <w:tcPr>
            <w:tcW w:w="1434" w:type="dxa"/>
            <w:tcBorders>
              <w:tl2br w:val="nil"/>
              <w:tr2bl w:val="nil"/>
            </w:tcBorders>
            <w:noWrap w:val="0"/>
            <w:vAlign w:val="center"/>
          </w:tcPr>
          <w:p w14:paraId="240645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1B71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3ED7F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37</w:t>
            </w:r>
          </w:p>
        </w:tc>
        <w:tc>
          <w:tcPr>
            <w:tcW w:w="3810" w:type="dxa"/>
            <w:tcBorders>
              <w:tl2br w:val="nil"/>
              <w:tr2bl w:val="nil"/>
            </w:tcBorders>
            <w:noWrap w:val="0"/>
            <w:vAlign w:val="center"/>
          </w:tcPr>
          <w:p w14:paraId="71F64DF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电解质标准液（高值）</w:t>
            </w:r>
          </w:p>
        </w:tc>
        <w:tc>
          <w:tcPr>
            <w:tcW w:w="3737" w:type="dxa"/>
            <w:tcBorders>
              <w:tl2br w:val="nil"/>
              <w:tr2bl w:val="nil"/>
            </w:tcBorders>
            <w:noWrap w:val="0"/>
            <w:vAlign w:val="center"/>
          </w:tcPr>
          <w:p w14:paraId="193E703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4*100ml</w:t>
            </w:r>
          </w:p>
        </w:tc>
        <w:tc>
          <w:tcPr>
            <w:tcW w:w="1375" w:type="dxa"/>
            <w:tcBorders>
              <w:tl2br w:val="nil"/>
              <w:tr2bl w:val="nil"/>
            </w:tcBorders>
            <w:noWrap w:val="0"/>
            <w:vAlign w:val="center"/>
          </w:tcPr>
          <w:p w14:paraId="5B426F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AA1B4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42614C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345.00</w:t>
            </w:r>
          </w:p>
        </w:tc>
        <w:tc>
          <w:tcPr>
            <w:tcW w:w="1434" w:type="dxa"/>
            <w:tcBorders>
              <w:tl2br w:val="nil"/>
              <w:tr2bl w:val="nil"/>
            </w:tcBorders>
            <w:noWrap w:val="0"/>
            <w:vAlign w:val="center"/>
          </w:tcPr>
          <w:p w14:paraId="1C2115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72E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0E5AD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38</w:t>
            </w:r>
          </w:p>
        </w:tc>
        <w:tc>
          <w:tcPr>
            <w:tcW w:w="3810" w:type="dxa"/>
            <w:tcBorders>
              <w:tl2br w:val="nil"/>
              <w:tr2bl w:val="nil"/>
            </w:tcBorders>
            <w:noWrap w:val="0"/>
            <w:vAlign w:val="center"/>
          </w:tcPr>
          <w:p w14:paraId="5B11276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白介素6测定试剂盒（化学发光法）</w:t>
            </w:r>
          </w:p>
        </w:tc>
        <w:tc>
          <w:tcPr>
            <w:tcW w:w="3737" w:type="dxa"/>
            <w:tcBorders>
              <w:tl2br w:val="nil"/>
              <w:tr2bl w:val="nil"/>
            </w:tcBorders>
            <w:noWrap w:val="0"/>
            <w:vAlign w:val="center"/>
          </w:tcPr>
          <w:p w14:paraId="7CC06D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2*50个测试/盒</w:t>
            </w:r>
          </w:p>
        </w:tc>
        <w:tc>
          <w:tcPr>
            <w:tcW w:w="1375" w:type="dxa"/>
            <w:tcBorders>
              <w:tl2br w:val="nil"/>
              <w:tr2bl w:val="nil"/>
            </w:tcBorders>
            <w:noWrap w:val="0"/>
            <w:vAlign w:val="center"/>
          </w:tcPr>
          <w:p w14:paraId="5DD52D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2A335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409D98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2,400.00</w:t>
            </w:r>
          </w:p>
        </w:tc>
        <w:tc>
          <w:tcPr>
            <w:tcW w:w="1434" w:type="dxa"/>
            <w:tcBorders>
              <w:tl2br w:val="nil"/>
              <w:tr2bl w:val="nil"/>
            </w:tcBorders>
            <w:noWrap w:val="0"/>
            <w:vAlign w:val="center"/>
          </w:tcPr>
          <w:p w14:paraId="54444C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85C8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7C248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39</w:t>
            </w:r>
          </w:p>
        </w:tc>
        <w:tc>
          <w:tcPr>
            <w:tcW w:w="3810" w:type="dxa"/>
            <w:tcBorders>
              <w:tl2br w:val="nil"/>
              <w:tr2bl w:val="nil"/>
            </w:tcBorders>
            <w:noWrap w:val="0"/>
            <w:vAlign w:val="center"/>
          </w:tcPr>
          <w:p w14:paraId="4650351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胰岛素测定试剂盒（化学发光法）</w:t>
            </w:r>
          </w:p>
        </w:tc>
        <w:tc>
          <w:tcPr>
            <w:tcW w:w="3737" w:type="dxa"/>
            <w:tcBorders>
              <w:tl2br w:val="nil"/>
              <w:tr2bl w:val="nil"/>
            </w:tcBorders>
            <w:noWrap w:val="0"/>
            <w:vAlign w:val="center"/>
          </w:tcPr>
          <w:p w14:paraId="7658873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w:t>
            </w:r>
          </w:p>
        </w:tc>
        <w:tc>
          <w:tcPr>
            <w:tcW w:w="1375" w:type="dxa"/>
            <w:tcBorders>
              <w:tl2br w:val="nil"/>
              <w:tr2bl w:val="nil"/>
            </w:tcBorders>
            <w:noWrap w:val="0"/>
            <w:vAlign w:val="center"/>
          </w:tcPr>
          <w:p w14:paraId="466193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8003F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50E6C0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1,445.50</w:t>
            </w:r>
          </w:p>
        </w:tc>
        <w:tc>
          <w:tcPr>
            <w:tcW w:w="1434" w:type="dxa"/>
            <w:tcBorders>
              <w:tl2br w:val="nil"/>
              <w:tr2bl w:val="nil"/>
            </w:tcBorders>
            <w:noWrap w:val="0"/>
            <w:vAlign w:val="center"/>
          </w:tcPr>
          <w:p w14:paraId="1E53B4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1F19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DC46C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40</w:t>
            </w:r>
          </w:p>
        </w:tc>
        <w:tc>
          <w:tcPr>
            <w:tcW w:w="3810" w:type="dxa"/>
            <w:tcBorders>
              <w:tl2br w:val="nil"/>
              <w:tr2bl w:val="nil"/>
            </w:tcBorders>
            <w:noWrap w:val="0"/>
            <w:vAlign w:val="center"/>
          </w:tcPr>
          <w:p w14:paraId="6A827C3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前列腺特异性抗原测定试剂盒（化学发光法）</w:t>
            </w:r>
          </w:p>
        </w:tc>
        <w:tc>
          <w:tcPr>
            <w:tcW w:w="3737" w:type="dxa"/>
            <w:tcBorders>
              <w:tl2br w:val="nil"/>
              <w:tr2bl w:val="nil"/>
            </w:tcBorders>
            <w:noWrap w:val="0"/>
            <w:vAlign w:val="center"/>
          </w:tcPr>
          <w:p w14:paraId="3F20A39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100测试：2*50个测试/盒</w:t>
            </w:r>
          </w:p>
        </w:tc>
        <w:tc>
          <w:tcPr>
            <w:tcW w:w="1375" w:type="dxa"/>
            <w:tcBorders>
              <w:tl2br w:val="nil"/>
              <w:tr2bl w:val="nil"/>
            </w:tcBorders>
            <w:noWrap w:val="0"/>
            <w:vAlign w:val="center"/>
          </w:tcPr>
          <w:p w14:paraId="5DBB58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80EE6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07FA06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2,460.00</w:t>
            </w:r>
          </w:p>
        </w:tc>
        <w:tc>
          <w:tcPr>
            <w:tcW w:w="1434" w:type="dxa"/>
            <w:tcBorders>
              <w:tl2br w:val="nil"/>
              <w:tr2bl w:val="nil"/>
            </w:tcBorders>
            <w:noWrap w:val="0"/>
            <w:vAlign w:val="center"/>
          </w:tcPr>
          <w:p w14:paraId="30FF7C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7F79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57A49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w:t>
            </w:r>
          </w:p>
        </w:tc>
        <w:tc>
          <w:tcPr>
            <w:tcW w:w="3810" w:type="dxa"/>
            <w:tcBorders>
              <w:tl2br w:val="nil"/>
              <w:tr2bl w:val="nil"/>
            </w:tcBorders>
            <w:noWrap w:val="0"/>
            <w:vAlign w:val="center"/>
          </w:tcPr>
          <w:p w14:paraId="1D3B7CA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游离前列腺特异性抗原测定试剂盒（化学发光法）</w:t>
            </w:r>
          </w:p>
        </w:tc>
        <w:tc>
          <w:tcPr>
            <w:tcW w:w="3737" w:type="dxa"/>
            <w:tcBorders>
              <w:tl2br w:val="nil"/>
              <w:tr2bl w:val="nil"/>
            </w:tcBorders>
            <w:noWrap w:val="0"/>
            <w:vAlign w:val="center"/>
          </w:tcPr>
          <w:p w14:paraId="1D96B7A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100测试：2*50个测试/盒</w:t>
            </w:r>
          </w:p>
        </w:tc>
        <w:tc>
          <w:tcPr>
            <w:tcW w:w="1375" w:type="dxa"/>
            <w:tcBorders>
              <w:tl2br w:val="nil"/>
              <w:tr2bl w:val="nil"/>
            </w:tcBorders>
            <w:noWrap w:val="0"/>
            <w:vAlign w:val="center"/>
          </w:tcPr>
          <w:p w14:paraId="11D51E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5421B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07FCE2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2,460.00</w:t>
            </w:r>
          </w:p>
        </w:tc>
        <w:tc>
          <w:tcPr>
            <w:tcW w:w="1434" w:type="dxa"/>
            <w:tcBorders>
              <w:tl2br w:val="nil"/>
              <w:tr2bl w:val="nil"/>
            </w:tcBorders>
            <w:noWrap w:val="0"/>
            <w:vAlign w:val="center"/>
          </w:tcPr>
          <w:p w14:paraId="24A62D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3491A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8F8DC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42</w:t>
            </w:r>
          </w:p>
        </w:tc>
        <w:tc>
          <w:tcPr>
            <w:tcW w:w="3810" w:type="dxa"/>
            <w:tcBorders>
              <w:tl2br w:val="nil"/>
              <w:tr2bl w:val="nil"/>
            </w:tcBorders>
            <w:noWrap w:val="0"/>
            <w:vAlign w:val="center"/>
          </w:tcPr>
          <w:p w14:paraId="1BE9019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糖类抗原19-9检测试剂盒（化学发光法）</w:t>
            </w:r>
          </w:p>
        </w:tc>
        <w:tc>
          <w:tcPr>
            <w:tcW w:w="3737" w:type="dxa"/>
            <w:tcBorders>
              <w:tl2br w:val="nil"/>
              <w:tr2bl w:val="nil"/>
            </w:tcBorders>
            <w:noWrap w:val="0"/>
            <w:vAlign w:val="center"/>
          </w:tcPr>
          <w:p w14:paraId="3A671D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660CCA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01E0E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554" w:type="dxa"/>
            <w:tcBorders>
              <w:tl2br w:val="nil"/>
              <w:tr2bl w:val="nil"/>
            </w:tcBorders>
            <w:noWrap w:val="0"/>
            <w:vAlign w:val="center"/>
          </w:tcPr>
          <w:p w14:paraId="5A6C23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2,173.00</w:t>
            </w:r>
          </w:p>
        </w:tc>
        <w:tc>
          <w:tcPr>
            <w:tcW w:w="1434" w:type="dxa"/>
            <w:tcBorders>
              <w:tl2br w:val="nil"/>
              <w:tr2bl w:val="nil"/>
            </w:tcBorders>
            <w:noWrap w:val="0"/>
            <w:vAlign w:val="center"/>
          </w:tcPr>
          <w:p w14:paraId="0457EA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是</w:t>
            </w:r>
          </w:p>
        </w:tc>
      </w:tr>
      <w:tr w14:paraId="35EA7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84751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43</w:t>
            </w:r>
          </w:p>
        </w:tc>
        <w:tc>
          <w:tcPr>
            <w:tcW w:w="3810" w:type="dxa"/>
            <w:tcBorders>
              <w:tl2br w:val="nil"/>
              <w:tr2bl w:val="nil"/>
            </w:tcBorders>
            <w:noWrap w:val="0"/>
            <w:vAlign w:val="center"/>
          </w:tcPr>
          <w:p w14:paraId="6F5F5A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抗甲状腺过氧化物酶抗体测定试剂盒（化学发光法）</w:t>
            </w:r>
          </w:p>
        </w:tc>
        <w:tc>
          <w:tcPr>
            <w:tcW w:w="3737" w:type="dxa"/>
            <w:tcBorders>
              <w:tl2br w:val="nil"/>
              <w:tr2bl w:val="nil"/>
            </w:tcBorders>
            <w:noWrap w:val="0"/>
            <w:vAlign w:val="center"/>
          </w:tcPr>
          <w:p w14:paraId="461A020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278797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70405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554" w:type="dxa"/>
            <w:tcBorders>
              <w:tl2br w:val="nil"/>
              <w:tr2bl w:val="nil"/>
            </w:tcBorders>
            <w:noWrap w:val="0"/>
            <w:vAlign w:val="center"/>
          </w:tcPr>
          <w:p w14:paraId="5D3C4D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1,401.00</w:t>
            </w:r>
          </w:p>
        </w:tc>
        <w:tc>
          <w:tcPr>
            <w:tcW w:w="1434" w:type="dxa"/>
            <w:tcBorders>
              <w:tl2br w:val="nil"/>
              <w:tr2bl w:val="nil"/>
            </w:tcBorders>
            <w:noWrap w:val="0"/>
            <w:vAlign w:val="center"/>
          </w:tcPr>
          <w:p w14:paraId="779E80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是</w:t>
            </w:r>
          </w:p>
        </w:tc>
      </w:tr>
      <w:tr w14:paraId="02E1A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B5AE5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44</w:t>
            </w:r>
          </w:p>
        </w:tc>
        <w:tc>
          <w:tcPr>
            <w:tcW w:w="3810" w:type="dxa"/>
            <w:tcBorders>
              <w:tl2br w:val="nil"/>
              <w:tr2bl w:val="nil"/>
            </w:tcBorders>
            <w:noWrap w:val="0"/>
            <w:vAlign w:val="center"/>
          </w:tcPr>
          <w:p w14:paraId="228B073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甲状腺摄取测定试剂盒（化学发光法）</w:t>
            </w:r>
          </w:p>
        </w:tc>
        <w:tc>
          <w:tcPr>
            <w:tcW w:w="3737" w:type="dxa"/>
            <w:tcBorders>
              <w:tl2br w:val="nil"/>
              <w:tr2bl w:val="nil"/>
            </w:tcBorders>
            <w:noWrap w:val="0"/>
            <w:vAlign w:val="center"/>
          </w:tcPr>
          <w:p w14:paraId="1B3C7F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w:t>
            </w:r>
          </w:p>
        </w:tc>
        <w:tc>
          <w:tcPr>
            <w:tcW w:w="1375" w:type="dxa"/>
            <w:tcBorders>
              <w:tl2br w:val="nil"/>
              <w:tr2bl w:val="nil"/>
            </w:tcBorders>
            <w:noWrap w:val="0"/>
            <w:vAlign w:val="center"/>
          </w:tcPr>
          <w:p w14:paraId="09D79C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E0393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CD255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1,157.00</w:t>
            </w:r>
          </w:p>
        </w:tc>
        <w:tc>
          <w:tcPr>
            <w:tcW w:w="1434" w:type="dxa"/>
            <w:tcBorders>
              <w:tl2br w:val="nil"/>
              <w:tr2bl w:val="nil"/>
            </w:tcBorders>
            <w:noWrap w:val="0"/>
            <w:vAlign w:val="center"/>
          </w:tcPr>
          <w:p w14:paraId="286609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F72D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882D0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c>
          <w:tcPr>
            <w:tcW w:w="3810" w:type="dxa"/>
            <w:tcBorders>
              <w:tl2br w:val="nil"/>
              <w:tr2bl w:val="nil"/>
            </w:tcBorders>
            <w:noWrap w:val="0"/>
            <w:vAlign w:val="center"/>
          </w:tcPr>
          <w:p w14:paraId="147800E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蛋白质控品</w:t>
            </w:r>
          </w:p>
        </w:tc>
        <w:tc>
          <w:tcPr>
            <w:tcW w:w="3737" w:type="dxa"/>
            <w:tcBorders>
              <w:tl2br w:val="nil"/>
              <w:tr2bl w:val="nil"/>
            </w:tcBorders>
            <w:noWrap w:val="0"/>
            <w:vAlign w:val="center"/>
          </w:tcPr>
          <w:p w14:paraId="4BE89B9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水平2:4瓶*5ml；</w:t>
            </w:r>
          </w:p>
        </w:tc>
        <w:tc>
          <w:tcPr>
            <w:tcW w:w="1375" w:type="dxa"/>
            <w:tcBorders>
              <w:tl2br w:val="nil"/>
              <w:tr2bl w:val="nil"/>
            </w:tcBorders>
            <w:noWrap w:val="0"/>
            <w:vAlign w:val="center"/>
          </w:tcPr>
          <w:p w14:paraId="2837FE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D80CB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25F8E8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894.50</w:t>
            </w:r>
          </w:p>
        </w:tc>
        <w:tc>
          <w:tcPr>
            <w:tcW w:w="1434" w:type="dxa"/>
            <w:tcBorders>
              <w:tl2br w:val="nil"/>
              <w:tr2bl w:val="nil"/>
            </w:tcBorders>
            <w:noWrap w:val="0"/>
            <w:vAlign w:val="center"/>
          </w:tcPr>
          <w:p w14:paraId="4E861A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A414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C3174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46</w:t>
            </w:r>
          </w:p>
        </w:tc>
        <w:tc>
          <w:tcPr>
            <w:tcW w:w="3810" w:type="dxa"/>
            <w:tcBorders>
              <w:tl2br w:val="nil"/>
              <w:tr2bl w:val="nil"/>
            </w:tcBorders>
            <w:noWrap w:val="0"/>
            <w:vAlign w:val="center"/>
          </w:tcPr>
          <w:p w14:paraId="00B2586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免疫球蛋白M检测试剂盒（散射比浊法）</w:t>
            </w:r>
          </w:p>
        </w:tc>
        <w:tc>
          <w:tcPr>
            <w:tcW w:w="3737" w:type="dxa"/>
            <w:tcBorders>
              <w:tl2br w:val="nil"/>
              <w:tr2bl w:val="nil"/>
            </w:tcBorders>
            <w:noWrap w:val="0"/>
            <w:vAlign w:val="center"/>
          </w:tcPr>
          <w:p w14:paraId="023CF0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04D91C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391A2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554" w:type="dxa"/>
            <w:tcBorders>
              <w:tl2br w:val="nil"/>
              <w:tr2bl w:val="nil"/>
            </w:tcBorders>
            <w:noWrap w:val="0"/>
            <w:vAlign w:val="center"/>
          </w:tcPr>
          <w:p w14:paraId="1AB535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1,214.00</w:t>
            </w:r>
          </w:p>
        </w:tc>
        <w:tc>
          <w:tcPr>
            <w:tcW w:w="1434" w:type="dxa"/>
            <w:tcBorders>
              <w:tl2br w:val="nil"/>
              <w:tr2bl w:val="nil"/>
            </w:tcBorders>
            <w:noWrap w:val="0"/>
            <w:vAlign w:val="center"/>
          </w:tcPr>
          <w:p w14:paraId="071111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31BE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DF231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47</w:t>
            </w:r>
          </w:p>
        </w:tc>
        <w:tc>
          <w:tcPr>
            <w:tcW w:w="3810" w:type="dxa"/>
            <w:tcBorders>
              <w:tl2br w:val="nil"/>
              <w:tr2bl w:val="nil"/>
            </w:tcBorders>
            <w:noWrap w:val="0"/>
            <w:vAlign w:val="center"/>
          </w:tcPr>
          <w:p w14:paraId="6C039A1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补体C3检测试剂盒（散射比浊法）</w:t>
            </w:r>
          </w:p>
        </w:tc>
        <w:tc>
          <w:tcPr>
            <w:tcW w:w="3737" w:type="dxa"/>
            <w:tcBorders>
              <w:tl2br w:val="nil"/>
              <w:tr2bl w:val="nil"/>
            </w:tcBorders>
            <w:noWrap w:val="0"/>
            <w:vAlign w:val="center"/>
          </w:tcPr>
          <w:p w14:paraId="3BC227E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639A0B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57FD5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D95D4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1,214.00</w:t>
            </w:r>
          </w:p>
        </w:tc>
        <w:tc>
          <w:tcPr>
            <w:tcW w:w="1434" w:type="dxa"/>
            <w:tcBorders>
              <w:tl2br w:val="nil"/>
              <w:tr2bl w:val="nil"/>
            </w:tcBorders>
            <w:noWrap w:val="0"/>
            <w:vAlign w:val="center"/>
          </w:tcPr>
          <w:p w14:paraId="6DD958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88B9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35812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48</w:t>
            </w:r>
          </w:p>
        </w:tc>
        <w:tc>
          <w:tcPr>
            <w:tcW w:w="3810" w:type="dxa"/>
            <w:tcBorders>
              <w:tl2br w:val="nil"/>
              <w:tr2bl w:val="nil"/>
            </w:tcBorders>
            <w:noWrap w:val="0"/>
            <w:vAlign w:val="center"/>
          </w:tcPr>
          <w:p w14:paraId="532699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转铁蛋白检测试剂盒（免疫比浊发）</w:t>
            </w:r>
          </w:p>
        </w:tc>
        <w:tc>
          <w:tcPr>
            <w:tcW w:w="3737" w:type="dxa"/>
            <w:tcBorders>
              <w:tl2br w:val="nil"/>
              <w:tr2bl w:val="nil"/>
            </w:tcBorders>
            <w:noWrap w:val="0"/>
            <w:vAlign w:val="center"/>
          </w:tcPr>
          <w:p w14:paraId="1B29620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150测试/盒</w:t>
            </w:r>
          </w:p>
        </w:tc>
        <w:tc>
          <w:tcPr>
            <w:tcW w:w="1375" w:type="dxa"/>
            <w:tcBorders>
              <w:tl2br w:val="nil"/>
              <w:tr2bl w:val="nil"/>
            </w:tcBorders>
            <w:noWrap w:val="0"/>
            <w:vAlign w:val="center"/>
          </w:tcPr>
          <w:p w14:paraId="7BF77E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C6483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428599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789.00</w:t>
            </w:r>
          </w:p>
        </w:tc>
        <w:tc>
          <w:tcPr>
            <w:tcW w:w="1434" w:type="dxa"/>
            <w:tcBorders>
              <w:tl2br w:val="nil"/>
              <w:tr2bl w:val="nil"/>
            </w:tcBorders>
            <w:noWrap w:val="0"/>
            <w:vAlign w:val="center"/>
          </w:tcPr>
          <w:p w14:paraId="18A0E4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957C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B687E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49</w:t>
            </w:r>
          </w:p>
        </w:tc>
        <w:tc>
          <w:tcPr>
            <w:tcW w:w="3810" w:type="dxa"/>
            <w:tcBorders>
              <w:tl2br w:val="nil"/>
              <w:tr2bl w:val="nil"/>
            </w:tcBorders>
            <w:noWrap w:val="0"/>
            <w:vAlign w:val="center"/>
          </w:tcPr>
          <w:p w14:paraId="5B1E2D0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铜蓝蛋白检测试剂盒（免疫比浊发）</w:t>
            </w:r>
          </w:p>
        </w:tc>
        <w:tc>
          <w:tcPr>
            <w:tcW w:w="3737" w:type="dxa"/>
            <w:tcBorders>
              <w:tl2br w:val="nil"/>
              <w:tr2bl w:val="nil"/>
            </w:tcBorders>
            <w:noWrap w:val="0"/>
            <w:vAlign w:val="center"/>
          </w:tcPr>
          <w:p w14:paraId="384E815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150测试/盒</w:t>
            </w:r>
          </w:p>
        </w:tc>
        <w:tc>
          <w:tcPr>
            <w:tcW w:w="1375" w:type="dxa"/>
            <w:tcBorders>
              <w:tl2br w:val="nil"/>
              <w:tr2bl w:val="nil"/>
            </w:tcBorders>
            <w:noWrap w:val="0"/>
            <w:vAlign w:val="center"/>
          </w:tcPr>
          <w:p w14:paraId="6AF768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31989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2D96F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1,419.60</w:t>
            </w:r>
          </w:p>
        </w:tc>
        <w:tc>
          <w:tcPr>
            <w:tcW w:w="1434" w:type="dxa"/>
            <w:tcBorders>
              <w:tl2br w:val="nil"/>
              <w:tr2bl w:val="nil"/>
            </w:tcBorders>
            <w:noWrap w:val="0"/>
            <w:vAlign w:val="center"/>
          </w:tcPr>
          <w:p w14:paraId="71CB4B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33C38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9ABB0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c>
          <w:tcPr>
            <w:tcW w:w="3810" w:type="dxa"/>
            <w:tcBorders>
              <w:tl2br w:val="nil"/>
              <w:tr2bl w:val="nil"/>
            </w:tcBorders>
            <w:noWrap w:val="0"/>
            <w:vAlign w:val="center"/>
          </w:tcPr>
          <w:p w14:paraId="3BD02A4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载脂蛋白校准品</w:t>
            </w:r>
          </w:p>
        </w:tc>
        <w:tc>
          <w:tcPr>
            <w:tcW w:w="3737" w:type="dxa"/>
            <w:tcBorders>
              <w:tl2br w:val="nil"/>
              <w:tr2bl w:val="nil"/>
            </w:tcBorders>
            <w:noWrap w:val="0"/>
            <w:vAlign w:val="center"/>
          </w:tcPr>
          <w:p w14:paraId="490632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水平1-5各：1*2ml</w:t>
            </w:r>
          </w:p>
        </w:tc>
        <w:tc>
          <w:tcPr>
            <w:tcW w:w="1375" w:type="dxa"/>
            <w:tcBorders>
              <w:tl2br w:val="nil"/>
              <w:tr2bl w:val="nil"/>
            </w:tcBorders>
            <w:noWrap w:val="0"/>
            <w:vAlign w:val="center"/>
          </w:tcPr>
          <w:p w14:paraId="7ECC6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8D44A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3FA2DD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3,340.00</w:t>
            </w:r>
          </w:p>
        </w:tc>
        <w:tc>
          <w:tcPr>
            <w:tcW w:w="1434" w:type="dxa"/>
            <w:tcBorders>
              <w:tl2br w:val="nil"/>
              <w:tr2bl w:val="nil"/>
            </w:tcBorders>
            <w:noWrap w:val="0"/>
            <w:vAlign w:val="center"/>
          </w:tcPr>
          <w:p w14:paraId="128ACB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8999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5CD10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51</w:t>
            </w:r>
          </w:p>
        </w:tc>
        <w:tc>
          <w:tcPr>
            <w:tcW w:w="3810" w:type="dxa"/>
            <w:tcBorders>
              <w:tl2br w:val="nil"/>
              <w:tr2bl w:val="nil"/>
            </w:tcBorders>
            <w:noWrap w:val="0"/>
            <w:vAlign w:val="center"/>
          </w:tcPr>
          <w:p w14:paraId="401F90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补体C4检测试剂盒（散射比浊法）</w:t>
            </w:r>
          </w:p>
        </w:tc>
        <w:tc>
          <w:tcPr>
            <w:tcW w:w="3737" w:type="dxa"/>
            <w:tcBorders>
              <w:tl2br w:val="nil"/>
              <w:tr2bl w:val="nil"/>
            </w:tcBorders>
            <w:noWrap w:val="0"/>
            <w:vAlign w:val="center"/>
          </w:tcPr>
          <w:p w14:paraId="603ADD9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657EA2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37759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554" w:type="dxa"/>
            <w:tcBorders>
              <w:tl2br w:val="nil"/>
              <w:tr2bl w:val="nil"/>
            </w:tcBorders>
            <w:noWrap w:val="0"/>
            <w:vAlign w:val="center"/>
          </w:tcPr>
          <w:p w14:paraId="5A9626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1,210.00</w:t>
            </w:r>
          </w:p>
        </w:tc>
        <w:tc>
          <w:tcPr>
            <w:tcW w:w="1434" w:type="dxa"/>
            <w:tcBorders>
              <w:tl2br w:val="nil"/>
              <w:tr2bl w:val="nil"/>
            </w:tcBorders>
            <w:noWrap w:val="0"/>
            <w:vAlign w:val="center"/>
          </w:tcPr>
          <w:p w14:paraId="090779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7FEC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72C5E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52</w:t>
            </w:r>
          </w:p>
        </w:tc>
        <w:tc>
          <w:tcPr>
            <w:tcW w:w="3810" w:type="dxa"/>
            <w:tcBorders>
              <w:tl2br w:val="nil"/>
              <w:tr2bl w:val="nil"/>
            </w:tcBorders>
            <w:noWrap w:val="0"/>
            <w:vAlign w:val="center"/>
          </w:tcPr>
          <w:p w14:paraId="766C2F8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k轻链检测试剂盒（免疫比浊法）</w:t>
            </w:r>
          </w:p>
        </w:tc>
        <w:tc>
          <w:tcPr>
            <w:tcW w:w="3737" w:type="dxa"/>
            <w:tcBorders>
              <w:tl2br w:val="nil"/>
              <w:tr2bl w:val="nil"/>
            </w:tcBorders>
            <w:noWrap w:val="0"/>
            <w:vAlign w:val="center"/>
          </w:tcPr>
          <w:p w14:paraId="672FDC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150测试/盒</w:t>
            </w:r>
          </w:p>
        </w:tc>
        <w:tc>
          <w:tcPr>
            <w:tcW w:w="1375" w:type="dxa"/>
            <w:tcBorders>
              <w:tl2br w:val="nil"/>
              <w:tr2bl w:val="nil"/>
            </w:tcBorders>
            <w:noWrap w:val="0"/>
            <w:vAlign w:val="center"/>
          </w:tcPr>
          <w:p w14:paraId="7D268D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C60BB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554" w:type="dxa"/>
            <w:tcBorders>
              <w:tl2br w:val="nil"/>
              <w:tr2bl w:val="nil"/>
            </w:tcBorders>
            <w:noWrap w:val="0"/>
            <w:vAlign w:val="center"/>
          </w:tcPr>
          <w:p w14:paraId="6566C4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1,135.55</w:t>
            </w:r>
          </w:p>
        </w:tc>
        <w:tc>
          <w:tcPr>
            <w:tcW w:w="1434" w:type="dxa"/>
            <w:tcBorders>
              <w:tl2br w:val="nil"/>
              <w:tr2bl w:val="nil"/>
            </w:tcBorders>
            <w:noWrap w:val="0"/>
            <w:vAlign w:val="center"/>
          </w:tcPr>
          <w:p w14:paraId="7D84C1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D9C6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FB912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53</w:t>
            </w:r>
          </w:p>
        </w:tc>
        <w:tc>
          <w:tcPr>
            <w:tcW w:w="3810" w:type="dxa"/>
            <w:tcBorders>
              <w:tl2br w:val="nil"/>
              <w:tr2bl w:val="nil"/>
            </w:tcBorders>
            <w:noWrap w:val="0"/>
            <w:vAlign w:val="center"/>
          </w:tcPr>
          <w:p w14:paraId="6500A5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λ轻链检测试剂盒（免疫比浊法）</w:t>
            </w:r>
          </w:p>
        </w:tc>
        <w:tc>
          <w:tcPr>
            <w:tcW w:w="3737" w:type="dxa"/>
            <w:tcBorders>
              <w:tl2br w:val="nil"/>
              <w:tr2bl w:val="nil"/>
            </w:tcBorders>
            <w:noWrap w:val="0"/>
            <w:vAlign w:val="center"/>
          </w:tcPr>
          <w:p w14:paraId="1C33B44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150测试/盒</w:t>
            </w:r>
          </w:p>
        </w:tc>
        <w:tc>
          <w:tcPr>
            <w:tcW w:w="1375" w:type="dxa"/>
            <w:tcBorders>
              <w:tl2br w:val="nil"/>
              <w:tr2bl w:val="nil"/>
            </w:tcBorders>
            <w:noWrap w:val="0"/>
            <w:vAlign w:val="center"/>
          </w:tcPr>
          <w:p w14:paraId="7FF111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0ECBA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554" w:type="dxa"/>
            <w:tcBorders>
              <w:tl2br w:val="nil"/>
              <w:tr2bl w:val="nil"/>
            </w:tcBorders>
            <w:noWrap w:val="0"/>
            <w:vAlign w:val="center"/>
          </w:tcPr>
          <w:p w14:paraId="04DAB4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1,135.55</w:t>
            </w:r>
          </w:p>
        </w:tc>
        <w:tc>
          <w:tcPr>
            <w:tcW w:w="1434" w:type="dxa"/>
            <w:tcBorders>
              <w:tl2br w:val="nil"/>
              <w:tr2bl w:val="nil"/>
            </w:tcBorders>
            <w:noWrap w:val="0"/>
            <w:vAlign w:val="center"/>
          </w:tcPr>
          <w:p w14:paraId="50CE17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3E075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20250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54</w:t>
            </w:r>
          </w:p>
        </w:tc>
        <w:tc>
          <w:tcPr>
            <w:tcW w:w="3810" w:type="dxa"/>
            <w:tcBorders>
              <w:tl2br w:val="nil"/>
              <w:tr2bl w:val="nil"/>
            </w:tcBorders>
            <w:noWrap w:val="0"/>
            <w:vAlign w:val="center"/>
          </w:tcPr>
          <w:p w14:paraId="742176A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免疫球蛋白A检测试剂盒（散射比浊法）</w:t>
            </w:r>
          </w:p>
        </w:tc>
        <w:tc>
          <w:tcPr>
            <w:tcW w:w="3737" w:type="dxa"/>
            <w:tcBorders>
              <w:tl2br w:val="nil"/>
              <w:tr2bl w:val="nil"/>
            </w:tcBorders>
            <w:noWrap w:val="0"/>
            <w:vAlign w:val="center"/>
          </w:tcPr>
          <w:p w14:paraId="0E0353F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300测试/盒</w:t>
            </w:r>
          </w:p>
        </w:tc>
        <w:tc>
          <w:tcPr>
            <w:tcW w:w="1375" w:type="dxa"/>
            <w:tcBorders>
              <w:tl2br w:val="nil"/>
              <w:tr2bl w:val="nil"/>
            </w:tcBorders>
            <w:noWrap w:val="0"/>
            <w:vAlign w:val="center"/>
          </w:tcPr>
          <w:p w14:paraId="0AE174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D0D1E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3BF23D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1,214.00</w:t>
            </w:r>
          </w:p>
        </w:tc>
        <w:tc>
          <w:tcPr>
            <w:tcW w:w="1434" w:type="dxa"/>
            <w:tcBorders>
              <w:tl2br w:val="nil"/>
              <w:tr2bl w:val="nil"/>
            </w:tcBorders>
            <w:noWrap w:val="0"/>
            <w:vAlign w:val="center"/>
          </w:tcPr>
          <w:p w14:paraId="332EE2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1912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93CC9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55</w:t>
            </w:r>
          </w:p>
        </w:tc>
        <w:tc>
          <w:tcPr>
            <w:tcW w:w="3810" w:type="dxa"/>
            <w:tcBorders>
              <w:tl2br w:val="nil"/>
              <w:tr2bl w:val="nil"/>
            </w:tcBorders>
            <w:noWrap w:val="0"/>
            <w:vAlign w:val="center"/>
          </w:tcPr>
          <w:p w14:paraId="0A0FD0B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缓冲液</w:t>
            </w:r>
          </w:p>
        </w:tc>
        <w:tc>
          <w:tcPr>
            <w:tcW w:w="3737" w:type="dxa"/>
            <w:tcBorders>
              <w:tl2br w:val="nil"/>
              <w:tr2bl w:val="nil"/>
            </w:tcBorders>
            <w:noWrap w:val="0"/>
            <w:vAlign w:val="center"/>
          </w:tcPr>
          <w:p w14:paraId="723A7C2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4*120ml（447040）</w:t>
            </w:r>
          </w:p>
        </w:tc>
        <w:tc>
          <w:tcPr>
            <w:tcW w:w="1375" w:type="dxa"/>
            <w:tcBorders>
              <w:tl2br w:val="nil"/>
              <w:tr2bl w:val="nil"/>
            </w:tcBorders>
            <w:noWrap w:val="0"/>
            <w:vAlign w:val="center"/>
          </w:tcPr>
          <w:p w14:paraId="4A8C4B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11F80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1D39CD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343.20</w:t>
            </w:r>
          </w:p>
        </w:tc>
        <w:tc>
          <w:tcPr>
            <w:tcW w:w="1434" w:type="dxa"/>
            <w:tcBorders>
              <w:tl2br w:val="nil"/>
              <w:tr2bl w:val="nil"/>
            </w:tcBorders>
            <w:noWrap w:val="0"/>
            <w:vAlign w:val="center"/>
          </w:tcPr>
          <w:p w14:paraId="099C60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8E27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A740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56</w:t>
            </w:r>
          </w:p>
        </w:tc>
        <w:tc>
          <w:tcPr>
            <w:tcW w:w="3810" w:type="dxa"/>
            <w:tcBorders>
              <w:tl2br w:val="nil"/>
              <w:tr2bl w:val="nil"/>
            </w:tcBorders>
            <w:noWrap w:val="0"/>
            <w:vAlign w:val="center"/>
          </w:tcPr>
          <w:p w14:paraId="2DF7D4A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血清学质控品</w:t>
            </w:r>
          </w:p>
        </w:tc>
        <w:tc>
          <w:tcPr>
            <w:tcW w:w="3737" w:type="dxa"/>
            <w:tcBorders>
              <w:tl2br w:val="nil"/>
              <w:tr2bl w:val="nil"/>
            </w:tcBorders>
            <w:noWrap w:val="0"/>
            <w:vAlign w:val="center"/>
          </w:tcPr>
          <w:p w14:paraId="6DD2AC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水平2:3*5ml</w:t>
            </w:r>
          </w:p>
        </w:tc>
        <w:tc>
          <w:tcPr>
            <w:tcW w:w="1375" w:type="dxa"/>
            <w:tcBorders>
              <w:tl2br w:val="nil"/>
              <w:tr2bl w:val="nil"/>
            </w:tcBorders>
            <w:noWrap w:val="0"/>
            <w:vAlign w:val="center"/>
          </w:tcPr>
          <w:p w14:paraId="3A026B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963" w:type="dxa"/>
            <w:tcBorders>
              <w:tl2br w:val="nil"/>
              <w:tr2bl w:val="nil"/>
            </w:tcBorders>
            <w:noWrap w:val="0"/>
            <w:vAlign w:val="center"/>
          </w:tcPr>
          <w:p w14:paraId="429243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6B5E7C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815.75</w:t>
            </w:r>
          </w:p>
        </w:tc>
        <w:tc>
          <w:tcPr>
            <w:tcW w:w="1434" w:type="dxa"/>
            <w:tcBorders>
              <w:tl2br w:val="nil"/>
              <w:tr2bl w:val="nil"/>
            </w:tcBorders>
            <w:noWrap w:val="0"/>
            <w:vAlign w:val="center"/>
          </w:tcPr>
          <w:p w14:paraId="57F48A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3720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1A6C04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57</w:t>
            </w:r>
          </w:p>
        </w:tc>
        <w:tc>
          <w:tcPr>
            <w:tcW w:w="3810" w:type="dxa"/>
            <w:tcBorders>
              <w:tl2br w:val="nil"/>
              <w:tr2bl w:val="nil"/>
            </w:tcBorders>
            <w:noWrap w:val="0"/>
            <w:vAlign w:val="center"/>
          </w:tcPr>
          <w:p w14:paraId="73CC29C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触珠蛋白检测试剂盒（散射比浊法）</w:t>
            </w:r>
          </w:p>
        </w:tc>
        <w:tc>
          <w:tcPr>
            <w:tcW w:w="3737" w:type="dxa"/>
            <w:tcBorders>
              <w:tl2br w:val="nil"/>
              <w:tr2bl w:val="nil"/>
            </w:tcBorders>
            <w:noWrap w:val="0"/>
            <w:vAlign w:val="center"/>
          </w:tcPr>
          <w:p w14:paraId="400619E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150测试／盒</w:t>
            </w:r>
          </w:p>
        </w:tc>
        <w:tc>
          <w:tcPr>
            <w:tcW w:w="1375" w:type="dxa"/>
            <w:tcBorders>
              <w:tl2br w:val="nil"/>
              <w:tr2bl w:val="nil"/>
            </w:tcBorders>
            <w:noWrap w:val="0"/>
            <w:vAlign w:val="center"/>
          </w:tcPr>
          <w:p w14:paraId="3AE0FE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DA743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554" w:type="dxa"/>
            <w:tcBorders>
              <w:tl2br w:val="nil"/>
              <w:tr2bl w:val="nil"/>
            </w:tcBorders>
            <w:noWrap w:val="0"/>
            <w:vAlign w:val="center"/>
          </w:tcPr>
          <w:p w14:paraId="79F863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709.80</w:t>
            </w:r>
          </w:p>
        </w:tc>
        <w:tc>
          <w:tcPr>
            <w:tcW w:w="1434" w:type="dxa"/>
            <w:tcBorders>
              <w:tl2br w:val="nil"/>
              <w:tr2bl w:val="nil"/>
            </w:tcBorders>
            <w:noWrap w:val="0"/>
            <w:vAlign w:val="center"/>
          </w:tcPr>
          <w:p w14:paraId="58BE77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88E7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B879A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58</w:t>
            </w:r>
          </w:p>
        </w:tc>
        <w:tc>
          <w:tcPr>
            <w:tcW w:w="3810" w:type="dxa"/>
            <w:tcBorders>
              <w:tl2br w:val="nil"/>
              <w:tr2bl w:val="nil"/>
            </w:tcBorders>
            <w:noWrap w:val="0"/>
            <w:vAlign w:val="center"/>
          </w:tcPr>
          <w:p w14:paraId="3727BE2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a1-酸糖蛋白检测试剂盒(免疫比浊发)</w:t>
            </w:r>
          </w:p>
        </w:tc>
        <w:tc>
          <w:tcPr>
            <w:tcW w:w="3737" w:type="dxa"/>
            <w:tcBorders>
              <w:tl2br w:val="nil"/>
              <w:tr2bl w:val="nil"/>
            </w:tcBorders>
            <w:noWrap w:val="0"/>
            <w:vAlign w:val="center"/>
          </w:tcPr>
          <w:p w14:paraId="2110CD6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150测试/盒</w:t>
            </w:r>
          </w:p>
        </w:tc>
        <w:tc>
          <w:tcPr>
            <w:tcW w:w="1375" w:type="dxa"/>
            <w:tcBorders>
              <w:tl2br w:val="nil"/>
              <w:tr2bl w:val="nil"/>
            </w:tcBorders>
            <w:noWrap w:val="0"/>
            <w:vAlign w:val="center"/>
          </w:tcPr>
          <w:p w14:paraId="583B74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E4B2E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554" w:type="dxa"/>
            <w:tcBorders>
              <w:tl2br w:val="nil"/>
              <w:tr2bl w:val="nil"/>
            </w:tcBorders>
            <w:noWrap w:val="0"/>
            <w:vAlign w:val="center"/>
          </w:tcPr>
          <w:p w14:paraId="74EE83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757.25</w:t>
            </w:r>
          </w:p>
        </w:tc>
        <w:tc>
          <w:tcPr>
            <w:tcW w:w="1434" w:type="dxa"/>
            <w:tcBorders>
              <w:tl2br w:val="nil"/>
              <w:tr2bl w:val="nil"/>
            </w:tcBorders>
            <w:noWrap w:val="0"/>
            <w:vAlign w:val="center"/>
          </w:tcPr>
          <w:p w14:paraId="5D59A1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CC23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506C6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59</w:t>
            </w:r>
          </w:p>
        </w:tc>
        <w:tc>
          <w:tcPr>
            <w:tcW w:w="3810" w:type="dxa"/>
            <w:tcBorders>
              <w:tl2br w:val="nil"/>
              <w:tr2bl w:val="nil"/>
            </w:tcBorders>
            <w:noWrap w:val="0"/>
            <w:vAlign w:val="center"/>
          </w:tcPr>
          <w:p w14:paraId="14730AA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多项免疫校准品</w:t>
            </w:r>
          </w:p>
        </w:tc>
        <w:tc>
          <w:tcPr>
            <w:tcW w:w="3737" w:type="dxa"/>
            <w:tcBorders>
              <w:tl2br w:val="nil"/>
              <w:tr2bl w:val="nil"/>
            </w:tcBorders>
            <w:noWrap w:val="0"/>
            <w:vAlign w:val="center"/>
          </w:tcPr>
          <w:p w14:paraId="220F8CF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4*3ml</w:t>
            </w:r>
          </w:p>
        </w:tc>
        <w:tc>
          <w:tcPr>
            <w:tcW w:w="1375" w:type="dxa"/>
            <w:tcBorders>
              <w:tl2br w:val="nil"/>
              <w:tr2bl w:val="nil"/>
            </w:tcBorders>
            <w:noWrap w:val="0"/>
            <w:vAlign w:val="center"/>
          </w:tcPr>
          <w:p w14:paraId="75A76B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37994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4D3964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666.58</w:t>
            </w:r>
          </w:p>
        </w:tc>
        <w:tc>
          <w:tcPr>
            <w:tcW w:w="1434" w:type="dxa"/>
            <w:tcBorders>
              <w:tl2br w:val="nil"/>
              <w:tr2bl w:val="nil"/>
            </w:tcBorders>
            <w:noWrap w:val="0"/>
            <w:vAlign w:val="center"/>
          </w:tcPr>
          <w:p w14:paraId="47A90C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6E9D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BE21F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60</w:t>
            </w:r>
          </w:p>
        </w:tc>
        <w:tc>
          <w:tcPr>
            <w:tcW w:w="3810" w:type="dxa"/>
            <w:tcBorders>
              <w:tl2br w:val="nil"/>
              <w:tr2bl w:val="nil"/>
            </w:tcBorders>
            <w:noWrap w:val="0"/>
            <w:vAlign w:val="center"/>
          </w:tcPr>
          <w:p w14:paraId="79C6A5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AU生化分析系统专用试剂-电解质内标液</w:t>
            </w:r>
          </w:p>
        </w:tc>
        <w:tc>
          <w:tcPr>
            <w:tcW w:w="3737" w:type="dxa"/>
            <w:tcBorders>
              <w:tl2br w:val="nil"/>
              <w:tr2bl w:val="nil"/>
            </w:tcBorders>
            <w:noWrap w:val="0"/>
            <w:vAlign w:val="center"/>
          </w:tcPr>
          <w:p w14:paraId="278FEF2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4*2000ml</w:t>
            </w:r>
          </w:p>
        </w:tc>
        <w:tc>
          <w:tcPr>
            <w:tcW w:w="1375" w:type="dxa"/>
            <w:tcBorders>
              <w:tl2br w:val="nil"/>
              <w:tr2bl w:val="nil"/>
            </w:tcBorders>
            <w:noWrap w:val="0"/>
            <w:vAlign w:val="center"/>
          </w:tcPr>
          <w:p w14:paraId="5E1722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963" w:type="dxa"/>
            <w:tcBorders>
              <w:tl2br w:val="nil"/>
              <w:tr2bl w:val="nil"/>
            </w:tcBorders>
            <w:noWrap w:val="0"/>
            <w:vAlign w:val="center"/>
          </w:tcPr>
          <w:p w14:paraId="6A4E40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2997F2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1,064.00</w:t>
            </w:r>
          </w:p>
        </w:tc>
        <w:tc>
          <w:tcPr>
            <w:tcW w:w="1434" w:type="dxa"/>
            <w:tcBorders>
              <w:tl2br w:val="nil"/>
              <w:tr2bl w:val="nil"/>
            </w:tcBorders>
            <w:noWrap w:val="0"/>
            <w:vAlign w:val="center"/>
          </w:tcPr>
          <w:p w14:paraId="209302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03AAB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8DFD2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61</w:t>
            </w:r>
          </w:p>
        </w:tc>
        <w:tc>
          <w:tcPr>
            <w:tcW w:w="3810" w:type="dxa"/>
            <w:tcBorders>
              <w:tl2br w:val="nil"/>
              <w:tr2bl w:val="nil"/>
            </w:tcBorders>
            <w:noWrap w:val="0"/>
            <w:vAlign w:val="center"/>
          </w:tcPr>
          <w:p w14:paraId="333E3A8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缓冲液</w:t>
            </w:r>
          </w:p>
        </w:tc>
        <w:tc>
          <w:tcPr>
            <w:tcW w:w="3737" w:type="dxa"/>
            <w:tcBorders>
              <w:tl2br w:val="nil"/>
              <w:tr2bl w:val="nil"/>
            </w:tcBorders>
            <w:noWrap w:val="0"/>
            <w:vAlign w:val="center"/>
          </w:tcPr>
          <w:p w14:paraId="07DD74E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4*2000ml</w:t>
            </w:r>
          </w:p>
        </w:tc>
        <w:tc>
          <w:tcPr>
            <w:tcW w:w="1375" w:type="dxa"/>
            <w:tcBorders>
              <w:tl2br w:val="nil"/>
              <w:tr2bl w:val="nil"/>
            </w:tcBorders>
            <w:noWrap w:val="0"/>
            <w:vAlign w:val="center"/>
          </w:tcPr>
          <w:p w14:paraId="502ED3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963" w:type="dxa"/>
            <w:tcBorders>
              <w:tl2br w:val="nil"/>
              <w:tr2bl w:val="nil"/>
            </w:tcBorders>
            <w:noWrap w:val="0"/>
            <w:vAlign w:val="center"/>
          </w:tcPr>
          <w:p w14:paraId="11442E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6E76F7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1,140.00</w:t>
            </w:r>
          </w:p>
        </w:tc>
        <w:tc>
          <w:tcPr>
            <w:tcW w:w="1434" w:type="dxa"/>
            <w:tcBorders>
              <w:tl2br w:val="nil"/>
              <w:tr2bl w:val="nil"/>
            </w:tcBorders>
            <w:noWrap w:val="0"/>
            <w:vAlign w:val="center"/>
          </w:tcPr>
          <w:p w14:paraId="0261D4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05596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E8D58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w:t>
            </w:r>
          </w:p>
        </w:tc>
        <w:tc>
          <w:tcPr>
            <w:tcW w:w="3810" w:type="dxa"/>
            <w:tcBorders>
              <w:tl2br w:val="nil"/>
              <w:tr2bl w:val="nil"/>
            </w:tcBorders>
            <w:noWrap w:val="0"/>
            <w:vAlign w:val="center"/>
          </w:tcPr>
          <w:p w14:paraId="570749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葡萄糖测定试剂盒（已糖激酶法）</w:t>
            </w:r>
          </w:p>
        </w:tc>
        <w:tc>
          <w:tcPr>
            <w:tcW w:w="3737" w:type="dxa"/>
            <w:tcBorders>
              <w:tl2br w:val="nil"/>
              <w:tr2bl w:val="nil"/>
            </w:tcBorders>
            <w:noWrap w:val="0"/>
            <w:vAlign w:val="center"/>
          </w:tcPr>
          <w:p w14:paraId="046009E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R1：4*25ml+R2：4*12.5ml</w:t>
            </w:r>
          </w:p>
        </w:tc>
        <w:tc>
          <w:tcPr>
            <w:tcW w:w="1375" w:type="dxa"/>
            <w:tcBorders>
              <w:tl2br w:val="nil"/>
              <w:tr2bl w:val="nil"/>
            </w:tcBorders>
            <w:noWrap w:val="0"/>
            <w:vAlign w:val="center"/>
          </w:tcPr>
          <w:p w14:paraId="1C5D09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2D0A5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43C5DB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973.80</w:t>
            </w:r>
          </w:p>
        </w:tc>
        <w:tc>
          <w:tcPr>
            <w:tcW w:w="1434" w:type="dxa"/>
            <w:tcBorders>
              <w:tl2br w:val="nil"/>
              <w:tr2bl w:val="nil"/>
            </w:tcBorders>
            <w:noWrap w:val="0"/>
            <w:vAlign w:val="center"/>
          </w:tcPr>
          <w:p w14:paraId="1B8712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241B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DE1FC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63</w:t>
            </w:r>
          </w:p>
        </w:tc>
        <w:tc>
          <w:tcPr>
            <w:tcW w:w="3810" w:type="dxa"/>
            <w:tcBorders>
              <w:tl2br w:val="nil"/>
              <w:tr2bl w:val="nil"/>
            </w:tcBorders>
            <w:noWrap w:val="0"/>
            <w:vAlign w:val="center"/>
          </w:tcPr>
          <w:p w14:paraId="0989E38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磷测定试剂盒（磷钼酸盐法）</w:t>
            </w:r>
          </w:p>
        </w:tc>
        <w:tc>
          <w:tcPr>
            <w:tcW w:w="3737" w:type="dxa"/>
            <w:tcBorders>
              <w:tl2br w:val="nil"/>
              <w:tr2bl w:val="nil"/>
            </w:tcBorders>
            <w:noWrap w:val="0"/>
            <w:vAlign w:val="center"/>
          </w:tcPr>
          <w:p w14:paraId="40EB807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R1：4*15ml+R2：4*15ml</w:t>
            </w:r>
          </w:p>
        </w:tc>
        <w:tc>
          <w:tcPr>
            <w:tcW w:w="1375" w:type="dxa"/>
            <w:tcBorders>
              <w:tl2br w:val="nil"/>
              <w:tr2bl w:val="nil"/>
            </w:tcBorders>
            <w:noWrap w:val="0"/>
            <w:vAlign w:val="center"/>
          </w:tcPr>
          <w:p w14:paraId="5F303B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B1879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1554" w:type="dxa"/>
            <w:tcBorders>
              <w:tl2br w:val="nil"/>
              <w:tr2bl w:val="nil"/>
            </w:tcBorders>
            <w:noWrap w:val="0"/>
            <w:vAlign w:val="center"/>
          </w:tcPr>
          <w:p w14:paraId="42DB1C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735.00</w:t>
            </w:r>
          </w:p>
        </w:tc>
        <w:tc>
          <w:tcPr>
            <w:tcW w:w="1434" w:type="dxa"/>
            <w:tcBorders>
              <w:tl2br w:val="nil"/>
              <w:tr2bl w:val="nil"/>
            </w:tcBorders>
            <w:noWrap w:val="0"/>
            <w:vAlign w:val="center"/>
          </w:tcPr>
          <w:p w14:paraId="14A96C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63B57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246C2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64</w:t>
            </w:r>
          </w:p>
        </w:tc>
        <w:tc>
          <w:tcPr>
            <w:tcW w:w="3810" w:type="dxa"/>
            <w:tcBorders>
              <w:tl2br w:val="nil"/>
              <w:tr2bl w:val="nil"/>
            </w:tcBorders>
            <w:noWrap w:val="0"/>
            <w:vAlign w:val="center"/>
          </w:tcPr>
          <w:p w14:paraId="201460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镁测定试剂盒（二甲苯胺蓝法）</w:t>
            </w:r>
          </w:p>
        </w:tc>
        <w:tc>
          <w:tcPr>
            <w:tcW w:w="3737" w:type="dxa"/>
            <w:tcBorders>
              <w:tl2br w:val="nil"/>
              <w:tr2bl w:val="nil"/>
            </w:tcBorders>
            <w:noWrap w:val="0"/>
            <w:vAlign w:val="center"/>
          </w:tcPr>
          <w:p w14:paraId="773D7A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4*40ml</w:t>
            </w:r>
          </w:p>
        </w:tc>
        <w:tc>
          <w:tcPr>
            <w:tcW w:w="1375" w:type="dxa"/>
            <w:tcBorders>
              <w:tl2br w:val="nil"/>
              <w:tr2bl w:val="nil"/>
            </w:tcBorders>
            <w:noWrap w:val="0"/>
            <w:vAlign w:val="center"/>
          </w:tcPr>
          <w:p w14:paraId="56CAAB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DF49A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1554" w:type="dxa"/>
            <w:tcBorders>
              <w:tl2br w:val="nil"/>
              <w:tr2bl w:val="nil"/>
            </w:tcBorders>
            <w:noWrap w:val="0"/>
            <w:vAlign w:val="center"/>
          </w:tcPr>
          <w:p w14:paraId="4A8768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633.60</w:t>
            </w:r>
          </w:p>
        </w:tc>
        <w:tc>
          <w:tcPr>
            <w:tcW w:w="1434" w:type="dxa"/>
            <w:tcBorders>
              <w:tl2br w:val="nil"/>
              <w:tr2bl w:val="nil"/>
            </w:tcBorders>
            <w:noWrap w:val="0"/>
            <w:vAlign w:val="center"/>
          </w:tcPr>
          <w:p w14:paraId="16B285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1EB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B1EDD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65</w:t>
            </w:r>
          </w:p>
        </w:tc>
        <w:tc>
          <w:tcPr>
            <w:tcW w:w="3810" w:type="dxa"/>
            <w:tcBorders>
              <w:tl2br w:val="nil"/>
              <w:tr2bl w:val="nil"/>
            </w:tcBorders>
            <w:noWrap w:val="0"/>
            <w:vAlign w:val="center"/>
          </w:tcPr>
          <w:p w14:paraId="13881F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钙测定试剂盒（偶氮砷III法）</w:t>
            </w:r>
          </w:p>
        </w:tc>
        <w:tc>
          <w:tcPr>
            <w:tcW w:w="3737" w:type="dxa"/>
            <w:tcBorders>
              <w:tl2br w:val="nil"/>
              <w:tr2bl w:val="nil"/>
            </w:tcBorders>
            <w:noWrap w:val="0"/>
            <w:vAlign w:val="center"/>
          </w:tcPr>
          <w:p w14:paraId="1B21A61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4*15ml</w:t>
            </w:r>
          </w:p>
        </w:tc>
        <w:tc>
          <w:tcPr>
            <w:tcW w:w="1375" w:type="dxa"/>
            <w:tcBorders>
              <w:tl2br w:val="nil"/>
              <w:tr2bl w:val="nil"/>
            </w:tcBorders>
            <w:noWrap w:val="0"/>
            <w:vAlign w:val="center"/>
          </w:tcPr>
          <w:p w14:paraId="62F904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F411A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1554" w:type="dxa"/>
            <w:tcBorders>
              <w:tl2br w:val="nil"/>
              <w:tr2bl w:val="nil"/>
            </w:tcBorders>
            <w:noWrap w:val="0"/>
            <w:vAlign w:val="center"/>
          </w:tcPr>
          <w:p w14:paraId="4F7DFC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1,838.00</w:t>
            </w:r>
          </w:p>
        </w:tc>
        <w:tc>
          <w:tcPr>
            <w:tcW w:w="1434" w:type="dxa"/>
            <w:tcBorders>
              <w:tl2br w:val="nil"/>
              <w:tr2bl w:val="nil"/>
            </w:tcBorders>
            <w:noWrap w:val="0"/>
            <w:vAlign w:val="center"/>
          </w:tcPr>
          <w:p w14:paraId="4D99F9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CB0C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C74DD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66</w:t>
            </w:r>
          </w:p>
        </w:tc>
        <w:tc>
          <w:tcPr>
            <w:tcW w:w="3810" w:type="dxa"/>
            <w:tcBorders>
              <w:tl2br w:val="nil"/>
              <w:tr2bl w:val="nil"/>
            </w:tcBorders>
            <w:noWrap w:val="0"/>
            <w:vAlign w:val="center"/>
          </w:tcPr>
          <w:p w14:paraId="3EF39A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Immage免疫化学系统专用试剂-清洗液</w:t>
            </w:r>
          </w:p>
        </w:tc>
        <w:tc>
          <w:tcPr>
            <w:tcW w:w="3737" w:type="dxa"/>
            <w:tcBorders>
              <w:tl2br w:val="nil"/>
              <w:tr2bl w:val="nil"/>
            </w:tcBorders>
            <w:noWrap w:val="0"/>
            <w:vAlign w:val="center"/>
          </w:tcPr>
          <w:p w14:paraId="0193491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1*10L</w:t>
            </w:r>
          </w:p>
        </w:tc>
        <w:tc>
          <w:tcPr>
            <w:tcW w:w="1375" w:type="dxa"/>
            <w:tcBorders>
              <w:tl2br w:val="nil"/>
              <w:tr2bl w:val="nil"/>
            </w:tcBorders>
            <w:noWrap w:val="0"/>
            <w:vAlign w:val="center"/>
          </w:tcPr>
          <w:p w14:paraId="4E415E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963" w:type="dxa"/>
            <w:tcBorders>
              <w:tl2br w:val="nil"/>
              <w:tr2bl w:val="nil"/>
            </w:tcBorders>
            <w:noWrap w:val="0"/>
            <w:vAlign w:val="center"/>
          </w:tcPr>
          <w:p w14:paraId="69C241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1554" w:type="dxa"/>
            <w:tcBorders>
              <w:tl2br w:val="nil"/>
              <w:tr2bl w:val="nil"/>
            </w:tcBorders>
            <w:noWrap w:val="0"/>
            <w:vAlign w:val="center"/>
          </w:tcPr>
          <w:p w14:paraId="2C421B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489.00</w:t>
            </w:r>
          </w:p>
        </w:tc>
        <w:tc>
          <w:tcPr>
            <w:tcW w:w="1434" w:type="dxa"/>
            <w:tcBorders>
              <w:tl2br w:val="nil"/>
              <w:tr2bl w:val="nil"/>
            </w:tcBorders>
            <w:noWrap w:val="0"/>
            <w:vAlign w:val="center"/>
          </w:tcPr>
          <w:p w14:paraId="2784BB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9C45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76A1A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67</w:t>
            </w:r>
          </w:p>
        </w:tc>
        <w:tc>
          <w:tcPr>
            <w:tcW w:w="3810" w:type="dxa"/>
            <w:tcBorders>
              <w:tl2br w:val="nil"/>
              <w:tr2bl w:val="nil"/>
            </w:tcBorders>
            <w:noWrap w:val="0"/>
            <w:vAlign w:val="center"/>
          </w:tcPr>
          <w:p w14:paraId="6395215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a-淀粉酶测定试剂盒（PNP-G7底物法）</w:t>
            </w:r>
          </w:p>
        </w:tc>
        <w:tc>
          <w:tcPr>
            <w:tcW w:w="3737" w:type="dxa"/>
            <w:tcBorders>
              <w:tl2br w:val="nil"/>
              <w:tr2bl w:val="nil"/>
            </w:tcBorders>
            <w:noWrap w:val="0"/>
            <w:vAlign w:val="center"/>
          </w:tcPr>
          <w:p w14:paraId="3710675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R1：4*40ml；R2:4*10ml</w:t>
            </w:r>
          </w:p>
        </w:tc>
        <w:tc>
          <w:tcPr>
            <w:tcW w:w="1375" w:type="dxa"/>
            <w:tcBorders>
              <w:tl2br w:val="nil"/>
              <w:tr2bl w:val="nil"/>
            </w:tcBorders>
            <w:noWrap w:val="0"/>
            <w:vAlign w:val="center"/>
          </w:tcPr>
          <w:p w14:paraId="5D4526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DA53A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34E008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4,156.00</w:t>
            </w:r>
          </w:p>
        </w:tc>
        <w:tc>
          <w:tcPr>
            <w:tcW w:w="1434" w:type="dxa"/>
            <w:tcBorders>
              <w:tl2br w:val="nil"/>
              <w:tr2bl w:val="nil"/>
            </w:tcBorders>
            <w:noWrap w:val="0"/>
            <w:vAlign w:val="center"/>
          </w:tcPr>
          <w:p w14:paraId="3503A9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C9D4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1317A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68</w:t>
            </w:r>
          </w:p>
        </w:tc>
        <w:tc>
          <w:tcPr>
            <w:tcW w:w="3810" w:type="dxa"/>
            <w:tcBorders>
              <w:tl2br w:val="nil"/>
              <w:tr2bl w:val="nil"/>
            </w:tcBorders>
            <w:noWrap w:val="0"/>
            <w:vAlign w:val="center"/>
          </w:tcPr>
          <w:p w14:paraId="3FED8F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缓冲液</w:t>
            </w:r>
          </w:p>
        </w:tc>
        <w:tc>
          <w:tcPr>
            <w:tcW w:w="3737" w:type="dxa"/>
            <w:tcBorders>
              <w:tl2br w:val="nil"/>
              <w:tr2bl w:val="nil"/>
            </w:tcBorders>
            <w:noWrap w:val="0"/>
            <w:vAlign w:val="center"/>
          </w:tcPr>
          <w:p w14:paraId="396929A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4*120ml</w:t>
            </w:r>
          </w:p>
        </w:tc>
        <w:tc>
          <w:tcPr>
            <w:tcW w:w="1375" w:type="dxa"/>
            <w:tcBorders>
              <w:tl2br w:val="nil"/>
              <w:tr2bl w:val="nil"/>
            </w:tcBorders>
            <w:noWrap w:val="0"/>
            <w:vAlign w:val="center"/>
          </w:tcPr>
          <w:p w14:paraId="75ABAE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93BED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5F0A2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343.20</w:t>
            </w:r>
          </w:p>
        </w:tc>
        <w:tc>
          <w:tcPr>
            <w:tcW w:w="1434" w:type="dxa"/>
            <w:tcBorders>
              <w:tl2br w:val="nil"/>
              <w:tr2bl w:val="nil"/>
            </w:tcBorders>
            <w:noWrap w:val="0"/>
            <w:vAlign w:val="center"/>
          </w:tcPr>
          <w:p w14:paraId="7EB1D1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0D37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C53B2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69</w:t>
            </w:r>
          </w:p>
        </w:tc>
        <w:tc>
          <w:tcPr>
            <w:tcW w:w="3810" w:type="dxa"/>
            <w:tcBorders>
              <w:tl2br w:val="nil"/>
              <w:tr2bl w:val="nil"/>
            </w:tcBorders>
            <w:noWrap w:val="0"/>
            <w:vAlign w:val="center"/>
          </w:tcPr>
          <w:p w14:paraId="57BE44A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AU生化分析系统专用试剂-电解质参比液</w:t>
            </w:r>
          </w:p>
        </w:tc>
        <w:tc>
          <w:tcPr>
            <w:tcW w:w="3737" w:type="dxa"/>
            <w:tcBorders>
              <w:tl2br w:val="nil"/>
              <w:tr2bl w:val="nil"/>
            </w:tcBorders>
            <w:noWrap w:val="0"/>
            <w:vAlign w:val="center"/>
          </w:tcPr>
          <w:p w14:paraId="79DE6F3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4*1000ml</w:t>
            </w:r>
          </w:p>
        </w:tc>
        <w:tc>
          <w:tcPr>
            <w:tcW w:w="1375" w:type="dxa"/>
            <w:tcBorders>
              <w:tl2br w:val="nil"/>
              <w:tr2bl w:val="nil"/>
            </w:tcBorders>
            <w:noWrap w:val="0"/>
            <w:vAlign w:val="center"/>
          </w:tcPr>
          <w:p w14:paraId="0B0C9C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963" w:type="dxa"/>
            <w:tcBorders>
              <w:tl2br w:val="nil"/>
              <w:tr2bl w:val="nil"/>
            </w:tcBorders>
            <w:noWrap w:val="0"/>
            <w:vAlign w:val="center"/>
          </w:tcPr>
          <w:p w14:paraId="3FA1EA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4A7174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2BB184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4A77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482A5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70</w:t>
            </w:r>
          </w:p>
        </w:tc>
        <w:tc>
          <w:tcPr>
            <w:tcW w:w="3810" w:type="dxa"/>
            <w:tcBorders>
              <w:tl2br w:val="nil"/>
              <w:tr2bl w:val="nil"/>
            </w:tcBorders>
            <w:noWrap w:val="0"/>
            <w:vAlign w:val="center"/>
          </w:tcPr>
          <w:p w14:paraId="393DD2D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AU生化分析系统专用试剂-清洗液</w:t>
            </w:r>
          </w:p>
        </w:tc>
        <w:tc>
          <w:tcPr>
            <w:tcW w:w="3737" w:type="dxa"/>
            <w:tcBorders>
              <w:tl2br w:val="nil"/>
              <w:tr2bl w:val="nil"/>
            </w:tcBorders>
            <w:noWrap w:val="0"/>
            <w:vAlign w:val="center"/>
          </w:tcPr>
          <w:p w14:paraId="1EA1066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6*2L</w:t>
            </w:r>
          </w:p>
        </w:tc>
        <w:tc>
          <w:tcPr>
            <w:tcW w:w="1375" w:type="dxa"/>
            <w:tcBorders>
              <w:tl2br w:val="nil"/>
              <w:tr2bl w:val="nil"/>
            </w:tcBorders>
            <w:noWrap w:val="0"/>
            <w:vAlign w:val="center"/>
          </w:tcPr>
          <w:p w14:paraId="0344E4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963" w:type="dxa"/>
            <w:tcBorders>
              <w:tl2br w:val="nil"/>
              <w:tr2bl w:val="nil"/>
            </w:tcBorders>
            <w:noWrap w:val="0"/>
            <w:vAlign w:val="center"/>
          </w:tcPr>
          <w:p w14:paraId="7AADB5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ED94F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1,640.65</w:t>
            </w:r>
          </w:p>
        </w:tc>
        <w:tc>
          <w:tcPr>
            <w:tcW w:w="1434" w:type="dxa"/>
            <w:tcBorders>
              <w:tl2br w:val="nil"/>
              <w:tr2bl w:val="nil"/>
            </w:tcBorders>
            <w:noWrap w:val="0"/>
            <w:vAlign w:val="center"/>
          </w:tcPr>
          <w:p w14:paraId="6B0F12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3927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6EE7D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71</w:t>
            </w:r>
          </w:p>
        </w:tc>
        <w:tc>
          <w:tcPr>
            <w:tcW w:w="3810" w:type="dxa"/>
            <w:tcBorders>
              <w:tl2br w:val="nil"/>
              <w:tr2bl w:val="nil"/>
            </w:tcBorders>
            <w:noWrap w:val="0"/>
            <w:vAlign w:val="center"/>
          </w:tcPr>
          <w:p w14:paraId="2DC967C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铁测定试剂盒（TPTZ法）</w:t>
            </w:r>
          </w:p>
        </w:tc>
        <w:tc>
          <w:tcPr>
            <w:tcW w:w="3737" w:type="dxa"/>
            <w:tcBorders>
              <w:tl2br w:val="nil"/>
              <w:tr2bl w:val="nil"/>
            </w:tcBorders>
            <w:noWrap w:val="0"/>
            <w:vAlign w:val="center"/>
          </w:tcPr>
          <w:p w14:paraId="13181A8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R1：4*15ml  R2：4*15ml</w:t>
            </w:r>
          </w:p>
        </w:tc>
        <w:tc>
          <w:tcPr>
            <w:tcW w:w="1375" w:type="dxa"/>
            <w:tcBorders>
              <w:tl2br w:val="nil"/>
              <w:tr2bl w:val="nil"/>
            </w:tcBorders>
            <w:noWrap w:val="0"/>
            <w:vAlign w:val="center"/>
          </w:tcPr>
          <w:p w14:paraId="52245C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0AB35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7195CD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975.80</w:t>
            </w:r>
          </w:p>
        </w:tc>
        <w:tc>
          <w:tcPr>
            <w:tcW w:w="1434" w:type="dxa"/>
            <w:tcBorders>
              <w:tl2br w:val="nil"/>
              <w:tr2bl w:val="nil"/>
            </w:tcBorders>
            <w:noWrap w:val="0"/>
            <w:vAlign w:val="center"/>
          </w:tcPr>
          <w:p w14:paraId="4A05E2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AFF4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362E6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72</w:t>
            </w:r>
          </w:p>
        </w:tc>
        <w:tc>
          <w:tcPr>
            <w:tcW w:w="3810" w:type="dxa"/>
            <w:tcBorders>
              <w:tl2br w:val="nil"/>
              <w:tr2bl w:val="nil"/>
            </w:tcBorders>
            <w:noWrap w:val="0"/>
            <w:vAlign w:val="center"/>
          </w:tcPr>
          <w:p w14:paraId="334754D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铁测定试剂盒（二甲苯胺蓝法）</w:t>
            </w:r>
          </w:p>
        </w:tc>
        <w:tc>
          <w:tcPr>
            <w:tcW w:w="3737" w:type="dxa"/>
            <w:tcBorders>
              <w:tl2br w:val="nil"/>
              <w:tr2bl w:val="nil"/>
            </w:tcBorders>
            <w:noWrap w:val="0"/>
            <w:vAlign w:val="center"/>
          </w:tcPr>
          <w:p w14:paraId="3B18C5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4*40ml</w:t>
            </w:r>
          </w:p>
        </w:tc>
        <w:tc>
          <w:tcPr>
            <w:tcW w:w="1375" w:type="dxa"/>
            <w:tcBorders>
              <w:tl2br w:val="nil"/>
              <w:tr2bl w:val="nil"/>
            </w:tcBorders>
            <w:noWrap w:val="0"/>
            <w:vAlign w:val="center"/>
          </w:tcPr>
          <w:p w14:paraId="72E9D9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6F2D5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6D22FD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629.00</w:t>
            </w:r>
          </w:p>
        </w:tc>
        <w:tc>
          <w:tcPr>
            <w:tcW w:w="1434" w:type="dxa"/>
            <w:tcBorders>
              <w:tl2br w:val="nil"/>
              <w:tr2bl w:val="nil"/>
            </w:tcBorders>
            <w:noWrap w:val="0"/>
            <w:vAlign w:val="center"/>
          </w:tcPr>
          <w:p w14:paraId="72BB2A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06C7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BA893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73</w:t>
            </w:r>
          </w:p>
        </w:tc>
        <w:tc>
          <w:tcPr>
            <w:tcW w:w="3810" w:type="dxa"/>
            <w:tcBorders>
              <w:tl2br w:val="nil"/>
              <w:tr2bl w:val="nil"/>
            </w:tcBorders>
            <w:noWrap w:val="0"/>
            <w:vAlign w:val="center"/>
          </w:tcPr>
          <w:p w14:paraId="0591405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线芯</w:t>
            </w:r>
          </w:p>
        </w:tc>
        <w:tc>
          <w:tcPr>
            <w:tcW w:w="3737" w:type="dxa"/>
            <w:tcBorders>
              <w:tl2br w:val="nil"/>
              <w:tr2bl w:val="nil"/>
            </w:tcBorders>
            <w:noWrap w:val="0"/>
            <w:vAlign w:val="center"/>
          </w:tcPr>
          <w:p w14:paraId="6AF6632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20寸5u小孔</w:t>
            </w:r>
          </w:p>
        </w:tc>
        <w:tc>
          <w:tcPr>
            <w:tcW w:w="1375" w:type="dxa"/>
            <w:tcBorders>
              <w:tl2br w:val="nil"/>
              <w:tr2bl w:val="nil"/>
            </w:tcBorders>
            <w:noWrap w:val="0"/>
            <w:vAlign w:val="center"/>
          </w:tcPr>
          <w:p w14:paraId="38DBDE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963" w:type="dxa"/>
            <w:tcBorders>
              <w:tl2br w:val="nil"/>
              <w:tr2bl w:val="nil"/>
            </w:tcBorders>
            <w:noWrap w:val="0"/>
            <w:vAlign w:val="center"/>
          </w:tcPr>
          <w:p w14:paraId="3DBC44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554" w:type="dxa"/>
            <w:tcBorders>
              <w:tl2br w:val="nil"/>
              <w:tr2bl w:val="nil"/>
            </w:tcBorders>
            <w:noWrap w:val="0"/>
            <w:vAlign w:val="center"/>
          </w:tcPr>
          <w:p w14:paraId="65643D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100.00</w:t>
            </w:r>
          </w:p>
        </w:tc>
        <w:tc>
          <w:tcPr>
            <w:tcW w:w="1434" w:type="dxa"/>
            <w:tcBorders>
              <w:tl2br w:val="nil"/>
              <w:tr2bl w:val="nil"/>
            </w:tcBorders>
            <w:noWrap w:val="0"/>
            <w:vAlign w:val="center"/>
          </w:tcPr>
          <w:p w14:paraId="30BED4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D7B9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91996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74</w:t>
            </w:r>
          </w:p>
        </w:tc>
        <w:tc>
          <w:tcPr>
            <w:tcW w:w="3810" w:type="dxa"/>
            <w:tcBorders>
              <w:tl2br w:val="nil"/>
              <w:tr2bl w:val="nil"/>
            </w:tcBorders>
            <w:noWrap w:val="0"/>
            <w:vAlign w:val="center"/>
          </w:tcPr>
          <w:p w14:paraId="233947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W2酸性清洗液</w:t>
            </w:r>
          </w:p>
        </w:tc>
        <w:tc>
          <w:tcPr>
            <w:tcW w:w="3737" w:type="dxa"/>
            <w:tcBorders>
              <w:tl2br w:val="nil"/>
              <w:tr2bl w:val="nil"/>
            </w:tcBorders>
            <w:noWrap w:val="0"/>
            <w:vAlign w:val="center"/>
          </w:tcPr>
          <w:p w14:paraId="7A2E613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6*60ml/盒</w:t>
            </w:r>
          </w:p>
        </w:tc>
        <w:tc>
          <w:tcPr>
            <w:tcW w:w="1375" w:type="dxa"/>
            <w:tcBorders>
              <w:tl2br w:val="nil"/>
              <w:tr2bl w:val="nil"/>
            </w:tcBorders>
            <w:noWrap w:val="0"/>
            <w:vAlign w:val="center"/>
          </w:tcPr>
          <w:p w14:paraId="7AD8C3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43BFB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4B2387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240.00</w:t>
            </w:r>
          </w:p>
        </w:tc>
        <w:tc>
          <w:tcPr>
            <w:tcW w:w="1434" w:type="dxa"/>
            <w:tcBorders>
              <w:tl2br w:val="nil"/>
              <w:tr2bl w:val="nil"/>
            </w:tcBorders>
            <w:noWrap w:val="0"/>
            <w:vAlign w:val="center"/>
          </w:tcPr>
          <w:p w14:paraId="753B9C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0119D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3913B2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75</w:t>
            </w:r>
          </w:p>
        </w:tc>
        <w:tc>
          <w:tcPr>
            <w:tcW w:w="3810" w:type="dxa"/>
            <w:tcBorders>
              <w:tl2br w:val="nil"/>
              <w:tr2bl w:val="nil"/>
            </w:tcBorders>
            <w:noWrap w:val="0"/>
            <w:vAlign w:val="center"/>
          </w:tcPr>
          <w:p w14:paraId="495F8E1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W2碱性清洗液</w:t>
            </w:r>
          </w:p>
        </w:tc>
        <w:tc>
          <w:tcPr>
            <w:tcW w:w="3737" w:type="dxa"/>
            <w:tcBorders>
              <w:tl2br w:val="nil"/>
              <w:tr2bl w:val="nil"/>
            </w:tcBorders>
            <w:noWrap w:val="0"/>
            <w:vAlign w:val="center"/>
          </w:tcPr>
          <w:p w14:paraId="73C86DA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6*60ml/盒</w:t>
            </w:r>
          </w:p>
        </w:tc>
        <w:tc>
          <w:tcPr>
            <w:tcW w:w="1375" w:type="dxa"/>
            <w:tcBorders>
              <w:tl2br w:val="nil"/>
              <w:tr2bl w:val="nil"/>
            </w:tcBorders>
            <w:noWrap w:val="0"/>
            <w:vAlign w:val="center"/>
          </w:tcPr>
          <w:p w14:paraId="40517F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8ED99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51A2C6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240.00</w:t>
            </w:r>
          </w:p>
        </w:tc>
        <w:tc>
          <w:tcPr>
            <w:tcW w:w="1434" w:type="dxa"/>
            <w:tcBorders>
              <w:tl2br w:val="nil"/>
              <w:tr2bl w:val="nil"/>
            </w:tcBorders>
            <w:noWrap w:val="0"/>
            <w:vAlign w:val="center"/>
          </w:tcPr>
          <w:p w14:paraId="78141B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53C2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42291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76</w:t>
            </w:r>
          </w:p>
        </w:tc>
        <w:tc>
          <w:tcPr>
            <w:tcW w:w="3810" w:type="dxa"/>
            <w:tcBorders>
              <w:tl2br w:val="nil"/>
              <w:tr2bl w:val="nil"/>
            </w:tcBorders>
            <w:noWrap w:val="0"/>
            <w:vAlign w:val="center"/>
          </w:tcPr>
          <w:p w14:paraId="58748F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一次性使用样品杯</w:t>
            </w:r>
          </w:p>
        </w:tc>
        <w:tc>
          <w:tcPr>
            <w:tcW w:w="3737" w:type="dxa"/>
            <w:tcBorders>
              <w:tl2br w:val="nil"/>
              <w:tr2bl w:val="nil"/>
            </w:tcBorders>
            <w:noWrap w:val="0"/>
            <w:vAlign w:val="center"/>
          </w:tcPr>
          <w:p w14:paraId="0225F0B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16*38 500支/袋</w:t>
            </w:r>
          </w:p>
        </w:tc>
        <w:tc>
          <w:tcPr>
            <w:tcW w:w="1375" w:type="dxa"/>
            <w:tcBorders>
              <w:tl2br w:val="nil"/>
              <w:tr2bl w:val="nil"/>
            </w:tcBorders>
            <w:noWrap w:val="0"/>
            <w:vAlign w:val="center"/>
          </w:tcPr>
          <w:p w14:paraId="07FBEE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963" w:type="dxa"/>
            <w:tcBorders>
              <w:tl2br w:val="nil"/>
              <w:tr2bl w:val="nil"/>
            </w:tcBorders>
            <w:noWrap w:val="0"/>
            <w:vAlign w:val="center"/>
          </w:tcPr>
          <w:p w14:paraId="664003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1000</w:t>
            </w:r>
          </w:p>
        </w:tc>
        <w:tc>
          <w:tcPr>
            <w:tcW w:w="1554" w:type="dxa"/>
            <w:tcBorders>
              <w:tl2br w:val="nil"/>
              <w:tr2bl w:val="nil"/>
            </w:tcBorders>
            <w:noWrap w:val="0"/>
            <w:vAlign w:val="center"/>
          </w:tcPr>
          <w:p w14:paraId="6E02E1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0.25</w:t>
            </w:r>
          </w:p>
        </w:tc>
        <w:tc>
          <w:tcPr>
            <w:tcW w:w="1434" w:type="dxa"/>
            <w:tcBorders>
              <w:tl2br w:val="nil"/>
              <w:tr2bl w:val="nil"/>
            </w:tcBorders>
            <w:noWrap w:val="0"/>
            <w:vAlign w:val="center"/>
          </w:tcPr>
          <w:p w14:paraId="549804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53AA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6ADEAC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77</w:t>
            </w:r>
          </w:p>
        </w:tc>
        <w:tc>
          <w:tcPr>
            <w:tcW w:w="3810" w:type="dxa"/>
            <w:tcBorders>
              <w:tl2br w:val="nil"/>
              <w:tr2bl w:val="nil"/>
            </w:tcBorders>
            <w:noWrap w:val="0"/>
            <w:vAlign w:val="center"/>
          </w:tcPr>
          <w:p w14:paraId="7B98C8B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纤维蛋白和纤维蛋白原降解产物检测试剂盒(免疫比浊发)</w:t>
            </w:r>
          </w:p>
        </w:tc>
        <w:tc>
          <w:tcPr>
            <w:tcW w:w="3737" w:type="dxa"/>
            <w:tcBorders>
              <w:tl2br w:val="nil"/>
              <w:tr2bl w:val="nil"/>
            </w:tcBorders>
            <w:noWrap w:val="0"/>
            <w:vAlign w:val="center"/>
          </w:tcPr>
          <w:p w14:paraId="0A0A2F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乳胶试剂：3*4ml；反应缓冲液3*4ml</w:t>
            </w:r>
          </w:p>
        </w:tc>
        <w:tc>
          <w:tcPr>
            <w:tcW w:w="1375" w:type="dxa"/>
            <w:tcBorders>
              <w:tl2br w:val="nil"/>
              <w:tr2bl w:val="nil"/>
            </w:tcBorders>
            <w:noWrap w:val="0"/>
            <w:vAlign w:val="center"/>
          </w:tcPr>
          <w:p w14:paraId="5F5E96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93A60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6A6604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1,292.00</w:t>
            </w:r>
          </w:p>
        </w:tc>
        <w:tc>
          <w:tcPr>
            <w:tcW w:w="1434" w:type="dxa"/>
            <w:tcBorders>
              <w:tl2br w:val="nil"/>
              <w:tr2bl w:val="nil"/>
            </w:tcBorders>
            <w:noWrap w:val="0"/>
            <w:vAlign w:val="center"/>
          </w:tcPr>
          <w:p w14:paraId="690F1F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07E1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39384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78</w:t>
            </w:r>
          </w:p>
        </w:tc>
        <w:tc>
          <w:tcPr>
            <w:tcW w:w="3810" w:type="dxa"/>
            <w:tcBorders>
              <w:tl2br w:val="nil"/>
              <w:tr2bl w:val="nil"/>
            </w:tcBorders>
            <w:noWrap w:val="0"/>
            <w:vAlign w:val="center"/>
          </w:tcPr>
          <w:p w14:paraId="6374D1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促甲状腺激素检测试剂盒（电化学发光法）</w:t>
            </w:r>
          </w:p>
        </w:tc>
        <w:tc>
          <w:tcPr>
            <w:tcW w:w="3737" w:type="dxa"/>
            <w:tcBorders>
              <w:tl2br w:val="nil"/>
              <w:tr2bl w:val="nil"/>
            </w:tcBorders>
            <w:noWrap w:val="0"/>
            <w:vAlign w:val="center"/>
          </w:tcPr>
          <w:p w14:paraId="1D4EEE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200测试/盒</w:t>
            </w:r>
          </w:p>
        </w:tc>
        <w:tc>
          <w:tcPr>
            <w:tcW w:w="1375" w:type="dxa"/>
            <w:tcBorders>
              <w:tl2br w:val="nil"/>
              <w:tr2bl w:val="nil"/>
            </w:tcBorders>
            <w:noWrap w:val="0"/>
            <w:vAlign w:val="center"/>
          </w:tcPr>
          <w:p w14:paraId="02828B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1B27F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467B88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1200.00</w:t>
            </w:r>
          </w:p>
        </w:tc>
        <w:tc>
          <w:tcPr>
            <w:tcW w:w="1434" w:type="dxa"/>
            <w:tcBorders>
              <w:tl2br w:val="nil"/>
              <w:tr2bl w:val="nil"/>
            </w:tcBorders>
            <w:noWrap w:val="0"/>
            <w:vAlign w:val="center"/>
          </w:tcPr>
          <w:p w14:paraId="22442B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F200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2BDC4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79</w:t>
            </w:r>
          </w:p>
        </w:tc>
        <w:tc>
          <w:tcPr>
            <w:tcW w:w="3810" w:type="dxa"/>
            <w:tcBorders>
              <w:tl2br w:val="nil"/>
              <w:tr2bl w:val="nil"/>
            </w:tcBorders>
            <w:noWrap w:val="0"/>
            <w:vAlign w:val="center"/>
          </w:tcPr>
          <w:p w14:paraId="48347AE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促甲状腺激素校准品</w:t>
            </w:r>
          </w:p>
        </w:tc>
        <w:tc>
          <w:tcPr>
            <w:tcW w:w="3737" w:type="dxa"/>
            <w:tcBorders>
              <w:tl2br w:val="nil"/>
              <w:tr2bl w:val="nil"/>
            </w:tcBorders>
            <w:noWrap w:val="0"/>
            <w:vAlign w:val="center"/>
          </w:tcPr>
          <w:p w14:paraId="45DC0EF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3*2ml/盒</w:t>
            </w:r>
          </w:p>
        </w:tc>
        <w:tc>
          <w:tcPr>
            <w:tcW w:w="1375" w:type="dxa"/>
            <w:tcBorders>
              <w:tl2br w:val="nil"/>
              <w:tr2bl w:val="nil"/>
            </w:tcBorders>
            <w:noWrap w:val="0"/>
            <w:vAlign w:val="center"/>
          </w:tcPr>
          <w:p w14:paraId="635991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F362A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7605DC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228.00</w:t>
            </w:r>
          </w:p>
        </w:tc>
        <w:tc>
          <w:tcPr>
            <w:tcW w:w="1434" w:type="dxa"/>
            <w:tcBorders>
              <w:tl2br w:val="nil"/>
              <w:tr2bl w:val="nil"/>
            </w:tcBorders>
            <w:noWrap w:val="0"/>
            <w:vAlign w:val="center"/>
          </w:tcPr>
          <w:p w14:paraId="7445F8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0837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40A3B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80</w:t>
            </w:r>
          </w:p>
        </w:tc>
        <w:tc>
          <w:tcPr>
            <w:tcW w:w="3810" w:type="dxa"/>
            <w:tcBorders>
              <w:tl2br w:val="nil"/>
              <w:tr2bl w:val="nil"/>
            </w:tcBorders>
            <w:noWrap w:val="0"/>
            <w:vAlign w:val="center"/>
          </w:tcPr>
          <w:p w14:paraId="2FD211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甲状腺功能复合定值质控品</w:t>
            </w:r>
          </w:p>
        </w:tc>
        <w:tc>
          <w:tcPr>
            <w:tcW w:w="3737" w:type="dxa"/>
            <w:tcBorders>
              <w:tl2br w:val="nil"/>
              <w:tr2bl w:val="nil"/>
            </w:tcBorders>
            <w:noWrap w:val="0"/>
            <w:vAlign w:val="center"/>
          </w:tcPr>
          <w:p w14:paraId="649A6C4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1*5ml/盒</w:t>
            </w:r>
          </w:p>
        </w:tc>
        <w:tc>
          <w:tcPr>
            <w:tcW w:w="1375" w:type="dxa"/>
            <w:tcBorders>
              <w:tl2br w:val="nil"/>
              <w:tr2bl w:val="nil"/>
            </w:tcBorders>
            <w:noWrap w:val="0"/>
            <w:vAlign w:val="center"/>
          </w:tcPr>
          <w:p w14:paraId="5C7326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A63A0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1554" w:type="dxa"/>
            <w:tcBorders>
              <w:tl2br w:val="nil"/>
              <w:tr2bl w:val="nil"/>
            </w:tcBorders>
            <w:noWrap w:val="0"/>
            <w:vAlign w:val="center"/>
          </w:tcPr>
          <w:p w14:paraId="3417F4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288.00</w:t>
            </w:r>
          </w:p>
        </w:tc>
        <w:tc>
          <w:tcPr>
            <w:tcW w:w="1434" w:type="dxa"/>
            <w:tcBorders>
              <w:tl2br w:val="nil"/>
              <w:tr2bl w:val="nil"/>
            </w:tcBorders>
            <w:noWrap w:val="0"/>
            <w:vAlign w:val="center"/>
          </w:tcPr>
          <w:p w14:paraId="6B6387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BF39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D34D7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81</w:t>
            </w:r>
          </w:p>
        </w:tc>
        <w:tc>
          <w:tcPr>
            <w:tcW w:w="3810" w:type="dxa"/>
            <w:tcBorders>
              <w:tl2br w:val="nil"/>
              <w:tr2bl w:val="nil"/>
            </w:tcBorders>
            <w:noWrap w:val="0"/>
            <w:vAlign w:val="center"/>
          </w:tcPr>
          <w:p w14:paraId="219331A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清洗液</w:t>
            </w:r>
          </w:p>
        </w:tc>
        <w:tc>
          <w:tcPr>
            <w:tcW w:w="3737" w:type="dxa"/>
            <w:tcBorders>
              <w:tl2br w:val="nil"/>
              <w:tr2bl w:val="nil"/>
            </w:tcBorders>
            <w:noWrap w:val="0"/>
            <w:vAlign w:val="center"/>
          </w:tcPr>
          <w:p w14:paraId="5DF5071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1*10L</w:t>
            </w:r>
          </w:p>
        </w:tc>
        <w:tc>
          <w:tcPr>
            <w:tcW w:w="1375" w:type="dxa"/>
            <w:tcBorders>
              <w:tl2br w:val="nil"/>
              <w:tr2bl w:val="nil"/>
            </w:tcBorders>
            <w:noWrap w:val="0"/>
            <w:vAlign w:val="center"/>
          </w:tcPr>
          <w:p w14:paraId="2F10C8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桶</w:t>
            </w:r>
          </w:p>
        </w:tc>
        <w:tc>
          <w:tcPr>
            <w:tcW w:w="963" w:type="dxa"/>
            <w:tcBorders>
              <w:tl2br w:val="nil"/>
              <w:tr2bl w:val="nil"/>
            </w:tcBorders>
            <w:noWrap w:val="0"/>
            <w:vAlign w:val="center"/>
          </w:tcPr>
          <w:p w14:paraId="441ECF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9415E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263.00</w:t>
            </w:r>
          </w:p>
        </w:tc>
        <w:tc>
          <w:tcPr>
            <w:tcW w:w="1434" w:type="dxa"/>
            <w:tcBorders>
              <w:tl2br w:val="nil"/>
              <w:tr2bl w:val="nil"/>
            </w:tcBorders>
            <w:noWrap w:val="0"/>
            <w:vAlign w:val="center"/>
          </w:tcPr>
          <w:p w14:paraId="0CCD01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227B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B8EFE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82</w:t>
            </w:r>
          </w:p>
        </w:tc>
        <w:tc>
          <w:tcPr>
            <w:tcW w:w="3810" w:type="dxa"/>
            <w:tcBorders>
              <w:tl2br w:val="nil"/>
              <w:tr2bl w:val="nil"/>
            </w:tcBorders>
            <w:noWrap w:val="0"/>
            <w:vAlign w:val="center"/>
          </w:tcPr>
          <w:p w14:paraId="3C843A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全自动免疫检验系统用底物液</w:t>
            </w:r>
          </w:p>
        </w:tc>
        <w:tc>
          <w:tcPr>
            <w:tcW w:w="3737" w:type="dxa"/>
            <w:tcBorders>
              <w:tl2br w:val="nil"/>
              <w:tr2bl w:val="nil"/>
            </w:tcBorders>
            <w:noWrap w:val="0"/>
            <w:vAlign w:val="center"/>
          </w:tcPr>
          <w:p w14:paraId="44423C8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4*115ml/盒</w:t>
            </w:r>
          </w:p>
        </w:tc>
        <w:tc>
          <w:tcPr>
            <w:tcW w:w="1375" w:type="dxa"/>
            <w:tcBorders>
              <w:tl2br w:val="nil"/>
              <w:tr2bl w:val="nil"/>
            </w:tcBorders>
            <w:noWrap w:val="0"/>
            <w:vAlign w:val="center"/>
          </w:tcPr>
          <w:p w14:paraId="22C6C5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F29FC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54" w:type="dxa"/>
            <w:tcBorders>
              <w:tl2br w:val="nil"/>
              <w:tr2bl w:val="nil"/>
            </w:tcBorders>
            <w:noWrap w:val="0"/>
            <w:vAlign w:val="center"/>
          </w:tcPr>
          <w:p w14:paraId="42DA6B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1302.00</w:t>
            </w:r>
          </w:p>
        </w:tc>
        <w:tc>
          <w:tcPr>
            <w:tcW w:w="1434" w:type="dxa"/>
            <w:tcBorders>
              <w:tl2br w:val="nil"/>
              <w:tr2bl w:val="nil"/>
            </w:tcBorders>
            <w:noWrap w:val="0"/>
            <w:vAlign w:val="center"/>
          </w:tcPr>
          <w:p w14:paraId="215FE2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B39F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8CBE8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83</w:t>
            </w:r>
          </w:p>
        </w:tc>
        <w:tc>
          <w:tcPr>
            <w:tcW w:w="3810" w:type="dxa"/>
            <w:tcBorders>
              <w:tl2br w:val="nil"/>
              <w:tr2bl w:val="nil"/>
            </w:tcBorders>
            <w:noWrap w:val="0"/>
            <w:vAlign w:val="center"/>
          </w:tcPr>
          <w:p w14:paraId="5CB6F35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生化分析仪用清洗液</w:t>
            </w:r>
          </w:p>
        </w:tc>
        <w:tc>
          <w:tcPr>
            <w:tcW w:w="3737" w:type="dxa"/>
            <w:tcBorders>
              <w:tl2br w:val="nil"/>
              <w:tr2bl w:val="nil"/>
            </w:tcBorders>
            <w:noWrap w:val="0"/>
            <w:vAlign w:val="center"/>
          </w:tcPr>
          <w:p w14:paraId="55FFC45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1L/瓶</w:t>
            </w:r>
          </w:p>
        </w:tc>
        <w:tc>
          <w:tcPr>
            <w:tcW w:w="1375" w:type="dxa"/>
            <w:tcBorders>
              <w:tl2br w:val="nil"/>
              <w:tr2bl w:val="nil"/>
            </w:tcBorders>
            <w:noWrap w:val="0"/>
            <w:vAlign w:val="center"/>
          </w:tcPr>
          <w:p w14:paraId="3E21FC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963" w:type="dxa"/>
            <w:tcBorders>
              <w:tl2br w:val="nil"/>
              <w:tr2bl w:val="nil"/>
            </w:tcBorders>
            <w:noWrap w:val="0"/>
            <w:vAlign w:val="center"/>
          </w:tcPr>
          <w:p w14:paraId="3991E3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0A1ED9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252.00</w:t>
            </w:r>
          </w:p>
        </w:tc>
        <w:tc>
          <w:tcPr>
            <w:tcW w:w="1434" w:type="dxa"/>
            <w:tcBorders>
              <w:tl2br w:val="nil"/>
              <w:tr2bl w:val="nil"/>
            </w:tcBorders>
            <w:noWrap w:val="0"/>
            <w:vAlign w:val="center"/>
          </w:tcPr>
          <w:p w14:paraId="149DEA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p>
        </w:tc>
      </w:tr>
      <w:tr w14:paraId="4CB1C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2A111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84</w:t>
            </w:r>
          </w:p>
        </w:tc>
        <w:tc>
          <w:tcPr>
            <w:tcW w:w="3810" w:type="dxa"/>
            <w:tcBorders>
              <w:tl2br w:val="nil"/>
              <w:tr2bl w:val="nil"/>
            </w:tcBorders>
            <w:noWrap w:val="0"/>
            <w:vAlign w:val="center"/>
          </w:tcPr>
          <w:p w14:paraId="5FE66C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叶酸测定试剂盒</w:t>
            </w:r>
          </w:p>
        </w:tc>
        <w:tc>
          <w:tcPr>
            <w:tcW w:w="3737" w:type="dxa"/>
            <w:tcBorders>
              <w:tl2br w:val="nil"/>
              <w:tr2bl w:val="nil"/>
            </w:tcBorders>
            <w:noWrap w:val="0"/>
            <w:vAlign w:val="center"/>
          </w:tcPr>
          <w:p w14:paraId="060A70E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50人份/盒</w:t>
            </w:r>
          </w:p>
        </w:tc>
        <w:tc>
          <w:tcPr>
            <w:tcW w:w="1375" w:type="dxa"/>
            <w:tcBorders>
              <w:tl2br w:val="nil"/>
              <w:tr2bl w:val="nil"/>
            </w:tcBorders>
            <w:noWrap w:val="0"/>
            <w:vAlign w:val="center"/>
          </w:tcPr>
          <w:p w14:paraId="29B12F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EAD63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54" w:type="dxa"/>
            <w:tcBorders>
              <w:tl2br w:val="nil"/>
              <w:tr2bl w:val="nil"/>
            </w:tcBorders>
            <w:noWrap w:val="0"/>
            <w:vAlign w:val="center"/>
          </w:tcPr>
          <w:p w14:paraId="32A2C0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1600.00</w:t>
            </w:r>
          </w:p>
        </w:tc>
        <w:tc>
          <w:tcPr>
            <w:tcW w:w="1434" w:type="dxa"/>
            <w:tcBorders>
              <w:tl2br w:val="nil"/>
              <w:tr2bl w:val="nil"/>
            </w:tcBorders>
            <w:noWrap w:val="0"/>
            <w:vAlign w:val="center"/>
          </w:tcPr>
          <w:p w14:paraId="4E2A7E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p>
        </w:tc>
      </w:tr>
      <w:tr w14:paraId="49D27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E16E3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85</w:t>
            </w:r>
          </w:p>
        </w:tc>
        <w:tc>
          <w:tcPr>
            <w:tcW w:w="3810" w:type="dxa"/>
            <w:tcBorders>
              <w:tl2br w:val="nil"/>
              <w:tr2bl w:val="nil"/>
            </w:tcBorders>
            <w:noWrap w:val="0"/>
            <w:vAlign w:val="center"/>
          </w:tcPr>
          <w:p w14:paraId="4CE5688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游离甲状腺素测定试剂盒</w:t>
            </w:r>
          </w:p>
        </w:tc>
        <w:tc>
          <w:tcPr>
            <w:tcW w:w="3737" w:type="dxa"/>
            <w:tcBorders>
              <w:tl2br w:val="nil"/>
              <w:tr2bl w:val="nil"/>
            </w:tcBorders>
            <w:noWrap w:val="0"/>
            <w:vAlign w:val="center"/>
          </w:tcPr>
          <w:p w14:paraId="36F6A9C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2*100人份/盒</w:t>
            </w:r>
          </w:p>
        </w:tc>
        <w:tc>
          <w:tcPr>
            <w:tcW w:w="1375" w:type="dxa"/>
            <w:tcBorders>
              <w:tl2br w:val="nil"/>
              <w:tr2bl w:val="nil"/>
            </w:tcBorders>
            <w:noWrap w:val="0"/>
            <w:vAlign w:val="center"/>
          </w:tcPr>
          <w:p w14:paraId="2B6356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BFDC4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2E988F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930.00</w:t>
            </w:r>
          </w:p>
        </w:tc>
        <w:tc>
          <w:tcPr>
            <w:tcW w:w="1434" w:type="dxa"/>
            <w:tcBorders>
              <w:tl2br w:val="nil"/>
              <w:tr2bl w:val="nil"/>
            </w:tcBorders>
            <w:noWrap w:val="0"/>
            <w:vAlign w:val="center"/>
          </w:tcPr>
          <w:p w14:paraId="47AE82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7E8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B4327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86</w:t>
            </w:r>
          </w:p>
        </w:tc>
        <w:tc>
          <w:tcPr>
            <w:tcW w:w="3810" w:type="dxa"/>
            <w:tcBorders>
              <w:tl2br w:val="nil"/>
              <w:tr2bl w:val="nil"/>
            </w:tcBorders>
            <w:noWrap w:val="0"/>
            <w:vAlign w:val="center"/>
          </w:tcPr>
          <w:p w14:paraId="4E82240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氨检测试剂盒(谷氨酸脱氢酶法）</w:t>
            </w:r>
          </w:p>
        </w:tc>
        <w:tc>
          <w:tcPr>
            <w:tcW w:w="3737" w:type="dxa"/>
            <w:tcBorders>
              <w:tl2br w:val="nil"/>
              <w:tr2bl w:val="nil"/>
            </w:tcBorders>
            <w:noWrap w:val="0"/>
            <w:vAlign w:val="center"/>
          </w:tcPr>
          <w:p w14:paraId="0F9A97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360ml（6*60ml）校准品：1ML</w:t>
            </w:r>
          </w:p>
        </w:tc>
        <w:tc>
          <w:tcPr>
            <w:tcW w:w="1375" w:type="dxa"/>
            <w:tcBorders>
              <w:tl2br w:val="nil"/>
              <w:tr2bl w:val="nil"/>
            </w:tcBorders>
            <w:noWrap w:val="0"/>
            <w:vAlign w:val="center"/>
          </w:tcPr>
          <w:p w14:paraId="4B8438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77B00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4871A1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1,137.60</w:t>
            </w:r>
          </w:p>
        </w:tc>
        <w:tc>
          <w:tcPr>
            <w:tcW w:w="1434" w:type="dxa"/>
            <w:tcBorders>
              <w:tl2br w:val="nil"/>
              <w:tr2bl w:val="nil"/>
            </w:tcBorders>
            <w:noWrap w:val="0"/>
            <w:vAlign w:val="center"/>
          </w:tcPr>
          <w:p w14:paraId="25FFFA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9CD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8CA80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87</w:t>
            </w:r>
          </w:p>
        </w:tc>
        <w:tc>
          <w:tcPr>
            <w:tcW w:w="3810" w:type="dxa"/>
            <w:tcBorders>
              <w:tl2br w:val="nil"/>
              <w:tr2bl w:val="nil"/>
            </w:tcBorders>
            <w:noWrap w:val="0"/>
            <w:vAlign w:val="center"/>
          </w:tcPr>
          <w:p w14:paraId="34F50E0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促甲状腺素测定试剂盒（化学发光法）</w:t>
            </w:r>
          </w:p>
        </w:tc>
        <w:tc>
          <w:tcPr>
            <w:tcW w:w="3737" w:type="dxa"/>
            <w:tcBorders>
              <w:tl2br w:val="nil"/>
              <w:tr2bl w:val="nil"/>
            </w:tcBorders>
            <w:noWrap w:val="0"/>
            <w:vAlign w:val="center"/>
          </w:tcPr>
          <w:p w14:paraId="0DE672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2×100测试/盒</w:t>
            </w:r>
          </w:p>
        </w:tc>
        <w:tc>
          <w:tcPr>
            <w:tcW w:w="1375" w:type="dxa"/>
            <w:tcBorders>
              <w:tl2br w:val="nil"/>
              <w:tr2bl w:val="nil"/>
            </w:tcBorders>
            <w:noWrap w:val="0"/>
            <w:vAlign w:val="center"/>
          </w:tcPr>
          <w:p w14:paraId="625A34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A9A72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1554" w:type="dxa"/>
            <w:tcBorders>
              <w:tl2br w:val="nil"/>
              <w:tr2bl w:val="nil"/>
            </w:tcBorders>
            <w:noWrap w:val="0"/>
            <w:vAlign w:val="center"/>
          </w:tcPr>
          <w:p w14:paraId="58B37D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2,192.00</w:t>
            </w:r>
          </w:p>
        </w:tc>
        <w:tc>
          <w:tcPr>
            <w:tcW w:w="1434" w:type="dxa"/>
            <w:tcBorders>
              <w:tl2br w:val="nil"/>
              <w:tr2bl w:val="nil"/>
            </w:tcBorders>
            <w:noWrap w:val="0"/>
            <w:vAlign w:val="center"/>
          </w:tcPr>
          <w:p w14:paraId="4F3742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C837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35334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88</w:t>
            </w:r>
          </w:p>
        </w:tc>
        <w:tc>
          <w:tcPr>
            <w:tcW w:w="3810" w:type="dxa"/>
            <w:tcBorders>
              <w:tl2br w:val="nil"/>
              <w:tr2bl w:val="nil"/>
            </w:tcBorders>
            <w:noWrap w:val="0"/>
            <w:vAlign w:val="center"/>
          </w:tcPr>
          <w:p w14:paraId="4AEA61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高敏肌钙蛋白I测定试剂盒（化学发光法）</w:t>
            </w:r>
          </w:p>
        </w:tc>
        <w:tc>
          <w:tcPr>
            <w:tcW w:w="3737" w:type="dxa"/>
            <w:tcBorders>
              <w:tl2br w:val="nil"/>
              <w:tr2bl w:val="nil"/>
            </w:tcBorders>
            <w:noWrap w:val="0"/>
            <w:vAlign w:val="center"/>
          </w:tcPr>
          <w:p w14:paraId="4737EAA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w:t>
            </w:r>
          </w:p>
        </w:tc>
        <w:tc>
          <w:tcPr>
            <w:tcW w:w="1375" w:type="dxa"/>
            <w:tcBorders>
              <w:tl2br w:val="nil"/>
              <w:tr2bl w:val="nil"/>
            </w:tcBorders>
            <w:noWrap w:val="0"/>
            <w:vAlign w:val="center"/>
          </w:tcPr>
          <w:p w14:paraId="31AD01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9E772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1554" w:type="dxa"/>
            <w:tcBorders>
              <w:tl2br w:val="nil"/>
              <w:tr2bl w:val="nil"/>
            </w:tcBorders>
            <w:noWrap w:val="0"/>
            <w:vAlign w:val="center"/>
          </w:tcPr>
          <w:p w14:paraId="3EF27A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3,861.00</w:t>
            </w:r>
          </w:p>
        </w:tc>
        <w:tc>
          <w:tcPr>
            <w:tcW w:w="1434" w:type="dxa"/>
            <w:tcBorders>
              <w:tl2br w:val="nil"/>
              <w:tr2bl w:val="nil"/>
            </w:tcBorders>
            <w:noWrap w:val="0"/>
            <w:vAlign w:val="center"/>
          </w:tcPr>
          <w:p w14:paraId="2683DC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F315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697CF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89</w:t>
            </w:r>
          </w:p>
        </w:tc>
        <w:tc>
          <w:tcPr>
            <w:tcW w:w="3810" w:type="dxa"/>
            <w:tcBorders>
              <w:tl2br w:val="nil"/>
              <w:tr2bl w:val="nil"/>
            </w:tcBorders>
            <w:noWrap w:val="0"/>
            <w:vAlign w:val="center"/>
          </w:tcPr>
          <w:p w14:paraId="364F9B4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B型钠尿肽测定试剂盒（化学发光法）</w:t>
            </w:r>
          </w:p>
        </w:tc>
        <w:tc>
          <w:tcPr>
            <w:tcW w:w="3737" w:type="dxa"/>
            <w:tcBorders>
              <w:tl2br w:val="nil"/>
              <w:tr2bl w:val="nil"/>
            </w:tcBorders>
            <w:noWrap w:val="0"/>
            <w:vAlign w:val="center"/>
          </w:tcPr>
          <w:p w14:paraId="6D57E69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校准品：0.5ml*6</w:t>
            </w:r>
          </w:p>
        </w:tc>
        <w:tc>
          <w:tcPr>
            <w:tcW w:w="1375" w:type="dxa"/>
            <w:tcBorders>
              <w:tl2br w:val="nil"/>
              <w:tr2bl w:val="nil"/>
            </w:tcBorders>
            <w:noWrap w:val="0"/>
            <w:vAlign w:val="center"/>
          </w:tcPr>
          <w:p w14:paraId="6E05CA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2CF36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1554" w:type="dxa"/>
            <w:tcBorders>
              <w:tl2br w:val="nil"/>
              <w:tr2bl w:val="nil"/>
            </w:tcBorders>
            <w:noWrap w:val="0"/>
            <w:vAlign w:val="center"/>
          </w:tcPr>
          <w:p w14:paraId="70BF09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4,455.00</w:t>
            </w:r>
          </w:p>
        </w:tc>
        <w:tc>
          <w:tcPr>
            <w:tcW w:w="1434" w:type="dxa"/>
            <w:tcBorders>
              <w:tl2br w:val="nil"/>
              <w:tr2bl w:val="nil"/>
            </w:tcBorders>
            <w:noWrap w:val="0"/>
            <w:vAlign w:val="center"/>
          </w:tcPr>
          <w:p w14:paraId="115448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97E6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7911E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90</w:t>
            </w:r>
          </w:p>
        </w:tc>
        <w:tc>
          <w:tcPr>
            <w:tcW w:w="3810" w:type="dxa"/>
            <w:tcBorders>
              <w:tl2br w:val="nil"/>
              <w:tr2bl w:val="nil"/>
            </w:tcBorders>
            <w:noWrap w:val="0"/>
            <w:vAlign w:val="center"/>
          </w:tcPr>
          <w:p w14:paraId="5DC0307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血清淀粉样蛋白A测定试剂盒（化学发光法）</w:t>
            </w:r>
          </w:p>
        </w:tc>
        <w:tc>
          <w:tcPr>
            <w:tcW w:w="3737" w:type="dxa"/>
            <w:tcBorders>
              <w:tl2br w:val="nil"/>
              <w:tr2bl w:val="nil"/>
            </w:tcBorders>
            <w:noWrap w:val="0"/>
            <w:vAlign w:val="center"/>
          </w:tcPr>
          <w:p w14:paraId="1F5522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校准品：0.5ml*2</w:t>
            </w:r>
          </w:p>
        </w:tc>
        <w:tc>
          <w:tcPr>
            <w:tcW w:w="1375" w:type="dxa"/>
            <w:tcBorders>
              <w:tl2br w:val="nil"/>
              <w:tr2bl w:val="nil"/>
            </w:tcBorders>
            <w:noWrap w:val="0"/>
            <w:vAlign w:val="center"/>
          </w:tcPr>
          <w:p w14:paraId="5ADB44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47E68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67C4C8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808.00</w:t>
            </w:r>
          </w:p>
        </w:tc>
        <w:tc>
          <w:tcPr>
            <w:tcW w:w="1434" w:type="dxa"/>
            <w:tcBorders>
              <w:tl2br w:val="nil"/>
              <w:tr2bl w:val="nil"/>
            </w:tcBorders>
            <w:noWrap w:val="0"/>
            <w:vAlign w:val="center"/>
          </w:tcPr>
          <w:p w14:paraId="4D2658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5091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148DF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91</w:t>
            </w:r>
          </w:p>
        </w:tc>
        <w:tc>
          <w:tcPr>
            <w:tcW w:w="3810" w:type="dxa"/>
            <w:tcBorders>
              <w:tl2br w:val="nil"/>
              <w:tr2bl w:val="nil"/>
            </w:tcBorders>
            <w:noWrap w:val="0"/>
            <w:vAlign w:val="center"/>
          </w:tcPr>
          <w:p w14:paraId="1278BB9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25-羟基维生素D测定试剂盒（化学发光法）</w:t>
            </w:r>
          </w:p>
        </w:tc>
        <w:tc>
          <w:tcPr>
            <w:tcW w:w="3737" w:type="dxa"/>
            <w:tcBorders>
              <w:tl2br w:val="nil"/>
              <w:tr2bl w:val="nil"/>
            </w:tcBorders>
            <w:noWrap w:val="0"/>
            <w:vAlign w:val="center"/>
          </w:tcPr>
          <w:p w14:paraId="51F5520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校准品：0.5*6</w:t>
            </w:r>
          </w:p>
        </w:tc>
        <w:tc>
          <w:tcPr>
            <w:tcW w:w="1375" w:type="dxa"/>
            <w:tcBorders>
              <w:tl2br w:val="nil"/>
              <w:tr2bl w:val="nil"/>
            </w:tcBorders>
            <w:noWrap w:val="0"/>
            <w:vAlign w:val="center"/>
          </w:tcPr>
          <w:p w14:paraId="2BDAEC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DC458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E7C26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1,520.00</w:t>
            </w:r>
          </w:p>
        </w:tc>
        <w:tc>
          <w:tcPr>
            <w:tcW w:w="1434" w:type="dxa"/>
            <w:tcBorders>
              <w:tl2br w:val="nil"/>
              <w:tr2bl w:val="nil"/>
            </w:tcBorders>
            <w:noWrap w:val="0"/>
            <w:vAlign w:val="center"/>
          </w:tcPr>
          <w:p w14:paraId="593646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45AF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60357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92</w:t>
            </w:r>
          </w:p>
        </w:tc>
        <w:tc>
          <w:tcPr>
            <w:tcW w:w="3810" w:type="dxa"/>
            <w:tcBorders>
              <w:tl2br w:val="nil"/>
              <w:tr2bl w:val="nil"/>
            </w:tcBorders>
            <w:noWrap w:val="0"/>
            <w:vAlign w:val="center"/>
          </w:tcPr>
          <w:p w14:paraId="50C15AE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血清淀粉样蛋白A测定试剂盒（化学发光法）</w:t>
            </w:r>
          </w:p>
        </w:tc>
        <w:tc>
          <w:tcPr>
            <w:tcW w:w="3737" w:type="dxa"/>
            <w:tcBorders>
              <w:tl2br w:val="nil"/>
              <w:tr2bl w:val="nil"/>
            </w:tcBorders>
            <w:noWrap w:val="0"/>
            <w:vAlign w:val="center"/>
          </w:tcPr>
          <w:p w14:paraId="4480253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校准品：0.5ml*6</w:t>
            </w:r>
          </w:p>
        </w:tc>
        <w:tc>
          <w:tcPr>
            <w:tcW w:w="1375" w:type="dxa"/>
            <w:tcBorders>
              <w:tl2br w:val="nil"/>
              <w:tr2bl w:val="nil"/>
            </w:tcBorders>
            <w:noWrap w:val="0"/>
            <w:vAlign w:val="center"/>
          </w:tcPr>
          <w:p w14:paraId="247298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5E147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47F89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808.00</w:t>
            </w:r>
          </w:p>
        </w:tc>
        <w:tc>
          <w:tcPr>
            <w:tcW w:w="1434" w:type="dxa"/>
            <w:tcBorders>
              <w:tl2br w:val="nil"/>
              <w:tr2bl w:val="nil"/>
            </w:tcBorders>
            <w:noWrap w:val="0"/>
            <w:vAlign w:val="center"/>
          </w:tcPr>
          <w:p w14:paraId="380655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BE6E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26231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93</w:t>
            </w:r>
          </w:p>
        </w:tc>
        <w:tc>
          <w:tcPr>
            <w:tcW w:w="3810" w:type="dxa"/>
            <w:tcBorders>
              <w:tl2br w:val="nil"/>
              <w:tr2bl w:val="nil"/>
            </w:tcBorders>
            <w:noWrap w:val="0"/>
            <w:vAlign w:val="center"/>
          </w:tcPr>
          <w:p w14:paraId="046C28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促甲状腺激素受体抗体测定试剂盒（化学发光法）</w:t>
            </w:r>
          </w:p>
        </w:tc>
        <w:tc>
          <w:tcPr>
            <w:tcW w:w="3737" w:type="dxa"/>
            <w:tcBorders>
              <w:tl2br w:val="nil"/>
              <w:tr2bl w:val="nil"/>
            </w:tcBorders>
            <w:noWrap w:val="0"/>
            <w:vAlign w:val="center"/>
          </w:tcPr>
          <w:p w14:paraId="682524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校准品：0.5ml*6</w:t>
            </w:r>
          </w:p>
        </w:tc>
        <w:tc>
          <w:tcPr>
            <w:tcW w:w="1375" w:type="dxa"/>
            <w:tcBorders>
              <w:tl2br w:val="nil"/>
              <w:tr2bl w:val="nil"/>
            </w:tcBorders>
            <w:noWrap w:val="0"/>
            <w:vAlign w:val="center"/>
          </w:tcPr>
          <w:p w14:paraId="7D813A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4E7D8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61D0CA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1,300.00</w:t>
            </w:r>
          </w:p>
        </w:tc>
        <w:tc>
          <w:tcPr>
            <w:tcW w:w="1434" w:type="dxa"/>
            <w:tcBorders>
              <w:tl2br w:val="nil"/>
              <w:tr2bl w:val="nil"/>
            </w:tcBorders>
            <w:noWrap w:val="0"/>
            <w:vAlign w:val="center"/>
          </w:tcPr>
          <w:p w14:paraId="29B983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84E3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549B4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94</w:t>
            </w:r>
          </w:p>
        </w:tc>
        <w:tc>
          <w:tcPr>
            <w:tcW w:w="3810" w:type="dxa"/>
            <w:tcBorders>
              <w:tl2br w:val="nil"/>
              <w:tr2bl w:val="nil"/>
            </w:tcBorders>
            <w:noWrap w:val="0"/>
            <w:vAlign w:val="center"/>
          </w:tcPr>
          <w:p w14:paraId="5F1EB3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胃泌素17测定试剂盒（化学发光法）</w:t>
            </w:r>
          </w:p>
        </w:tc>
        <w:tc>
          <w:tcPr>
            <w:tcW w:w="3737" w:type="dxa"/>
            <w:tcBorders>
              <w:tl2br w:val="nil"/>
              <w:tr2bl w:val="nil"/>
            </w:tcBorders>
            <w:noWrap w:val="0"/>
            <w:vAlign w:val="center"/>
          </w:tcPr>
          <w:p w14:paraId="2B1AC97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校准品：0.5ml*6 质控品：1.0ml*2</w:t>
            </w:r>
          </w:p>
        </w:tc>
        <w:tc>
          <w:tcPr>
            <w:tcW w:w="1375" w:type="dxa"/>
            <w:tcBorders>
              <w:tl2br w:val="nil"/>
              <w:tr2bl w:val="nil"/>
            </w:tcBorders>
            <w:noWrap w:val="0"/>
            <w:vAlign w:val="center"/>
          </w:tcPr>
          <w:p w14:paraId="4D5B12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80FDB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61E1B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1,852.00</w:t>
            </w:r>
          </w:p>
        </w:tc>
        <w:tc>
          <w:tcPr>
            <w:tcW w:w="1434" w:type="dxa"/>
            <w:tcBorders>
              <w:tl2br w:val="nil"/>
              <w:tr2bl w:val="nil"/>
            </w:tcBorders>
            <w:noWrap w:val="0"/>
            <w:vAlign w:val="center"/>
          </w:tcPr>
          <w:p w14:paraId="5E0E07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7FEC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A248D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95</w:t>
            </w:r>
          </w:p>
        </w:tc>
        <w:tc>
          <w:tcPr>
            <w:tcW w:w="3810" w:type="dxa"/>
            <w:tcBorders>
              <w:tl2br w:val="nil"/>
              <w:tr2bl w:val="nil"/>
            </w:tcBorders>
            <w:noWrap w:val="0"/>
            <w:vAlign w:val="center"/>
          </w:tcPr>
          <w:p w14:paraId="183A0D2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胃蛋白酶原I测定试剂盒（化学发光法）</w:t>
            </w:r>
          </w:p>
        </w:tc>
        <w:tc>
          <w:tcPr>
            <w:tcW w:w="3737" w:type="dxa"/>
            <w:tcBorders>
              <w:tl2br w:val="nil"/>
              <w:tr2bl w:val="nil"/>
            </w:tcBorders>
            <w:noWrap w:val="0"/>
            <w:vAlign w:val="center"/>
          </w:tcPr>
          <w:p w14:paraId="64CBEB7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校准品：0.5ml*6</w:t>
            </w:r>
          </w:p>
        </w:tc>
        <w:tc>
          <w:tcPr>
            <w:tcW w:w="1375" w:type="dxa"/>
            <w:tcBorders>
              <w:tl2br w:val="nil"/>
              <w:tr2bl w:val="nil"/>
            </w:tcBorders>
            <w:noWrap w:val="0"/>
            <w:vAlign w:val="center"/>
          </w:tcPr>
          <w:p w14:paraId="176B7D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AD2B9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7004E7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1,852.00</w:t>
            </w:r>
          </w:p>
        </w:tc>
        <w:tc>
          <w:tcPr>
            <w:tcW w:w="1434" w:type="dxa"/>
            <w:tcBorders>
              <w:tl2br w:val="nil"/>
              <w:tr2bl w:val="nil"/>
            </w:tcBorders>
            <w:noWrap w:val="0"/>
            <w:vAlign w:val="center"/>
          </w:tcPr>
          <w:p w14:paraId="3BF047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3D4C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93A34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96</w:t>
            </w:r>
          </w:p>
        </w:tc>
        <w:tc>
          <w:tcPr>
            <w:tcW w:w="3810" w:type="dxa"/>
            <w:tcBorders>
              <w:tl2br w:val="nil"/>
              <w:tr2bl w:val="nil"/>
            </w:tcBorders>
            <w:noWrap w:val="0"/>
            <w:vAlign w:val="center"/>
          </w:tcPr>
          <w:p w14:paraId="144076E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胃蛋白酶原II测定试剂盒（化学发光法）</w:t>
            </w:r>
          </w:p>
        </w:tc>
        <w:tc>
          <w:tcPr>
            <w:tcW w:w="3737" w:type="dxa"/>
            <w:tcBorders>
              <w:tl2br w:val="nil"/>
              <w:tr2bl w:val="nil"/>
            </w:tcBorders>
            <w:noWrap w:val="0"/>
            <w:vAlign w:val="center"/>
          </w:tcPr>
          <w:p w14:paraId="2ACAC9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2*50测试/盒 校准品：0.5ml*6</w:t>
            </w:r>
          </w:p>
        </w:tc>
        <w:tc>
          <w:tcPr>
            <w:tcW w:w="1375" w:type="dxa"/>
            <w:tcBorders>
              <w:tl2br w:val="nil"/>
              <w:tr2bl w:val="nil"/>
            </w:tcBorders>
            <w:noWrap w:val="0"/>
            <w:vAlign w:val="center"/>
          </w:tcPr>
          <w:p w14:paraId="3D8272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4F815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08C3E7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1,852.00</w:t>
            </w:r>
          </w:p>
        </w:tc>
        <w:tc>
          <w:tcPr>
            <w:tcW w:w="1434" w:type="dxa"/>
            <w:tcBorders>
              <w:tl2br w:val="nil"/>
              <w:tr2bl w:val="nil"/>
            </w:tcBorders>
            <w:noWrap w:val="0"/>
            <w:vAlign w:val="center"/>
          </w:tcPr>
          <w:p w14:paraId="01F048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E0B9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65431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97</w:t>
            </w:r>
          </w:p>
        </w:tc>
        <w:tc>
          <w:tcPr>
            <w:tcW w:w="3810" w:type="dxa"/>
            <w:tcBorders>
              <w:tl2br w:val="nil"/>
              <w:tr2bl w:val="nil"/>
            </w:tcBorders>
            <w:noWrap w:val="0"/>
            <w:vAlign w:val="center"/>
          </w:tcPr>
          <w:p w14:paraId="3D140D0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TOP反应杯</w:t>
            </w:r>
          </w:p>
        </w:tc>
        <w:tc>
          <w:tcPr>
            <w:tcW w:w="3737" w:type="dxa"/>
            <w:tcBorders>
              <w:tl2br w:val="nil"/>
              <w:tr2bl w:val="nil"/>
            </w:tcBorders>
            <w:noWrap w:val="0"/>
            <w:vAlign w:val="center"/>
          </w:tcPr>
          <w:p w14:paraId="76B85A7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6*（4*100条/盒）</w:t>
            </w:r>
          </w:p>
        </w:tc>
        <w:tc>
          <w:tcPr>
            <w:tcW w:w="1375" w:type="dxa"/>
            <w:tcBorders>
              <w:tl2br w:val="nil"/>
              <w:tr2bl w:val="nil"/>
            </w:tcBorders>
            <w:noWrap w:val="0"/>
            <w:vAlign w:val="center"/>
          </w:tcPr>
          <w:p w14:paraId="3CED5E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9FFA8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BEE7C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1,180.00</w:t>
            </w:r>
          </w:p>
        </w:tc>
        <w:tc>
          <w:tcPr>
            <w:tcW w:w="1434" w:type="dxa"/>
            <w:tcBorders>
              <w:tl2br w:val="nil"/>
              <w:tr2bl w:val="nil"/>
            </w:tcBorders>
            <w:noWrap w:val="0"/>
            <w:vAlign w:val="center"/>
          </w:tcPr>
          <w:p w14:paraId="779431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0A1D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C2159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98</w:t>
            </w:r>
          </w:p>
        </w:tc>
        <w:tc>
          <w:tcPr>
            <w:tcW w:w="3810" w:type="dxa"/>
            <w:tcBorders>
              <w:tl2br w:val="nil"/>
              <w:tr2bl w:val="nil"/>
            </w:tcBorders>
            <w:noWrap w:val="0"/>
            <w:vAlign w:val="center"/>
          </w:tcPr>
          <w:p w14:paraId="565BDA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凝血分析用稀释液</w:t>
            </w:r>
          </w:p>
        </w:tc>
        <w:tc>
          <w:tcPr>
            <w:tcW w:w="3737" w:type="dxa"/>
            <w:tcBorders>
              <w:tl2br w:val="nil"/>
              <w:tr2bl w:val="nil"/>
            </w:tcBorders>
            <w:noWrap w:val="0"/>
            <w:vAlign w:val="center"/>
          </w:tcPr>
          <w:p w14:paraId="23BB8AF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1*100ml</w:t>
            </w:r>
          </w:p>
        </w:tc>
        <w:tc>
          <w:tcPr>
            <w:tcW w:w="1375" w:type="dxa"/>
            <w:tcBorders>
              <w:tl2br w:val="nil"/>
              <w:tr2bl w:val="nil"/>
            </w:tcBorders>
            <w:noWrap w:val="0"/>
            <w:vAlign w:val="center"/>
          </w:tcPr>
          <w:p w14:paraId="5186BD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DCB06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18DB73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190.00</w:t>
            </w:r>
          </w:p>
        </w:tc>
        <w:tc>
          <w:tcPr>
            <w:tcW w:w="1434" w:type="dxa"/>
            <w:tcBorders>
              <w:tl2br w:val="nil"/>
              <w:tr2bl w:val="nil"/>
            </w:tcBorders>
            <w:noWrap w:val="0"/>
            <w:vAlign w:val="center"/>
          </w:tcPr>
          <w:p w14:paraId="0836B6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3B59F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79CC3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99</w:t>
            </w:r>
          </w:p>
        </w:tc>
        <w:tc>
          <w:tcPr>
            <w:tcW w:w="3810" w:type="dxa"/>
            <w:tcBorders>
              <w:tl2br w:val="nil"/>
              <w:tr2bl w:val="nil"/>
            </w:tcBorders>
            <w:noWrap w:val="0"/>
            <w:vAlign w:val="center"/>
          </w:tcPr>
          <w:p w14:paraId="18FC57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纤维蛋白原测定试剂盒(凝固法)</w:t>
            </w:r>
          </w:p>
        </w:tc>
        <w:tc>
          <w:tcPr>
            <w:tcW w:w="3737" w:type="dxa"/>
            <w:tcBorders>
              <w:tl2br w:val="nil"/>
              <w:tr2bl w:val="nil"/>
            </w:tcBorders>
            <w:noWrap w:val="0"/>
            <w:vAlign w:val="center"/>
          </w:tcPr>
          <w:p w14:paraId="351A06E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10*5ml</w:t>
            </w:r>
          </w:p>
        </w:tc>
        <w:tc>
          <w:tcPr>
            <w:tcW w:w="1375" w:type="dxa"/>
            <w:tcBorders>
              <w:tl2br w:val="nil"/>
              <w:tr2bl w:val="nil"/>
            </w:tcBorders>
            <w:noWrap w:val="0"/>
            <w:vAlign w:val="center"/>
          </w:tcPr>
          <w:p w14:paraId="7CC948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54514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5EEB01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2,457.00</w:t>
            </w:r>
          </w:p>
        </w:tc>
        <w:tc>
          <w:tcPr>
            <w:tcW w:w="1434" w:type="dxa"/>
            <w:tcBorders>
              <w:tl2br w:val="nil"/>
              <w:tr2bl w:val="nil"/>
            </w:tcBorders>
            <w:noWrap w:val="0"/>
            <w:vAlign w:val="center"/>
          </w:tcPr>
          <w:p w14:paraId="08D85C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32F3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53112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3810" w:type="dxa"/>
            <w:tcBorders>
              <w:tl2br w:val="nil"/>
              <w:tr2bl w:val="nil"/>
            </w:tcBorders>
            <w:noWrap w:val="0"/>
            <w:vAlign w:val="center"/>
          </w:tcPr>
          <w:p w14:paraId="1C5FE46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凝血酶时间测定试剂盒(凝固法)</w:t>
            </w:r>
          </w:p>
        </w:tc>
        <w:tc>
          <w:tcPr>
            <w:tcW w:w="3737" w:type="dxa"/>
            <w:tcBorders>
              <w:tl2br w:val="nil"/>
              <w:tr2bl w:val="nil"/>
            </w:tcBorders>
            <w:noWrap w:val="0"/>
            <w:vAlign w:val="center"/>
          </w:tcPr>
          <w:p w14:paraId="128430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牛凝血酶：4瓶冻干粉*8/5/2ml，缓冲液：1*9ml</w:t>
            </w:r>
          </w:p>
        </w:tc>
        <w:tc>
          <w:tcPr>
            <w:tcW w:w="1375" w:type="dxa"/>
            <w:tcBorders>
              <w:tl2br w:val="nil"/>
              <w:tr2bl w:val="nil"/>
            </w:tcBorders>
            <w:noWrap w:val="0"/>
            <w:vAlign w:val="center"/>
          </w:tcPr>
          <w:p w14:paraId="429387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C306A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7D97F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679.20</w:t>
            </w:r>
          </w:p>
        </w:tc>
        <w:tc>
          <w:tcPr>
            <w:tcW w:w="1434" w:type="dxa"/>
            <w:tcBorders>
              <w:tl2br w:val="nil"/>
              <w:tr2bl w:val="nil"/>
            </w:tcBorders>
            <w:noWrap w:val="0"/>
            <w:vAlign w:val="center"/>
          </w:tcPr>
          <w:p w14:paraId="3B90F5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673C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22D3D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101</w:t>
            </w:r>
          </w:p>
        </w:tc>
        <w:tc>
          <w:tcPr>
            <w:tcW w:w="3810" w:type="dxa"/>
            <w:tcBorders>
              <w:tl2br w:val="nil"/>
              <w:tr2bl w:val="nil"/>
            </w:tcBorders>
            <w:noWrap w:val="0"/>
            <w:vAlign w:val="center"/>
          </w:tcPr>
          <w:p w14:paraId="4346DE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抗凝血酶测定试剂盒(发色底物法)</w:t>
            </w:r>
          </w:p>
        </w:tc>
        <w:tc>
          <w:tcPr>
            <w:tcW w:w="3737" w:type="dxa"/>
            <w:tcBorders>
              <w:tl2br w:val="nil"/>
              <w:tr2bl w:val="nil"/>
            </w:tcBorders>
            <w:noWrap w:val="0"/>
            <w:vAlign w:val="center"/>
          </w:tcPr>
          <w:p w14:paraId="0C2DBB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显色底物：2*2ml，因子Xa试剂：2*2ml</w:t>
            </w:r>
          </w:p>
        </w:tc>
        <w:tc>
          <w:tcPr>
            <w:tcW w:w="1375" w:type="dxa"/>
            <w:tcBorders>
              <w:tl2br w:val="nil"/>
              <w:tr2bl w:val="nil"/>
            </w:tcBorders>
            <w:noWrap w:val="0"/>
            <w:vAlign w:val="center"/>
          </w:tcPr>
          <w:p w14:paraId="1D5FCB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A90C0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146E0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1,520.00</w:t>
            </w:r>
          </w:p>
        </w:tc>
        <w:tc>
          <w:tcPr>
            <w:tcW w:w="1434" w:type="dxa"/>
            <w:tcBorders>
              <w:tl2br w:val="nil"/>
              <w:tr2bl w:val="nil"/>
            </w:tcBorders>
            <w:noWrap w:val="0"/>
            <w:vAlign w:val="center"/>
          </w:tcPr>
          <w:p w14:paraId="0F3676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2A1B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5FEA3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102</w:t>
            </w:r>
          </w:p>
        </w:tc>
        <w:tc>
          <w:tcPr>
            <w:tcW w:w="3810" w:type="dxa"/>
            <w:tcBorders>
              <w:tl2br w:val="nil"/>
              <w:tr2bl w:val="nil"/>
            </w:tcBorders>
            <w:noWrap w:val="0"/>
            <w:vAlign w:val="center"/>
          </w:tcPr>
          <w:p w14:paraId="1736E2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清洗液B</w:t>
            </w:r>
          </w:p>
        </w:tc>
        <w:tc>
          <w:tcPr>
            <w:tcW w:w="3737" w:type="dxa"/>
            <w:tcBorders>
              <w:tl2br w:val="nil"/>
              <w:tr2bl w:val="nil"/>
            </w:tcBorders>
            <w:noWrap w:val="0"/>
            <w:vAlign w:val="center"/>
          </w:tcPr>
          <w:p w14:paraId="3A4A6A9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80ml</w:t>
            </w:r>
          </w:p>
        </w:tc>
        <w:tc>
          <w:tcPr>
            <w:tcW w:w="1375" w:type="dxa"/>
            <w:tcBorders>
              <w:tl2br w:val="nil"/>
              <w:tr2bl w:val="nil"/>
            </w:tcBorders>
            <w:noWrap w:val="0"/>
            <w:vAlign w:val="center"/>
          </w:tcPr>
          <w:p w14:paraId="27F2D9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9848F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554" w:type="dxa"/>
            <w:tcBorders>
              <w:tl2br w:val="nil"/>
              <w:tr2bl w:val="nil"/>
            </w:tcBorders>
            <w:noWrap w:val="0"/>
            <w:vAlign w:val="center"/>
          </w:tcPr>
          <w:p w14:paraId="530C5C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w:t>
            </w:r>
          </w:p>
        </w:tc>
        <w:tc>
          <w:tcPr>
            <w:tcW w:w="1434" w:type="dxa"/>
            <w:tcBorders>
              <w:tl2br w:val="nil"/>
              <w:tr2bl w:val="nil"/>
            </w:tcBorders>
            <w:noWrap w:val="0"/>
            <w:vAlign w:val="center"/>
          </w:tcPr>
          <w:p w14:paraId="23AFDC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131C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F992D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103</w:t>
            </w:r>
          </w:p>
        </w:tc>
        <w:tc>
          <w:tcPr>
            <w:tcW w:w="3810" w:type="dxa"/>
            <w:tcBorders>
              <w:tl2br w:val="nil"/>
              <w:tr2bl w:val="nil"/>
            </w:tcBorders>
            <w:noWrap w:val="0"/>
            <w:vAlign w:val="center"/>
          </w:tcPr>
          <w:p w14:paraId="640CDFD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反应杯</w:t>
            </w:r>
          </w:p>
        </w:tc>
        <w:tc>
          <w:tcPr>
            <w:tcW w:w="3737" w:type="dxa"/>
            <w:tcBorders>
              <w:tl2br w:val="nil"/>
              <w:tr2bl w:val="nil"/>
            </w:tcBorders>
            <w:noWrap w:val="0"/>
            <w:vAlign w:val="center"/>
          </w:tcPr>
          <w:p w14:paraId="23BD47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2400个</w:t>
            </w:r>
          </w:p>
        </w:tc>
        <w:tc>
          <w:tcPr>
            <w:tcW w:w="1375" w:type="dxa"/>
            <w:tcBorders>
              <w:tl2br w:val="nil"/>
              <w:tr2bl w:val="nil"/>
            </w:tcBorders>
            <w:noWrap w:val="0"/>
            <w:vAlign w:val="center"/>
          </w:tcPr>
          <w:p w14:paraId="5054A3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78EEA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D135C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1,180.00</w:t>
            </w:r>
          </w:p>
        </w:tc>
        <w:tc>
          <w:tcPr>
            <w:tcW w:w="1434" w:type="dxa"/>
            <w:tcBorders>
              <w:tl2br w:val="nil"/>
              <w:tr2bl w:val="nil"/>
            </w:tcBorders>
            <w:noWrap w:val="0"/>
            <w:vAlign w:val="center"/>
          </w:tcPr>
          <w:p w14:paraId="7239CA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6B22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79485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104</w:t>
            </w:r>
          </w:p>
        </w:tc>
        <w:tc>
          <w:tcPr>
            <w:tcW w:w="3810" w:type="dxa"/>
            <w:tcBorders>
              <w:tl2br w:val="nil"/>
              <w:tr2bl w:val="nil"/>
            </w:tcBorders>
            <w:noWrap w:val="0"/>
            <w:vAlign w:val="center"/>
          </w:tcPr>
          <w:p w14:paraId="3E6D023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D-二聚体测定试剂盒（免疫比浊法）</w:t>
            </w:r>
          </w:p>
        </w:tc>
        <w:tc>
          <w:tcPr>
            <w:tcW w:w="3737" w:type="dxa"/>
            <w:tcBorders>
              <w:tl2br w:val="nil"/>
              <w:tr2bl w:val="nil"/>
            </w:tcBorders>
            <w:noWrap w:val="0"/>
            <w:vAlign w:val="center"/>
          </w:tcPr>
          <w:p w14:paraId="7E387D0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乳胶试剂：3*2目录，反应缓冲液3*8ml，D-二聚体校准品：2*1ml</w:t>
            </w:r>
          </w:p>
        </w:tc>
        <w:tc>
          <w:tcPr>
            <w:tcW w:w="1375" w:type="dxa"/>
            <w:tcBorders>
              <w:tl2br w:val="nil"/>
              <w:tr2bl w:val="nil"/>
            </w:tcBorders>
            <w:noWrap w:val="0"/>
            <w:vAlign w:val="center"/>
          </w:tcPr>
          <w:p w14:paraId="69A530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5EF08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2CC5C5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719.00</w:t>
            </w:r>
          </w:p>
        </w:tc>
        <w:tc>
          <w:tcPr>
            <w:tcW w:w="1434" w:type="dxa"/>
            <w:tcBorders>
              <w:tl2br w:val="nil"/>
              <w:tr2bl w:val="nil"/>
            </w:tcBorders>
            <w:noWrap w:val="0"/>
            <w:vAlign w:val="center"/>
          </w:tcPr>
          <w:p w14:paraId="52BD44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50DB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81BD6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105</w:t>
            </w:r>
          </w:p>
        </w:tc>
        <w:tc>
          <w:tcPr>
            <w:tcW w:w="3810" w:type="dxa"/>
            <w:tcBorders>
              <w:tl2br w:val="nil"/>
              <w:tr2bl w:val="nil"/>
            </w:tcBorders>
            <w:noWrap w:val="0"/>
            <w:vAlign w:val="center"/>
          </w:tcPr>
          <w:p w14:paraId="2024013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清洗液A</w:t>
            </w:r>
          </w:p>
        </w:tc>
        <w:tc>
          <w:tcPr>
            <w:tcW w:w="3737" w:type="dxa"/>
            <w:tcBorders>
              <w:tl2br w:val="nil"/>
              <w:tr2bl w:val="nil"/>
            </w:tcBorders>
            <w:noWrap w:val="0"/>
            <w:vAlign w:val="center"/>
          </w:tcPr>
          <w:p w14:paraId="3F711C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500ml</w:t>
            </w:r>
          </w:p>
        </w:tc>
        <w:tc>
          <w:tcPr>
            <w:tcW w:w="1375" w:type="dxa"/>
            <w:tcBorders>
              <w:tl2br w:val="nil"/>
              <w:tr2bl w:val="nil"/>
            </w:tcBorders>
            <w:noWrap w:val="0"/>
            <w:vAlign w:val="center"/>
          </w:tcPr>
          <w:p w14:paraId="256CA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8F2C8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4DB8AB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250.00</w:t>
            </w:r>
          </w:p>
        </w:tc>
        <w:tc>
          <w:tcPr>
            <w:tcW w:w="1434" w:type="dxa"/>
            <w:tcBorders>
              <w:tl2br w:val="nil"/>
              <w:tr2bl w:val="nil"/>
            </w:tcBorders>
            <w:noWrap w:val="0"/>
            <w:vAlign w:val="center"/>
          </w:tcPr>
          <w:p w14:paraId="07132E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6D466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1C2C8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106</w:t>
            </w:r>
          </w:p>
        </w:tc>
        <w:tc>
          <w:tcPr>
            <w:tcW w:w="3810" w:type="dxa"/>
            <w:tcBorders>
              <w:tl2br w:val="nil"/>
              <w:tr2bl w:val="nil"/>
            </w:tcBorders>
            <w:noWrap w:val="0"/>
            <w:vAlign w:val="center"/>
          </w:tcPr>
          <w:p w14:paraId="595F5B7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凝血酶原时间测定试剂盒(凝固法)</w:t>
            </w:r>
          </w:p>
        </w:tc>
        <w:tc>
          <w:tcPr>
            <w:tcW w:w="3737" w:type="dxa"/>
            <w:tcBorders>
              <w:tl2br w:val="nil"/>
              <w:tr2bl w:val="nil"/>
            </w:tcBorders>
            <w:noWrap w:val="0"/>
            <w:vAlign w:val="center"/>
          </w:tcPr>
          <w:p w14:paraId="27B5B10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试剂（重组人组织因子):5*20ml稀释（重组人组织因子稀释剂）：5*20ml</w:t>
            </w:r>
          </w:p>
        </w:tc>
        <w:tc>
          <w:tcPr>
            <w:tcW w:w="1375" w:type="dxa"/>
            <w:tcBorders>
              <w:tl2br w:val="nil"/>
              <w:tr2bl w:val="nil"/>
            </w:tcBorders>
            <w:noWrap w:val="0"/>
            <w:vAlign w:val="center"/>
          </w:tcPr>
          <w:p w14:paraId="236D27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4AC36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4E4439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1,483.20</w:t>
            </w:r>
          </w:p>
        </w:tc>
        <w:tc>
          <w:tcPr>
            <w:tcW w:w="1434" w:type="dxa"/>
            <w:tcBorders>
              <w:tl2br w:val="nil"/>
              <w:tr2bl w:val="nil"/>
            </w:tcBorders>
            <w:noWrap w:val="0"/>
            <w:vAlign w:val="center"/>
          </w:tcPr>
          <w:p w14:paraId="36607F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191D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2687DA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107</w:t>
            </w:r>
          </w:p>
        </w:tc>
        <w:tc>
          <w:tcPr>
            <w:tcW w:w="3810" w:type="dxa"/>
            <w:tcBorders>
              <w:tl2br w:val="nil"/>
              <w:tr2bl w:val="nil"/>
            </w:tcBorders>
            <w:noWrap w:val="0"/>
            <w:vAlign w:val="center"/>
          </w:tcPr>
          <w:p w14:paraId="475096F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活化的部分凝血活酶时间测定试剂盒（凝固法）</w:t>
            </w:r>
          </w:p>
        </w:tc>
        <w:tc>
          <w:tcPr>
            <w:tcW w:w="3737" w:type="dxa"/>
            <w:tcBorders>
              <w:tl2br w:val="nil"/>
              <w:tr2bl w:val="nil"/>
            </w:tcBorders>
            <w:noWrap w:val="0"/>
            <w:vAlign w:val="center"/>
          </w:tcPr>
          <w:p w14:paraId="500F21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SynthAsil液体试剂5*10mlCaC12:5*10ml</w:t>
            </w:r>
          </w:p>
        </w:tc>
        <w:tc>
          <w:tcPr>
            <w:tcW w:w="1375" w:type="dxa"/>
            <w:tcBorders>
              <w:tl2br w:val="nil"/>
              <w:tr2bl w:val="nil"/>
            </w:tcBorders>
            <w:noWrap w:val="0"/>
            <w:vAlign w:val="center"/>
          </w:tcPr>
          <w:p w14:paraId="744EAA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9A44E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6C362B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1,502.00</w:t>
            </w:r>
          </w:p>
        </w:tc>
        <w:tc>
          <w:tcPr>
            <w:tcW w:w="1434" w:type="dxa"/>
            <w:tcBorders>
              <w:tl2br w:val="nil"/>
              <w:tr2bl w:val="nil"/>
            </w:tcBorders>
            <w:noWrap w:val="0"/>
            <w:vAlign w:val="center"/>
          </w:tcPr>
          <w:p w14:paraId="3BFD86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A7B7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C8E82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108</w:t>
            </w:r>
          </w:p>
        </w:tc>
        <w:tc>
          <w:tcPr>
            <w:tcW w:w="3810" w:type="dxa"/>
            <w:tcBorders>
              <w:tl2br w:val="nil"/>
              <w:tr2bl w:val="nil"/>
            </w:tcBorders>
            <w:noWrap w:val="0"/>
            <w:vAlign w:val="center"/>
          </w:tcPr>
          <w:p w14:paraId="528CCD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清洗液Rinse Solutiong</w:t>
            </w:r>
          </w:p>
        </w:tc>
        <w:tc>
          <w:tcPr>
            <w:tcW w:w="3737" w:type="dxa"/>
            <w:tcBorders>
              <w:tl2br w:val="nil"/>
              <w:tr2bl w:val="nil"/>
            </w:tcBorders>
            <w:noWrap w:val="0"/>
            <w:vAlign w:val="center"/>
          </w:tcPr>
          <w:p w14:paraId="4660B70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4000ml/瓶（3瓶/箱）</w:t>
            </w:r>
          </w:p>
        </w:tc>
        <w:tc>
          <w:tcPr>
            <w:tcW w:w="1375" w:type="dxa"/>
            <w:tcBorders>
              <w:tl2br w:val="nil"/>
              <w:tr2bl w:val="nil"/>
            </w:tcBorders>
            <w:noWrap w:val="0"/>
            <w:vAlign w:val="center"/>
          </w:tcPr>
          <w:p w14:paraId="0A25BB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963" w:type="dxa"/>
            <w:tcBorders>
              <w:tl2br w:val="nil"/>
              <w:tr2bl w:val="nil"/>
            </w:tcBorders>
            <w:noWrap w:val="0"/>
            <w:vAlign w:val="center"/>
          </w:tcPr>
          <w:p w14:paraId="0DA573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554" w:type="dxa"/>
            <w:tcBorders>
              <w:tl2br w:val="nil"/>
              <w:tr2bl w:val="nil"/>
            </w:tcBorders>
            <w:noWrap w:val="0"/>
            <w:vAlign w:val="center"/>
          </w:tcPr>
          <w:p w14:paraId="1890F5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800.00</w:t>
            </w:r>
          </w:p>
        </w:tc>
        <w:tc>
          <w:tcPr>
            <w:tcW w:w="1434" w:type="dxa"/>
            <w:tcBorders>
              <w:tl2br w:val="nil"/>
              <w:tr2bl w:val="nil"/>
            </w:tcBorders>
            <w:noWrap w:val="0"/>
            <w:vAlign w:val="center"/>
          </w:tcPr>
          <w:p w14:paraId="75F9E9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3C188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0CAD5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109</w:t>
            </w:r>
          </w:p>
        </w:tc>
        <w:tc>
          <w:tcPr>
            <w:tcW w:w="3810" w:type="dxa"/>
            <w:tcBorders>
              <w:tl2br w:val="nil"/>
              <w:tr2bl w:val="nil"/>
            </w:tcBorders>
            <w:noWrap w:val="0"/>
            <w:vAlign w:val="center"/>
          </w:tcPr>
          <w:p w14:paraId="7EAFAFB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临床生化复合校准品</w:t>
            </w:r>
          </w:p>
        </w:tc>
        <w:tc>
          <w:tcPr>
            <w:tcW w:w="3737" w:type="dxa"/>
            <w:tcBorders>
              <w:tl2br w:val="nil"/>
              <w:tr2bl w:val="nil"/>
            </w:tcBorders>
            <w:noWrap w:val="0"/>
            <w:vAlign w:val="center"/>
          </w:tcPr>
          <w:p w14:paraId="67A745A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5mL×1</w:t>
            </w:r>
          </w:p>
        </w:tc>
        <w:tc>
          <w:tcPr>
            <w:tcW w:w="1375" w:type="dxa"/>
            <w:tcBorders>
              <w:tl2br w:val="nil"/>
              <w:tr2bl w:val="nil"/>
            </w:tcBorders>
            <w:noWrap w:val="0"/>
            <w:vAlign w:val="center"/>
          </w:tcPr>
          <w:p w14:paraId="278121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A1AA1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1554" w:type="dxa"/>
            <w:tcBorders>
              <w:tl2br w:val="nil"/>
              <w:tr2bl w:val="nil"/>
            </w:tcBorders>
            <w:noWrap w:val="0"/>
            <w:vAlign w:val="center"/>
          </w:tcPr>
          <w:p w14:paraId="5CCFB3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w:t>
            </w:r>
          </w:p>
        </w:tc>
        <w:tc>
          <w:tcPr>
            <w:tcW w:w="1434" w:type="dxa"/>
            <w:tcBorders>
              <w:tl2br w:val="nil"/>
              <w:tr2bl w:val="nil"/>
            </w:tcBorders>
            <w:noWrap w:val="0"/>
            <w:vAlign w:val="center"/>
          </w:tcPr>
          <w:p w14:paraId="332E84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0F5F9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40D778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110</w:t>
            </w:r>
          </w:p>
        </w:tc>
        <w:tc>
          <w:tcPr>
            <w:tcW w:w="3810" w:type="dxa"/>
            <w:tcBorders>
              <w:tl2br w:val="nil"/>
              <w:tr2bl w:val="nil"/>
            </w:tcBorders>
            <w:noWrap w:val="0"/>
            <w:vAlign w:val="center"/>
          </w:tcPr>
          <w:p w14:paraId="22D110D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C-反应蛋白检测试剂盒(胶乳增强免疫比浊法)</w:t>
            </w:r>
          </w:p>
        </w:tc>
        <w:tc>
          <w:tcPr>
            <w:tcW w:w="3737" w:type="dxa"/>
            <w:tcBorders>
              <w:tl2br w:val="nil"/>
              <w:tr2bl w:val="nil"/>
            </w:tcBorders>
            <w:noWrap w:val="0"/>
            <w:vAlign w:val="center"/>
          </w:tcPr>
          <w:p w14:paraId="5C1D51E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R1：60mL×3，R2：60mL×1；校准品：6 水平×1支×0.6mL</w:t>
            </w:r>
          </w:p>
        </w:tc>
        <w:tc>
          <w:tcPr>
            <w:tcW w:w="1375" w:type="dxa"/>
            <w:tcBorders>
              <w:tl2br w:val="nil"/>
              <w:tr2bl w:val="nil"/>
            </w:tcBorders>
            <w:noWrap w:val="0"/>
            <w:vAlign w:val="center"/>
          </w:tcPr>
          <w:p w14:paraId="697BE9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298CF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10235B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3,000.00</w:t>
            </w:r>
          </w:p>
        </w:tc>
        <w:tc>
          <w:tcPr>
            <w:tcW w:w="1434" w:type="dxa"/>
            <w:tcBorders>
              <w:tl2br w:val="nil"/>
              <w:tr2bl w:val="nil"/>
            </w:tcBorders>
            <w:noWrap w:val="0"/>
            <w:vAlign w:val="center"/>
          </w:tcPr>
          <w:p w14:paraId="1ECD05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C6BD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1D2846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111</w:t>
            </w:r>
          </w:p>
        </w:tc>
        <w:tc>
          <w:tcPr>
            <w:tcW w:w="3810" w:type="dxa"/>
            <w:tcBorders>
              <w:tl2br w:val="nil"/>
              <w:tr2bl w:val="nil"/>
            </w:tcBorders>
            <w:noWrap w:val="0"/>
            <w:vAlign w:val="center"/>
          </w:tcPr>
          <w:p w14:paraId="16FCDD3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载脂蛋白A1检测试剂盒(免疫比浊法)</w:t>
            </w:r>
          </w:p>
        </w:tc>
        <w:tc>
          <w:tcPr>
            <w:tcW w:w="3737" w:type="dxa"/>
            <w:tcBorders>
              <w:tl2br w:val="nil"/>
              <w:tr2bl w:val="nil"/>
            </w:tcBorders>
            <w:noWrap w:val="0"/>
            <w:vAlign w:val="center"/>
          </w:tcPr>
          <w:p w14:paraId="309C1F5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 60mL×6 R2 45mL×2 ;校准品：4水平：1×0.5mL</w:t>
            </w:r>
          </w:p>
        </w:tc>
        <w:tc>
          <w:tcPr>
            <w:tcW w:w="1375" w:type="dxa"/>
            <w:tcBorders>
              <w:tl2br w:val="nil"/>
              <w:tr2bl w:val="nil"/>
            </w:tcBorders>
            <w:noWrap w:val="0"/>
            <w:vAlign w:val="center"/>
          </w:tcPr>
          <w:p w14:paraId="3BCC33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9D61A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50CAC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9,000.00</w:t>
            </w:r>
          </w:p>
        </w:tc>
        <w:tc>
          <w:tcPr>
            <w:tcW w:w="1434" w:type="dxa"/>
            <w:tcBorders>
              <w:tl2br w:val="nil"/>
              <w:tr2bl w:val="nil"/>
            </w:tcBorders>
            <w:noWrap w:val="0"/>
            <w:vAlign w:val="center"/>
          </w:tcPr>
          <w:p w14:paraId="5E67EA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949E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DB892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112</w:t>
            </w:r>
          </w:p>
        </w:tc>
        <w:tc>
          <w:tcPr>
            <w:tcW w:w="3810" w:type="dxa"/>
            <w:tcBorders>
              <w:tl2br w:val="nil"/>
              <w:tr2bl w:val="nil"/>
            </w:tcBorders>
            <w:noWrap w:val="0"/>
            <w:vAlign w:val="center"/>
          </w:tcPr>
          <w:p w14:paraId="6CBBC94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降钙素原检测试剂盒（胶乳增强免疫比浊法）</w:t>
            </w:r>
          </w:p>
        </w:tc>
        <w:tc>
          <w:tcPr>
            <w:tcW w:w="3737" w:type="dxa"/>
            <w:tcBorders>
              <w:tl2br w:val="nil"/>
              <w:tr2bl w:val="nil"/>
            </w:tcBorders>
            <w:noWrap w:val="0"/>
            <w:vAlign w:val="center"/>
          </w:tcPr>
          <w:p w14:paraId="553FF1F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R1:45ml*1，R2:15ml*1；校准品:5水平*1ml；质控品：1*1.0ml</w:t>
            </w:r>
          </w:p>
        </w:tc>
        <w:tc>
          <w:tcPr>
            <w:tcW w:w="1375" w:type="dxa"/>
            <w:tcBorders>
              <w:tl2br w:val="nil"/>
              <w:tr2bl w:val="nil"/>
            </w:tcBorders>
            <w:noWrap w:val="0"/>
            <w:vAlign w:val="center"/>
          </w:tcPr>
          <w:p w14:paraId="31D695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4D082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0D68AE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10,900.00</w:t>
            </w:r>
          </w:p>
        </w:tc>
        <w:tc>
          <w:tcPr>
            <w:tcW w:w="1434" w:type="dxa"/>
            <w:tcBorders>
              <w:tl2br w:val="nil"/>
              <w:tr2bl w:val="nil"/>
            </w:tcBorders>
            <w:noWrap w:val="0"/>
            <w:vAlign w:val="center"/>
          </w:tcPr>
          <w:p w14:paraId="341E1D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8E00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29EBB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113</w:t>
            </w:r>
          </w:p>
        </w:tc>
        <w:tc>
          <w:tcPr>
            <w:tcW w:w="3810" w:type="dxa"/>
            <w:tcBorders>
              <w:tl2br w:val="nil"/>
              <w:tr2bl w:val="nil"/>
            </w:tcBorders>
            <w:noWrap w:val="0"/>
            <w:vAlign w:val="center"/>
          </w:tcPr>
          <w:p w14:paraId="4D96A6C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高敏C反应蛋白检测试剂盒（胶乳增强免疫比浊法）</w:t>
            </w:r>
          </w:p>
        </w:tc>
        <w:tc>
          <w:tcPr>
            <w:tcW w:w="3737" w:type="dxa"/>
            <w:tcBorders>
              <w:tl2br w:val="nil"/>
              <w:tr2bl w:val="nil"/>
            </w:tcBorders>
            <w:noWrap w:val="0"/>
            <w:vAlign w:val="center"/>
          </w:tcPr>
          <w:p w14:paraId="7081F0A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R1:45ML*2,R2:15ML*2;校准品：6水平*1支*0.6ml</w:t>
            </w:r>
          </w:p>
        </w:tc>
        <w:tc>
          <w:tcPr>
            <w:tcW w:w="1375" w:type="dxa"/>
            <w:tcBorders>
              <w:tl2br w:val="nil"/>
              <w:tr2bl w:val="nil"/>
            </w:tcBorders>
            <w:noWrap w:val="0"/>
            <w:vAlign w:val="center"/>
          </w:tcPr>
          <w:p w14:paraId="307E44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4BBAC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6BCFF3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3,456.00</w:t>
            </w:r>
          </w:p>
        </w:tc>
        <w:tc>
          <w:tcPr>
            <w:tcW w:w="1434" w:type="dxa"/>
            <w:tcBorders>
              <w:tl2br w:val="nil"/>
              <w:tr2bl w:val="nil"/>
            </w:tcBorders>
            <w:noWrap w:val="0"/>
            <w:vAlign w:val="center"/>
          </w:tcPr>
          <w:p w14:paraId="305507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35B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74E8E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114</w:t>
            </w:r>
          </w:p>
        </w:tc>
        <w:tc>
          <w:tcPr>
            <w:tcW w:w="3810" w:type="dxa"/>
            <w:tcBorders>
              <w:tl2br w:val="nil"/>
              <w:tr2bl w:val="nil"/>
            </w:tcBorders>
            <w:noWrap w:val="0"/>
            <w:vAlign w:val="center"/>
          </w:tcPr>
          <w:p w14:paraId="7C74B36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脑脊液/尿液总蛋白检测试剂盒（邻苯三酚红钼法）</w:t>
            </w:r>
          </w:p>
        </w:tc>
        <w:tc>
          <w:tcPr>
            <w:tcW w:w="3737" w:type="dxa"/>
            <w:tcBorders>
              <w:tl2br w:val="nil"/>
              <w:tr2bl w:val="nil"/>
            </w:tcBorders>
            <w:noWrap w:val="0"/>
            <w:vAlign w:val="center"/>
          </w:tcPr>
          <w:p w14:paraId="2DA4B95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 60ml*2 校准品 1*0.6ml 质控品1*0.6ml</w:t>
            </w:r>
          </w:p>
        </w:tc>
        <w:tc>
          <w:tcPr>
            <w:tcW w:w="1375" w:type="dxa"/>
            <w:tcBorders>
              <w:tl2br w:val="nil"/>
              <w:tr2bl w:val="nil"/>
            </w:tcBorders>
            <w:noWrap w:val="0"/>
            <w:vAlign w:val="center"/>
          </w:tcPr>
          <w:p w14:paraId="3B1DEB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27101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1554" w:type="dxa"/>
            <w:tcBorders>
              <w:tl2br w:val="nil"/>
              <w:tr2bl w:val="nil"/>
            </w:tcBorders>
            <w:noWrap w:val="0"/>
            <w:vAlign w:val="center"/>
          </w:tcPr>
          <w:p w14:paraId="01B83C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524.40</w:t>
            </w:r>
          </w:p>
        </w:tc>
        <w:tc>
          <w:tcPr>
            <w:tcW w:w="1434" w:type="dxa"/>
            <w:tcBorders>
              <w:tl2br w:val="nil"/>
              <w:tr2bl w:val="nil"/>
            </w:tcBorders>
            <w:noWrap w:val="0"/>
            <w:vAlign w:val="center"/>
          </w:tcPr>
          <w:p w14:paraId="77BF88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0665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56661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115</w:t>
            </w:r>
          </w:p>
        </w:tc>
        <w:tc>
          <w:tcPr>
            <w:tcW w:w="3810" w:type="dxa"/>
            <w:tcBorders>
              <w:tl2br w:val="nil"/>
              <w:tr2bl w:val="nil"/>
            </w:tcBorders>
            <w:noWrap w:val="0"/>
            <w:vAlign w:val="center"/>
          </w:tcPr>
          <w:p w14:paraId="4BAB867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脂蛋白（a）检测试剂盒（免疫比浊发）</w:t>
            </w:r>
          </w:p>
        </w:tc>
        <w:tc>
          <w:tcPr>
            <w:tcW w:w="3737" w:type="dxa"/>
            <w:tcBorders>
              <w:tl2br w:val="nil"/>
              <w:tr2bl w:val="nil"/>
            </w:tcBorders>
            <w:noWrap w:val="0"/>
            <w:vAlign w:val="center"/>
          </w:tcPr>
          <w:p w14:paraId="576F3E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R1：45mL*4 R2：15ml*4</w:t>
            </w:r>
          </w:p>
        </w:tc>
        <w:tc>
          <w:tcPr>
            <w:tcW w:w="1375" w:type="dxa"/>
            <w:tcBorders>
              <w:tl2br w:val="nil"/>
              <w:tr2bl w:val="nil"/>
            </w:tcBorders>
            <w:noWrap w:val="0"/>
            <w:vAlign w:val="center"/>
          </w:tcPr>
          <w:p w14:paraId="32D1BC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4DFAC6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61EF5C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6,000.00</w:t>
            </w:r>
          </w:p>
        </w:tc>
        <w:tc>
          <w:tcPr>
            <w:tcW w:w="1434" w:type="dxa"/>
            <w:tcBorders>
              <w:tl2br w:val="nil"/>
              <w:tr2bl w:val="nil"/>
            </w:tcBorders>
            <w:noWrap w:val="0"/>
            <w:vAlign w:val="center"/>
          </w:tcPr>
          <w:p w14:paraId="5353FC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0108F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D16EB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116</w:t>
            </w:r>
          </w:p>
        </w:tc>
        <w:tc>
          <w:tcPr>
            <w:tcW w:w="3810" w:type="dxa"/>
            <w:tcBorders>
              <w:tl2br w:val="nil"/>
              <w:tr2bl w:val="nil"/>
            </w:tcBorders>
            <w:noWrap w:val="0"/>
            <w:vAlign w:val="center"/>
          </w:tcPr>
          <w:p w14:paraId="2921872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抗核抗体检测试剂盒（荧光法）FLUORO HEPANA TEST</w:t>
            </w:r>
          </w:p>
        </w:tc>
        <w:tc>
          <w:tcPr>
            <w:tcW w:w="3737" w:type="dxa"/>
            <w:tcBorders>
              <w:tl2br w:val="nil"/>
              <w:tr2bl w:val="nil"/>
            </w:tcBorders>
            <w:noWrap w:val="0"/>
            <w:vAlign w:val="center"/>
          </w:tcPr>
          <w:p w14:paraId="1218395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240T/盒 12孔</w:t>
            </w:r>
          </w:p>
        </w:tc>
        <w:tc>
          <w:tcPr>
            <w:tcW w:w="1375" w:type="dxa"/>
            <w:tcBorders>
              <w:tl2br w:val="nil"/>
              <w:tr2bl w:val="nil"/>
            </w:tcBorders>
            <w:noWrap w:val="0"/>
            <w:vAlign w:val="center"/>
          </w:tcPr>
          <w:p w14:paraId="5E8A9B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85515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7521F2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3672.00</w:t>
            </w:r>
          </w:p>
        </w:tc>
        <w:tc>
          <w:tcPr>
            <w:tcW w:w="1434" w:type="dxa"/>
            <w:tcBorders>
              <w:tl2br w:val="nil"/>
              <w:tr2bl w:val="nil"/>
            </w:tcBorders>
            <w:noWrap w:val="0"/>
            <w:vAlign w:val="center"/>
          </w:tcPr>
          <w:p w14:paraId="33D728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3B2D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2A5B8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117</w:t>
            </w:r>
          </w:p>
        </w:tc>
        <w:tc>
          <w:tcPr>
            <w:tcW w:w="3810" w:type="dxa"/>
            <w:tcBorders>
              <w:tl2br w:val="nil"/>
              <w:tr2bl w:val="nil"/>
            </w:tcBorders>
            <w:noWrap w:val="0"/>
            <w:vAlign w:val="center"/>
          </w:tcPr>
          <w:p w14:paraId="5AB391A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结核分枝杆菌特异性细胞免疫反应检测试剂盒（体外释放荧光免疫层析法）</w:t>
            </w:r>
          </w:p>
        </w:tc>
        <w:tc>
          <w:tcPr>
            <w:tcW w:w="3737" w:type="dxa"/>
            <w:tcBorders>
              <w:tl2br w:val="nil"/>
              <w:tr2bl w:val="nil"/>
            </w:tcBorders>
            <w:noWrap w:val="0"/>
            <w:vAlign w:val="center"/>
          </w:tcPr>
          <w:p w14:paraId="789E6F7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10人份*3/盒</w:t>
            </w:r>
          </w:p>
        </w:tc>
        <w:tc>
          <w:tcPr>
            <w:tcW w:w="1375" w:type="dxa"/>
            <w:tcBorders>
              <w:tl2br w:val="nil"/>
              <w:tr2bl w:val="nil"/>
            </w:tcBorders>
            <w:noWrap w:val="0"/>
            <w:vAlign w:val="center"/>
          </w:tcPr>
          <w:p w14:paraId="47A1A6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9E3F3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015FE4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2800.00</w:t>
            </w:r>
          </w:p>
        </w:tc>
        <w:tc>
          <w:tcPr>
            <w:tcW w:w="1434" w:type="dxa"/>
            <w:tcBorders>
              <w:tl2br w:val="nil"/>
              <w:tr2bl w:val="nil"/>
            </w:tcBorders>
            <w:noWrap w:val="0"/>
            <w:vAlign w:val="center"/>
          </w:tcPr>
          <w:p w14:paraId="3E1DE8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97C3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5A752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118</w:t>
            </w:r>
          </w:p>
        </w:tc>
        <w:tc>
          <w:tcPr>
            <w:tcW w:w="3810" w:type="dxa"/>
            <w:tcBorders>
              <w:tl2br w:val="nil"/>
              <w:tr2bl w:val="nil"/>
            </w:tcBorders>
            <w:noWrap w:val="0"/>
            <w:vAlign w:val="center"/>
          </w:tcPr>
          <w:p w14:paraId="2D85C4E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类风湿因子抗体检测试剂盒(酶联免疫法)</w:t>
            </w:r>
          </w:p>
        </w:tc>
        <w:tc>
          <w:tcPr>
            <w:tcW w:w="3737" w:type="dxa"/>
            <w:tcBorders>
              <w:tl2br w:val="nil"/>
              <w:tr2bl w:val="nil"/>
            </w:tcBorders>
            <w:noWrap w:val="0"/>
            <w:vAlign w:val="center"/>
          </w:tcPr>
          <w:p w14:paraId="0AB0F90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96T/盒</w:t>
            </w:r>
          </w:p>
        </w:tc>
        <w:tc>
          <w:tcPr>
            <w:tcW w:w="1375" w:type="dxa"/>
            <w:tcBorders>
              <w:tl2br w:val="nil"/>
              <w:tr2bl w:val="nil"/>
            </w:tcBorders>
            <w:noWrap w:val="0"/>
            <w:vAlign w:val="center"/>
          </w:tcPr>
          <w:p w14:paraId="714072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C79FA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1554" w:type="dxa"/>
            <w:tcBorders>
              <w:tl2br w:val="nil"/>
              <w:tr2bl w:val="nil"/>
            </w:tcBorders>
            <w:noWrap w:val="0"/>
            <w:vAlign w:val="center"/>
          </w:tcPr>
          <w:p w14:paraId="54451B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1900.00</w:t>
            </w:r>
          </w:p>
        </w:tc>
        <w:tc>
          <w:tcPr>
            <w:tcW w:w="1434" w:type="dxa"/>
            <w:tcBorders>
              <w:tl2br w:val="nil"/>
              <w:tr2bl w:val="nil"/>
            </w:tcBorders>
            <w:noWrap w:val="0"/>
            <w:vAlign w:val="center"/>
          </w:tcPr>
          <w:p w14:paraId="4904BF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55846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DA5C5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119</w:t>
            </w:r>
          </w:p>
        </w:tc>
        <w:tc>
          <w:tcPr>
            <w:tcW w:w="3810" w:type="dxa"/>
            <w:tcBorders>
              <w:tl2br w:val="nil"/>
              <w:tr2bl w:val="nil"/>
            </w:tcBorders>
            <w:noWrap w:val="0"/>
            <w:vAlign w:val="center"/>
          </w:tcPr>
          <w:p w14:paraId="7A95DAB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环瓜氨酸肽抗体检测试剂盒(酶联免疫法)</w:t>
            </w:r>
          </w:p>
        </w:tc>
        <w:tc>
          <w:tcPr>
            <w:tcW w:w="3737" w:type="dxa"/>
            <w:tcBorders>
              <w:tl2br w:val="nil"/>
              <w:tr2bl w:val="nil"/>
            </w:tcBorders>
            <w:noWrap w:val="0"/>
            <w:vAlign w:val="center"/>
          </w:tcPr>
          <w:p w14:paraId="45C046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96T/盒</w:t>
            </w:r>
          </w:p>
        </w:tc>
        <w:tc>
          <w:tcPr>
            <w:tcW w:w="1375" w:type="dxa"/>
            <w:tcBorders>
              <w:tl2br w:val="nil"/>
              <w:tr2bl w:val="nil"/>
            </w:tcBorders>
            <w:noWrap w:val="0"/>
            <w:vAlign w:val="center"/>
          </w:tcPr>
          <w:p w14:paraId="12402C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371E0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1554" w:type="dxa"/>
            <w:tcBorders>
              <w:tl2br w:val="nil"/>
              <w:tr2bl w:val="nil"/>
            </w:tcBorders>
            <w:noWrap w:val="0"/>
            <w:vAlign w:val="center"/>
          </w:tcPr>
          <w:p w14:paraId="53107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3072.00</w:t>
            </w:r>
          </w:p>
        </w:tc>
        <w:tc>
          <w:tcPr>
            <w:tcW w:w="1434" w:type="dxa"/>
            <w:tcBorders>
              <w:tl2br w:val="nil"/>
              <w:tr2bl w:val="nil"/>
            </w:tcBorders>
            <w:noWrap w:val="0"/>
            <w:vAlign w:val="center"/>
          </w:tcPr>
          <w:p w14:paraId="677862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D0E8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D6799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120</w:t>
            </w:r>
          </w:p>
        </w:tc>
        <w:tc>
          <w:tcPr>
            <w:tcW w:w="3810" w:type="dxa"/>
            <w:tcBorders>
              <w:tl2br w:val="nil"/>
              <w:tr2bl w:val="nil"/>
            </w:tcBorders>
            <w:noWrap w:val="0"/>
            <w:vAlign w:val="center"/>
          </w:tcPr>
          <w:p w14:paraId="058C7CB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抗核抗体谱IgG检测试剂盒(免疫印迹法)</w:t>
            </w:r>
          </w:p>
        </w:tc>
        <w:tc>
          <w:tcPr>
            <w:tcW w:w="3737" w:type="dxa"/>
            <w:tcBorders>
              <w:tl2br w:val="nil"/>
              <w:tr2bl w:val="nil"/>
            </w:tcBorders>
            <w:noWrap w:val="0"/>
            <w:vAlign w:val="center"/>
          </w:tcPr>
          <w:p w14:paraId="2185CF7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24T/盒 ANA-17</w:t>
            </w:r>
          </w:p>
        </w:tc>
        <w:tc>
          <w:tcPr>
            <w:tcW w:w="1375" w:type="dxa"/>
            <w:tcBorders>
              <w:tl2br w:val="nil"/>
              <w:tr2bl w:val="nil"/>
            </w:tcBorders>
            <w:noWrap w:val="0"/>
            <w:vAlign w:val="center"/>
          </w:tcPr>
          <w:p w14:paraId="12442C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003A8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2BBEFE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3792.00</w:t>
            </w:r>
          </w:p>
        </w:tc>
        <w:tc>
          <w:tcPr>
            <w:tcW w:w="1434" w:type="dxa"/>
            <w:tcBorders>
              <w:tl2br w:val="nil"/>
              <w:tr2bl w:val="nil"/>
            </w:tcBorders>
            <w:noWrap w:val="0"/>
            <w:vAlign w:val="center"/>
          </w:tcPr>
          <w:p w14:paraId="615969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1890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896A4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121</w:t>
            </w:r>
          </w:p>
        </w:tc>
        <w:tc>
          <w:tcPr>
            <w:tcW w:w="3810" w:type="dxa"/>
            <w:tcBorders>
              <w:tl2br w:val="nil"/>
              <w:tr2bl w:val="nil"/>
            </w:tcBorders>
            <w:noWrap w:val="0"/>
            <w:vAlign w:val="center"/>
          </w:tcPr>
          <w:p w14:paraId="1D36ED8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自身免疫性肝病抗体谱IgG检测试剂盒(免疫印迹法)</w:t>
            </w:r>
          </w:p>
        </w:tc>
        <w:tc>
          <w:tcPr>
            <w:tcW w:w="3737" w:type="dxa"/>
            <w:tcBorders>
              <w:tl2br w:val="nil"/>
              <w:tr2bl w:val="nil"/>
            </w:tcBorders>
            <w:noWrap w:val="0"/>
            <w:vAlign w:val="center"/>
          </w:tcPr>
          <w:p w14:paraId="1471E8F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24T/盒</w:t>
            </w:r>
          </w:p>
        </w:tc>
        <w:tc>
          <w:tcPr>
            <w:tcW w:w="1375" w:type="dxa"/>
            <w:tcBorders>
              <w:tl2br w:val="nil"/>
              <w:tr2bl w:val="nil"/>
            </w:tcBorders>
            <w:noWrap w:val="0"/>
            <w:vAlign w:val="center"/>
          </w:tcPr>
          <w:p w14:paraId="7C069A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C5985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3AFA11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2144.00</w:t>
            </w:r>
          </w:p>
        </w:tc>
        <w:tc>
          <w:tcPr>
            <w:tcW w:w="1434" w:type="dxa"/>
            <w:tcBorders>
              <w:tl2br w:val="nil"/>
              <w:tr2bl w:val="nil"/>
            </w:tcBorders>
            <w:noWrap w:val="0"/>
            <w:vAlign w:val="center"/>
          </w:tcPr>
          <w:p w14:paraId="30D241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F18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FD07C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122</w:t>
            </w:r>
          </w:p>
        </w:tc>
        <w:tc>
          <w:tcPr>
            <w:tcW w:w="3810" w:type="dxa"/>
            <w:tcBorders>
              <w:tl2br w:val="nil"/>
              <w:tr2bl w:val="nil"/>
            </w:tcBorders>
            <w:noWrap w:val="0"/>
            <w:vAlign w:val="center"/>
          </w:tcPr>
          <w:p w14:paraId="21254F6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抗髓过氧化物酶抗体、抗蛋白酶3抗体、抗肾小球基底膜抗体检测试剂盒(免疫印迹法)</w:t>
            </w:r>
          </w:p>
        </w:tc>
        <w:tc>
          <w:tcPr>
            <w:tcW w:w="3737" w:type="dxa"/>
            <w:tcBorders>
              <w:tl2br w:val="nil"/>
              <w:tr2bl w:val="nil"/>
            </w:tcBorders>
            <w:noWrap w:val="0"/>
            <w:vAlign w:val="center"/>
          </w:tcPr>
          <w:p w14:paraId="4FA74F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24T/盒</w:t>
            </w:r>
          </w:p>
        </w:tc>
        <w:tc>
          <w:tcPr>
            <w:tcW w:w="1375" w:type="dxa"/>
            <w:tcBorders>
              <w:tl2br w:val="nil"/>
              <w:tr2bl w:val="nil"/>
            </w:tcBorders>
            <w:noWrap w:val="0"/>
            <w:vAlign w:val="center"/>
          </w:tcPr>
          <w:p w14:paraId="34C5DC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A22CB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1554" w:type="dxa"/>
            <w:tcBorders>
              <w:tl2br w:val="nil"/>
              <w:tr2bl w:val="nil"/>
            </w:tcBorders>
            <w:noWrap w:val="0"/>
            <w:vAlign w:val="center"/>
          </w:tcPr>
          <w:p w14:paraId="5EEA8B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1600.00</w:t>
            </w:r>
          </w:p>
        </w:tc>
        <w:tc>
          <w:tcPr>
            <w:tcW w:w="1434" w:type="dxa"/>
            <w:tcBorders>
              <w:tl2br w:val="nil"/>
              <w:tr2bl w:val="nil"/>
            </w:tcBorders>
            <w:noWrap w:val="0"/>
            <w:vAlign w:val="center"/>
          </w:tcPr>
          <w:p w14:paraId="4D5498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069A5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75002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123</w:t>
            </w:r>
          </w:p>
        </w:tc>
        <w:tc>
          <w:tcPr>
            <w:tcW w:w="3810" w:type="dxa"/>
            <w:tcBorders>
              <w:tl2br w:val="nil"/>
              <w:tr2bl w:val="nil"/>
            </w:tcBorders>
            <w:noWrap w:val="0"/>
            <w:vAlign w:val="center"/>
          </w:tcPr>
          <w:p w14:paraId="6322358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25-经基维生素D(25-0HD)测定试剂盒(荧光免疫层析法)</w:t>
            </w:r>
          </w:p>
        </w:tc>
        <w:tc>
          <w:tcPr>
            <w:tcW w:w="3737" w:type="dxa"/>
            <w:tcBorders>
              <w:tl2br w:val="nil"/>
              <w:tr2bl w:val="nil"/>
            </w:tcBorders>
            <w:noWrap w:val="0"/>
            <w:vAlign w:val="center"/>
          </w:tcPr>
          <w:p w14:paraId="04F5018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20T/盒</w:t>
            </w:r>
          </w:p>
        </w:tc>
        <w:tc>
          <w:tcPr>
            <w:tcW w:w="1375" w:type="dxa"/>
            <w:tcBorders>
              <w:tl2br w:val="nil"/>
              <w:tr2bl w:val="nil"/>
            </w:tcBorders>
            <w:noWrap w:val="0"/>
            <w:vAlign w:val="center"/>
          </w:tcPr>
          <w:p w14:paraId="114F75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38556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1554" w:type="dxa"/>
            <w:tcBorders>
              <w:tl2br w:val="nil"/>
              <w:tr2bl w:val="nil"/>
            </w:tcBorders>
            <w:noWrap w:val="0"/>
            <w:vAlign w:val="center"/>
          </w:tcPr>
          <w:p w14:paraId="3D7865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640.00</w:t>
            </w:r>
          </w:p>
        </w:tc>
        <w:tc>
          <w:tcPr>
            <w:tcW w:w="1434" w:type="dxa"/>
            <w:tcBorders>
              <w:tl2br w:val="nil"/>
              <w:tr2bl w:val="nil"/>
            </w:tcBorders>
            <w:noWrap w:val="0"/>
            <w:vAlign w:val="center"/>
          </w:tcPr>
          <w:p w14:paraId="065A78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BEF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4C8979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124</w:t>
            </w:r>
          </w:p>
        </w:tc>
        <w:tc>
          <w:tcPr>
            <w:tcW w:w="3810" w:type="dxa"/>
            <w:tcBorders>
              <w:tl2br w:val="nil"/>
              <w:tr2bl w:val="nil"/>
            </w:tcBorders>
            <w:noWrap w:val="0"/>
            <w:vAlign w:val="center"/>
          </w:tcPr>
          <w:p w14:paraId="0E85710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抗环瓜氨酸抗体（CCP）</w:t>
            </w:r>
          </w:p>
        </w:tc>
        <w:tc>
          <w:tcPr>
            <w:tcW w:w="3737" w:type="dxa"/>
            <w:tcBorders>
              <w:tl2br w:val="nil"/>
              <w:tr2bl w:val="nil"/>
            </w:tcBorders>
            <w:noWrap w:val="0"/>
            <w:vAlign w:val="center"/>
          </w:tcPr>
          <w:p w14:paraId="41DF22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1095E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6805B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 </w:t>
            </w:r>
          </w:p>
        </w:tc>
        <w:tc>
          <w:tcPr>
            <w:tcW w:w="1554" w:type="dxa"/>
            <w:tcBorders>
              <w:tl2br w:val="nil"/>
              <w:tr2bl w:val="nil"/>
            </w:tcBorders>
            <w:noWrap w:val="0"/>
            <w:vAlign w:val="center"/>
          </w:tcPr>
          <w:p w14:paraId="0E51A6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2500.00</w:t>
            </w:r>
          </w:p>
        </w:tc>
        <w:tc>
          <w:tcPr>
            <w:tcW w:w="1434" w:type="dxa"/>
            <w:tcBorders>
              <w:tl2br w:val="nil"/>
              <w:tr2bl w:val="nil"/>
            </w:tcBorders>
            <w:noWrap w:val="0"/>
            <w:vAlign w:val="center"/>
          </w:tcPr>
          <w:p w14:paraId="2D5CD0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p>
        </w:tc>
      </w:tr>
      <w:tr w14:paraId="19836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44B236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125</w:t>
            </w:r>
          </w:p>
        </w:tc>
        <w:tc>
          <w:tcPr>
            <w:tcW w:w="3810" w:type="dxa"/>
            <w:tcBorders>
              <w:tl2br w:val="nil"/>
              <w:tr2bl w:val="nil"/>
            </w:tcBorders>
            <w:noWrap w:val="0"/>
            <w:vAlign w:val="center"/>
          </w:tcPr>
          <w:p w14:paraId="2036E9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抗C1q抗体</w:t>
            </w:r>
          </w:p>
        </w:tc>
        <w:tc>
          <w:tcPr>
            <w:tcW w:w="3737" w:type="dxa"/>
            <w:tcBorders>
              <w:tl2br w:val="nil"/>
              <w:tr2bl w:val="nil"/>
            </w:tcBorders>
            <w:noWrap w:val="0"/>
            <w:vAlign w:val="center"/>
          </w:tcPr>
          <w:p w14:paraId="54E44FF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0DDAAB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D60B4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 </w:t>
            </w:r>
          </w:p>
        </w:tc>
        <w:tc>
          <w:tcPr>
            <w:tcW w:w="1554" w:type="dxa"/>
            <w:tcBorders>
              <w:tl2br w:val="nil"/>
              <w:tr2bl w:val="nil"/>
            </w:tcBorders>
            <w:noWrap w:val="0"/>
            <w:vAlign w:val="center"/>
          </w:tcPr>
          <w:p w14:paraId="7422AD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3125.00</w:t>
            </w:r>
          </w:p>
        </w:tc>
        <w:tc>
          <w:tcPr>
            <w:tcW w:w="1434" w:type="dxa"/>
            <w:tcBorders>
              <w:tl2br w:val="nil"/>
              <w:tr2bl w:val="nil"/>
            </w:tcBorders>
            <w:noWrap w:val="0"/>
            <w:vAlign w:val="center"/>
          </w:tcPr>
          <w:p w14:paraId="4696E1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p>
        </w:tc>
      </w:tr>
      <w:tr w14:paraId="3211E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46020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126</w:t>
            </w:r>
          </w:p>
        </w:tc>
        <w:tc>
          <w:tcPr>
            <w:tcW w:w="3810" w:type="dxa"/>
            <w:tcBorders>
              <w:tl2br w:val="nil"/>
              <w:tr2bl w:val="nil"/>
            </w:tcBorders>
            <w:noWrap w:val="0"/>
            <w:vAlign w:val="center"/>
          </w:tcPr>
          <w:p w14:paraId="3D9825A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骨钙素</w:t>
            </w:r>
          </w:p>
        </w:tc>
        <w:tc>
          <w:tcPr>
            <w:tcW w:w="3737" w:type="dxa"/>
            <w:tcBorders>
              <w:tl2br w:val="nil"/>
              <w:tr2bl w:val="nil"/>
            </w:tcBorders>
            <w:noWrap w:val="0"/>
            <w:vAlign w:val="center"/>
          </w:tcPr>
          <w:p w14:paraId="1FE182C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0CDA7D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8E4DD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 </w:t>
            </w:r>
          </w:p>
        </w:tc>
        <w:tc>
          <w:tcPr>
            <w:tcW w:w="1554" w:type="dxa"/>
            <w:tcBorders>
              <w:tl2br w:val="nil"/>
              <w:tr2bl w:val="nil"/>
            </w:tcBorders>
            <w:noWrap w:val="0"/>
            <w:vAlign w:val="center"/>
          </w:tcPr>
          <w:p w14:paraId="37B30C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2080.00</w:t>
            </w:r>
          </w:p>
        </w:tc>
        <w:tc>
          <w:tcPr>
            <w:tcW w:w="1434" w:type="dxa"/>
            <w:tcBorders>
              <w:tl2br w:val="nil"/>
              <w:tr2bl w:val="nil"/>
            </w:tcBorders>
            <w:noWrap w:val="0"/>
            <w:vAlign w:val="center"/>
          </w:tcPr>
          <w:p w14:paraId="736EB0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5355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FCB58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127</w:t>
            </w:r>
          </w:p>
        </w:tc>
        <w:tc>
          <w:tcPr>
            <w:tcW w:w="3810" w:type="dxa"/>
            <w:tcBorders>
              <w:tl2br w:val="nil"/>
              <w:tr2bl w:val="nil"/>
            </w:tcBorders>
            <w:noWrap w:val="0"/>
            <w:vAlign w:val="center"/>
          </w:tcPr>
          <w:p w14:paraId="6C3833B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I型前胶原氨基端延长肽（PINP）</w:t>
            </w:r>
          </w:p>
        </w:tc>
        <w:tc>
          <w:tcPr>
            <w:tcW w:w="3737" w:type="dxa"/>
            <w:tcBorders>
              <w:tl2br w:val="nil"/>
              <w:tr2bl w:val="nil"/>
            </w:tcBorders>
            <w:noWrap w:val="0"/>
            <w:vAlign w:val="center"/>
          </w:tcPr>
          <w:p w14:paraId="3F0B545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7ECFB9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185BD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 </w:t>
            </w:r>
          </w:p>
        </w:tc>
        <w:tc>
          <w:tcPr>
            <w:tcW w:w="1554" w:type="dxa"/>
            <w:tcBorders>
              <w:tl2br w:val="nil"/>
              <w:tr2bl w:val="nil"/>
            </w:tcBorders>
            <w:noWrap w:val="0"/>
            <w:vAlign w:val="center"/>
          </w:tcPr>
          <w:p w14:paraId="755A8B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2500.00</w:t>
            </w:r>
          </w:p>
        </w:tc>
        <w:tc>
          <w:tcPr>
            <w:tcW w:w="1434" w:type="dxa"/>
            <w:tcBorders>
              <w:tl2br w:val="nil"/>
              <w:tr2bl w:val="nil"/>
            </w:tcBorders>
            <w:noWrap w:val="0"/>
            <w:vAlign w:val="center"/>
          </w:tcPr>
          <w:p w14:paraId="3FC6E7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8437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F564F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128</w:t>
            </w:r>
          </w:p>
        </w:tc>
        <w:tc>
          <w:tcPr>
            <w:tcW w:w="3810" w:type="dxa"/>
            <w:tcBorders>
              <w:tl2br w:val="nil"/>
              <w:tr2bl w:val="nil"/>
            </w:tcBorders>
            <w:noWrap w:val="0"/>
            <w:vAlign w:val="center"/>
          </w:tcPr>
          <w:p w14:paraId="2F7DF3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抗心磷脂抗体测定(IgA)</w:t>
            </w:r>
          </w:p>
        </w:tc>
        <w:tc>
          <w:tcPr>
            <w:tcW w:w="3737" w:type="dxa"/>
            <w:tcBorders>
              <w:tl2br w:val="nil"/>
              <w:tr2bl w:val="nil"/>
            </w:tcBorders>
            <w:noWrap w:val="0"/>
            <w:vAlign w:val="center"/>
          </w:tcPr>
          <w:p w14:paraId="1F3674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7A4E1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DDEAF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 </w:t>
            </w:r>
          </w:p>
        </w:tc>
        <w:tc>
          <w:tcPr>
            <w:tcW w:w="1554" w:type="dxa"/>
            <w:tcBorders>
              <w:tl2br w:val="nil"/>
              <w:tr2bl w:val="nil"/>
            </w:tcBorders>
            <w:noWrap w:val="0"/>
            <w:vAlign w:val="center"/>
          </w:tcPr>
          <w:p w14:paraId="0E3109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1500.00</w:t>
            </w:r>
          </w:p>
        </w:tc>
        <w:tc>
          <w:tcPr>
            <w:tcW w:w="1434" w:type="dxa"/>
            <w:tcBorders>
              <w:tl2br w:val="nil"/>
              <w:tr2bl w:val="nil"/>
            </w:tcBorders>
            <w:noWrap w:val="0"/>
            <w:vAlign w:val="center"/>
          </w:tcPr>
          <w:p w14:paraId="76D6CB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5637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CED74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129</w:t>
            </w:r>
          </w:p>
        </w:tc>
        <w:tc>
          <w:tcPr>
            <w:tcW w:w="3810" w:type="dxa"/>
            <w:tcBorders>
              <w:tl2br w:val="nil"/>
              <w:tr2bl w:val="nil"/>
            </w:tcBorders>
            <w:noWrap w:val="0"/>
            <w:vAlign w:val="center"/>
          </w:tcPr>
          <w:p w14:paraId="335DCEB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抗心磷脂抗体测定(IgA/G/M)</w:t>
            </w:r>
          </w:p>
        </w:tc>
        <w:tc>
          <w:tcPr>
            <w:tcW w:w="3737" w:type="dxa"/>
            <w:tcBorders>
              <w:tl2br w:val="nil"/>
              <w:tr2bl w:val="nil"/>
            </w:tcBorders>
            <w:noWrap w:val="0"/>
            <w:vAlign w:val="center"/>
          </w:tcPr>
          <w:p w14:paraId="37AE3B7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78919D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4FFF0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 </w:t>
            </w:r>
          </w:p>
        </w:tc>
        <w:tc>
          <w:tcPr>
            <w:tcW w:w="1554" w:type="dxa"/>
            <w:tcBorders>
              <w:tl2br w:val="nil"/>
              <w:tr2bl w:val="nil"/>
            </w:tcBorders>
            <w:noWrap w:val="0"/>
            <w:vAlign w:val="center"/>
          </w:tcPr>
          <w:p w14:paraId="2091B6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1500.00</w:t>
            </w:r>
          </w:p>
        </w:tc>
        <w:tc>
          <w:tcPr>
            <w:tcW w:w="1434" w:type="dxa"/>
            <w:tcBorders>
              <w:tl2br w:val="nil"/>
              <w:tr2bl w:val="nil"/>
            </w:tcBorders>
            <w:noWrap w:val="0"/>
            <w:vAlign w:val="center"/>
          </w:tcPr>
          <w:p w14:paraId="5152C5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26B2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AEF80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130</w:t>
            </w:r>
          </w:p>
        </w:tc>
        <w:tc>
          <w:tcPr>
            <w:tcW w:w="3810" w:type="dxa"/>
            <w:tcBorders>
              <w:tl2br w:val="nil"/>
              <w:tr2bl w:val="nil"/>
            </w:tcBorders>
            <w:noWrap w:val="0"/>
            <w:vAlign w:val="center"/>
          </w:tcPr>
          <w:p w14:paraId="2B480EA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抗β2糖蛋白1抗体IgA</w:t>
            </w:r>
          </w:p>
        </w:tc>
        <w:tc>
          <w:tcPr>
            <w:tcW w:w="3737" w:type="dxa"/>
            <w:tcBorders>
              <w:tl2br w:val="nil"/>
              <w:tr2bl w:val="nil"/>
            </w:tcBorders>
            <w:noWrap w:val="0"/>
            <w:vAlign w:val="center"/>
          </w:tcPr>
          <w:p w14:paraId="34221DF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43AD8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F749B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 </w:t>
            </w:r>
          </w:p>
        </w:tc>
        <w:tc>
          <w:tcPr>
            <w:tcW w:w="1554" w:type="dxa"/>
            <w:tcBorders>
              <w:tl2br w:val="nil"/>
              <w:tr2bl w:val="nil"/>
            </w:tcBorders>
            <w:noWrap w:val="0"/>
            <w:vAlign w:val="center"/>
          </w:tcPr>
          <w:p w14:paraId="30699B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1500.00</w:t>
            </w:r>
          </w:p>
        </w:tc>
        <w:tc>
          <w:tcPr>
            <w:tcW w:w="1434" w:type="dxa"/>
            <w:tcBorders>
              <w:tl2br w:val="nil"/>
              <w:tr2bl w:val="nil"/>
            </w:tcBorders>
            <w:noWrap w:val="0"/>
            <w:vAlign w:val="center"/>
          </w:tcPr>
          <w:p w14:paraId="2898BC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3F73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46B40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131</w:t>
            </w:r>
          </w:p>
        </w:tc>
        <w:tc>
          <w:tcPr>
            <w:tcW w:w="3810" w:type="dxa"/>
            <w:tcBorders>
              <w:tl2br w:val="nil"/>
              <w:tr2bl w:val="nil"/>
            </w:tcBorders>
            <w:noWrap w:val="0"/>
            <w:vAlign w:val="center"/>
          </w:tcPr>
          <w:p w14:paraId="04ADDD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抗β2糖蛋白1抗体IgG</w:t>
            </w:r>
          </w:p>
        </w:tc>
        <w:tc>
          <w:tcPr>
            <w:tcW w:w="3737" w:type="dxa"/>
            <w:tcBorders>
              <w:tl2br w:val="nil"/>
              <w:tr2bl w:val="nil"/>
            </w:tcBorders>
            <w:noWrap w:val="0"/>
            <w:vAlign w:val="center"/>
          </w:tcPr>
          <w:p w14:paraId="21BF88E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7B8C3A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89DA9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 </w:t>
            </w:r>
          </w:p>
        </w:tc>
        <w:tc>
          <w:tcPr>
            <w:tcW w:w="1554" w:type="dxa"/>
            <w:tcBorders>
              <w:tl2br w:val="nil"/>
              <w:tr2bl w:val="nil"/>
            </w:tcBorders>
            <w:noWrap w:val="0"/>
            <w:vAlign w:val="center"/>
          </w:tcPr>
          <w:p w14:paraId="32336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1500.00</w:t>
            </w:r>
          </w:p>
        </w:tc>
        <w:tc>
          <w:tcPr>
            <w:tcW w:w="1434" w:type="dxa"/>
            <w:tcBorders>
              <w:tl2br w:val="nil"/>
              <w:tr2bl w:val="nil"/>
            </w:tcBorders>
            <w:noWrap w:val="0"/>
            <w:vAlign w:val="center"/>
          </w:tcPr>
          <w:p w14:paraId="13AED1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281E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E07E5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132</w:t>
            </w:r>
          </w:p>
        </w:tc>
        <w:tc>
          <w:tcPr>
            <w:tcW w:w="3810" w:type="dxa"/>
            <w:tcBorders>
              <w:tl2br w:val="nil"/>
              <w:tr2bl w:val="nil"/>
            </w:tcBorders>
            <w:noWrap w:val="0"/>
            <w:vAlign w:val="center"/>
          </w:tcPr>
          <w:p w14:paraId="2556AFC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抗β2糖蛋白1抗体IgM</w:t>
            </w:r>
          </w:p>
        </w:tc>
        <w:tc>
          <w:tcPr>
            <w:tcW w:w="3737" w:type="dxa"/>
            <w:tcBorders>
              <w:tl2br w:val="nil"/>
              <w:tr2bl w:val="nil"/>
            </w:tcBorders>
            <w:noWrap w:val="0"/>
            <w:vAlign w:val="center"/>
          </w:tcPr>
          <w:p w14:paraId="189B27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593A3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8E4A5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 </w:t>
            </w:r>
          </w:p>
        </w:tc>
        <w:tc>
          <w:tcPr>
            <w:tcW w:w="1554" w:type="dxa"/>
            <w:tcBorders>
              <w:tl2br w:val="nil"/>
              <w:tr2bl w:val="nil"/>
            </w:tcBorders>
            <w:noWrap w:val="0"/>
            <w:vAlign w:val="center"/>
          </w:tcPr>
          <w:p w14:paraId="66E648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1500.00</w:t>
            </w:r>
          </w:p>
        </w:tc>
        <w:tc>
          <w:tcPr>
            <w:tcW w:w="1434" w:type="dxa"/>
            <w:tcBorders>
              <w:tl2br w:val="nil"/>
              <w:tr2bl w:val="nil"/>
            </w:tcBorders>
            <w:noWrap w:val="0"/>
            <w:vAlign w:val="center"/>
          </w:tcPr>
          <w:p w14:paraId="5627E2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F195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427FD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w:t>
            </w:r>
          </w:p>
        </w:tc>
        <w:tc>
          <w:tcPr>
            <w:tcW w:w="3810" w:type="dxa"/>
            <w:tcBorders>
              <w:tl2br w:val="nil"/>
              <w:tr2bl w:val="nil"/>
            </w:tcBorders>
            <w:noWrap w:val="0"/>
            <w:vAlign w:val="center"/>
          </w:tcPr>
          <w:p w14:paraId="3A9BFD7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抗β2糖蛋白1抗体IgA/G/M</w:t>
            </w:r>
          </w:p>
        </w:tc>
        <w:tc>
          <w:tcPr>
            <w:tcW w:w="3737" w:type="dxa"/>
            <w:tcBorders>
              <w:tl2br w:val="nil"/>
              <w:tr2bl w:val="nil"/>
            </w:tcBorders>
            <w:noWrap w:val="0"/>
            <w:vAlign w:val="center"/>
          </w:tcPr>
          <w:p w14:paraId="588B575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04D727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CFFAE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718669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1500.00</w:t>
            </w:r>
          </w:p>
        </w:tc>
        <w:tc>
          <w:tcPr>
            <w:tcW w:w="1434" w:type="dxa"/>
            <w:tcBorders>
              <w:tl2br w:val="nil"/>
              <w:tr2bl w:val="nil"/>
            </w:tcBorders>
            <w:noWrap w:val="0"/>
            <w:vAlign w:val="center"/>
          </w:tcPr>
          <w:p w14:paraId="08F194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78C6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135787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134</w:t>
            </w:r>
          </w:p>
        </w:tc>
        <w:tc>
          <w:tcPr>
            <w:tcW w:w="3810" w:type="dxa"/>
            <w:tcBorders>
              <w:tl2br w:val="nil"/>
              <w:tr2bl w:val="nil"/>
            </w:tcBorders>
            <w:noWrap w:val="0"/>
            <w:vAlign w:val="center"/>
          </w:tcPr>
          <w:p w14:paraId="59799BA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免疫球蛋白IgG4</w:t>
            </w:r>
          </w:p>
        </w:tc>
        <w:tc>
          <w:tcPr>
            <w:tcW w:w="3737" w:type="dxa"/>
            <w:tcBorders>
              <w:tl2br w:val="nil"/>
              <w:tr2bl w:val="nil"/>
            </w:tcBorders>
            <w:noWrap w:val="0"/>
            <w:vAlign w:val="center"/>
          </w:tcPr>
          <w:p w14:paraId="292B82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1D88B3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6D07A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003286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4000.00</w:t>
            </w:r>
          </w:p>
        </w:tc>
        <w:tc>
          <w:tcPr>
            <w:tcW w:w="1434" w:type="dxa"/>
            <w:tcBorders>
              <w:tl2br w:val="nil"/>
              <w:tr2bl w:val="nil"/>
            </w:tcBorders>
            <w:noWrap w:val="0"/>
            <w:vAlign w:val="center"/>
          </w:tcPr>
          <w:p w14:paraId="5EF413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0657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D42F7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135</w:t>
            </w:r>
          </w:p>
        </w:tc>
        <w:tc>
          <w:tcPr>
            <w:tcW w:w="3810" w:type="dxa"/>
            <w:tcBorders>
              <w:tl2br w:val="nil"/>
              <w:tr2bl w:val="nil"/>
            </w:tcBorders>
            <w:noWrap w:val="0"/>
            <w:vAlign w:val="center"/>
          </w:tcPr>
          <w:p w14:paraId="4493870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γ干扰素（IFN-γ）</w:t>
            </w:r>
          </w:p>
        </w:tc>
        <w:tc>
          <w:tcPr>
            <w:tcW w:w="3737" w:type="dxa"/>
            <w:tcBorders>
              <w:tl2br w:val="nil"/>
              <w:tr2bl w:val="nil"/>
            </w:tcBorders>
            <w:noWrap w:val="0"/>
            <w:vAlign w:val="center"/>
          </w:tcPr>
          <w:p w14:paraId="25F536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52104F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A2145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 </w:t>
            </w:r>
          </w:p>
        </w:tc>
        <w:tc>
          <w:tcPr>
            <w:tcW w:w="1554" w:type="dxa"/>
            <w:tcBorders>
              <w:tl2br w:val="nil"/>
              <w:tr2bl w:val="nil"/>
            </w:tcBorders>
            <w:noWrap w:val="0"/>
            <w:vAlign w:val="center"/>
          </w:tcPr>
          <w:p w14:paraId="36865B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1600.00</w:t>
            </w:r>
          </w:p>
        </w:tc>
        <w:tc>
          <w:tcPr>
            <w:tcW w:w="1434" w:type="dxa"/>
            <w:tcBorders>
              <w:tl2br w:val="nil"/>
              <w:tr2bl w:val="nil"/>
            </w:tcBorders>
            <w:noWrap w:val="0"/>
            <w:vAlign w:val="center"/>
          </w:tcPr>
          <w:p w14:paraId="179A98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722B8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358F9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136</w:t>
            </w:r>
          </w:p>
        </w:tc>
        <w:tc>
          <w:tcPr>
            <w:tcW w:w="3810" w:type="dxa"/>
            <w:tcBorders>
              <w:tl2br w:val="nil"/>
              <w:tr2bl w:val="nil"/>
            </w:tcBorders>
            <w:noWrap w:val="0"/>
            <w:vAlign w:val="center"/>
          </w:tcPr>
          <w:p w14:paraId="441A3E3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白介素IL-1β</w:t>
            </w:r>
          </w:p>
        </w:tc>
        <w:tc>
          <w:tcPr>
            <w:tcW w:w="3737" w:type="dxa"/>
            <w:tcBorders>
              <w:tl2br w:val="nil"/>
              <w:tr2bl w:val="nil"/>
            </w:tcBorders>
            <w:noWrap w:val="0"/>
            <w:vAlign w:val="center"/>
          </w:tcPr>
          <w:p w14:paraId="6BE198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700456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B98CA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 </w:t>
            </w:r>
          </w:p>
        </w:tc>
        <w:tc>
          <w:tcPr>
            <w:tcW w:w="1554" w:type="dxa"/>
            <w:tcBorders>
              <w:tl2br w:val="nil"/>
              <w:tr2bl w:val="nil"/>
            </w:tcBorders>
            <w:noWrap w:val="0"/>
            <w:vAlign w:val="center"/>
          </w:tcPr>
          <w:p w14:paraId="699496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404016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8805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09D2B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137</w:t>
            </w:r>
          </w:p>
        </w:tc>
        <w:tc>
          <w:tcPr>
            <w:tcW w:w="3810" w:type="dxa"/>
            <w:tcBorders>
              <w:tl2br w:val="nil"/>
              <w:tr2bl w:val="nil"/>
            </w:tcBorders>
            <w:noWrap w:val="0"/>
            <w:vAlign w:val="center"/>
          </w:tcPr>
          <w:p w14:paraId="04F7E5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白介素IL-2R</w:t>
            </w:r>
          </w:p>
        </w:tc>
        <w:tc>
          <w:tcPr>
            <w:tcW w:w="3737" w:type="dxa"/>
            <w:tcBorders>
              <w:tl2br w:val="nil"/>
              <w:tr2bl w:val="nil"/>
            </w:tcBorders>
            <w:noWrap w:val="0"/>
            <w:vAlign w:val="center"/>
          </w:tcPr>
          <w:p w14:paraId="3C6C6D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13900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36718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 </w:t>
            </w:r>
          </w:p>
        </w:tc>
        <w:tc>
          <w:tcPr>
            <w:tcW w:w="1554" w:type="dxa"/>
            <w:tcBorders>
              <w:tl2br w:val="nil"/>
              <w:tr2bl w:val="nil"/>
            </w:tcBorders>
            <w:noWrap w:val="0"/>
            <w:vAlign w:val="center"/>
          </w:tcPr>
          <w:p w14:paraId="58D5F9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1F6A6C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CD5D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83F2E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138</w:t>
            </w:r>
          </w:p>
        </w:tc>
        <w:tc>
          <w:tcPr>
            <w:tcW w:w="3810" w:type="dxa"/>
            <w:tcBorders>
              <w:tl2br w:val="nil"/>
              <w:tr2bl w:val="nil"/>
            </w:tcBorders>
            <w:noWrap w:val="0"/>
            <w:vAlign w:val="center"/>
          </w:tcPr>
          <w:p w14:paraId="25BD1B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白介素IL-2</w:t>
            </w:r>
          </w:p>
        </w:tc>
        <w:tc>
          <w:tcPr>
            <w:tcW w:w="3737" w:type="dxa"/>
            <w:tcBorders>
              <w:tl2br w:val="nil"/>
              <w:tr2bl w:val="nil"/>
            </w:tcBorders>
            <w:noWrap w:val="0"/>
            <w:vAlign w:val="center"/>
          </w:tcPr>
          <w:p w14:paraId="2E918BE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14297F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12B4E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 </w:t>
            </w:r>
          </w:p>
        </w:tc>
        <w:tc>
          <w:tcPr>
            <w:tcW w:w="1554" w:type="dxa"/>
            <w:tcBorders>
              <w:tl2br w:val="nil"/>
              <w:tr2bl w:val="nil"/>
            </w:tcBorders>
            <w:noWrap w:val="0"/>
            <w:vAlign w:val="center"/>
          </w:tcPr>
          <w:p w14:paraId="4C78ED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73CFEA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924F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741BD0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139</w:t>
            </w:r>
          </w:p>
        </w:tc>
        <w:tc>
          <w:tcPr>
            <w:tcW w:w="3810" w:type="dxa"/>
            <w:tcBorders>
              <w:tl2br w:val="nil"/>
              <w:tr2bl w:val="nil"/>
            </w:tcBorders>
            <w:noWrap w:val="0"/>
            <w:vAlign w:val="center"/>
          </w:tcPr>
          <w:p w14:paraId="13190C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白介素IL-4</w:t>
            </w:r>
          </w:p>
        </w:tc>
        <w:tc>
          <w:tcPr>
            <w:tcW w:w="3737" w:type="dxa"/>
            <w:tcBorders>
              <w:tl2br w:val="nil"/>
              <w:tr2bl w:val="nil"/>
            </w:tcBorders>
            <w:noWrap w:val="0"/>
            <w:vAlign w:val="center"/>
          </w:tcPr>
          <w:p w14:paraId="10DAA1B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3B7DEB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D8CA1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 </w:t>
            </w:r>
          </w:p>
        </w:tc>
        <w:tc>
          <w:tcPr>
            <w:tcW w:w="1554" w:type="dxa"/>
            <w:tcBorders>
              <w:tl2br w:val="nil"/>
              <w:tr2bl w:val="nil"/>
            </w:tcBorders>
            <w:noWrap w:val="0"/>
            <w:vAlign w:val="center"/>
          </w:tcPr>
          <w:p w14:paraId="25392A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580620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450AE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B4F2C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140</w:t>
            </w:r>
          </w:p>
        </w:tc>
        <w:tc>
          <w:tcPr>
            <w:tcW w:w="3810" w:type="dxa"/>
            <w:tcBorders>
              <w:tl2br w:val="nil"/>
              <w:tr2bl w:val="nil"/>
            </w:tcBorders>
            <w:noWrap w:val="0"/>
            <w:vAlign w:val="center"/>
          </w:tcPr>
          <w:p w14:paraId="6D497FC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白介素IL-5</w:t>
            </w:r>
          </w:p>
        </w:tc>
        <w:tc>
          <w:tcPr>
            <w:tcW w:w="3737" w:type="dxa"/>
            <w:tcBorders>
              <w:tl2br w:val="nil"/>
              <w:tr2bl w:val="nil"/>
            </w:tcBorders>
            <w:noWrap w:val="0"/>
            <w:vAlign w:val="center"/>
          </w:tcPr>
          <w:p w14:paraId="2DC35B2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5B5773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04363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3852EA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5F7186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64EE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0F6E4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141</w:t>
            </w:r>
          </w:p>
        </w:tc>
        <w:tc>
          <w:tcPr>
            <w:tcW w:w="3810" w:type="dxa"/>
            <w:tcBorders>
              <w:tl2br w:val="nil"/>
              <w:tr2bl w:val="nil"/>
            </w:tcBorders>
            <w:noWrap w:val="0"/>
            <w:vAlign w:val="center"/>
          </w:tcPr>
          <w:p w14:paraId="0688B85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白介素IL-8</w:t>
            </w:r>
          </w:p>
        </w:tc>
        <w:tc>
          <w:tcPr>
            <w:tcW w:w="3737" w:type="dxa"/>
            <w:tcBorders>
              <w:tl2br w:val="nil"/>
              <w:tr2bl w:val="nil"/>
            </w:tcBorders>
            <w:noWrap w:val="0"/>
            <w:vAlign w:val="center"/>
          </w:tcPr>
          <w:p w14:paraId="70C6681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4CA285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4AA55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77AE85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77998B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06E5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1441F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142</w:t>
            </w:r>
          </w:p>
        </w:tc>
        <w:tc>
          <w:tcPr>
            <w:tcW w:w="3810" w:type="dxa"/>
            <w:tcBorders>
              <w:tl2br w:val="nil"/>
              <w:tr2bl w:val="nil"/>
            </w:tcBorders>
            <w:noWrap w:val="0"/>
            <w:vAlign w:val="center"/>
          </w:tcPr>
          <w:p w14:paraId="4C3D4A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白介素IL-10</w:t>
            </w:r>
          </w:p>
        </w:tc>
        <w:tc>
          <w:tcPr>
            <w:tcW w:w="3737" w:type="dxa"/>
            <w:tcBorders>
              <w:tl2br w:val="nil"/>
              <w:tr2bl w:val="nil"/>
            </w:tcBorders>
            <w:noWrap w:val="0"/>
            <w:vAlign w:val="center"/>
          </w:tcPr>
          <w:p w14:paraId="0D12C18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53D392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29EA86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494092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5DC9A9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D449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FC7D6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143</w:t>
            </w:r>
          </w:p>
        </w:tc>
        <w:tc>
          <w:tcPr>
            <w:tcW w:w="3810" w:type="dxa"/>
            <w:tcBorders>
              <w:tl2br w:val="nil"/>
              <w:tr2bl w:val="nil"/>
            </w:tcBorders>
            <w:noWrap w:val="0"/>
            <w:vAlign w:val="center"/>
          </w:tcPr>
          <w:p w14:paraId="174C225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白介素IL-12</w:t>
            </w:r>
          </w:p>
        </w:tc>
        <w:tc>
          <w:tcPr>
            <w:tcW w:w="3737" w:type="dxa"/>
            <w:tcBorders>
              <w:tl2br w:val="nil"/>
              <w:tr2bl w:val="nil"/>
            </w:tcBorders>
            <w:noWrap w:val="0"/>
            <w:vAlign w:val="center"/>
          </w:tcPr>
          <w:p w14:paraId="3FA7023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5D56A7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893CE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3E948C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3837FA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1EF5F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C1FF9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144</w:t>
            </w:r>
          </w:p>
        </w:tc>
        <w:tc>
          <w:tcPr>
            <w:tcW w:w="3810" w:type="dxa"/>
            <w:tcBorders>
              <w:tl2br w:val="nil"/>
              <w:tr2bl w:val="nil"/>
            </w:tcBorders>
            <w:noWrap w:val="0"/>
            <w:vAlign w:val="center"/>
          </w:tcPr>
          <w:p w14:paraId="44A06C6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白介素IL-17A</w:t>
            </w:r>
          </w:p>
        </w:tc>
        <w:tc>
          <w:tcPr>
            <w:tcW w:w="3737" w:type="dxa"/>
            <w:tcBorders>
              <w:tl2br w:val="nil"/>
              <w:tr2bl w:val="nil"/>
            </w:tcBorders>
            <w:noWrap w:val="0"/>
            <w:vAlign w:val="center"/>
          </w:tcPr>
          <w:p w14:paraId="70DABB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1DCE04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27384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4FDA6B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070844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F26E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19AE9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145</w:t>
            </w:r>
          </w:p>
        </w:tc>
        <w:tc>
          <w:tcPr>
            <w:tcW w:w="3810" w:type="dxa"/>
            <w:tcBorders>
              <w:tl2br w:val="nil"/>
              <w:tr2bl w:val="nil"/>
            </w:tcBorders>
            <w:noWrap w:val="0"/>
            <w:vAlign w:val="center"/>
          </w:tcPr>
          <w:p w14:paraId="1CBE95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白介素IL-17F</w:t>
            </w:r>
          </w:p>
        </w:tc>
        <w:tc>
          <w:tcPr>
            <w:tcW w:w="3737" w:type="dxa"/>
            <w:tcBorders>
              <w:tl2br w:val="nil"/>
              <w:tr2bl w:val="nil"/>
            </w:tcBorders>
            <w:noWrap w:val="0"/>
            <w:vAlign w:val="center"/>
          </w:tcPr>
          <w:p w14:paraId="1B5875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0CD257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20B01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3563F1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03FC14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67260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01D845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146</w:t>
            </w:r>
          </w:p>
        </w:tc>
        <w:tc>
          <w:tcPr>
            <w:tcW w:w="3810" w:type="dxa"/>
            <w:tcBorders>
              <w:tl2br w:val="nil"/>
              <w:tr2bl w:val="nil"/>
            </w:tcBorders>
            <w:noWrap w:val="0"/>
            <w:vAlign w:val="center"/>
          </w:tcPr>
          <w:p w14:paraId="4B6B49E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白介素IL-18</w:t>
            </w:r>
          </w:p>
        </w:tc>
        <w:tc>
          <w:tcPr>
            <w:tcW w:w="3737" w:type="dxa"/>
            <w:tcBorders>
              <w:tl2br w:val="nil"/>
              <w:tr2bl w:val="nil"/>
            </w:tcBorders>
            <w:noWrap w:val="0"/>
            <w:vAlign w:val="center"/>
          </w:tcPr>
          <w:p w14:paraId="7C78C1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311CA6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F4829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321F55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339565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5DFB5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78600A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147</w:t>
            </w:r>
          </w:p>
        </w:tc>
        <w:tc>
          <w:tcPr>
            <w:tcW w:w="3810" w:type="dxa"/>
            <w:tcBorders>
              <w:tl2br w:val="nil"/>
              <w:tr2bl w:val="nil"/>
            </w:tcBorders>
            <w:noWrap w:val="0"/>
            <w:vAlign w:val="center"/>
          </w:tcPr>
          <w:p w14:paraId="566A343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白介素IL-22</w:t>
            </w:r>
          </w:p>
        </w:tc>
        <w:tc>
          <w:tcPr>
            <w:tcW w:w="3737" w:type="dxa"/>
            <w:tcBorders>
              <w:tl2br w:val="nil"/>
              <w:tr2bl w:val="nil"/>
            </w:tcBorders>
            <w:noWrap w:val="0"/>
            <w:vAlign w:val="center"/>
          </w:tcPr>
          <w:p w14:paraId="54AFAE6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4E3C8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FF125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14C025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042F04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9FE8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36DCF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148</w:t>
            </w:r>
          </w:p>
        </w:tc>
        <w:tc>
          <w:tcPr>
            <w:tcW w:w="3810" w:type="dxa"/>
            <w:tcBorders>
              <w:tl2br w:val="nil"/>
              <w:tr2bl w:val="nil"/>
            </w:tcBorders>
            <w:noWrap w:val="0"/>
            <w:vAlign w:val="center"/>
          </w:tcPr>
          <w:p w14:paraId="71AA08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肿瘤坏死因子（TNF）</w:t>
            </w:r>
          </w:p>
        </w:tc>
        <w:tc>
          <w:tcPr>
            <w:tcW w:w="3737" w:type="dxa"/>
            <w:tcBorders>
              <w:tl2br w:val="nil"/>
              <w:tr2bl w:val="nil"/>
            </w:tcBorders>
            <w:noWrap w:val="0"/>
            <w:vAlign w:val="center"/>
          </w:tcPr>
          <w:p w14:paraId="14DF72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100测试/盒</w:t>
            </w:r>
          </w:p>
        </w:tc>
        <w:tc>
          <w:tcPr>
            <w:tcW w:w="1375" w:type="dxa"/>
            <w:tcBorders>
              <w:tl2br w:val="nil"/>
              <w:tr2bl w:val="nil"/>
            </w:tcBorders>
            <w:noWrap w:val="0"/>
            <w:vAlign w:val="center"/>
          </w:tcPr>
          <w:p w14:paraId="2F77E7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1599B3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1554" w:type="dxa"/>
            <w:tcBorders>
              <w:tl2br w:val="nil"/>
              <w:tr2bl w:val="nil"/>
            </w:tcBorders>
            <w:noWrap w:val="0"/>
            <w:vAlign w:val="center"/>
          </w:tcPr>
          <w:p w14:paraId="202C75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1330.00</w:t>
            </w:r>
          </w:p>
        </w:tc>
        <w:tc>
          <w:tcPr>
            <w:tcW w:w="1434" w:type="dxa"/>
            <w:tcBorders>
              <w:tl2br w:val="nil"/>
              <w:tr2bl w:val="nil"/>
            </w:tcBorders>
            <w:noWrap w:val="0"/>
            <w:vAlign w:val="center"/>
          </w:tcPr>
          <w:p w14:paraId="63FB26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2229E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66E36E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149</w:t>
            </w:r>
          </w:p>
        </w:tc>
        <w:tc>
          <w:tcPr>
            <w:tcW w:w="3810" w:type="dxa"/>
            <w:tcBorders>
              <w:tl2br w:val="nil"/>
              <w:tr2bl w:val="nil"/>
            </w:tcBorders>
            <w:noWrap w:val="0"/>
            <w:vAlign w:val="center"/>
          </w:tcPr>
          <w:p w14:paraId="269726D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生化多项质控品</w:t>
            </w:r>
          </w:p>
        </w:tc>
        <w:tc>
          <w:tcPr>
            <w:tcW w:w="3737" w:type="dxa"/>
            <w:tcBorders>
              <w:tl2br w:val="nil"/>
              <w:tr2bl w:val="nil"/>
            </w:tcBorders>
            <w:noWrap w:val="0"/>
            <w:vAlign w:val="center"/>
          </w:tcPr>
          <w:p w14:paraId="2FE55F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水平1：20*5ml</w:t>
            </w:r>
          </w:p>
        </w:tc>
        <w:tc>
          <w:tcPr>
            <w:tcW w:w="1375" w:type="dxa"/>
            <w:tcBorders>
              <w:tl2br w:val="nil"/>
              <w:tr2bl w:val="nil"/>
            </w:tcBorders>
            <w:noWrap w:val="0"/>
            <w:vAlign w:val="center"/>
          </w:tcPr>
          <w:p w14:paraId="34607A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334273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0ADC9E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48.50</w:t>
            </w:r>
          </w:p>
        </w:tc>
        <w:tc>
          <w:tcPr>
            <w:tcW w:w="1434" w:type="dxa"/>
            <w:tcBorders>
              <w:tl2br w:val="nil"/>
              <w:tr2bl w:val="nil"/>
            </w:tcBorders>
            <w:noWrap w:val="0"/>
            <w:vAlign w:val="center"/>
          </w:tcPr>
          <w:p w14:paraId="493A1D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1B5D1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5D1818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150</w:t>
            </w:r>
          </w:p>
        </w:tc>
        <w:tc>
          <w:tcPr>
            <w:tcW w:w="3810" w:type="dxa"/>
            <w:tcBorders>
              <w:tl2br w:val="nil"/>
              <w:tr2bl w:val="nil"/>
            </w:tcBorders>
            <w:noWrap w:val="0"/>
            <w:vAlign w:val="center"/>
          </w:tcPr>
          <w:p w14:paraId="5912FE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光度计灯</w:t>
            </w:r>
          </w:p>
        </w:tc>
        <w:tc>
          <w:tcPr>
            <w:tcW w:w="3737" w:type="dxa"/>
            <w:tcBorders>
              <w:tl2br w:val="nil"/>
              <w:tr2bl w:val="nil"/>
            </w:tcBorders>
            <w:noWrap w:val="0"/>
            <w:vAlign w:val="center"/>
          </w:tcPr>
          <w:p w14:paraId="6BC5A4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生化系列1个/盒</w:t>
            </w:r>
          </w:p>
        </w:tc>
        <w:tc>
          <w:tcPr>
            <w:tcW w:w="1375" w:type="dxa"/>
            <w:tcBorders>
              <w:tl2br w:val="nil"/>
              <w:tr2bl w:val="nil"/>
            </w:tcBorders>
            <w:noWrap w:val="0"/>
            <w:vAlign w:val="center"/>
          </w:tcPr>
          <w:p w14:paraId="31E757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04E943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554" w:type="dxa"/>
            <w:tcBorders>
              <w:tl2br w:val="nil"/>
              <w:tr2bl w:val="nil"/>
            </w:tcBorders>
            <w:noWrap w:val="0"/>
            <w:vAlign w:val="center"/>
          </w:tcPr>
          <w:p w14:paraId="2F0AFE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3500.00</w:t>
            </w:r>
          </w:p>
        </w:tc>
        <w:tc>
          <w:tcPr>
            <w:tcW w:w="1434" w:type="dxa"/>
            <w:tcBorders>
              <w:tl2br w:val="nil"/>
              <w:tr2bl w:val="nil"/>
            </w:tcBorders>
            <w:noWrap w:val="0"/>
            <w:vAlign w:val="center"/>
          </w:tcPr>
          <w:p w14:paraId="43E0A7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20A6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21AA99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151</w:t>
            </w:r>
          </w:p>
        </w:tc>
        <w:tc>
          <w:tcPr>
            <w:tcW w:w="3810" w:type="dxa"/>
            <w:tcBorders>
              <w:tl2br w:val="nil"/>
              <w:tr2bl w:val="nil"/>
            </w:tcBorders>
            <w:noWrap w:val="0"/>
            <w:vAlign w:val="center"/>
          </w:tcPr>
          <w:p w14:paraId="5D0BB62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镁测定试剂盒（二甲苯胺蓝法）</w:t>
            </w:r>
          </w:p>
        </w:tc>
        <w:tc>
          <w:tcPr>
            <w:tcW w:w="3737" w:type="dxa"/>
            <w:tcBorders>
              <w:tl2br w:val="nil"/>
              <w:tr2bl w:val="nil"/>
            </w:tcBorders>
            <w:noWrap w:val="0"/>
            <w:vAlign w:val="center"/>
          </w:tcPr>
          <w:p w14:paraId="45DA032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240ml/盒新成仪器专用</w:t>
            </w:r>
          </w:p>
        </w:tc>
        <w:tc>
          <w:tcPr>
            <w:tcW w:w="1375" w:type="dxa"/>
            <w:tcBorders>
              <w:tl2br w:val="nil"/>
              <w:tr2bl w:val="nil"/>
            </w:tcBorders>
            <w:noWrap w:val="0"/>
            <w:vAlign w:val="center"/>
          </w:tcPr>
          <w:p w14:paraId="38012C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7A6A4A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438D12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629.00</w:t>
            </w:r>
          </w:p>
        </w:tc>
        <w:tc>
          <w:tcPr>
            <w:tcW w:w="1434" w:type="dxa"/>
            <w:tcBorders>
              <w:tl2br w:val="nil"/>
              <w:tr2bl w:val="nil"/>
            </w:tcBorders>
            <w:noWrap w:val="0"/>
            <w:vAlign w:val="center"/>
          </w:tcPr>
          <w:p w14:paraId="365E28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47B98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8A662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152</w:t>
            </w:r>
          </w:p>
        </w:tc>
        <w:tc>
          <w:tcPr>
            <w:tcW w:w="3810" w:type="dxa"/>
            <w:tcBorders>
              <w:tl2br w:val="nil"/>
              <w:tr2bl w:val="nil"/>
            </w:tcBorders>
            <w:noWrap w:val="0"/>
            <w:vAlign w:val="center"/>
          </w:tcPr>
          <w:p w14:paraId="027BFE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氯电极</w:t>
            </w:r>
          </w:p>
        </w:tc>
        <w:tc>
          <w:tcPr>
            <w:tcW w:w="3737" w:type="dxa"/>
            <w:tcBorders>
              <w:tl2br w:val="nil"/>
              <w:tr2bl w:val="nil"/>
            </w:tcBorders>
            <w:noWrap w:val="0"/>
            <w:vAlign w:val="center"/>
          </w:tcPr>
          <w:p w14:paraId="7D5F8C9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1个（全自动生化分析仪-AU5800）</w:t>
            </w:r>
          </w:p>
        </w:tc>
        <w:tc>
          <w:tcPr>
            <w:tcW w:w="1375" w:type="dxa"/>
            <w:tcBorders>
              <w:tl2br w:val="nil"/>
              <w:tr2bl w:val="nil"/>
            </w:tcBorders>
            <w:noWrap w:val="0"/>
            <w:vAlign w:val="center"/>
          </w:tcPr>
          <w:p w14:paraId="6F91A8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963" w:type="dxa"/>
            <w:tcBorders>
              <w:tl2br w:val="nil"/>
              <w:tr2bl w:val="nil"/>
            </w:tcBorders>
            <w:noWrap w:val="0"/>
            <w:vAlign w:val="center"/>
          </w:tcPr>
          <w:p w14:paraId="544588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554" w:type="dxa"/>
            <w:tcBorders>
              <w:tl2br w:val="nil"/>
              <w:tr2bl w:val="nil"/>
            </w:tcBorders>
            <w:noWrap w:val="0"/>
            <w:vAlign w:val="center"/>
          </w:tcPr>
          <w:p w14:paraId="46B759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7000.00</w:t>
            </w:r>
          </w:p>
        </w:tc>
        <w:tc>
          <w:tcPr>
            <w:tcW w:w="1434" w:type="dxa"/>
            <w:tcBorders>
              <w:tl2br w:val="nil"/>
              <w:tr2bl w:val="nil"/>
            </w:tcBorders>
            <w:noWrap w:val="0"/>
            <w:vAlign w:val="center"/>
          </w:tcPr>
          <w:p w14:paraId="20FBBF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747C6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450C14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153</w:t>
            </w:r>
          </w:p>
        </w:tc>
        <w:tc>
          <w:tcPr>
            <w:tcW w:w="3810" w:type="dxa"/>
            <w:tcBorders>
              <w:tl2br w:val="nil"/>
              <w:tr2bl w:val="nil"/>
            </w:tcBorders>
            <w:noWrap w:val="0"/>
            <w:vAlign w:val="center"/>
          </w:tcPr>
          <w:p w14:paraId="77CD93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无机磷测定试剂盒（磷钼酸盐法）</w:t>
            </w:r>
          </w:p>
        </w:tc>
        <w:tc>
          <w:tcPr>
            <w:tcW w:w="3737" w:type="dxa"/>
            <w:tcBorders>
              <w:tl2br w:val="nil"/>
              <w:tr2bl w:val="nil"/>
            </w:tcBorders>
            <w:noWrap w:val="0"/>
            <w:vAlign w:val="center"/>
          </w:tcPr>
          <w:p w14:paraId="18D2BB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240ml/盒新成仪器专用</w:t>
            </w:r>
          </w:p>
        </w:tc>
        <w:tc>
          <w:tcPr>
            <w:tcW w:w="1375" w:type="dxa"/>
            <w:tcBorders>
              <w:tl2br w:val="nil"/>
              <w:tr2bl w:val="nil"/>
            </w:tcBorders>
            <w:noWrap w:val="0"/>
            <w:vAlign w:val="center"/>
          </w:tcPr>
          <w:p w14:paraId="77BA69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3D4DD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15B0E1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651.10</w:t>
            </w:r>
          </w:p>
        </w:tc>
        <w:tc>
          <w:tcPr>
            <w:tcW w:w="1434" w:type="dxa"/>
            <w:tcBorders>
              <w:tl2br w:val="nil"/>
              <w:tr2bl w:val="nil"/>
            </w:tcBorders>
            <w:noWrap w:val="0"/>
            <w:vAlign w:val="center"/>
          </w:tcPr>
          <w:p w14:paraId="504B5E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是</w:t>
            </w:r>
          </w:p>
        </w:tc>
      </w:tr>
      <w:tr w14:paraId="0E5B7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903" w:type="dxa"/>
            <w:tcBorders>
              <w:tl2br w:val="nil"/>
              <w:tr2bl w:val="nil"/>
            </w:tcBorders>
            <w:noWrap w:val="0"/>
            <w:vAlign w:val="center"/>
          </w:tcPr>
          <w:p w14:paraId="390B14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154</w:t>
            </w:r>
          </w:p>
        </w:tc>
        <w:tc>
          <w:tcPr>
            <w:tcW w:w="3810" w:type="dxa"/>
            <w:tcBorders>
              <w:tl2br w:val="nil"/>
              <w:tr2bl w:val="nil"/>
            </w:tcBorders>
            <w:noWrap w:val="0"/>
            <w:vAlign w:val="center"/>
          </w:tcPr>
          <w:p w14:paraId="0383327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铁测定试剂盒（TPTZ法）</w:t>
            </w:r>
          </w:p>
        </w:tc>
        <w:tc>
          <w:tcPr>
            <w:tcW w:w="3737" w:type="dxa"/>
            <w:tcBorders>
              <w:tl2br w:val="nil"/>
              <w:tr2bl w:val="nil"/>
            </w:tcBorders>
            <w:noWrap w:val="0"/>
            <w:vAlign w:val="center"/>
          </w:tcPr>
          <w:p w14:paraId="7B79209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R1：4*15ml  R2：4*15ml</w:t>
            </w:r>
          </w:p>
        </w:tc>
        <w:tc>
          <w:tcPr>
            <w:tcW w:w="1375" w:type="dxa"/>
            <w:tcBorders>
              <w:tl2br w:val="nil"/>
              <w:tr2bl w:val="nil"/>
            </w:tcBorders>
            <w:noWrap w:val="0"/>
            <w:vAlign w:val="center"/>
          </w:tcPr>
          <w:p w14:paraId="36562D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5731AA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54" w:type="dxa"/>
            <w:tcBorders>
              <w:tl2br w:val="nil"/>
              <w:tr2bl w:val="nil"/>
            </w:tcBorders>
            <w:noWrap w:val="0"/>
            <w:vAlign w:val="center"/>
          </w:tcPr>
          <w:p w14:paraId="3E9EB1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975.80</w:t>
            </w:r>
          </w:p>
        </w:tc>
        <w:tc>
          <w:tcPr>
            <w:tcW w:w="1434" w:type="dxa"/>
            <w:tcBorders>
              <w:tl2br w:val="nil"/>
              <w:tr2bl w:val="nil"/>
            </w:tcBorders>
            <w:noWrap w:val="0"/>
            <w:vAlign w:val="center"/>
          </w:tcPr>
          <w:p w14:paraId="1C6886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tr w14:paraId="3BF85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903" w:type="dxa"/>
            <w:tcBorders>
              <w:tl2br w:val="nil"/>
              <w:tr2bl w:val="nil"/>
            </w:tcBorders>
            <w:noWrap w:val="0"/>
            <w:vAlign w:val="center"/>
          </w:tcPr>
          <w:p w14:paraId="191181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155</w:t>
            </w:r>
          </w:p>
        </w:tc>
        <w:tc>
          <w:tcPr>
            <w:tcW w:w="3810" w:type="dxa"/>
            <w:tcBorders>
              <w:tl2br w:val="nil"/>
              <w:tr2bl w:val="nil"/>
            </w:tcBorders>
            <w:noWrap w:val="0"/>
            <w:vAlign w:val="center"/>
          </w:tcPr>
          <w:p w14:paraId="1FDE7F9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铁测定试剂盒（二甲苯胺蓝法）</w:t>
            </w:r>
          </w:p>
        </w:tc>
        <w:tc>
          <w:tcPr>
            <w:tcW w:w="3737" w:type="dxa"/>
            <w:tcBorders>
              <w:tl2br w:val="nil"/>
              <w:tr2bl w:val="nil"/>
            </w:tcBorders>
            <w:noWrap w:val="0"/>
            <w:vAlign w:val="center"/>
          </w:tcPr>
          <w:p w14:paraId="1F95D38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4*40ml</w:t>
            </w:r>
          </w:p>
        </w:tc>
        <w:tc>
          <w:tcPr>
            <w:tcW w:w="1375" w:type="dxa"/>
            <w:tcBorders>
              <w:tl2br w:val="nil"/>
              <w:tr2bl w:val="nil"/>
            </w:tcBorders>
            <w:noWrap w:val="0"/>
            <w:vAlign w:val="center"/>
          </w:tcPr>
          <w:p w14:paraId="7EF375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963" w:type="dxa"/>
            <w:tcBorders>
              <w:tl2br w:val="nil"/>
              <w:tr2bl w:val="nil"/>
            </w:tcBorders>
            <w:noWrap w:val="0"/>
            <w:vAlign w:val="center"/>
          </w:tcPr>
          <w:p w14:paraId="65F272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54" w:type="dxa"/>
            <w:tcBorders>
              <w:tl2br w:val="nil"/>
              <w:tr2bl w:val="nil"/>
            </w:tcBorders>
            <w:noWrap w:val="0"/>
            <w:vAlign w:val="center"/>
          </w:tcPr>
          <w:p w14:paraId="35E0AC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629.00</w:t>
            </w:r>
          </w:p>
        </w:tc>
        <w:tc>
          <w:tcPr>
            <w:tcW w:w="1434" w:type="dxa"/>
            <w:tcBorders>
              <w:tl2br w:val="nil"/>
              <w:tr2bl w:val="nil"/>
            </w:tcBorders>
            <w:noWrap w:val="0"/>
            <w:vAlign w:val="center"/>
          </w:tcPr>
          <w:p w14:paraId="28754C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r>
      <w:bookmarkEnd w:id="117"/>
    </w:tbl>
    <w:p w14:paraId="7042D7C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注：1.各标段清单中的耗材引用某一名称、品牌、型号、规格、数据、尺寸等参数及技术要求的，仅是为了表述耗材某一方面或某些方面的性能需要，不指向特定厂家、特定品牌和特定产品。如这些表述恰与某产品雷同，实属巧合，并不表示采购人只接受该产品投标，供应商可以根据自身情况选择投标产品，采购人不排斥或限制供应商选用不同参数的产品参加投标。</w:t>
      </w:r>
    </w:p>
    <w:p w14:paraId="48E3E940">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2.清单中“是否接受进口产品”一栏为“是”的表示接受进口产品投标，其他耗材不接受进口产品投标。</w:t>
      </w:r>
    </w:p>
    <w:p w14:paraId="5B79977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报价时</w:t>
      </w:r>
      <w:r>
        <w:rPr>
          <w:rFonts w:hint="eastAsia" w:asciiTheme="minorEastAsia" w:hAnsiTheme="minorEastAsia" w:eastAsiaTheme="minorEastAsia" w:cstheme="minorEastAsia"/>
          <w:b/>
          <w:bCs/>
          <w:color w:val="auto"/>
          <w:sz w:val="24"/>
          <w:szCs w:val="24"/>
          <w:highlight w:val="none"/>
        </w:rPr>
        <w:t>不得缺项漏项，并</w:t>
      </w:r>
      <w:r>
        <w:rPr>
          <w:rFonts w:hint="eastAsia" w:asciiTheme="minorEastAsia" w:hAnsiTheme="minorEastAsia" w:eastAsiaTheme="minorEastAsia" w:cstheme="minorEastAsia"/>
          <w:b/>
          <w:bCs/>
          <w:color w:val="auto"/>
          <w:sz w:val="24"/>
          <w:szCs w:val="24"/>
          <w:highlight w:val="none"/>
          <w:lang w:val="en-US" w:eastAsia="zh-CN"/>
        </w:rPr>
        <w:t>须</w:t>
      </w:r>
      <w:r>
        <w:rPr>
          <w:rFonts w:hint="eastAsia" w:asciiTheme="minorEastAsia" w:hAnsiTheme="minorEastAsia" w:eastAsiaTheme="minorEastAsia" w:cstheme="minorEastAsia"/>
          <w:b/>
          <w:bCs/>
          <w:color w:val="auto"/>
          <w:sz w:val="24"/>
          <w:szCs w:val="24"/>
          <w:highlight w:val="none"/>
        </w:rPr>
        <w:t>确保对所有</w:t>
      </w:r>
      <w:r>
        <w:rPr>
          <w:rFonts w:hint="eastAsia" w:asciiTheme="minorEastAsia" w:hAnsiTheme="minorEastAsia" w:eastAsiaTheme="minorEastAsia" w:cstheme="minorEastAsia"/>
          <w:b/>
          <w:bCs/>
          <w:color w:val="auto"/>
          <w:sz w:val="24"/>
          <w:szCs w:val="24"/>
          <w:highlight w:val="none"/>
          <w:lang w:val="en-US" w:eastAsia="zh-CN"/>
        </w:rPr>
        <w:t>耗材</w:t>
      </w:r>
      <w:r>
        <w:rPr>
          <w:rFonts w:hint="eastAsia" w:asciiTheme="minorEastAsia" w:hAnsiTheme="minorEastAsia" w:eastAsiaTheme="minorEastAsia" w:cstheme="minorEastAsia"/>
          <w:b/>
          <w:bCs/>
          <w:color w:val="auto"/>
          <w:sz w:val="24"/>
          <w:szCs w:val="24"/>
          <w:highlight w:val="none"/>
        </w:rPr>
        <w:t>均具有</w:t>
      </w:r>
      <w:r>
        <w:rPr>
          <w:rFonts w:hint="eastAsia" w:asciiTheme="minorEastAsia" w:hAnsiTheme="minorEastAsia" w:eastAsiaTheme="minorEastAsia" w:cstheme="minorEastAsia"/>
          <w:b/>
          <w:bCs/>
          <w:color w:val="auto"/>
          <w:sz w:val="24"/>
          <w:szCs w:val="24"/>
          <w:highlight w:val="none"/>
          <w:lang w:val="en-US" w:eastAsia="zh-CN"/>
        </w:rPr>
        <w:t>供应配送</w:t>
      </w:r>
      <w:r>
        <w:rPr>
          <w:rFonts w:hint="eastAsia" w:asciiTheme="minorEastAsia" w:hAnsiTheme="minorEastAsia" w:eastAsiaTheme="minorEastAsia" w:cstheme="minorEastAsia"/>
          <w:b/>
          <w:bCs/>
          <w:color w:val="auto"/>
          <w:sz w:val="24"/>
          <w:szCs w:val="24"/>
          <w:highlight w:val="none"/>
        </w:rPr>
        <w:t>能力。</w:t>
      </w:r>
    </w:p>
    <w:p w14:paraId="2A127526">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000000"/>
          <w:kern w:val="2"/>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rPr>
        <w:t>4.供应商的投标报价不得超过最高限价（各标段最高限价及各项耗材的单价最高限价）。</w:t>
      </w:r>
      <w:bookmarkEnd w:id="116"/>
    </w:p>
    <w:sectPr>
      <w:headerReference r:id="rId10" w:type="default"/>
      <w:pgSz w:w="16838" w:h="11906" w:orient="landscape"/>
      <w:pgMar w:top="1080" w:right="1440" w:bottom="1080" w:left="1440" w:header="850" w:footer="992" w:gutter="0"/>
      <w:pgNumType w:fmt="decimal"/>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2D92A">
    <w:pPr>
      <w:pStyle w:val="17"/>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9BC7C">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B9BC7C">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27C86">
    <w:pPr>
      <w:pStyle w:val="17"/>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B66131">
                          <w:pPr>
                            <w:pStyle w:val="1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0B66131">
                    <w:pPr>
                      <w:pStyle w:val="1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4FA07">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BEB27">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9BEB27">
                    <w:pPr>
                      <w:pStyle w:val="17"/>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A5A04">
    <w:pPr>
      <w:pStyle w:val="18"/>
      <w:pBdr>
        <w:bottom w:val="none" w:color="auto" w:sz="0" w:space="0"/>
      </w:pBdr>
      <w:jc w:val="left"/>
      <w:rPr>
        <w:rFonts w:hint="default" w:eastAsia="宋体"/>
        <w:sz w:val="18"/>
        <w:szCs w:val="24"/>
        <w:u w:val="single"/>
        <w:lang w:val="en-US" w:eastAsia="zh-CN"/>
      </w:rPr>
    </w:pPr>
    <w:r>
      <w:rPr>
        <w:rFonts w:hint="eastAsia"/>
        <w:sz w:val="18"/>
        <w:szCs w:val="24"/>
        <w:u w:val="single"/>
        <w:lang w:val="en-US" w:eastAsia="zh-CN"/>
      </w:rPr>
      <w:t xml:space="preserve">临沧市临翔区人民医院2025年度医用耗材第二标段采购项目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EBA9D">
    <w:pPr>
      <w:pStyle w:val="18"/>
      <w:jc w:val="both"/>
      <w:rPr>
        <w:rFonts w:hint="eastAsia"/>
      </w:rPr>
    </w:pPr>
    <w:r>
      <w:rPr>
        <w:rFonts w:hint="eastAsia" w:ascii="宋体"/>
        <w:lang w:val="en-GB" w:eastAsia="zh-CN"/>
      </w:rPr>
      <w:t>临沧市临翔区人民医院2025年度医用耗材试剂（第一标段、第二标段、第三标段、第四标段、第五标段）</w:t>
    </w:r>
    <w:r>
      <w:rPr>
        <w:rFonts w:hint="eastAsia" w:ascii="宋体"/>
        <w:lang w:val="en-GB"/>
      </w:rPr>
      <w:t xml:space="preserve">                                </w:t>
    </w:r>
    <w:r>
      <w:rPr>
        <w:rFonts w:hint="eastAsia" w:ascii="宋体"/>
      </w:rPr>
      <w:t xml:space="preserve">                                           招标编号：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7C7EE">
    <w:pPr>
      <w:pStyle w:val="18"/>
      <w:pBdr>
        <w:bottom w:val="none" w:color="auto" w:sz="0" w:space="0"/>
      </w:pBdr>
      <w:jc w:val="left"/>
    </w:pPr>
    <w:r>
      <w:rPr>
        <w:rFonts w:hint="eastAsia" w:cs="Times New Roman"/>
        <w:sz w:val="21"/>
        <w:szCs w:val="32"/>
        <w:u w:val="single"/>
        <w:lang w:val="en-US" w:eastAsia="zh-CN"/>
      </w:rPr>
      <w:t>临沧市临翔区人民医院2025年度医用耗材第二标段采购项目</w:t>
    </w:r>
    <w:r>
      <w:rPr>
        <w:rFonts w:hint="eastAsia" w:ascii="Times New Roman" w:hAnsi="Times New Roman" w:cs="Times New Roman"/>
        <w:sz w:val="21"/>
        <w:szCs w:val="32"/>
        <w:u w:val="single"/>
        <w:lang w:val="en-US" w:eastAsia="zh-CN"/>
      </w:rPr>
      <w:t xml:space="preserve">  </w:t>
    </w:r>
    <w:r>
      <w:rPr>
        <w:rFonts w:hint="eastAsia"/>
        <w:sz w:val="21"/>
        <w:szCs w:val="32"/>
        <w:u w:val="single"/>
        <w:lang w:val="en-US" w:eastAsia="zh-CN"/>
      </w:rPr>
      <w:t xml:space="preserve">               招标文件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F1D30">
    <w:pPr>
      <w:pStyle w:val="18"/>
      <w:pBdr>
        <w:bottom w:val="none" w:color="auto" w:sz="0" w:space="0"/>
      </w:pBdr>
      <w:jc w:val="left"/>
    </w:pPr>
    <w:r>
      <w:rPr>
        <w:rFonts w:hint="eastAsia" w:cs="Times New Roman"/>
        <w:sz w:val="21"/>
        <w:szCs w:val="32"/>
        <w:u w:val="single"/>
        <w:lang w:val="en-US" w:eastAsia="zh-CN"/>
      </w:rPr>
      <w:t>临沧市临翔区人民医院2025年度医用耗材第二标段采购项目</w:t>
    </w:r>
    <w:r>
      <w:rPr>
        <w:rFonts w:hint="eastAsia" w:ascii="Times New Roman" w:hAnsi="Times New Roman" w:cs="Times New Roman"/>
        <w:sz w:val="21"/>
        <w:szCs w:val="32"/>
        <w:u w:val="single"/>
        <w:lang w:val="en-US" w:eastAsia="zh-CN"/>
      </w:rPr>
      <w:t xml:space="preserve">  </w:t>
    </w:r>
    <w:r>
      <w:rPr>
        <w:rFonts w:hint="eastAsia"/>
        <w:sz w:val="21"/>
        <w:szCs w:val="32"/>
        <w:u w:val="single"/>
        <w:lang w:val="en-US" w:eastAsia="zh-CN"/>
      </w:rPr>
      <w:t xml:space="preserve">                              招标文件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0FD35">
    <w:pPr>
      <w:pStyle w:val="18"/>
      <w:pBdr>
        <w:bottom w:val="none" w:color="auto" w:sz="0" w:space="0"/>
      </w:pBdr>
      <w:jc w:val="left"/>
    </w:pPr>
    <w:r>
      <w:rPr>
        <w:rFonts w:hint="eastAsia" w:cs="Times New Roman"/>
        <w:sz w:val="21"/>
        <w:szCs w:val="32"/>
        <w:u w:val="single"/>
        <w:lang w:val="en-US" w:eastAsia="zh-CN"/>
      </w:rPr>
      <w:t>临沧市临翔区人民医院2025年度医用耗材第二标段采购项目</w:t>
    </w:r>
    <w:r>
      <w:rPr>
        <w:rFonts w:hint="eastAsia" w:ascii="Times New Roman" w:hAnsi="Times New Roman" w:cs="Times New Roman"/>
        <w:sz w:val="21"/>
        <w:szCs w:val="32"/>
        <w:u w:val="single"/>
        <w:lang w:val="en-US" w:eastAsia="zh-CN"/>
      </w:rPr>
      <w:t xml:space="preserve">  </w:t>
    </w:r>
    <w:r>
      <w:rPr>
        <w:rFonts w:hint="eastAsia"/>
        <w:sz w:val="21"/>
        <w:szCs w:val="32"/>
        <w:u w:val="single"/>
        <w:lang w:val="en-US" w:eastAsia="zh-CN"/>
      </w:rPr>
      <w:t xml:space="preserve">                                                                     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417D6"/>
    <w:multiLevelType w:val="singleLevel"/>
    <w:tmpl w:val="13A417D6"/>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210"/>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D0518"/>
    <w:rsid w:val="001A64C4"/>
    <w:rsid w:val="001E40CA"/>
    <w:rsid w:val="00207D7F"/>
    <w:rsid w:val="002235CA"/>
    <w:rsid w:val="00247343"/>
    <w:rsid w:val="002B1744"/>
    <w:rsid w:val="00337586"/>
    <w:rsid w:val="00345998"/>
    <w:rsid w:val="00351550"/>
    <w:rsid w:val="003577A2"/>
    <w:rsid w:val="00384B9C"/>
    <w:rsid w:val="003A4DB8"/>
    <w:rsid w:val="003C6099"/>
    <w:rsid w:val="003D73DB"/>
    <w:rsid w:val="003F42F4"/>
    <w:rsid w:val="00494346"/>
    <w:rsid w:val="004C7274"/>
    <w:rsid w:val="00502AA2"/>
    <w:rsid w:val="005216AE"/>
    <w:rsid w:val="0053718B"/>
    <w:rsid w:val="005D60AC"/>
    <w:rsid w:val="005E0AA6"/>
    <w:rsid w:val="005F65CD"/>
    <w:rsid w:val="006836D3"/>
    <w:rsid w:val="006B7639"/>
    <w:rsid w:val="006D4931"/>
    <w:rsid w:val="00854261"/>
    <w:rsid w:val="00867708"/>
    <w:rsid w:val="008C6C96"/>
    <w:rsid w:val="009444C8"/>
    <w:rsid w:val="009A37BE"/>
    <w:rsid w:val="009B646F"/>
    <w:rsid w:val="009C15CF"/>
    <w:rsid w:val="009D66E9"/>
    <w:rsid w:val="00A53833"/>
    <w:rsid w:val="00A66EA3"/>
    <w:rsid w:val="00A9146D"/>
    <w:rsid w:val="00AD558A"/>
    <w:rsid w:val="00C46C1F"/>
    <w:rsid w:val="00C621A8"/>
    <w:rsid w:val="00D2781B"/>
    <w:rsid w:val="00D97299"/>
    <w:rsid w:val="00E80370"/>
    <w:rsid w:val="00EB1C0E"/>
    <w:rsid w:val="00EB7E60"/>
    <w:rsid w:val="00F46D15"/>
    <w:rsid w:val="00F841D9"/>
    <w:rsid w:val="01001B5E"/>
    <w:rsid w:val="010325AD"/>
    <w:rsid w:val="01070785"/>
    <w:rsid w:val="011B62C9"/>
    <w:rsid w:val="011E5D1D"/>
    <w:rsid w:val="0123417D"/>
    <w:rsid w:val="01242E93"/>
    <w:rsid w:val="012E3662"/>
    <w:rsid w:val="012E506E"/>
    <w:rsid w:val="0132783D"/>
    <w:rsid w:val="013D4B60"/>
    <w:rsid w:val="01415CD2"/>
    <w:rsid w:val="01521C8D"/>
    <w:rsid w:val="015977B8"/>
    <w:rsid w:val="015B4987"/>
    <w:rsid w:val="0160564A"/>
    <w:rsid w:val="01687703"/>
    <w:rsid w:val="016E5167"/>
    <w:rsid w:val="016F0A91"/>
    <w:rsid w:val="016F6AE2"/>
    <w:rsid w:val="01761E20"/>
    <w:rsid w:val="017B2ECF"/>
    <w:rsid w:val="017E2CDF"/>
    <w:rsid w:val="017E6F26"/>
    <w:rsid w:val="017F0574"/>
    <w:rsid w:val="01822579"/>
    <w:rsid w:val="01877B89"/>
    <w:rsid w:val="018A642C"/>
    <w:rsid w:val="018A7679"/>
    <w:rsid w:val="018E0F64"/>
    <w:rsid w:val="01981D96"/>
    <w:rsid w:val="019C7431"/>
    <w:rsid w:val="01A06E9D"/>
    <w:rsid w:val="01A7278B"/>
    <w:rsid w:val="01AC75F0"/>
    <w:rsid w:val="01B0383C"/>
    <w:rsid w:val="01C41A91"/>
    <w:rsid w:val="01C928D7"/>
    <w:rsid w:val="01D60109"/>
    <w:rsid w:val="01DD59FB"/>
    <w:rsid w:val="01E274B5"/>
    <w:rsid w:val="01E55C7F"/>
    <w:rsid w:val="01FA0599"/>
    <w:rsid w:val="02045F07"/>
    <w:rsid w:val="02054F52"/>
    <w:rsid w:val="020E57A9"/>
    <w:rsid w:val="02225B04"/>
    <w:rsid w:val="02261BE3"/>
    <w:rsid w:val="02345366"/>
    <w:rsid w:val="023747AF"/>
    <w:rsid w:val="023B2552"/>
    <w:rsid w:val="02430DFA"/>
    <w:rsid w:val="02493090"/>
    <w:rsid w:val="024E26D4"/>
    <w:rsid w:val="024E4B4B"/>
    <w:rsid w:val="0250441F"/>
    <w:rsid w:val="02587C53"/>
    <w:rsid w:val="025D214D"/>
    <w:rsid w:val="025E1380"/>
    <w:rsid w:val="025F4662"/>
    <w:rsid w:val="026161C7"/>
    <w:rsid w:val="02631013"/>
    <w:rsid w:val="026709FD"/>
    <w:rsid w:val="02694D8D"/>
    <w:rsid w:val="026954E1"/>
    <w:rsid w:val="026E18F2"/>
    <w:rsid w:val="0270061D"/>
    <w:rsid w:val="027579AB"/>
    <w:rsid w:val="027C4EF2"/>
    <w:rsid w:val="02877081"/>
    <w:rsid w:val="028B36A9"/>
    <w:rsid w:val="028C0922"/>
    <w:rsid w:val="028E4F47"/>
    <w:rsid w:val="029167E5"/>
    <w:rsid w:val="0297204E"/>
    <w:rsid w:val="02972CE9"/>
    <w:rsid w:val="02A00385"/>
    <w:rsid w:val="02A8331F"/>
    <w:rsid w:val="02B50726"/>
    <w:rsid w:val="02B9675D"/>
    <w:rsid w:val="02BA2A3B"/>
    <w:rsid w:val="02BC2FB5"/>
    <w:rsid w:val="02BC588C"/>
    <w:rsid w:val="02BD75DA"/>
    <w:rsid w:val="02BF15A4"/>
    <w:rsid w:val="02C66262"/>
    <w:rsid w:val="02D405AB"/>
    <w:rsid w:val="02DC2156"/>
    <w:rsid w:val="02E122B3"/>
    <w:rsid w:val="02EB777A"/>
    <w:rsid w:val="02F235B8"/>
    <w:rsid w:val="02F661CE"/>
    <w:rsid w:val="02F91864"/>
    <w:rsid w:val="02FB392D"/>
    <w:rsid w:val="030516AD"/>
    <w:rsid w:val="03084CFA"/>
    <w:rsid w:val="030F35FF"/>
    <w:rsid w:val="03123DCA"/>
    <w:rsid w:val="03127926"/>
    <w:rsid w:val="031439CE"/>
    <w:rsid w:val="031C26D3"/>
    <w:rsid w:val="03222747"/>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64A9C"/>
    <w:rsid w:val="036C107F"/>
    <w:rsid w:val="036C34DA"/>
    <w:rsid w:val="036F3782"/>
    <w:rsid w:val="038344F3"/>
    <w:rsid w:val="038832EC"/>
    <w:rsid w:val="038C58AA"/>
    <w:rsid w:val="03962305"/>
    <w:rsid w:val="03A46726"/>
    <w:rsid w:val="03B10EED"/>
    <w:rsid w:val="03B12C38"/>
    <w:rsid w:val="03BE7AAE"/>
    <w:rsid w:val="03C230FA"/>
    <w:rsid w:val="03C26546"/>
    <w:rsid w:val="03C875B9"/>
    <w:rsid w:val="03D1158F"/>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8330A"/>
    <w:rsid w:val="043A3225"/>
    <w:rsid w:val="043B546A"/>
    <w:rsid w:val="04483DB9"/>
    <w:rsid w:val="044E42B9"/>
    <w:rsid w:val="045170D8"/>
    <w:rsid w:val="045B0D13"/>
    <w:rsid w:val="045B1761"/>
    <w:rsid w:val="045E28E6"/>
    <w:rsid w:val="046409CB"/>
    <w:rsid w:val="046B7FE6"/>
    <w:rsid w:val="046D526E"/>
    <w:rsid w:val="047343F5"/>
    <w:rsid w:val="04792DA9"/>
    <w:rsid w:val="047D7C58"/>
    <w:rsid w:val="047F2D99"/>
    <w:rsid w:val="048C1C6F"/>
    <w:rsid w:val="04936FD0"/>
    <w:rsid w:val="049E3BEA"/>
    <w:rsid w:val="04A7716F"/>
    <w:rsid w:val="04BA09AD"/>
    <w:rsid w:val="04BB7EC7"/>
    <w:rsid w:val="04BC08B4"/>
    <w:rsid w:val="04C17856"/>
    <w:rsid w:val="04C6507D"/>
    <w:rsid w:val="04D566C2"/>
    <w:rsid w:val="04D76CB9"/>
    <w:rsid w:val="04D90435"/>
    <w:rsid w:val="04DF01B0"/>
    <w:rsid w:val="04E06B6F"/>
    <w:rsid w:val="04E22F90"/>
    <w:rsid w:val="04EB042F"/>
    <w:rsid w:val="04F52115"/>
    <w:rsid w:val="04F74489"/>
    <w:rsid w:val="04FA68C4"/>
    <w:rsid w:val="05012311"/>
    <w:rsid w:val="05094D59"/>
    <w:rsid w:val="050A505C"/>
    <w:rsid w:val="051060E7"/>
    <w:rsid w:val="05297B69"/>
    <w:rsid w:val="053578FC"/>
    <w:rsid w:val="053973EC"/>
    <w:rsid w:val="05400FE8"/>
    <w:rsid w:val="05432019"/>
    <w:rsid w:val="05455862"/>
    <w:rsid w:val="05455DAE"/>
    <w:rsid w:val="05467D5B"/>
    <w:rsid w:val="05471C86"/>
    <w:rsid w:val="054C45FF"/>
    <w:rsid w:val="05504736"/>
    <w:rsid w:val="055802F1"/>
    <w:rsid w:val="05663F59"/>
    <w:rsid w:val="056E08C6"/>
    <w:rsid w:val="05701DE5"/>
    <w:rsid w:val="057551AC"/>
    <w:rsid w:val="057E7A3A"/>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313AC"/>
    <w:rsid w:val="05CD1002"/>
    <w:rsid w:val="05D610DF"/>
    <w:rsid w:val="05D67816"/>
    <w:rsid w:val="05D81EC4"/>
    <w:rsid w:val="05D961F6"/>
    <w:rsid w:val="05DB1844"/>
    <w:rsid w:val="05DB66F5"/>
    <w:rsid w:val="05E337FC"/>
    <w:rsid w:val="05E36C9D"/>
    <w:rsid w:val="05E76509"/>
    <w:rsid w:val="05E946BE"/>
    <w:rsid w:val="05FC437C"/>
    <w:rsid w:val="06007F0A"/>
    <w:rsid w:val="060B1FE2"/>
    <w:rsid w:val="0621228B"/>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D59FE"/>
    <w:rsid w:val="067E36D3"/>
    <w:rsid w:val="068B011B"/>
    <w:rsid w:val="06927A7D"/>
    <w:rsid w:val="06986941"/>
    <w:rsid w:val="06B119B0"/>
    <w:rsid w:val="06B331CE"/>
    <w:rsid w:val="06B807E5"/>
    <w:rsid w:val="06B85547"/>
    <w:rsid w:val="06BF7DC5"/>
    <w:rsid w:val="06C07699"/>
    <w:rsid w:val="06C23C64"/>
    <w:rsid w:val="06C62F02"/>
    <w:rsid w:val="06C71910"/>
    <w:rsid w:val="06CA6D2B"/>
    <w:rsid w:val="06D85CEA"/>
    <w:rsid w:val="06DF3FC3"/>
    <w:rsid w:val="06E31D05"/>
    <w:rsid w:val="06F4329F"/>
    <w:rsid w:val="07044E92"/>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B55A3"/>
    <w:rsid w:val="073F2CB4"/>
    <w:rsid w:val="074107DA"/>
    <w:rsid w:val="07487DBA"/>
    <w:rsid w:val="074958E1"/>
    <w:rsid w:val="074F69AE"/>
    <w:rsid w:val="07503F44"/>
    <w:rsid w:val="07562564"/>
    <w:rsid w:val="07591FC8"/>
    <w:rsid w:val="07603356"/>
    <w:rsid w:val="076646E5"/>
    <w:rsid w:val="07783EDF"/>
    <w:rsid w:val="077A3CEC"/>
    <w:rsid w:val="07901266"/>
    <w:rsid w:val="0790462E"/>
    <w:rsid w:val="07973FC4"/>
    <w:rsid w:val="0797664C"/>
    <w:rsid w:val="07985882"/>
    <w:rsid w:val="079D1F14"/>
    <w:rsid w:val="07A528A7"/>
    <w:rsid w:val="07A859AB"/>
    <w:rsid w:val="07AA20DF"/>
    <w:rsid w:val="07AA45D1"/>
    <w:rsid w:val="07AB0349"/>
    <w:rsid w:val="07AB18D9"/>
    <w:rsid w:val="07AD6D60"/>
    <w:rsid w:val="07B92A66"/>
    <w:rsid w:val="07BB3768"/>
    <w:rsid w:val="07BD69FF"/>
    <w:rsid w:val="07C11C3C"/>
    <w:rsid w:val="07C531B9"/>
    <w:rsid w:val="07CF534D"/>
    <w:rsid w:val="07D02006"/>
    <w:rsid w:val="07D22F80"/>
    <w:rsid w:val="07EA47F3"/>
    <w:rsid w:val="07ED23B2"/>
    <w:rsid w:val="07F47710"/>
    <w:rsid w:val="07F61294"/>
    <w:rsid w:val="08006D71"/>
    <w:rsid w:val="0808579C"/>
    <w:rsid w:val="0808754A"/>
    <w:rsid w:val="080F0D90"/>
    <w:rsid w:val="08147C9D"/>
    <w:rsid w:val="08183E10"/>
    <w:rsid w:val="081C5097"/>
    <w:rsid w:val="08266B3E"/>
    <w:rsid w:val="08297BEC"/>
    <w:rsid w:val="082C148A"/>
    <w:rsid w:val="0842185D"/>
    <w:rsid w:val="084F09BE"/>
    <w:rsid w:val="086200D7"/>
    <w:rsid w:val="08626C5A"/>
    <w:rsid w:val="087072EB"/>
    <w:rsid w:val="088704C3"/>
    <w:rsid w:val="0895702F"/>
    <w:rsid w:val="08A317B5"/>
    <w:rsid w:val="08AF3BBC"/>
    <w:rsid w:val="08B60832"/>
    <w:rsid w:val="08BF358B"/>
    <w:rsid w:val="08D132F7"/>
    <w:rsid w:val="08D56A1B"/>
    <w:rsid w:val="08DC4C5E"/>
    <w:rsid w:val="08E1680C"/>
    <w:rsid w:val="08E7666C"/>
    <w:rsid w:val="08F61060"/>
    <w:rsid w:val="09023F99"/>
    <w:rsid w:val="09034133"/>
    <w:rsid w:val="09074C75"/>
    <w:rsid w:val="09093579"/>
    <w:rsid w:val="09163859"/>
    <w:rsid w:val="091C32AD"/>
    <w:rsid w:val="091F2D9D"/>
    <w:rsid w:val="0925575C"/>
    <w:rsid w:val="09297778"/>
    <w:rsid w:val="092D730D"/>
    <w:rsid w:val="093E3B30"/>
    <w:rsid w:val="0946657C"/>
    <w:rsid w:val="0949375A"/>
    <w:rsid w:val="094D790A"/>
    <w:rsid w:val="09526A84"/>
    <w:rsid w:val="096B0217"/>
    <w:rsid w:val="096C4EC0"/>
    <w:rsid w:val="09771CFC"/>
    <w:rsid w:val="097924AD"/>
    <w:rsid w:val="097E749C"/>
    <w:rsid w:val="0987349A"/>
    <w:rsid w:val="098826F0"/>
    <w:rsid w:val="098A13E9"/>
    <w:rsid w:val="098D3783"/>
    <w:rsid w:val="098D7D07"/>
    <w:rsid w:val="098F7AE7"/>
    <w:rsid w:val="099512B1"/>
    <w:rsid w:val="09971131"/>
    <w:rsid w:val="09972BED"/>
    <w:rsid w:val="099E1F14"/>
    <w:rsid w:val="09A62A40"/>
    <w:rsid w:val="09AB2883"/>
    <w:rsid w:val="09BC05EC"/>
    <w:rsid w:val="09BE6112"/>
    <w:rsid w:val="09C6146A"/>
    <w:rsid w:val="09D0027E"/>
    <w:rsid w:val="09D43B87"/>
    <w:rsid w:val="09DC0C8E"/>
    <w:rsid w:val="09DE7F38"/>
    <w:rsid w:val="09E22693"/>
    <w:rsid w:val="09E85885"/>
    <w:rsid w:val="09EA33AB"/>
    <w:rsid w:val="09EA59EB"/>
    <w:rsid w:val="09ED69F7"/>
    <w:rsid w:val="09EF4731"/>
    <w:rsid w:val="09F27FE0"/>
    <w:rsid w:val="09FE29B2"/>
    <w:rsid w:val="09FF78B8"/>
    <w:rsid w:val="0A014251"/>
    <w:rsid w:val="0A0564C8"/>
    <w:rsid w:val="0A104E7E"/>
    <w:rsid w:val="0A153E7D"/>
    <w:rsid w:val="0A217932"/>
    <w:rsid w:val="0A23052D"/>
    <w:rsid w:val="0A24284B"/>
    <w:rsid w:val="0A27015B"/>
    <w:rsid w:val="0A2C755F"/>
    <w:rsid w:val="0A300975"/>
    <w:rsid w:val="0A3D21C6"/>
    <w:rsid w:val="0A3E7253"/>
    <w:rsid w:val="0A415285"/>
    <w:rsid w:val="0A5C7AF9"/>
    <w:rsid w:val="0A617AEE"/>
    <w:rsid w:val="0A6749FB"/>
    <w:rsid w:val="0A6842D0"/>
    <w:rsid w:val="0A71382C"/>
    <w:rsid w:val="0A7333A0"/>
    <w:rsid w:val="0A74450F"/>
    <w:rsid w:val="0A74648F"/>
    <w:rsid w:val="0A777866"/>
    <w:rsid w:val="0A7B2255"/>
    <w:rsid w:val="0A7D35EF"/>
    <w:rsid w:val="0A7E1D45"/>
    <w:rsid w:val="0A821187"/>
    <w:rsid w:val="0A8455AD"/>
    <w:rsid w:val="0A8B6D96"/>
    <w:rsid w:val="0A917CCA"/>
    <w:rsid w:val="0A934F20"/>
    <w:rsid w:val="0A947BC6"/>
    <w:rsid w:val="0A96708F"/>
    <w:rsid w:val="0A9B28F7"/>
    <w:rsid w:val="0A9D21CB"/>
    <w:rsid w:val="0AA172D2"/>
    <w:rsid w:val="0AA25A34"/>
    <w:rsid w:val="0AA479FE"/>
    <w:rsid w:val="0AA7304A"/>
    <w:rsid w:val="0AB12031"/>
    <w:rsid w:val="0AB13EC9"/>
    <w:rsid w:val="0AB35B63"/>
    <w:rsid w:val="0AB614DF"/>
    <w:rsid w:val="0AB6722B"/>
    <w:rsid w:val="0ABD461B"/>
    <w:rsid w:val="0AC37D72"/>
    <w:rsid w:val="0AC43BFC"/>
    <w:rsid w:val="0AC736EC"/>
    <w:rsid w:val="0AC90BC7"/>
    <w:rsid w:val="0AC95124"/>
    <w:rsid w:val="0ACD3A48"/>
    <w:rsid w:val="0AD674DD"/>
    <w:rsid w:val="0ADF422C"/>
    <w:rsid w:val="0AE55920"/>
    <w:rsid w:val="0AEC4D3F"/>
    <w:rsid w:val="0AEC4F01"/>
    <w:rsid w:val="0AF51214"/>
    <w:rsid w:val="0AFD2C6A"/>
    <w:rsid w:val="0B001553"/>
    <w:rsid w:val="0B0C10FF"/>
    <w:rsid w:val="0B0E7656"/>
    <w:rsid w:val="0B0F145C"/>
    <w:rsid w:val="0B102511"/>
    <w:rsid w:val="0B1256F9"/>
    <w:rsid w:val="0B183F48"/>
    <w:rsid w:val="0B1870D0"/>
    <w:rsid w:val="0B226B74"/>
    <w:rsid w:val="0B25175A"/>
    <w:rsid w:val="0B2529AE"/>
    <w:rsid w:val="0B287211"/>
    <w:rsid w:val="0B2B436C"/>
    <w:rsid w:val="0B3222C4"/>
    <w:rsid w:val="0B3443F6"/>
    <w:rsid w:val="0B424B21"/>
    <w:rsid w:val="0B4A55A2"/>
    <w:rsid w:val="0B4B1C27"/>
    <w:rsid w:val="0B561748"/>
    <w:rsid w:val="0B584344"/>
    <w:rsid w:val="0B5A379F"/>
    <w:rsid w:val="0B5B704A"/>
    <w:rsid w:val="0B5C1203"/>
    <w:rsid w:val="0B662F05"/>
    <w:rsid w:val="0B667B80"/>
    <w:rsid w:val="0B765A72"/>
    <w:rsid w:val="0B771B39"/>
    <w:rsid w:val="0B786794"/>
    <w:rsid w:val="0B7F7B23"/>
    <w:rsid w:val="0B805722"/>
    <w:rsid w:val="0B867103"/>
    <w:rsid w:val="0B884C29"/>
    <w:rsid w:val="0B886B49"/>
    <w:rsid w:val="0B896BF3"/>
    <w:rsid w:val="0B8B471A"/>
    <w:rsid w:val="0B8E420A"/>
    <w:rsid w:val="0B921F8C"/>
    <w:rsid w:val="0B972ACE"/>
    <w:rsid w:val="0B9F01C5"/>
    <w:rsid w:val="0B9F54A0"/>
    <w:rsid w:val="0BA23811"/>
    <w:rsid w:val="0BAB4DBC"/>
    <w:rsid w:val="0BB27EF8"/>
    <w:rsid w:val="0BB61EAD"/>
    <w:rsid w:val="0BBC5C62"/>
    <w:rsid w:val="0BC65752"/>
    <w:rsid w:val="0BD0714E"/>
    <w:rsid w:val="0BE66B6F"/>
    <w:rsid w:val="0BE81B6C"/>
    <w:rsid w:val="0BEF4CA9"/>
    <w:rsid w:val="0BF91ACF"/>
    <w:rsid w:val="0BFD5D61"/>
    <w:rsid w:val="0C1069CD"/>
    <w:rsid w:val="0C110C8D"/>
    <w:rsid w:val="0C140B52"/>
    <w:rsid w:val="0C187159"/>
    <w:rsid w:val="0C197BB6"/>
    <w:rsid w:val="0C1A522D"/>
    <w:rsid w:val="0C1B4F42"/>
    <w:rsid w:val="0C222A29"/>
    <w:rsid w:val="0C245BFC"/>
    <w:rsid w:val="0C347C0D"/>
    <w:rsid w:val="0C387C9E"/>
    <w:rsid w:val="0C3A6864"/>
    <w:rsid w:val="0C4072B2"/>
    <w:rsid w:val="0C48406D"/>
    <w:rsid w:val="0C4E7499"/>
    <w:rsid w:val="0C517711"/>
    <w:rsid w:val="0C541788"/>
    <w:rsid w:val="0C594C5D"/>
    <w:rsid w:val="0C5C1C12"/>
    <w:rsid w:val="0C60667A"/>
    <w:rsid w:val="0C6369FF"/>
    <w:rsid w:val="0C803AD1"/>
    <w:rsid w:val="0C830CA3"/>
    <w:rsid w:val="0C851169"/>
    <w:rsid w:val="0C9007FB"/>
    <w:rsid w:val="0C994C14"/>
    <w:rsid w:val="0CA81BE3"/>
    <w:rsid w:val="0CB17A6B"/>
    <w:rsid w:val="0CBD18CD"/>
    <w:rsid w:val="0CD02D66"/>
    <w:rsid w:val="0CD67C16"/>
    <w:rsid w:val="0CD87887"/>
    <w:rsid w:val="0CDB522D"/>
    <w:rsid w:val="0CE720A9"/>
    <w:rsid w:val="0CEB63A8"/>
    <w:rsid w:val="0CEC568C"/>
    <w:rsid w:val="0CEF3D60"/>
    <w:rsid w:val="0CF03BD5"/>
    <w:rsid w:val="0CF307C8"/>
    <w:rsid w:val="0CF46AD6"/>
    <w:rsid w:val="0CF5680A"/>
    <w:rsid w:val="0CF62067"/>
    <w:rsid w:val="0CF743EB"/>
    <w:rsid w:val="0CF87B8D"/>
    <w:rsid w:val="0CFA6EF3"/>
    <w:rsid w:val="0CFB142B"/>
    <w:rsid w:val="0D004C93"/>
    <w:rsid w:val="0D0562CD"/>
    <w:rsid w:val="0D091FF5"/>
    <w:rsid w:val="0D102222"/>
    <w:rsid w:val="0D1349C7"/>
    <w:rsid w:val="0D1A3FA7"/>
    <w:rsid w:val="0D1D43CB"/>
    <w:rsid w:val="0D20150E"/>
    <w:rsid w:val="0D293B3A"/>
    <w:rsid w:val="0D2A7E55"/>
    <w:rsid w:val="0D2C3CDA"/>
    <w:rsid w:val="0D38267F"/>
    <w:rsid w:val="0D3A6CDB"/>
    <w:rsid w:val="0D3B4742"/>
    <w:rsid w:val="0D3C2A09"/>
    <w:rsid w:val="0D464F9D"/>
    <w:rsid w:val="0D4970FC"/>
    <w:rsid w:val="0D585B80"/>
    <w:rsid w:val="0D6267B2"/>
    <w:rsid w:val="0D650A0F"/>
    <w:rsid w:val="0D69333C"/>
    <w:rsid w:val="0D8238FA"/>
    <w:rsid w:val="0D887163"/>
    <w:rsid w:val="0D8D15B7"/>
    <w:rsid w:val="0D953C0B"/>
    <w:rsid w:val="0D96694A"/>
    <w:rsid w:val="0DA536DA"/>
    <w:rsid w:val="0DBA174B"/>
    <w:rsid w:val="0DBC5B20"/>
    <w:rsid w:val="0DBE0DD6"/>
    <w:rsid w:val="0DC20725"/>
    <w:rsid w:val="0DC65EDD"/>
    <w:rsid w:val="0DCD668D"/>
    <w:rsid w:val="0DCE6B40"/>
    <w:rsid w:val="0DD56120"/>
    <w:rsid w:val="0DD57ECE"/>
    <w:rsid w:val="0DDB4F21"/>
    <w:rsid w:val="0DDE1BA7"/>
    <w:rsid w:val="0DE011D7"/>
    <w:rsid w:val="0DE369B9"/>
    <w:rsid w:val="0DE46E7A"/>
    <w:rsid w:val="0DE80AB1"/>
    <w:rsid w:val="0DEB033A"/>
    <w:rsid w:val="0DF02F5A"/>
    <w:rsid w:val="0DF21E3B"/>
    <w:rsid w:val="0DF843DB"/>
    <w:rsid w:val="0E0802A4"/>
    <w:rsid w:val="0E0D40F9"/>
    <w:rsid w:val="0E15651D"/>
    <w:rsid w:val="0E1924B1"/>
    <w:rsid w:val="0E19425F"/>
    <w:rsid w:val="0E286250"/>
    <w:rsid w:val="0E294B7B"/>
    <w:rsid w:val="0E2E37DD"/>
    <w:rsid w:val="0E321116"/>
    <w:rsid w:val="0E387414"/>
    <w:rsid w:val="0E3B2427"/>
    <w:rsid w:val="0E3E3861"/>
    <w:rsid w:val="0E437229"/>
    <w:rsid w:val="0E4C283F"/>
    <w:rsid w:val="0E50509D"/>
    <w:rsid w:val="0E5C414B"/>
    <w:rsid w:val="0E5D23AC"/>
    <w:rsid w:val="0E602098"/>
    <w:rsid w:val="0E6422B8"/>
    <w:rsid w:val="0E64514C"/>
    <w:rsid w:val="0E666D78"/>
    <w:rsid w:val="0E675A50"/>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04A83"/>
    <w:rsid w:val="0EE3661B"/>
    <w:rsid w:val="0EEA6891"/>
    <w:rsid w:val="0EED16E8"/>
    <w:rsid w:val="0EED27D6"/>
    <w:rsid w:val="0EF454A3"/>
    <w:rsid w:val="0EF5121A"/>
    <w:rsid w:val="0EF62849"/>
    <w:rsid w:val="0EF75CA5"/>
    <w:rsid w:val="0EF83E74"/>
    <w:rsid w:val="0EFF16A6"/>
    <w:rsid w:val="0F013807"/>
    <w:rsid w:val="0F024CF3"/>
    <w:rsid w:val="0F052A35"/>
    <w:rsid w:val="0F070785"/>
    <w:rsid w:val="0F0D4F28"/>
    <w:rsid w:val="0F0E3698"/>
    <w:rsid w:val="0F0E4E69"/>
    <w:rsid w:val="0F0E7B3C"/>
    <w:rsid w:val="0F256C33"/>
    <w:rsid w:val="0F297BE7"/>
    <w:rsid w:val="0F2E2C5F"/>
    <w:rsid w:val="0F3330FE"/>
    <w:rsid w:val="0F346E76"/>
    <w:rsid w:val="0F3A27FF"/>
    <w:rsid w:val="0F44355D"/>
    <w:rsid w:val="0F467718"/>
    <w:rsid w:val="0F495631"/>
    <w:rsid w:val="0F5C08A7"/>
    <w:rsid w:val="0F5F5CA1"/>
    <w:rsid w:val="0F635443"/>
    <w:rsid w:val="0F643300"/>
    <w:rsid w:val="0F657030"/>
    <w:rsid w:val="0F6B0B12"/>
    <w:rsid w:val="0F7021B0"/>
    <w:rsid w:val="0F732EF4"/>
    <w:rsid w:val="0F7E015F"/>
    <w:rsid w:val="0F807D73"/>
    <w:rsid w:val="0F895414"/>
    <w:rsid w:val="0F8B4CE8"/>
    <w:rsid w:val="0F8C1048"/>
    <w:rsid w:val="0F8D22CE"/>
    <w:rsid w:val="0F8E6586"/>
    <w:rsid w:val="0F9242C9"/>
    <w:rsid w:val="0F98542E"/>
    <w:rsid w:val="0FA47D57"/>
    <w:rsid w:val="0FA933C0"/>
    <w:rsid w:val="0FB26719"/>
    <w:rsid w:val="0FB56209"/>
    <w:rsid w:val="0FB85B95"/>
    <w:rsid w:val="0FB87AA7"/>
    <w:rsid w:val="0FBD0627"/>
    <w:rsid w:val="0FBD6E6C"/>
    <w:rsid w:val="0FC14BAE"/>
    <w:rsid w:val="0FCA3CAF"/>
    <w:rsid w:val="0FEF171B"/>
    <w:rsid w:val="0FF52C8D"/>
    <w:rsid w:val="0FF7412C"/>
    <w:rsid w:val="0FFF1232"/>
    <w:rsid w:val="10061C28"/>
    <w:rsid w:val="100D7DF3"/>
    <w:rsid w:val="10100C41"/>
    <w:rsid w:val="10131F62"/>
    <w:rsid w:val="101733B6"/>
    <w:rsid w:val="101E5B5C"/>
    <w:rsid w:val="10305890"/>
    <w:rsid w:val="10321608"/>
    <w:rsid w:val="103A6EA6"/>
    <w:rsid w:val="103C3F59"/>
    <w:rsid w:val="1044448D"/>
    <w:rsid w:val="1049590D"/>
    <w:rsid w:val="104B03D7"/>
    <w:rsid w:val="1057219D"/>
    <w:rsid w:val="1058689E"/>
    <w:rsid w:val="106339EB"/>
    <w:rsid w:val="106D2640"/>
    <w:rsid w:val="10710382"/>
    <w:rsid w:val="10741C20"/>
    <w:rsid w:val="10801761"/>
    <w:rsid w:val="10802FF2"/>
    <w:rsid w:val="108A0770"/>
    <w:rsid w:val="10945DC8"/>
    <w:rsid w:val="10A32505"/>
    <w:rsid w:val="10B84EDA"/>
    <w:rsid w:val="10BE2E9B"/>
    <w:rsid w:val="10C86279"/>
    <w:rsid w:val="10CD513B"/>
    <w:rsid w:val="10D03686"/>
    <w:rsid w:val="10D0681E"/>
    <w:rsid w:val="10D91A83"/>
    <w:rsid w:val="10E741A0"/>
    <w:rsid w:val="10F13271"/>
    <w:rsid w:val="10F845FF"/>
    <w:rsid w:val="10FA2FC0"/>
    <w:rsid w:val="11001706"/>
    <w:rsid w:val="11123588"/>
    <w:rsid w:val="11125D8C"/>
    <w:rsid w:val="11147D5E"/>
    <w:rsid w:val="111768B2"/>
    <w:rsid w:val="1118788E"/>
    <w:rsid w:val="111D2270"/>
    <w:rsid w:val="111F3C92"/>
    <w:rsid w:val="112A3006"/>
    <w:rsid w:val="11335637"/>
    <w:rsid w:val="1134315E"/>
    <w:rsid w:val="11365128"/>
    <w:rsid w:val="11494E5B"/>
    <w:rsid w:val="114E06C3"/>
    <w:rsid w:val="11500029"/>
    <w:rsid w:val="115B693C"/>
    <w:rsid w:val="116021A5"/>
    <w:rsid w:val="1160370D"/>
    <w:rsid w:val="11610532"/>
    <w:rsid w:val="11624F4F"/>
    <w:rsid w:val="116752E1"/>
    <w:rsid w:val="116A1760"/>
    <w:rsid w:val="11757319"/>
    <w:rsid w:val="117B4142"/>
    <w:rsid w:val="117B6E98"/>
    <w:rsid w:val="117C6279"/>
    <w:rsid w:val="11834761"/>
    <w:rsid w:val="118D3E53"/>
    <w:rsid w:val="1197540C"/>
    <w:rsid w:val="11A86494"/>
    <w:rsid w:val="11AC53EA"/>
    <w:rsid w:val="11BD4E2C"/>
    <w:rsid w:val="11BF336F"/>
    <w:rsid w:val="11C24C0D"/>
    <w:rsid w:val="11C42733"/>
    <w:rsid w:val="11CE35B2"/>
    <w:rsid w:val="11D42D5F"/>
    <w:rsid w:val="11D434DF"/>
    <w:rsid w:val="11D61772"/>
    <w:rsid w:val="11DE6ECF"/>
    <w:rsid w:val="11DF1879"/>
    <w:rsid w:val="11E22BBA"/>
    <w:rsid w:val="11ED2CA9"/>
    <w:rsid w:val="11EF16CB"/>
    <w:rsid w:val="11F03528"/>
    <w:rsid w:val="11F254F3"/>
    <w:rsid w:val="11F5472A"/>
    <w:rsid w:val="11F70371"/>
    <w:rsid w:val="11F72B09"/>
    <w:rsid w:val="12080872"/>
    <w:rsid w:val="12096398"/>
    <w:rsid w:val="120C1635"/>
    <w:rsid w:val="12173068"/>
    <w:rsid w:val="121C60CC"/>
    <w:rsid w:val="12232B93"/>
    <w:rsid w:val="122370C7"/>
    <w:rsid w:val="122B1980"/>
    <w:rsid w:val="122F22A3"/>
    <w:rsid w:val="1230027E"/>
    <w:rsid w:val="12352A26"/>
    <w:rsid w:val="12353ADA"/>
    <w:rsid w:val="123553DF"/>
    <w:rsid w:val="123E12D1"/>
    <w:rsid w:val="124B069E"/>
    <w:rsid w:val="124B075F"/>
    <w:rsid w:val="1255486C"/>
    <w:rsid w:val="125C155C"/>
    <w:rsid w:val="12601DC6"/>
    <w:rsid w:val="12617F82"/>
    <w:rsid w:val="12631F4C"/>
    <w:rsid w:val="12635AA8"/>
    <w:rsid w:val="12696E37"/>
    <w:rsid w:val="126B0C62"/>
    <w:rsid w:val="12706417"/>
    <w:rsid w:val="12751FBA"/>
    <w:rsid w:val="12752030"/>
    <w:rsid w:val="12753A2E"/>
    <w:rsid w:val="127C30F0"/>
    <w:rsid w:val="128633D3"/>
    <w:rsid w:val="12865C3B"/>
    <w:rsid w:val="128A572B"/>
    <w:rsid w:val="128B60CC"/>
    <w:rsid w:val="128C7765"/>
    <w:rsid w:val="12950A7E"/>
    <w:rsid w:val="129A3494"/>
    <w:rsid w:val="129B7938"/>
    <w:rsid w:val="129C00E6"/>
    <w:rsid w:val="129E11D6"/>
    <w:rsid w:val="12A83E03"/>
    <w:rsid w:val="12B426E7"/>
    <w:rsid w:val="12B47372"/>
    <w:rsid w:val="12B72298"/>
    <w:rsid w:val="12BE53D5"/>
    <w:rsid w:val="12C43900"/>
    <w:rsid w:val="12C549B5"/>
    <w:rsid w:val="12C72A04"/>
    <w:rsid w:val="12D009A7"/>
    <w:rsid w:val="12E27EED"/>
    <w:rsid w:val="12E400DB"/>
    <w:rsid w:val="12E806A4"/>
    <w:rsid w:val="12E81133"/>
    <w:rsid w:val="12E82452"/>
    <w:rsid w:val="12EA441C"/>
    <w:rsid w:val="12ED7A68"/>
    <w:rsid w:val="12EF7D0F"/>
    <w:rsid w:val="12F17558"/>
    <w:rsid w:val="12F44960"/>
    <w:rsid w:val="12F9273B"/>
    <w:rsid w:val="12F9465F"/>
    <w:rsid w:val="12FA4A1A"/>
    <w:rsid w:val="12FA5784"/>
    <w:rsid w:val="12FF557F"/>
    <w:rsid w:val="13046A01"/>
    <w:rsid w:val="13051255"/>
    <w:rsid w:val="13087DEF"/>
    <w:rsid w:val="13124E77"/>
    <w:rsid w:val="13152ADC"/>
    <w:rsid w:val="13182014"/>
    <w:rsid w:val="132711CC"/>
    <w:rsid w:val="13356BC5"/>
    <w:rsid w:val="13370CE3"/>
    <w:rsid w:val="133B434D"/>
    <w:rsid w:val="13403660"/>
    <w:rsid w:val="134753CA"/>
    <w:rsid w:val="134D6F18"/>
    <w:rsid w:val="13531FC1"/>
    <w:rsid w:val="1356385F"/>
    <w:rsid w:val="135F0966"/>
    <w:rsid w:val="13611AA6"/>
    <w:rsid w:val="13682D04"/>
    <w:rsid w:val="136E1102"/>
    <w:rsid w:val="136E24E0"/>
    <w:rsid w:val="13712447"/>
    <w:rsid w:val="13727C87"/>
    <w:rsid w:val="13743CE5"/>
    <w:rsid w:val="137B5074"/>
    <w:rsid w:val="13857CA0"/>
    <w:rsid w:val="138B7DB4"/>
    <w:rsid w:val="13904FC3"/>
    <w:rsid w:val="13A520F1"/>
    <w:rsid w:val="13A8239B"/>
    <w:rsid w:val="13AF2F6F"/>
    <w:rsid w:val="13B02153"/>
    <w:rsid w:val="13B15CBD"/>
    <w:rsid w:val="13B73E39"/>
    <w:rsid w:val="13C832D3"/>
    <w:rsid w:val="13DD6D1E"/>
    <w:rsid w:val="13EB044B"/>
    <w:rsid w:val="13ED16DB"/>
    <w:rsid w:val="13F56BD4"/>
    <w:rsid w:val="13FC61B5"/>
    <w:rsid w:val="140A76A8"/>
    <w:rsid w:val="14111320"/>
    <w:rsid w:val="1415077C"/>
    <w:rsid w:val="141C06B6"/>
    <w:rsid w:val="141F1EA3"/>
    <w:rsid w:val="14202FA1"/>
    <w:rsid w:val="14294AD0"/>
    <w:rsid w:val="142C45C0"/>
    <w:rsid w:val="142E0338"/>
    <w:rsid w:val="143756AB"/>
    <w:rsid w:val="143A6CDD"/>
    <w:rsid w:val="143C0CA7"/>
    <w:rsid w:val="143F0095"/>
    <w:rsid w:val="1444190A"/>
    <w:rsid w:val="144E6358"/>
    <w:rsid w:val="14525350"/>
    <w:rsid w:val="145478AB"/>
    <w:rsid w:val="14553B17"/>
    <w:rsid w:val="146A0866"/>
    <w:rsid w:val="14750D5A"/>
    <w:rsid w:val="1478068F"/>
    <w:rsid w:val="147E1869"/>
    <w:rsid w:val="1481490C"/>
    <w:rsid w:val="148443FC"/>
    <w:rsid w:val="1489218F"/>
    <w:rsid w:val="148F7C8A"/>
    <w:rsid w:val="149731AD"/>
    <w:rsid w:val="14A34882"/>
    <w:rsid w:val="14BC3B96"/>
    <w:rsid w:val="14C430D3"/>
    <w:rsid w:val="14C91E0F"/>
    <w:rsid w:val="14DA401C"/>
    <w:rsid w:val="14DE5E10"/>
    <w:rsid w:val="14E856E6"/>
    <w:rsid w:val="14EE54EC"/>
    <w:rsid w:val="14F060C1"/>
    <w:rsid w:val="14FC21E4"/>
    <w:rsid w:val="15064D30"/>
    <w:rsid w:val="1511012C"/>
    <w:rsid w:val="15172299"/>
    <w:rsid w:val="1519567E"/>
    <w:rsid w:val="151B71F4"/>
    <w:rsid w:val="151F31F3"/>
    <w:rsid w:val="1528650F"/>
    <w:rsid w:val="152B0338"/>
    <w:rsid w:val="152F25BA"/>
    <w:rsid w:val="153206E0"/>
    <w:rsid w:val="153B2D0D"/>
    <w:rsid w:val="153B4ABB"/>
    <w:rsid w:val="154020D1"/>
    <w:rsid w:val="154232FD"/>
    <w:rsid w:val="15463159"/>
    <w:rsid w:val="15482C5E"/>
    <w:rsid w:val="154E0EDE"/>
    <w:rsid w:val="15513403"/>
    <w:rsid w:val="155C4C26"/>
    <w:rsid w:val="15645A11"/>
    <w:rsid w:val="15645AE1"/>
    <w:rsid w:val="1565422D"/>
    <w:rsid w:val="15741F45"/>
    <w:rsid w:val="15743252"/>
    <w:rsid w:val="15797052"/>
    <w:rsid w:val="15810EA3"/>
    <w:rsid w:val="1582093B"/>
    <w:rsid w:val="15883A78"/>
    <w:rsid w:val="15A00DC2"/>
    <w:rsid w:val="15A233FE"/>
    <w:rsid w:val="15A563D8"/>
    <w:rsid w:val="15AA1C40"/>
    <w:rsid w:val="15B37A50"/>
    <w:rsid w:val="15B825AF"/>
    <w:rsid w:val="15BE53E8"/>
    <w:rsid w:val="15CE3B81"/>
    <w:rsid w:val="15D15DC8"/>
    <w:rsid w:val="15D46CBD"/>
    <w:rsid w:val="15D773B8"/>
    <w:rsid w:val="15EA0595"/>
    <w:rsid w:val="15EC04AB"/>
    <w:rsid w:val="15EE21AD"/>
    <w:rsid w:val="15EF5CA9"/>
    <w:rsid w:val="15F7493E"/>
    <w:rsid w:val="15F97149"/>
    <w:rsid w:val="15FA2BC8"/>
    <w:rsid w:val="15FB3CF2"/>
    <w:rsid w:val="15FC63E5"/>
    <w:rsid w:val="16043E5F"/>
    <w:rsid w:val="160A4F1B"/>
    <w:rsid w:val="161A70FB"/>
    <w:rsid w:val="161E02A6"/>
    <w:rsid w:val="161E6396"/>
    <w:rsid w:val="16290DB7"/>
    <w:rsid w:val="162C099A"/>
    <w:rsid w:val="162C3563"/>
    <w:rsid w:val="162E2871"/>
    <w:rsid w:val="1633426F"/>
    <w:rsid w:val="163360DA"/>
    <w:rsid w:val="1635775C"/>
    <w:rsid w:val="163634D4"/>
    <w:rsid w:val="16377803"/>
    <w:rsid w:val="1638324F"/>
    <w:rsid w:val="1639583E"/>
    <w:rsid w:val="163E26E0"/>
    <w:rsid w:val="163F50B6"/>
    <w:rsid w:val="16492A93"/>
    <w:rsid w:val="16571DC8"/>
    <w:rsid w:val="16585E87"/>
    <w:rsid w:val="165A18B8"/>
    <w:rsid w:val="165C118C"/>
    <w:rsid w:val="16606763"/>
    <w:rsid w:val="16646757"/>
    <w:rsid w:val="16683587"/>
    <w:rsid w:val="166D339A"/>
    <w:rsid w:val="167069E6"/>
    <w:rsid w:val="167C41DB"/>
    <w:rsid w:val="167E55A7"/>
    <w:rsid w:val="167F4B15"/>
    <w:rsid w:val="16824ABA"/>
    <w:rsid w:val="16830CBD"/>
    <w:rsid w:val="1683496B"/>
    <w:rsid w:val="16870D8E"/>
    <w:rsid w:val="168B3820"/>
    <w:rsid w:val="16946B78"/>
    <w:rsid w:val="1699418F"/>
    <w:rsid w:val="169C77DB"/>
    <w:rsid w:val="169D2733"/>
    <w:rsid w:val="16A4694B"/>
    <w:rsid w:val="16AD32E4"/>
    <w:rsid w:val="16AE07B1"/>
    <w:rsid w:val="16B32726"/>
    <w:rsid w:val="16B40C20"/>
    <w:rsid w:val="16BA5EB3"/>
    <w:rsid w:val="16BC1C2B"/>
    <w:rsid w:val="16BE1E47"/>
    <w:rsid w:val="16C466DE"/>
    <w:rsid w:val="16D37E65"/>
    <w:rsid w:val="16D542A9"/>
    <w:rsid w:val="16D8458B"/>
    <w:rsid w:val="16DB76B1"/>
    <w:rsid w:val="16DD23A4"/>
    <w:rsid w:val="16E24AC6"/>
    <w:rsid w:val="16E47ABF"/>
    <w:rsid w:val="16F90D5A"/>
    <w:rsid w:val="17033DF0"/>
    <w:rsid w:val="17073119"/>
    <w:rsid w:val="170D692B"/>
    <w:rsid w:val="17125CEF"/>
    <w:rsid w:val="17195DAB"/>
    <w:rsid w:val="171D7580"/>
    <w:rsid w:val="17253C74"/>
    <w:rsid w:val="172E4032"/>
    <w:rsid w:val="172F064F"/>
    <w:rsid w:val="173A725A"/>
    <w:rsid w:val="173B6FF4"/>
    <w:rsid w:val="17400EC1"/>
    <w:rsid w:val="174173FA"/>
    <w:rsid w:val="174242AE"/>
    <w:rsid w:val="174340FA"/>
    <w:rsid w:val="174936DB"/>
    <w:rsid w:val="1749452C"/>
    <w:rsid w:val="174D24DD"/>
    <w:rsid w:val="174F2A9F"/>
    <w:rsid w:val="17542EC3"/>
    <w:rsid w:val="17544559"/>
    <w:rsid w:val="175B488E"/>
    <w:rsid w:val="175E2CE2"/>
    <w:rsid w:val="176522C3"/>
    <w:rsid w:val="17680005"/>
    <w:rsid w:val="176B20D9"/>
    <w:rsid w:val="176F4EEF"/>
    <w:rsid w:val="177048A0"/>
    <w:rsid w:val="1776002C"/>
    <w:rsid w:val="178A4CCC"/>
    <w:rsid w:val="179761F4"/>
    <w:rsid w:val="17A50911"/>
    <w:rsid w:val="17A82169"/>
    <w:rsid w:val="17AD77C6"/>
    <w:rsid w:val="17B9616B"/>
    <w:rsid w:val="17BD20FF"/>
    <w:rsid w:val="17BD3EAD"/>
    <w:rsid w:val="17BF3DB0"/>
    <w:rsid w:val="17C101CD"/>
    <w:rsid w:val="17C23271"/>
    <w:rsid w:val="17D26ACD"/>
    <w:rsid w:val="17E256C1"/>
    <w:rsid w:val="17E94CA2"/>
    <w:rsid w:val="17F16160"/>
    <w:rsid w:val="17F8256E"/>
    <w:rsid w:val="17FB6783"/>
    <w:rsid w:val="17FD1308"/>
    <w:rsid w:val="17FE7DB3"/>
    <w:rsid w:val="18025D64"/>
    <w:rsid w:val="1802759E"/>
    <w:rsid w:val="180C2FB2"/>
    <w:rsid w:val="1816180F"/>
    <w:rsid w:val="181D2B9D"/>
    <w:rsid w:val="1821268E"/>
    <w:rsid w:val="182201B4"/>
    <w:rsid w:val="182E0907"/>
    <w:rsid w:val="18335F1D"/>
    <w:rsid w:val="18392AEF"/>
    <w:rsid w:val="183D3240"/>
    <w:rsid w:val="185540E5"/>
    <w:rsid w:val="185B674A"/>
    <w:rsid w:val="185E73B4"/>
    <w:rsid w:val="185F1661"/>
    <w:rsid w:val="186500A0"/>
    <w:rsid w:val="18731E2A"/>
    <w:rsid w:val="188873F9"/>
    <w:rsid w:val="188974FF"/>
    <w:rsid w:val="188C2500"/>
    <w:rsid w:val="1890336F"/>
    <w:rsid w:val="189C2603"/>
    <w:rsid w:val="189C3E54"/>
    <w:rsid w:val="189F2A53"/>
    <w:rsid w:val="18AB63FB"/>
    <w:rsid w:val="18B647EB"/>
    <w:rsid w:val="18B76B4E"/>
    <w:rsid w:val="18B87908"/>
    <w:rsid w:val="18C87744"/>
    <w:rsid w:val="18C94AD3"/>
    <w:rsid w:val="18CF42C0"/>
    <w:rsid w:val="18D539DE"/>
    <w:rsid w:val="18DD2922"/>
    <w:rsid w:val="18E13BCB"/>
    <w:rsid w:val="18E5280D"/>
    <w:rsid w:val="18E66902"/>
    <w:rsid w:val="18EB32E8"/>
    <w:rsid w:val="18EF453A"/>
    <w:rsid w:val="18F048F8"/>
    <w:rsid w:val="18FC77C6"/>
    <w:rsid w:val="18FE2EED"/>
    <w:rsid w:val="19037FE5"/>
    <w:rsid w:val="1912647A"/>
    <w:rsid w:val="19163B16"/>
    <w:rsid w:val="191731C4"/>
    <w:rsid w:val="19175B5B"/>
    <w:rsid w:val="19211322"/>
    <w:rsid w:val="19272AC9"/>
    <w:rsid w:val="19282B95"/>
    <w:rsid w:val="192A74E4"/>
    <w:rsid w:val="1939497F"/>
    <w:rsid w:val="193B23CF"/>
    <w:rsid w:val="193E2B61"/>
    <w:rsid w:val="19404D95"/>
    <w:rsid w:val="1940617A"/>
    <w:rsid w:val="19495369"/>
    <w:rsid w:val="194A1770"/>
    <w:rsid w:val="194D58C8"/>
    <w:rsid w:val="19555B47"/>
    <w:rsid w:val="196138D0"/>
    <w:rsid w:val="19650358"/>
    <w:rsid w:val="196E32E1"/>
    <w:rsid w:val="196E7FD0"/>
    <w:rsid w:val="19745D87"/>
    <w:rsid w:val="197832BB"/>
    <w:rsid w:val="197A6AB8"/>
    <w:rsid w:val="197B1B58"/>
    <w:rsid w:val="198D017B"/>
    <w:rsid w:val="198F3627"/>
    <w:rsid w:val="19921C44"/>
    <w:rsid w:val="19923117"/>
    <w:rsid w:val="19996254"/>
    <w:rsid w:val="19A3296E"/>
    <w:rsid w:val="19BB08C0"/>
    <w:rsid w:val="19BB266E"/>
    <w:rsid w:val="19BE0EDD"/>
    <w:rsid w:val="19BE34F7"/>
    <w:rsid w:val="19C75DFE"/>
    <w:rsid w:val="19D159ED"/>
    <w:rsid w:val="19D6555A"/>
    <w:rsid w:val="19E03858"/>
    <w:rsid w:val="19E07505"/>
    <w:rsid w:val="19E44366"/>
    <w:rsid w:val="19E87F27"/>
    <w:rsid w:val="19F24683"/>
    <w:rsid w:val="19F605BF"/>
    <w:rsid w:val="19FB6838"/>
    <w:rsid w:val="1A0A0E60"/>
    <w:rsid w:val="1A187AC0"/>
    <w:rsid w:val="1A1D693D"/>
    <w:rsid w:val="1A246465"/>
    <w:rsid w:val="1A2E1092"/>
    <w:rsid w:val="1A362C80"/>
    <w:rsid w:val="1A4077C6"/>
    <w:rsid w:val="1A444411"/>
    <w:rsid w:val="1A4771FE"/>
    <w:rsid w:val="1A4A3BD0"/>
    <w:rsid w:val="1A4C32C6"/>
    <w:rsid w:val="1A547B77"/>
    <w:rsid w:val="1A57266E"/>
    <w:rsid w:val="1A584361"/>
    <w:rsid w:val="1A6709DF"/>
    <w:rsid w:val="1A6E23B6"/>
    <w:rsid w:val="1A703458"/>
    <w:rsid w:val="1A705206"/>
    <w:rsid w:val="1A7B1A7D"/>
    <w:rsid w:val="1A81091F"/>
    <w:rsid w:val="1A930EF5"/>
    <w:rsid w:val="1A98686C"/>
    <w:rsid w:val="1A9C4A79"/>
    <w:rsid w:val="1A9F19C8"/>
    <w:rsid w:val="1AA21AC2"/>
    <w:rsid w:val="1AA50C28"/>
    <w:rsid w:val="1AA816CE"/>
    <w:rsid w:val="1AB40989"/>
    <w:rsid w:val="1AB45C98"/>
    <w:rsid w:val="1ABC07FF"/>
    <w:rsid w:val="1AC217DA"/>
    <w:rsid w:val="1AC21DD8"/>
    <w:rsid w:val="1AC67940"/>
    <w:rsid w:val="1AC90DBB"/>
    <w:rsid w:val="1AE45BF4"/>
    <w:rsid w:val="1AF520D1"/>
    <w:rsid w:val="1AF672AD"/>
    <w:rsid w:val="1B0B3181"/>
    <w:rsid w:val="1B0D5496"/>
    <w:rsid w:val="1B0E2C71"/>
    <w:rsid w:val="1B111794"/>
    <w:rsid w:val="1B122762"/>
    <w:rsid w:val="1B167D23"/>
    <w:rsid w:val="1B186D78"/>
    <w:rsid w:val="1B1C541C"/>
    <w:rsid w:val="1B1E0F38"/>
    <w:rsid w:val="1B31079C"/>
    <w:rsid w:val="1B487F31"/>
    <w:rsid w:val="1B684130"/>
    <w:rsid w:val="1B711136"/>
    <w:rsid w:val="1B8233E1"/>
    <w:rsid w:val="1B823D27"/>
    <w:rsid w:val="1B862808"/>
    <w:rsid w:val="1B9237D6"/>
    <w:rsid w:val="1B994819"/>
    <w:rsid w:val="1B9E15EF"/>
    <w:rsid w:val="1B9F1411"/>
    <w:rsid w:val="1B9F7C16"/>
    <w:rsid w:val="1BA710FC"/>
    <w:rsid w:val="1BBB4BA7"/>
    <w:rsid w:val="1BC17CE4"/>
    <w:rsid w:val="1BC81072"/>
    <w:rsid w:val="1BD01938"/>
    <w:rsid w:val="1BDB6FF7"/>
    <w:rsid w:val="1BEC52B7"/>
    <w:rsid w:val="1BEF34FD"/>
    <w:rsid w:val="1BF202DD"/>
    <w:rsid w:val="1BF91BD9"/>
    <w:rsid w:val="1BFC3B26"/>
    <w:rsid w:val="1C014BF4"/>
    <w:rsid w:val="1C054074"/>
    <w:rsid w:val="1C0A3439"/>
    <w:rsid w:val="1C122FC8"/>
    <w:rsid w:val="1C135BC8"/>
    <w:rsid w:val="1C1445D2"/>
    <w:rsid w:val="1C1877B0"/>
    <w:rsid w:val="1C192405"/>
    <w:rsid w:val="1C1A65E4"/>
    <w:rsid w:val="1C1F36B0"/>
    <w:rsid w:val="1C253B27"/>
    <w:rsid w:val="1C295FB5"/>
    <w:rsid w:val="1C2C3B80"/>
    <w:rsid w:val="1C2E5379"/>
    <w:rsid w:val="1C3070C2"/>
    <w:rsid w:val="1C33298F"/>
    <w:rsid w:val="1C365A2C"/>
    <w:rsid w:val="1C3C2680"/>
    <w:rsid w:val="1C3C27B6"/>
    <w:rsid w:val="1C4077DC"/>
    <w:rsid w:val="1C427A2B"/>
    <w:rsid w:val="1C484FB8"/>
    <w:rsid w:val="1C4A5F2B"/>
    <w:rsid w:val="1C577A1E"/>
    <w:rsid w:val="1C5A0CA0"/>
    <w:rsid w:val="1C6173F7"/>
    <w:rsid w:val="1C657E51"/>
    <w:rsid w:val="1C6C22C0"/>
    <w:rsid w:val="1C6D5116"/>
    <w:rsid w:val="1C746976"/>
    <w:rsid w:val="1C89505A"/>
    <w:rsid w:val="1C940F54"/>
    <w:rsid w:val="1C972642"/>
    <w:rsid w:val="1C9E5823"/>
    <w:rsid w:val="1CA90B4D"/>
    <w:rsid w:val="1CAF1D78"/>
    <w:rsid w:val="1CB03FE0"/>
    <w:rsid w:val="1CB669F1"/>
    <w:rsid w:val="1CBD4603"/>
    <w:rsid w:val="1CC45CDD"/>
    <w:rsid w:val="1CC730D8"/>
    <w:rsid w:val="1CCE14B3"/>
    <w:rsid w:val="1CD22F7D"/>
    <w:rsid w:val="1CDF53F1"/>
    <w:rsid w:val="1CE65C54"/>
    <w:rsid w:val="1CEB5018"/>
    <w:rsid w:val="1CEC5DFD"/>
    <w:rsid w:val="1CED0A04"/>
    <w:rsid w:val="1CF3211F"/>
    <w:rsid w:val="1CF42602"/>
    <w:rsid w:val="1CF643E7"/>
    <w:rsid w:val="1CFA525B"/>
    <w:rsid w:val="1CFD4D4B"/>
    <w:rsid w:val="1CFE1AAE"/>
    <w:rsid w:val="1CFF1291"/>
    <w:rsid w:val="1D000EB9"/>
    <w:rsid w:val="1D047531"/>
    <w:rsid w:val="1D0C4B86"/>
    <w:rsid w:val="1D11694F"/>
    <w:rsid w:val="1D167BBB"/>
    <w:rsid w:val="1D1861C0"/>
    <w:rsid w:val="1D2528A0"/>
    <w:rsid w:val="1D2648F3"/>
    <w:rsid w:val="1D2779F7"/>
    <w:rsid w:val="1D282061"/>
    <w:rsid w:val="1D331268"/>
    <w:rsid w:val="1D367D12"/>
    <w:rsid w:val="1D46666D"/>
    <w:rsid w:val="1D4806BC"/>
    <w:rsid w:val="1D483B5E"/>
    <w:rsid w:val="1D484219"/>
    <w:rsid w:val="1D4D4DFF"/>
    <w:rsid w:val="1D594678"/>
    <w:rsid w:val="1D5A03F0"/>
    <w:rsid w:val="1D5A219E"/>
    <w:rsid w:val="1D5C5F16"/>
    <w:rsid w:val="1D5D57EA"/>
    <w:rsid w:val="1D6946C0"/>
    <w:rsid w:val="1D71198C"/>
    <w:rsid w:val="1D726B9D"/>
    <w:rsid w:val="1D743279"/>
    <w:rsid w:val="1D770F9F"/>
    <w:rsid w:val="1D7B733D"/>
    <w:rsid w:val="1D840434"/>
    <w:rsid w:val="1D8B2357"/>
    <w:rsid w:val="1D907783"/>
    <w:rsid w:val="1DBC650F"/>
    <w:rsid w:val="1DC35F95"/>
    <w:rsid w:val="1DCF0496"/>
    <w:rsid w:val="1DD37785"/>
    <w:rsid w:val="1DD54DD1"/>
    <w:rsid w:val="1DD7245C"/>
    <w:rsid w:val="1DD8129D"/>
    <w:rsid w:val="1DD86BC6"/>
    <w:rsid w:val="1DE74CEC"/>
    <w:rsid w:val="1DEE0019"/>
    <w:rsid w:val="1DF42687"/>
    <w:rsid w:val="1DF47EFC"/>
    <w:rsid w:val="1DFF3CCB"/>
    <w:rsid w:val="1E116E56"/>
    <w:rsid w:val="1E1366E4"/>
    <w:rsid w:val="1E1660C5"/>
    <w:rsid w:val="1E1B44E3"/>
    <w:rsid w:val="1E295151"/>
    <w:rsid w:val="1E380731"/>
    <w:rsid w:val="1E392382"/>
    <w:rsid w:val="1E3F5433"/>
    <w:rsid w:val="1E424C60"/>
    <w:rsid w:val="1E550CDA"/>
    <w:rsid w:val="1E57048B"/>
    <w:rsid w:val="1E5B0724"/>
    <w:rsid w:val="1E6071B4"/>
    <w:rsid w:val="1E62130A"/>
    <w:rsid w:val="1E65704C"/>
    <w:rsid w:val="1E672DC4"/>
    <w:rsid w:val="1E6A2707"/>
    <w:rsid w:val="1E7F0E72"/>
    <w:rsid w:val="1E805C34"/>
    <w:rsid w:val="1E816A2F"/>
    <w:rsid w:val="1E8976CC"/>
    <w:rsid w:val="1E9539DF"/>
    <w:rsid w:val="1EA90DB9"/>
    <w:rsid w:val="1EAA11AA"/>
    <w:rsid w:val="1EAC7DF3"/>
    <w:rsid w:val="1EB27A1A"/>
    <w:rsid w:val="1EBF1697"/>
    <w:rsid w:val="1EC51899"/>
    <w:rsid w:val="1EC655A7"/>
    <w:rsid w:val="1ECC0E79"/>
    <w:rsid w:val="1ECE074D"/>
    <w:rsid w:val="1ED0096A"/>
    <w:rsid w:val="1ED1023E"/>
    <w:rsid w:val="1ED65854"/>
    <w:rsid w:val="1EDB74D8"/>
    <w:rsid w:val="1EE07B63"/>
    <w:rsid w:val="1EE11ECD"/>
    <w:rsid w:val="1EE47B84"/>
    <w:rsid w:val="1EEC5078"/>
    <w:rsid w:val="1EFA7794"/>
    <w:rsid w:val="1F0C74C8"/>
    <w:rsid w:val="1F1E704E"/>
    <w:rsid w:val="1F1F369F"/>
    <w:rsid w:val="1F234F3D"/>
    <w:rsid w:val="1F2B2044"/>
    <w:rsid w:val="1F2C4884"/>
    <w:rsid w:val="1F3233D2"/>
    <w:rsid w:val="1F330EF8"/>
    <w:rsid w:val="1F361D86"/>
    <w:rsid w:val="1F3A40D9"/>
    <w:rsid w:val="1F3D6657"/>
    <w:rsid w:val="1F435398"/>
    <w:rsid w:val="1F446843"/>
    <w:rsid w:val="1F446C62"/>
    <w:rsid w:val="1F4A3D1F"/>
    <w:rsid w:val="1F4A708A"/>
    <w:rsid w:val="1F521969"/>
    <w:rsid w:val="1F545625"/>
    <w:rsid w:val="1F572E39"/>
    <w:rsid w:val="1F5E5F75"/>
    <w:rsid w:val="1F63358C"/>
    <w:rsid w:val="1F6D4C9B"/>
    <w:rsid w:val="1F813A12"/>
    <w:rsid w:val="1F851DDD"/>
    <w:rsid w:val="1F8A4FBC"/>
    <w:rsid w:val="1F8D383C"/>
    <w:rsid w:val="1F8E730E"/>
    <w:rsid w:val="1F911FE7"/>
    <w:rsid w:val="1F925C1F"/>
    <w:rsid w:val="1F936766"/>
    <w:rsid w:val="1F953AC5"/>
    <w:rsid w:val="1F996FAD"/>
    <w:rsid w:val="1F9A2D26"/>
    <w:rsid w:val="1FA264A3"/>
    <w:rsid w:val="1FA923BC"/>
    <w:rsid w:val="1FAA1CAD"/>
    <w:rsid w:val="1FB37A64"/>
    <w:rsid w:val="1FB45DF0"/>
    <w:rsid w:val="1FC72E9A"/>
    <w:rsid w:val="1FCF29CF"/>
    <w:rsid w:val="1FD7645F"/>
    <w:rsid w:val="1FDD0B17"/>
    <w:rsid w:val="1FDD7221"/>
    <w:rsid w:val="1FE1598A"/>
    <w:rsid w:val="1FE32951"/>
    <w:rsid w:val="1FEF4E1F"/>
    <w:rsid w:val="1FF24910"/>
    <w:rsid w:val="1FF322BA"/>
    <w:rsid w:val="1FF3380D"/>
    <w:rsid w:val="1FFC578E"/>
    <w:rsid w:val="200007DF"/>
    <w:rsid w:val="20011AFD"/>
    <w:rsid w:val="200239BE"/>
    <w:rsid w:val="2009466C"/>
    <w:rsid w:val="200F101E"/>
    <w:rsid w:val="200F7270"/>
    <w:rsid w:val="20154252"/>
    <w:rsid w:val="201A79C2"/>
    <w:rsid w:val="201B3E66"/>
    <w:rsid w:val="201E5705"/>
    <w:rsid w:val="202E5B53"/>
    <w:rsid w:val="20334ED2"/>
    <w:rsid w:val="203B62B7"/>
    <w:rsid w:val="203C2CA3"/>
    <w:rsid w:val="2040567B"/>
    <w:rsid w:val="20420E63"/>
    <w:rsid w:val="205254D7"/>
    <w:rsid w:val="205630F0"/>
    <w:rsid w:val="20582A63"/>
    <w:rsid w:val="20585715"/>
    <w:rsid w:val="20592BE1"/>
    <w:rsid w:val="206F5F60"/>
    <w:rsid w:val="2071222D"/>
    <w:rsid w:val="207329B3"/>
    <w:rsid w:val="208B2A2D"/>
    <w:rsid w:val="208E12B4"/>
    <w:rsid w:val="20924301"/>
    <w:rsid w:val="20972794"/>
    <w:rsid w:val="209E23A2"/>
    <w:rsid w:val="209E6186"/>
    <w:rsid w:val="209F0117"/>
    <w:rsid w:val="209F27F3"/>
    <w:rsid w:val="20A025BE"/>
    <w:rsid w:val="20A51982"/>
    <w:rsid w:val="20AC109E"/>
    <w:rsid w:val="20B10327"/>
    <w:rsid w:val="20B221AC"/>
    <w:rsid w:val="20B931EF"/>
    <w:rsid w:val="20BB1436"/>
    <w:rsid w:val="20BF4D39"/>
    <w:rsid w:val="20D109C9"/>
    <w:rsid w:val="20D32238"/>
    <w:rsid w:val="20D641EF"/>
    <w:rsid w:val="20D85D57"/>
    <w:rsid w:val="20DA32B1"/>
    <w:rsid w:val="20DF0DF0"/>
    <w:rsid w:val="20E72B5B"/>
    <w:rsid w:val="20E77269"/>
    <w:rsid w:val="20EB01B3"/>
    <w:rsid w:val="20EC7F87"/>
    <w:rsid w:val="20EE03F2"/>
    <w:rsid w:val="20EF28CE"/>
    <w:rsid w:val="20F61EF1"/>
    <w:rsid w:val="20FD17BE"/>
    <w:rsid w:val="211014F1"/>
    <w:rsid w:val="21102CB7"/>
    <w:rsid w:val="21145639"/>
    <w:rsid w:val="211D2B53"/>
    <w:rsid w:val="211D3A51"/>
    <w:rsid w:val="21246D4B"/>
    <w:rsid w:val="21267608"/>
    <w:rsid w:val="21271BF9"/>
    <w:rsid w:val="21294738"/>
    <w:rsid w:val="213547AB"/>
    <w:rsid w:val="213A47C0"/>
    <w:rsid w:val="21423539"/>
    <w:rsid w:val="21425423"/>
    <w:rsid w:val="2144119B"/>
    <w:rsid w:val="21483217"/>
    <w:rsid w:val="214E7994"/>
    <w:rsid w:val="215869F4"/>
    <w:rsid w:val="215A09BE"/>
    <w:rsid w:val="215B3E95"/>
    <w:rsid w:val="215E1D16"/>
    <w:rsid w:val="216058A9"/>
    <w:rsid w:val="21654660"/>
    <w:rsid w:val="216B6728"/>
    <w:rsid w:val="216F5573"/>
    <w:rsid w:val="217D0A1F"/>
    <w:rsid w:val="217D1886"/>
    <w:rsid w:val="218216ED"/>
    <w:rsid w:val="21906E45"/>
    <w:rsid w:val="21914F6E"/>
    <w:rsid w:val="21941EA4"/>
    <w:rsid w:val="2197576F"/>
    <w:rsid w:val="21A41C3A"/>
    <w:rsid w:val="21A909CB"/>
    <w:rsid w:val="21B20311"/>
    <w:rsid w:val="21B41795"/>
    <w:rsid w:val="21B76009"/>
    <w:rsid w:val="21C05D7A"/>
    <w:rsid w:val="21C127EB"/>
    <w:rsid w:val="21C935D6"/>
    <w:rsid w:val="21CC25FB"/>
    <w:rsid w:val="21CE2FEC"/>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D798C"/>
    <w:rsid w:val="221F26D7"/>
    <w:rsid w:val="22201DA0"/>
    <w:rsid w:val="222861B1"/>
    <w:rsid w:val="222D60D3"/>
    <w:rsid w:val="223630DF"/>
    <w:rsid w:val="223B07F0"/>
    <w:rsid w:val="223E3280"/>
    <w:rsid w:val="2249336E"/>
    <w:rsid w:val="224C4068"/>
    <w:rsid w:val="224F6049"/>
    <w:rsid w:val="225E14CB"/>
    <w:rsid w:val="226B2949"/>
    <w:rsid w:val="226C44AE"/>
    <w:rsid w:val="226F4002"/>
    <w:rsid w:val="2273177B"/>
    <w:rsid w:val="227710FC"/>
    <w:rsid w:val="227E0004"/>
    <w:rsid w:val="228B5773"/>
    <w:rsid w:val="229161B4"/>
    <w:rsid w:val="2295732F"/>
    <w:rsid w:val="2298179E"/>
    <w:rsid w:val="22A531AF"/>
    <w:rsid w:val="22A6395F"/>
    <w:rsid w:val="22AA14D2"/>
    <w:rsid w:val="22B440FE"/>
    <w:rsid w:val="22BB44F7"/>
    <w:rsid w:val="22BB6551"/>
    <w:rsid w:val="22C0341B"/>
    <w:rsid w:val="22C46051"/>
    <w:rsid w:val="22CC769A"/>
    <w:rsid w:val="22CF0F38"/>
    <w:rsid w:val="22D14CB0"/>
    <w:rsid w:val="22D351CD"/>
    <w:rsid w:val="22D50B4C"/>
    <w:rsid w:val="22D95913"/>
    <w:rsid w:val="22DB00E0"/>
    <w:rsid w:val="22DF0D93"/>
    <w:rsid w:val="22E26EBD"/>
    <w:rsid w:val="22E5075C"/>
    <w:rsid w:val="22E85AEC"/>
    <w:rsid w:val="22EE11B0"/>
    <w:rsid w:val="22F377CF"/>
    <w:rsid w:val="22F5344F"/>
    <w:rsid w:val="22F77C76"/>
    <w:rsid w:val="22F90444"/>
    <w:rsid w:val="23007E1A"/>
    <w:rsid w:val="230A3855"/>
    <w:rsid w:val="232060BC"/>
    <w:rsid w:val="23247061"/>
    <w:rsid w:val="23250B58"/>
    <w:rsid w:val="23270D74"/>
    <w:rsid w:val="23290648"/>
    <w:rsid w:val="232B2612"/>
    <w:rsid w:val="23404830"/>
    <w:rsid w:val="23405992"/>
    <w:rsid w:val="234146EB"/>
    <w:rsid w:val="2341673D"/>
    <w:rsid w:val="23445482"/>
    <w:rsid w:val="234731C4"/>
    <w:rsid w:val="23476D20"/>
    <w:rsid w:val="2357561B"/>
    <w:rsid w:val="23582CDC"/>
    <w:rsid w:val="236E3686"/>
    <w:rsid w:val="236E4509"/>
    <w:rsid w:val="23710D16"/>
    <w:rsid w:val="237A4FBB"/>
    <w:rsid w:val="237C4C1C"/>
    <w:rsid w:val="237D3DBF"/>
    <w:rsid w:val="238031A0"/>
    <w:rsid w:val="23831236"/>
    <w:rsid w:val="238E492C"/>
    <w:rsid w:val="23A106E1"/>
    <w:rsid w:val="23B3363E"/>
    <w:rsid w:val="23B7025B"/>
    <w:rsid w:val="23B91E96"/>
    <w:rsid w:val="23DA14B2"/>
    <w:rsid w:val="23DC0185"/>
    <w:rsid w:val="23E376B2"/>
    <w:rsid w:val="23F22AA6"/>
    <w:rsid w:val="23F60DC5"/>
    <w:rsid w:val="23F72E72"/>
    <w:rsid w:val="240D651C"/>
    <w:rsid w:val="24107A5A"/>
    <w:rsid w:val="2412732E"/>
    <w:rsid w:val="241C63FF"/>
    <w:rsid w:val="241F0EFF"/>
    <w:rsid w:val="24287767"/>
    <w:rsid w:val="243B6A2B"/>
    <w:rsid w:val="243C2BA2"/>
    <w:rsid w:val="243F5C4A"/>
    <w:rsid w:val="244514B2"/>
    <w:rsid w:val="244558F0"/>
    <w:rsid w:val="244A2F6C"/>
    <w:rsid w:val="244D0366"/>
    <w:rsid w:val="245401AE"/>
    <w:rsid w:val="2457589F"/>
    <w:rsid w:val="245904E1"/>
    <w:rsid w:val="24675324"/>
    <w:rsid w:val="246A35DA"/>
    <w:rsid w:val="246C6D95"/>
    <w:rsid w:val="24766D97"/>
    <w:rsid w:val="24772744"/>
    <w:rsid w:val="247C6164"/>
    <w:rsid w:val="248D2E59"/>
    <w:rsid w:val="248D7A6F"/>
    <w:rsid w:val="24912949"/>
    <w:rsid w:val="24A700B1"/>
    <w:rsid w:val="24AD4960"/>
    <w:rsid w:val="24AF3C23"/>
    <w:rsid w:val="24B1038E"/>
    <w:rsid w:val="24B71C84"/>
    <w:rsid w:val="24BD6371"/>
    <w:rsid w:val="24BF33A4"/>
    <w:rsid w:val="24BF7404"/>
    <w:rsid w:val="24C543A1"/>
    <w:rsid w:val="24C70119"/>
    <w:rsid w:val="24CF7171"/>
    <w:rsid w:val="24D606C4"/>
    <w:rsid w:val="24DB2630"/>
    <w:rsid w:val="24DD20F9"/>
    <w:rsid w:val="24E101A2"/>
    <w:rsid w:val="24E707BB"/>
    <w:rsid w:val="24E9041A"/>
    <w:rsid w:val="24F13C4E"/>
    <w:rsid w:val="2500362B"/>
    <w:rsid w:val="25021151"/>
    <w:rsid w:val="250C4542"/>
    <w:rsid w:val="250F386E"/>
    <w:rsid w:val="25155759"/>
    <w:rsid w:val="251610A0"/>
    <w:rsid w:val="251F40F9"/>
    <w:rsid w:val="25205A7B"/>
    <w:rsid w:val="252A3087"/>
    <w:rsid w:val="252B4B4C"/>
    <w:rsid w:val="252D4FBC"/>
    <w:rsid w:val="2531393D"/>
    <w:rsid w:val="25340B7A"/>
    <w:rsid w:val="253908EB"/>
    <w:rsid w:val="254C45D5"/>
    <w:rsid w:val="2552474A"/>
    <w:rsid w:val="25584143"/>
    <w:rsid w:val="2565318A"/>
    <w:rsid w:val="256D74C3"/>
    <w:rsid w:val="256F237E"/>
    <w:rsid w:val="257C1D6A"/>
    <w:rsid w:val="25871828"/>
    <w:rsid w:val="25893620"/>
    <w:rsid w:val="25910727"/>
    <w:rsid w:val="25954889"/>
    <w:rsid w:val="2598079C"/>
    <w:rsid w:val="259C7089"/>
    <w:rsid w:val="25A27518"/>
    <w:rsid w:val="25A530AD"/>
    <w:rsid w:val="25A95DFD"/>
    <w:rsid w:val="25AD1201"/>
    <w:rsid w:val="25B12B77"/>
    <w:rsid w:val="25B3069D"/>
    <w:rsid w:val="25B439D5"/>
    <w:rsid w:val="25B63FD2"/>
    <w:rsid w:val="25B97089"/>
    <w:rsid w:val="25BA28AD"/>
    <w:rsid w:val="25BA3610"/>
    <w:rsid w:val="25BF34E6"/>
    <w:rsid w:val="25C55B68"/>
    <w:rsid w:val="25C72F98"/>
    <w:rsid w:val="25CD5C03"/>
    <w:rsid w:val="25CE54D7"/>
    <w:rsid w:val="25D36F91"/>
    <w:rsid w:val="25D424CD"/>
    <w:rsid w:val="25D61357"/>
    <w:rsid w:val="25D7087A"/>
    <w:rsid w:val="25D725DE"/>
    <w:rsid w:val="25DA0320"/>
    <w:rsid w:val="25DC7BF4"/>
    <w:rsid w:val="25E20BC6"/>
    <w:rsid w:val="25EE4C55"/>
    <w:rsid w:val="25EE7927"/>
    <w:rsid w:val="25F27417"/>
    <w:rsid w:val="25FA62CC"/>
    <w:rsid w:val="25FD5DBC"/>
    <w:rsid w:val="25FF1B34"/>
    <w:rsid w:val="26031625"/>
    <w:rsid w:val="260962C3"/>
    <w:rsid w:val="26105AEF"/>
    <w:rsid w:val="26221B3A"/>
    <w:rsid w:val="26230F52"/>
    <w:rsid w:val="26313096"/>
    <w:rsid w:val="263A2B6C"/>
    <w:rsid w:val="263A44F2"/>
    <w:rsid w:val="263F224F"/>
    <w:rsid w:val="26543C2E"/>
    <w:rsid w:val="26577CD2"/>
    <w:rsid w:val="26591839"/>
    <w:rsid w:val="265C6F87"/>
    <w:rsid w:val="265E5112"/>
    <w:rsid w:val="26625EB7"/>
    <w:rsid w:val="266C3044"/>
    <w:rsid w:val="267800C9"/>
    <w:rsid w:val="26797B39"/>
    <w:rsid w:val="26857A82"/>
    <w:rsid w:val="26865DB2"/>
    <w:rsid w:val="26881B30"/>
    <w:rsid w:val="269C5635"/>
    <w:rsid w:val="26A55390"/>
    <w:rsid w:val="26A56238"/>
    <w:rsid w:val="26AC0B28"/>
    <w:rsid w:val="26AE073F"/>
    <w:rsid w:val="26B4291F"/>
    <w:rsid w:val="26B8583B"/>
    <w:rsid w:val="26BE5C77"/>
    <w:rsid w:val="26C64400"/>
    <w:rsid w:val="26C850AD"/>
    <w:rsid w:val="26D134D1"/>
    <w:rsid w:val="26DB0100"/>
    <w:rsid w:val="26DE174A"/>
    <w:rsid w:val="26E10EAE"/>
    <w:rsid w:val="26F15921"/>
    <w:rsid w:val="26F94FC8"/>
    <w:rsid w:val="26FC754D"/>
    <w:rsid w:val="26FE3B9A"/>
    <w:rsid w:val="270311B0"/>
    <w:rsid w:val="27042DFE"/>
    <w:rsid w:val="27050B37"/>
    <w:rsid w:val="27117D71"/>
    <w:rsid w:val="271E248E"/>
    <w:rsid w:val="27206996"/>
    <w:rsid w:val="2722776F"/>
    <w:rsid w:val="272279FF"/>
    <w:rsid w:val="272368F5"/>
    <w:rsid w:val="27262CF7"/>
    <w:rsid w:val="27277595"/>
    <w:rsid w:val="272B7ED2"/>
    <w:rsid w:val="27354FCE"/>
    <w:rsid w:val="27361586"/>
    <w:rsid w:val="273D6578"/>
    <w:rsid w:val="27406B3E"/>
    <w:rsid w:val="274D0515"/>
    <w:rsid w:val="275859A0"/>
    <w:rsid w:val="275A0439"/>
    <w:rsid w:val="27644D1D"/>
    <w:rsid w:val="276F6846"/>
    <w:rsid w:val="277125BE"/>
    <w:rsid w:val="277167D7"/>
    <w:rsid w:val="27736336"/>
    <w:rsid w:val="277919F8"/>
    <w:rsid w:val="277B343D"/>
    <w:rsid w:val="27845E80"/>
    <w:rsid w:val="27892B16"/>
    <w:rsid w:val="278B7B24"/>
    <w:rsid w:val="27930786"/>
    <w:rsid w:val="27A05D4F"/>
    <w:rsid w:val="27A64A64"/>
    <w:rsid w:val="27AE5F4B"/>
    <w:rsid w:val="27B17280"/>
    <w:rsid w:val="27B22553"/>
    <w:rsid w:val="27CD64A0"/>
    <w:rsid w:val="27CD765E"/>
    <w:rsid w:val="27D070D0"/>
    <w:rsid w:val="27D522F3"/>
    <w:rsid w:val="27D57BA0"/>
    <w:rsid w:val="27D6111F"/>
    <w:rsid w:val="27DF40A6"/>
    <w:rsid w:val="27E05BDB"/>
    <w:rsid w:val="27E34F95"/>
    <w:rsid w:val="27E4002A"/>
    <w:rsid w:val="27E5181C"/>
    <w:rsid w:val="27F36E8A"/>
    <w:rsid w:val="27F714EE"/>
    <w:rsid w:val="27FC3FE7"/>
    <w:rsid w:val="28017DE6"/>
    <w:rsid w:val="280478D6"/>
    <w:rsid w:val="280653FC"/>
    <w:rsid w:val="28094EEC"/>
    <w:rsid w:val="280A408E"/>
    <w:rsid w:val="281333B4"/>
    <w:rsid w:val="28240B7A"/>
    <w:rsid w:val="282671A9"/>
    <w:rsid w:val="28336664"/>
    <w:rsid w:val="283D04C3"/>
    <w:rsid w:val="284B2E0F"/>
    <w:rsid w:val="284B72B3"/>
    <w:rsid w:val="284D6B87"/>
    <w:rsid w:val="285048C9"/>
    <w:rsid w:val="28540164"/>
    <w:rsid w:val="2858552C"/>
    <w:rsid w:val="285C326E"/>
    <w:rsid w:val="28633164"/>
    <w:rsid w:val="28663CBB"/>
    <w:rsid w:val="286D2EB7"/>
    <w:rsid w:val="28722A91"/>
    <w:rsid w:val="287405B8"/>
    <w:rsid w:val="2879266B"/>
    <w:rsid w:val="288527C5"/>
    <w:rsid w:val="288D3427"/>
    <w:rsid w:val="288F53F1"/>
    <w:rsid w:val="2890116A"/>
    <w:rsid w:val="28940C5A"/>
    <w:rsid w:val="2894468D"/>
    <w:rsid w:val="289742A6"/>
    <w:rsid w:val="28980BDC"/>
    <w:rsid w:val="289C5DE6"/>
    <w:rsid w:val="289F5451"/>
    <w:rsid w:val="28A864B3"/>
    <w:rsid w:val="28A95D87"/>
    <w:rsid w:val="28AF1112"/>
    <w:rsid w:val="28B5308F"/>
    <w:rsid w:val="28BE5CD7"/>
    <w:rsid w:val="28C332ED"/>
    <w:rsid w:val="28D15A0A"/>
    <w:rsid w:val="28D42E04"/>
    <w:rsid w:val="28D56B7C"/>
    <w:rsid w:val="28D92DB9"/>
    <w:rsid w:val="28DB23E5"/>
    <w:rsid w:val="28DC58C4"/>
    <w:rsid w:val="28DF1D1C"/>
    <w:rsid w:val="28E4149E"/>
    <w:rsid w:val="28E929B8"/>
    <w:rsid w:val="28EB63A0"/>
    <w:rsid w:val="28ED3EC6"/>
    <w:rsid w:val="28F00706"/>
    <w:rsid w:val="28F2772E"/>
    <w:rsid w:val="28F33BD2"/>
    <w:rsid w:val="28FD6A48"/>
    <w:rsid w:val="29015BC3"/>
    <w:rsid w:val="290556B4"/>
    <w:rsid w:val="29086F52"/>
    <w:rsid w:val="29087613"/>
    <w:rsid w:val="29192F0D"/>
    <w:rsid w:val="29312005"/>
    <w:rsid w:val="293146FB"/>
    <w:rsid w:val="29332371"/>
    <w:rsid w:val="293A3683"/>
    <w:rsid w:val="29453338"/>
    <w:rsid w:val="295959FF"/>
    <w:rsid w:val="296039E3"/>
    <w:rsid w:val="2960729B"/>
    <w:rsid w:val="29625064"/>
    <w:rsid w:val="29687BF4"/>
    <w:rsid w:val="296C2DD1"/>
    <w:rsid w:val="29746395"/>
    <w:rsid w:val="29847D1D"/>
    <w:rsid w:val="29915199"/>
    <w:rsid w:val="299F0B8C"/>
    <w:rsid w:val="29AE292F"/>
    <w:rsid w:val="29B11398"/>
    <w:rsid w:val="29B37588"/>
    <w:rsid w:val="29B82726"/>
    <w:rsid w:val="29B859EE"/>
    <w:rsid w:val="29C36E98"/>
    <w:rsid w:val="29D46E34"/>
    <w:rsid w:val="29D95510"/>
    <w:rsid w:val="29DF46F9"/>
    <w:rsid w:val="29F4303F"/>
    <w:rsid w:val="29F673AC"/>
    <w:rsid w:val="29FD638B"/>
    <w:rsid w:val="2A067935"/>
    <w:rsid w:val="2A092018"/>
    <w:rsid w:val="2A0C65CE"/>
    <w:rsid w:val="2A1A518F"/>
    <w:rsid w:val="2A2238F8"/>
    <w:rsid w:val="2A224043"/>
    <w:rsid w:val="2A28197F"/>
    <w:rsid w:val="2A3534D2"/>
    <w:rsid w:val="2A353D77"/>
    <w:rsid w:val="2A3704DA"/>
    <w:rsid w:val="2A3C4980"/>
    <w:rsid w:val="2A3C5105"/>
    <w:rsid w:val="2A4144C9"/>
    <w:rsid w:val="2A4A4417"/>
    <w:rsid w:val="2A4C1771"/>
    <w:rsid w:val="2A4F6767"/>
    <w:rsid w:val="2A5364DD"/>
    <w:rsid w:val="2A557F75"/>
    <w:rsid w:val="2A5F0C10"/>
    <w:rsid w:val="2A662182"/>
    <w:rsid w:val="2A6E6574"/>
    <w:rsid w:val="2A7D74CC"/>
    <w:rsid w:val="2A8C57DF"/>
    <w:rsid w:val="2A903CB0"/>
    <w:rsid w:val="2AA348B7"/>
    <w:rsid w:val="2AA720D9"/>
    <w:rsid w:val="2AAF1A65"/>
    <w:rsid w:val="2AAF55F1"/>
    <w:rsid w:val="2AB0164F"/>
    <w:rsid w:val="2AB062C3"/>
    <w:rsid w:val="2AB51EB1"/>
    <w:rsid w:val="2AB670B6"/>
    <w:rsid w:val="2AB72A98"/>
    <w:rsid w:val="2AB90504"/>
    <w:rsid w:val="2AC450FA"/>
    <w:rsid w:val="2AC61C8E"/>
    <w:rsid w:val="2ACD6B7A"/>
    <w:rsid w:val="2ACE106F"/>
    <w:rsid w:val="2ACF535F"/>
    <w:rsid w:val="2AE00F03"/>
    <w:rsid w:val="2AE82B97"/>
    <w:rsid w:val="2AED28A3"/>
    <w:rsid w:val="2AFC6642"/>
    <w:rsid w:val="2B012333"/>
    <w:rsid w:val="2B037BB5"/>
    <w:rsid w:val="2B177920"/>
    <w:rsid w:val="2B192F19"/>
    <w:rsid w:val="2B193698"/>
    <w:rsid w:val="2B204A27"/>
    <w:rsid w:val="2B275DB5"/>
    <w:rsid w:val="2B29500D"/>
    <w:rsid w:val="2B2C686F"/>
    <w:rsid w:val="2B2C778D"/>
    <w:rsid w:val="2B3362BD"/>
    <w:rsid w:val="2B344A2B"/>
    <w:rsid w:val="2B3B360F"/>
    <w:rsid w:val="2B4B3FF4"/>
    <w:rsid w:val="2B51698E"/>
    <w:rsid w:val="2B5C4A35"/>
    <w:rsid w:val="2B5E10AB"/>
    <w:rsid w:val="2B6111BC"/>
    <w:rsid w:val="2B6D725E"/>
    <w:rsid w:val="2B726905"/>
    <w:rsid w:val="2B735935"/>
    <w:rsid w:val="2B7B0E55"/>
    <w:rsid w:val="2B8378E0"/>
    <w:rsid w:val="2B8613CE"/>
    <w:rsid w:val="2B8A2A44"/>
    <w:rsid w:val="2B8E4B26"/>
    <w:rsid w:val="2B8F21F0"/>
    <w:rsid w:val="2B8F395A"/>
    <w:rsid w:val="2B8F74B6"/>
    <w:rsid w:val="2B916B5A"/>
    <w:rsid w:val="2B946D50"/>
    <w:rsid w:val="2BA016C4"/>
    <w:rsid w:val="2BAC1E16"/>
    <w:rsid w:val="2BAE6890"/>
    <w:rsid w:val="2BB005EE"/>
    <w:rsid w:val="2BBC3B7F"/>
    <w:rsid w:val="2BC532A9"/>
    <w:rsid w:val="2BCE6231"/>
    <w:rsid w:val="2BDC10FF"/>
    <w:rsid w:val="2BE27F2E"/>
    <w:rsid w:val="2BE34303"/>
    <w:rsid w:val="2BE54A9D"/>
    <w:rsid w:val="2BE55328"/>
    <w:rsid w:val="2BEC66B7"/>
    <w:rsid w:val="2BEE6D21"/>
    <w:rsid w:val="2BF119AC"/>
    <w:rsid w:val="2BF91A78"/>
    <w:rsid w:val="2BFF4F65"/>
    <w:rsid w:val="2C033294"/>
    <w:rsid w:val="2C0C4FAB"/>
    <w:rsid w:val="2C0C6D59"/>
    <w:rsid w:val="2C106849"/>
    <w:rsid w:val="2C126937"/>
    <w:rsid w:val="2C231518"/>
    <w:rsid w:val="2C235595"/>
    <w:rsid w:val="2C2726DF"/>
    <w:rsid w:val="2C2B1C60"/>
    <w:rsid w:val="2C334863"/>
    <w:rsid w:val="2C377AC1"/>
    <w:rsid w:val="2C3D3AC9"/>
    <w:rsid w:val="2C4B5AD3"/>
    <w:rsid w:val="2C5014F1"/>
    <w:rsid w:val="2C5030EA"/>
    <w:rsid w:val="2C520ABA"/>
    <w:rsid w:val="2C526E62"/>
    <w:rsid w:val="2C575892"/>
    <w:rsid w:val="2C591B76"/>
    <w:rsid w:val="2C6907A2"/>
    <w:rsid w:val="2C7072E8"/>
    <w:rsid w:val="2C781ABD"/>
    <w:rsid w:val="2C7D37B3"/>
    <w:rsid w:val="2C8B4122"/>
    <w:rsid w:val="2CA1345F"/>
    <w:rsid w:val="2CA95888"/>
    <w:rsid w:val="2CAE7E10"/>
    <w:rsid w:val="2CB03B88"/>
    <w:rsid w:val="2CB335FE"/>
    <w:rsid w:val="2CBA2CC2"/>
    <w:rsid w:val="2CC01D80"/>
    <w:rsid w:val="2CC24F06"/>
    <w:rsid w:val="2CC82C80"/>
    <w:rsid w:val="2CD47E0C"/>
    <w:rsid w:val="2CD812B0"/>
    <w:rsid w:val="2CD95759"/>
    <w:rsid w:val="2CDD35CF"/>
    <w:rsid w:val="2CDF6D6E"/>
    <w:rsid w:val="2CEF215B"/>
    <w:rsid w:val="2D012673"/>
    <w:rsid w:val="2D017400"/>
    <w:rsid w:val="2D0A3299"/>
    <w:rsid w:val="2D0D4B37"/>
    <w:rsid w:val="2D0F08AF"/>
    <w:rsid w:val="2D205BB7"/>
    <w:rsid w:val="2D241B62"/>
    <w:rsid w:val="2D281971"/>
    <w:rsid w:val="2D2A1714"/>
    <w:rsid w:val="2D4730D3"/>
    <w:rsid w:val="2D497F94"/>
    <w:rsid w:val="2D4A5D8B"/>
    <w:rsid w:val="2D4B0D1B"/>
    <w:rsid w:val="2D551498"/>
    <w:rsid w:val="2D597D7C"/>
    <w:rsid w:val="2D654973"/>
    <w:rsid w:val="2D666D38"/>
    <w:rsid w:val="2D6B02E7"/>
    <w:rsid w:val="2D6C3F53"/>
    <w:rsid w:val="2D6E40A6"/>
    <w:rsid w:val="2D7141F4"/>
    <w:rsid w:val="2D74205C"/>
    <w:rsid w:val="2D76092E"/>
    <w:rsid w:val="2D766B80"/>
    <w:rsid w:val="2D7F56FD"/>
    <w:rsid w:val="2D811081"/>
    <w:rsid w:val="2D847281"/>
    <w:rsid w:val="2D8654A1"/>
    <w:rsid w:val="2D88240F"/>
    <w:rsid w:val="2D9F106A"/>
    <w:rsid w:val="2DA25926"/>
    <w:rsid w:val="2DA7653E"/>
    <w:rsid w:val="2DAA1B06"/>
    <w:rsid w:val="2DAA40D8"/>
    <w:rsid w:val="2DB11B2B"/>
    <w:rsid w:val="2DB80F46"/>
    <w:rsid w:val="2DBB4352"/>
    <w:rsid w:val="2DC859A1"/>
    <w:rsid w:val="2DCB1889"/>
    <w:rsid w:val="2DD21B9F"/>
    <w:rsid w:val="2DD23BAC"/>
    <w:rsid w:val="2DD35D80"/>
    <w:rsid w:val="2DD36C12"/>
    <w:rsid w:val="2DD815E9"/>
    <w:rsid w:val="2DDD09AD"/>
    <w:rsid w:val="2DE6048E"/>
    <w:rsid w:val="2DEDD77C"/>
    <w:rsid w:val="2DF04B3D"/>
    <w:rsid w:val="2DF61A6F"/>
    <w:rsid w:val="2DFF6B75"/>
    <w:rsid w:val="2E0065CE"/>
    <w:rsid w:val="2E077C93"/>
    <w:rsid w:val="2E204BEF"/>
    <w:rsid w:val="2E217873"/>
    <w:rsid w:val="2E263B66"/>
    <w:rsid w:val="2E277E7A"/>
    <w:rsid w:val="2E2E2FB7"/>
    <w:rsid w:val="2E300356"/>
    <w:rsid w:val="2E3413C6"/>
    <w:rsid w:val="2E354E3E"/>
    <w:rsid w:val="2E3B7332"/>
    <w:rsid w:val="2E4176CE"/>
    <w:rsid w:val="2E485D7D"/>
    <w:rsid w:val="2E53443E"/>
    <w:rsid w:val="2E580034"/>
    <w:rsid w:val="2E593A13"/>
    <w:rsid w:val="2E5B7B24"/>
    <w:rsid w:val="2E620224"/>
    <w:rsid w:val="2E627104"/>
    <w:rsid w:val="2E6C5AAD"/>
    <w:rsid w:val="2E6D7F83"/>
    <w:rsid w:val="2E6E02D1"/>
    <w:rsid w:val="2E7330BF"/>
    <w:rsid w:val="2E763918"/>
    <w:rsid w:val="2E825366"/>
    <w:rsid w:val="2E8A24CD"/>
    <w:rsid w:val="2E903C71"/>
    <w:rsid w:val="2E921785"/>
    <w:rsid w:val="2E9372BE"/>
    <w:rsid w:val="2E976DAE"/>
    <w:rsid w:val="2E9A77AF"/>
    <w:rsid w:val="2EA7310E"/>
    <w:rsid w:val="2EA83663"/>
    <w:rsid w:val="2EAB387A"/>
    <w:rsid w:val="2EBC05C2"/>
    <w:rsid w:val="2EC52085"/>
    <w:rsid w:val="2EC52D69"/>
    <w:rsid w:val="2EC658E5"/>
    <w:rsid w:val="2EC67693"/>
    <w:rsid w:val="2EC87765"/>
    <w:rsid w:val="2ECB4CA9"/>
    <w:rsid w:val="2ECB4FE2"/>
    <w:rsid w:val="2ECF07FE"/>
    <w:rsid w:val="2ED7364E"/>
    <w:rsid w:val="2EE10029"/>
    <w:rsid w:val="2EE81E5B"/>
    <w:rsid w:val="2EF05A04"/>
    <w:rsid w:val="2EF25C0D"/>
    <w:rsid w:val="2EF9007F"/>
    <w:rsid w:val="2EFC1390"/>
    <w:rsid w:val="2F000DF7"/>
    <w:rsid w:val="2F0C35AE"/>
    <w:rsid w:val="2F0E5ECE"/>
    <w:rsid w:val="2F120B2A"/>
    <w:rsid w:val="2F177EEF"/>
    <w:rsid w:val="2F1B08DB"/>
    <w:rsid w:val="2F1D79A9"/>
    <w:rsid w:val="2F1F6DA3"/>
    <w:rsid w:val="2F2D14C0"/>
    <w:rsid w:val="2F2F55AF"/>
    <w:rsid w:val="2F45118A"/>
    <w:rsid w:val="2F4773E5"/>
    <w:rsid w:val="2F4A4EE0"/>
    <w:rsid w:val="2F570024"/>
    <w:rsid w:val="2F570B40"/>
    <w:rsid w:val="2F57653D"/>
    <w:rsid w:val="2F594B25"/>
    <w:rsid w:val="2F595531"/>
    <w:rsid w:val="2F601896"/>
    <w:rsid w:val="2F640AC9"/>
    <w:rsid w:val="2F693540"/>
    <w:rsid w:val="2F6D3FB3"/>
    <w:rsid w:val="2F6D5D61"/>
    <w:rsid w:val="2F6F7878"/>
    <w:rsid w:val="2F7075FF"/>
    <w:rsid w:val="2F730857"/>
    <w:rsid w:val="2F7E1D1C"/>
    <w:rsid w:val="2F8F5946"/>
    <w:rsid w:val="2F920F9E"/>
    <w:rsid w:val="2F9669C2"/>
    <w:rsid w:val="2FAC6B25"/>
    <w:rsid w:val="2FAF78CE"/>
    <w:rsid w:val="2FB965CA"/>
    <w:rsid w:val="2FCC0CD9"/>
    <w:rsid w:val="2FCD4A51"/>
    <w:rsid w:val="2FD430BA"/>
    <w:rsid w:val="2FDB0F1C"/>
    <w:rsid w:val="2FDE6C5E"/>
    <w:rsid w:val="2FE51C60"/>
    <w:rsid w:val="2FE7755C"/>
    <w:rsid w:val="2FE778C1"/>
    <w:rsid w:val="2FEA115F"/>
    <w:rsid w:val="2FEC3129"/>
    <w:rsid w:val="2FF67B04"/>
    <w:rsid w:val="2FF904AC"/>
    <w:rsid w:val="2FFA6DF5"/>
    <w:rsid w:val="2FFE090E"/>
    <w:rsid w:val="300246FB"/>
    <w:rsid w:val="300E24C9"/>
    <w:rsid w:val="30190DFD"/>
    <w:rsid w:val="301B57BD"/>
    <w:rsid w:val="301D32E3"/>
    <w:rsid w:val="301F601F"/>
    <w:rsid w:val="30261DE9"/>
    <w:rsid w:val="30420F9B"/>
    <w:rsid w:val="3049232A"/>
    <w:rsid w:val="304D1595"/>
    <w:rsid w:val="304E7CB0"/>
    <w:rsid w:val="30536D05"/>
    <w:rsid w:val="30562A38"/>
    <w:rsid w:val="305F7D9F"/>
    <w:rsid w:val="306233EC"/>
    <w:rsid w:val="3066300C"/>
    <w:rsid w:val="30676C54"/>
    <w:rsid w:val="306B115D"/>
    <w:rsid w:val="306F34BD"/>
    <w:rsid w:val="306F6B65"/>
    <w:rsid w:val="30760C45"/>
    <w:rsid w:val="30762585"/>
    <w:rsid w:val="307B625B"/>
    <w:rsid w:val="30847806"/>
    <w:rsid w:val="3086532C"/>
    <w:rsid w:val="308B22B5"/>
    <w:rsid w:val="3091782D"/>
    <w:rsid w:val="30944FF9"/>
    <w:rsid w:val="30987C52"/>
    <w:rsid w:val="30A43A04"/>
    <w:rsid w:val="30A62585"/>
    <w:rsid w:val="30A82846"/>
    <w:rsid w:val="30A9768F"/>
    <w:rsid w:val="30AB1586"/>
    <w:rsid w:val="30AB1A5E"/>
    <w:rsid w:val="30AD0B0B"/>
    <w:rsid w:val="30B04157"/>
    <w:rsid w:val="30B17964"/>
    <w:rsid w:val="30B8125D"/>
    <w:rsid w:val="30B93464"/>
    <w:rsid w:val="30BF083E"/>
    <w:rsid w:val="30D034A2"/>
    <w:rsid w:val="30E24E48"/>
    <w:rsid w:val="30E9688F"/>
    <w:rsid w:val="30F55EC1"/>
    <w:rsid w:val="30FF0C3A"/>
    <w:rsid w:val="30FF50DE"/>
    <w:rsid w:val="31020EF0"/>
    <w:rsid w:val="310532C2"/>
    <w:rsid w:val="3116114F"/>
    <w:rsid w:val="311961A0"/>
    <w:rsid w:val="311C64BD"/>
    <w:rsid w:val="311C67FF"/>
    <w:rsid w:val="311E37B6"/>
    <w:rsid w:val="311E5564"/>
    <w:rsid w:val="31266B2C"/>
    <w:rsid w:val="31277BD3"/>
    <w:rsid w:val="312863E3"/>
    <w:rsid w:val="31305298"/>
    <w:rsid w:val="31344D88"/>
    <w:rsid w:val="31351D5F"/>
    <w:rsid w:val="313A6116"/>
    <w:rsid w:val="313C1E8F"/>
    <w:rsid w:val="313F372D"/>
    <w:rsid w:val="314239BA"/>
    <w:rsid w:val="31436D79"/>
    <w:rsid w:val="31556AAC"/>
    <w:rsid w:val="31602DEA"/>
    <w:rsid w:val="31650EAE"/>
    <w:rsid w:val="316513E5"/>
    <w:rsid w:val="31694DC5"/>
    <w:rsid w:val="316A1E7D"/>
    <w:rsid w:val="31705EE7"/>
    <w:rsid w:val="31853836"/>
    <w:rsid w:val="31857392"/>
    <w:rsid w:val="31877F1B"/>
    <w:rsid w:val="318B24CE"/>
    <w:rsid w:val="31921AAF"/>
    <w:rsid w:val="31975317"/>
    <w:rsid w:val="319D1C3B"/>
    <w:rsid w:val="31A16195"/>
    <w:rsid w:val="31A36B64"/>
    <w:rsid w:val="31A70F2E"/>
    <w:rsid w:val="31A7168E"/>
    <w:rsid w:val="31A765F5"/>
    <w:rsid w:val="31AF08B2"/>
    <w:rsid w:val="31B13D0E"/>
    <w:rsid w:val="31B71515"/>
    <w:rsid w:val="31C205E6"/>
    <w:rsid w:val="31CA3FFA"/>
    <w:rsid w:val="31CA4B31"/>
    <w:rsid w:val="31CC4000"/>
    <w:rsid w:val="31CF3CF6"/>
    <w:rsid w:val="31D04385"/>
    <w:rsid w:val="31DB09AB"/>
    <w:rsid w:val="31DF2096"/>
    <w:rsid w:val="31E0281A"/>
    <w:rsid w:val="31E02EF6"/>
    <w:rsid w:val="31E53335"/>
    <w:rsid w:val="31E77834"/>
    <w:rsid w:val="31EA3699"/>
    <w:rsid w:val="31F167D5"/>
    <w:rsid w:val="31F31802"/>
    <w:rsid w:val="31F943F2"/>
    <w:rsid w:val="32081D71"/>
    <w:rsid w:val="320F30FF"/>
    <w:rsid w:val="3210751C"/>
    <w:rsid w:val="32252D1E"/>
    <w:rsid w:val="32270449"/>
    <w:rsid w:val="322A618B"/>
    <w:rsid w:val="323136BD"/>
    <w:rsid w:val="323668DE"/>
    <w:rsid w:val="3239017C"/>
    <w:rsid w:val="323963CE"/>
    <w:rsid w:val="323B0398"/>
    <w:rsid w:val="323D5EBE"/>
    <w:rsid w:val="32417CB4"/>
    <w:rsid w:val="32442198"/>
    <w:rsid w:val="32456B21"/>
    <w:rsid w:val="325925CC"/>
    <w:rsid w:val="325F136A"/>
    <w:rsid w:val="325F5E39"/>
    <w:rsid w:val="32627314"/>
    <w:rsid w:val="32655415"/>
    <w:rsid w:val="32710AE6"/>
    <w:rsid w:val="32785148"/>
    <w:rsid w:val="327A0EC0"/>
    <w:rsid w:val="327B181C"/>
    <w:rsid w:val="327D275F"/>
    <w:rsid w:val="328A09D8"/>
    <w:rsid w:val="328B2DE8"/>
    <w:rsid w:val="329C7B7B"/>
    <w:rsid w:val="32AB5AC6"/>
    <w:rsid w:val="32AE7C54"/>
    <w:rsid w:val="32BD6FFF"/>
    <w:rsid w:val="32C043F9"/>
    <w:rsid w:val="32D74B5F"/>
    <w:rsid w:val="32E15616"/>
    <w:rsid w:val="32E60304"/>
    <w:rsid w:val="32EA1D95"/>
    <w:rsid w:val="32EE65C5"/>
    <w:rsid w:val="32F036B4"/>
    <w:rsid w:val="32F80037"/>
    <w:rsid w:val="32FC7B27"/>
    <w:rsid w:val="33064502"/>
    <w:rsid w:val="331210F9"/>
    <w:rsid w:val="33122EA7"/>
    <w:rsid w:val="331473FF"/>
    <w:rsid w:val="33150BE9"/>
    <w:rsid w:val="331704BD"/>
    <w:rsid w:val="33196C24"/>
    <w:rsid w:val="33230261"/>
    <w:rsid w:val="332350B4"/>
    <w:rsid w:val="33301130"/>
    <w:rsid w:val="3337030F"/>
    <w:rsid w:val="3337290D"/>
    <w:rsid w:val="333A4D44"/>
    <w:rsid w:val="334119DE"/>
    <w:rsid w:val="334E5DC6"/>
    <w:rsid w:val="3352118A"/>
    <w:rsid w:val="33550FE6"/>
    <w:rsid w:val="335602FC"/>
    <w:rsid w:val="335A2AA0"/>
    <w:rsid w:val="335E1ACB"/>
    <w:rsid w:val="33632873"/>
    <w:rsid w:val="336372A0"/>
    <w:rsid w:val="336819E3"/>
    <w:rsid w:val="33696AEA"/>
    <w:rsid w:val="336D27D3"/>
    <w:rsid w:val="336F654B"/>
    <w:rsid w:val="337B7169"/>
    <w:rsid w:val="337E3FFB"/>
    <w:rsid w:val="33892417"/>
    <w:rsid w:val="3393505B"/>
    <w:rsid w:val="33A100AA"/>
    <w:rsid w:val="33A1247D"/>
    <w:rsid w:val="33A55B75"/>
    <w:rsid w:val="33AA1331"/>
    <w:rsid w:val="33AC346D"/>
    <w:rsid w:val="33AD0C6F"/>
    <w:rsid w:val="33AD0E22"/>
    <w:rsid w:val="33AE6EFE"/>
    <w:rsid w:val="33BA369E"/>
    <w:rsid w:val="33CD6DCE"/>
    <w:rsid w:val="33D04B10"/>
    <w:rsid w:val="33DE722D"/>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56C0A"/>
    <w:rsid w:val="342D5ABF"/>
    <w:rsid w:val="34362BC5"/>
    <w:rsid w:val="344254CB"/>
    <w:rsid w:val="34535D1B"/>
    <w:rsid w:val="34582047"/>
    <w:rsid w:val="34621C0C"/>
    <w:rsid w:val="346258FD"/>
    <w:rsid w:val="34666F41"/>
    <w:rsid w:val="346C65E7"/>
    <w:rsid w:val="346D6A14"/>
    <w:rsid w:val="34732836"/>
    <w:rsid w:val="34735BC7"/>
    <w:rsid w:val="34741917"/>
    <w:rsid w:val="34761214"/>
    <w:rsid w:val="347B137B"/>
    <w:rsid w:val="347C419D"/>
    <w:rsid w:val="347D6A46"/>
    <w:rsid w:val="348214A6"/>
    <w:rsid w:val="34823063"/>
    <w:rsid w:val="34863867"/>
    <w:rsid w:val="348B0CC3"/>
    <w:rsid w:val="348D1F9A"/>
    <w:rsid w:val="34A50280"/>
    <w:rsid w:val="34AB5591"/>
    <w:rsid w:val="34B15A2E"/>
    <w:rsid w:val="34B61205"/>
    <w:rsid w:val="34BA1A48"/>
    <w:rsid w:val="34BF0E0C"/>
    <w:rsid w:val="34C16318"/>
    <w:rsid w:val="34C5335C"/>
    <w:rsid w:val="34CF1DAC"/>
    <w:rsid w:val="34D10B40"/>
    <w:rsid w:val="34DD74E5"/>
    <w:rsid w:val="34EE16F2"/>
    <w:rsid w:val="34F10F51"/>
    <w:rsid w:val="34F23AD3"/>
    <w:rsid w:val="34FE2963"/>
    <w:rsid w:val="35042533"/>
    <w:rsid w:val="35092088"/>
    <w:rsid w:val="35111896"/>
    <w:rsid w:val="351138D5"/>
    <w:rsid w:val="351275CF"/>
    <w:rsid w:val="351A7555"/>
    <w:rsid w:val="351D29EB"/>
    <w:rsid w:val="35230286"/>
    <w:rsid w:val="35262E10"/>
    <w:rsid w:val="352B0250"/>
    <w:rsid w:val="352C329C"/>
    <w:rsid w:val="3538296D"/>
    <w:rsid w:val="353A3CDC"/>
    <w:rsid w:val="353A4937"/>
    <w:rsid w:val="353D2B19"/>
    <w:rsid w:val="35405374"/>
    <w:rsid w:val="3546508A"/>
    <w:rsid w:val="354721FC"/>
    <w:rsid w:val="35507CB7"/>
    <w:rsid w:val="35527ED3"/>
    <w:rsid w:val="355552CD"/>
    <w:rsid w:val="355827D3"/>
    <w:rsid w:val="35584DBD"/>
    <w:rsid w:val="355902E2"/>
    <w:rsid w:val="355A0B35"/>
    <w:rsid w:val="35676CEF"/>
    <w:rsid w:val="356B7E6A"/>
    <w:rsid w:val="35832670"/>
    <w:rsid w:val="3583298C"/>
    <w:rsid w:val="35847960"/>
    <w:rsid w:val="359E4EC6"/>
    <w:rsid w:val="359F39D4"/>
    <w:rsid w:val="35A57B52"/>
    <w:rsid w:val="35A65B28"/>
    <w:rsid w:val="35A77DEC"/>
    <w:rsid w:val="35AB75E3"/>
    <w:rsid w:val="35AF428F"/>
    <w:rsid w:val="35B86D60"/>
    <w:rsid w:val="35BF6BEA"/>
    <w:rsid w:val="35CB6B83"/>
    <w:rsid w:val="35CE4807"/>
    <w:rsid w:val="35D07B67"/>
    <w:rsid w:val="35D77D86"/>
    <w:rsid w:val="35DC6B72"/>
    <w:rsid w:val="35DF3832"/>
    <w:rsid w:val="35E33EF8"/>
    <w:rsid w:val="35E46651"/>
    <w:rsid w:val="35E77E4F"/>
    <w:rsid w:val="35EA0A28"/>
    <w:rsid w:val="35EB79DF"/>
    <w:rsid w:val="35F42120"/>
    <w:rsid w:val="35F66AB0"/>
    <w:rsid w:val="35FC1BEC"/>
    <w:rsid w:val="35FC399A"/>
    <w:rsid w:val="35FFF92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3E2205"/>
    <w:rsid w:val="364165D0"/>
    <w:rsid w:val="364671D3"/>
    <w:rsid w:val="365732C7"/>
    <w:rsid w:val="367D0F7F"/>
    <w:rsid w:val="367D6E01"/>
    <w:rsid w:val="368220F2"/>
    <w:rsid w:val="36835E6A"/>
    <w:rsid w:val="36883480"/>
    <w:rsid w:val="368A544A"/>
    <w:rsid w:val="368D4E24"/>
    <w:rsid w:val="36A04C6E"/>
    <w:rsid w:val="36A225C5"/>
    <w:rsid w:val="36A71B58"/>
    <w:rsid w:val="36AC3612"/>
    <w:rsid w:val="36AF0874"/>
    <w:rsid w:val="36B13C9C"/>
    <w:rsid w:val="36B65C3C"/>
    <w:rsid w:val="36B83D65"/>
    <w:rsid w:val="36BB4DA2"/>
    <w:rsid w:val="36BC0EA5"/>
    <w:rsid w:val="36BD75CE"/>
    <w:rsid w:val="36CD22AA"/>
    <w:rsid w:val="36D16B63"/>
    <w:rsid w:val="36D22AC4"/>
    <w:rsid w:val="36D35D0D"/>
    <w:rsid w:val="36D6068F"/>
    <w:rsid w:val="36DA1F2E"/>
    <w:rsid w:val="36E006C5"/>
    <w:rsid w:val="36E0150E"/>
    <w:rsid w:val="36E0506A"/>
    <w:rsid w:val="36E61590"/>
    <w:rsid w:val="36F10B70"/>
    <w:rsid w:val="36F81861"/>
    <w:rsid w:val="37074CED"/>
    <w:rsid w:val="370C07C0"/>
    <w:rsid w:val="37116D42"/>
    <w:rsid w:val="37180CA8"/>
    <w:rsid w:val="37215DAE"/>
    <w:rsid w:val="372572D3"/>
    <w:rsid w:val="372A7860"/>
    <w:rsid w:val="372E4027"/>
    <w:rsid w:val="37314DB7"/>
    <w:rsid w:val="3734577F"/>
    <w:rsid w:val="373732D2"/>
    <w:rsid w:val="373A0C1E"/>
    <w:rsid w:val="373D432A"/>
    <w:rsid w:val="37421C4F"/>
    <w:rsid w:val="37425D25"/>
    <w:rsid w:val="374C26CA"/>
    <w:rsid w:val="375B2943"/>
    <w:rsid w:val="375F041E"/>
    <w:rsid w:val="37624BA8"/>
    <w:rsid w:val="376D2DA2"/>
    <w:rsid w:val="37702892"/>
    <w:rsid w:val="37757EA8"/>
    <w:rsid w:val="377D0B0B"/>
    <w:rsid w:val="37825AA8"/>
    <w:rsid w:val="379245B6"/>
    <w:rsid w:val="379362EF"/>
    <w:rsid w:val="37954E2F"/>
    <w:rsid w:val="37A20571"/>
    <w:rsid w:val="37AD13F0"/>
    <w:rsid w:val="37AE6F16"/>
    <w:rsid w:val="37AE71C3"/>
    <w:rsid w:val="37B6137A"/>
    <w:rsid w:val="37B7226F"/>
    <w:rsid w:val="37B73322"/>
    <w:rsid w:val="37B747BB"/>
    <w:rsid w:val="37C624B2"/>
    <w:rsid w:val="37CE7E2C"/>
    <w:rsid w:val="37CF2114"/>
    <w:rsid w:val="37D74FE0"/>
    <w:rsid w:val="37E82428"/>
    <w:rsid w:val="37ED5C91"/>
    <w:rsid w:val="37F21C57"/>
    <w:rsid w:val="37F772FC"/>
    <w:rsid w:val="38011815"/>
    <w:rsid w:val="38044D88"/>
    <w:rsid w:val="380A30F5"/>
    <w:rsid w:val="380B69DF"/>
    <w:rsid w:val="38140CB7"/>
    <w:rsid w:val="3818066F"/>
    <w:rsid w:val="38190C12"/>
    <w:rsid w:val="381A3528"/>
    <w:rsid w:val="381A4E20"/>
    <w:rsid w:val="382764DF"/>
    <w:rsid w:val="382C6A40"/>
    <w:rsid w:val="382F44FB"/>
    <w:rsid w:val="382F62A9"/>
    <w:rsid w:val="3834566E"/>
    <w:rsid w:val="383C5906"/>
    <w:rsid w:val="38412005"/>
    <w:rsid w:val="3843483E"/>
    <w:rsid w:val="384635F3"/>
    <w:rsid w:val="38543F62"/>
    <w:rsid w:val="385C26A0"/>
    <w:rsid w:val="38606463"/>
    <w:rsid w:val="38613F89"/>
    <w:rsid w:val="38653A79"/>
    <w:rsid w:val="386540D4"/>
    <w:rsid w:val="38675A43"/>
    <w:rsid w:val="38691813"/>
    <w:rsid w:val="386B1C84"/>
    <w:rsid w:val="386B544F"/>
    <w:rsid w:val="386D5023"/>
    <w:rsid w:val="387241DF"/>
    <w:rsid w:val="38776449"/>
    <w:rsid w:val="387802D1"/>
    <w:rsid w:val="3885236D"/>
    <w:rsid w:val="388815A4"/>
    <w:rsid w:val="388D3CBA"/>
    <w:rsid w:val="388E7474"/>
    <w:rsid w:val="389C3213"/>
    <w:rsid w:val="38A00F55"/>
    <w:rsid w:val="38A65E3F"/>
    <w:rsid w:val="38B01D9A"/>
    <w:rsid w:val="38B21F68"/>
    <w:rsid w:val="38C04C49"/>
    <w:rsid w:val="38C369F1"/>
    <w:rsid w:val="38C42E95"/>
    <w:rsid w:val="38CF0D23"/>
    <w:rsid w:val="38D21249"/>
    <w:rsid w:val="38D75AB2"/>
    <w:rsid w:val="38D94467"/>
    <w:rsid w:val="38E31C93"/>
    <w:rsid w:val="38E35E11"/>
    <w:rsid w:val="38F31085"/>
    <w:rsid w:val="38F512A1"/>
    <w:rsid w:val="38F848ED"/>
    <w:rsid w:val="3905700A"/>
    <w:rsid w:val="3906101F"/>
    <w:rsid w:val="39092E0A"/>
    <w:rsid w:val="390E5EBF"/>
    <w:rsid w:val="39162FC5"/>
    <w:rsid w:val="39221A5F"/>
    <w:rsid w:val="3927464D"/>
    <w:rsid w:val="392A6A70"/>
    <w:rsid w:val="39396CB4"/>
    <w:rsid w:val="39420CE6"/>
    <w:rsid w:val="395064D7"/>
    <w:rsid w:val="39513FFD"/>
    <w:rsid w:val="39581582"/>
    <w:rsid w:val="395D0BF4"/>
    <w:rsid w:val="3962620A"/>
    <w:rsid w:val="396401D4"/>
    <w:rsid w:val="39646C55"/>
    <w:rsid w:val="39676EA5"/>
    <w:rsid w:val="397274A7"/>
    <w:rsid w:val="39763A64"/>
    <w:rsid w:val="397B72CC"/>
    <w:rsid w:val="397C0ED4"/>
    <w:rsid w:val="39831C60"/>
    <w:rsid w:val="398518F2"/>
    <w:rsid w:val="39870D17"/>
    <w:rsid w:val="398879CF"/>
    <w:rsid w:val="3989775B"/>
    <w:rsid w:val="39993D83"/>
    <w:rsid w:val="39A700C1"/>
    <w:rsid w:val="39A71E6F"/>
    <w:rsid w:val="39B414EE"/>
    <w:rsid w:val="39B527DE"/>
    <w:rsid w:val="39BA3CAC"/>
    <w:rsid w:val="39BA4298"/>
    <w:rsid w:val="39BA7DF4"/>
    <w:rsid w:val="39CA0222"/>
    <w:rsid w:val="39D1036D"/>
    <w:rsid w:val="39D1578E"/>
    <w:rsid w:val="39D76BF8"/>
    <w:rsid w:val="39DC4084"/>
    <w:rsid w:val="39DC7D6B"/>
    <w:rsid w:val="39DD2AE2"/>
    <w:rsid w:val="39E74223"/>
    <w:rsid w:val="39ED01CA"/>
    <w:rsid w:val="39ED0DB9"/>
    <w:rsid w:val="39FD5F33"/>
    <w:rsid w:val="3A00576A"/>
    <w:rsid w:val="3A045513"/>
    <w:rsid w:val="3A06134D"/>
    <w:rsid w:val="3A12378C"/>
    <w:rsid w:val="3A15327D"/>
    <w:rsid w:val="3A166389"/>
    <w:rsid w:val="3A1936CB"/>
    <w:rsid w:val="3A282FB0"/>
    <w:rsid w:val="3A2A31CC"/>
    <w:rsid w:val="3A2B7996"/>
    <w:rsid w:val="3A330B56"/>
    <w:rsid w:val="3A4122C4"/>
    <w:rsid w:val="3A476BFD"/>
    <w:rsid w:val="3A476E05"/>
    <w:rsid w:val="3A4D1D3F"/>
    <w:rsid w:val="3A5A3BC6"/>
    <w:rsid w:val="3A5F274A"/>
    <w:rsid w:val="3A686A7E"/>
    <w:rsid w:val="3A6F3410"/>
    <w:rsid w:val="3A727F87"/>
    <w:rsid w:val="3A76122C"/>
    <w:rsid w:val="3A7626D5"/>
    <w:rsid w:val="3A77477F"/>
    <w:rsid w:val="3A777A93"/>
    <w:rsid w:val="3A8328DC"/>
    <w:rsid w:val="3A836438"/>
    <w:rsid w:val="3A853CFC"/>
    <w:rsid w:val="3A887EF3"/>
    <w:rsid w:val="3A922B1F"/>
    <w:rsid w:val="3A9643BE"/>
    <w:rsid w:val="3A992100"/>
    <w:rsid w:val="3A9B586C"/>
    <w:rsid w:val="3A9C399E"/>
    <w:rsid w:val="3A9E55CB"/>
    <w:rsid w:val="3AA10350"/>
    <w:rsid w:val="3AA12D62"/>
    <w:rsid w:val="3AA30888"/>
    <w:rsid w:val="3AAA1C17"/>
    <w:rsid w:val="3AB97A67"/>
    <w:rsid w:val="3ABF2659"/>
    <w:rsid w:val="3AC05766"/>
    <w:rsid w:val="3AC27F71"/>
    <w:rsid w:val="3AC54698"/>
    <w:rsid w:val="3AC70A1B"/>
    <w:rsid w:val="3AC84793"/>
    <w:rsid w:val="3ACC7DDF"/>
    <w:rsid w:val="3ACF78CF"/>
    <w:rsid w:val="3ADF57BD"/>
    <w:rsid w:val="3AEA64B7"/>
    <w:rsid w:val="3AEE244B"/>
    <w:rsid w:val="3AF3358A"/>
    <w:rsid w:val="3AFB06C4"/>
    <w:rsid w:val="3B084B8F"/>
    <w:rsid w:val="3B0B2724"/>
    <w:rsid w:val="3B0E42A9"/>
    <w:rsid w:val="3B101CF1"/>
    <w:rsid w:val="3B196D9D"/>
    <w:rsid w:val="3B1B01D6"/>
    <w:rsid w:val="3B225C51"/>
    <w:rsid w:val="3B2C4D22"/>
    <w:rsid w:val="3B3A631B"/>
    <w:rsid w:val="3B3D2C57"/>
    <w:rsid w:val="3B3F449C"/>
    <w:rsid w:val="3B4B0D42"/>
    <w:rsid w:val="3B4E0C94"/>
    <w:rsid w:val="3B583526"/>
    <w:rsid w:val="3B5D325E"/>
    <w:rsid w:val="3B6444BC"/>
    <w:rsid w:val="3B66527F"/>
    <w:rsid w:val="3B693880"/>
    <w:rsid w:val="3B7F4E52"/>
    <w:rsid w:val="3B822B94"/>
    <w:rsid w:val="3B8D00BE"/>
    <w:rsid w:val="3B8E17F9"/>
    <w:rsid w:val="3B96663F"/>
    <w:rsid w:val="3B985F13"/>
    <w:rsid w:val="3B9878E7"/>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8119C"/>
    <w:rsid w:val="3C0417FB"/>
    <w:rsid w:val="3C047A4D"/>
    <w:rsid w:val="3C070B8D"/>
    <w:rsid w:val="3C0802CE"/>
    <w:rsid w:val="3C0D1174"/>
    <w:rsid w:val="3C0E2679"/>
    <w:rsid w:val="3C0E4427"/>
    <w:rsid w:val="3C101EF8"/>
    <w:rsid w:val="3C1A2C1F"/>
    <w:rsid w:val="3C291261"/>
    <w:rsid w:val="3C29483E"/>
    <w:rsid w:val="3C2D2B00"/>
    <w:rsid w:val="3C3178A8"/>
    <w:rsid w:val="3C355E58"/>
    <w:rsid w:val="3C395396"/>
    <w:rsid w:val="3C3B0AF7"/>
    <w:rsid w:val="3C406CD7"/>
    <w:rsid w:val="3C4340D1"/>
    <w:rsid w:val="3C4D4F50"/>
    <w:rsid w:val="3C4E6795"/>
    <w:rsid w:val="3C56625B"/>
    <w:rsid w:val="3C65056D"/>
    <w:rsid w:val="3C65139C"/>
    <w:rsid w:val="3C6E4EC6"/>
    <w:rsid w:val="3C794497"/>
    <w:rsid w:val="3C797AF3"/>
    <w:rsid w:val="3C7B6540"/>
    <w:rsid w:val="3C834E15"/>
    <w:rsid w:val="3C86610F"/>
    <w:rsid w:val="3C8666B4"/>
    <w:rsid w:val="3C8C50EB"/>
    <w:rsid w:val="3C923AA1"/>
    <w:rsid w:val="3C940547"/>
    <w:rsid w:val="3C9568F7"/>
    <w:rsid w:val="3C960BD0"/>
    <w:rsid w:val="3CA408E8"/>
    <w:rsid w:val="3CA52FDE"/>
    <w:rsid w:val="3CA8662A"/>
    <w:rsid w:val="3CB3037C"/>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B5180"/>
    <w:rsid w:val="3D0B6828"/>
    <w:rsid w:val="3D0E0B83"/>
    <w:rsid w:val="3D163594"/>
    <w:rsid w:val="3D1729DA"/>
    <w:rsid w:val="3D1837B0"/>
    <w:rsid w:val="3D1B607F"/>
    <w:rsid w:val="3D242F26"/>
    <w:rsid w:val="3D251A29"/>
    <w:rsid w:val="3D315477"/>
    <w:rsid w:val="3D3404E4"/>
    <w:rsid w:val="3D4103E4"/>
    <w:rsid w:val="3D4F2F6F"/>
    <w:rsid w:val="3D4F538F"/>
    <w:rsid w:val="3D574DF0"/>
    <w:rsid w:val="3D5B111A"/>
    <w:rsid w:val="3D6577DF"/>
    <w:rsid w:val="3D6D0770"/>
    <w:rsid w:val="3D7529B0"/>
    <w:rsid w:val="3D7824A0"/>
    <w:rsid w:val="3D842AB7"/>
    <w:rsid w:val="3D873749"/>
    <w:rsid w:val="3D891FB8"/>
    <w:rsid w:val="3D8E52AA"/>
    <w:rsid w:val="3D917A02"/>
    <w:rsid w:val="3D934BE4"/>
    <w:rsid w:val="3D9372DA"/>
    <w:rsid w:val="3D9F78E8"/>
    <w:rsid w:val="3DA6700D"/>
    <w:rsid w:val="3DAA0180"/>
    <w:rsid w:val="3DAF5796"/>
    <w:rsid w:val="3DB15560"/>
    <w:rsid w:val="3DB42DAD"/>
    <w:rsid w:val="3DBA6615"/>
    <w:rsid w:val="3DC94978"/>
    <w:rsid w:val="3DCE49C4"/>
    <w:rsid w:val="3DD671C7"/>
    <w:rsid w:val="3DDD4C72"/>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735B"/>
    <w:rsid w:val="3E1C6301"/>
    <w:rsid w:val="3E247F32"/>
    <w:rsid w:val="3E2579B5"/>
    <w:rsid w:val="3E306B73"/>
    <w:rsid w:val="3E33483D"/>
    <w:rsid w:val="3E356CC3"/>
    <w:rsid w:val="3E361BB6"/>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914BF"/>
    <w:rsid w:val="3E6B5A1B"/>
    <w:rsid w:val="3E704F26"/>
    <w:rsid w:val="3E790570"/>
    <w:rsid w:val="3E7964D0"/>
    <w:rsid w:val="3E8567C1"/>
    <w:rsid w:val="3E8A1E51"/>
    <w:rsid w:val="3E8D48FA"/>
    <w:rsid w:val="3E9055C8"/>
    <w:rsid w:val="3E9949B0"/>
    <w:rsid w:val="3E9D053F"/>
    <w:rsid w:val="3EA01CAF"/>
    <w:rsid w:val="3EA60687"/>
    <w:rsid w:val="3EAD1CD6"/>
    <w:rsid w:val="3EAF73F5"/>
    <w:rsid w:val="3EB37B0C"/>
    <w:rsid w:val="3EC62D97"/>
    <w:rsid w:val="3EC87D98"/>
    <w:rsid w:val="3EC924E2"/>
    <w:rsid w:val="3ECB79D6"/>
    <w:rsid w:val="3ED43706"/>
    <w:rsid w:val="3ED834A3"/>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C3542"/>
    <w:rsid w:val="3F360DD8"/>
    <w:rsid w:val="3F3C2875"/>
    <w:rsid w:val="3F4168C2"/>
    <w:rsid w:val="3F43088C"/>
    <w:rsid w:val="3F4A39D4"/>
    <w:rsid w:val="3F4E11BA"/>
    <w:rsid w:val="3F52287D"/>
    <w:rsid w:val="3F532126"/>
    <w:rsid w:val="3F535C5C"/>
    <w:rsid w:val="3F584337"/>
    <w:rsid w:val="3F59020D"/>
    <w:rsid w:val="3F5E56C6"/>
    <w:rsid w:val="3F6324C8"/>
    <w:rsid w:val="3F636838"/>
    <w:rsid w:val="3F6668EF"/>
    <w:rsid w:val="3F770427"/>
    <w:rsid w:val="3F795547"/>
    <w:rsid w:val="3F9678E8"/>
    <w:rsid w:val="3F9A4950"/>
    <w:rsid w:val="3F9B2DCE"/>
    <w:rsid w:val="3FA255B3"/>
    <w:rsid w:val="3FA37043"/>
    <w:rsid w:val="3FA4132B"/>
    <w:rsid w:val="3FA56C74"/>
    <w:rsid w:val="3FAF4029"/>
    <w:rsid w:val="3FB24FAB"/>
    <w:rsid w:val="3FB94E95"/>
    <w:rsid w:val="3FC56627"/>
    <w:rsid w:val="3FE45BCB"/>
    <w:rsid w:val="3FF004C9"/>
    <w:rsid w:val="3FFA0F4B"/>
    <w:rsid w:val="3FFE3893"/>
    <w:rsid w:val="40026051"/>
    <w:rsid w:val="4010076E"/>
    <w:rsid w:val="4021297B"/>
    <w:rsid w:val="40324FDC"/>
    <w:rsid w:val="40364F60"/>
    <w:rsid w:val="40381640"/>
    <w:rsid w:val="40396812"/>
    <w:rsid w:val="403C539B"/>
    <w:rsid w:val="4041567A"/>
    <w:rsid w:val="40464190"/>
    <w:rsid w:val="404F5C36"/>
    <w:rsid w:val="40503261"/>
    <w:rsid w:val="40510BF2"/>
    <w:rsid w:val="40520EC7"/>
    <w:rsid w:val="4061721C"/>
    <w:rsid w:val="406960D0"/>
    <w:rsid w:val="40771090"/>
    <w:rsid w:val="40866C82"/>
    <w:rsid w:val="408C3EDA"/>
    <w:rsid w:val="4093314D"/>
    <w:rsid w:val="40970E8F"/>
    <w:rsid w:val="40A9471F"/>
    <w:rsid w:val="40B43E6A"/>
    <w:rsid w:val="40B90E06"/>
    <w:rsid w:val="40BE641C"/>
    <w:rsid w:val="40C854ED"/>
    <w:rsid w:val="40D03A0C"/>
    <w:rsid w:val="40D519B8"/>
    <w:rsid w:val="40D5458F"/>
    <w:rsid w:val="40E045E4"/>
    <w:rsid w:val="40E62000"/>
    <w:rsid w:val="40F00849"/>
    <w:rsid w:val="40FE0FE1"/>
    <w:rsid w:val="40FE4BEC"/>
    <w:rsid w:val="410D1152"/>
    <w:rsid w:val="411132BD"/>
    <w:rsid w:val="41287D39"/>
    <w:rsid w:val="412B43A2"/>
    <w:rsid w:val="412C6278"/>
    <w:rsid w:val="41384420"/>
    <w:rsid w:val="41456B3D"/>
    <w:rsid w:val="414601C0"/>
    <w:rsid w:val="41474664"/>
    <w:rsid w:val="414972FD"/>
    <w:rsid w:val="414B7C26"/>
    <w:rsid w:val="414F176A"/>
    <w:rsid w:val="41541F12"/>
    <w:rsid w:val="41546D80"/>
    <w:rsid w:val="415E73D5"/>
    <w:rsid w:val="41605419"/>
    <w:rsid w:val="416173C4"/>
    <w:rsid w:val="41625218"/>
    <w:rsid w:val="41656898"/>
    <w:rsid w:val="416D399E"/>
    <w:rsid w:val="41764BB4"/>
    <w:rsid w:val="417F4B94"/>
    <w:rsid w:val="41892E5E"/>
    <w:rsid w:val="418F600A"/>
    <w:rsid w:val="41990C37"/>
    <w:rsid w:val="419F32CD"/>
    <w:rsid w:val="41A5138A"/>
    <w:rsid w:val="41B31CF9"/>
    <w:rsid w:val="41B53D89"/>
    <w:rsid w:val="41B82522"/>
    <w:rsid w:val="41BA21D5"/>
    <w:rsid w:val="41C05B83"/>
    <w:rsid w:val="41C349E0"/>
    <w:rsid w:val="41C35E9B"/>
    <w:rsid w:val="41C440BF"/>
    <w:rsid w:val="41C47422"/>
    <w:rsid w:val="41C836BC"/>
    <w:rsid w:val="41D659E7"/>
    <w:rsid w:val="41DA2951"/>
    <w:rsid w:val="41DD54EE"/>
    <w:rsid w:val="41E41EB2"/>
    <w:rsid w:val="41E9396D"/>
    <w:rsid w:val="41EE0F83"/>
    <w:rsid w:val="41F67393"/>
    <w:rsid w:val="41F83BB0"/>
    <w:rsid w:val="41F8593B"/>
    <w:rsid w:val="4200138B"/>
    <w:rsid w:val="42022339"/>
    <w:rsid w:val="42072045"/>
    <w:rsid w:val="42092942"/>
    <w:rsid w:val="42095582"/>
    <w:rsid w:val="420A743F"/>
    <w:rsid w:val="420F2CA7"/>
    <w:rsid w:val="420F6AF5"/>
    <w:rsid w:val="421107CE"/>
    <w:rsid w:val="42220C2D"/>
    <w:rsid w:val="422932C0"/>
    <w:rsid w:val="422B5D33"/>
    <w:rsid w:val="422E40B0"/>
    <w:rsid w:val="42336996"/>
    <w:rsid w:val="4236486F"/>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05B96"/>
    <w:rsid w:val="42950144"/>
    <w:rsid w:val="429549D9"/>
    <w:rsid w:val="429733C9"/>
    <w:rsid w:val="42976F25"/>
    <w:rsid w:val="42984A4B"/>
    <w:rsid w:val="42A27D35"/>
    <w:rsid w:val="42AE20D4"/>
    <w:rsid w:val="42B211EC"/>
    <w:rsid w:val="42B86E9B"/>
    <w:rsid w:val="42BA0E65"/>
    <w:rsid w:val="42BF4BC0"/>
    <w:rsid w:val="42C526A4"/>
    <w:rsid w:val="42D177DE"/>
    <w:rsid w:val="42D17F20"/>
    <w:rsid w:val="42D40179"/>
    <w:rsid w:val="42D75573"/>
    <w:rsid w:val="42DD6902"/>
    <w:rsid w:val="42DE4B54"/>
    <w:rsid w:val="42E41D08"/>
    <w:rsid w:val="42EB7271"/>
    <w:rsid w:val="42F13381"/>
    <w:rsid w:val="42F9316C"/>
    <w:rsid w:val="42F97FB9"/>
    <w:rsid w:val="42FE6FA4"/>
    <w:rsid w:val="43080135"/>
    <w:rsid w:val="43085C34"/>
    <w:rsid w:val="43106CD7"/>
    <w:rsid w:val="43134D1D"/>
    <w:rsid w:val="431B5A0C"/>
    <w:rsid w:val="43226128"/>
    <w:rsid w:val="432D59B5"/>
    <w:rsid w:val="433771D7"/>
    <w:rsid w:val="433D44BC"/>
    <w:rsid w:val="433E7E99"/>
    <w:rsid w:val="434768FE"/>
    <w:rsid w:val="434C41B3"/>
    <w:rsid w:val="435272F0"/>
    <w:rsid w:val="4353028E"/>
    <w:rsid w:val="435A6F40"/>
    <w:rsid w:val="435D4C1C"/>
    <w:rsid w:val="435E3EE6"/>
    <w:rsid w:val="43606AC5"/>
    <w:rsid w:val="43607C5E"/>
    <w:rsid w:val="43635059"/>
    <w:rsid w:val="43652B30"/>
    <w:rsid w:val="43664B49"/>
    <w:rsid w:val="436721C3"/>
    <w:rsid w:val="436D243D"/>
    <w:rsid w:val="43780C2C"/>
    <w:rsid w:val="43817561"/>
    <w:rsid w:val="43851473"/>
    <w:rsid w:val="43995B7E"/>
    <w:rsid w:val="43A2436B"/>
    <w:rsid w:val="43A55671"/>
    <w:rsid w:val="43B027A5"/>
    <w:rsid w:val="43B753A5"/>
    <w:rsid w:val="43BB6827"/>
    <w:rsid w:val="43C31F9B"/>
    <w:rsid w:val="43C92CBE"/>
    <w:rsid w:val="43CD5948"/>
    <w:rsid w:val="43CE47D0"/>
    <w:rsid w:val="43D15585"/>
    <w:rsid w:val="43D441A9"/>
    <w:rsid w:val="43D63A7D"/>
    <w:rsid w:val="43DE0B83"/>
    <w:rsid w:val="43EA146E"/>
    <w:rsid w:val="43EA6644"/>
    <w:rsid w:val="43F03412"/>
    <w:rsid w:val="43F33DE5"/>
    <w:rsid w:val="44036616"/>
    <w:rsid w:val="44044A8E"/>
    <w:rsid w:val="44071E88"/>
    <w:rsid w:val="440F482D"/>
    <w:rsid w:val="44117EA6"/>
    <w:rsid w:val="44163079"/>
    <w:rsid w:val="4416656F"/>
    <w:rsid w:val="44273BE5"/>
    <w:rsid w:val="442B2615"/>
    <w:rsid w:val="442E38B9"/>
    <w:rsid w:val="44327DA0"/>
    <w:rsid w:val="443D549C"/>
    <w:rsid w:val="44417989"/>
    <w:rsid w:val="444949C5"/>
    <w:rsid w:val="444A7498"/>
    <w:rsid w:val="44550E45"/>
    <w:rsid w:val="44592E59"/>
    <w:rsid w:val="445F10EC"/>
    <w:rsid w:val="44742CA9"/>
    <w:rsid w:val="44745536"/>
    <w:rsid w:val="44806045"/>
    <w:rsid w:val="44837AB8"/>
    <w:rsid w:val="4484172B"/>
    <w:rsid w:val="448535BE"/>
    <w:rsid w:val="44916CC1"/>
    <w:rsid w:val="4492209A"/>
    <w:rsid w:val="44953CD6"/>
    <w:rsid w:val="449D537A"/>
    <w:rsid w:val="44A1052F"/>
    <w:rsid w:val="44A21BB1"/>
    <w:rsid w:val="44A44004"/>
    <w:rsid w:val="44B10046"/>
    <w:rsid w:val="44B40F84"/>
    <w:rsid w:val="44B41888"/>
    <w:rsid w:val="44BA3D81"/>
    <w:rsid w:val="44C22253"/>
    <w:rsid w:val="44CC0583"/>
    <w:rsid w:val="44CE6E4A"/>
    <w:rsid w:val="44D202E1"/>
    <w:rsid w:val="44D41A85"/>
    <w:rsid w:val="44D65552"/>
    <w:rsid w:val="44DC1567"/>
    <w:rsid w:val="44DD0E3B"/>
    <w:rsid w:val="44E645A9"/>
    <w:rsid w:val="44E70298"/>
    <w:rsid w:val="44E73A68"/>
    <w:rsid w:val="44ED5522"/>
    <w:rsid w:val="44EE06A6"/>
    <w:rsid w:val="44EF26F9"/>
    <w:rsid w:val="44F85EE6"/>
    <w:rsid w:val="44FE21F3"/>
    <w:rsid w:val="450F36EA"/>
    <w:rsid w:val="451505D5"/>
    <w:rsid w:val="4515141C"/>
    <w:rsid w:val="45154A79"/>
    <w:rsid w:val="4519716D"/>
    <w:rsid w:val="451B7394"/>
    <w:rsid w:val="451E1374"/>
    <w:rsid w:val="452A335C"/>
    <w:rsid w:val="45387C09"/>
    <w:rsid w:val="453C3DB3"/>
    <w:rsid w:val="454113CA"/>
    <w:rsid w:val="454D5006"/>
    <w:rsid w:val="455040E6"/>
    <w:rsid w:val="4557044F"/>
    <w:rsid w:val="45582520"/>
    <w:rsid w:val="45667282"/>
    <w:rsid w:val="45677177"/>
    <w:rsid w:val="456978F4"/>
    <w:rsid w:val="457E43CC"/>
    <w:rsid w:val="457E4CC3"/>
    <w:rsid w:val="45800144"/>
    <w:rsid w:val="45844552"/>
    <w:rsid w:val="45855547"/>
    <w:rsid w:val="4585575A"/>
    <w:rsid w:val="458A221C"/>
    <w:rsid w:val="458B4C95"/>
    <w:rsid w:val="458D5981"/>
    <w:rsid w:val="4590612B"/>
    <w:rsid w:val="45912351"/>
    <w:rsid w:val="4599434E"/>
    <w:rsid w:val="45996EA1"/>
    <w:rsid w:val="45A100BA"/>
    <w:rsid w:val="45A55B9B"/>
    <w:rsid w:val="45A858ED"/>
    <w:rsid w:val="45BC676B"/>
    <w:rsid w:val="45D55761"/>
    <w:rsid w:val="45D85A64"/>
    <w:rsid w:val="45DD7344"/>
    <w:rsid w:val="45E053CB"/>
    <w:rsid w:val="45E306D3"/>
    <w:rsid w:val="45EA7CB3"/>
    <w:rsid w:val="45EC21FE"/>
    <w:rsid w:val="45F14B9E"/>
    <w:rsid w:val="45F6394A"/>
    <w:rsid w:val="45F702D3"/>
    <w:rsid w:val="460147BD"/>
    <w:rsid w:val="46081EE8"/>
    <w:rsid w:val="46130FB8"/>
    <w:rsid w:val="46131F38"/>
    <w:rsid w:val="46144D30"/>
    <w:rsid w:val="46165EB6"/>
    <w:rsid w:val="461A2060"/>
    <w:rsid w:val="461F6271"/>
    <w:rsid w:val="4629283D"/>
    <w:rsid w:val="462E487B"/>
    <w:rsid w:val="46366A55"/>
    <w:rsid w:val="4655708C"/>
    <w:rsid w:val="46592743"/>
    <w:rsid w:val="465E57CF"/>
    <w:rsid w:val="46653CEC"/>
    <w:rsid w:val="46671304"/>
    <w:rsid w:val="466F7DC4"/>
    <w:rsid w:val="467C1271"/>
    <w:rsid w:val="467D0B27"/>
    <w:rsid w:val="467D43D1"/>
    <w:rsid w:val="46804174"/>
    <w:rsid w:val="468377A8"/>
    <w:rsid w:val="46932667"/>
    <w:rsid w:val="469F5593"/>
    <w:rsid w:val="46A41C10"/>
    <w:rsid w:val="46A475BE"/>
    <w:rsid w:val="46A71700"/>
    <w:rsid w:val="46AB2E40"/>
    <w:rsid w:val="46B11DF1"/>
    <w:rsid w:val="46B16FCD"/>
    <w:rsid w:val="46B32353"/>
    <w:rsid w:val="46BA1434"/>
    <w:rsid w:val="46D1677D"/>
    <w:rsid w:val="46EC3A4E"/>
    <w:rsid w:val="46EE3897"/>
    <w:rsid w:val="46FB04BB"/>
    <w:rsid w:val="46FC1A4C"/>
    <w:rsid w:val="46FC4D11"/>
    <w:rsid w:val="47003C8C"/>
    <w:rsid w:val="47004189"/>
    <w:rsid w:val="470C3AC9"/>
    <w:rsid w:val="470E59CC"/>
    <w:rsid w:val="471833A7"/>
    <w:rsid w:val="471A45C8"/>
    <w:rsid w:val="471C20EE"/>
    <w:rsid w:val="471E2247"/>
    <w:rsid w:val="47215957"/>
    <w:rsid w:val="472A1DE0"/>
    <w:rsid w:val="472D42FC"/>
    <w:rsid w:val="473016F6"/>
    <w:rsid w:val="473860EE"/>
    <w:rsid w:val="473F5DDD"/>
    <w:rsid w:val="474332E3"/>
    <w:rsid w:val="47456CD0"/>
    <w:rsid w:val="475140C4"/>
    <w:rsid w:val="4755115C"/>
    <w:rsid w:val="47633879"/>
    <w:rsid w:val="476C6422"/>
    <w:rsid w:val="476D25D3"/>
    <w:rsid w:val="47721D0E"/>
    <w:rsid w:val="477A6E15"/>
    <w:rsid w:val="47863A0C"/>
    <w:rsid w:val="478657BA"/>
    <w:rsid w:val="478D6B48"/>
    <w:rsid w:val="478F28C0"/>
    <w:rsid w:val="47AB54F0"/>
    <w:rsid w:val="47B83B92"/>
    <w:rsid w:val="47C3256A"/>
    <w:rsid w:val="47D6229D"/>
    <w:rsid w:val="47DB5B06"/>
    <w:rsid w:val="47DE1152"/>
    <w:rsid w:val="47E26E94"/>
    <w:rsid w:val="47E744AA"/>
    <w:rsid w:val="47EA3F9B"/>
    <w:rsid w:val="47F66AEE"/>
    <w:rsid w:val="47F870D9"/>
    <w:rsid w:val="47FB1D04"/>
    <w:rsid w:val="47FE17F4"/>
    <w:rsid w:val="47FE37AF"/>
    <w:rsid w:val="47FF4BB8"/>
    <w:rsid w:val="48002054"/>
    <w:rsid w:val="4800419B"/>
    <w:rsid w:val="48073570"/>
    <w:rsid w:val="48076BBF"/>
    <w:rsid w:val="48081689"/>
    <w:rsid w:val="48082673"/>
    <w:rsid w:val="480D4102"/>
    <w:rsid w:val="480F755D"/>
    <w:rsid w:val="481566F2"/>
    <w:rsid w:val="4818290E"/>
    <w:rsid w:val="48184892"/>
    <w:rsid w:val="4820176A"/>
    <w:rsid w:val="48254FD3"/>
    <w:rsid w:val="48263C6E"/>
    <w:rsid w:val="48362D3C"/>
    <w:rsid w:val="48401E0D"/>
    <w:rsid w:val="484441E1"/>
    <w:rsid w:val="4847656B"/>
    <w:rsid w:val="48511B4B"/>
    <w:rsid w:val="48580F04"/>
    <w:rsid w:val="485C74FB"/>
    <w:rsid w:val="48634DB6"/>
    <w:rsid w:val="4869093C"/>
    <w:rsid w:val="486D24D6"/>
    <w:rsid w:val="486D5676"/>
    <w:rsid w:val="4872278C"/>
    <w:rsid w:val="48732184"/>
    <w:rsid w:val="48740B49"/>
    <w:rsid w:val="487F2935"/>
    <w:rsid w:val="488258B7"/>
    <w:rsid w:val="48831CF9"/>
    <w:rsid w:val="48855A71"/>
    <w:rsid w:val="488D6822"/>
    <w:rsid w:val="488E1949"/>
    <w:rsid w:val="48981C49"/>
    <w:rsid w:val="489D725F"/>
    <w:rsid w:val="48A42E12"/>
    <w:rsid w:val="48A87A57"/>
    <w:rsid w:val="48A91760"/>
    <w:rsid w:val="48B93B23"/>
    <w:rsid w:val="48C742DC"/>
    <w:rsid w:val="48CC36A0"/>
    <w:rsid w:val="48D5496B"/>
    <w:rsid w:val="48D93A13"/>
    <w:rsid w:val="48DB38E3"/>
    <w:rsid w:val="48DC6BB8"/>
    <w:rsid w:val="48E257A9"/>
    <w:rsid w:val="48F36ECE"/>
    <w:rsid w:val="48FF75D2"/>
    <w:rsid w:val="49033877"/>
    <w:rsid w:val="49064E04"/>
    <w:rsid w:val="4907054C"/>
    <w:rsid w:val="49113EE5"/>
    <w:rsid w:val="4913307D"/>
    <w:rsid w:val="4919199A"/>
    <w:rsid w:val="49264CFE"/>
    <w:rsid w:val="492B6619"/>
    <w:rsid w:val="493B39EC"/>
    <w:rsid w:val="493D0735"/>
    <w:rsid w:val="49431BB4"/>
    <w:rsid w:val="494633B0"/>
    <w:rsid w:val="4947157F"/>
    <w:rsid w:val="49490E9D"/>
    <w:rsid w:val="494971A9"/>
    <w:rsid w:val="4953791E"/>
    <w:rsid w:val="4954017C"/>
    <w:rsid w:val="49544782"/>
    <w:rsid w:val="495A5D3D"/>
    <w:rsid w:val="4962490E"/>
    <w:rsid w:val="49632A67"/>
    <w:rsid w:val="49635DB3"/>
    <w:rsid w:val="49652C7D"/>
    <w:rsid w:val="49696660"/>
    <w:rsid w:val="49705551"/>
    <w:rsid w:val="49724248"/>
    <w:rsid w:val="49777F90"/>
    <w:rsid w:val="497C0DC1"/>
    <w:rsid w:val="49845D29"/>
    <w:rsid w:val="4989380B"/>
    <w:rsid w:val="498C5DCF"/>
    <w:rsid w:val="4990255D"/>
    <w:rsid w:val="4995680C"/>
    <w:rsid w:val="499C0B00"/>
    <w:rsid w:val="499C7517"/>
    <w:rsid w:val="499F0DB5"/>
    <w:rsid w:val="49A81A17"/>
    <w:rsid w:val="49A95790"/>
    <w:rsid w:val="49AB5596"/>
    <w:rsid w:val="49B303BC"/>
    <w:rsid w:val="49B316E8"/>
    <w:rsid w:val="49B74350"/>
    <w:rsid w:val="49B9577F"/>
    <w:rsid w:val="49C0578E"/>
    <w:rsid w:val="49C4058B"/>
    <w:rsid w:val="49C425C9"/>
    <w:rsid w:val="49CA4084"/>
    <w:rsid w:val="49CE379C"/>
    <w:rsid w:val="49E36EF3"/>
    <w:rsid w:val="49E50EBD"/>
    <w:rsid w:val="49E54986"/>
    <w:rsid w:val="49F51014"/>
    <w:rsid w:val="4A0D3F70"/>
    <w:rsid w:val="4A221A4A"/>
    <w:rsid w:val="4A2424EA"/>
    <w:rsid w:val="4A2E53C5"/>
    <w:rsid w:val="4A3278A2"/>
    <w:rsid w:val="4A38723F"/>
    <w:rsid w:val="4A392FB7"/>
    <w:rsid w:val="4A3B1EE9"/>
    <w:rsid w:val="4A3F367E"/>
    <w:rsid w:val="4A4020E8"/>
    <w:rsid w:val="4A4431E9"/>
    <w:rsid w:val="4A45378A"/>
    <w:rsid w:val="4A5278E5"/>
    <w:rsid w:val="4A53089A"/>
    <w:rsid w:val="4A5B1180"/>
    <w:rsid w:val="4A5E657A"/>
    <w:rsid w:val="4A6B3B6F"/>
    <w:rsid w:val="4A712751"/>
    <w:rsid w:val="4A742241"/>
    <w:rsid w:val="4A78588E"/>
    <w:rsid w:val="4A813CF9"/>
    <w:rsid w:val="4A832664"/>
    <w:rsid w:val="4A86272A"/>
    <w:rsid w:val="4A8A43CC"/>
    <w:rsid w:val="4A8D6256"/>
    <w:rsid w:val="4A9067B3"/>
    <w:rsid w:val="4A991E77"/>
    <w:rsid w:val="4A9B5A20"/>
    <w:rsid w:val="4A9F106C"/>
    <w:rsid w:val="4AA20B5D"/>
    <w:rsid w:val="4AA21D66"/>
    <w:rsid w:val="4AA5064D"/>
    <w:rsid w:val="4AA93C99"/>
    <w:rsid w:val="4AAD4C08"/>
    <w:rsid w:val="4AAF6A1F"/>
    <w:rsid w:val="4AB12B4E"/>
    <w:rsid w:val="4AB20B2A"/>
    <w:rsid w:val="4AB6597F"/>
    <w:rsid w:val="4AB663B6"/>
    <w:rsid w:val="4ABB65DC"/>
    <w:rsid w:val="4AC13A05"/>
    <w:rsid w:val="4AC35380"/>
    <w:rsid w:val="4ACB66A6"/>
    <w:rsid w:val="4AD134FA"/>
    <w:rsid w:val="4AD3008D"/>
    <w:rsid w:val="4AE10C24"/>
    <w:rsid w:val="4AE201A2"/>
    <w:rsid w:val="4AF33403"/>
    <w:rsid w:val="4B030D93"/>
    <w:rsid w:val="4B06150B"/>
    <w:rsid w:val="4B09762A"/>
    <w:rsid w:val="4B10675D"/>
    <w:rsid w:val="4B146D2F"/>
    <w:rsid w:val="4B182FD3"/>
    <w:rsid w:val="4B244232"/>
    <w:rsid w:val="4B29302C"/>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C3D81"/>
    <w:rsid w:val="4B6D741D"/>
    <w:rsid w:val="4B721E8C"/>
    <w:rsid w:val="4B726781"/>
    <w:rsid w:val="4B766BB2"/>
    <w:rsid w:val="4B78366B"/>
    <w:rsid w:val="4B7E5126"/>
    <w:rsid w:val="4B8547A4"/>
    <w:rsid w:val="4B9C1A50"/>
    <w:rsid w:val="4BA33AB6"/>
    <w:rsid w:val="4BAB7265"/>
    <w:rsid w:val="4BB94F3A"/>
    <w:rsid w:val="4BC13264"/>
    <w:rsid w:val="4BC468B1"/>
    <w:rsid w:val="4BCB747A"/>
    <w:rsid w:val="4BCD4365"/>
    <w:rsid w:val="4BCE156F"/>
    <w:rsid w:val="4BE17463"/>
    <w:rsid w:val="4BE3142D"/>
    <w:rsid w:val="4BEE392E"/>
    <w:rsid w:val="4BEE7C6E"/>
    <w:rsid w:val="4BEF4C0C"/>
    <w:rsid w:val="4BF34481"/>
    <w:rsid w:val="4BF707D3"/>
    <w:rsid w:val="4BF929FE"/>
    <w:rsid w:val="4C08454D"/>
    <w:rsid w:val="4C0A69B9"/>
    <w:rsid w:val="4C0A6BA1"/>
    <w:rsid w:val="4C0C0983"/>
    <w:rsid w:val="4C152FE5"/>
    <w:rsid w:val="4C1827E3"/>
    <w:rsid w:val="4C196BFC"/>
    <w:rsid w:val="4C1C66ED"/>
    <w:rsid w:val="4C1D63CF"/>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6319D"/>
    <w:rsid w:val="4C971FC1"/>
    <w:rsid w:val="4C975D73"/>
    <w:rsid w:val="4CA13785"/>
    <w:rsid w:val="4CAF130F"/>
    <w:rsid w:val="4CB24C66"/>
    <w:rsid w:val="4CBA03DF"/>
    <w:rsid w:val="4CBD1D79"/>
    <w:rsid w:val="4CC2732C"/>
    <w:rsid w:val="4CC449DC"/>
    <w:rsid w:val="4CD16930"/>
    <w:rsid w:val="4CD477BD"/>
    <w:rsid w:val="4CD76542"/>
    <w:rsid w:val="4CDF5113"/>
    <w:rsid w:val="4CEF02DA"/>
    <w:rsid w:val="4CF07121"/>
    <w:rsid w:val="4CF105EB"/>
    <w:rsid w:val="4CF136D5"/>
    <w:rsid w:val="4CF220C5"/>
    <w:rsid w:val="4CFD4B48"/>
    <w:rsid w:val="4D0258E3"/>
    <w:rsid w:val="4D0A29E9"/>
    <w:rsid w:val="4D0B1AD9"/>
    <w:rsid w:val="4D1241E0"/>
    <w:rsid w:val="4D1B38DC"/>
    <w:rsid w:val="4D1D44CA"/>
    <w:rsid w:val="4D1F46E6"/>
    <w:rsid w:val="4D257B59"/>
    <w:rsid w:val="4D2717ED"/>
    <w:rsid w:val="4D31441A"/>
    <w:rsid w:val="4D352FBB"/>
    <w:rsid w:val="4D36558C"/>
    <w:rsid w:val="4D3A507C"/>
    <w:rsid w:val="4D3B0DF4"/>
    <w:rsid w:val="4D4B1038"/>
    <w:rsid w:val="4D534390"/>
    <w:rsid w:val="4D573E80"/>
    <w:rsid w:val="4D5A26ED"/>
    <w:rsid w:val="4D671BE9"/>
    <w:rsid w:val="4D7D31BB"/>
    <w:rsid w:val="4D7F313C"/>
    <w:rsid w:val="4D814A59"/>
    <w:rsid w:val="4D826A23"/>
    <w:rsid w:val="4D8A7D75"/>
    <w:rsid w:val="4D8C21E4"/>
    <w:rsid w:val="4D9609C0"/>
    <w:rsid w:val="4D970BDA"/>
    <w:rsid w:val="4D9A5F44"/>
    <w:rsid w:val="4D9C5D37"/>
    <w:rsid w:val="4D9C7AE5"/>
    <w:rsid w:val="4DA0086E"/>
    <w:rsid w:val="4DB120F1"/>
    <w:rsid w:val="4DB97EEA"/>
    <w:rsid w:val="4DBA55D7"/>
    <w:rsid w:val="4DBF5ADD"/>
    <w:rsid w:val="4DCD2784"/>
    <w:rsid w:val="4DD3433F"/>
    <w:rsid w:val="4DD70B1D"/>
    <w:rsid w:val="4DD83673"/>
    <w:rsid w:val="4DD84F19"/>
    <w:rsid w:val="4DDA23BB"/>
    <w:rsid w:val="4DED405F"/>
    <w:rsid w:val="4DFC4A28"/>
    <w:rsid w:val="4DFE100B"/>
    <w:rsid w:val="4DFF3A26"/>
    <w:rsid w:val="4E0518BE"/>
    <w:rsid w:val="4E094A4F"/>
    <w:rsid w:val="4E141D71"/>
    <w:rsid w:val="4E154438"/>
    <w:rsid w:val="4E173610"/>
    <w:rsid w:val="4E1C36B2"/>
    <w:rsid w:val="4E1F5D76"/>
    <w:rsid w:val="4E283CCC"/>
    <w:rsid w:val="4E2C7CEC"/>
    <w:rsid w:val="4E2E44B5"/>
    <w:rsid w:val="4E437F61"/>
    <w:rsid w:val="4E472EFD"/>
    <w:rsid w:val="4E487C6D"/>
    <w:rsid w:val="4E4D5283"/>
    <w:rsid w:val="4E50182D"/>
    <w:rsid w:val="4E573A0C"/>
    <w:rsid w:val="4E591146"/>
    <w:rsid w:val="4E5A0417"/>
    <w:rsid w:val="4E5E0644"/>
    <w:rsid w:val="4E5E4D9B"/>
    <w:rsid w:val="4E613247"/>
    <w:rsid w:val="4E676345"/>
    <w:rsid w:val="4E6A78E3"/>
    <w:rsid w:val="4E6D76D3"/>
    <w:rsid w:val="4E7F1E16"/>
    <w:rsid w:val="4E8011B5"/>
    <w:rsid w:val="4E832A53"/>
    <w:rsid w:val="4E84409D"/>
    <w:rsid w:val="4E864E4A"/>
    <w:rsid w:val="4E8A2033"/>
    <w:rsid w:val="4E8A391E"/>
    <w:rsid w:val="4E916F1E"/>
    <w:rsid w:val="4E9A33F8"/>
    <w:rsid w:val="4E9D675B"/>
    <w:rsid w:val="4E9E788D"/>
    <w:rsid w:val="4EA604F0"/>
    <w:rsid w:val="4EA60AE2"/>
    <w:rsid w:val="4EA824BA"/>
    <w:rsid w:val="4EAE7D34"/>
    <w:rsid w:val="4EB23A37"/>
    <w:rsid w:val="4EB70D01"/>
    <w:rsid w:val="4EB943FF"/>
    <w:rsid w:val="4EBE7F2F"/>
    <w:rsid w:val="4EC42650"/>
    <w:rsid w:val="4EC866B8"/>
    <w:rsid w:val="4ED137BE"/>
    <w:rsid w:val="4ED80FF1"/>
    <w:rsid w:val="4EEE35FC"/>
    <w:rsid w:val="4EEE3858"/>
    <w:rsid w:val="4EEE4670"/>
    <w:rsid w:val="4EFA642B"/>
    <w:rsid w:val="4EFD0A57"/>
    <w:rsid w:val="4EFE1926"/>
    <w:rsid w:val="4F021BCA"/>
    <w:rsid w:val="4F082F58"/>
    <w:rsid w:val="4F0911AA"/>
    <w:rsid w:val="4F0B3174"/>
    <w:rsid w:val="4F1B0EDE"/>
    <w:rsid w:val="4F2204BE"/>
    <w:rsid w:val="4F22226C"/>
    <w:rsid w:val="4F2550A7"/>
    <w:rsid w:val="4F271630"/>
    <w:rsid w:val="4F29644A"/>
    <w:rsid w:val="4F2F71CE"/>
    <w:rsid w:val="4F351F9F"/>
    <w:rsid w:val="4F3673B2"/>
    <w:rsid w:val="4F3A5808"/>
    <w:rsid w:val="4F42736E"/>
    <w:rsid w:val="4F440434"/>
    <w:rsid w:val="4F455F5A"/>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25169"/>
    <w:rsid w:val="4FE57280"/>
    <w:rsid w:val="4FE74643"/>
    <w:rsid w:val="4FE92D8A"/>
    <w:rsid w:val="4FEE03A0"/>
    <w:rsid w:val="4FEE214E"/>
    <w:rsid w:val="500534E4"/>
    <w:rsid w:val="500B0F52"/>
    <w:rsid w:val="501B6702"/>
    <w:rsid w:val="5023004A"/>
    <w:rsid w:val="5028057C"/>
    <w:rsid w:val="50283464"/>
    <w:rsid w:val="502913D8"/>
    <w:rsid w:val="502D711A"/>
    <w:rsid w:val="50360CF1"/>
    <w:rsid w:val="50373AF5"/>
    <w:rsid w:val="503B4D47"/>
    <w:rsid w:val="503C55AF"/>
    <w:rsid w:val="503D78E7"/>
    <w:rsid w:val="50454464"/>
    <w:rsid w:val="50463D38"/>
    <w:rsid w:val="504B75A0"/>
    <w:rsid w:val="504D156B"/>
    <w:rsid w:val="505446A7"/>
    <w:rsid w:val="505508C7"/>
    <w:rsid w:val="5066378B"/>
    <w:rsid w:val="50680152"/>
    <w:rsid w:val="506B7C43"/>
    <w:rsid w:val="5073162E"/>
    <w:rsid w:val="507718E7"/>
    <w:rsid w:val="5088616F"/>
    <w:rsid w:val="508A78F6"/>
    <w:rsid w:val="50935E3E"/>
    <w:rsid w:val="50964CC0"/>
    <w:rsid w:val="509B4084"/>
    <w:rsid w:val="509E35B3"/>
    <w:rsid w:val="509E6042"/>
    <w:rsid w:val="50A834F9"/>
    <w:rsid w:val="50A867A1"/>
    <w:rsid w:val="50BC0A37"/>
    <w:rsid w:val="50C86E43"/>
    <w:rsid w:val="50CA1482"/>
    <w:rsid w:val="50D91050"/>
    <w:rsid w:val="50DA1EA9"/>
    <w:rsid w:val="50E64204"/>
    <w:rsid w:val="50F10148"/>
    <w:rsid w:val="50F62A03"/>
    <w:rsid w:val="50F6575E"/>
    <w:rsid w:val="51052F88"/>
    <w:rsid w:val="51071719"/>
    <w:rsid w:val="510812ED"/>
    <w:rsid w:val="510F05CE"/>
    <w:rsid w:val="51102E68"/>
    <w:rsid w:val="511E1C85"/>
    <w:rsid w:val="51237D1B"/>
    <w:rsid w:val="51273B6A"/>
    <w:rsid w:val="5135416D"/>
    <w:rsid w:val="51354F21"/>
    <w:rsid w:val="5139389D"/>
    <w:rsid w:val="51450494"/>
    <w:rsid w:val="5148635A"/>
    <w:rsid w:val="514A2BEA"/>
    <w:rsid w:val="51570E30"/>
    <w:rsid w:val="515A3F3F"/>
    <w:rsid w:val="515B3813"/>
    <w:rsid w:val="515E35EA"/>
    <w:rsid w:val="5165265C"/>
    <w:rsid w:val="51660C4E"/>
    <w:rsid w:val="517B5543"/>
    <w:rsid w:val="51814FF7"/>
    <w:rsid w:val="51870F9F"/>
    <w:rsid w:val="51890380"/>
    <w:rsid w:val="51905BB3"/>
    <w:rsid w:val="51932B62"/>
    <w:rsid w:val="5193320B"/>
    <w:rsid w:val="5197340C"/>
    <w:rsid w:val="51A52CE0"/>
    <w:rsid w:val="51A56620"/>
    <w:rsid w:val="51A6769A"/>
    <w:rsid w:val="51B1657A"/>
    <w:rsid w:val="51B24883"/>
    <w:rsid w:val="51B573C7"/>
    <w:rsid w:val="51C4760A"/>
    <w:rsid w:val="51C770FB"/>
    <w:rsid w:val="51C963A9"/>
    <w:rsid w:val="51D84F57"/>
    <w:rsid w:val="51DA47E6"/>
    <w:rsid w:val="51DB6702"/>
    <w:rsid w:val="51DC2BA6"/>
    <w:rsid w:val="51DF2696"/>
    <w:rsid w:val="51E44D95"/>
    <w:rsid w:val="51E63A25"/>
    <w:rsid w:val="51E67581"/>
    <w:rsid w:val="51EC3196"/>
    <w:rsid w:val="51ED6AE7"/>
    <w:rsid w:val="51EE6435"/>
    <w:rsid w:val="51F55A16"/>
    <w:rsid w:val="51F7178E"/>
    <w:rsid w:val="51F872B4"/>
    <w:rsid w:val="51FE1078"/>
    <w:rsid w:val="5208140D"/>
    <w:rsid w:val="5209326F"/>
    <w:rsid w:val="52121225"/>
    <w:rsid w:val="52124677"/>
    <w:rsid w:val="52131388"/>
    <w:rsid w:val="52132340"/>
    <w:rsid w:val="5219128C"/>
    <w:rsid w:val="521A09E9"/>
    <w:rsid w:val="521C11F4"/>
    <w:rsid w:val="521F0E9F"/>
    <w:rsid w:val="521F2A93"/>
    <w:rsid w:val="52215EB7"/>
    <w:rsid w:val="5224454D"/>
    <w:rsid w:val="52293911"/>
    <w:rsid w:val="522C1839"/>
    <w:rsid w:val="52365E7C"/>
    <w:rsid w:val="523D061E"/>
    <w:rsid w:val="523D2BA6"/>
    <w:rsid w:val="52410C5B"/>
    <w:rsid w:val="5241571A"/>
    <w:rsid w:val="5247502A"/>
    <w:rsid w:val="524810FD"/>
    <w:rsid w:val="524A1D12"/>
    <w:rsid w:val="524A3FB4"/>
    <w:rsid w:val="524F0F10"/>
    <w:rsid w:val="525724B6"/>
    <w:rsid w:val="525E49D2"/>
    <w:rsid w:val="52604D9A"/>
    <w:rsid w:val="52635075"/>
    <w:rsid w:val="52647E18"/>
    <w:rsid w:val="52650DED"/>
    <w:rsid w:val="52713EA2"/>
    <w:rsid w:val="52721487"/>
    <w:rsid w:val="5273095F"/>
    <w:rsid w:val="527479A1"/>
    <w:rsid w:val="527E104E"/>
    <w:rsid w:val="528562D1"/>
    <w:rsid w:val="5287270C"/>
    <w:rsid w:val="528743F2"/>
    <w:rsid w:val="528B0128"/>
    <w:rsid w:val="528D1497"/>
    <w:rsid w:val="529B29C3"/>
    <w:rsid w:val="529C0587"/>
    <w:rsid w:val="52A5743C"/>
    <w:rsid w:val="52A7285B"/>
    <w:rsid w:val="52AD62F0"/>
    <w:rsid w:val="52AE4D91"/>
    <w:rsid w:val="52B56FC4"/>
    <w:rsid w:val="52BD2BB7"/>
    <w:rsid w:val="52C11D9C"/>
    <w:rsid w:val="52CD6993"/>
    <w:rsid w:val="52D12EE6"/>
    <w:rsid w:val="52D25057"/>
    <w:rsid w:val="52D40323"/>
    <w:rsid w:val="52D93896"/>
    <w:rsid w:val="52DE08E5"/>
    <w:rsid w:val="52DE3D21"/>
    <w:rsid w:val="52EB2845"/>
    <w:rsid w:val="52FA7D19"/>
    <w:rsid w:val="52FF1A0D"/>
    <w:rsid w:val="53071EA5"/>
    <w:rsid w:val="530F19CD"/>
    <w:rsid w:val="530F48B5"/>
    <w:rsid w:val="531279FD"/>
    <w:rsid w:val="531E71EE"/>
    <w:rsid w:val="532B497C"/>
    <w:rsid w:val="532E6CBF"/>
    <w:rsid w:val="533345A7"/>
    <w:rsid w:val="53446C55"/>
    <w:rsid w:val="534D53DE"/>
    <w:rsid w:val="534E1882"/>
    <w:rsid w:val="53517035"/>
    <w:rsid w:val="53542C10"/>
    <w:rsid w:val="53591FD4"/>
    <w:rsid w:val="536760AB"/>
    <w:rsid w:val="536820F1"/>
    <w:rsid w:val="536C1D08"/>
    <w:rsid w:val="53841959"/>
    <w:rsid w:val="538B76B7"/>
    <w:rsid w:val="538D450E"/>
    <w:rsid w:val="53906E78"/>
    <w:rsid w:val="539D57CC"/>
    <w:rsid w:val="53B22D76"/>
    <w:rsid w:val="53BA12AA"/>
    <w:rsid w:val="53BC2E44"/>
    <w:rsid w:val="53BF05EA"/>
    <w:rsid w:val="53BF62DB"/>
    <w:rsid w:val="53C47D96"/>
    <w:rsid w:val="53CB1124"/>
    <w:rsid w:val="53DB1AFB"/>
    <w:rsid w:val="53E73A84"/>
    <w:rsid w:val="53E93358"/>
    <w:rsid w:val="53EA42FA"/>
    <w:rsid w:val="53F341D7"/>
    <w:rsid w:val="53FB3968"/>
    <w:rsid w:val="54041F40"/>
    <w:rsid w:val="54120B01"/>
    <w:rsid w:val="541250CE"/>
    <w:rsid w:val="54164915"/>
    <w:rsid w:val="541805B7"/>
    <w:rsid w:val="541C1CA1"/>
    <w:rsid w:val="544762D1"/>
    <w:rsid w:val="544B5DC1"/>
    <w:rsid w:val="54584EB6"/>
    <w:rsid w:val="54596D50"/>
    <w:rsid w:val="545F25C6"/>
    <w:rsid w:val="5463135D"/>
    <w:rsid w:val="54686973"/>
    <w:rsid w:val="547A0454"/>
    <w:rsid w:val="547B1550"/>
    <w:rsid w:val="54801E0A"/>
    <w:rsid w:val="548A51C4"/>
    <w:rsid w:val="54913B60"/>
    <w:rsid w:val="549412E0"/>
    <w:rsid w:val="549A4653"/>
    <w:rsid w:val="54A92AE8"/>
    <w:rsid w:val="54A947EB"/>
    <w:rsid w:val="54AB7258"/>
    <w:rsid w:val="54AD082A"/>
    <w:rsid w:val="54AE00FE"/>
    <w:rsid w:val="54B43966"/>
    <w:rsid w:val="54B5148C"/>
    <w:rsid w:val="54C17E31"/>
    <w:rsid w:val="54C65448"/>
    <w:rsid w:val="54C96B57"/>
    <w:rsid w:val="54D050DC"/>
    <w:rsid w:val="54D264E2"/>
    <w:rsid w:val="54D33113"/>
    <w:rsid w:val="54DF6509"/>
    <w:rsid w:val="54E04A17"/>
    <w:rsid w:val="54E405A7"/>
    <w:rsid w:val="54E44CA2"/>
    <w:rsid w:val="54F55D2D"/>
    <w:rsid w:val="54F57475"/>
    <w:rsid w:val="54F6391C"/>
    <w:rsid w:val="54FC70BB"/>
    <w:rsid w:val="54FD6B73"/>
    <w:rsid w:val="55006BAB"/>
    <w:rsid w:val="5503449C"/>
    <w:rsid w:val="5518601D"/>
    <w:rsid w:val="55216B22"/>
    <w:rsid w:val="55225714"/>
    <w:rsid w:val="55276B2C"/>
    <w:rsid w:val="55281597"/>
    <w:rsid w:val="55313209"/>
    <w:rsid w:val="553C69B2"/>
    <w:rsid w:val="55400FE4"/>
    <w:rsid w:val="5543118E"/>
    <w:rsid w:val="55473A9D"/>
    <w:rsid w:val="554E0454"/>
    <w:rsid w:val="554F368F"/>
    <w:rsid w:val="55517407"/>
    <w:rsid w:val="5555007B"/>
    <w:rsid w:val="555714B5"/>
    <w:rsid w:val="55676E3B"/>
    <w:rsid w:val="556E620B"/>
    <w:rsid w:val="556E7630"/>
    <w:rsid w:val="55744268"/>
    <w:rsid w:val="55780E38"/>
    <w:rsid w:val="5580322B"/>
    <w:rsid w:val="55825812"/>
    <w:rsid w:val="55827531"/>
    <w:rsid w:val="5583514A"/>
    <w:rsid w:val="55886BA1"/>
    <w:rsid w:val="558A69EE"/>
    <w:rsid w:val="559E0611"/>
    <w:rsid w:val="55A44845"/>
    <w:rsid w:val="55A93125"/>
    <w:rsid w:val="55BE4C30"/>
    <w:rsid w:val="55C367C2"/>
    <w:rsid w:val="55C617FA"/>
    <w:rsid w:val="55CA71B9"/>
    <w:rsid w:val="55CB6E0A"/>
    <w:rsid w:val="55CD4BC0"/>
    <w:rsid w:val="55D14D5F"/>
    <w:rsid w:val="55D1679A"/>
    <w:rsid w:val="55E243C4"/>
    <w:rsid w:val="55E3446D"/>
    <w:rsid w:val="55EC2C79"/>
    <w:rsid w:val="55EE2EA8"/>
    <w:rsid w:val="55F61D5C"/>
    <w:rsid w:val="560256B0"/>
    <w:rsid w:val="560908AB"/>
    <w:rsid w:val="56093396"/>
    <w:rsid w:val="56116B96"/>
    <w:rsid w:val="561D553B"/>
    <w:rsid w:val="562543F0"/>
    <w:rsid w:val="56264966"/>
    <w:rsid w:val="56283049"/>
    <w:rsid w:val="562E610E"/>
    <w:rsid w:val="56310FE7"/>
    <w:rsid w:val="563665FD"/>
    <w:rsid w:val="564C5E20"/>
    <w:rsid w:val="564C7BCE"/>
    <w:rsid w:val="564E1B99"/>
    <w:rsid w:val="56521689"/>
    <w:rsid w:val="565D5647"/>
    <w:rsid w:val="5664616C"/>
    <w:rsid w:val="56665134"/>
    <w:rsid w:val="566B3616"/>
    <w:rsid w:val="566C5776"/>
    <w:rsid w:val="566E184F"/>
    <w:rsid w:val="566E3FE9"/>
    <w:rsid w:val="5671018D"/>
    <w:rsid w:val="567315FF"/>
    <w:rsid w:val="5675239F"/>
    <w:rsid w:val="56763AC6"/>
    <w:rsid w:val="56834F0D"/>
    <w:rsid w:val="56884DC7"/>
    <w:rsid w:val="56916F31"/>
    <w:rsid w:val="5697709C"/>
    <w:rsid w:val="56A05E3F"/>
    <w:rsid w:val="56A731E6"/>
    <w:rsid w:val="56A8574D"/>
    <w:rsid w:val="56AA0510"/>
    <w:rsid w:val="56C42B77"/>
    <w:rsid w:val="56D0330B"/>
    <w:rsid w:val="56D24DB9"/>
    <w:rsid w:val="56D33179"/>
    <w:rsid w:val="56DE2CEF"/>
    <w:rsid w:val="56E8798C"/>
    <w:rsid w:val="56EB6620"/>
    <w:rsid w:val="56EE21B9"/>
    <w:rsid w:val="56F23EB5"/>
    <w:rsid w:val="56F42740"/>
    <w:rsid w:val="57056FEA"/>
    <w:rsid w:val="57064F84"/>
    <w:rsid w:val="571C6B19"/>
    <w:rsid w:val="5726160C"/>
    <w:rsid w:val="572B2E52"/>
    <w:rsid w:val="57312FF3"/>
    <w:rsid w:val="57323081"/>
    <w:rsid w:val="57354828"/>
    <w:rsid w:val="57403E9E"/>
    <w:rsid w:val="57480FB9"/>
    <w:rsid w:val="574F3973"/>
    <w:rsid w:val="5755458A"/>
    <w:rsid w:val="57555A3D"/>
    <w:rsid w:val="575753AE"/>
    <w:rsid w:val="575C2093"/>
    <w:rsid w:val="57604227"/>
    <w:rsid w:val="57672F12"/>
    <w:rsid w:val="576942DD"/>
    <w:rsid w:val="57697B57"/>
    <w:rsid w:val="576B0DA0"/>
    <w:rsid w:val="577332BA"/>
    <w:rsid w:val="57783371"/>
    <w:rsid w:val="57791C46"/>
    <w:rsid w:val="577B33D6"/>
    <w:rsid w:val="57833AC4"/>
    <w:rsid w:val="578C6155"/>
    <w:rsid w:val="578F0028"/>
    <w:rsid w:val="578F4217"/>
    <w:rsid w:val="57917F8F"/>
    <w:rsid w:val="57953B57"/>
    <w:rsid w:val="57983560"/>
    <w:rsid w:val="579A524A"/>
    <w:rsid w:val="579D7124"/>
    <w:rsid w:val="579E445A"/>
    <w:rsid w:val="57A51C8C"/>
    <w:rsid w:val="57AE4CCA"/>
    <w:rsid w:val="57B22417"/>
    <w:rsid w:val="57B3383E"/>
    <w:rsid w:val="57BB500C"/>
    <w:rsid w:val="57C00874"/>
    <w:rsid w:val="57C749E0"/>
    <w:rsid w:val="57C927A7"/>
    <w:rsid w:val="57CB25AC"/>
    <w:rsid w:val="57CB45C0"/>
    <w:rsid w:val="57D6077A"/>
    <w:rsid w:val="57E31C08"/>
    <w:rsid w:val="57E502DB"/>
    <w:rsid w:val="57E83927"/>
    <w:rsid w:val="57E866C9"/>
    <w:rsid w:val="57EE3633"/>
    <w:rsid w:val="57F0234F"/>
    <w:rsid w:val="57F03FAE"/>
    <w:rsid w:val="57F66044"/>
    <w:rsid w:val="57FA3D86"/>
    <w:rsid w:val="580469B3"/>
    <w:rsid w:val="580544D9"/>
    <w:rsid w:val="58056CEC"/>
    <w:rsid w:val="580F0297"/>
    <w:rsid w:val="582232DD"/>
    <w:rsid w:val="58227637"/>
    <w:rsid w:val="583628E4"/>
    <w:rsid w:val="58376A76"/>
    <w:rsid w:val="584419C0"/>
    <w:rsid w:val="584A6390"/>
    <w:rsid w:val="585C3C2E"/>
    <w:rsid w:val="585F1E3B"/>
    <w:rsid w:val="586966C6"/>
    <w:rsid w:val="586B764B"/>
    <w:rsid w:val="58754A86"/>
    <w:rsid w:val="58782EFD"/>
    <w:rsid w:val="58787F0A"/>
    <w:rsid w:val="5886709C"/>
    <w:rsid w:val="588840E5"/>
    <w:rsid w:val="58893856"/>
    <w:rsid w:val="588A1893"/>
    <w:rsid w:val="588B0E82"/>
    <w:rsid w:val="588C4D06"/>
    <w:rsid w:val="588F1D73"/>
    <w:rsid w:val="58913FBE"/>
    <w:rsid w:val="58937D37"/>
    <w:rsid w:val="589406EF"/>
    <w:rsid w:val="58977AC0"/>
    <w:rsid w:val="589C6BEB"/>
    <w:rsid w:val="589F0489"/>
    <w:rsid w:val="58A401B3"/>
    <w:rsid w:val="58A65CBC"/>
    <w:rsid w:val="58AC2BA6"/>
    <w:rsid w:val="58B02697"/>
    <w:rsid w:val="58B06B3A"/>
    <w:rsid w:val="58B40D71"/>
    <w:rsid w:val="58C85C32"/>
    <w:rsid w:val="58CA7BFC"/>
    <w:rsid w:val="58CD492B"/>
    <w:rsid w:val="58D04AE7"/>
    <w:rsid w:val="58D14644"/>
    <w:rsid w:val="58DD0FB2"/>
    <w:rsid w:val="58DF11CE"/>
    <w:rsid w:val="58DF1F01"/>
    <w:rsid w:val="58E16CF4"/>
    <w:rsid w:val="58E721D7"/>
    <w:rsid w:val="58F52598"/>
    <w:rsid w:val="58F72073"/>
    <w:rsid w:val="59026E45"/>
    <w:rsid w:val="59044790"/>
    <w:rsid w:val="590645DA"/>
    <w:rsid w:val="59107818"/>
    <w:rsid w:val="59172716"/>
    <w:rsid w:val="591E5852"/>
    <w:rsid w:val="591F15CA"/>
    <w:rsid w:val="59247DA9"/>
    <w:rsid w:val="59295D87"/>
    <w:rsid w:val="593212FE"/>
    <w:rsid w:val="593705EE"/>
    <w:rsid w:val="593F279A"/>
    <w:rsid w:val="5942286C"/>
    <w:rsid w:val="59457283"/>
    <w:rsid w:val="594A2253"/>
    <w:rsid w:val="59594959"/>
    <w:rsid w:val="595F4F33"/>
    <w:rsid w:val="59611522"/>
    <w:rsid w:val="59622119"/>
    <w:rsid w:val="59653481"/>
    <w:rsid w:val="59682B80"/>
    <w:rsid w:val="597569E8"/>
    <w:rsid w:val="5980662B"/>
    <w:rsid w:val="598F6750"/>
    <w:rsid w:val="59973856"/>
    <w:rsid w:val="599C0E6D"/>
    <w:rsid w:val="599C6D5A"/>
    <w:rsid w:val="599E145F"/>
    <w:rsid w:val="59A0270B"/>
    <w:rsid w:val="59A05551"/>
    <w:rsid w:val="59A26483"/>
    <w:rsid w:val="59A77780"/>
    <w:rsid w:val="59B63CDD"/>
    <w:rsid w:val="59C74AA1"/>
    <w:rsid w:val="59C94DFC"/>
    <w:rsid w:val="59CC0CC5"/>
    <w:rsid w:val="59D800F7"/>
    <w:rsid w:val="59DD205E"/>
    <w:rsid w:val="59E22D24"/>
    <w:rsid w:val="59E239D9"/>
    <w:rsid w:val="59E52814"/>
    <w:rsid w:val="59E62A83"/>
    <w:rsid w:val="59E655B4"/>
    <w:rsid w:val="59E81184"/>
    <w:rsid w:val="59EC5B9C"/>
    <w:rsid w:val="59EF5441"/>
    <w:rsid w:val="59F033A8"/>
    <w:rsid w:val="59F34F31"/>
    <w:rsid w:val="59F9006D"/>
    <w:rsid w:val="5A001125"/>
    <w:rsid w:val="5A094754"/>
    <w:rsid w:val="5A127C5A"/>
    <w:rsid w:val="5A18742D"/>
    <w:rsid w:val="5A230CE7"/>
    <w:rsid w:val="5A366373"/>
    <w:rsid w:val="5A3A1404"/>
    <w:rsid w:val="5A3A2B60"/>
    <w:rsid w:val="5A3B5F77"/>
    <w:rsid w:val="5A405CDC"/>
    <w:rsid w:val="5A470DD9"/>
    <w:rsid w:val="5A4E2167"/>
    <w:rsid w:val="5A532C1D"/>
    <w:rsid w:val="5A557999"/>
    <w:rsid w:val="5A567D10"/>
    <w:rsid w:val="5A582FE6"/>
    <w:rsid w:val="5A59655A"/>
    <w:rsid w:val="5A5B4884"/>
    <w:rsid w:val="5A5C0554"/>
    <w:rsid w:val="5A61633E"/>
    <w:rsid w:val="5A663955"/>
    <w:rsid w:val="5A771D26"/>
    <w:rsid w:val="5A7A7400"/>
    <w:rsid w:val="5A7C027A"/>
    <w:rsid w:val="5A800A58"/>
    <w:rsid w:val="5A805270"/>
    <w:rsid w:val="5A8941AD"/>
    <w:rsid w:val="5A8C4D66"/>
    <w:rsid w:val="5A8D38C7"/>
    <w:rsid w:val="5A90452E"/>
    <w:rsid w:val="5A9B1124"/>
    <w:rsid w:val="5AA65849"/>
    <w:rsid w:val="5AAE0E58"/>
    <w:rsid w:val="5AB45570"/>
    <w:rsid w:val="5AB6080C"/>
    <w:rsid w:val="5AB946B3"/>
    <w:rsid w:val="5ABA5A4E"/>
    <w:rsid w:val="5ABA77FD"/>
    <w:rsid w:val="5AC01B9F"/>
    <w:rsid w:val="5ACB1A0A"/>
    <w:rsid w:val="5ACD73E4"/>
    <w:rsid w:val="5AD92379"/>
    <w:rsid w:val="5AE12973"/>
    <w:rsid w:val="5AEE1C72"/>
    <w:rsid w:val="5AEE56F8"/>
    <w:rsid w:val="5AF30D97"/>
    <w:rsid w:val="5AF656AC"/>
    <w:rsid w:val="5AF80325"/>
    <w:rsid w:val="5AFC7E15"/>
    <w:rsid w:val="5B013B70"/>
    <w:rsid w:val="5B0865DE"/>
    <w:rsid w:val="5B0867BA"/>
    <w:rsid w:val="5B092532"/>
    <w:rsid w:val="5B0E0F0F"/>
    <w:rsid w:val="5B10566E"/>
    <w:rsid w:val="5B13515F"/>
    <w:rsid w:val="5B174C4F"/>
    <w:rsid w:val="5B215CCF"/>
    <w:rsid w:val="5B250C85"/>
    <w:rsid w:val="5B2E2399"/>
    <w:rsid w:val="5B2E29E9"/>
    <w:rsid w:val="5B313258"/>
    <w:rsid w:val="5B321A89"/>
    <w:rsid w:val="5B3D5BBC"/>
    <w:rsid w:val="5B3D5C55"/>
    <w:rsid w:val="5B411AA7"/>
    <w:rsid w:val="5B445318"/>
    <w:rsid w:val="5B5075BB"/>
    <w:rsid w:val="5B56652C"/>
    <w:rsid w:val="5B591312"/>
    <w:rsid w:val="5B6360E6"/>
    <w:rsid w:val="5B651126"/>
    <w:rsid w:val="5B7A1F69"/>
    <w:rsid w:val="5B7E704A"/>
    <w:rsid w:val="5B876AF2"/>
    <w:rsid w:val="5B8D3163"/>
    <w:rsid w:val="5B8D3C5B"/>
    <w:rsid w:val="5B98227D"/>
    <w:rsid w:val="5B9F6CF3"/>
    <w:rsid w:val="5BA92D4B"/>
    <w:rsid w:val="5BB10F3C"/>
    <w:rsid w:val="5BB4164A"/>
    <w:rsid w:val="5BC87CF7"/>
    <w:rsid w:val="5BD3501A"/>
    <w:rsid w:val="5BD4669C"/>
    <w:rsid w:val="5BD710E2"/>
    <w:rsid w:val="5BD90156"/>
    <w:rsid w:val="5BD90F85"/>
    <w:rsid w:val="5BDE751B"/>
    <w:rsid w:val="5BE30FD5"/>
    <w:rsid w:val="5BE70AC5"/>
    <w:rsid w:val="5BE74621"/>
    <w:rsid w:val="5BF67C29"/>
    <w:rsid w:val="5BF907F8"/>
    <w:rsid w:val="5BFE7BBD"/>
    <w:rsid w:val="5C034C57"/>
    <w:rsid w:val="5C035904"/>
    <w:rsid w:val="5C071628"/>
    <w:rsid w:val="5C074CC3"/>
    <w:rsid w:val="5C090374"/>
    <w:rsid w:val="5C1413D9"/>
    <w:rsid w:val="5C1E2373"/>
    <w:rsid w:val="5C1E3DBB"/>
    <w:rsid w:val="5C2C7992"/>
    <w:rsid w:val="5C311D40"/>
    <w:rsid w:val="5C361105"/>
    <w:rsid w:val="5C3D2493"/>
    <w:rsid w:val="5C3D41F1"/>
    <w:rsid w:val="5C3D6E97"/>
    <w:rsid w:val="5C45234C"/>
    <w:rsid w:val="5C5B500F"/>
    <w:rsid w:val="5C5D48E3"/>
    <w:rsid w:val="5C5F065B"/>
    <w:rsid w:val="5C635083"/>
    <w:rsid w:val="5C69772C"/>
    <w:rsid w:val="5C6F0828"/>
    <w:rsid w:val="5C743C9D"/>
    <w:rsid w:val="5C7D5F8B"/>
    <w:rsid w:val="5C871960"/>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D65F8E"/>
    <w:rsid w:val="5CD70F3A"/>
    <w:rsid w:val="5CD821BC"/>
    <w:rsid w:val="5CDA3F26"/>
    <w:rsid w:val="5CDB3C64"/>
    <w:rsid w:val="5CDD2041"/>
    <w:rsid w:val="5CDD33AE"/>
    <w:rsid w:val="5CE34071"/>
    <w:rsid w:val="5CED210B"/>
    <w:rsid w:val="5CF0446B"/>
    <w:rsid w:val="5CF52D6E"/>
    <w:rsid w:val="5CF54B1C"/>
    <w:rsid w:val="5CF80AB0"/>
    <w:rsid w:val="5D02030B"/>
    <w:rsid w:val="5D084E39"/>
    <w:rsid w:val="5D0964D7"/>
    <w:rsid w:val="5D105CF8"/>
    <w:rsid w:val="5D210677"/>
    <w:rsid w:val="5D2A4D65"/>
    <w:rsid w:val="5D2C42B6"/>
    <w:rsid w:val="5D331AE8"/>
    <w:rsid w:val="5D3851D3"/>
    <w:rsid w:val="5D423AD9"/>
    <w:rsid w:val="5D4D63B1"/>
    <w:rsid w:val="5D4E06D0"/>
    <w:rsid w:val="5D502E32"/>
    <w:rsid w:val="5D585F07"/>
    <w:rsid w:val="5D6A27A8"/>
    <w:rsid w:val="5D752101"/>
    <w:rsid w:val="5D75259B"/>
    <w:rsid w:val="5D861BCD"/>
    <w:rsid w:val="5D88074A"/>
    <w:rsid w:val="5D980AA8"/>
    <w:rsid w:val="5D985696"/>
    <w:rsid w:val="5D9869B0"/>
    <w:rsid w:val="5D9D6994"/>
    <w:rsid w:val="5DA14CA4"/>
    <w:rsid w:val="5DA6050C"/>
    <w:rsid w:val="5DA64068"/>
    <w:rsid w:val="5DAB78D0"/>
    <w:rsid w:val="5DAD3E49"/>
    <w:rsid w:val="5DAE2321"/>
    <w:rsid w:val="5DBC5ECC"/>
    <w:rsid w:val="5DC32E6C"/>
    <w:rsid w:val="5DC343F9"/>
    <w:rsid w:val="5DC35E00"/>
    <w:rsid w:val="5DD07AF4"/>
    <w:rsid w:val="5DE2248A"/>
    <w:rsid w:val="5DE54B90"/>
    <w:rsid w:val="5DEA4642"/>
    <w:rsid w:val="5DEE0041"/>
    <w:rsid w:val="5DFC1EDA"/>
    <w:rsid w:val="5E0016D0"/>
    <w:rsid w:val="5E0A6536"/>
    <w:rsid w:val="5E0F7E5F"/>
    <w:rsid w:val="5E1324AC"/>
    <w:rsid w:val="5E162F9C"/>
    <w:rsid w:val="5E1B1BA1"/>
    <w:rsid w:val="5E1D74C3"/>
    <w:rsid w:val="5E1E4546"/>
    <w:rsid w:val="5E1F63A1"/>
    <w:rsid w:val="5E231B5D"/>
    <w:rsid w:val="5E2356B9"/>
    <w:rsid w:val="5E246C69"/>
    <w:rsid w:val="5E2A529A"/>
    <w:rsid w:val="5E3476C9"/>
    <w:rsid w:val="5E361890"/>
    <w:rsid w:val="5E36363E"/>
    <w:rsid w:val="5E3D224D"/>
    <w:rsid w:val="5E3E7882"/>
    <w:rsid w:val="5E4E4E2C"/>
    <w:rsid w:val="5E4E6BDA"/>
    <w:rsid w:val="5E4F1664"/>
    <w:rsid w:val="5E4F64AE"/>
    <w:rsid w:val="5E5D4D99"/>
    <w:rsid w:val="5E6A153A"/>
    <w:rsid w:val="5E7E6701"/>
    <w:rsid w:val="5E841E57"/>
    <w:rsid w:val="5E8545C5"/>
    <w:rsid w:val="5E856373"/>
    <w:rsid w:val="5E9219AA"/>
    <w:rsid w:val="5E954808"/>
    <w:rsid w:val="5E9640DD"/>
    <w:rsid w:val="5E97383C"/>
    <w:rsid w:val="5EA42C9D"/>
    <w:rsid w:val="5EA507C4"/>
    <w:rsid w:val="5EB2004A"/>
    <w:rsid w:val="5EB32EE1"/>
    <w:rsid w:val="5EC46929"/>
    <w:rsid w:val="5ED35331"/>
    <w:rsid w:val="5ED52E57"/>
    <w:rsid w:val="5EDF5A84"/>
    <w:rsid w:val="5EE94B54"/>
    <w:rsid w:val="5EF05EE3"/>
    <w:rsid w:val="5EF57137"/>
    <w:rsid w:val="5EFE6E42"/>
    <w:rsid w:val="5F054FBD"/>
    <w:rsid w:val="5F0B3395"/>
    <w:rsid w:val="5F107AA7"/>
    <w:rsid w:val="5F1B3A4B"/>
    <w:rsid w:val="5F1D035A"/>
    <w:rsid w:val="5F240F6E"/>
    <w:rsid w:val="5F25151C"/>
    <w:rsid w:val="5F2F2747"/>
    <w:rsid w:val="5F304531"/>
    <w:rsid w:val="5F3131CD"/>
    <w:rsid w:val="5F335DCF"/>
    <w:rsid w:val="5F354FCC"/>
    <w:rsid w:val="5F381638"/>
    <w:rsid w:val="5F3A715E"/>
    <w:rsid w:val="5F46146B"/>
    <w:rsid w:val="5F4D50E3"/>
    <w:rsid w:val="5F50560B"/>
    <w:rsid w:val="5F5A480F"/>
    <w:rsid w:val="5F5A7800"/>
    <w:rsid w:val="5F5D3CF6"/>
    <w:rsid w:val="5F6212EE"/>
    <w:rsid w:val="5F641494"/>
    <w:rsid w:val="5F663652"/>
    <w:rsid w:val="5F6706E3"/>
    <w:rsid w:val="5F6847A5"/>
    <w:rsid w:val="5F6A74F3"/>
    <w:rsid w:val="5F702B80"/>
    <w:rsid w:val="5F734DD2"/>
    <w:rsid w:val="5F747CBB"/>
    <w:rsid w:val="5F7603BF"/>
    <w:rsid w:val="5F781A34"/>
    <w:rsid w:val="5F7B7494"/>
    <w:rsid w:val="5F821204"/>
    <w:rsid w:val="5F8672E6"/>
    <w:rsid w:val="5F903222"/>
    <w:rsid w:val="5FA32F55"/>
    <w:rsid w:val="5FA37CAF"/>
    <w:rsid w:val="5FA4174E"/>
    <w:rsid w:val="5FA62DEE"/>
    <w:rsid w:val="5FA97E40"/>
    <w:rsid w:val="5FAC5FA5"/>
    <w:rsid w:val="5FB045E7"/>
    <w:rsid w:val="5FB707AE"/>
    <w:rsid w:val="5FB7255D"/>
    <w:rsid w:val="5FB91456"/>
    <w:rsid w:val="5FBC5A2C"/>
    <w:rsid w:val="5FBD4480"/>
    <w:rsid w:val="5FC93D7A"/>
    <w:rsid w:val="5FD2225B"/>
    <w:rsid w:val="5FDC1FC3"/>
    <w:rsid w:val="5FDD7B11"/>
    <w:rsid w:val="5FE01A64"/>
    <w:rsid w:val="5FE01AB3"/>
    <w:rsid w:val="5FE01C28"/>
    <w:rsid w:val="5FE570CA"/>
    <w:rsid w:val="5FE62E42"/>
    <w:rsid w:val="5FE80968"/>
    <w:rsid w:val="5FE938A5"/>
    <w:rsid w:val="5FEA0B84"/>
    <w:rsid w:val="5FFA7637"/>
    <w:rsid w:val="5FFC38E9"/>
    <w:rsid w:val="600914DE"/>
    <w:rsid w:val="600A090D"/>
    <w:rsid w:val="600D03CE"/>
    <w:rsid w:val="60144BDF"/>
    <w:rsid w:val="60145C01"/>
    <w:rsid w:val="6018063D"/>
    <w:rsid w:val="601A3622"/>
    <w:rsid w:val="601A422B"/>
    <w:rsid w:val="602F1F75"/>
    <w:rsid w:val="60331A5C"/>
    <w:rsid w:val="60367589"/>
    <w:rsid w:val="60397415"/>
    <w:rsid w:val="603C28E6"/>
    <w:rsid w:val="603C6C42"/>
    <w:rsid w:val="603D527B"/>
    <w:rsid w:val="603F3A23"/>
    <w:rsid w:val="604007A4"/>
    <w:rsid w:val="6040533D"/>
    <w:rsid w:val="60405A0D"/>
    <w:rsid w:val="604638E0"/>
    <w:rsid w:val="60511079"/>
    <w:rsid w:val="605326E4"/>
    <w:rsid w:val="60597AB8"/>
    <w:rsid w:val="60653243"/>
    <w:rsid w:val="60681AA9"/>
    <w:rsid w:val="606C2ECA"/>
    <w:rsid w:val="607B445F"/>
    <w:rsid w:val="60824919"/>
    <w:rsid w:val="60886391"/>
    <w:rsid w:val="608A7C71"/>
    <w:rsid w:val="608D263A"/>
    <w:rsid w:val="609168F9"/>
    <w:rsid w:val="609371CC"/>
    <w:rsid w:val="60956D42"/>
    <w:rsid w:val="60A93E60"/>
    <w:rsid w:val="60B116A2"/>
    <w:rsid w:val="60B438B3"/>
    <w:rsid w:val="60B6122B"/>
    <w:rsid w:val="60BB42CE"/>
    <w:rsid w:val="60D16514"/>
    <w:rsid w:val="60D5551B"/>
    <w:rsid w:val="60D801D1"/>
    <w:rsid w:val="60D8398C"/>
    <w:rsid w:val="60E121F5"/>
    <w:rsid w:val="60F048A3"/>
    <w:rsid w:val="60F95222"/>
    <w:rsid w:val="610E79D9"/>
    <w:rsid w:val="612E2CF2"/>
    <w:rsid w:val="61302DBD"/>
    <w:rsid w:val="61333E65"/>
    <w:rsid w:val="613936FA"/>
    <w:rsid w:val="614147D4"/>
    <w:rsid w:val="61472254"/>
    <w:rsid w:val="61527A3D"/>
    <w:rsid w:val="615618D2"/>
    <w:rsid w:val="61574EC1"/>
    <w:rsid w:val="615A41CF"/>
    <w:rsid w:val="61630BEE"/>
    <w:rsid w:val="6165067D"/>
    <w:rsid w:val="61700C15"/>
    <w:rsid w:val="617028A6"/>
    <w:rsid w:val="617649CA"/>
    <w:rsid w:val="61796953"/>
    <w:rsid w:val="617E51EA"/>
    <w:rsid w:val="618042CE"/>
    <w:rsid w:val="61842912"/>
    <w:rsid w:val="618648DC"/>
    <w:rsid w:val="61867CBA"/>
    <w:rsid w:val="618860C5"/>
    <w:rsid w:val="618928AC"/>
    <w:rsid w:val="61913C09"/>
    <w:rsid w:val="61954B1F"/>
    <w:rsid w:val="619E1C26"/>
    <w:rsid w:val="61A94127"/>
    <w:rsid w:val="61A9504A"/>
    <w:rsid w:val="61AB60F1"/>
    <w:rsid w:val="61B60BBE"/>
    <w:rsid w:val="61BA5B6C"/>
    <w:rsid w:val="61BE553D"/>
    <w:rsid w:val="61BF5B0C"/>
    <w:rsid w:val="61D03DA9"/>
    <w:rsid w:val="61D6397A"/>
    <w:rsid w:val="61D76EE6"/>
    <w:rsid w:val="61DB6A4D"/>
    <w:rsid w:val="61E04AD9"/>
    <w:rsid w:val="61E27FED"/>
    <w:rsid w:val="61F555BE"/>
    <w:rsid w:val="6201775B"/>
    <w:rsid w:val="620D71A2"/>
    <w:rsid w:val="620F042E"/>
    <w:rsid w:val="62106035"/>
    <w:rsid w:val="621670CB"/>
    <w:rsid w:val="62172B4C"/>
    <w:rsid w:val="621E7D7A"/>
    <w:rsid w:val="62320319"/>
    <w:rsid w:val="62323190"/>
    <w:rsid w:val="62361A2E"/>
    <w:rsid w:val="6238312F"/>
    <w:rsid w:val="623920A5"/>
    <w:rsid w:val="62397BA1"/>
    <w:rsid w:val="623A36A7"/>
    <w:rsid w:val="623A61B6"/>
    <w:rsid w:val="623B6840"/>
    <w:rsid w:val="624D0F56"/>
    <w:rsid w:val="624E5AC5"/>
    <w:rsid w:val="625F6A4A"/>
    <w:rsid w:val="626C278F"/>
    <w:rsid w:val="62740596"/>
    <w:rsid w:val="627B3278"/>
    <w:rsid w:val="6280553C"/>
    <w:rsid w:val="628232F6"/>
    <w:rsid w:val="628C499D"/>
    <w:rsid w:val="628C6EF7"/>
    <w:rsid w:val="629D15BD"/>
    <w:rsid w:val="62A414BE"/>
    <w:rsid w:val="62AF7540"/>
    <w:rsid w:val="62B6362D"/>
    <w:rsid w:val="62B65BDA"/>
    <w:rsid w:val="62B9483E"/>
    <w:rsid w:val="62BD432E"/>
    <w:rsid w:val="62C21944"/>
    <w:rsid w:val="62CA6252"/>
    <w:rsid w:val="62D179A7"/>
    <w:rsid w:val="62D535D8"/>
    <w:rsid w:val="62DA07C5"/>
    <w:rsid w:val="62DA7DAA"/>
    <w:rsid w:val="62DB0217"/>
    <w:rsid w:val="62DD530F"/>
    <w:rsid w:val="62EF025F"/>
    <w:rsid w:val="62F82F7B"/>
    <w:rsid w:val="62FF4946"/>
    <w:rsid w:val="63041F5D"/>
    <w:rsid w:val="630C3F88"/>
    <w:rsid w:val="63116428"/>
    <w:rsid w:val="63131C60"/>
    <w:rsid w:val="632223E3"/>
    <w:rsid w:val="632473E0"/>
    <w:rsid w:val="632945F8"/>
    <w:rsid w:val="632F112F"/>
    <w:rsid w:val="633329E6"/>
    <w:rsid w:val="63347148"/>
    <w:rsid w:val="634379A6"/>
    <w:rsid w:val="63512CC8"/>
    <w:rsid w:val="635527B8"/>
    <w:rsid w:val="635822A8"/>
    <w:rsid w:val="636649C5"/>
    <w:rsid w:val="6367429A"/>
    <w:rsid w:val="636D38E3"/>
    <w:rsid w:val="636F2CBC"/>
    <w:rsid w:val="6372336A"/>
    <w:rsid w:val="63730E90"/>
    <w:rsid w:val="63A66B70"/>
    <w:rsid w:val="63AB4186"/>
    <w:rsid w:val="63AD6150"/>
    <w:rsid w:val="63B35BE5"/>
    <w:rsid w:val="63B573FB"/>
    <w:rsid w:val="63BC7619"/>
    <w:rsid w:val="63C86E42"/>
    <w:rsid w:val="63CE60C7"/>
    <w:rsid w:val="63CF256B"/>
    <w:rsid w:val="63D77671"/>
    <w:rsid w:val="63E137D0"/>
    <w:rsid w:val="63E61222"/>
    <w:rsid w:val="63FF035D"/>
    <w:rsid w:val="64016C68"/>
    <w:rsid w:val="64025D70"/>
    <w:rsid w:val="64041ABE"/>
    <w:rsid w:val="64061D04"/>
    <w:rsid w:val="64070C3A"/>
    <w:rsid w:val="640A2E5C"/>
    <w:rsid w:val="640B4E4E"/>
    <w:rsid w:val="6416213F"/>
    <w:rsid w:val="641E704E"/>
    <w:rsid w:val="64252409"/>
    <w:rsid w:val="64277EAD"/>
    <w:rsid w:val="642908B4"/>
    <w:rsid w:val="642D103F"/>
    <w:rsid w:val="642F125B"/>
    <w:rsid w:val="643527F9"/>
    <w:rsid w:val="643F585C"/>
    <w:rsid w:val="64477D24"/>
    <w:rsid w:val="644B7C6E"/>
    <w:rsid w:val="645E744B"/>
    <w:rsid w:val="645F1659"/>
    <w:rsid w:val="64607667"/>
    <w:rsid w:val="646A6EA6"/>
    <w:rsid w:val="64722EF6"/>
    <w:rsid w:val="64740A1C"/>
    <w:rsid w:val="64746C6E"/>
    <w:rsid w:val="647E5BE3"/>
    <w:rsid w:val="648C1B70"/>
    <w:rsid w:val="648C74E3"/>
    <w:rsid w:val="64933B65"/>
    <w:rsid w:val="64987D89"/>
    <w:rsid w:val="649D7C7E"/>
    <w:rsid w:val="649F4289"/>
    <w:rsid w:val="64A4627B"/>
    <w:rsid w:val="64A6641F"/>
    <w:rsid w:val="64A758F9"/>
    <w:rsid w:val="64AC28AC"/>
    <w:rsid w:val="64AC6408"/>
    <w:rsid w:val="64B17EC2"/>
    <w:rsid w:val="64B25D57"/>
    <w:rsid w:val="64BA03AB"/>
    <w:rsid w:val="64C64FF0"/>
    <w:rsid w:val="64C9520C"/>
    <w:rsid w:val="64CC6AAA"/>
    <w:rsid w:val="64CF1141"/>
    <w:rsid w:val="64DA5E0B"/>
    <w:rsid w:val="64DB6CED"/>
    <w:rsid w:val="64DE67DD"/>
    <w:rsid w:val="64E2758F"/>
    <w:rsid w:val="64E732AE"/>
    <w:rsid w:val="64EB797F"/>
    <w:rsid w:val="64F105C1"/>
    <w:rsid w:val="64F6539B"/>
    <w:rsid w:val="651641C9"/>
    <w:rsid w:val="65181CEF"/>
    <w:rsid w:val="652228B0"/>
    <w:rsid w:val="65244DE3"/>
    <w:rsid w:val="65292CF6"/>
    <w:rsid w:val="652B08B5"/>
    <w:rsid w:val="652B723C"/>
    <w:rsid w:val="6534385F"/>
    <w:rsid w:val="65392928"/>
    <w:rsid w:val="653B778C"/>
    <w:rsid w:val="653E0329"/>
    <w:rsid w:val="654674C5"/>
    <w:rsid w:val="65484A48"/>
    <w:rsid w:val="65491EA9"/>
    <w:rsid w:val="65530F79"/>
    <w:rsid w:val="65566374"/>
    <w:rsid w:val="655A5E64"/>
    <w:rsid w:val="655B398A"/>
    <w:rsid w:val="656206A5"/>
    <w:rsid w:val="65623600"/>
    <w:rsid w:val="656976B0"/>
    <w:rsid w:val="656A57C4"/>
    <w:rsid w:val="656D408F"/>
    <w:rsid w:val="656E5DB3"/>
    <w:rsid w:val="6570115F"/>
    <w:rsid w:val="65707DEA"/>
    <w:rsid w:val="65765E72"/>
    <w:rsid w:val="657F58CB"/>
    <w:rsid w:val="65817895"/>
    <w:rsid w:val="65896749"/>
    <w:rsid w:val="658B3C23"/>
    <w:rsid w:val="658D036C"/>
    <w:rsid w:val="65901116"/>
    <w:rsid w:val="659908BE"/>
    <w:rsid w:val="659A0956"/>
    <w:rsid w:val="65A447B7"/>
    <w:rsid w:val="65A52645"/>
    <w:rsid w:val="65AA660F"/>
    <w:rsid w:val="65B01973"/>
    <w:rsid w:val="65B5056E"/>
    <w:rsid w:val="65BE21B3"/>
    <w:rsid w:val="65BE264A"/>
    <w:rsid w:val="65C634F9"/>
    <w:rsid w:val="65D1317E"/>
    <w:rsid w:val="65D73958"/>
    <w:rsid w:val="65E059A3"/>
    <w:rsid w:val="65E46E4F"/>
    <w:rsid w:val="65E51816"/>
    <w:rsid w:val="65E575C2"/>
    <w:rsid w:val="65F660A6"/>
    <w:rsid w:val="65FB4FFA"/>
    <w:rsid w:val="66134265"/>
    <w:rsid w:val="661C5E23"/>
    <w:rsid w:val="663B4FEF"/>
    <w:rsid w:val="663B6ADC"/>
    <w:rsid w:val="663D1F2D"/>
    <w:rsid w:val="66432D9C"/>
    <w:rsid w:val="664B1C51"/>
    <w:rsid w:val="664D6B97"/>
    <w:rsid w:val="66551508"/>
    <w:rsid w:val="66552ACF"/>
    <w:rsid w:val="6657649E"/>
    <w:rsid w:val="6659436D"/>
    <w:rsid w:val="665C34BE"/>
    <w:rsid w:val="665F74AA"/>
    <w:rsid w:val="666743D7"/>
    <w:rsid w:val="666845B1"/>
    <w:rsid w:val="6669068F"/>
    <w:rsid w:val="66703465"/>
    <w:rsid w:val="66707909"/>
    <w:rsid w:val="6672542F"/>
    <w:rsid w:val="66794A10"/>
    <w:rsid w:val="667C62AE"/>
    <w:rsid w:val="66805D9E"/>
    <w:rsid w:val="668263D9"/>
    <w:rsid w:val="66826704"/>
    <w:rsid w:val="668A2779"/>
    <w:rsid w:val="668C6F35"/>
    <w:rsid w:val="668F7D8F"/>
    <w:rsid w:val="66903B07"/>
    <w:rsid w:val="66914861"/>
    <w:rsid w:val="66954650"/>
    <w:rsid w:val="66990550"/>
    <w:rsid w:val="669971F6"/>
    <w:rsid w:val="66A11F66"/>
    <w:rsid w:val="66A51361"/>
    <w:rsid w:val="66A54030"/>
    <w:rsid w:val="66AF4903"/>
    <w:rsid w:val="66B31CC5"/>
    <w:rsid w:val="66B612EF"/>
    <w:rsid w:val="66BB5028"/>
    <w:rsid w:val="66BC3299"/>
    <w:rsid w:val="66D71736"/>
    <w:rsid w:val="66D87988"/>
    <w:rsid w:val="66DB14FC"/>
    <w:rsid w:val="66E83943"/>
    <w:rsid w:val="66EA4BFD"/>
    <w:rsid w:val="66ED4AB6"/>
    <w:rsid w:val="66F26C83"/>
    <w:rsid w:val="66FD119D"/>
    <w:rsid w:val="67024A05"/>
    <w:rsid w:val="670C33CD"/>
    <w:rsid w:val="670F0ED0"/>
    <w:rsid w:val="670F2C7E"/>
    <w:rsid w:val="671102C9"/>
    <w:rsid w:val="671D35ED"/>
    <w:rsid w:val="6727016E"/>
    <w:rsid w:val="67296458"/>
    <w:rsid w:val="67302D72"/>
    <w:rsid w:val="67367BDE"/>
    <w:rsid w:val="67383895"/>
    <w:rsid w:val="673C3F4D"/>
    <w:rsid w:val="673D6C8E"/>
    <w:rsid w:val="67401089"/>
    <w:rsid w:val="674072DB"/>
    <w:rsid w:val="67515045"/>
    <w:rsid w:val="675E7762"/>
    <w:rsid w:val="676034DA"/>
    <w:rsid w:val="67620795"/>
    <w:rsid w:val="67650AA1"/>
    <w:rsid w:val="676B3D88"/>
    <w:rsid w:val="678C7972"/>
    <w:rsid w:val="67901824"/>
    <w:rsid w:val="67910EA4"/>
    <w:rsid w:val="679B538E"/>
    <w:rsid w:val="679E4055"/>
    <w:rsid w:val="67A03B90"/>
    <w:rsid w:val="67A535E2"/>
    <w:rsid w:val="67A7735B"/>
    <w:rsid w:val="67AD6FA5"/>
    <w:rsid w:val="67B46B65"/>
    <w:rsid w:val="67B64405"/>
    <w:rsid w:val="67B6759E"/>
    <w:rsid w:val="67B825EE"/>
    <w:rsid w:val="67BA4365"/>
    <w:rsid w:val="67C21C75"/>
    <w:rsid w:val="67C65A33"/>
    <w:rsid w:val="67C73559"/>
    <w:rsid w:val="67CE6F06"/>
    <w:rsid w:val="67D068B1"/>
    <w:rsid w:val="67DF6AF4"/>
    <w:rsid w:val="67DF71BB"/>
    <w:rsid w:val="67E4410B"/>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3299C"/>
    <w:rsid w:val="68352BB8"/>
    <w:rsid w:val="6838340B"/>
    <w:rsid w:val="683B72BC"/>
    <w:rsid w:val="6845021D"/>
    <w:rsid w:val="68454DEC"/>
    <w:rsid w:val="684C483A"/>
    <w:rsid w:val="68537E16"/>
    <w:rsid w:val="685B4079"/>
    <w:rsid w:val="6867275C"/>
    <w:rsid w:val="68694610"/>
    <w:rsid w:val="686B0388"/>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A5B4D"/>
    <w:rsid w:val="68B161D3"/>
    <w:rsid w:val="68B30CED"/>
    <w:rsid w:val="68B3402F"/>
    <w:rsid w:val="68BC680B"/>
    <w:rsid w:val="68C006D4"/>
    <w:rsid w:val="68C55A28"/>
    <w:rsid w:val="68C61A62"/>
    <w:rsid w:val="68C656C9"/>
    <w:rsid w:val="68C667CC"/>
    <w:rsid w:val="68C857DA"/>
    <w:rsid w:val="68C93813"/>
    <w:rsid w:val="68CA50AF"/>
    <w:rsid w:val="68CF0917"/>
    <w:rsid w:val="68F63A6F"/>
    <w:rsid w:val="68F93BE6"/>
    <w:rsid w:val="68FC5484"/>
    <w:rsid w:val="69011A03"/>
    <w:rsid w:val="69036813"/>
    <w:rsid w:val="691427CE"/>
    <w:rsid w:val="69194FE4"/>
    <w:rsid w:val="69201173"/>
    <w:rsid w:val="692C087F"/>
    <w:rsid w:val="692F585A"/>
    <w:rsid w:val="69325074"/>
    <w:rsid w:val="693B3D95"/>
    <w:rsid w:val="693E5A9D"/>
    <w:rsid w:val="6940200D"/>
    <w:rsid w:val="69470DF5"/>
    <w:rsid w:val="695E7C81"/>
    <w:rsid w:val="696230A8"/>
    <w:rsid w:val="69636512"/>
    <w:rsid w:val="696D1EDE"/>
    <w:rsid w:val="696E697F"/>
    <w:rsid w:val="69700315"/>
    <w:rsid w:val="69703A94"/>
    <w:rsid w:val="697414BE"/>
    <w:rsid w:val="69766FE4"/>
    <w:rsid w:val="697B45FB"/>
    <w:rsid w:val="697E6080"/>
    <w:rsid w:val="697F233D"/>
    <w:rsid w:val="6982764E"/>
    <w:rsid w:val="698A1782"/>
    <w:rsid w:val="698C2CAC"/>
    <w:rsid w:val="6994390F"/>
    <w:rsid w:val="69981651"/>
    <w:rsid w:val="699B6A4B"/>
    <w:rsid w:val="699F79EB"/>
    <w:rsid w:val="69A41DA4"/>
    <w:rsid w:val="69AC6EAA"/>
    <w:rsid w:val="69B30239"/>
    <w:rsid w:val="69BE09A8"/>
    <w:rsid w:val="69CE0BCF"/>
    <w:rsid w:val="69D1246D"/>
    <w:rsid w:val="69D16A9C"/>
    <w:rsid w:val="69DC2584"/>
    <w:rsid w:val="69E06B54"/>
    <w:rsid w:val="6A0B3BD1"/>
    <w:rsid w:val="6A0B4DA2"/>
    <w:rsid w:val="6A0D4CED"/>
    <w:rsid w:val="6A1C4030"/>
    <w:rsid w:val="6A2133F4"/>
    <w:rsid w:val="6A2151A2"/>
    <w:rsid w:val="6A2379A6"/>
    <w:rsid w:val="6A3430A0"/>
    <w:rsid w:val="6A3C571E"/>
    <w:rsid w:val="6A3F1ACC"/>
    <w:rsid w:val="6A452BC9"/>
    <w:rsid w:val="6A482602"/>
    <w:rsid w:val="6A4E1D0F"/>
    <w:rsid w:val="6A521800"/>
    <w:rsid w:val="6A623F41"/>
    <w:rsid w:val="6A6908F7"/>
    <w:rsid w:val="6A6B570C"/>
    <w:rsid w:val="6A6E5F0E"/>
    <w:rsid w:val="6A7554EE"/>
    <w:rsid w:val="6A837C0B"/>
    <w:rsid w:val="6A877213"/>
    <w:rsid w:val="6A8B520E"/>
    <w:rsid w:val="6A8D0A8A"/>
    <w:rsid w:val="6A9D12E5"/>
    <w:rsid w:val="6AA54025"/>
    <w:rsid w:val="6AA778F8"/>
    <w:rsid w:val="6AAB2D00"/>
    <w:rsid w:val="6ABB5326"/>
    <w:rsid w:val="6AC27C99"/>
    <w:rsid w:val="6AC703D4"/>
    <w:rsid w:val="6AC87D14"/>
    <w:rsid w:val="6ACC63C3"/>
    <w:rsid w:val="6AD14E1A"/>
    <w:rsid w:val="6AE6658B"/>
    <w:rsid w:val="6AEA1A38"/>
    <w:rsid w:val="6AED32D6"/>
    <w:rsid w:val="6AF01018"/>
    <w:rsid w:val="6B014FD4"/>
    <w:rsid w:val="6B040620"/>
    <w:rsid w:val="6B0546BF"/>
    <w:rsid w:val="6B140A94"/>
    <w:rsid w:val="6B1765A5"/>
    <w:rsid w:val="6B1E5B86"/>
    <w:rsid w:val="6B225676"/>
    <w:rsid w:val="6B2A0DD1"/>
    <w:rsid w:val="6B2A62D8"/>
    <w:rsid w:val="6B3123E5"/>
    <w:rsid w:val="6B3928DE"/>
    <w:rsid w:val="6B3A571B"/>
    <w:rsid w:val="6B3D24B0"/>
    <w:rsid w:val="6B3E1D84"/>
    <w:rsid w:val="6B421874"/>
    <w:rsid w:val="6B433182"/>
    <w:rsid w:val="6B454EC0"/>
    <w:rsid w:val="6B4D6993"/>
    <w:rsid w:val="6B4E304B"/>
    <w:rsid w:val="6B515E8F"/>
    <w:rsid w:val="6B594E10"/>
    <w:rsid w:val="6B5B6012"/>
    <w:rsid w:val="6B680BAF"/>
    <w:rsid w:val="6B6905B2"/>
    <w:rsid w:val="6B715CB5"/>
    <w:rsid w:val="6B7B4D86"/>
    <w:rsid w:val="6B7B6CF5"/>
    <w:rsid w:val="6B8C2AEF"/>
    <w:rsid w:val="6B8D6867"/>
    <w:rsid w:val="6B9120BE"/>
    <w:rsid w:val="6B942D3D"/>
    <w:rsid w:val="6B980468"/>
    <w:rsid w:val="6B9A0316"/>
    <w:rsid w:val="6BA22B89"/>
    <w:rsid w:val="6BA37769"/>
    <w:rsid w:val="6BA56514"/>
    <w:rsid w:val="6BB7760B"/>
    <w:rsid w:val="6BB8600B"/>
    <w:rsid w:val="6BB93481"/>
    <w:rsid w:val="6BB95D93"/>
    <w:rsid w:val="6BC15C2B"/>
    <w:rsid w:val="6BC4672D"/>
    <w:rsid w:val="6BC530A7"/>
    <w:rsid w:val="6BCB7ABB"/>
    <w:rsid w:val="6BCC7390"/>
    <w:rsid w:val="6BD24A28"/>
    <w:rsid w:val="6BD46244"/>
    <w:rsid w:val="6BD6020E"/>
    <w:rsid w:val="6BD66471"/>
    <w:rsid w:val="6BE22552"/>
    <w:rsid w:val="6BE7241B"/>
    <w:rsid w:val="6BEE4FC6"/>
    <w:rsid w:val="6BF52DE2"/>
    <w:rsid w:val="6BF863D7"/>
    <w:rsid w:val="6BFB3638"/>
    <w:rsid w:val="6C107BF8"/>
    <w:rsid w:val="6C1D78D9"/>
    <w:rsid w:val="6C1E7857"/>
    <w:rsid w:val="6C2101A9"/>
    <w:rsid w:val="6C2B5B16"/>
    <w:rsid w:val="6C302ABE"/>
    <w:rsid w:val="6C3073D8"/>
    <w:rsid w:val="6C33669E"/>
    <w:rsid w:val="6C494E84"/>
    <w:rsid w:val="6C4B4758"/>
    <w:rsid w:val="6C532B1A"/>
    <w:rsid w:val="6C5630FD"/>
    <w:rsid w:val="6C5A499B"/>
    <w:rsid w:val="6C63290C"/>
    <w:rsid w:val="6C7066C8"/>
    <w:rsid w:val="6C716E95"/>
    <w:rsid w:val="6C77554D"/>
    <w:rsid w:val="6C8726F7"/>
    <w:rsid w:val="6C8A0385"/>
    <w:rsid w:val="6C9C6D62"/>
    <w:rsid w:val="6CA7022C"/>
    <w:rsid w:val="6CAB1B96"/>
    <w:rsid w:val="6CB2643C"/>
    <w:rsid w:val="6CB319F4"/>
    <w:rsid w:val="6CB775D6"/>
    <w:rsid w:val="6CBC783E"/>
    <w:rsid w:val="6CBF2773"/>
    <w:rsid w:val="6CC369E5"/>
    <w:rsid w:val="6CC4275D"/>
    <w:rsid w:val="6CC462B9"/>
    <w:rsid w:val="6CD80C7B"/>
    <w:rsid w:val="6CDE55CC"/>
    <w:rsid w:val="6CDF1345"/>
    <w:rsid w:val="6CE54BAD"/>
    <w:rsid w:val="6CEA21C3"/>
    <w:rsid w:val="6CEB1A97"/>
    <w:rsid w:val="6CEB70AA"/>
    <w:rsid w:val="6CEE017F"/>
    <w:rsid w:val="6CF05300"/>
    <w:rsid w:val="6CF22E26"/>
    <w:rsid w:val="6CF34F90"/>
    <w:rsid w:val="6CF43042"/>
    <w:rsid w:val="6CF76761"/>
    <w:rsid w:val="6CFA66BC"/>
    <w:rsid w:val="6D093C1F"/>
    <w:rsid w:val="6D147240"/>
    <w:rsid w:val="6D1C1338"/>
    <w:rsid w:val="6D1E3C1B"/>
    <w:rsid w:val="6D241DD6"/>
    <w:rsid w:val="6D261FE2"/>
    <w:rsid w:val="6D3A2C36"/>
    <w:rsid w:val="6D3B47CD"/>
    <w:rsid w:val="6D4C4C2C"/>
    <w:rsid w:val="6D4D62AE"/>
    <w:rsid w:val="6D5263BD"/>
    <w:rsid w:val="6D567859"/>
    <w:rsid w:val="6D5923AE"/>
    <w:rsid w:val="6D5B4E6F"/>
    <w:rsid w:val="6D657A9C"/>
    <w:rsid w:val="6D6B4CAD"/>
    <w:rsid w:val="6D714693"/>
    <w:rsid w:val="6D72274B"/>
    <w:rsid w:val="6D7418F5"/>
    <w:rsid w:val="6D754438"/>
    <w:rsid w:val="6D7C458B"/>
    <w:rsid w:val="6D7D3D2A"/>
    <w:rsid w:val="6D8141AA"/>
    <w:rsid w:val="6D853C9A"/>
    <w:rsid w:val="6D87328B"/>
    <w:rsid w:val="6D877A12"/>
    <w:rsid w:val="6D8C026B"/>
    <w:rsid w:val="6D8C1837"/>
    <w:rsid w:val="6D901B30"/>
    <w:rsid w:val="6D98498E"/>
    <w:rsid w:val="6D99628D"/>
    <w:rsid w:val="6D9B5D37"/>
    <w:rsid w:val="6D9D5378"/>
    <w:rsid w:val="6DA0000F"/>
    <w:rsid w:val="6DA06D26"/>
    <w:rsid w:val="6DA700B4"/>
    <w:rsid w:val="6DB30807"/>
    <w:rsid w:val="6DB620A5"/>
    <w:rsid w:val="6DB73718"/>
    <w:rsid w:val="6DB77BCC"/>
    <w:rsid w:val="6DBB76BC"/>
    <w:rsid w:val="6DC01870"/>
    <w:rsid w:val="6DC26C9C"/>
    <w:rsid w:val="6DC712D5"/>
    <w:rsid w:val="6DCE632D"/>
    <w:rsid w:val="6DD469CF"/>
    <w:rsid w:val="6DD87EEB"/>
    <w:rsid w:val="6DDB7D5E"/>
    <w:rsid w:val="6DE06A16"/>
    <w:rsid w:val="6DED20C4"/>
    <w:rsid w:val="6DEE7A91"/>
    <w:rsid w:val="6DF9597F"/>
    <w:rsid w:val="6DFB36A6"/>
    <w:rsid w:val="6DFD7CD4"/>
    <w:rsid w:val="6E0861F9"/>
    <w:rsid w:val="6E0F421C"/>
    <w:rsid w:val="6E0F7A08"/>
    <w:rsid w:val="6E11552E"/>
    <w:rsid w:val="6E1814DE"/>
    <w:rsid w:val="6E1F5E9D"/>
    <w:rsid w:val="6E2141BB"/>
    <w:rsid w:val="6E314C1B"/>
    <w:rsid w:val="6E3D33F0"/>
    <w:rsid w:val="6E42797D"/>
    <w:rsid w:val="6E511D65"/>
    <w:rsid w:val="6E526272"/>
    <w:rsid w:val="6E563D5E"/>
    <w:rsid w:val="6E5773E2"/>
    <w:rsid w:val="6E5D0773"/>
    <w:rsid w:val="6E5E5C3B"/>
    <w:rsid w:val="6E602332"/>
    <w:rsid w:val="6E6040B1"/>
    <w:rsid w:val="6E6B2E90"/>
    <w:rsid w:val="6E7311C4"/>
    <w:rsid w:val="6E786C73"/>
    <w:rsid w:val="6E8362CB"/>
    <w:rsid w:val="6E8607DF"/>
    <w:rsid w:val="6E8C5574"/>
    <w:rsid w:val="6E8E6B7E"/>
    <w:rsid w:val="6E900B48"/>
    <w:rsid w:val="6E9323E7"/>
    <w:rsid w:val="6E95110E"/>
    <w:rsid w:val="6E971216"/>
    <w:rsid w:val="6E9F5AF8"/>
    <w:rsid w:val="6EA662E7"/>
    <w:rsid w:val="6EA92939"/>
    <w:rsid w:val="6EAE1443"/>
    <w:rsid w:val="6EC2024B"/>
    <w:rsid w:val="6ED400FB"/>
    <w:rsid w:val="6EE113A4"/>
    <w:rsid w:val="6EE37AB3"/>
    <w:rsid w:val="6EE44D45"/>
    <w:rsid w:val="6EEC71C0"/>
    <w:rsid w:val="6EED60BF"/>
    <w:rsid w:val="6EF353C5"/>
    <w:rsid w:val="6EF52D06"/>
    <w:rsid w:val="6EFA3169"/>
    <w:rsid w:val="6F273C43"/>
    <w:rsid w:val="6F2F65B3"/>
    <w:rsid w:val="6F3410B3"/>
    <w:rsid w:val="6F392F8E"/>
    <w:rsid w:val="6F40256E"/>
    <w:rsid w:val="6F417668"/>
    <w:rsid w:val="6F452BFB"/>
    <w:rsid w:val="6F457B85"/>
    <w:rsid w:val="6F4B0F13"/>
    <w:rsid w:val="6F4E4E29"/>
    <w:rsid w:val="6F526915"/>
    <w:rsid w:val="6F543924"/>
    <w:rsid w:val="6F5759DB"/>
    <w:rsid w:val="6F5A1B67"/>
    <w:rsid w:val="6F5A2F04"/>
    <w:rsid w:val="6F5D70EC"/>
    <w:rsid w:val="6F6B5112"/>
    <w:rsid w:val="6F6D0E8A"/>
    <w:rsid w:val="6F712A12"/>
    <w:rsid w:val="6F72024E"/>
    <w:rsid w:val="6F773AB6"/>
    <w:rsid w:val="6F810491"/>
    <w:rsid w:val="6F8545BB"/>
    <w:rsid w:val="6F897868"/>
    <w:rsid w:val="6F926B42"/>
    <w:rsid w:val="6F991C7F"/>
    <w:rsid w:val="6FAF4FFE"/>
    <w:rsid w:val="6FB22D40"/>
    <w:rsid w:val="6FB22E23"/>
    <w:rsid w:val="6FB357E3"/>
    <w:rsid w:val="6FB63ED1"/>
    <w:rsid w:val="6FBB37E8"/>
    <w:rsid w:val="6FBD7A2F"/>
    <w:rsid w:val="6FC325D7"/>
    <w:rsid w:val="6FCC289F"/>
    <w:rsid w:val="6FCC5BB0"/>
    <w:rsid w:val="6FCD2ECB"/>
    <w:rsid w:val="6FD03BBF"/>
    <w:rsid w:val="6FD44A65"/>
    <w:rsid w:val="6FE06948"/>
    <w:rsid w:val="6FE86762"/>
    <w:rsid w:val="6FEA4497"/>
    <w:rsid w:val="6FEC31DF"/>
    <w:rsid w:val="6FEE6936"/>
    <w:rsid w:val="6FFF6EA1"/>
    <w:rsid w:val="7000463E"/>
    <w:rsid w:val="7000585A"/>
    <w:rsid w:val="7008021A"/>
    <w:rsid w:val="700C41FF"/>
    <w:rsid w:val="70197B71"/>
    <w:rsid w:val="701D453F"/>
    <w:rsid w:val="701D6A70"/>
    <w:rsid w:val="70223A22"/>
    <w:rsid w:val="70225B6A"/>
    <w:rsid w:val="70231548"/>
    <w:rsid w:val="70247FB9"/>
    <w:rsid w:val="70254AB1"/>
    <w:rsid w:val="70275718"/>
    <w:rsid w:val="702811CF"/>
    <w:rsid w:val="70293112"/>
    <w:rsid w:val="702F640E"/>
    <w:rsid w:val="703665E2"/>
    <w:rsid w:val="70384FF4"/>
    <w:rsid w:val="703D260A"/>
    <w:rsid w:val="70411F4E"/>
    <w:rsid w:val="7045295A"/>
    <w:rsid w:val="704C6CF1"/>
    <w:rsid w:val="704E0CBB"/>
    <w:rsid w:val="705171D8"/>
    <w:rsid w:val="70521BC1"/>
    <w:rsid w:val="705C2D66"/>
    <w:rsid w:val="705D2CAC"/>
    <w:rsid w:val="706752A1"/>
    <w:rsid w:val="70730722"/>
    <w:rsid w:val="70787AE6"/>
    <w:rsid w:val="70790109"/>
    <w:rsid w:val="707B1384"/>
    <w:rsid w:val="708446DD"/>
    <w:rsid w:val="70860455"/>
    <w:rsid w:val="708E757A"/>
    <w:rsid w:val="70936354"/>
    <w:rsid w:val="709366CE"/>
    <w:rsid w:val="70954D22"/>
    <w:rsid w:val="709D70DA"/>
    <w:rsid w:val="709D754D"/>
    <w:rsid w:val="709F1517"/>
    <w:rsid w:val="70A5697A"/>
    <w:rsid w:val="70AC0354"/>
    <w:rsid w:val="70AD3C34"/>
    <w:rsid w:val="70B56644"/>
    <w:rsid w:val="70C66EAD"/>
    <w:rsid w:val="70CA22A0"/>
    <w:rsid w:val="70CB3C99"/>
    <w:rsid w:val="70CC15AD"/>
    <w:rsid w:val="70D25448"/>
    <w:rsid w:val="70D95624"/>
    <w:rsid w:val="70DE203F"/>
    <w:rsid w:val="70E60EF4"/>
    <w:rsid w:val="70E81A42"/>
    <w:rsid w:val="70E87D2E"/>
    <w:rsid w:val="70EF0726"/>
    <w:rsid w:val="70EF120B"/>
    <w:rsid w:val="70F54131"/>
    <w:rsid w:val="70FD13AF"/>
    <w:rsid w:val="70FF3D63"/>
    <w:rsid w:val="71007D30"/>
    <w:rsid w:val="7102506A"/>
    <w:rsid w:val="71035C4A"/>
    <w:rsid w:val="710B095A"/>
    <w:rsid w:val="710D1811"/>
    <w:rsid w:val="710D5338"/>
    <w:rsid w:val="71110792"/>
    <w:rsid w:val="71153587"/>
    <w:rsid w:val="711A50E8"/>
    <w:rsid w:val="711B76F1"/>
    <w:rsid w:val="711C2B67"/>
    <w:rsid w:val="711E678E"/>
    <w:rsid w:val="71220EF5"/>
    <w:rsid w:val="71237A52"/>
    <w:rsid w:val="71245815"/>
    <w:rsid w:val="71294DF0"/>
    <w:rsid w:val="71382182"/>
    <w:rsid w:val="71384BB7"/>
    <w:rsid w:val="71397275"/>
    <w:rsid w:val="7141437C"/>
    <w:rsid w:val="71436104"/>
    <w:rsid w:val="71694942"/>
    <w:rsid w:val="716C4B94"/>
    <w:rsid w:val="71710218"/>
    <w:rsid w:val="717F485B"/>
    <w:rsid w:val="71881F4A"/>
    <w:rsid w:val="718A7AD1"/>
    <w:rsid w:val="718B55F7"/>
    <w:rsid w:val="71926986"/>
    <w:rsid w:val="719641E7"/>
    <w:rsid w:val="71982C53"/>
    <w:rsid w:val="719C15B2"/>
    <w:rsid w:val="71A8020C"/>
    <w:rsid w:val="71AD47A1"/>
    <w:rsid w:val="71B27C0E"/>
    <w:rsid w:val="71B700C0"/>
    <w:rsid w:val="71BE59CD"/>
    <w:rsid w:val="71C402FF"/>
    <w:rsid w:val="71CB3EE2"/>
    <w:rsid w:val="71CC79D6"/>
    <w:rsid w:val="71CE64B7"/>
    <w:rsid w:val="71CF3736"/>
    <w:rsid w:val="71CF611B"/>
    <w:rsid w:val="71D451F0"/>
    <w:rsid w:val="71D64AC4"/>
    <w:rsid w:val="71D8720E"/>
    <w:rsid w:val="71D92806"/>
    <w:rsid w:val="71DC4440"/>
    <w:rsid w:val="71DD06C6"/>
    <w:rsid w:val="71DD4BB7"/>
    <w:rsid w:val="71E52F59"/>
    <w:rsid w:val="71E60A7F"/>
    <w:rsid w:val="71EF4549"/>
    <w:rsid w:val="71EF7BAE"/>
    <w:rsid w:val="71F65166"/>
    <w:rsid w:val="71FD64F5"/>
    <w:rsid w:val="72001C62"/>
    <w:rsid w:val="7203542C"/>
    <w:rsid w:val="720535FB"/>
    <w:rsid w:val="720C6738"/>
    <w:rsid w:val="72113D4E"/>
    <w:rsid w:val="72165B9A"/>
    <w:rsid w:val="721D186F"/>
    <w:rsid w:val="72247F25"/>
    <w:rsid w:val="72253C9E"/>
    <w:rsid w:val="722C6DDA"/>
    <w:rsid w:val="723010BB"/>
    <w:rsid w:val="723143F0"/>
    <w:rsid w:val="7237488A"/>
    <w:rsid w:val="723D0FE7"/>
    <w:rsid w:val="723F1631"/>
    <w:rsid w:val="723F4635"/>
    <w:rsid w:val="72494180"/>
    <w:rsid w:val="724A0B97"/>
    <w:rsid w:val="724E763A"/>
    <w:rsid w:val="7250699E"/>
    <w:rsid w:val="72516841"/>
    <w:rsid w:val="72600832"/>
    <w:rsid w:val="72641888"/>
    <w:rsid w:val="726F7E37"/>
    <w:rsid w:val="72785B7B"/>
    <w:rsid w:val="727B3360"/>
    <w:rsid w:val="727D7636"/>
    <w:rsid w:val="72936F84"/>
    <w:rsid w:val="7294037B"/>
    <w:rsid w:val="72AD5867"/>
    <w:rsid w:val="72B33216"/>
    <w:rsid w:val="72B50B7E"/>
    <w:rsid w:val="72C41B88"/>
    <w:rsid w:val="72C664D9"/>
    <w:rsid w:val="72CD4767"/>
    <w:rsid w:val="72CE0B34"/>
    <w:rsid w:val="72D4412C"/>
    <w:rsid w:val="72D85B7E"/>
    <w:rsid w:val="72D942B7"/>
    <w:rsid w:val="72E10121"/>
    <w:rsid w:val="72EB0A43"/>
    <w:rsid w:val="72F13B80"/>
    <w:rsid w:val="72F5398F"/>
    <w:rsid w:val="72FB0ADD"/>
    <w:rsid w:val="72FF67ED"/>
    <w:rsid w:val="73005B71"/>
    <w:rsid w:val="730257DC"/>
    <w:rsid w:val="73063BC5"/>
    <w:rsid w:val="73064C79"/>
    <w:rsid w:val="7307181B"/>
    <w:rsid w:val="73190326"/>
    <w:rsid w:val="73263829"/>
    <w:rsid w:val="732857F3"/>
    <w:rsid w:val="7329156C"/>
    <w:rsid w:val="733028FA"/>
    <w:rsid w:val="73307239"/>
    <w:rsid w:val="73320420"/>
    <w:rsid w:val="7344628D"/>
    <w:rsid w:val="734737A0"/>
    <w:rsid w:val="734A27AC"/>
    <w:rsid w:val="734B59A2"/>
    <w:rsid w:val="73520AC2"/>
    <w:rsid w:val="73650000"/>
    <w:rsid w:val="73665063"/>
    <w:rsid w:val="73740A39"/>
    <w:rsid w:val="737E18B7"/>
    <w:rsid w:val="7386076C"/>
    <w:rsid w:val="738D5656"/>
    <w:rsid w:val="73924709"/>
    <w:rsid w:val="73933958"/>
    <w:rsid w:val="73971924"/>
    <w:rsid w:val="739B2CF3"/>
    <w:rsid w:val="73A2095B"/>
    <w:rsid w:val="73A37F13"/>
    <w:rsid w:val="73A715FF"/>
    <w:rsid w:val="73A9597C"/>
    <w:rsid w:val="73AB3D2F"/>
    <w:rsid w:val="73AE6FC2"/>
    <w:rsid w:val="73AF381F"/>
    <w:rsid w:val="73B13A3B"/>
    <w:rsid w:val="73B34F06"/>
    <w:rsid w:val="73C55A7E"/>
    <w:rsid w:val="73D414D7"/>
    <w:rsid w:val="73E13BF4"/>
    <w:rsid w:val="73E159A2"/>
    <w:rsid w:val="73F43927"/>
    <w:rsid w:val="73FA511F"/>
    <w:rsid w:val="73FB2F08"/>
    <w:rsid w:val="73FE4F2A"/>
    <w:rsid w:val="7405767D"/>
    <w:rsid w:val="740626E6"/>
    <w:rsid w:val="740F3DF9"/>
    <w:rsid w:val="740F42BD"/>
    <w:rsid w:val="74122000"/>
    <w:rsid w:val="74147B26"/>
    <w:rsid w:val="7419513C"/>
    <w:rsid w:val="741C69DA"/>
    <w:rsid w:val="7428537F"/>
    <w:rsid w:val="74297262"/>
    <w:rsid w:val="742C4357"/>
    <w:rsid w:val="74337816"/>
    <w:rsid w:val="7434641A"/>
    <w:rsid w:val="74373814"/>
    <w:rsid w:val="743D707D"/>
    <w:rsid w:val="74420E29"/>
    <w:rsid w:val="7443040B"/>
    <w:rsid w:val="744A3547"/>
    <w:rsid w:val="744D11B3"/>
    <w:rsid w:val="744D4DE6"/>
    <w:rsid w:val="744E128A"/>
    <w:rsid w:val="744F7EB4"/>
    <w:rsid w:val="745109A1"/>
    <w:rsid w:val="74546174"/>
    <w:rsid w:val="74650604"/>
    <w:rsid w:val="74686F6C"/>
    <w:rsid w:val="746960C4"/>
    <w:rsid w:val="746F4A04"/>
    <w:rsid w:val="746F4CA9"/>
    <w:rsid w:val="7472182D"/>
    <w:rsid w:val="74760217"/>
    <w:rsid w:val="7478586B"/>
    <w:rsid w:val="747B7BA5"/>
    <w:rsid w:val="74844CAB"/>
    <w:rsid w:val="748659EF"/>
    <w:rsid w:val="748A7A37"/>
    <w:rsid w:val="748E5B2A"/>
    <w:rsid w:val="749520B2"/>
    <w:rsid w:val="749A44CF"/>
    <w:rsid w:val="749D4A3B"/>
    <w:rsid w:val="74A23383"/>
    <w:rsid w:val="74B77C7F"/>
    <w:rsid w:val="74B9247B"/>
    <w:rsid w:val="74BD01BD"/>
    <w:rsid w:val="74C50E20"/>
    <w:rsid w:val="74C97804"/>
    <w:rsid w:val="74CE4179"/>
    <w:rsid w:val="74D02A9C"/>
    <w:rsid w:val="74E018B9"/>
    <w:rsid w:val="74E724EC"/>
    <w:rsid w:val="74E7348C"/>
    <w:rsid w:val="74E76FE8"/>
    <w:rsid w:val="74EA0887"/>
    <w:rsid w:val="74F8076B"/>
    <w:rsid w:val="74F811F5"/>
    <w:rsid w:val="74F86FE9"/>
    <w:rsid w:val="74FC15EE"/>
    <w:rsid w:val="75031FCE"/>
    <w:rsid w:val="750F5290"/>
    <w:rsid w:val="7514495A"/>
    <w:rsid w:val="75144CBB"/>
    <w:rsid w:val="75147228"/>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D2492"/>
    <w:rsid w:val="75884CD1"/>
    <w:rsid w:val="758F0CAF"/>
    <w:rsid w:val="75953BB6"/>
    <w:rsid w:val="759B1ACD"/>
    <w:rsid w:val="75A510B6"/>
    <w:rsid w:val="75A629FF"/>
    <w:rsid w:val="75A6486C"/>
    <w:rsid w:val="75AC0834"/>
    <w:rsid w:val="75AE25D4"/>
    <w:rsid w:val="75BA4D4F"/>
    <w:rsid w:val="75BC76D1"/>
    <w:rsid w:val="75BE5F9B"/>
    <w:rsid w:val="75C8506C"/>
    <w:rsid w:val="75D532E5"/>
    <w:rsid w:val="75EF43A6"/>
    <w:rsid w:val="75F02645"/>
    <w:rsid w:val="75F74182"/>
    <w:rsid w:val="75F84189"/>
    <w:rsid w:val="75F85CE9"/>
    <w:rsid w:val="76034F0D"/>
    <w:rsid w:val="76040FE2"/>
    <w:rsid w:val="760429DC"/>
    <w:rsid w:val="760C0509"/>
    <w:rsid w:val="760D6F22"/>
    <w:rsid w:val="760F2C9B"/>
    <w:rsid w:val="7614205F"/>
    <w:rsid w:val="76191155"/>
    <w:rsid w:val="76197675"/>
    <w:rsid w:val="762A53DF"/>
    <w:rsid w:val="762F092F"/>
    <w:rsid w:val="763B6BB8"/>
    <w:rsid w:val="763E532E"/>
    <w:rsid w:val="76452218"/>
    <w:rsid w:val="7646530C"/>
    <w:rsid w:val="764A58FE"/>
    <w:rsid w:val="76530DD9"/>
    <w:rsid w:val="76550D87"/>
    <w:rsid w:val="76632DD8"/>
    <w:rsid w:val="766338BB"/>
    <w:rsid w:val="76746FA2"/>
    <w:rsid w:val="768E1E11"/>
    <w:rsid w:val="769136B0"/>
    <w:rsid w:val="7693567A"/>
    <w:rsid w:val="76966F18"/>
    <w:rsid w:val="769E7691"/>
    <w:rsid w:val="769F401E"/>
    <w:rsid w:val="76A21419"/>
    <w:rsid w:val="76A2218F"/>
    <w:rsid w:val="76AF3B36"/>
    <w:rsid w:val="76B63116"/>
    <w:rsid w:val="76BB24DB"/>
    <w:rsid w:val="76BD26F7"/>
    <w:rsid w:val="76C23869"/>
    <w:rsid w:val="76C75323"/>
    <w:rsid w:val="76CE66B2"/>
    <w:rsid w:val="76D0133D"/>
    <w:rsid w:val="76D35A76"/>
    <w:rsid w:val="76D4037D"/>
    <w:rsid w:val="76D65876"/>
    <w:rsid w:val="76D90BB3"/>
    <w:rsid w:val="76D95E5B"/>
    <w:rsid w:val="76DB737B"/>
    <w:rsid w:val="76E71522"/>
    <w:rsid w:val="76E9087B"/>
    <w:rsid w:val="76EA2DC0"/>
    <w:rsid w:val="76EB45B4"/>
    <w:rsid w:val="76EC2FDC"/>
    <w:rsid w:val="76ED0DC3"/>
    <w:rsid w:val="76EE044E"/>
    <w:rsid w:val="76F93003"/>
    <w:rsid w:val="76FD790B"/>
    <w:rsid w:val="7705172F"/>
    <w:rsid w:val="770A7A13"/>
    <w:rsid w:val="770E6AAE"/>
    <w:rsid w:val="770F1CA5"/>
    <w:rsid w:val="771146FB"/>
    <w:rsid w:val="77147E3D"/>
    <w:rsid w:val="771A5453"/>
    <w:rsid w:val="77253DF8"/>
    <w:rsid w:val="772A140E"/>
    <w:rsid w:val="772C33D8"/>
    <w:rsid w:val="772E53A2"/>
    <w:rsid w:val="772E58B5"/>
    <w:rsid w:val="773553C0"/>
    <w:rsid w:val="773D57FB"/>
    <w:rsid w:val="773E455F"/>
    <w:rsid w:val="773E756E"/>
    <w:rsid w:val="77400C32"/>
    <w:rsid w:val="774150D6"/>
    <w:rsid w:val="7745051E"/>
    <w:rsid w:val="77483836"/>
    <w:rsid w:val="7749680F"/>
    <w:rsid w:val="774C75D7"/>
    <w:rsid w:val="774F2D1B"/>
    <w:rsid w:val="7758241F"/>
    <w:rsid w:val="776345B3"/>
    <w:rsid w:val="77664B3C"/>
    <w:rsid w:val="777032C5"/>
    <w:rsid w:val="777127A0"/>
    <w:rsid w:val="777668F4"/>
    <w:rsid w:val="778154D2"/>
    <w:rsid w:val="77844405"/>
    <w:rsid w:val="77862AE9"/>
    <w:rsid w:val="77880CC9"/>
    <w:rsid w:val="77903967"/>
    <w:rsid w:val="779C230C"/>
    <w:rsid w:val="77A06F50"/>
    <w:rsid w:val="77A80CB1"/>
    <w:rsid w:val="77AE0291"/>
    <w:rsid w:val="77B346BB"/>
    <w:rsid w:val="77B47CCC"/>
    <w:rsid w:val="77B91110"/>
    <w:rsid w:val="77BA3D96"/>
    <w:rsid w:val="77BC650A"/>
    <w:rsid w:val="77BD1FA0"/>
    <w:rsid w:val="77C07A9F"/>
    <w:rsid w:val="77C11D73"/>
    <w:rsid w:val="77C26F8A"/>
    <w:rsid w:val="77C90C27"/>
    <w:rsid w:val="77CE623E"/>
    <w:rsid w:val="77D53A70"/>
    <w:rsid w:val="77D918E6"/>
    <w:rsid w:val="77DA6F0C"/>
    <w:rsid w:val="77DA78FE"/>
    <w:rsid w:val="77DD4321"/>
    <w:rsid w:val="77DF669D"/>
    <w:rsid w:val="77E141C3"/>
    <w:rsid w:val="77E17919"/>
    <w:rsid w:val="77E6589D"/>
    <w:rsid w:val="77ED2B68"/>
    <w:rsid w:val="77F04406"/>
    <w:rsid w:val="77F0629C"/>
    <w:rsid w:val="77F3229C"/>
    <w:rsid w:val="77F41075"/>
    <w:rsid w:val="77FA73B0"/>
    <w:rsid w:val="78047EB1"/>
    <w:rsid w:val="78084CF2"/>
    <w:rsid w:val="780A196C"/>
    <w:rsid w:val="780A28F0"/>
    <w:rsid w:val="780A4000"/>
    <w:rsid w:val="780B324D"/>
    <w:rsid w:val="780F37DF"/>
    <w:rsid w:val="780F40A3"/>
    <w:rsid w:val="781A76D5"/>
    <w:rsid w:val="781D0955"/>
    <w:rsid w:val="782A3DBC"/>
    <w:rsid w:val="78303AC8"/>
    <w:rsid w:val="783119C3"/>
    <w:rsid w:val="78341C0A"/>
    <w:rsid w:val="78353E77"/>
    <w:rsid w:val="783C3AEF"/>
    <w:rsid w:val="78480A2C"/>
    <w:rsid w:val="78542BE7"/>
    <w:rsid w:val="7857340C"/>
    <w:rsid w:val="78574485"/>
    <w:rsid w:val="785E00D6"/>
    <w:rsid w:val="78623556"/>
    <w:rsid w:val="786372CE"/>
    <w:rsid w:val="786F7A21"/>
    <w:rsid w:val="78776303"/>
    <w:rsid w:val="78787071"/>
    <w:rsid w:val="787A6483"/>
    <w:rsid w:val="78852DA0"/>
    <w:rsid w:val="788A1513"/>
    <w:rsid w:val="788A77FE"/>
    <w:rsid w:val="788F4888"/>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81581"/>
    <w:rsid w:val="78EC66B9"/>
    <w:rsid w:val="78EE16A1"/>
    <w:rsid w:val="78F341AE"/>
    <w:rsid w:val="78F61EF0"/>
    <w:rsid w:val="78FB12B4"/>
    <w:rsid w:val="78FE2B52"/>
    <w:rsid w:val="79004B1D"/>
    <w:rsid w:val="790463BB"/>
    <w:rsid w:val="790939D1"/>
    <w:rsid w:val="791A3E30"/>
    <w:rsid w:val="79230922"/>
    <w:rsid w:val="79246AEA"/>
    <w:rsid w:val="792702FB"/>
    <w:rsid w:val="79347FE5"/>
    <w:rsid w:val="7936673D"/>
    <w:rsid w:val="793A6280"/>
    <w:rsid w:val="793D1589"/>
    <w:rsid w:val="79464C25"/>
    <w:rsid w:val="794E7636"/>
    <w:rsid w:val="79584959"/>
    <w:rsid w:val="795A422D"/>
    <w:rsid w:val="795B1D53"/>
    <w:rsid w:val="795D33AB"/>
    <w:rsid w:val="79674631"/>
    <w:rsid w:val="796927C3"/>
    <w:rsid w:val="79722641"/>
    <w:rsid w:val="797352EE"/>
    <w:rsid w:val="79775734"/>
    <w:rsid w:val="797F76B6"/>
    <w:rsid w:val="798017B9"/>
    <w:rsid w:val="79856DD0"/>
    <w:rsid w:val="798C15A3"/>
    <w:rsid w:val="799106C2"/>
    <w:rsid w:val="7997722F"/>
    <w:rsid w:val="79A060E3"/>
    <w:rsid w:val="79A06D15"/>
    <w:rsid w:val="79A90D10"/>
    <w:rsid w:val="79AB2CDA"/>
    <w:rsid w:val="79AB4A88"/>
    <w:rsid w:val="79AE6327"/>
    <w:rsid w:val="79AF6D5B"/>
    <w:rsid w:val="79B14B03"/>
    <w:rsid w:val="79B3185B"/>
    <w:rsid w:val="79B37261"/>
    <w:rsid w:val="79C14F8E"/>
    <w:rsid w:val="79C773E8"/>
    <w:rsid w:val="79CB1D59"/>
    <w:rsid w:val="79CB7CAB"/>
    <w:rsid w:val="79CE3312"/>
    <w:rsid w:val="79D15FC6"/>
    <w:rsid w:val="79DC699D"/>
    <w:rsid w:val="79DE65C0"/>
    <w:rsid w:val="79E545B6"/>
    <w:rsid w:val="79E87A8A"/>
    <w:rsid w:val="79ED1354"/>
    <w:rsid w:val="79F309DD"/>
    <w:rsid w:val="79F3130E"/>
    <w:rsid w:val="79F747D4"/>
    <w:rsid w:val="79F857F4"/>
    <w:rsid w:val="79F9097C"/>
    <w:rsid w:val="7A106FE1"/>
    <w:rsid w:val="7A185906"/>
    <w:rsid w:val="7A19291C"/>
    <w:rsid w:val="7A1C7734"/>
    <w:rsid w:val="7A293BFF"/>
    <w:rsid w:val="7A2E492E"/>
    <w:rsid w:val="7A2F1528"/>
    <w:rsid w:val="7A326F58"/>
    <w:rsid w:val="7A382C18"/>
    <w:rsid w:val="7A47009C"/>
    <w:rsid w:val="7A4844CA"/>
    <w:rsid w:val="7A4A27EB"/>
    <w:rsid w:val="7A520955"/>
    <w:rsid w:val="7A5A200A"/>
    <w:rsid w:val="7A5E1AFB"/>
    <w:rsid w:val="7A650AE9"/>
    <w:rsid w:val="7A770E0E"/>
    <w:rsid w:val="7A797175"/>
    <w:rsid w:val="7A80434E"/>
    <w:rsid w:val="7A8C15C5"/>
    <w:rsid w:val="7A9814B1"/>
    <w:rsid w:val="7A9B107F"/>
    <w:rsid w:val="7AA420E1"/>
    <w:rsid w:val="7AAA75E8"/>
    <w:rsid w:val="7AAD0C01"/>
    <w:rsid w:val="7AAD4830"/>
    <w:rsid w:val="7AB14320"/>
    <w:rsid w:val="7ABC51E6"/>
    <w:rsid w:val="7ABD2E68"/>
    <w:rsid w:val="7ABD507C"/>
    <w:rsid w:val="7AD522E8"/>
    <w:rsid w:val="7AD973D3"/>
    <w:rsid w:val="7ADF72B5"/>
    <w:rsid w:val="7AF470B9"/>
    <w:rsid w:val="7B034450"/>
    <w:rsid w:val="7B0345BB"/>
    <w:rsid w:val="7B09415C"/>
    <w:rsid w:val="7B0D78D9"/>
    <w:rsid w:val="7B1256BC"/>
    <w:rsid w:val="7B197943"/>
    <w:rsid w:val="7B276391"/>
    <w:rsid w:val="7B297B05"/>
    <w:rsid w:val="7B322405"/>
    <w:rsid w:val="7B35774E"/>
    <w:rsid w:val="7B38234C"/>
    <w:rsid w:val="7B3C3E77"/>
    <w:rsid w:val="7B404852"/>
    <w:rsid w:val="7B5235EA"/>
    <w:rsid w:val="7B542EAC"/>
    <w:rsid w:val="7B5829EE"/>
    <w:rsid w:val="7B584A2A"/>
    <w:rsid w:val="7B590514"/>
    <w:rsid w:val="7B5C7324"/>
    <w:rsid w:val="7B5F3D7C"/>
    <w:rsid w:val="7B7D7D6C"/>
    <w:rsid w:val="7B81116A"/>
    <w:rsid w:val="7B825CBD"/>
    <w:rsid w:val="7B8F3F36"/>
    <w:rsid w:val="7B90370B"/>
    <w:rsid w:val="7B94686C"/>
    <w:rsid w:val="7B9B37F5"/>
    <w:rsid w:val="7BA2010D"/>
    <w:rsid w:val="7BAC6ABD"/>
    <w:rsid w:val="7BB51BEE"/>
    <w:rsid w:val="7BBE4BF1"/>
    <w:rsid w:val="7BBF481B"/>
    <w:rsid w:val="7BC71395"/>
    <w:rsid w:val="7BCB7664"/>
    <w:rsid w:val="7BCE74FC"/>
    <w:rsid w:val="7BCF73F5"/>
    <w:rsid w:val="7BD00D11"/>
    <w:rsid w:val="7BD04C7A"/>
    <w:rsid w:val="7BDC4EEF"/>
    <w:rsid w:val="7BDE121C"/>
    <w:rsid w:val="7BDF1017"/>
    <w:rsid w:val="7BE10C35"/>
    <w:rsid w:val="7BE129E3"/>
    <w:rsid w:val="7BE2731E"/>
    <w:rsid w:val="7BE67FFA"/>
    <w:rsid w:val="7BEE5734"/>
    <w:rsid w:val="7BF72207"/>
    <w:rsid w:val="7BF73FB5"/>
    <w:rsid w:val="7BFB5ED4"/>
    <w:rsid w:val="7C012134"/>
    <w:rsid w:val="7C0B3FA6"/>
    <w:rsid w:val="7C0C660D"/>
    <w:rsid w:val="7C0F691B"/>
    <w:rsid w:val="7C2823C0"/>
    <w:rsid w:val="7C2E19A1"/>
    <w:rsid w:val="7C324150"/>
    <w:rsid w:val="7C3A2CCD"/>
    <w:rsid w:val="7C430D1C"/>
    <w:rsid w:val="7C440E4A"/>
    <w:rsid w:val="7C442F72"/>
    <w:rsid w:val="7C4446F4"/>
    <w:rsid w:val="7C4C0D8D"/>
    <w:rsid w:val="7C4E5B9F"/>
    <w:rsid w:val="7C4F5666"/>
    <w:rsid w:val="7C551482"/>
    <w:rsid w:val="7C581E2C"/>
    <w:rsid w:val="7C5A0FE1"/>
    <w:rsid w:val="7C613B24"/>
    <w:rsid w:val="7C63789C"/>
    <w:rsid w:val="7C7F3FAA"/>
    <w:rsid w:val="7C86434E"/>
    <w:rsid w:val="7C9525C4"/>
    <w:rsid w:val="7C9618B9"/>
    <w:rsid w:val="7C9A5D73"/>
    <w:rsid w:val="7C9D55C8"/>
    <w:rsid w:val="7CB225D2"/>
    <w:rsid w:val="7CC36B4B"/>
    <w:rsid w:val="7CC734A3"/>
    <w:rsid w:val="7CC77E2B"/>
    <w:rsid w:val="7CC90568"/>
    <w:rsid w:val="7CD12A58"/>
    <w:rsid w:val="7CD50A1F"/>
    <w:rsid w:val="7CD75B94"/>
    <w:rsid w:val="7CD81ACA"/>
    <w:rsid w:val="7CD95C45"/>
    <w:rsid w:val="7CDC31AB"/>
    <w:rsid w:val="7CE16A13"/>
    <w:rsid w:val="7CE21BD1"/>
    <w:rsid w:val="7CE704CD"/>
    <w:rsid w:val="7CED7166"/>
    <w:rsid w:val="7CF16C56"/>
    <w:rsid w:val="7CF404F4"/>
    <w:rsid w:val="7CFA56EB"/>
    <w:rsid w:val="7CFE1373"/>
    <w:rsid w:val="7D04591E"/>
    <w:rsid w:val="7D07358E"/>
    <w:rsid w:val="7D160A41"/>
    <w:rsid w:val="7D1B3CD3"/>
    <w:rsid w:val="7D1E3E51"/>
    <w:rsid w:val="7D221505"/>
    <w:rsid w:val="7D23702C"/>
    <w:rsid w:val="7D243928"/>
    <w:rsid w:val="7D25327D"/>
    <w:rsid w:val="7D2A6A4D"/>
    <w:rsid w:val="7D2B7667"/>
    <w:rsid w:val="7D361B51"/>
    <w:rsid w:val="7D3A6B81"/>
    <w:rsid w:val="7D40198C"/>
    <w:rsid w:val="7D435A31"/>
    <w:rsid w:val="7D441F12"/>
    <w:rsid w:val="7D53064C"/>
    <w:rsid w:val="7D6A4E7C"/>
    <w:rsid w:val="7D7358BD"/>
    <w:rsid w:val="7D823D52"/>
    <w:rsid w:val="7D841889"/>
    <w:rsid w:val="7D847EAC"/>
    <w:rsid w:val="7D8537D1"/>
    <w:rsid w:val="7D871368"/>
    <w:rsid w:val="7D943A85"/>
    <w:rsid w:val="7D9F66B2"/>
    <w:rsid w:val="7DCD6ED9"/>
    <w:rsid w:val="7DCE343B"/>
    <w:rsid w:val="7DCF4ABD"/>
    <w:rsid w:val="7DD00F61"/>
    <w:rsid w:val="7DDA1DE0"/>
    <w:rsid w:val="7DDB3462"/>
    <w:rsid w:val="7DE40569"/>
    <w:rsid w:val="7DE93DD1"/>
    <w:rsid w:val="7DF804B8"/>
    <w:rsid w:val="7DFC1D56"/>
    <w:rsid w:val="7DFD162B"/>
    <w:rsid w:val="7DFD21A5"/>
    <w:rsid w:val="7DFE517E"/>
    <w:rsid w:val="7DFF5ED8"/>
    <w:rsid w:val="7E013118"/>
    <w:rsid w:val="7E0A7DB1"/>
    <w:rsid w:val="7E1231D5"/>
    <w:rsid w:val="7E152481"/>
    <w:rsid w:val="7E152E18"/>
    <w:rsid w:val="7E1532BF"/>
    <w:rsid w:val="7E2B6198"/>
    <w:rsid w:val="7E301A00"/>
    <w:rsid w:val="7E33504C"/>
    <w:rsid w:val="7E39169C"/>
    <w:rsid w:val="7E3C46AB"/>
    <w:rsid w:val="7E406FB3"/>
    <w:rsid w:val="7E41193E"/>
    <w:rsid w:val="7E473768"/>
    <w:rsid w:val="7E4C1C3E"/>
    <w:rsid w:val="7E5A6F1A"/>
    <w:rsid w:val="7E5B0F45"/>
    <w:rsid w:val="7E5C09FE"/>
    <w:rsid w:val="7E5C7923"/>
    <w:rsid w:val="7E6D4A02"/>
    <w:rsid w:val="7E71755F"/>
    <w:rsid w:val="7E722019"/>
    <w:rsid w:val="7E7E276B"/>
    <w:rsid w:val="7E8A55B4"/>
    <w:rsid w:val="7E8D6E52"/>
    <w:rsid w:val="7E957AB5"/>
    <w:rsid w:val="7E966F3A"/>
    <w:rsid w:val="7E9977A1"/>
    <w:rsid w:val="7E9F09A1"/>
    <w:rsid w:val="7E9F10B2"/>
    <w:rsid w:val="7E9F26E2"/>
    <w:rsid w:val="7EA30E4D"/>
    <w:rsid w:val="7EA31E30"/>
    <w:rsid w:val="7EA36676"/>
    <w:rsid w:val="7EAF1C20"/>
    <w:rsid w:val="7EB77A2B"/>
    <w:rsid w:val="7EBB39C0"/>
    <w:rsid w:val="7EC20604"/>
    <w:rsid w:val="7EC30AC6"/>
    <w:rsid w:val="7EC53367"/>
    <w:rsid w:val="7EC94365"/>
    <w:rsid w:val="7ED26C70"/>
    <w:rsid w:val="7ED54763"/>
    <w:rsid w:val="7EDB5E10"/>
    <w:rsid w:val="7EDC56E4"/>
    <w:rsid w:val="7EEB05D3"/>
    <w:rsid w:val="7EEC1DCB"/>
    <w:rsid w:val="7EEE26E0"/>
    <w:rsid w:val="7EF058D7"/>
    <w:rsid w:val="7EF70770"/>
    <w:rsid w:val="7EF742CC"/>
    <w:rsid w:val="7EF81DA3"/>
    <w:rsid w:val="7F0374ED"/>
    <w:rsid w:val="7F044C6C"/>
    <w:rsid w:val="7F090CCE"/>
    <w:rsid w:val="7F0F7867"/>
    <w:rsid w:val="7F111831"/>
    <w:rsid w:val="7F165AB5"/>
    <w:rsid w:val="7F1A529F"/>
    <w:rsid w:val="7F1D4C01"/>
    <w:rsid w:val="7F303D3B"/>
    <w:rsid w:val="7F333489"/>
    <w:rsid w:val="7F3655AF"/>
    <w:rsid w:val="7F3C2FA7"/>
    <w:rsid w:val="7F4F4108"/>
    <w:rsid w:val="7F601E71"/>
    <w:rsid w:val="7F6A2CF0"/>
    <w:rsid w:val="7F6A763A"/>
    <w:rsid w:val="7F6B762D"/>
    <w:rsid w:val="7F703475"/>
    <w:rsid w:val="7F735A2D"/>
    <w:rsid w:val="7F736048"/>
    <w:rsid w:val="7F7362C1"/>
    <w:rsid w:val="7F787239"/>
    <w:rsid w:val="7F7CCD77"/>
    <w:rsid w:val="7F7E679B"/>
    <w:rsid w:val="7F7F471D"/>
    <w:rsid w:val="7F8178E0"/>
    <w:rsid w:val="7F853C77"/>
    <w:rsid w:val="7F961D37"/>
    <w:rsid w:val="7F966C81"/>
    <w:rsid w:val="7F9D30C5"/>
    <w:rsid w:val="7FA154A9"/>
    <w:rsid w:val="7FA62DC9"/>
    <w:rsid w:val="7FBD034F"/>
    <w:rsid w:val="7FBE3F06"/>
    <w:rsid w:val="7FC34A28"/>
    <w:rsid w:val="7FCD479C"/>
    <w:rsid w:val="7FD10FC1"/>
    <w:rsid w:val="7FD124EE"/>
    <w:rsid w:val="7FD54AA6"/>
    <w:rsid w:val="7FDA7E75"/>
    <w:rsid w:val="7FDB3BED"/>
    <w:rsid w:val="7FDC1E3F"/>
    <w:rsid w:val="7FDD1714"/>
    <w:rsid w:val="7FE02FB2"/>
    <w:rsid w:val="7FE4033B"/>
    <w:rsid w:val="7FE87725"/>
    <w:rsid w:val="7FF67685"/>
    <w:rsid w:val="EDAF5224"/>
    <w:rsid w:val="EEEAE0D5"/>
    <w:rsid w:val="F3BBC625"/>
    <w:rsid w:val="FB7B36D0"/>
    <w:rsid w:val="FBDF2C71"/>
    <w:rsid w:val="FBFF14F4"/>
    <w:rsid w:val="FD65D63F"/>
    <w:rsid w:val="FFF62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1"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4">
    <w:name w:val="heading 2"/>
    <w:basedOn w:val="1"/>
    <w:next w:val="1"/>
    <w:autoRedefine/>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5">
    <w:name w:val="heading 3"/>
    <w:basedOn w:val="1"/>
    <w:next w:val="1"/>
    <w:autoRedefine/>
    <w:semiHidden/>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6">
    <w:name w:val="heading 4"/>
    <w:basedOn w:val="1"/>
    <w:next w:val="1"/>
    <w:autoRedefine/>
    <w:semiHidden/>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7">
    <w:name w:val="heading 5"/>
    <w:basedOn w:val="1"/>
    <w:next w:val="1"/>
    <w:autoRedefine/>
    <w:semiHidden/>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paragraph" w:styleId="8">
    <w:name w:val="heading 9"/>
    <w:basedOn w:val="1"/>
    <w:next w:val="1"/>
    <w:semiHidden/>
    <w:unhideWhenUsed/>
    <w:qFormat/>
    <w:uiPriority w:val="1"/>
    <w:pPr>
      <w:ind w:left="842"/>
      <w:outlineLvl w:val="8"/>
    </w:pPr>
    <w:rPr>
      <w:rFonts w:ascii="Microsoft JhengHei" w:hAnsi="Microsoft JhengHei" w:eastAsia="Microsoft JhengHei"/>
      <w:b/>
      <w:bCs/>
      <w:sz w:val="24"/>
      <w:szCs w:val="24"/>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styleId="9">
    <w:name w:val="Normal Indent"/>
    <w:basedOn w:val="1"/>
    <w:next w:val="1"/>
    <w:autoRedefine/>
    <w:qFormat/>
    <w:uiPriority w:val="0"/>
    <w:pPr>
      <w:ind w:firstLine="420"/>
    </w:pPr>
    <w:rPr>
      <w:szCs w:val="20"/>
    </w:rPr>
  </w:style>
  <w:style w:type="paragraph" w:styleId="10">
    <w:name w:val="Document Map"/>
    <w:basedOn w:val="1"/>
    <w:qFormat/>
    <w:uiPriority w:val="99"/>
    <w:rPr>
      <w:rFonts w:ascii="宋体"/>
      <w:sz w:val="18"/>
      <w:szCs w:val="18"/>
    </w:rPr>
  </w:style>
  <w:style w:type="paragraph" w:styleId="11">
    <w:name w:val="toa heading"/>
    <w:basedOn w:val="1"/>
    <w:next w:val="1"/>
    <w:qFormat/>
    <w:uiPriority w:val="0"/>
    <w:pPr>
      <w:spacing w:before="120"/>
    </w:pPr>
    <w:rPr>
      <w:rFonts w:ascii="Arial" w:hAnsi="Arial"/>
      <w:sz w:val="24"/>
      <w:szCs w:val="20"/>
    </w:rPr>
  </w:style>
  <w:style w:type="paragraph" w:styleId="12">
    <w:name w:val="annotation text"/>
    <w:basedOn w:val="1"/>
    <w:autoRedefine/>
    <w:qFormat/>
    <w:uiPriority w:val="0"/>
    <w:pPr>
      <w:widowControl w:val="0"/>
      <w:adjustRightInd w:val="0"/>
      <w:spacing w:line="360" w:lineRule="atLeast"/>
      <w:textAlignment w:val="baseline"/>
    </w:pPr>
    <w:rPr>
      <w:sz w:val="24"/>
    </w:rPr>
  </w:style>
  <w:style w:type="paragraph" w:styleId="13">
    <w:name w:val="Body Text Indent"/>
    <w:basedOn w:val="1"/>
    <w:next w:val="14"/>
    <w:autoRedefine/>
    <w:qFormat/>
    <w:uiPriority w:val="0"/>
    <w:pPr>
      <w:spacing w:after="120" w:afterLines="0" w:afterAutospacing="0"/>
      <w:ind w:left="420" w:leftChars="200"/>
    </w:pPr>
  </w:style>
  <w:style w:type="paragraph" w:styleId="14">
    <w:name w:val="envelope return"/>
    <w:basedOn w:val="1"/>
    <w:qFormat/>
    <w:uiPriority w:val="0"/>
    <w:pPr>
      <w:snapToGrid w:val="0"/>
      <w:spacing w:line="360" w:lineRule="auto"/>
    </w:pPr>
    <w:rPr>
      <w:rFonts w:ascii="Arial" w:hAnsi="Arial"/>
      <w:sz w:val="24"/>
    </w:rPr>
  </w:style>
  <w:style w:type="paragraph" w:styleId="15">
    <w:name w:val="toc 3"/>
    <w:basedOn w:val="1"/>
    <w:next w:val="1"/>
    <w:qFormat/>
    <w:uiPriority w:val="0"/>
    <w:pPr>
      <w:ind w:left="840" w:leftChars="400"/>
    </w:pPr>
  </w:style>
  <w:style w:type="paragraph" w:styleId="16">
    <w:name w:val="Plain Text"/>
    <w:basedOn w:val="1"/>
    <w:next w:val="1"/>
    <w:autoRedefine/>
    <w:unhideWhenUsed/>
    <w:qFormat/>
    <w:uiPriority w:val="99"/>
    <w:rPr>
      <w:rFonts w:ascii="宋体"/>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toc 1"/>
    <w:basedOn w:val="1"/>
    <w:next w:val="1"/>
    <w:autoRedefine/>
    <w:qFormat/>
    <w:uiPriority w:val="0"/>
    <w:pPr>
      <w:tabs>
        <w:tab w:val="right" w:leader="dot" w:pos="9628"/>
      </w:tabs>
      <w:spacing w:before="120" w:after="120"/>
      <w:ind w:firstLine="74" w:firstLineChars="74"/>
      <w:jc w:val="left"/>
    </w:pPr>
    <w:rPr>
      <w:b/>
      <w:caps/>
      <w:sz w:val="20"/>
    </w:rPr>
  </w:style>
  <w:style w:type="paragraph" w:styleId="20">
    <w:name w:val="toc 2"/>
    <w:basedOn w:val="1"/>
    <w:next w:val="1"/>
    <w:qFormat/>
    <w:uiPriority w:val="0"/>
    <w:pPr>
      <w:ind w:left="420" w:leftChars="200"/>
    </w:pPr>
  </w:style>
  <w:style w:type="paragraph" w:styleId="21">
    <w:name w:val="Body Text 2"/>
    <w:basedOn w:val="1"/>
    <w:autoRedefine/>
    <w:qFormat/>
    <w:uiPriority w:val="0"/>
    <w:rPr>
      <w:rFonts w:ascii="仿宋_GB2312" w:eastAsia="仿宋_GB2312"/>
      <w:b/>
      <w:sz w:val="24"/>
    </w:rPr>
  </w:style>
  <w:style w:type="paragraph" w:styleId="22">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4">
    <w:name w:val="Body Text First Indent"/>
    <w:basedOn w:val="2"/>
    <w:next w:val="1"/>
    <w:autoRedefine/>
    <w:qFormat/>
    <w:uiPriority w:val="0"/>
    <w:pPr>
      <w:spacing w:line="312" w:lineRule="auto"/>
      <w:ind w:firstLine="420"/>
    </w:pPr>
    <w:rPr>
      <w:color w:val="000000"/>
      <w:szCs w:val="21"/>
    </w:rPr>
  </w:style>
  <w:style w:type="paragraph" w:styleId="25">
    <w:name w:val="Body Text First Indent 2"/>
    <w:basedOn w:val="13"/>
    <w:autoRedefine/>
    <w:unhideWhenUsed/>
    <w:qFormat/>
    <w:uiPriority w:val="99"/>
    <w:pPr>
      <w:ind w:firstLine="420" w:firstLineChars="200"/>
    </w:p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page number"/>
    <w:basedOn w:val="28"/>
    <w:autoRedefine/>
    <w:qFormat/>
    <w:uiPriority w:val="0"/>
  </w:style>
  <w:style w:type="character" w:styleId="31">
    <w:name w:val="Emphasis"/>
    <w:basedOn w:val="28"/>
    <w:autoRedefine/>
    <w:qFormat/>
    <w:uiPriority w:val="0"/>
    <w:rPr>
      <w:i/>
    </w:rPr>
  </w:style>
  <w:style w:type="character" w:styleId="32">
    <w:name w:val="Hyperlink"/>
    <w:basedOn w:val="28"/>
    <w:autoRedefine/>
    <w:qFormat/>
    <w:uiPriority w:val="0"/>
    <w:rPr>
      <w:color w:val="0000FF"/>
      <w:u w:val="single"/>
    </w:rPr>
  </w:style>
  <w:style w:type="character" w:styleId="33">
    <w:name w:val="annotation reference"/>
    <w:basedOn w:val="28"/>
    <w:autoRedefine/>
    <w:qFormat/>
    <w:uiPriority w:val="0"/>
    <w:rPr>
      <w:sz w:val="21"/>
      <w:szCs w:val="21"/>
    </w:rPr>
  </w:style>
  <w:style w:type="paragraph" w:customStyle="1" w:styleId="34">
    <w:name w:val="表格文字"/>
    <w:basedOn w:val="1"/>
    <w:next w:val="2"/>
    <w:autoRedefine/>
    <w:qFormat/>
    <w:uiPriority w:val="0"/>
    <w:pPr>
      <w:spacing w:before="25" w:after="25"/>
    </w:pPr>
    <w:rPr>
      <w:bCs/>
      <w:spacing w:val="10"/>
      <w:sz w:val="24"/>
      <w:szCs w:val="20"/>
    </w:rPr>
  </w:style>
  <w:style w:type="paragraph" w:customStyle="1" w:styleId="35">
    <w:name w:val="样式 正文文字缩进 + 小四 首行缩进:  2 字符"/>
    <w:basedOn w:val="1"/>
    <w:qFormat/>
    <w:uiPriority w:val="0"/>
    <w:pPr>
      <w:spacing w:line="600" w:lineRule="exact"/>
      <w:jc w:val="center"/>
    </w:pPr>
    <w:rPr>
      <w:rFonts w:ascii="宋体"/>
      <w:b/>
      <w:u w:val="double"/>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19"/>
    <w:basedOn w:val="28"/>
    <w:autoRedefine/>
    <w:qFormat/>
    <w:uiPriority w:val="0"/>
    <w:rPr>
      <w:rFonts w:hint="eastAsia" w:ascii="Times New Roman" w:eastAsia="楷体_GB2312" w:cs="楷体_GB2312"/>
      <w:sz w:val="32"/>
      <w:szCs w:val="32"/>
    </w:rPr>
  </w:style>
  <w:style w:type="character" w:customStyle="1" w:styleId="38">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39">
    <w:name w:val=" Char"/>
    <w:basedOn w:val="1"/>
    <w:autoRedefine/>
    <w:qFormat/>
    <w:uiPriority w:val="0"/>
    <w:pPr>
      <w:spacing w:after="160" w:afterLines="0" w:line="240" w:lineRule="exact"/>
    </w:pPr>
    <w:rPr>
      <w:rFonts w:ascii="Verdana" w:hAnsi="Verdana" w:eastAsia="仿宋_GB2312"/>
      <w:sz w:val="24"/>
      <w:lang w:eastAsia="en-US"/>
    </w:rPr>
  </w:style>
  <w:style w:type="character" w:customStyle="1" w:styleId="40">
    <w:name w:val=" Char Char Char"/>
    <w:autoRedefine/>
    <w:qFormat/>
    <w:uiPriority w:val="0"/>
    <w:rPr>
      <w:rFonts w:ascii="Cambria" w:hAnsi="Cambria" w:eastAsia="宋体"/>
      <w:b/>
      <w:bCs/>
      <w:sz w:val="32"/>
      <w:szCs w:val="32"/>
      <w:lang w:val="en-US" w:eastAsia="zh-CN" w:bidi="ar-SA"/>
    </w:rPr>
  </w:style>
  <w:style w:type="paragraph" w:customStyle="1" w:styleId="41">
    <w:name w:val="报告正文"/>
    <w:autoRedefine/>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4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3">
    <w:name w:val="List Paragraph"/>
    <w:basedOn w:val="1"/>
    <w:autoRedefine/>
    <w:qFormat/>
    <w:uiPriority w:val="34"/>
    <w:pPr>
      <w:ind w:firstLine="420" w:firstLineChars="200"/>
    </w:pPr>
  </w:style>
  <w:style w:type="paragraph" w:customStyle="1" w:styleId="44">
    <w:name w:val="Table Paragraph"/>
    <w:basedOn w:val="1"/>
    <w:autoRedefine/>
    <w:qFormat/>
    <w:uiPriority w:val="1"/>
    <w:pPr>
      <w:spacing w:before="43"/>
      <w:ind w:left="107"/>
    </w:pPr>
    <w:rPr>
      <w:rFonts w:ascii="宋体" w:hAnsi="宋体" w:cs="宋体"/>
      <w:lang w:eastAsia="en-US" w:bidi="en-US"/>
    </w:rPr>
  </w:style>
  <w:style w:type="paragraph" w:customStyle="1" w:styleId="45">
    <w:name w:val="List Paragraph1"/>
    <w:basedOn w:val="1"/>
    <w:autoRedefine/>
    <w:qFormat/>
    <w:uiPriority w:val="0"/>
    <w:pPr>
      <w:ind w:firstLine="420" w:firstLineChars="200"/>
    </w:pPr>
    <w:rPr>
      <w:rFonts w:ascii="Calibri" w:hAnsi="Calibri"/>
      <w:szCs w:val="22"/>
    </w:rPr>
  </w:style>
  <w:style w:type="paragraph" w:customStyle="1" w:styleId="46">
    <w:name w:val="标题2"/>
    <w:basedOn w:val="47"/>
    <w:autoRedefine/>
    <w:qFormat/>
    <w:uiPriority w:val="0"/>
    <w:rPr>
      <w:b w:val="0"/>
      <w:sz w:val="21"/>
    </w:rPr>
  </w:style>
  <w:style w:type="paragraph" w:customStyle="1" w:styleId="47">
    <w:name w:val="标题1"/>
    <w:basedOn w:val="48"/>
    <w:autoRedefine/>
    <w:qFormat/>
    <w:uiPriority w:val="0"/>
    <w:pPr>
      <w:ind w:right="100" w:rightChars="100" w:firstLine="0" w:firstLineChars="0"/>
    </w:pPr>
    <w:rPr>
      <w:b/>
      <w:bCs/>
      <w:sz w:val="24"/>
    </w:rPr>
  </w:style>
  <w:style w:type="paragraph" w:customStyle="1" w:styleId="48">
    <w:name w:val="列出段落1"/>
    <w:basedOn w:val="1"/>
    <w:autoRedefine/>
    <w:qFormat/>
    <w:uiPriority w:val="34"/>
    <w:pPr>
      <w:ind w:firstLine="420" w:firstLineChars="200"/>
    </w:pPr>
  </w:style>
  <w:style w:type="paragraph" w:customStyle="1" w:styleId="49">
    <w:name w:val="彩色列表 - 强调文字颜色 12"/>
    <w:basedOn w:val="1"/>
    <w:autoRedefine/>
    <w:qFormat/>
    <w:uiPriority w:val="34"/>
    <w:pPr>
      <w:ind w:firstLine="420" w:firstLineChars="200"/>
    </w:pPr>
    <w:rPr>
      <w:szCs w:val="22"/>
    </w:rPr>
  </w:style>
  <w:style w:type="paragraph" w:customStyle="1" w:styleId="50">
    <w:name w:val="正文 A"/>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51">
    <w:name w:val="grame"/>
    <w:qFormat/>
    <w:uiPriority w:val="0"/>
  </w:style>
  <w:style w:type="paragraph" w:customStyle="1" w:styleId="52">
    <w:name w:val="ZJ表格"/>
    <w:basedOn w:val="1"/>
    <w:qFormat/>
    <w:uiPriority w:val="0"/>
    <w:pPr>
      <w:keepNext w:val="0"/>
      <w:keepLines w:val="0"/>
      <w:widowControl w:val="0"/>
      <w:suppressLineNumbers w:val="0"/>
      <w:spacing w:before="0" w:beforeAutospacing="0" w:after="0" w:afterAutospacing="0" w:line="273" w:lineRule="auto"/>
      <w:ind w:left="0" w:right="0" w:firstLine="0" w:firstLineChars="0"/>
      <w:jc w:val="center"/>
    </w:pPr>
    <w:rPr>
      <w:rFonts w:hint="eastAsia" w:ascii="宋体" w:hAnsi="宋体" w:eastAsia="宋体" w:cs="仿宋"/>
      <w:kern w:val="2"/>
      <w:sz w:val="32"/>
      <w:szCs w:val="32"/>
      <w:lang w:val="en-US" w:eastAsia="zh-CN" w:bidi="ar"/>
    </w:rPr>
  </w:style>
  <w:style w:type="character" w:customStyle="1" w:styleId="53">
    <w:name w:val="16"/>
    <w:basedOn w:val="28"/>
    <w:qFormat/>
    <w:uiPriority w:val="0"/>
    <w:rPr>
      <w:rFonts w:hint="eastAsia" w:ascii="宋体" w:hAnsi="宋体" w:eastAsia="宋体" w:cs="宋体"/>
      <w:color w:val="FF0000"/>
      <w:sz w:val="20"/>
      <w:szCs w:val="20"/>
    </w:rPr>
  </w:style>
  <w:style w:type="paragraph" w:customStyle="1" w:styleId="54">
    <w:name w:val="WPSOffice手动目录 1"/>
    <w:qFormat/>
    <w:uiPriority w:val="0"/>
    <w:pPr>
      <w:ind w:leftChars="0"/>
    </w:pPr>
    <w:rPr>
      <w:rFonts w:ascii="Times New Roman" w:hAnsi="Times New Roman" w:eastAsia="宋体" w:cs="Times New Roman"/>
      <w:sz w:val="20"/>
      <w:szCs w:val="20"/>
    </w:rPr>
  </w:style>
  <w:style w:type="paragraph" w:customStyle="1" w:styleId="55">
    <w:name w:val="纯文本1"/>
    <w:basedOn w:val="1"/>
    <w:qFormat/>
    <w:uiPriority w:val="0"/>
    <w:rPr>
      <w:rFonts w:ascii="宋体" w:hAnsi="Courier New" w:eastAsia="宋体" w:cs="Times New Roman"/>
      <w:szCs w:val="22"/>
    </w:rPr>
  </w:style>
  <w:style w:type="paragraph" w:customStyle="1" w:styleId="56">
    <w:name w:val="正文_3"/>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57">
    <w:name w:val="font11"/>
    <w:basedOn w:val="28"/>
    <w:qFormat/>
    <w:uiPriority w:val="0"/>
    <w:rPr>
      <w:rFonts w:hint="eastAsia" w:ascii="宋体" w:hAnsi="宋体" w:eastAsia="宋体" w:cs="宋体"/>
      <w:color w:val="000000"/>
      <w:sz w:val="22"/>
      <w:szCs w:val="22"/>
      <w:u w:val="none"/>
    </w:rPr>
  </w:style>
  <w:style w:type="character" w:customStyle="1" w:styleId="58">
    <w:name w:val="font01"/>
    <w:basedOn w:val="2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84</Pages>
  <Words>29174</Words>
  <Characters>30920</Characters>
  <Lines>0</Lines>
  <Paragraphs>0</Paragraphs>
  <TotalTime>13</TotalTime>
  <ScaleCrop>false</ScaleCrop>
  <LinksUpToDate>false</LinksUpToDate>
  <CharactersWithSpaces>32246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2021-10-15T16:56:00Z</dcterms:created>
  <dc:creator>1</dc:creator>
  <cp:lastModifiedBy>临沧市第二人民医院</cp:lastModifiedBy>
  <cp:lastPrinted>2024-12-25T17:49:00Z</cp:lastPrinted>
  <dcterms:modified xsi:type="dcterms:W3CDTF">2025-06-20T04:50:52Z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6B71CEA6F01E4ED1AF994942377B4E5F_13</vt:lpwstr>
  </property>
  <property fmtid="{D5CDD505-2E9C-101B-9397-08002B2CF9AE}" pid="3" name="KSOProductBuildVer">
    <vt:lpwstr>2052-12.1.0.21541</vt:lpwstr>
  </property>
  <property fmtid="{D5CDD505-2E9C-101B-9397-08002B2CF9AE}" pid="4" name="KSOTemplateDocerSaveRecord">
    <vt:lpwstr>eyJoZGlkIjoiYjhiZTk3ZTdjMTVhNjJhYmIxNjliZjJhYjMwODIwOTMiLCJ1c2VySWQiOiI1NTgyNzg2NTUifQ==</vt:lpwstr>
  </property>
</Properties>
</file>