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63A26">
      <w:pPr>
        <w:pStyle w:val="12"/>
        <w:jc w:val="center"/>
        <w:outlineLvl w:val="1"/>
      </w:pPr>
      <w:r>
        <w:rPr>
          <w:rFonts w:ascii="仿宋_GB2312" w:hAnsi="仿宋_GB2312" w:eastAsia="仿宋_GB2312" w:cs="仿宋_GB2312"/>
          <w:b/>
          <w:sz w:val="36"/>
        </w:rPr>
        <w:t>拟签订采购合同文本</w:t>
      </w:r>
    </w:p>
    <w:p w14:paraId="2C2EEB47">
      <w:pPr>
        <w:spacing w:line="360" w:lineRule="auto"/>
        <w:ind w:firstLine="640" w:firstLineChars="200"/>
        <w:jc w:val="center"/>
        <w:rPr>
          <w:rFonts w:hint="eastAsia"/>
          <w:sz w:val="32"/>
          <w:szCs w:val="32"/>
        </w:rPr>
      </w:pPr>
      <w:r>
        <w:rPr>
          <w:rFonts w:hint="eastAsia"/>
          <w:sz w:val="32"/>
          <w:szCs w:val="32"/>
        </w:rPr>
        <w:t>（参考，最终以双方签订的正式合同为准）</w:t>
      </w:r>
    </w:p>
    <w:p w14:paraId="2ADD63CF">
      <w:pPr>
        <w:spacing w:line="360" w:lineRule="auto"/>
        <w:rPr>
          <w:rFonts w:hint="eastAsia" w:ascii="宋体" w:hAnsi="宋体" w:cs="宋体"/>
          <w:b/>
          <w:sz w:val="44"/>
          <w:szCs w:val="44"/>
        </w:rPr>
      </w:pPr>
    </w:p>
    <w:p w14:paraId="48EF47FD">
      <w:pPr>
        <w:pStyle w:val="4"/>
        <w:rPr>
          <w:rFonts w:hint="eastAsia" w:ascii="宋体" w:hAnsi="宋体" w:cs="宋体"/>
          <w:b/>
          <w:sz w:val="44"/>
          <w:szCs w:val="44"/>
        </w:rPr>
      </w:pPr>
    </w:p>
    <w:p w14:paraId="3691B329">
      <w:pPr>
        <w:pStyle w:val="7"/>
        <w:rPr>
          <w:rFonts w:hint="eastAsia" w:ascii="宋体" w:hAnsi="宋体" w:cs="宋体"/>
          <w:b/>
          <w:sz w:val="44"/>
          <w:szCs w:val="44"/>
        </w:rPr>
      </w:pPr>
    </w:p>
    <w:p w14:paraId="5EFCD7AF">
      <w:pPr>
        <w:rPr>
          <w:rFonts w:hint="eastAsia" w:ascii="宋体" w:hAnsi="宋体" w:cs="宋体"/>
          <w:b/>
          <w:sz w:val="44"/>
          <w:szCs w:val="44"/>
        </w:rPr>
      </w:pPr>
    </w:p>
    <w:p w14:paraId="4F079167">
      <w:pPr>
        <w:pStyle w:val="4"/>
        <w:rPr>
          <w:rFonts w:hint="eastAsia"/>
        </w:rPr>
      </w:pPr>
    </w:p>
    <w:p w14:paraId="160284D2">
      <w:pPr>
        <w:spacing w:line="360" w:lineRule="auto"/>
        <w:ind w:firstLine="3092" w:firstLineChars="700"/>
        <w:rPr>
          <w:rFonts w:hint="eastAsia" w:ascii="宋体" w:hAnsi="宋体" w:cs="宋体"/>
          <w:b/>
          <w:sz w:val="44"/>
          <w:szCs w:val="44"/>
        </w:rPr>
      </w:pPr>
    </w:p>
    <w:p w14:paraId="19D9A2F6">
      <w:pPr>
        <w:keepNext w:val="0"/>
        <w:keepLines w:val="0"/>
        <w:pageBreakBefore w:val="0"/>
        <w:widowControl w:val="0"/>
        <w:kinsoku/>
        <w:wordWrap/>
        <w:overflowPunct/>
        <w:topLinePunct w:val="0"/>
        <w:autoSpaceDE/>
        <w:autoSpaceDN/>
        <w:bidi w:val="0"/>
        <w:adjustRightInd/>
        <w:snapToGrid/>
        <w:spacing w:line="600" w:lineRule="exact"/>
        <w:ind w:firstLine="440" w:firstLineChars="100"/>
        <w:jc w:val="center"/>
        <w:textAlignment w:val="auto"/>
        <w:rPr>
          <w:rFonts w:hint="eastAsia" w:ascii="方正小标宋简体" w:hAnsi="方正小标宋简体" w:eastAsia="方正小标宋简体" w:cs="方正小标宋简体"/>
          <w:b w:val="0"/>
          <w:bCs/>
          <w:sz w:val="44"/>
          <w:szCs w:val="44"/>
          <w:u w:val="none"/>
          <w:lang w:val="en-US" w:eastAsia="zh-CN"/>
        </w:rPr>
      </w:pPr>
      <w:r>
        <w:rPr>
          <w:rFonts w:hint="eastAsia" w:ascii="方正小标宋简体" w:hAnsi="方正小标宋简体" w:eastAsia="方正小标宋简体" w:cs="方正小标宋简体"/>
          <w:b w:val="0"/>
          <w:bCs/>
          <w:sz w:val="44"/>
          <w:szCs w:val="44"/>
          <w:u w:val="none"/>
          <w:lang w:val="en-US" w:eastAsia="zh-CN"/>
        </w:rPr>
        <w:t xml:space="preserve">     西北妇女儿童医院运营管理决策支持</w:t>
      </w:r>
    </w:p>
    <w:p w14:paraId="2CFBFF9B">
      <w:pPr>
        <w:keepNext w:val="0"/>
        <w:keepLines w:val="0"/>
        <w:pageBreakBefore w:val="0"/>
        <w:widowControl w:val="0"/>
        <w:kinsoku/>
        <w:wordWrap/>
        <w:overflowPunct/>
        <w:topLinePunct w:val="0"/>
        <w:autoSpaceDE/>
        <w:autoSpaceDN/>
        <w:bidi w:val="0"/>
        <w:adjustRightInd/>
        <w:snapToGrid/>
        <w:spacing w:line="600" w:lineRule="exact"/>
        <w:ind w:firstLine="440" w:firstLineChars="100"/>
        <w:jc w:val="center"/>
        <w:textAlignment w:val="auto"/>
        <w:rPr>
          <w:rFonts w:hint="eastAsia" w:eastAsia="宋体"/>
          <w:b w:val="0"/>
          <w:bCs/>
          <w:sz w:val="44"/>
          <w:szCs w:val="44"/>
          <w:lang w:eastAsia="zh-CN"/>
        </w:rPr>
      </w:pPr>
      <w:r>
        <w:rPr>
          <w:rFonts w:hint="eastAsia" w:ascii="方正小标宋简体" w:hAnsi="方正小标宋简体" w:eastAsia="方正小标宋简体" w:cs="方正小标宋简体"/>
          <w:b w:val="0"/>
          <w:bCs/>
          <w:sz w:val="44"/>
          <w:szCs w:val="44"/>
          <w:u w:val="none"/>
          <w:lang w:val="en-US" w:eastAsia="zh-CN"/>
        </w:rPr>
        <w:t>服务</w:t>
      </w:r>
      <w:r>
        <w:rPr>
          <w:rFonts w:hint="eastAsia" w:ascii="方正小标宋简体" w:hAnsi="方正小标宋简体" w:eastAsia="方正小标宋简体" w:cs="方正小标宋简体"/>
          <w:b w:val="0"/>
          <w:bCs/>
          <w:sz w:val="44"/>
          <w:szCs w:val="44"/>
        </w:rPr>
        <w:t>项目合同</w:t>
      </w:r>
    </w:p>
    <w:p w14:paraId="16AD44C7">
      <w:pPr>
        <w:widowControl/>
        <w:spacing w:line="360" w:lineRule="auto"/>
        <w:rPr>
          <w:rFonts w:hint="eastAsia" w:ascii="仿宋" w:hAnsi="仿宋" w:eastAsia="仿宋" w:cs="仿宋"/>
          <w:color w:val="000000"/>
          <w:kern w:val="0"/>
          <w:sz w:val="28"/>
          <w:szCs w:val="28"/>
          <w:lang w:val="en-US" w:eastAsia="zh-CN"/>
        </w:rPr>
      </w:pPr>
    </w:p>
    <w:p w14:paraId="50F7F035">
      <w:pPr>
        <w:widowControl/>
        <w:spacing w:line="360" w:lineRule="auto"/>
        <w:rPr>
          <w:rFonts w:hint="eastAsia" w:ascii="仿宋" w:hAnsi="仿宋" w:eastAsia="仿宋" w:cs="仿宋"/>
          <w:color w:val="000000"/>
          <w:kern w:val="0"/>
          <w:sz w:val="28"/>
          <w:szCs w:val="28"/>
          <w:lang w:val="en-US" w:eastAsia="zh-CN"/>
        </w:rPr>
      </w:pPr>
    </w:p>
    <w:p w14:paraId="27182E98">
      <w:pPr>
        <w:widowControl/>
        <w:spacing w:line="360" w:lineRule="auto"/>
        <w:rPr>
          <w:rFonts w:hint="eastAsia" w:ascii="仿宋" w:hAnsi="仿宋" w:eastAsia="仿宋" w:cs="仿宋"/>
          <w:color w:val="000000"/>
          <w:kern w:val="0"/>
          <w:sz w:val="28"/>
          <w:szCs w:val="28"/>
          <w:lang w:val="en-US" w:eastAsia="zh-CN"/>
        </w:rPr>
      </w:pPr>
    </w:p>
    <w:p w14:paraId="6CCC19A3">
      <w:pPr>
        <w:pStyle w:val="4"/>
        <w:rPr>
          <w:rFonts w:hint="eastAsia" w:ascii="仿宋" w:hAnsi="仿宋" w:eastAsia="仿宋" w:cs="仿宋"/>
          <w:color w:val="000000"/>
          <w:kern w:val="0"/>
          <w:sz w:val="28"/>
          <w:szCs w:val="28"/>
          <w:lang w:val="en-US" w:eastAsia="zh-CN"/>
        </w:rPr>
      </w:pPr>
    </w:p>
    <w:p w14:paraId="2D3B4ED7">
      <w:pPr>
        <w:pStyle w:val="7"/>
        <w:rPr>
          <w:rFonts w:hint="eastAsia"/>
          <w:lang w:val="en-US" w:eastAsia="zh-CN"/>
        </w:rPr>
      </w:pPr>
    </w:p>
    <w:p w14:paraId="4850C23D">
      <w:pPr>
        <w:widowControl/>
        <w:spacing w:line="360" w:lineRule="auto"/>
        <w:rPr>
          <w:rFonts w:hint="eastAsia" w:ascii="仿宋" w:hAnsi="仿宋" w:eastAsia="仿宋" w:cs="仿宋"/>
          <w:color w:val="000000"/>
          <w:kern w:val="0"/>
          <w:sz w:val="28"/>
          <w:szCs w:val="28"/>
          <w:lang w:val="en-US" w:eastAsia="zh-CN"/>
        </w:rPr>
      </w:pPr>
    </w:p>
    <w:p w14:paraId="27CF7EBC">
      <w:pPr>
        <w:widowControl/>
        <w:spacing w:line="360" w:lineRule="auto"/>
        <w:rPr>
          <w:rFonts w:hint="eastAsia" w:ascii="仿宋" w:hAnsi="仿宋" w:eastAsia="仿宋" w:cs="仿宋"/>
          <w:color w:val="000000"/>
          <w:kern w:val="0"/>
          <w:sz w:val="28"/>
          <w:szCs w:val="28"/>
          <w:lang w:val="en-US" w:eastAsia="zh-CN"/>
        </w:rPr>
      </w:pPr>
    </w:p>
    <w:p w14:paraId="50B9BD04">
      <w:pPr>
        <w:widowControl/>
        <w:spacing w:line="360" w:lineRule="auto"/>
        <w:rPr>
          <w:rFonts w:hint="eastAsia" w:ascii="仿宋" w:hAnsi="仿宋" w:eastAsia="仿宋" w:cs="仿宋"/>
          <w:color w:val="000000"/>
          <w:kern w:val="0"/>
          <w:sz w:val="28"/>
          <w:szCs w:val="28"/>
          <w:lang w:val="en-US" w:eastAsia="zh-CN"/>
        </w:rPr>
      </w:pPr>
    </w:p>
    <w:p w14:paraId="202D0F40">
      <w:pPr>
        <w:widowControl/>
        <w:spacing w:line="360" w:lineRule="auto"/>
        <w:rPr>
          <w:rFonts w:hint="eastAsia" w:ascii="仿宋" w:hAnsi="仿宋" w:eastAsia="仿宋" w:cs="仿宋"/>
          <w:color w:val="000000"/>
          <w:kern w:val="0"/>
          <w:sz w:val="28"/>
          <w:szCs w:val="28"/>
          <w:lang w:val="en-US" w:eastAsia="zh-CN"/>
        </w:rPr>
      </w:pPr>
    </w:p>
    <w:p w14:paraId="5F82D227">
      <w:pPr>
        <w:widowControl/>
        <w:spacing w:line="360" w:lineRule="auto"/>
        <w:rPr>
          <w:rFonts w:hint="eastAsia" w:ascii="仿宋" w:hAnsi="仿宋" w:eastAsia="仿宋" w:cs="仿宋"/>
          <w:color w:val="000000"/>
          <w:kern w:val="0"/>
          <w:sz w:val="28"/>
          <w:szCs w:val="28"/>
          <w:lang w:val="en-US" w:eastAsia="zh-CN"/>
        </w:rPr>
      </w:pPr>
    </w:p>
    <w:p w14:paraId="7E20F1FD">
      <w:pPr>
        <w:widowControl/>
        <w:spacing w:line="360" w:lineRule="auto"/>
        <w:rPr>
          <w:rFonts w:hint="eastAsia" w:ascii="仿宋" w:hAnsi="仿宋" w:eastAsia="仿宋" w:cs="仿宋"/>
          <w:color w:val="000000"/>
          <w:kern w:val="0"/>
          <w:sz w:val="28"/>
          <w:szCs w:val="28"/>
          <w:lang w:val="en-US" w:eastAsia="zh-CN"/>
        </w:rPr>
      </w:pPr>
    </w:p>
    <w:p w14:paraId="75E4D3FC">
      <w:pPr>
        <w:widowControl/>
        <w:spacing w:line="360" w:lineRule="auto"/>
        <w:ind w:firstLine="2249" w:firstLineChars="700"/>
        <w:rPr>
          <w:rFonts w:hint="eastAsia" w:ascii="宋体" w:hAnsi="宋体" w:eastAsia="宋体" w:cs="宋体"/>
          <w:b/>
          <w:bCs/>
          <w:color w:val="000000"/>
          <w:kern w:val="0"/>
          <w:sz w:val="32"/>
          <w:szCs w:val="32"/>
          <w:lang w:val="en-US" w:eastAsia="zh-CN"/>
        </w:rPr>
      </w:pPr>
      <w:r>
        <w:rPr>
          <w:rFonts w:hint="eastAsia" w:ascii="宋体" w:hAnsi="宋体" w:eastAsia="宋体" w:cs="宋体"/>
          <w:b/>
          <w:bCs/>
          <w:color w:val="000000"/>
          <w:kern w:val="0"/>
          <w:sz w:val="32"/>
          <w:szCs w:val="32"/>
          <w:lang w:val="en-US" w:eastAsia="zh-CN"/>
        </w:rPr>
        <w:t>甲方：西北妇女儿童医院</w:t>
      </w:r>
    </w:p>
    <w:p w14:paraId="3590F3F7">
      <w:pPr>
        <w:widowControl/>
        <w:spacing w:line="360" w:lineRule="auto"/>
        <w:ind w:firstLine="2249" w:firstLineChars="7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lang w:val="en-US" w:eastAsia="zh-CN"/>
        </w:rPr>
        <w:t>乙方：</w:t>
      </w:r>
    </w:p>
    <w:p w14:paraId="4C45BE4D">
      <w:pPr>
        <w:spacing w:line="360" w:lineRule="auto"/>
        <w:rPr>
          <w:rFonts w:hint="eastAsia" w:ascii="宋体" w:hAnsi="宋体" w:cs="宋体"/>
          <w:b/>
          <w:sz w:val="44"/>
          <w:szCs w:val="44"/>
        </w:rPr>
        <w:sectPr>
          <w:pgSz w:w="11906" w:h="16838"/>
          <w:pgMar w:top="1270" w:right="1293" w:bottom="1270" w:left="1293" w:header="851" w:footer="992" w:gutter="0"/>
          <w:pgNumType w:fmt="decimal"/>
          <w:cols w:space="425" w:num="1"/>
          <w:docGrid w:type="lines" w:linePitch="312" w:charSpace="0"/>
        </w:sectPr>
      </w:pPr>
    </w:p>
    <w:p w14:paraId="2B684547">
      <w:pPr>
        <w:spacing w:line="360" w:lineRule="auto"/>
        <w:jc w:val="center"/>
        <w:rPr>
          <w:rFonts w:hint="eastAsia" w:ascii="仿宋" w:hAnsi="仿宋" w:eastAsia="仿宋" w:cs="仿宋"/>
          <w:color w:val="000000"/>
          <w:kern w:val="0"/>
          <w:sz w:val="28"/>
          <w:szCs w:val="28"/>
          <w:u w:val="none"/>
          <w:lang w:val="en-US" w:eastAsia="zh-CN"/>
        </w:rPr>
      </w:pPr>
      <w:r>
        <w:rPr>
          <w:rFonts w:hint="eastAsia" w:ascii="宋体" w:hAnsi="宋体" w:cs="宋体"/>
          <w:b/>
          <w:sz w:val="36"/>
          <w:szCs w:val="36"/>
          <w:u w:val="none"/>
          <w:lang w:val="en-US" w:eastAsia="zh-CN"/>
        </w:rPr>
        <w:t>西北妇女儿童医院运营管理决策支持服务</w:t>
      </w:r>
      <w:r>
        <w:rPr>
          <w:rFonts w:hint="eastAsia" w:ascii="宋体" w:hAnsi="宋体" w:cs="宋体"/>
          <w:b/>
          <w:sz w:val="36"/>
          <w:szCs w:val="36"/>
          <w:u w:val="none"/>
        </w:rPr>
        <w:t xml:space="preserve">         </w:t>
      </w:r>
      <w:r>
        <w:rPr>
          <w:rFonts w:hint="eastAsia" w:ascii="宋体" w:hAnsi="宋体" w:cs="宋体"/>
          <w:b/>
          <w:sz w:val="36"/>
          <w:szCs w:val="36"/>
          <w:u w:val="none"/>
          <w:lang w:val="en-US" w:eastAsia="zh-CN"/>
        </w:rPr>
        <w:t xml:space="preserve"> </w:t>
      </w:r>
      <w:r>
        <w:rPr>
          <w:rFonts w:hint="eastAsia" w:ascii="宋体" w:hAnsi="宋体" w:cs="宋体"/>
          <w:b/>
          <w:sz w:val="36"/>
          <w:szCs w:val="36"/>
          <w:u w:val="none"/>
        </w:rPr>
        <w:t xml:space="preserve">      项目合同</w:t>
      </w:r>
    </w:p>
    <w:p w14:paraId="2CA95422">
      <w:pPr>
        <w:keepNext w:val="0"/>
        <w:keepLines w:val="0"/>
        <w:pageBreakBefore w:val="0"/>
        <w:widowControl/>
        <w:kinsoku/>
        <w:wordWrap/>
        <w:overflowPunct/>
        <w:topLinePunct w:val="0"/>
        <w:autoSpaceDE/>
        <w:autoSpaceDN/>
        <w:bidi w:val="0"/>
        <w:adjustRightInd/>
        <w:snapToGrid/>
        <w:spacing w:line="540" w:lineRule="exac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甲方：西北妇女儿童医院</w:t>
      </w:r>
    </w:p>
    <w:p w14:paraId="7FAA41C1">
      <w:pPr>
        <w:keepNext w:val="0"/>
        <w:keepLines w:val="0"/>
        <w:pageBreakBefore w:val="0"/>
        <w:widowControl/>
        <w:kinsoku/>
        <w:wordWrap/>
        <w:overflowPunct/>
        <w:topLinePunct w:val="0"/>
        <w:autoSpaceDE/>
        <w:autoSpaceDN/>
        <w:bidi w:val="0"/>
        <w:adjustRightInd/>
        <w:snapToGrid/>
        <w:spacing w:line="540" w:lineRule="exac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乙方：</w:t>
      </w:r>
    </w:p>
    <w:p w14:paraId="54D83D62">
      <w:pPr>
        <w:keepNext w:val="0"/>
        <w:keepLines w:val="0"/>
        <w:pageBreakBefore w:val="0"/>
        <w:widowControl/>
        <w:kinsoku/>
        <w:wordWrap/>
        <w:overflowPunct/>
        <w:topLinePunct w:val="0"/>
        <w:autoSpaceDE/>
        <w:autoSpaceDN/>
        <w:bidi w:val="0"/>
        <w:adjustRightInd/>
        <w:snapToGrid/>
        <w:spacing w:line="540" w:lineRule="exact"/>
        <w:ind w:left="0" w:firstLine="567"/>
        <w:rPr>
          <w:rFonts w:hint="eastAsia" w:ascii="仿宋" w:hAnsi="仿宋" w:eastAsia="仿宋" w:cs="仿宋"/>
          <w:bCs/>
          <w:sz w:val="24"/>
          <w:szCs w:val="24"/>
        </w:rPr>
      </w:pPr>
      <w:r>
        <w:rPr>
          <w:rFonts w:hint="eastAsia" w:ascii="仿宋" w:hAnsi="仿宋" w:eastAsia="仿宋" w:cs="仿宋"/>
          <w:color w:val="000000"/>
          <w:kern w:val="0"/>
          <w:sz w:val="24"/>
          <w:szCs w:val="24"/>
        </w:rPr>
        <w:t>根据《中华人民共和国民法典》及其他有关法律、行政法规，遵循平等、自愿、公平和诚实信用的原则，双方就本项目协商一致，订立本合同</w:t>
      </w:r>
      <w:r>
        <w:rPr>
          <w:rFonts w:hint="eastAsia" w:ascii="仿宋" w:hAnsi="仿宋" w:eastAsia="仿宋" w:cs="仿宋"/>
          <w:bCs/>
          <w:sz w:val="24"/>
          <w:szCs w:val="24"/>
        </w:rPr>
        <w:t>。</w:t>
      </w:r>
    </w:p>
    <w:p w14:paraId="3B5524FB">
      <w:pPr>
        <w:pStyle w:val="4"/>
        <w:keepNext w:val="0"/>
        <w:keepLines w:val="0"/>
        <w:pageBreakBefore w:val="0"/>
        <w:numPr>
          <w:ilvl w:val="0"/>
          <w:numId w:val="0"/>
        </w:numPr>
        <w:kinsoku/>
        <w:wordWrap/>
        <w:overflowPunct/>
        <w:topLinePunct w:val="0"/>
        <w:autoSpaceDE/>
        <w:autoSpaceDN/>
        <w:bidi w:val="0"/>
        <w:adjustRightInd/>
        <w:snapToGrid/>
        <w:spacing w:line="540" w:lineRule="exact"/>
        <w:ind w:leftChars="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第一条 服务内容</w:t>
      </w:r>
    </w:p>
    <w:p w14:paraId="4A1BC1DF">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（一）提升医院数据治理水平与数字化运营能力，实现医院运行情况的全面感知、动态监测与直观展示，为院级与科级管理决策提供精准、实时的数据支撑，助力提升整体运营质效。</w:t>
      </w:r>
    </w:p>
    <w:p w14:paraId="074F679C">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40" w:firstLineChars="100"/>
        <w:textAlignment w:val="auto"/>
        <w:rPr>
          <w:rFonts w:hint="default"/>
          <w:lang w:val="en-US" w:eastAsia="zh-CN"/>
        </w:rPr>
      </w:pPr>
      <w:r>
        <w:rPr>
          <w:rFonts w:hint="eastAsia" w:ascii="仿宋" w:hAnsi="仿宋" w:eastAsia="仿宋" w:cs="仿宋"/>
          <w:b w:val="0"/>
          <w:bCs w:val="0"/>
          <w:sz w:val="24"/>
          <w:szCs w:val="24"/>
          <w:lang w:val="en-US" w:eastAsia="zh-CN"/>
        </w:rPr>
        <w:t>（二）具体要求</w:t>
      </w:r>
    </w:p>
    <w:p w14:paraId="144C6015">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1、实施范围：本项目所有招标采购内容，需覆盖甲方同一法人下的所有院区中所有涉及的业务科室，并且不限制终端使用数量。</w:t>
      </w:r>
    </w:p>
    <w:p w14:paraId="504A635B">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实施及运营方案：合同签订后，乙方需现场详细调研，根据调研报告出具包含但不限于施工计划、倒排工期的工作任务分解计划等内容的实施方案以及包含但不限于推广、宣传、关注度、使用量等内容的运营方案。</w:t>
      </w:r>
    </w:p>
    <w:p w14:paraId="0B885A6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若相关评级对该项目有要求，乙方需配合甲方完成电子病历系统应用水平分级评价、医院信息互联互通标准化成熟度测评、智慧医院评估工作，包括：协助评价/测评/评估标准的解读、数据填报、实证/文审材料准备、现场迎评以及评审后功能整改等技术支持。</w:t>
      </w:r>
    </w:p>
    <w:p w14:paraId="0936C3C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4、若对该项目有要求，乙方需提供和协助甲方通过信息安全等级保护测评工作。</w:t>
      </w:r>
    </w:p>
    <w:p w14:paraId="61F57CC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5、接口集成：原则上，乙方需与甲方集成平台进行对接，并负责承建软件数据在集成平台数据的补全。所有涉及改造与对接费用需自行进行评估（甲方不额外支付费用）。</w:t>
      </w:r>
    </w:p>
    <w:p w14:paraId="64E16A5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6、后期湖仓一体化对接：若甲方后续实施湖仓一体化平台及数据治理项目，乙方须免费提供与湖仓平台的双向对接服务，包括：</w:t>
      </w:r>
    </w:p>
    <w:p w14:paraId="356254B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1）数据入湖：将运营平台的结构化/半结构化数据推送至湖仓，支持常见格式（CSV、Parquet、ORC、JSON 等）与增量同步。</w:t>
      </w:r>
    </w:p>
    <w:p w14:paraId="2B3A6EF9">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2）数据出湖：可从湖仓平台通过标准接口（RESTful API、JDBC/ODBC、消息队列等）按需获取运营平台所需的数据，并保障数据时效与一致性。</w:t>
      </w:r>
    </w:p>
    <w:p w14:paraId="3ACB9857">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3）必要的数据抽取、转换、清洗改造，以及与数据治理体系的兼容调整（元数据、血缘、质量规则等）。</w:t>
      </w:r>
    </w:p>
    <w:p w14:paraId="5DE9157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不得因湖仓平台品牌或更换而产生额外费用。</w:t>
      </w:r>
    </w:p>
    <w:p w14:paraId="5AC23DD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7、使用要求：界面友好，操作方便，结果清晰明了。涉及专科的系统需配合甲方系统进行集成，实现功能需求。</w:t>
      </w:r>
    </w:p>
    <w:p w14:paraId="36073418">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8、须持续跟踪行业新技术，在合同期内如有成熟的新技术应用（包括但不限于人工智能、大数据分析等技术方向）、标杆经验，应免费向甲方提供，使甲方能够持续享受技术进步、经验积累带来的效益提升。同时，乙方须持续提供平台最新版本的安全能力，包括但不限于数据库安全、应用安全、数据加密、权限访问控制、操作日志审计、抗攻击防护等多项安全技术和策略，并确保平台能够被目前主流防病毒软件及安全工具兼容识别。上述新技术及安全技术的部署更新不得另行收费。</w:t>
      </w:r>
    </w:p>
    <w:p w14:paraId="511C94B5">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凡国家、省市及医保、卫健、药监等主管部门政策、法规、行业规则发生调整（含信创国产化、医保政策、药品监管、业务规范变更等），乙方须无条件免费完成系统功能改造、适配升级、接口调整及迁移整改等全部工作，不得另行收取任何费用；</w:t>
      </w:r>
    </w:p>
    <w:p w14:paraId="6A308F63">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乙方履约过程中所获悉的国家秘密、工作秘密、商业秘密或者其他应当保密的信息，均有保密义务且不受合同有效期所限；软件及软件产生数据的所有权归甲方所有；所有分析成果（报告、模型、图表）版权归甲方所有，禁止将甲方数据用于乙方自身产品训练或其他客户参考。</w:t>
      </w:r>
    </w:p>
    <w:p w14:paraId="504B69E3">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第二条 合同价款及付款方式</w:t>
      </w:r>
    </w:p>
    <w:p w14:paraId="75B9F185">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（一）合同总价款为人民币（大写）        （￥       ）。</w:t>
      </w:r>
    </w:p>
    <w:p w14:paraId="7AB6E63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（二）合同总价包括：合同期内服务实施费用、人工费、材料费、按约定的所有维修费用、交通费、住宿费、管理费、税金</w:t>
      </w:r>
      <w:r>
        <w:rPr>
          <w:rFonts w:hint="eastAsia" w:ascii="仿宋" w:hAnsi="仿宋" w:eastAsia="仿宋" w:cs="仿宋"/>
          <w:b w:val="0"/>
          <w:bCs w:val="0"/>
          <w:sz w:val="24"/>
          <w:szCs w:val="24"/>
          <w:lang w:val="zh-CN" w:eastAsia="zh-CN"/>
        </w:rPr>
        <w:t>以及国家按现行税率征收的一切税费等所有费用。</w:t>
      </w:r>
    </w:p>
    <w:p w14:paraId="551A8CF2">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（三）合同总价一次性包死，不受市场价格变化因素的影响。</w:t>
      </w:r>
    </w:p>
    <w:p w14:paraId="30D538E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（四）付款方式</w:t>
      </w:r>
    </w:p>
    <w:p w14:paraId="1B6E51B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1、完成合同及磋商文件规定的全部内容,甲方确认系统上线试运行初步验收后,开始计算项目服务期，达到付款条件起 30 日内，支付合同总价的50%。</w:t>
      </w:r>
    </w:p>
    <w:p w14:paraId="7C6B013F">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2、服务期结束，达到付款条件起 30 日内，考评合格后支付合同金额的50%。</w:t>
      </w:r>
    </w:p>
    <w:p w14:paraId="38BA9FD2">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3、付款前，乙方提供符合税法规定的等额增值税发票。</w:t>
      </w:r>
    </w:p>
    <w:p w14:paraId="0E002E8A">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第三条项目实施地点及完工期</w:t>
      </w:r>
    </w:p>
    <w:p w14:paraId="56F31CB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lang w:val="en-US" w:eastAsia="zh-CN"/>
        </w:rPr>
      </w:pPr>
      <w:r>
        <w:rPr>
          <w:rFonts w:hint="eastAsia" w:ascii="仿宋" w:hAnsi="仿宋" w:eastAsia="仿宋" w:cs="仿宋"/>
          <w:b w:val="0"/>
          <w:bCs w:val="0"/>
          <w:sz w:val="24"/>
          <w:szCs w:val="24"/>
          <w:lang w:val="en-US" w:eastAsia="zh-CN"/>
        </w:rPr>
        <w:t>（一）项目实施地点：甲方指定地点</w:t>
      </w:r>
    </w:p>
    <w:p w14:paraId="34F9E43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（二）服务期限：2026年</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月</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日-2027年</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月</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日，本项目服务期满后，根据考评情况决定是否续签合同，最多续签两次。</w:t>
      </w:r>
    </w:p>
    <w:p w14:paraId="471A2084">
      <w:pPr>
        <w:pStyle w:val="7"/>
        <w:ind w:left="0" w:leftChars="0"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（三）工期：合同签订后，在不超过</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天内完成。</w:t>
      </w:r>
    </w:p>
    <w:p w14:paraId="0C26611F">
      <w:pPr>
        <w:pStyle w:val="7"/>
        <w:ind w:left="0" w:leftChars="0" w:firstLine="482" w:firstLineChars="200"/>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第四条 项目实施团队要求</w:t>
      </w:r>
    </w:p>
    <w:p w14:paraId="3569C8CB">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（一）乙方须为本项目配备：</w:t>
      </w:r>
    </w:p>
    <w:p w14:paraId="3080F703">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1、乙方方具有合理的项目服务团队，项目经理必须经验丰富，保证项目正常进行。</w:t>
      </w:r>
    </w:p>
    <w:p w14:paraId="70FEC5C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2、投入本项目的项目组人员配备充足合理，专业技术人员具有与项目相关的专业背景、专业职称及工作经验并能较好地胜任本项目。</w:t>
      </w:r>
    </w:p>
    <w:p w14:paraId="5F36E0AF">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一经确定的项目组成员在实施过程中如因乙方单方面需更换，须提供书面说明，经甲方同意后方可进行调换，项目实施过程中，乙方按照项目所处阶段按需委派相应数量的专业工程师参与项目实施，甲方保留要求和建议的权利。</w:t>
      </w:r>
    </w:p>
    <w:p w14:paraId="7C14DD8A">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第五条 培训</w:t>
      </w:r>
    </w:p>
    <w:p w14:paraId="6DF1898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（一）系统上线后，乙方不但向甲方用户提供系统使用培训，还需提供技术人员培训，以保证甲方工程师能够掌握软件表结构、数据业务流等技术信息。</w:t>
      </w:r>
    </w:p>
    <w:p w14:paraId="3856C274">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（二）乙方需提供完整的培训方案，能够针对不同的系统使用角色提供不同的培训课程内容和计划。培训的内容、次数和方式由甲方提出。</w:t>
      </w:r>
    </w:p>
    <w:p w14:paraId="42B02AB3">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（三）培训内容包括但不限于：</w:t>
      </w:r>
    </w:p>
    <w:p w14:paraId="4DE99D4D">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1.系统软件的甲方使用培训，应用软件操作培训；</w:t>
      </w:r>
    </w:p>
    <w:p w14:paraId="3DD6224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2.系统管理培训、甲方技术人员维护培训；</w:t>
      </w:r>
    </w:p>
    <w:p w14:paraId="0623648F">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3.应用软件操作疑难问题解答；</w:t>
      </w:r>
    </w:p>
    <w:p w14:paraId="38B282CF">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4.项目所需的运营方案培训。</w:t>
      </w:r>
    </w:p>
    <w:p w14:paraId="673DE34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6" w:firstLineChars="177"/>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第六条 售后</w:t>
      </w:r>
    </w:p>
    <w:p w14:paraId="456E861B">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（一）乙方提供每周7天*24小时不间断的电话支持服务，解答甲方在数据工具使用过程中遇到的问题，及时提出解决问题的建议和操作方法；在确认有必要的情况下乙方在得到通知后24小时内到达现场。</w:t>
      </w:r>
    </w:p>
    <w:p w14:paraId="4904031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（二）响应级别：30分钟电话响应，4小时提供解决方案。如因不可抗力因素不能在规定时间内到达的，双方另行商定。</w:t>
      </w:r>
    </w:p>
    <w:p w14:paraId="3373B434">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（三）服务交付物</w:t>
      </w:r>
    </w:p>
    <w:p w14:paraId="5D014998">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1.数据工具，本服务是基于数据工具基础上进行的数据分析，在服务期内需免费提供给甲方使用；</w:t>
      </w:r>
    </w:p>
    <w:p w14:paraId="0F939F94">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2.数据更新，每月在收到甲方相关运营数据后要求1周左右完成数据工具数据展示、各项数据分析更新；</w:t>
      </w:r>
    </w:p>
    <w:p w14:paraId="0AA6E89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62" w:firstLineChars="276"/>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3.数字简报，出具医院运营数字简报（月报、季报、年报）；</w:t>
      </w:r>
    </w:p>
    <w:p w14:paraId="5B227922">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62" w:firstLineChars="276"/>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4.培训服务，根据项目推进进展，不同阶段需安排相应内容培训服务。</w:t>
      </w:r>
    </w:p>
    <w:p w14:paraId="0C779307">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62" w:firstLineChars="276"/>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5.咨询服务，根据甲方需要，提供全维度咨询服务（含操作指导、故障答疑、运营建议、经验借鉴引入、技术咨询等）。</w:t>
      </w:r>
    </w:p>
    <w:p w14:paraId="0D4D4995">
      <w:pPr>
        <w:pStyle w:val="14"/>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textAlignment w:val="auto"/>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第七条 验收</w:t>
      </w:r>
    </w:p>
    <w:p w14:paraId="5424C6E5">
      <w:pPr>
        <w:pStyle w:val="8"/>
        <w:keepNext w:val="0"/>
        <w:keepLines w:val="0"/>
        <w:pageBreakBefore w:val="0"/>
        <w:widowControl w:val="0"/>
        <w:numPr>
          <w:ilvl w:val="0"/>
          <w:numId w:val="0"/>
        </w:numPr>
        <w:shd w:val="clear" w:color="auto"/>
        <w:kinsoku/>
        <w:wordWrap/>
        <w:overflowPunct/>
        <w:topLinePunct w:val="0"/>
        <w:bidi w:val="0"/>
        <w:snapToGrid/>
        <w:spacing w:line="560" w:lineRule="exact"/>
        <w:ind w:firstLine="480" w:firstLineChars="200"/>
        <w:jc w:val="both"/>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（一）乙方完成项目建设功能清单中功能模块试运行，由乙方提出试运行验收申请，甲方组织相关人员（必要时组成院外专家组）进行项目验收，出具项目验收报告，开始计算维保期。</w:t>
      </w:r>
    </w:p>
    <w:p w14:paraId="3C90716B">
      <w:pPr>
        <w:pStyle w:val="8"/>
        <w:keepNext w:val="0"/>
        <w:keepLines w:val="0"/>
        <w:pageBreakBefore w:val="0"/>
        <w:widowControl w:val="0"/>
        <w:numPr>
          <w:ilvl w:val="0"/>
          <w:numId w:val="0"/>
        </w:numPr>
        <w:shd w:val="clear" w:color="auto"/>
        <w:kinsoku/>
        <w:wordWrap/>
        <w:overflowPunct/>
        <w:topLinePunct w:val="0"/>
        <w:bidi w:val="0"/>
        <w:snapToGrid/>
        <w:spacing w:line="560" w:lineRule="exact"/>
        <w:ind w:firstLine="480" w:firstLineChars="200"/>
        <w:jc w:val="both"/>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（二）在项目验收时，乙方须提供但不限于项目实施方案、使用人员签字的培训记录、验收申请、数据字典及表结构说明、用户手册、数据库用户名及密码等资料。</w:t>
      </w:r>
    </w:p>
    <w:p w14:paraId="2768956B">
      <w:pPr>
        <w:keepNext w:val="0"/>
        <w:keepLines w:val="0"/>
        <w:pageBreakBefore w:val="0"/>
        <w:widowControl w:val="0"/>
        <w:kinsoku/>
        <w:wordWrap/>
        <w:overflowPunct/>
        <w:topLinePunct w:val="0"/>
        <w:bidi w:val="0"/>
        <w:snapToGrid/>
        <w:spacing w:line="560" w:lineRule="exact"/>
        <w:ind w:right="0" w:rightChars="0"/>
        <w:jc w:val="lef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 xml:space="preserve">第八条 </w:t>
      </w:r>
      <w:r>
        <w:rPr>
          <w:rFonts w:hint="eastAsia" w:ascii="仿宋" w:hAnsi="仿宋" w:eastAsia="仿宋" w:cs="仿宋"/>
          <w:b/>
          <w:bCs/>
          <w:sz w:val="24"/>
          <w:szCs w:val="24"/>
        </w:rPr>
        <w:t>保密要求</w:t>
      </w:r>
    </w:p>
    <w:p w14:paraId="44D12252">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乙方履约过程中所获悉的国家秘密、工作秘密、商业秘密或者其他应当保密的信息，均有保密义务且不受合同有效期所限，软件及软件产生数据的所有权归甲方所有；</w:t>
      </w:r>
    </w:p>
    <w:p w14:paraId="46D7A74B">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乙方在开发服务过程中需对相关人员的信息及隐私进行保密，</w:t>
      </w:r>
      <w:r>
        <w:rPr>
          <w:rFonts w:hint="eastAsia" w:ascii="仿宋" w:hAnsi="仿宋" w:eastAsia="仿宋" w:cs="仿宋"/>
          <w:sz w:val="24"/>
          <w:szCs w:val="24"/>
        </w:rPr>
        <w:t>保证不向任何第三方及无关人员泄露</w:t>
      </w:r>
      <w:r>
        <w:rPr>
          <w:rFonts w:hint="eastAsia" w:ascii="仿宋" w:hAnsi="仿宋" w:eastAsia="仿宋" w:cs="仿宋"/>
          <w:sz w:val="24"/>
          <w:szCs w:val="24"/>
          <w:lang w:val="en-US" w:eastAsia="zh-CN"/>
        </w:rPr>
        <w:t>甲方</w:t>
      </w:r>
      <w:r>
        <w:rPr>
          <w:rFonts w:hint="eastAsia" w:ascii="仿宋" w:hAnsi="仿宋" w:eastAsia="仿宋" w:cs="仿宋"/>
          <w:sz w:val="24"/>
          <w:szCs w:val="24"/>
        </w:rPr>
        <w:t>的任何信息，保密期限为永久。</w:t>
      </w:r>
      <w:r>
        <w:rPr>
          <w:rFonts w:hint="eastAsia" w:ascii="仿宋" w:hAnsi="仿宋" w:eastAsia="仿宋" w:cs="仿宋"/>
          <w:b w:val="0"/>
          <w:bCs w:val="0"/>
          <w:sz w:val="24"/>
          <w:szCs w:val="24"/>
          <w:lang w:val="en-US" w:eastAsia="zh-CN"/>
        </w:rPr>
        <w:t>如有泄密，需承担全部责任。</w:t>
      </w:r>
    </w:p>
    <w:p w14:paraId="10F1C192">
      <w:pPr>
        <w:pStyle w:val="2"/>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 知识产权</w:t>
      </w:r>
    </w:p>
    <w:p w14:paraId="493772FC">
      <w:pPr>
        <w:keepNext w:val="0"/>
        <w:keepLines w:val="0"/>
        <w:pageBreakBefore w:val="0"/>
        <w:widowControl w:val="0"/>
        <w:tabs>
          <w:tab w:val="left" w:pos="1500"/>
        </w:tabs>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知识产权：甲方在中华人民共和国境内使用乙方提供的服务时免受第三方提出的侵犯其专利权或其他知识产权的起诉。如果第三方提出侵权指控，乙方应承担由此而引起的一切法律责任和费用。</w:t>
      </w:r>
    </w:p>
    <w:p w14:paraId="319E5D82">
      <w:pPr>
        <w:keepNext w:val="0"/>
        <w:keepLines w:val="0"/>
        <w:pageBreakBefore w:val="0"/>
        <w:widowControl w:val="0"/>
        <w:numPr>
          <w:ilvl w:val="0"/>
          <w:numId w:val="0"/>
        </w:numPr>
        <w:kinsoku/>
        <w:wordWrap/>
        <w:overflowPunct/>
        <w:topLinePunct w:val="0"/>
        <w:bidi w:val="0"/>
        <w:snapToGrid/>
        <w:spacing w:line="560" w:lineRule="exact"/>
        <w:jc w:val="left"/>
        <w:textAlignment w:val="auto"/>
        <w:rPr>
          <w:rFonts w:hint="eastAsia" w:ascii="仿宋" w:hAnsi="仿宋" w:eastAsia="仿宋" w:cs="仿宋"/>
          <w:b w:val="0"/>
          <w:bCs w:val="0"/>
          <w:sz w:val="24"/>
          <w:szCs w:val="24"/>
          <w:lang w:val="en-US" w:eastAsia="zh-CN"/>
        </w:rPr>
      </w:pPr>
      <w:r>
        <w:rPr>
          <w:rFonts w:hint="eastAsia" w:ascii="仿宋" w:hAnsi="仿宋" w:eastAsia="仿宋" w:cs="仿宋"/>
          <w:b/>
          <w:sz w:val="24"/>
          <w:szCs w:val="24"/>
          <w:lang w:val="en-US" w:eastAsia="zh-CN"/>
        </w:rPr>
        <w:t>第十条</w:t>
      </w:r>
      <w:r>
        <w:rPr>
          <w:rFonts w:hint="eastAsia" w:ascii="仿宋" w:hAnsi="仿宋" w:eastAsia="仿宋" w:cs="仿宋"/>
          <w:b w:val="0"/>
          <w:bCs w:val="0"/>
          <w:sz w:val="24"/>
          <w:szCs w:val="24"/>
          <w:lang w:val="en-US" w:eastAsia="zh-CN"/>
        </w:rPr>
        <w:t xml:space="preserve"> 违约责任</w:t>
      </w:r>
    </w:p>
    <w:p w14:paraId="64470B73">
      <w:pPr>
        <w:keepNext w:val="0"/>
        <w:keepLines w:val="0"/>
        <w:pageBreakBefore w:val="0"/>
        <w:widowControl w:val="0"/>
        <w:kinsoku/>
        <w:wordWrap/>
        <w:overflowPunct/>
        <w:topLinePunct w:val="0"/>
        <w:bidi w:val="0"/>
        <w:snapToGrid/>
        <w:spacing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按《中华人民共和国民法典》中的相关条款执行。</w:t>
      </w:r>
    </w:p>
    <w:p w14:paraId="200FA8FB">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未按合同要求的提供</w:t>
      </w:r>
      <w:r>
        <w:rPr>
          <w:rFonts w:hint="eastAsia" w:ascii="仿宋" w:hAnsi="仿宋" w:eastAsia="仿宋" w:cs="仿宋"/>
          <w:sz w:val="24"/>
          <w:szCs w:val="24"/>
          <w:lang w:val="en-US" w:eastAsia="zh-CN"/>
        </w:rPr>
        <w:t>技术服务</w:t>
      </w:r>
      <w:r>
        <w:rPr>
          <w:rFonts w:hint="eastAsia" w:ascii="仿宋" w:hAnsi="仿宋" w:eastAsia="仿宋" w:cs="仿宋"/>
          <w:sz w:val="24"/>
          <w:szCs w:val="24"/>
        </w:rPr>
        <w:t>不能满足要求，甲方有权终止合同，</w:t>
      </w:r>
      <w:r>
        <w:rPr>
          <w:rFonts w:hint="eastAsia" w:ascii="仿宋" w:hAnsi="仿宋" w:eastAsia="仿宋" w:cs="仿宋"/>
          <w:sz w:val="24"/>
          <w:szCs w:val="24"/>
          <w:lang w:val="en-US" w:eastAsia="zh-CN"/>
        </w:rPr>
        <w:t>乙方应按照合同金额的20%向甲方支付违约金</w:t>
      </w:r>
      <w:r>
        <w:rPr>
          <w:rFonts w:hint="eastAsia" w:ascii="仿宋" w:hAnsi="仿宋" w:eastAsia="仿宋" w:cs="仿宋"/>
          <w:sz w:val="24"/>
          <w:szCs w:val="24"/>
        </w:rPr>
        <w:t>。</w:t>
      </w:r>
    </w:p>
    <w:p w14:paraId="03F37CED">
      <w:pPr>
        <w:spacing w:line="360" w:lineRule="auto"/>
        <w:ind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（三）因乙方原因未按合同、招标文件规定的要求及期限完成上线工作，每逾期一日向甲方支付1%合同金额作为违约金，最多不超过合同金额的20%。</w:t>
      </w:r>
    </w:p>
    <w:p w14:paraId="08799D4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default"/>
          <w:lang w:val="en-US" w:eastAsia="zh-CN"/>
        </w:rPr>
      </w:pPr>
      <w:r>
        <w:rPr>
          <w:rFonts w:hint="eastAsia" w:ascii="仿宋" w:hAnsi="仿宋" w:eastAsia="仿宋" w:cs="仿宋"/>
          <w:b w:val="0"/>
          <w:bCs w:val="0"/>
          <w:sz w:val="24"/>
          <w:szCs w:val="24"/>
          <w:lang w:val="en-US" w:eastAsia="zh-CN"/>
        </w:rPr>
        <w:t>（四）如乙方拒绝配合安全合规工作或因其行为导致安全事件，甲方有权解除合同，一切损失由供应商承担，并追究法律责任。</w:t>
      </w:r>
    </w:p>
    <w:p w14:paraId="4B75F0FD">
      <w:pPr>
        <w:keepNext w:val="0"/>
        <w:keepLines w:val="0"/>
        <w:pageBreakBefore w:val="0"/>
        <w:widowControl w:val="0"/>
        <w:numPr>
          <w:ilvl w:val="0"/>
          <w:numId w:val="0"/>
        </w:numPr>
        <w:kinsoku/>
        <w:wordWrap/>
        <w:overflowPunct/>
        <w:topLinePunct w:val="0"/>
        <w:bidi w:val="0"/>
        <w:snapToGrid/>
        <w:spacing w:line="560" w:lineRule="exact"/>
        <w:jc w:val="left"/>
        <w:textAlignment w:val="auto"/>
        <w:rPr>
          <w:rFonts w:hint="default" w:ascii="仿宋" w:hAnsi="仿宋" w:eastAsia="仿宋" w:cs="仿宋"/>
          <w:sz w:val="24"/>
          <w:szCs w:val="24"/>
          <w:lang w:val="en-US" w:eastAsia="zh-CN"/>
        </w:rPr>
      </w:pPr>
      <w:r>
        <w:rPr>
          <w:rFonts w:hint="eastAsia" w:ascii="仿宋" w:hAnsi="仿宋" w:eastAsia="仿宋" w:cs="仿宋"/>
          <w:b/>
          <w:sz w:val="24"/>
          <w:szCs w:val="24"/>
          <w:lang w:val="en-US" w:eastAsia="zh-CN"/>
        </w:rPr>
        <w:t>第十一条 其他要求</w:t>
      </w:r>
    </w:p>
    <w:p w14:paraId="19A74067">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（一）乙方须保证在提供该服务时，不受第三方侵权指控。</w:t>
      </w:r>
    </w:p>
    <w:p w14:paraId="35123065">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（二）所投产品须满足但不局限于以下规范要求(提供书面承诺）：</w:t>
      </w:r>
    </w:p>
    <w:p w14:paraId="1DD3426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1.满足及遵循《全国医院信息化建设标准与规范（试行）》（2018年版）相关要求。</w:t>
      </w:r>
    </w:p>
    <w:p w14:paraId="54AE179D">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2.满足及遵循《智慧医疗分级评价方法及标准》（最新版）6级标准相关要求。</w:t>
      </w:r>
    </w:p>
    <w:p w14:paraId="21E3F21B">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3.满足及遵循《国家医疗健康信息医院信息互联互通标准化成熟度测评方案》（2020年版）五级乙等相关要求。</w:t>
      </w:r>
    </w:p>
    <w:p w14:paraId="1753708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4.满足及遵循《医院智慧服务分级评估标准体系（试行）》（2019年版）五级相关要求。</w:t>
      </w:r>
    </w:p>
    <w:p w14:paraId="3A1AE58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5.满足及遵循《医院智慧管理分级评估标准体系（试行）》五级相关要求。</w:t>
      </w:r>
    </w:p>
    <w:p w14:paraId="0352A480">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6.满足及遵循《国务院办公厅关于推动公立医院高质量发展的意见》。</w:t>
      </w:r>
    </w:p>
    <w:p w14:paraId="0215121E">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7.满足及遵循《国家三级公立医院绩效监测操作手册》（2025版）相关条款。</w:t>
      </w:r>
    </w:p>
    <w:p w14:paraId="003D1B66">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8.满足及遵循国家卫健委关于进一步改善医疗服务行动计划相关要求。</w:t>
      </w:r>
    </w:p>
    <w:p w14:paraId="532D61A1">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9.满足及遵循《三级医院评审标准实施细则》和《三级妇幼保健院评审标准实施细则》要求。</w:t>
      </w:r>
    </w:p>
    <w:p w14:paraId="4518FC6D">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10.满足及遵循《陕西省智慧医院建设细则》（2024版）相关要求。</w:t>
      </w:r>
    </w:p>
    <w:p w14:paraId="727F65C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1.乙方应确保交付软件的安全性，并提供符合行业标准的安全评估报告，须包含但不限于代码安全审计报告、漏洞扫描报告、渗透测试报告等。若涉及APP须提供APP端数据安全与合规性评估报告、APP业务安全及反欺诈测试报告。</w:t>
      </w:r>
    </w:p>
    <w:p w14:paraId="7AD3FF53">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2.乙方须对甲方提供或自行提供的系统资产（包括物理/云服务器、网络及存储设备）承担全生命周期的安全管理责任，配置符合等保2.0三级安全防护要求和采购人指定的安全基线，确保业务的持续性与安全性。</w:t>
      </w:r>
    </w:p>
    <w:p w14:paraId="77BFA01C">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4" w:firstLineChars="177"/>
        <w:textAlignment w:val="auto"/>
        <w:rPr>
          <w:rFonts w:hint="eastAsia" w:ascii="仿宋" w:hAnsi="仿宋" w:eastAsia="仿宋" w:cs="仿宋"/>
          <w:b/>
          <w:sz w:val="24"/>
          <w:szCs w:val="24"/>
          <w:lang w:val="en-US" w:eastAsia="zh-CN"/>
        </w:rPr>
      </w:pPr>
      <w:r>
        <w:rPr>
          <w:rFonts w:hint="eastAsia" w:ascii="仿宋" w:hAnsi="仿宋" w:eastAsia="仿宋" w:cs="仿宋"/>
          <w:b w:val="0"/>
          <w:bCs w:val="0"/>
          <w:sz w:val="24"/>
          <w:szCs w:val="24"/>
          <w:lang w:val="en-US" w:eastAsia="zh-CN"/>
        </w:rPr>
        <w:t>3.乙方应积极无条件配合甲方开展（包括但不限于物理/云服务器、网络及存储设备、中间件、数据库、操作系统等）的安全审计、安全加固、渗透测试、应急响应等安全工作，并提供必要的权限支持，且在48小时内提交书面整改计划，发生重大安全事件时，供应商应立即响应并协助取证，确保事件快速处置并将影响降到最低。</w:t>
      </w:r>
    </w:p>
    <w:p w14:paraId="2E58D150">
      <w:pPr>
        <w:keepNext w:val="0"/>
        <w:keepLines w:val="0"/>
        <w:pageBreakBefore w:val="0"/>
        <w:widowControl w:val="0"/>
        <w:kinsoku/>
        <w:wordWrap/>
        <w:overflowPunct/>
        <w:topLinePunct w:val="0"/>
        <w:bidi w:val="0"/>
        <w:snapToGrid/>
        <w:spacing w:line="560" w:lineRule="exact"/>
        <w:ind w:left="0" w:right="0" w:rightChars="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 xml:space="preserve">第十二条 </w:t>
      </w:r>
      <w:r>
        <w:rPr>
          <w:rFonts w:hint="eastAsia" w:ascii="仿宋" w:hAnsi="仿宋" w:eastAsia="仿宋" w:cs="仿宋"/>
          <w:b/>
          <w:sz w:val="24"/>
          <w:szCs w:val="24"/>
        </w:rPr>
        <w:t>争议解决</w:t>
      </w:r>
    </w:p>
    <w:p w14:paraId="09E9318C">
      <w:pPr>
        <w:keepNext w:val="0"/>
        <w:keepLines w:val="0"/>
        <w:pageBreakBefore w:val="0"/>
        <w:widowControl w:val="0"/>
        <w:kinsoku/>
        <w:wordWrap/>
        <w:overflowPunct/>
        <w:topLinePunct w:val="0"/>
        <w:bidi w:val="0"/>
        <w:snapToGrid/>
        <w:spacing w:line="560" w:lineRule="exact"/>
        <w:ind w:left="0"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若在本合同履行过程中发生争议，甲乙双方协商解决；协商不成的，任何一方均有权向甲方所在地人民法院提起诉讼。</w:t>
      </w:r>
    </w:p>
    <w:p w14:paraId="2A0A18CB">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b/>
          <w:sz w:val="24"/>
          <w:szCs w:val="24"/>
        </w:rPr>
      </w:pPr>
      <w:r>
        <w:rPr>
          <w:rFonts w:hint="eastAsia" w:ascii="仿宋" w:hAnsi="仿宋" w:eastAsia="仿宋" w:cs="仿宋"/>
          <w:b/>
          <w:sz w:val="24"/>
          <w:szCs w:val="24"/>
        </w:rPr>
        <w:t>第十</w:t>
      </w:r>
      <w:r>
        <w:rPr>
          <w:rFonts w:hint="eastAsia" w:ascii="仿宋" w:hAnsi="仿宋" w:eastAsia="仿宋" w:cs="仿宋"/>
          <w:b/>
          <w:sz w:val="24"/>
          <w:szCs w:val="24"/>
          <w:lang w:val="en-US" w:eastAsia="zh-CN"/>
        </w:rPr>
        <w:t>三</w:t>
      </w:r>
      <w:r>
        <w:rPr>
          <w:rFonts w:hint="eastAsia" w:ascii="仿宋" w:hAnsi="仿宋" w:eastAsia="仿宋" w:cs="仿宋"/>
          <w:b/>
          <w:sz w:val="24"/>
          <w:szCs w:val="24"/>
        </w:rPr>
        <w:t>条 其他事项</w:t>
      </w:r>
    </w:p>
    <w:p w14:paraId="17599218">
      <w:pPr>
        <w:keepNext w:val="0"/>
        <w:keepLines w:val="0"/>
        <w:pageBreakBefore w:val="0"/>
        <w:widowControl w:val="0"/>
        <w:kinsoku/>
        <w:wordWrap/>
        <w:overflowPunct/>
        <w:topLinePunct w:val="0"/>
        <w:bidi w:val="0"/>
        <w:snapToGrid/>
        <w:spacing w:line="560" w:lineRule="exact"/>
        <w:ind w:firstLine="460" w:firstLineChars="192"/>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lang w:val="en-US" w:eastAsia="zh-CN"/>
        </w:rPr>
        <w:t>一</w:t>
      </w:r>
      <w:r>
        <w:rPr>
          <w:rFonts w:hint="eastAsia" w:ascii="仿宋" w:hAnsi="仿宋" w:eastAsia="仿宋" w:cs="仿宋"/>
          <w:bCs/>
          <w:color w:val="000000"/>
          <w:sz w:val="24"/>
          <w:szCs w:val="24"/>
          <w:lang w:eastAsia="zh-CN"/>
        </w:rPr>
        <w:t>）</w:t>
      </w:r>
      <w:r>
        <w:rPr>
          <w:rFonts w:hint="eastAsia" w:ascii="仿宋" w:hAnsi="仿宋" w:eastAsia="仿宋" w:cs="仿宋"/>
          <w:sz w:val="24"/>
          <w:szCs w:val="24"/>
        </w:rPr>
        <w:t>本合同一式肆份，甲方叁份，乙方壹份，具有同等法律效力，自双方法定代表人签字或盖章，并加盖公章之日起生效。</w:t>
      </w:r>
    </w:p>
    <w:p w14:paraId="2DACA9CE">
      <w:pPr>
        <w:keepNext w:val="0"/>
        <w:keepLines w:val="0"/>
        <w:pageBreakBefore w:val="0"/>
        <w:widowControl w:val="0"/>
        <w:kinsoku/>
        <w:wordWrap/>
        <w:overflowPunct/>
        <w:topLinePunct w:val="0"/>
        <w:bidi w:val="0"/>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lang w:val="en-US" w:eastAsia="zh-CN"/>
        </w:rPr>
        <w:t>二</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招标文件、投标文件也是合同的组成部分，具有同等法律效力，合同中未约定的以招标文件、投标文件为准。</w:t>
      </w:r>
    </w:p>
    <w:p w14:paraId="4F1B6F9D">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p>
    <w:p w14:paraId="090B52DC">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r>
        <w:rPr>
          <w:rFonts w:hint="eastAsia" w:ascii="仿宋" w:hAnsi="仿宋" w:eastAsia="仿宋" w:cs="仿宋"/>
          <w:sz w:val="24"/>
          <w:szCs w:val="24"/>
        </w:rPr>
        <w:t>甲方： （盖章）                  乙方：（盖章）</w:t>
      </w:r>
    </w:p>
    <w:p w14:paraId="3F3987F4">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lang w:val="en-US" w:eastAsia="zh-CN"/>
        </w:rPr>
      </w:pPr>
      <w:r>
        <w:rPr>
          <w:rFonts w:hint="eastAsia" w:ascii="仿宋" w:hAnsi="仿宋" w:eastAsia="仿宋" w:cs="仿宋"/>
          <w:sz w:val="24"/>
          <w:szCs w:val="24"/>
        </w:rPr>
        <w:t xml:space="preserve">西北妇女儿童医院                 </w:t>
      </w:r>
    </w:p>
    <w:p w14:paraId="0B6901B3">
      <w:pPr>
        <w:keepNext w:val="0"/>
        <w:keepLines w:val="0"/>
        <w:pageBreakBefore w:val="0"/>
        <w:kinsoku/>
        <w:wordWrap/>
        <w:overflowPunct/>
        <w:topLinePunct w:val="0"/>
        <w:bidi w:val="0"/>
        <w:snapToGrid/>
        <w:spacing w:line="560" w:lineRule="exact"/>
        <w:ind w:left="4080" w:hanging="4080" w:hangingChars="1700"/>
        <w:rPr>
          <w:rFonts w:hint="eastAsia" w:ascii="仿宋" w:hAnsi="仿宋" w:eastAsia="仿宋" w:cs="仿宋"/>
          <w:sz w:val="24"/>
          <w:highlight w:val="yellow"/>
        </w:rPr>
      </w:pPr>
      <w:r>
        <w:rPr>
          <w:rFonts w:hint="eastAsia" w:ascii="仿宋" w:hAnsi="仿宋" w:eastAsia="仿宋" w:cs="仿宋"/>
          <w:sz w:val="24"/>
          <w:szCs w:val="24"/>
        </w:rPr>
        <w:t>地  址：西安市雁翔路1616号      地  址：</w:t>
      </w:r>
    </w:p>
    <w:p w14:paraId="032D5955">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p>
    <w:p w14:paraId="289F3DC0">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rPr>
      </w:pPr>
      <w:r>
        <w:rPr>
          <w:rFonts w:hint="eastAsia" w:ascii="仿宋" w:hAnsi="仿宋" w:eastAsia="仿宋" w:cs="仿宋"/>
          <w:sz w:val="24"/>
          <w:szCs w:val="24"/>
        </w:rPr>
        <w:t xml:space="preserve">法定代表人：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法定代表人：                           </w:t>
      </w:r>
    </w:p>
    <w:p w14:paraId="1482FB6B">
      <w:pPr>
        <w:keepNext w:val="0"/>
        <w:keepLines w:val="0"/>
        <w:pageBreakBefore w:val="0"/>
        <w:kinsoku/>
        <w:wordWrap/>
        <w:overflowPunct/>
        <w:topLinePunct w:val="0"/>
        <w:bidi w:val="0"/>
        <w:snapToGrid/>
        <w:spacing w:line="560" w:lineRule="exact"/>
        <w:ind w:left="0"/>
        <w:rPr>
          <w:rFonts w:hint="eastAsia" w:ascii="仿宋" w:hAnsi="仿宋" w:eastAsia="仿宋" w:cs="仿宋"/>
          <w:sz w:val="24"/>
          <w:szCs w:val="24"/>
          <w:lang w:val="en-US" w:eastAsia="zh-CN"/>
        </w:rPr>
      </w:pPr>
      <w:r>
        <w:rPr>
          <w:rFonts w:hint="eastAsia" w:ascii="仿宋" w:hAnsi="仿宋" w:eastAsia="仿宋" w:cs="仿宋"/>
          <w:sz w:val="24"/>
          <w:szCs w:val="24"/>
        </w:rPr>
        <w:t xml:space="preserve">联系人：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联系人：</w:t>
      </w:r>
      <w:r>
        <w:rPr>
          <w:rFonts w:hint="eastAsia" w:ascii="仿宋" w:hAnsi="仿宋" w:eastAsia="仿宋" w:cs="仿宋"/>
          <w:sz w:val="24"/>
          <w:szCs w:val="24"/>
          <w:lang w:val="en-US" w:eastAsia="zh-CN"/>
        </w:rPr>
        <w:t xml:space="preserve"> </w:t>
      </w:r>
    </w:p>
    <w:p w14:paraId="6D7B6BD6">
      <w:pPr>
        <w:keepNext w:val="0"/>
        <w:keepLines w:val="0"/>
        <w:pageBreakBefore w:val="0"/>
        <w:kinsoku/>
        <w:wordWrap/>
        <w:overflowPunct/>
        <w:topLinePunct w:val="0"/>
        <w:bidi w:val="0"/>
        <w:snapToGrid/>
        <w:spacing w:line="560" w:lineRule="exact"/>
        <w:ind w:left="0"/>
        <w:rPr>
          <w:rFonts w:hint="eastAsia" w:ascii="仿宋" w:hAnsi="仿宋" w:eastAsia="仿宋" w:cs="仿宋"/>
          <w:bCs/>
          <w:sz w:val="24"/>
          <w:szCs w:val="24"/>
          <w:lang w:eastAsia="zh-CN"/>
        </w:rPr>
      </w:pPr>
      <w:r>
        <w:rPr>
          <w:rFonts w:hint="eastAsia" w:ascii="仿宋" w:hAnsi="仿宋" w:eastAsia="仿宋" w:cs="仿宋"/>
          <w:sz w:val="24"/>
          <w:szCs w:val="24"/>
        </w:rPr>
        <w:t>电  话：</w:t>
      </w:r>
      <w:r>
        <w:rPr>
          <w:rFonts w:hint="eastAsia" w:ascii="仿宋" w:hAnsi="仿宋" w:eastAsia="仿宋" w:cs="仿宋"/>
          <w:sz w:val="24"/>
          <w:szCs w:val="24"/>
          <w:lang w:val="en-US" w:eastAsia="zh-CN"/>
        </w:rPr>
        <w:t>029-89550616</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r>
        <w:rPr>
          <w:rFonts w:hint="eastAsia" w:ascii="仿宋" w:hAnsi="仿宋" w:eastAsia="仿宋" w:cs="仿宋"/>
          <w:sz w:val="24"/>
          <w:szCs w:val="24"/>
          <w:lang w:eastAsia="zh-CN"/>
        </w:rPr>
        <w:t>：</w:t>
      </w:r>
      <w:r>
        <w:rPr>
          <w:rFonts w:hint="eastAsia" w:ascii="仿宋" w:hAnsi="仿宋" w:eastAsia="仿宋" w:cs="仿宋"/>
          <w:bCs/>
          <w:sz w:val="24"/>
          <w:szCs w:val="24"/>
          <w:lang w:val="en-US" w:eastAsia="zh-CN"/>
        </w:rPr>
        <w:t xml:space="preserve"> </w:t>
      </w:r>
    </w:p>
    <w:p w14:paraId="4F6EAF4F">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bCs/>
          <w:sz w:val="24"/>
          <w:szCs w:val="24"/>
          <w:lang w:eastAsia="zh-CN"/>
        </w:rPr>
      </w:pPr>
      <w:r>
        <w:rPr>
          <w:rFonts w:hint="eastAsia" w:ascii="仿宋" w:hAnsi="仿宋" w:eastAsia="仿宋" w:cs="仿宋"/>
          <w:sz w:val="24"/>
          <w:szCs w:val="24"/>
        </w:rPr>
        <w:t>开户银行：</w:t>
      </w:r>
      <w:r>
        <w:rPr>
          <w:rFonts w:hint="eastAsia" w:ascii="仿宋" w:hAnsi="仿宋" w:eastAsia="仿宋" w:cs="仿宋"/>
          <w:bCs/>
          <w:sz w:val="24"/>
          <w:szCs w:val="24"/>
        </w:rPr>
        <w:t>中国银行北大街支行</w:t>
      </w:r>
      <w:r>
        <w:rPr>
          <w:rFonts w:hint="eastAsia" w:ascii="仿宋" w:hAnsi="仿宋" w:eastAsia="仿宋" w:cs="仿宋"/>
          <w:sz w:val="24"/>
          <w:szCs w:val="24"/>
        </w:rPr>
        <w:t xml:space="preserve">     开户银行：</w:t>
      </w:r>
      <w:r>
        <w:rPr>
          <w:rFonts w:hint="eastAsia" w:ascii="仿宋" w:hAnsi="仿宋" w:eastAsia="仿宋" w:cs="仿宋"/>
          <w:bCs/>
          <w:sz w:val="24"/>
          <w:szCs w:val="24"/>
          <w:lang w:val="en-US" w:eastAsia="zh-CN"/>
        </w:rPr>
        <w:t xml:space="preserve"> </w:t>
      </w:r>
    </w:p>
    <w:p w14:paraId="3C4EA02E">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bCs/>
          <w:sz w:val="24"/>
          <w:szCs w:val="24"/>
          <w:lang w:val="en-US" w:eastAsia="zh-CN"/>
        </w:rPr>
      </w:pPr>
      <w:r>
        <w:rPr>
          <w:rFonts w:hint="eastAsia" w:ascii="仿宋" w:hAnsi="仿宋" w:eastAsia="仿宋" w:cs="仿宋"/>
          <w:sz w:val="24"/>
          <w:szCs w:val="24"/>
        </w:rPr>
        <w:t xml:space="preserve">账  号：103208712015              </w:t>
      </w:r>
      <w:r>
        <w:rPr>
          <w:rFonts w:hint="eastAsia" w:ascii="仿宋" w:hAnsi="仿宋" w:eastAsia="仿宋" w:cs="仿宋"/>
          <w:kern w:val="0"/>
          <w:sz w:val="24"/>
          <w:szCs w:val="24"/>
          <w:lang w:val="en-US" w:eastAsia="zh-CN"/>
        </w:rPr>
        <w:t>账 号：</w:t>
      </w:r>
      <w:r>
        <w:rPr>
          <w:rFonts w:hint="eastAsia" w:ascii="仿宋" w:hAnsi="仿宋" w:eastAsia="仿宋" w:cs="仿宋"/>
          <w:bCs/>
          <w:sz w:val="24"/>
          <w:szCs w:val="24"/>
          <w:lang w:val="en-US" w:eastAsia="zh-CN"/>
        </w:rPr>
        <w:t xml:space="preserve"> </w:t>
      </w:r>
    </w:p>
    <w:p w14:paraId="315D79D2">
      <w:pPr>
        <w:keepNext w:val="0"/>
        <w:keepLines w:val="0"/>
        <w:pageBreakBefore w:val="0"/>
        <w:kinsoku/>
        <w:wordWrap/>
        <w:overflowPunct/>
        <w:topLinePunct w:val="0"/>
        <w:bidi w:val="0"/>
        <w:snapToGrid/>
        <w:spacing w:line="560" w:lineRule="exact"/>
        <w:ind w:left="0" w:hanging="4320" w:hangingChars="1800"/>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纳税人识别号：126100000881820988  纳税人识别号： </w:t>
      </w:r>
    </w:p>
    <w:p w14:paraId="39883AE2">
      <w:pPr>
        <w:keepNext w:val="0"/>
        <w:keepLines w:val="0"/>
        <w:pageBreakBefore w:val="0"/>
        <w:kinsoku/>
        <w:wordWrap/>
        <w:overflowPunct/>
        <w:topLinePunct w:val="0"/>
        <w:bidi w:val="0"/>
        <w:snapToGrid/>
        <w:spacing w:line="560" w:lineRule="exact"/>
        <w:ind w:left="0" w:hanging="4320" w:hangingChars="1800"/>
        <w:jc w:val="center"/>
        <w:rPr>
          <w:rFonts w:hint="eastAsia" w:ascii="仿宋" w:hAnsi="仿宋" w:eastAsia="仿宋" w:cs="仿宋"/>
          <w:sz w:val="24"/>
          <w:szCs w:val="24"/>
        </w:rPr>
      </w:pPr>
      <w:r>
        <w:rPr>
          <w:rFonts w:hint="eastAsia" w:ascii="仿宋" w:hAnsi="仿宋" w:eastAsia="仿宋" w:cs="仿宋"/>
          <w:sz w:val="24"/>
          <w:szCs w:val="24"/>
        </w:rPr>
        <w:t xml:space="preserve">签订时间：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年   月   日</w:t>
      </w:r>
    </w:p>
    <w:p w14:paraId="3F2CC9E1">
      <w:pPr>
        <w:keepNext w:val="0"/>
        <w:keepLines w:val="0"/>
        <w:pageBreakBefore w:val="0"/>
        <w:kinsoku/>
        <w:wordWrap/>
        <w:overflowPunct/>
        <w:topLinePunct w:val="0"/>
        <w:bidi w:val="0"/>
        <w:snapToGrid/>
        <w:spacing w:line="560" w:lineRule="exact"/>
        <w:ind w:left="0" w:firstLine="2640" w:firstLineChars="1100"/>
        <w:jc w:val="both"/>
        <w:rPr>
          <w:rFonts w:hint="eastAsia" w:ascii="仿宋" w:hAnsi="仿宋" w:eastAsia="仿宋" w:cs="仿宋"/>
          <w:b/>
          <w:bCs/>
          <w:sz w:val="24"/>
          <w:szCs w:val="24"/>
          <w:u w:val="single"/>
        </w:rPr>
      </w:pPr>
      <w:r>
        <w:rPr>
          <w:rFonts w:hint="eastAsia" w:ascii="仿宋" w:hAnsi="仿宋" w:eastAsia="仿宋" w:cs="仿宋"/>
          <w:sz w:val="24"/>
          <w:szCs w:val="24"/>
        </w:rPr>
        <w:t>签订地点：西安市</w:t>
      </w:r>
    </w:p>
    <w:p w14:paraId="203EAC04">
      <w:pPr>
        <w:pageBreakBefore w:val="0"/>
        <w:numPr>
          <w:ilvl w:val="0"/>
          <w:numId w:val="0"/>
        </w:numPr>
        <w:kinsoku/>
        <w:wordWrap/>
        <w:overflowPunct/>
        <w:topLinePunct w:val="0"/>
        <w:autoSpaceDE/>
        <w:autoSpaceDN/>
        <w:bidi w:val="0"/>
        <w:adjustRightInd/>
        <w:snapToGrid/>
        <w:spacing w:line="440" w:lineRule="exact"/>
        <w:ind w:firstLine="2100" w:firstLineChars="1000"/>
        <w:jc w:val="left"/>
        <w:textAlignment w:val="auto"/>
        <w:rPr>
          <w:rFonts w:hint="eastAsia"/>
          <w:lang w:val="en-US" w:eastAsia="zh-Hans"/>
        </w:rPr>
      </w:pPr>
    </w:p>
    <w:p w14:paraId="4AE8FF22">
      <w:pPr>
        <w:pStyle w:val="12"/>
      </w:pPr>
      <w:bookmarkStart w:id="0" w:name="_GoBack"/>
      <w:bookmarkEnd w:id="0"/>
    </w:p>
    <w:sectPr>
      <w:footerReference r:id="rId3"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16FD2DDE"/>
    <w:rsid w:val="2CA336DC"/>
    <w:rsid w:val="2F76777D"/>
    <w:rsid w:val="3F32667F"/>
    <w:rsid w:val="40221CBC"/>
    <w:rsid w:val="50452911"/>
    <w:rsid w:val="51EC4305"/>
    <w:rsid w:val="58E26334"/>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3"/>
    <w:qFormat/>
    <w:uiPriority w:val="99"/>
    <w:pPr>
      <w:keepNext/>
      <w:keepLines/>
      <w:spacing w:line="413" w:lineRule="auto"/>
      <w:outlineLvl w:val="1"/>
    </w:pPr>
    <w:rPr>
      <w:rFonts w:ascii="Arial" w:hAnsi="Arial" w:eastAsia="黑体"/>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toc 4"/>
    <w:basedOn w:val="1"/>
    <w:next w:val="1"/>
    <w:qFormat/>
    <w:uiPriority w:val="0"/>
    <w:pPr>
      <w:ind w:left="630"/>
      <w:jc w:val="left"/>
    </w:pPr>
    <w:rPr>
      <w:sz w:val="18"/>
      <w:szCs w:val="18"/>
    </w:rPr>
  </w:style>
  <w:style w:type="paragraph" w:styleId="8">
    <w:name w:val="Body Text First Indent"/>
    <w:basedOn w:val="2"/>
    <w:qFormat/>
    <w:uiPriority w:val="0"/>
    <w:pPr>
      <w:tabs>
        <w:tab w:val="left" w:pos="900"/>
        <w:tab w:val="left" w:pos="8280"/>
      </w:tabs>
      <w:ind w:firstLine="420" w:firstLineChars="100"/>
    </w:pPr>
  </w:style>
  <w:style w:type="paragraph" w:customStyle="1" w:styleId="11">
    <w:name w:val="列出段落1"/>
    <w:basedOn w:val="1"/>
    <w:qFormat/>
    <w:uiPriority w:val="99"/>
    <w:pPr>
      <w:ind w:firstLine="420" w:firstLineChars="200"/>
    </w:pPr>
    <w:rPr>
      <w:rFonts w:ascii="Calibri" w:hAnsi="Calibri" w:cs="Calibri"/>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character" w:customStyle="1" w:styleId="13">
    <w:name w:val="标题 2 字符"/>
    <w:link w:val="3"/>
    <w:qFormat/>
    <w:locked/>
    <w:uiPriority w:val="99"/>
    <w:rPr>
      <w:rFonts w:ascii="Arial" w:hAnsi="Arial" w:eastAsia="黑体"/>
      <w:b/>
      <w:kern w:val="0"/>
      <w:sz w:val="32"/>
      <w:szCs w:val="20"/>
    </w:rPr>
  </w:style>
  <w:style w:type="paragraph" w:customStyle="1" w:styleId="14">
    <w:name w:val="列表段落11"/>
    <w:basedOn w:val="1"/>
    <w:qFormat/>
    <w:uiPriority w:val="34"/>
    <w:pPr>
      <w:spacing w:line="360" w:lineRule="auto"/>
      <w:ind w:firstLine="420" w:firstLineChars="200"/>
      <w:jc w:val="left"/>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930</Words>
  <Characters>934</Characters>
  <Lines>0</Lines>
  <Paragraphs>0</Paragraphs>
  <TotalTime>0</TotalTime>
  <ScaleCrop>false</ScaleCrop>
  <LinksUpToDate>false</LinksUpToDate>
  <CharactersWithSpaces>957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安安</cp:lastModifiedBy>
  <dcterms:modified xsi:type="dcterms:W3CDTF">2026-06-02T02:35:04Z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