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版本号：GCZB2026-05-055-W20260602001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运营管理决策支持服务项目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GCZB2026-05-055-W</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运营管理决策支持服务项目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GCZB2026-05-055-W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运营管理决策支持服务项目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西北妇女儿童医院运营管理决策支持服务项目，1项，具体内容详见服务要求。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成立时间至提交响应文件截止时间不足一年的可提供成立后任意时段的资产负债表)，或开标前六个月内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代理服务费收费标准：成交服务费参照国家发展和改革委员会《招标代理服务收费暂行办法》（计价格[2002]1980号）及发改办价格[2003]857号文件的规定标准下浮20%收取。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地址：西安市莲湖区高新一路5号正信大厦A座24楼（2290417378@qq.com）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西北妇女儿童医院运营管理决策支持服务项目，1项，具体内容详见服务要求。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运营管理决策支持服务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标的名称：运营管理决策支持服务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技术参数：</w:t>
            </w:r>
          </w:p>
          <w:tbl>
            <w:tblPr>
              <w:tblInd w:type="dxa" w:w="135"/>
              <w:tblBorders>
                <w:top w:val="none" w:color="000000" w:sz="4"/>
                <w:left w:val="none" w:color="000000" w:sz="4"/>
                <w:bottom w:val="none" w:color="000000" w:sz="4"/>
                <w:right w:val="none" w:color="000000" w:sz="4"/>
                <w:insideH w:val="none"/>
                <w:insideV w:val="none"/>
              </w:tblBorders>
            </w:tblPr>
            <w:tblGrid>
              <w:gridCol w:w="232"/>
              <w:gridCol w:w="238"/>
              <w:gridCol w:w="2076"/>
            </w:tblGrid>
            <w:tr>
              <w:tc>
                <w:tcPr>
                  <w:tcW w:type="dxa" w:w="254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西北妇女儿童医院运营管理决策支持服务项目服务内容</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项目名称</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服务分类</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服务内容描述</w:t>
                  </w:r>
                </w:p>
              </w:tc>
            </w:tr>
            <w:tr>
              <w:tc>
                <w:tcPr>
                  <w:tcW w:type="dxa" w:w="23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医院运营管理决策支持服务项目</w:t>
                  </w: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基础</w:t>
                  </w:r>
                </w:p>
                <w:p>
                  <w:pPr>
                    <w:pStyle w:val="null3"/>
                    <w:jc w:val="center"/>
                  </w:pPr>
                  <w:r>
                    <w:rPr>
                      <w:rFonts w:ascii="仿宋_GB2312" w:hAnsi="仿宋_GB2312" w:cs="仿宋_GB2312" w:eastAsia="仿宋_GB2312"/>
                      <w:sz w:val="20"/>
                    </w:rPr>
                    <w:t>数据服务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w:t>
                  </w:r>
                  <w:r>
                    <w:rPr>
                      <w:rFonts w:ascii="仿宋_GB2312" w:hAnsi="仿宋_GB2312" w:cs="仿宋_GB2312" w:eastAsia="仿宋_GB2312"/>
                      <w:sz w:val="20"/>
                    </w:rPr>
                    <w:t>采购人</w:t>
                  </w:r>
                  <w:r>
                    <w:rPr>
                      <w:rFonts w:ascii="仿宋_GB2312" w:hAnsi="仿宋_GB2312" w:cs="仿宋_GB2312" w:eastAsia="仿宋_GB2312"/>
                      <w:sz w:val="20"/>
                    </w:rPr>
                    <w:t>信息化现状，选择合适的方案对接</w:t>
                  </w:r>
                  <w:r>
                    <w:rPr>
                      <w:rFonts w:ascii="仿宋_GB2312" w:hAnsi="仿宋_GB2312" w:cs="仿宋_GB2312" w:eastAsia="仿宋_GB2312"/>
                      <w:sz w:val="20"/>
                    </w:rPr>
                    <w:t>采购人</w:t>
                  </w:r>
                  <w:r>
                    <w:rPr>
                      <w:rFonts w:ascii="仿宋_GB2312" w:hAnsi="仿宋_GB2312" w:cs="仿宋_GB2312" w:eastAsia="仿宋_GB2312"/>
                      <w:sz w:val="20"/>
                    </w:rPr>
                    <w:t>基础数据，进行数据采集标准设计、数据对接、数据交换、数据采集监控等工作，包括每个月对接病案数据、门诊数据、财务数据、医保结算清单、交易明细等相关医疗数据，同时更新科室对照关系和床位信息，检查数据的口径和标准是否合规。</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每月对采集的相关医疗数据进行数据处理工作，包括数据清洗管理，从规范性、完整性等进行数据质控，对清洗后的数据进行异常处理。最终对清洗后的数据进行数据质量评估。</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0"/>
                    </w:rPr>
                    <w:t>分</w:t>
                  </w:r>
                  <w:r>
                    <w:rPr>
                      <w:rFonts w:ascii="仿宋_GB2312" w:hAnsi="仿宋_GB2312" w:cs="仿宋_GB2312" w:eastAsia="仿宋_GB2312"/>
                      <w:sz w:val="20"/>
                    </w:rPr>
                    <w:t>别将病案首页、门诊数据、医保数据和财务等运营数据格式统一为标准格式，根据标准化规范，对数据进行转换和映射，确保不同数据源的数据能够统一。对标准化后的数据进行验证，确保数据符合标准化规范。</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根据国家技术规范，参照当地目录形成规则，形成医院病种目录库。</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通过建立病案分组的流程管理，完成</w:t>
                  </w:r>
                  <w:r>
                    <w:rPr>
                      <w:rFonts w:ascii="仿宋_GB2312" w:hAnsi="仿宋_GB2312" w:cs="仿宋_GB2312" w:eastAsia="仿宋_GB2312"/>
                      <w:sz w:val="20"/>
                    </w:rPr>
                    <w:t>采购人</w:t>
                  </w:r>
                  <w:r>
                    <w:rPr>
                      <w:rFonts w:ascii="仿宋_GB2312" w:hAnsi="仿宋_GB2312" w:cs="仿宋_GB2312" w:eastAsia="仿宋_GB2312"/>
                      <w:sz w:val="20"/>
                    </w:rPr>
                    <w:t>每个月病案数据入组工作。</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通过大数据方法计算形成医院的费用控制、床位利用和成本控制等管理标准等，支持不同应用场景。</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全面预算</w:t>
                  </w:r>
                </w:p>
                <w:p>
                  <w:pPr>
                    <w:pStyle w:val="null3"/>
                    <w:jc w:val="center"/>
                  </w:pPr>
                  <w:r>
                    <w:rPr>
                      <w:rFonts w:ascii="仿宋_GB2312" w:hAnsi="仿宋_GB2312" w:cs="仿宋_GB2312" w:eastAsia="仿宋_GB2312"/>
                      <w:sz w:val="20"/>
                    </w:rPr>
                    <w:t>数据服务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要协助</w:t>
                  </w:r>
                  <w:r>
                    <w:rPr>
                      <w:rFonts w:ascii="仿宋_GB2312" w:hAnsi="仿宋_GB2312" w:cs="仿宋_GB2312" w:eastAsia="仿宋_GB2312"/>
                      <w:sz w:val="20"/>
                    </w:rPr>
                    <w:t>采购人</w:t>
                  </w:r>
                  <w:r>
                    <w:rPr>
                      <w:rFonts w:ascii="仿宋_GB2312" w:hAnsi="仿宋_GB2312" w:cs="仿宋_GB2312" w:eastAsia="仿宋_GB2312"/>
                      <w:sz w:val="20"/>
                    </w:rPr>
                    <w:t>根据战略定位和发展目标，确定医务、财务、医保等归口管理部门当年预算指标，提供必选指标和可选指标选择服务；对不同预算指标进行基于往期趋势测算全院当年的预算编制，进而形成全院当年预算值建议。</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支持将</w:t>
                  </w:r>
                  <w:r>
                    <w:rPr>
                      <w:rFonts w:ascii="仿宋_GB2312" w:hAnsi="仿宋_GB2312" w:cs="仿宋_GB2312" w:eastAsia="仿宋_GB2312"/>
                      <w:sz w:val="20"/>
                    </w:rPr>
                    <w:t>采购人</w:t>
                  </w:r>
                  <w:r>
                    <w:rPr>
                      <w:rFonts w:ascii="仿宋_GB2312" w:hAnsi="仿宋_GB2312" w:cs="仿宋_GB2312" w:eastAsia="仿宋_GB2312"/>
                      <w:sz w:val="20"/>
                    </w:rPr>
                    <w:t>的每个预算指标目标值分解到各预算责任科室，做为预算编制过程中一下的初始值，也作为各预算科室预算一上的建议值；利用数据工具，完成一上汇总、二下分解、二上汇总的预算编制流程，并最终形成全院和科室的预算终值，完成全院预算编制工作。</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需提供关键项目预算解读，需同步提供预算依据报告。</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需每月通过数据分析将预算指标的实际执行值与预算值进行比较分析，为分析偏离找成因。</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概览</w:t>
                  </w:r>
                </w:p>
                <w:p>
                  <w:pPr>
                    <w:pStyle w:val="null3"/>
                    <w:jc w:val="center"/>
                  </w:pPr>
                  <w:r>
                    <w:rPr>
                      <w:rFonts w:ascii="仿宋_GB2312" w:hAnsi="仿宋_GB2312" w:cs="仿宋_GB2312" w:eastAsia="仿宋_GB2312"/>
                      <w:sz w:val="20"/>
                    </w:rPr>
                    <w:t>分析服务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0"/>
                    </w:rPr>
                    <w:t>支</w:t>
                  </w:r>
                  <w:r>
                    <w:rPr>
                      <w:rFonts w:ascii="仿宋_GB2312" w:hAnsi="仿宋_GB2312" w:cs="仿宋_GB2312" w:eastAsia="仿宋_GB2312"/>
                      <w:sz w:val="20"/>
                    </w:rPr>
                    <w:t>持根据分析时间和分析对象，从能效、医疗收入、医疗成本和医保支付等维度，对核心指标进行统一分析，为</w:t>
                  </w:r>
                  <w:r>
                    <w:rPr>
                      <w:rFonts w:ascii="仿宋_GB2312" w:hAnsi="仿宋_GB2312" w:cs="仿宋_GB2312" w:eastAsia="仿宋_GB2312"/>
                      <w:sz w:val="20"/>
                    </w:rPr>
                    <w:t>采购人</w:t>
                  </w:r>
                  <w:r>
                    <w:rPr>
                      <w:rFonts w:ascii="仿宋_GB2312" w:hAnsi="仿宋_GB2312" w:cs="仿宋_GB2312" w:eastAsia="仿宋_GB2312"/>
                      <w:sz w:val="20"/>
                    </w:rPr>
                    <w:t>运营管理提供宏观层面数据分析。</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▲支持提供不同地区、同类型医院对标数据，从工作量、费用、医师工作效率等指标维度与本院数据进行对标。</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业务</w:t>
                  </w:r>
                  <w:r>
                    <w:rPr>
                      <w:rFonts w:ascii="仿宋_GB2312" w:hAnsi="仿宋_GB2312" w:cs="仿宋_GB2312" w:eastAsia="仿宋_GB2312"/>
                      <w:sz w:val="20"/>
                    </w:rPr>
                    <w:t>概览分析需要围绕对住院和门诊能效进行总体分析评价，分析核心指标当月实际情况和同比变化趋势，以及累计月份情况，分析指标需要包含</w:t>
                  </w:r>
                  <w:r>
                    <w:rPr>
                      <w:rFonts w:ascii="仿宋_GB2312" w:hAnsi="仿宋_GB2312" w:cs="仿宋_GB2312" w:eastAsia="仿宋_GB2312"/>
                      <w:sz w:val="20"/>
                    </w:rPr>
                    <w:t>门诊量、</w:t>
                  </w:r>
                  <w:r>
                    <w:rPr>
                      <w:rFonts w:ascii="仿宋_GB2312" w:hAnsi="仿宋_GB2312" w:cs="仿宋_GB2312" w:eastAsia="仿宋_GB2312"/>
                      <w:sz w:val="20"/>
                    </w:rPr>
                    <w:t>出院</w:t>
                  </w:r>
                  <w:r>
                    <w:rPr>
                      <w:rFonts w:ascii="仿宋_GB2312" w:hAnsi="仿宋_GB2312" w:cs="仿宋_GB2312" w:eastAsia="仿宋_GB2312"/>
                      <w:sz w:val="20"/>
                    </w:rPr>
                    <w:t>量</w:t>
                  </w:r>
                  <w:r>
                    <w:rPr>
                      <w:rFonts w:ascii="仿宋_GB2312" w:hAnsi="仿宋_GB2312" w:cs="仿宋_GB2312" w:eastAsia="仿宋_GB2312"/>
                      <w:sz w:val="20"/>
                    </w:rPr>
                    <w:t>、</w:t>
                  </w:r>
                  <w:r>
                    <w:rPr>
                      <w:rFonts w:ascii="仿宋_GB2312" w:hAnsi="仿宋_GB2312" w:cs="仿宋_GB2312" w:eastAsia="仿宋_GB2312"/>
                      <w:sz w:val="20"/>
                    </w:rPr>
                    <w:t>分娩量、</w:t>
                  </w:r>
                  <w:r>
                    <w:rPr>
                      <w:rFonts w:ascii="仿宋_GB2312" w:hAnsi="仿宋_GB2312" w:cs="仿宋_GB2312" w:eastAsia="仿宋_GB2312"/>
                      <w:sz w:val="20"/>
                    </w:rPr>
                    <w:t>CMI，</w:t>
                  </w:r>
                  <w:r>
                    <w:rPr>
                      <w:rFonts w:ascii="仿宋_GB2312" w:hAnsi="仿宋_GB2312" w:cs="仿宋_GB2312" w:eastAsia="仿宋_GB2312"/>
                      <w:sz w:val="20"/>
                    </w:rPr>
                    <w:t>各项</w:t>
                  </w:r>
                  <w:r>
                    <w:rPr>
                      <w:rFonts w:ascii="仿宋_GB2312" w:hAnsi="仿宋_GB2312" w:cs="仿宋_GB2312" w:eastAsia="仿宋_GB2312"/>
                      <w:sz w:val="20"/>
                    </w:rPr>
                    <w:t>手术占比和手术操作率</w:t>
                  </w:r>
                  <w:r>
                    <w:rPr>
                      <w:rFonts w:ascii="仿宋_GB2312" w:hAnsi="仿宋_GB2312" w:cs="仿宋_GB2312" w:eastAsia="仿宋_GB2312"/>
                      <w:sz w:val="20"/>
                    </w:rPr>
                    <w:t>、平均住院日、床位使用率</w:t>
                  </w:r>
                  <w:r>
                    <w:rPr>
                      <w:rFonts w:ascii="仿宋_GB2312" w:hAnsi="仿宋_GB2312" w:cs="仿宋_GB2312" w:eastAsia="仿宋_GB2312"/>
                      <w:sz w:val="20"/>
                    </w:rPr>
                    <w:t>等核心指标，</w:t>
                  </w:r>
                  <w:r>
                    <w:rPr>
                      <w:rFonts w:ascii="仿宋_GB2312" w:hAnsi="仿宋_GB2312" w:cs="仿宋_GB2312" w:eastAsia="仿宋_GB2312"/>
                      <w:sz w:val="20"/>
                    </w:rPr>
                    <w:t>并</w:t>
                  </w:r>
                  <w:r>
                    <w:rPr>
                      <w:rFonts w:ascii="仿宋_GB2312" w:hAnsi="仿宋_GB2312" w:cs="仿宋_GB2312" w:eastAsia="仿宋_GB2312"/>
                      <w:sz w:val="20"/>
                    </w:rPr>
                    <w:t>支持对全院进行定性评价。</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财务</w:t>
                  </w:r>
                  <w:r>
                    <w:rPr>
                      <w:rFonts w:ascii="仿宋_GB2312" w:hAnsi="仿宋_GB2312" w:cs="仿宋_GB2312" w:eastAsia="仿宋_GB2312"/>
                      <w:sz w:val="20"/>
                    </w:rPr>
                    <w:t>概览需支持分析相关指标同比变化趋势，指标需包含总收入、住院医疗收入和门诊医疗收入等指标和收入结构（药品、耗材、检查检验和医疗服务）。支持对全院科室进行优良中差评价。</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医疗成本概览支持对医疗成本核心进行趋势和结构分析，需包含总成本和住院医疗</w:t>
                  </w:r>
                  <w:r>
                    <w:rPr>
                      <w:rFonts w:ascii="仿宋_GB2312" w:hAnsi="仿宋_GB2312" w:cs="仿宋_GB2312" w:eastAsia="仿宋_GB2312"/>
                      <w:sz w:val="20"/>
                    </w:rPr>
                    <w:t>成</w:t>
                  </w:r>
                  <w:r>
                    <w:rPr>
                      <w:rFonts w:ascii="仿宋_GB2312" w:hAnsi="仿宋_GB2312" w:cs="仿宋_GB2312" w:eastAsia="仿宋_GB2312"/>
                      <w:sz w:val="20"/>
                    </w:rPr>
                    <w:t>本等指标</w:t>
                  </w:r>
                  <w:r>
                    <w:rPr>
                      <w:rFonts w:ascii="仿宋_GB2312" w:hAnsi="仿宋_GB2312" w:cs="仿宋_GB2312" w:eastAsia="仿宋_GB2312"/>
                      <w:sz w:val="20"/>
                    </w:rPr>
                    <w:t>以及</w:t>
                  </w:r>
                  <w:r>
                    <w:rPr>
                      <w:rFonts w:ascii="仿宋_GB2312" w:hAnsi="仿宋_GB2312" w:cs="仿宋_GB2312" w:eastAsia="仿宋_GB2312"/>
                      <w:sz w:val="20"/>
                    </w:rPr>
                    <w:t>成本结构。</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支持对全院医保初始补偿率进行分析，同时结合医疗收支比分析全院医保结余和收支结余情况。</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支持对不同维度利用大数据可视化工具进行分析和展示，同时，根据进行梯度分类预警。</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▲支持对全院运营数据进行运营定性评价，需基于评价体系从功能定位、资源利用、医保分析、经济运营和收入合理性等维度，对运营结果进行分析并评价。</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能效管理</w:t>
                  </w:r>
                </w:p>
                <w:p>
                  <w:pPr>
                    <w:pStyle w:val="null3"/>
                    <w:jc w:val="center"/>
                  </w:pPr>
                  <w:r>
                    <w:rPr>
                      <w:rFonts w:ascii="仿宋_GB2312" w:hAnsi="仿宋_GB2312" w:cs="仿宋_GB2312" w:eastAsia="仿宋_GB2312"/>
                      <w:sz w:val="20"/>
                    </w:rPr>
                    <w:t>数据服务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0"/>
                    </w:rPr>
                    <w:t>需对全院、科室、医生组和病组进行能效分析，分析指标包括</w:t>
                  </w:r>
                  <w:r>
                    <w:rPr>
                      <w:rFonts w:ascii="仿宋_GB2312" w:hAnsi="仿宋_GB2312" w:cs="仿宋_GB2312" w:eastAsia="仿宋_GB2312"/>
                      <w:sz w:val="20"/>
                    </w:rPr>
                    <w:t>CMI、</w:t>
                  </w:r>
                  <w:r>
                    <w:rPr>
                      <w:rFonts w:ascii="仿宋_GB2312" w:hAnsi="仿宋_GB2312" w:cs="仿宋_GB2312" w:eastAsia="仿宋_GB2312"/>
                      <w:sz w:val="20"/>
                    </w:rPr>
                    <w:t>病种占比</w:t>
                  </w:r>
                  <w:r>
                    <w:rPr>
                      <w:rFonts w:ascii="仿宋_GB2312" w:hAnsi="仿宋_GB2312" w:cs="仿宋_GB2312" w:eastAsia="仿宋_GB2312"/>
                      <w:sz w:val="20"/>
                    </w:rPr>
                    <w:t>、出院患者手术占比、四级手术占比、微创手术占比、</w:t>
                  </w:r>
                  <w:r>
                    <w:rPr>
                      <w:rFonts w:ascii="仿宋_GB2312" w:hAnsi="仿宋_GB2312" w:cs="仿宋_GB2312" w:eastAsia="仿宋_GB2312"/>
                      <w:sz w:val="20"/>
                    </w:rPr>
                    <w:t>手术</w:t>
                  </w:r>
                  <w:r>
                    <w:rPr>
                      <w:rFonts w:ascii="仿宋_GB2312" w:hAnsi="仿宋_GB2312" w:cs="仿宋_GB2312" w:eastAsia="仿宋_GB2312"/>
                      <w:sz w:val="20"/>
                    </w:rPr>
                    <w:t>操作率；门诊分析到科室，包括门诊量、复诊率、门住人次</w:t>
                  </w:r>
                  <w:r>
                    <w:rPr>
                      <w:rFonts w:ascii="仿宋_GB2312" w:hAnsi="仿宋_GB2312" w:cs="仿宋_GB2312" w:eastAsia="仿宋_GB2312"/>
                      <w:sz w:val="20"/>
                    </w:rPr>
                    <w:t>比</w:t>
                  </w:r>
                  <w:r>
                    <w:rPr>
                      <w:rFonts w:ascii="仿宋_GB2312" w:hAnsi="仿宋_GB2312" w:cs="仿宋_GB2312" w:eastAsia="仿宋_GB2312"/>
                      <w:sz w:val="20"/>
                    </w:rPr>
                    <w:t>等指标。</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支持从能级和效率两个维度分别对住院和门诊进行分析，从全院到科室，颗粒度从粗到细，</w:t>
                  </w:r>
                  <w:r>
                    <w:rPr>
                      <w:rFonts w:ascii="仿宋_GB2312" w:hAnsi="仿宋_GB2312" w:cs="仿宋_GB2312" w:eastAsia="仿宋_GB2312"/>
                      <w:sz w:val="20"/>
                    </w:rPr>
                    <w:t>能够</w:t>
                  </w:r>
                  <w:r>
                    <w:rPr>
                      <w:rFonts w:ascii="仿宋_GB2312" w:hAnsi="仿宋_GB2312" w:cs="仿宋_GB2312" w:eastAsia="仿宋_GB2312"/>
                      <w:sz w:val="20"/>
                    </w:rPr>
                    <w:t>挖掘数据背后反映的真实问题。</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▲对科室的运营情况进行“优良中差”梯度评价，直观解读分析运营管理中存在的问题。</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收入</w:t>
                  </w:r>
                </w:p>
                <w:p>
                  <w:pPr>
                    <w:pStyle w:val="null3"/>
                    <w:jc w:val="center"/>
                  </w:pPr>
                  <w:r>
                    <w:rPr>
                      <w:rFonts w:ascii="仿宋_GB2312" w:hAnsi="仿宋_GB2312" w:cs="仿宋_GB2312" w:eastAsia="仿宋_GB2312"/>
                      <w:sz w:val="20"/>
                    </w:rPr>
                    <w:t>分析服务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要求在大数据标准体系下，将</w:t>
                  </w:r>
                  <w:r>
                    <w:rPr>
                      <w:rFonts w:ascii="仿宋_GB2312" w:hAnsi="仿宋_GB2312" w:cs="仿宋_GB2312" w:eastAsia="仿宋_GB2312"/>
                      <w:sz w:val="20"/>
                    </w:rPr>
                    <w:t>采购人</w:t>
                  </w:r>
                  <w:r>
                    <w:rPr>
                      <w:rFonts w:ascii="仿宋_GB2312" w:hAnsi="仿宋_GB2312" w:cs="仿宋_GB2312" w:eastAsia="仿宋_GB2312"/>
                      <w:sz w:val="20"/>
                    </w:rPr>
                    <w:t>所有费用进行指数标化，通过病种指数单价、药品指数单价、耗材指数单价等综合考虑学科特点和疾病难易程度后的标化价格，可实现不同学科、不同疾病之间价格合理性的直接对比。</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需通过对费用结构进行分析，帮助</w:t>
                  </w:r>
                  <w:r>
                    <w:rPr>
                      <w:rFonts w:ascii="仿宋_GB2312" w:hAnsi="仿宋_GB2312" w:cs="仿宋_GB2312" w:eastAsia="仿宋_GB2312"/>
                      <w:sz w:val="20"/>
                    </w:rPr>
                    <w:t>采购人</w:t>
                  </w:r>
                  <w:r>
                    <w:rPr>
                      <w:rFonts w:ascii="仿宋_GB2312" w:hAnsi="仿宋_GB2312" w:cs="仿宋_GB2312" w:eastAsia="仿宋_GB2312"/>
                      <w:sz w:val="20"/>
                    </w:rPr>
                    <w:t>对收入结构进行分析和调整建议，同时，在医保支付方式改革的背景下，对费用结构进行优化，提高医疗服务性收入比重。需从科室、医疗组和病种的维度进行结构性分析，找到费用偏离的具体原因，有针对性地进行不合理费用控制。</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成本</w:t>
                  </w:r>
                </w:p>
                <w:p>
                  <w:pPr>
                    <w:pStyle w:val="null3"/>
                    <w:jc w:val="center"/>
                  </w:pPr>
                  <w:r>
                    <w:rPr>
                      <w:rFonts w:ascii="仿宋_GB2312" w:hAnsi="仿宋_GB2312" w:cs="仿宋_GB2312" w:eastAsia="仿宋_GB2312"/>
                      <w:sz w:val="20"/>
                    </w:rPr>
                    <w:t>分析服务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支持对四大类科室临床、医技、医辅、行政为统计单位，分析四大类科室直接成本分布及变动情况，支持从全院到科室下钻分析，从成本大类下钻到成本项目，找到成本管控关键点。</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从科室维度分析成本相关核心指标，如医疗收支比、医疗成本结构（人员、药品、耗材和其他</w:t>
                  </w:r>
                  <w:r>
                    <w:rPr>
                      <w:rFonts w:ascii="仿宋_GB2312" w:hAnsi="仿宋_GB2312" w:cs="仿宋_GB2312" w:eastAsia="仿宋_GB2312"/>
                      <w:sz w:val="20"/>
                    </w:rPr>
                    <w:t>4项）的占比，以及科室整体直接成本与间接成本情况。</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支持在科室成本分析下从</w:t>
                  </w:r>
                  <w:r>
                    <w:rPr>
                      <w:rFonts w:ascii="仿宋_GB2312" w:hAnsi="仿宋_GB2312" w:cs="仿宋_GB2312" w:eastAsia="仿宋_GB2312"/>
                      <w:sz w:val="20"/>
                    </w:rPr>
                    <w:t>医生组、</w:t>
                  </w:r>
                  <w:r>
                    <w:rPr>
                      <w:rFonts w:ascii="仿宋_GB2312" w:hAnsi="仿宋_GB2312" w:cs="仿宋_GB2312" w:eastAsia="仿宋_GB2312"/>
                      <w:sz w:val="20"/>
                    </w:rPr>
                    <w:t>病组和手术维度进行医疗成本分析。</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床位资源</w:t>
                  </w:r>
                </w:p>
                <w:p>
                  <w:pPr>
                    <w:pStyle w:val="null3"/>
                    <w:jc w:val="center"/>
                  </w:pPr>
                  <w:r>
                    <w:rPr>
                      <w:rFonts w:ascii="仿宋_GB2312" w:hAnsi="仿宋_GB2312" w:cs="仿宋_GB2312" w:eastAsia="仿宋_GB2312"/>
                      <w:sz w:val="20"/>
                    </w:rPr>
                    <w:t>分析服务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分析维度需包含床位能效和床位经济，需从全院、科室、主诊和病组等维度进行分析和评价。</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床位经济核心指标包括</w:t>
                  </w:r>
                  <w:r>
                    <w:rPr>
                      <w:rFonts w:ascii="仿宋_GB2312" w:hAnsi="仿宋_GB2312" w:cs="仿宋_GB2312" w:eastAsia="仿宋_GB2312"/>
                      <w:sz w:val="20"/>
                    </w:rPr>
                    <w:t>术前平均住院日、术后平均住院日，</w:t>
                  </w:r>
                  <w:r>
                    <w:rPr>
                      <w:rFonts w:ascii="仿宋_GB2312" w:hAnsi="仿宋_GB2312" w:cs="仿宋_GB2312" w:eastAsia="仿宋_GB2312"/>
                      <w:sz w:val="20"/>
                    </w:rPr>
                    <w:t>每床日收入和每床日成本，为科室分析床位资源的经济平衡提供数据支持。</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医保</w:t>
                  </w:r>
                </w:p>
                <w:p>
                  <w:pPr>
                    <w:pStyle w:val="null3"/>
                    <w:jc w:val="center"/>
                  </w:pPr>
                  <w:r>
                    <w:rPr>
                      <w:rFonts w:ascii="仿宋_GB2312" w:hAnsi="仿宋_GB2312" w:cs="仿宋_GB2312" w:eastAsia="仿宋_GB2312"/>
                      <w:sz w:val="20"/>
                    </w:rPr>
                    <w:t>分析服务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支持选择不同医保人群口径（如职保和居保）从宏观角度分析出院病人数、总收入、病组数、医保</w:t>
                  </w:r>
                  <w:r>
                    <w:rPr>
                      <w:rFonts w:ascii="仿宋_GB2312" w:hAnsi="仿宋_GB2312" w:cs="仿宋_GB2312" w:eastAsia="仿宋_GB2312"/>
                      <w:sz w:val="20"/>
                    </w:rPr>
                    <w:t>CMI、收入成本比等核心指标的占比或同比趋势，支持进行科室列表分析。</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以热力图形式分析不同科室情况，同时</w:t>
                  </w:r>
                  <w:r>
                    <w:rPr>
                      <w:rFonts w:ascii="仿宋_GB2312" w:hAnsi="仿宋_GB2312" w:cs="仿宋_GB2312" w:eastAsia="仿宋_GB2312"/>
                      <w:sz w:val="20"/>
                    </w:rPr>
                    <w:t>对于超支付标准的科室级病种弹窗提醒，并分析</w:t>
                  </w:r>
                  <w:r>
                    <w:rPr>
                      <w:rFonts w:ascii="仿宋_GB2312" w:hAnsi="仿宋_GB2312" w:cs="仿宋_GB2312" w:eastAsia="仿宋_GB2312"/>
                      <w:sz w:val="20"/>
                    </w:rPr>
                    <w:t>展示医保相关关联指标</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分析医保人群累计月收入同比趋势和占比，以及单月值环比和占比情况，次均费用趋势和指数费用偏离分析</w:t>
                  </w:r>
                  <w:r>
                    <w:rPr>
                      <w:rFonts w:ascii="仿宋_GB2312" w:hAnsi="仿宋_GB2312" w:cs="仿宋_GB2312" w:eastAsia="仿宋_GB2312"/>
                      <w:sz w:val="20"/>
                    </w:rPr>
                    <w:t>。</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基于全院的成本数据，对全院间接成本进行合理核算至科室和病例，并分析医保人群累计月成本同比趋势和占比，以及成本单月值环比和占比情况，次均成本趋势和指数成本趋势分析，支持与科室列表成本指标分析与可视化柱状图联动。</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需分析全院费用分布情况，分析费用和病例数占比，同时以浮窗形式分析大于均值中高倍率占比和小于均值段低倍率占比情况。同时与科室列表费用分布指标和可视化分析形成联动。同时支持从科室分布、超值项</w:t>
                  </w:r>
                  <w:r>
                    <w:rPr>
                      <w:rFonts w:ascii="仿宋_GB2312" w:hAnsi="仿宋_GB2312" w:cs="仿宋_GB2312" w:eastAsia="仿宋_GB2312"/>
                      <w:sz w:val="20"/>
                    </w:rPr>
                    <w:t>top5和涉及风险项top5进行展示。</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需基于大数据建立起来的诊断标准和治疗标准，结合本地收费标准进行分析，从项数偏差、费用偏差分析全院占比情况，分别从诊断、治疗、药品与耗材</w:t>
                  </w:r>
                  <w:r>
                    <w:rPr>
                      <w:rFonts w:ascii="仿宋_GB2312" w:hAnsi="仿宋_GB2312" w:cs="仿宋_GB2312" w:eastAsia="仿宋_GB2312"/>
                      <w:sz w:val="20"/>
                    </w:rPr>
                    <w:t>等</w:t>
                  </w:r>
                  <w:r>
                    <w:rPr>
                      <w:rFonts w:ascii="仿宋_GB2312" w:hAnsi="仿宋_GB2312" w:cs="仿宋_GB2312" w:eastAsia="仿宋_GB2312"/>
                      <w:sz w:val="20"/>
                    </w:rPr>
                    <w:t>维度进行分析</w:t>
                  </w:r>
                  <w:r>
                    <w:rPr>
                      <w:rFonts w:ascii="仿宋_GB2312" w:hAnsi="仿宋_GB2312" w:cs="仿宋_GB2312" w:eastAsia="仿宋_GB2312"/>
                      <w:sz w:val="20"/>
                    </w:rPr>
                    <w:t>。</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需对科室以</w:t>
                  </w:r>
                  <w:r>
                    <w:rPr>
                      <w:rFonts w:ascii="仿宋_GB2312" w:hAnsi="仿宋_GB2312" w:cs="仿宋_GB2312" w:eastAsia="仿宋_GB2312"/>
                      <w:sz w:val="20"/>
                    </w:rPr>
                    <w:t>MDC病组为切入，以热力图形式分析不同MDC病组在当前分析维度下不同主诊组的相关指标情况，同时以浮窗形式分析和展示病组医保相关关联指标。</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国考分析</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0"/>
                    </w:rPr>
                    <w:t>通过</w:t>
                  </w:r>
                  <w:r>
                    <w:rPr>
                      <w:rFonts w:ascii="仿宋_GB2312" w:hAnsi="仿宋_GB2312" w:cs="仿宋_GB2312" w:eastAsia="仿宋_GB2312"/>
                      <w:sz w:val="20"/>
                    </w:rPr>
                    <w:t>对国考医疗质量维度的监测指标进行达标率分析和预估分评估，了解医疗质量维度国考的运行情况，结合科室列表分析和医疗质量运行解读，为管理者提供决策参考。</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对国考运营效率维度的监测指标进行达标率分析和预估分评估，了解运营效率维度国考的运行情况，结合科室列表分析和医疗质量运行解读，为管理者提供决策参考。</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以数字简报的形式，分析全院国考监测指标运营情况，给出引起指标变化的原因，以及需要改进的地方，提供给管理者明确的方向。</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数字简报</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要求基于月度评价体系，对应全面预算和往期的指标标准，以科室列表比较到指标综合研判分析。月报体系包括院级和所有科室。</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季度简报是以每个季度划分，统计分析季度运营指标，支持分别对全院和科室级出具相关运营简报。其中，院级季度简报，涵盖了科室运营的综合评价排序，穿透到能级与能效季度分析、床位资源利用季度等量化分析，结合目标同向性予以运营定性评价</w:t>
                  </w:r>
                  <w:r>
                    <w:rPr>
                      <w:rFonts w:ascii="仿宋_GB2312" w:hAnsi="仿宋_GB2312" w:cs="仿宋_GB2312" w:eastAsia="仿宋_GB2312"/>
                      <w:sz w:val="20"/>
                    </w:rPr>
                    <w:t>。</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要求从院科两级出具半年度简报，数据分析</w:t>
                  </w:r>
                  <w:r>
                    <w:rPr>
                      <w:rFonts w:ascii="仿宋_GB2312" w:hAnsi="仿宋_GB2312" w:cs="仿宋_GB2312" w:eastAsia="仿宋_GB2312"/>
                      <w:sz w:val="20"/>
                    </w:rPr>
                    <w:t>采购人</w:t>
                  </w:r>
                  <w:r>
                    <w:rPr>
                      <w:rFonts w:ascii="仿宋_GB2312" w:hAnsi="仿宋_GB2312" w:cs="仿宋_GB2312" w:eastAsia="仿宋_GB2312"/>
                      <w:sz w:val="20"/>
                    </w:rPr>
                    <w:t>在能效、收支、资源利用效率等情况，协助</w:t>
                  </w:r>
                  <w:r>
                    <w:rPr>
                      <w:rFonts w:ascii="仿宋_GB2312" w:hAnsi="仿宋_GB2312" w:cs="仿宋_GB2312" w:eastAsia="仿宋_GB2312"/>
                      <w:sz w:val="20"/>
                    </w:rPr>
                    <w:t>采购人进行</w:t>
                  </w:r>
                  <w:r>
                    <w:rPr>
                      <w:rFonts w:ascii="仿宋_GB2312" w:hAnsi="仿宋_GB2312" w:cs="仿宋_GB2312" w:eastAsia="仿宋_GB2312"/>
                      <w:sz w:val="20"/>
                    </w:rPr>
                    <w:t>半年度总结运营情况，院级简报包括全院科室运营业绩综合评价、能级与效率分析、经济分析、医保管理分析、床位资源利用分析和综合运营定性评价</w:t>
                  </w:r>
                  <w:r>
                    <w:rPr>
                      <w:rFonts w:ascii="仿宋_GB2312" w:hAnsi="仿宋_GB2312" w:cs="仿宋_GB2312" w:eastAsia="仿宋_GB2312"/>
                      <w:sz w:val="20"/>
                    </w:rPr>
                    <w:t>。</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年度简报对全年的运营情况做完整的分析，要求从院科两级出具简报，根据年度数据分析全院运营情况，首先对全院的科室进行业绩A、B、C、D四个等级排名，给出全院科室运营业绩综合评价，从能级效率分析、经济分析、医保管理分析、床位资源利用分析到整体运营定性评价</w:t>
                  </w:r>
                  <w:r>
                    <w:rPr>
                      <w:rFonts w:ascii="仿宋_GB2312" w:hAnsi="仿宋_GB2312" w:cs="仿宋_GB2312" w:eastAsia="仿宋_GB2312"/>
                      <w:sz w:val="20"/>
                    </w:rPr>
                    <w:t>。</w:t>
                  </w:r>
                </w:p>
              </w:tc>
            </w:tr>
            <w:tr>
              <w:tc>
                <w:tcPr>
                  <w:tcW w:type="dxa" w:w="232"/>
                  <w:vMerge/>
                  <w:tcBorders>
                    <w:top w:val="none" w:color="000000" w:sz="4"/>
                    <w:left w:val="single" w:color="000000" w:sz="4"/>
                    <w:bottom w:val="none" w:color="000000" w:sz="4"/>
                    <w:right w:val="single" w:color="000000" w:sz="4"/>
                  </w:tcBorders>
                </w:tcPr>
                <w:p/>
              </w:tc>
              <w:tc>
                <w:tcPr>
                  <w:tcW w:type="dxa" w:w="2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移动端</w:t>
                  </w:r>
                </w:p>
                <w:p>
                  <w:pPr>
                    <w:pStyle w:val="null3"/>
                    <w:jc w:val="center"/>
                  </w:pPr>
                  <w:r>
                    <w:rPr>
                      <w:rFonts w:ascii="仿宋_GB2312" w:hAnsi="仿宋_GB2312" w:cs="仿宋_GB2312" w:eastAsia="仿宋_GB2312"/>
                      <w:sz w:val="20"/>
                    </w:rPr>
                    <w:t>监测服务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▲根据数据源可及性和时效性提供数据接口标准，进行移动端的数据对接，支持微信小程序、企业微信、钉钉等不同形式的移动端应用展示</w:t>
                  </w:r>
                  <w:r>
                    <w:rPr>
                      <w:rFonts w:ascii="仿宋_GB2312" w:hAnsi="仿宋_GB2312" w:cs="仿宋_GB2312" w:eastAsia="仿宋_GB2312"/>
                      <w:sz w:val="20"/>
                    </w:rPr>
                    <w:t>，分钟级更新</w:t>
                  </w:r>
                  <w:r>
                    <w:rPr>
                      <w:rFonts w:ascii="仿宋_GB2312" w:hAnsi="仿宋_GB2312" w:cs="仿宋_GB2312" w:eastAsia="仿宋_GB2312"/>
                      <w:sz w:val="20"/>
                    </w:rPr>
                    <w:t>。监测数据包括住院（</w:t>
                  </w:r>
                  <w:r>
                    <w:rPr>
                      <w:rFonts w:ascii="仿宋_GB2312" w:hAnsi="仿宋_GB2312" w:cs="仿宋_GB2312" w:eastAsia="仿宋_GB2312"/>
                      <w:sz w:val="20"/>
                    </w:rPr>
                    <w:t>业务量</w:t>
                  </w:r>
                  <w:r>
                    <w:rPr>
                      <w:rFonts w:ascii="仿宋_GB2312" w:hAnsi="仿宋_GB2312" w:cs="仿宋_GB2312" w:eastAsia="仿宋_GB2312"/>
                      <w:sz w:val="20"/>
                    </w:rPr>
                    <w:t>、收入、</w:t>
                  </w:r>
                  <w:r>
                    <w:rPr>
                      <w:rFonts w:ascii="仿宋_GB2312" w:hAnsi="仿宋_GB2312" w:cs="仿宋_GB2312" w:eastAsia="仿宋_GB2312"/>
                      <w:sz w:val="20"/>
                    </w:rPr>
                    <w:t>亚专科病种、</w:t>
                  </w:r>
                  <w:r>
                    <w:rPr>
                      <w:rFonts w:ascii="仿宋_GB2312" w:hAnsi="仿宋_GB2312" w:cs="仿宋_GB2312" w:eastAsia="仿宋_GB2312"/>
                      <w:sz w:val="20"/>
                    </w:rPr>
                    <w:t>手术、药品和耗材）、门诊（</w:t>
                  </w:r>
                  <w:r>
                    <w:rPr>
                      <w:rFonts w:ascii="仿宋_GB2312" w:hAnsi="仿宋_GB2312" w:cs="仿宋_GB2312" w:eastAsia="仿宋_GB2312"/>
                      <w:sz w:val="20"/>
                    </w:rPr>
                    <w:t>业务量</w:t>
                  </w:r>
                  <w:r>
                    <w:rPr>
                      <w:rFonts w:ascii="仿宋_GB2312" w:hAnsi="仿宋_GB2312" w:cs="仿宋_GB2312" w:eastAsia="仿宋_GB2312"/>
                      <w:sz w:val="20"/>
                    </w:rPr>
                    <w:t>、收入和药品）、医保（医保提示和医保分析）、分析报告（如周报、月报和年报），预警提示（对预算执行情况不好的情况进行预警）等功能。</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w:t>
                  </w:r>
                  <w:r>
                    <w:rPr>
                      <w:rFonts w:ascii="仿宋_GB2312" w:hAnsi="仿宋_GB2312" w:cs="仿宋_GB2312" w:eastAsia="仿宋_GB2312"/>
                      <w:sz w:val="20"/>
                    </w:rPr>
                    <w:t>持从全院下钻至科室，再下钻至医生组。支持院级掌上运营分析与院级综合运营分析主题保持同源，保证数据一致性</w:t>
                  </w:r>
                  <w:r>
                    <w:rPr>
                      <w:rFonts w:ascii="仿宋_GB2312" w:hAnsi="仿宋_GB2312" w:cs="仿宋_GB2312" w:eastAsia="仿宋_GB2312"/>
                      <w:sz w:val="20"/>
                    </w:rPr>
                    <w:t>，并</w:t>
                  </w:r>
                  <w:r>
                    <w:rPr>
                      <w:rFonts w:ascii="仿宋_GB2312" w:hAnsi="仿宋_GB2312" w:cs="仿宋_GB2312" w:eastAsia="仿宋_GB2312"/>
                      <w:sz w:val="20"/>
                    </w:rPr>
                    <w:t>根据管理权限不同展示不同的数据范围。</w:t>
                  </w:r>
                </w:p>
              </w:tc>
            </w:tr>
            <w:tr>
              <w:tc>
                <w:tcPr>
                  <w:tcW w:type="dxa" w:w="232"/>
                  <w:vMerge/>
                  <w:tcBorders>
                    <w:top w:val="none" w:color="000000" w:sz="4"/>
                    <w:left w:val="single" w:color="000000" w:sz="4"/>
                    <w:bottom w:val="none" w:color="000000" w:sz="4"/>
                    <w:right w:val="single" w:color="000000" w:sz="4"/>
                  </w:tcBorders>
                </w:tcPr>
                <w:p/>
              </w:tc>
              <w:tc>
                <w:tcPr>
                  <w:tcW w:type="dxa" w:w="238"/>
                  <w:vMerge/>
                  <w:tcBorders>
                    <w:top w:val="none" w:color="000000" w:sz="4"/>
                    <w:left w:val="none" w:color="000000" w:sz="4"/>
                    <w:bottom w:val="single" w:color="000000" w:sz="4"/>
                    <w:right w:val="single" w:color="000000" w:sz="4"/>
                  </w:tcBorders>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“纵向（本科室同比、环比）、横向（科室间排名）、趋势、结构、差异、预警”等不同方法下的运营分析需求。</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一、采购需求</w:t>
            </w:r>
          </w:p>
          <w:p>
            <w:pPr>
              <w:pStyle w:val="null3"/>
            </w:pPr>
            <w:r>
              <w:rPr>
                <w:rFonts w:ascii="仿宋_GB2312" w:hAnsi="仿宋_GB2312" w:cs="仿宋_GB2312" w:eastAsia="仿宋_GB2312"/>
              </w:rPr>
              <w:t>1、项目预算：90万元/年，包含招标文件中提及的所有要求。</w:t>
            </w:r>
          </w:p>
          <w:p>
            <w:pPr>
              <w:pStyle w:val="null3"/>
            </w:pPr>
            <w:r>
              <w:rPr>
                <w:rFonts w:ascii="仿宋_GB2312" w:hAnsi="仿宋_GB2312" w:cs="仿宋_GB2312" w:eastAsia="仿宋_GB2312"/>
              </w:rPr>
              <w:t>2、实施范围：本项目所有招标采购内容，需覆盖采购人同一法人下的所有院区中所有涉及的业务科室，并且不限制终端使用数量。</w:t>
            </w:r>
          </w:p>
          <w:p>
            <w:pPr>
              <w:pStyle w:val="null3"/>
            </w:pPr>
            <w:r>
              <w:rPr>
                <w:rFonts w:ascii="仿宋_GB2312" w:hAnsi="仿宋_GB2312" w:cs="仿宋_GB2312" w:eastAsia="仿宋_GB2312"/>
              </w:rPr>
              <w:t>3、实施及运营方案：合同签订后，供应商需现场详细调研，根据调研报告出具包含但不限于施工计划、倒排工期的工作任务分解计划等内容的实施方案以及包含但不限于推广、宣传、关注度、使用量等内容的运营方案。</w:t>
            </w:r>
          </w:p>
          <w:p>
            <w:pPr>
              <w:pStyle w:val="null3"/>
            </w:pPr>
            <w:r>
              <w:rPr>
                <w:rFonts w:ascii="仿宋_GB2312" w:hAnsi="仿宋_GB2312" w:cs="仿宋_GB2312" w:eastAsia="仿宋_GB2312"/>
              </w:rPr>
              <w:t>4、若相关评级对该项目有要求，供应商需配合采购人完成电子病历系统应用水平分级评价、医院信息互联互通标准化成熟度测评、智慧医院评估工作，包括：协助评价/测评/评估标准的解读、数据填报、实证/文审材料准备、现场迎评以及评审后功能整改等技术支持。</w:t>
            </w:r>
          </w:p>
          <w:p>
            <w:pPr>
              <w:pStyle w:val="null3"/>
            </w:pPr>
            <w:r>
              <w:rPr>
                <w:rFonts w:ascii="仿宋_GB2312" w:hAnsi="仿宋_GB2312" w:cs="仿宋_GB2312" w:eastAsia="仿宋_GB2312"/>
              </w:rPr>
              <w:t>5、若对该项目有要求，供应商需提供和协助采购人通过信息安全等级保护测评工作。</w:t>
            </w:r>
          </w:p>
          <w:p>
            <w:pPr>
              <w:pStyle w:val="null3"/>
            </w:pPr>
            <w:r>
              <w:rPr>
                <w:rFonts w:ascii="仿宋_GB2312" w:hAnsi="仿宋_GB2312" w:cs="仿宋_GB2312" w:eastAsia="仿宋_GB2312"/>
              </w:rPr>
              <w:t>6、接口集成：原则上，供应商需与采购人集成平台进行对接，并负责承建软件数据在集成平台数据的补全。所有涉及改造与对接费用需自行进行评估（采购人不额外支付费用）。</w:t>
            </w:r>
          </w:p>
          <w:p>
            <w:pPr>
              <w:pStyle w:val="null3"/>
            </w:pPr>
            <w:r>
              <w:rPr>
                <w:rFonts w:ascii="仿宋_GB2312" w:hAnsi="仿宋_GB2312" w:cs="仿宋_GB2312" w:eastAsia="仿宋_GB2312"/>
              </w:rPr>
              <w:t>7、后期湖仓一体化对接：若采购人后续实施湖仓一体化平台及数据治理项目，供应商须免费提供与湖仓平台的双向对接服务，包括：</w:t>
            </w:r>
          </w:p>
          <w:p>
            <w:pPr>
              <w:pStyle w:val="null3"/>
            </w:pPr>
            <w:r>
              <w:rPr>
                <w:rFonts w:ascii="仿宋_GB2312" w:hAnsi="仿宋_GB2312" w:cs="仿宋_GB2312" w:eastAsia="仿宋_GB2312"/>
              </w:rPr>
              <w:t>1）数据入湖：将运营平台的结构化/半结构化数据推送至湖仓，支持常见格式（CSV、Parquet、ORC、JSON 等）与增量同步。</w:t>
            </w:r>
          </w:p>
          <w:p>
            <w:pPr>
              <w:pStyle w:val="null3"/>
            </w:pPr>
            <w:r>
              <w:rPr>
                <w:rFonts w:ascii="仿宋_GB2312" w:hAnsi="仿宋_GB2312" w:cs="仿宋_GB2312" w:eastAsia="仿宋_GB2312"/>
              </w:rPr>
              <w:t>2）数据出湖：可从湖仓平台通过标准接口（RESTful API、JDBC/ODBC、消息队列等）按需获取运营平台所需的数据，并保障数据时效与一致性。</w:t>
            </w:r>
          </w:p>
          <w:p>
            <w:pPr>
              <w:pStyle w:val="null3"/>
            </w:pPr>
            <w:r>
              <w:rPr>
                <w:rFonts w:ascii="仿宋_GB2312" w:hAnsi="仿宋_GB2312" w:cs="仿宋_GB2312" w:eastAsia="仿宋_GB2312"/>
              </w:rPr>
              <w:t>3）必要的数据抽取、转换、清洗改造，以及与数据治理体系的兼容调整（元数据、血缘、质量规则等）。</w:t>
            </w:r>
          </w:p>
          <w:p>
            <w:pPr>
              <w:pStyle w:val="null3"/>
            </w:pPr>
            <w:r>
              <w:rPr>
                <w:rFonts w:ascii="仿宋_GB2312" w:hAnsi="仿宋_GB2312" w:cs="仿宋_GB2312" w:eastAsia="仿宋_GB2312"/>
              </w:rPr>
              <w:t>不得因湖仓平台品牌或更换而产生额外费用。</w:t>
            </w:r>
          </w:p>
          <w:p>
            <w:pPr>
              <w:pStyle w:val="null3"/>
            </w:pPr>
            <w:r>
              <w:rPr>
                <w:rFonts w:ascii="仿宋_GB2312" w:hAnsi="仿宋_GB2312" w:cs="仿宋_GB2312" w:eastAsia="仿宋_GB2312"/>
              </w:rPr>
              <w:t>8、使用要求：界面友好，操作方便，结果清晰明了。涉及专科的系统需配合采购人系统进行集成，实现功能需求。</w:t>
            </w:r>
          </w:p>
          <w:p>
            <w:pPr>
              <w:pStyle w:val="null3"/>
            </w:pPr>
            <w:r>
              <w:rPr>
                <w:rFonts w:ascii="仿宋_GB2312" w:hAnsi="仿宋_GB2312" w:cs="仿宋_GB2312" w:eastAsia="仿宋_GB2312"/>
              </w:rPr>
              <w:t>9、须持续跟踪行业新技术，在合同期内如有成熟的新技术应用（包括但不限于人工智能、大数据分析等技术方</w:t>
            </w:r>
            <w:r>
              <w:rPr>
                <w:rFonts w:ascii="仿宋_GB2312" w:hAnsi="仿宋_GB2312" w:cs="仿宋_GB2312" w:eastAsia="仿宋_GB2312"/>
              </w:rPr>
              <w:t>向）、标杆经验，应免费向采购人提供，使采购人能够持续享受技术进步、经验积累带来的效益</w:t>
            </w:r>
            <w:r>
              <w:rPr>
                <w:rFonts w:ascii="仿宋_GB2312" w:hAnsi="仿宋_GB2312" w:cs="仿宋_GB2312" w:eastAsia="仿宋_GB2312"/>
              </w:rPr>
              <w:t>提升。同时，供应商须持续提供平台最新版本的安全能力，包括但不限于数据库安全、应用安全、数据加密、权限访问控制、操作日志审计、抗攻击防护等多项安全技术和策略，并确保平台能够被目前主流防病毒软件及安全工具兼容识别。上述新技术及安全技术的部署更新不得另行收费。</w:t>
            </w:r>
          </w:p>
          <w:p>
            <w:pPr>
              <w:pStyle w:val="null3"/>
            </w:pPr>
            <w:r>
              <w:rPr>
                <w:rFonts w:ascii="仿宋_GB2312" w:hAnsi="仿宋_GB2312" w:cs="仿宋_GB2312" w:eastAsia="仿宋_GB2312"/>
              </w:rPr>
              <w:t>10、凡国家、省市及医保、卫健、药监等主管部门政策、法规、行业规则发生调整（含信创国产化、医保政策、药品监管、业务规范变更等），供应商须无条件免费完成系统功能改造、适配升级、接口调整及迁移整改等全部工作，不得另行收取任何费用；</w:t>
            </w:r>
          </w:p>
          <w:p>
            <w:pPr>
              <w:pStyle w:val="null3"/>
            </w:pPr>
            <w:r>
              <w:rPr>
                <w:rFonts w:ascii="仿宋_GB2312" w:hAnsi="仿宋_GB2312" w:cs="仿宋_GB2312" w:eastAsia="仿宋_GB2312"/>
              </w:rPr>
              <w:t>11、供应商履约过程中所获悉的国家秘密、工作秘密、商业秘密或者其他应当保密的信息，均有保密义务且不受合同有效期所限；软件及软件产生数据的所有权归采购人所有；所有分析成果（报告、模型、图表）版权归采购人所有，禁止将采购人数据用于供应商自身产品训练或其他客户参考。</w:t>
            </w:r>
          </w:p>
          <w:p>
            <w:pPr>
              <w:pStyle w:val="null3"/>
            </w:pPr>
            <w:r>
              <w:rPr>
                <w:rFonts w:ascii="仿宋_GB2312" w:hAnsi="仿宋_GB2312" w:cs="仿宋_GB2312" w:eastAsia="仿宋_GB2312"/>
              </w:rPr>
              <w:t>二、项目实施团队要求</w:t>
            </w:r>
          </w:p>
          <w:p>
            <w:pPr>
              <w:pStyle w:val="null3"/>
            </w:pPr>
            <w:r>
              <w:rPr>
                <w:rFonts w:ascii="仿宋_GB2312" w:hAnsi="仿宋_GB2312" w:cs="仿宋_GB2312" w:eastAsia="仿宋_GB2312"/>
              </w:rPr>
              <w:t>1、供应商须为本项目配备：</w:t>
            </w:r>
          </w:p>
          <w:p>
            <w:pPr>
              <w:pStyle w:val="null3"/>
            </w:pPr>
            <w:r>
              <w:rPr>
                <w:rFonts w:ascii="仿宋_GB2312" w:hAnsi="仿宋_GB2312" w:cs="仿宋_GB2312" w:eastAsia="仿宋_GB2312"/>
              </w:rPr>
              <w:t>1）供应商具有合理的项目服务团队，项目经理必须经验丰富，保证项目正常进行。</w:t>
            </w:r>
          </w:p>
          <w:p>
            <w:pPr>
              <w:pStyle w:val="null3"/>
            </w:pPr>
            <w:r>
              <w:rPr>
                <w:rFonts w:ascii="仿宋_GB2312" w:hAnsi="仿宋_GB2312" w:cs="仿宋_GB2312" w:eastAsia="仿宋_GB2312"/>
              </w:rPr>
              <w:t>2）项目经理具有计算机、统计或数量经济学专业背景（包括学历、职称）。</w:t>
            </w:r>
          </w:p>
          <w:p>
            <w:pPr>
              <w:pStyle w:val="null3"/>
            </w:pPr>
            <w:r>
              <w:rPr>
                <w:rFonts w:ascii="仿宋_GB2312" w:hAnsi="仿宋_GB2312" w:cs="仿宋_GB2312" w:eastAsia="仿宋_GB2312"/>
              </w:rPr>
              <w:t>3）投入本项目的项目组人员配备充足合理，专业技术人员具有与项目相关的专业背景、专业职称及工作经验并能较好地胜任本项目。</w:t>
            </w:r>
          </w:p>
          <w:p>
            <w:pPr>
              <w:pStyle w:val="null3"/>
            </w:pPr>
            <w:r>
              <w:rPr>
                <w:rFonts w:ascii="仿宋_GB2312" w:hAnsi="仿宋_GB2312" w:cs="仿宋_GB2312" w:eastAsia="仿宋_GB2312"/>
              </w:rPr>
              <w:t>2、一经确定的项目组成员在实施过程中如因供应商单方面需更换，须提供书面说明，经采购人同意后方可进行调换，项目实施过程中，供应商按照项目所处阶段按需委派相应数量的专业工程师参与项目实施，采购人保留要求和建议的权利。</w:t>
            </w:r>
          </w:p>
          <w:p>
            <w:pPr>
              <w:pStyle w:val="null3"/>
            </w:pPr>
            <w:r>
              <w:rPr>
                <w:rFonts w:ascii="仿宋_GB2312" w:hAnsi="仿宋_GB2312" w:cs="仿宋_GB2312" w:eastAsia="仿宋_GB2312"/>
              </w:rPr>
              <w:t>三、培训</w:t>
            </w:r>
          </w:p>
          <w:p>
            <w:pPr>
              <w:pStyle w:val="null3"/>
            </w:pPr>
            <w:r>
              <w:rPr>
                <w:rFonts w:ascii="仿宋_GB2312" w:hAnsi="仿宋_GB2312" w:cs="仿宋_GB2312" w:eastAsia="仿宋_GB2312"/>
              </w:rPr>
              <w:t>1、系统上线后，供应商不但向采购人用户提供系统使用培训，还需提供技术人员培训，以保证采购人工程师能够掌握软件表结构、数据业务流等技术信息。</w:t>
            </w:r>
          </w:p>
          <w:p>
            <w:pPr>
              <w:pStyle w:val="null3"/>
            </w:pPr>
            <w:r>
              <w:rPr>
                <w:rFonts w:ascii="仿宋_GB2312" w:hAnsi="仿宋_GB2312" w:cs="仿宋_GB2312" w:eastAsia="仿宋_GB2312"/>
              </w:rPr>
              <w:t>2、供应商需提供完整的培训方案，能够针对不同的系统使用角色提供不同的培训课程内容和计划。培训的内容、次数和方式由采购人提出。</w:t>
            </w:r>
          </w:p>
          <w:p>
            <w:pPr>
              <w:pStyle w:val="null3"/>
            </w:pPr>
            <w:r>
              <w:rPr>
                <w:rFonts w:ascii="仿宋_GB2312" w:hAnsi="仿宋_GB2312" w:cs="仿宋_GB2312" w:eastAsia="仿宋_GB2312"/>
              </w:rPr>
              <w:t>3、培训内容包括但不限于：</w:t>
            </w:r>
          </w:p>
          <w:p>
            <w:pPr>
              <w:pStyle w:val="null3"/>
            </w:pPr>
            <w:r>
              <w:rPr>
                <w:rFonts w:ascii="仿宋_GB2312" w:hAnsi="仿宋_GB2312" w:cs="仿宋_GB2312" w:eastAsia="仿宋_GB2312"/>
              </w:rPr>
              <w:t>①系统软件的采购人使用培训，应用软件操作培训；</w:t>
            </w:r>
          </w:p>
          <w:p>
            <w:pPr>
              <w:pStyle w:val="null3"/>
            </w:pPr>
            <w:r>
              <w:rPr>
                <w:rFonts w:ascii="仿宋_GB2312" w:hAnsi="仿宋_GB2312" w:cs="仿宋_GB2312" w:eastAsia="仿宋_GB2312"/>
              </w:rPr>
              <w:t>②系统管理培训、采购人技术人员维护培训；</w:t>
            </w:r>
          </w:p>
          <w:p>
            <w:pPr>
              <w:pStyle w:val="null3"/>
            </w:pPr>
            <w:r>
              <w:rPr>
                <w:rFonts w:ascii="仿宋_GB2312" w:hAnsi="仿宋_GB2312" w:cs="仿宋_GB2312" w:eastAsia="仿宋_GB2312"/>
              </w:rPr>
              <w:t>③应用软件操作疑难问题解答；</w:t>
            </w:r>
          </w:p>
          <w:p>
            <w:pPr>
              <w:pStyle w:val="null3"/>
            </w:pPr>
            <w:r>
              <w:rPr>
                <w:rFonts w:ascii="仿宋_GB2312" w:hAnsi="仿宋_GB2312" w:cs="仿宋_GB2312" w:eastAsia="仿宋_GB2312"/>
              </w:rPr>
              <w:t>④项目所需的运营方案培训。</w:t>
            </w:r>
          </w:p>
          <w:p>
            <w:pPr>
              <w:pStyle w:val="null3"/>
            </w:pPr>
            <w:r>
              <w:rPr>
                <w:rFonts w:ascii="仿宋_GB2312" w:hAnsi="仿宋_GB2312" w:cs="仿宋_GB2312" w:eastAsia="仿宋_GB2312"/>
              </w:rPr>
              <w:t>四、售后</w:t>
            </w:r>
          </w:p>
          <w:p>
            <w:pPr>
              <w:pStyle w:val="null3"/>
            </w:pPr>
            <w:r>
              <w:rPr>
                <w:rFonts w:ascii="仿宋_GB2312" w:hAnsi="仿宋_GB2312" w:cs="仿宋_GB2312" w:eastAsia="仿宋_GB2312"/>
              </w:rPr>
              <w:t>1)供应商提供每周7天*24小时不间断的电话支持服务，解答采购人在数据工具使用过程中遇到的问题，及时提出解决问题的建议和操作方法；在确认有必要的情况下供应商在得到通知后24小时内到达现场。</w:t>
            </w:r>
          </w:p>
          <w:p>
            <w:pPr>
              <w:pStyle w:val="null3"/>
            </w:pPr>
            <w:r>
              <w:rPr>
                <w:rFonts w:ascii="仿宋_GB2312" w:hAnsi="仿宋_GB2312" w:cs="仿宋_GB2312" w:eastAsia="仿宋_GB2312"/>
              </w:rPr>
              <w:t>2）响应级别：30分钟电话响应，4小时提供解决方案。如因不可抗力因素不能在规定时间内到达的，双方另行商定。</w:t>
            </w:r>
          </w:p>
          <w:p>
            <w:pPr>
              <w:pStyle w:val="null3"/>
            </w:pPr>
            <w:r>
              <w:rPr>
                <w:rFonts w:ascii="仿宋_GB2312" w:hAnsi="仿宋_GB2312" w:cs="仿宋_GB2312" w:eastAsia="仿宋_GB2312"/>
              </w:rPr>
              <w:t>3）服务交付物</w:t>
            </w:r>
          </w:p>
          <w:p>
            <w:pPr>
              <w:pStyle w:val="null3"/>
            </w:pPr>
            <w:r>
              <w:rPr>
                <w:rFonts w:ascii="仿宋_GB2312" w:hAnsi="仿宋_GB2312" w:cs="仿宋_GB2312" w:eastAsia="仿宋_GB2312"/>
              </w:rPr>
              <w:t xml:space="preserve">    </w:t>
            </w:r>
            <w:r>
              <w:rPr>
                <w:rFonts w:ascii="仿宋_GB2312" w:hAnsi="仿宋_GB2312" w:cs="仿宋_GB2312" w:eastAsia="仿宋_GB2312"/>
              </w:rPr>
              <w:t>1.数据工具，本服务是基于数据工具基础上进行的数据分析，在服务期内需免费提供给采购人使用；</w:t>
            </w:r>
          </w:p>
          <w:p>
            <w:pPr>
              <w:pStyle w:val="null3"/>
            </w:pPr>
            <w:r>
              <w:rPr>
                <w:rFonts w:ascii="仿宋_GB2312" w:hAnsi="仿宋_GB2312" w:cs="仿宋_GB2312" w:eastAsia="仿宋_GB2312"/>
              </w:rPr>
              <w:t xml:space="preserve">    </w:t>
            </w:r>
            <w:r>
              <w:rPr>
                <w:rFonts w:ascii="仿宋_GB2312" w:hAnsi="仿宋_GB2312" w:cs="仿宋_GB2312" w:eastAsia="仿宋_GB2312"/>
              </w:rPr>
              <w:t>2.数据更新，每月在收到采购人相关运营数据后要求1周左右完成数据工具数据展示、各项数据分析更新；</w:t>
            </w:r>
          </w:p>
          <w:p>
            <w:pPr>
              <w:pStyle w:val="null3"/>
            </w:pPr>
            <w:r>
              <w:rPr>
                <w:rFonts w:ascii="仿宋_GB2312" w:hAnsi="仿宋_GB2312" w:cs="仿宋_GB2312" w:eastAsia="仿宋_GB2312"/>
              </w:rPr>
              <w:t xml:space="preserve">    </w:t>
            </w:r>
            <w:r>
              <w:rPr>
                <w:rFonts w:ascii="仿宋_GB2312" w:hAnsi="仿宋_GB2312" w:cs="仿宋_GB2312" w:eastAsia="仿宋_GB2312"/>
              </w:rPr>
              <w:t>3.数字简报，出具医院运营数字简报（月报、季报、年报）；</w:t>
            </w:r>
          </w:p>
          <w:p>
            <w:pPr>
              <w:pStyle w:val="null3"/>
              <w:ind w:firstLine="400"/>
            </w:pPr>
            <w:r>
              <w:rPr>
                <w:rFonts w:ascii="仿宋_GB2312" w:hAnsi="仿宋_GB2312" w:cs="仿宋_GB2312" w:eastAsia="仿宋_GB2312"/>
              </w:rPr>
              <w:t>4.培训服务，根据项目推进进展，不同阶段需安排相应内容培训服务。</w:t>
            </w:r>
          </w:p>
          <w:p>
            <w:pPr>
              <w:pStyle w:val="null3"/>
              <w:ind w:firstLine="400"/>
            </w:pPr>
            <w:r>
              <w:rPr>
                <w:rFonts w:ascii="仿宋_GB2312" w:hAnsi="仿宋_GB2312" w:cs="仿宋_GB2312" w:eastAsia="仿宋_GB2312"/>
              </w:rPr>
              <w:t>5.咨询服务，根据采购人需要，提供全维度咨询服务（含操作指导、故障答疑、运营建议、经验借鉴引入、技术咨询等）。</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1、供应商须保证采购人在使用该服务时或其任何一部分时，不受第三方侵权指控。</w:t>
            </w:r>
          </w:p>
          <w:p>
            <w:pPr>
              <w:pStyle w:val="null3"/>
            </w:pPr>
            <w:r>
              <w:rPr>
                <w:rFonts w:ascii="仿宋_GB2312" w:hAnsi="仿宋_GB2312" w:cs="仿宋_GB2312" w:eastAsia="仿宋_GB2312"/>
              </w:rPr>
              <w:t>2.所投产品须满足但不局限于以下规范要求(提供书面承诺）：</w:t>
            </w:r>
          </w:p>
          <w:p>
            <w:pPr>
              <w:pStyle w:val="null3"/>
            </w:pPr>
            <w:r>
              <w:rPr>
                <w:rFonts w:ascii="仿宋_GB2312" w:hAnsi="仿宋_GB2312" w:cs="仿宋_GB2312" w:eastAsia="仿宋_GB2312"/>
              </w:rPr>
              <w:t>（</w:t>
            </w:r>
            <w:r>
              <w:rPr>
                <w:rFonts w:ascii="仿宋_GB2312" w:hAnsi="仿宋_GB2312" w:cs="仿宋_GB2312" w:eastAsia="仿宋_GB2312"/>
              </w:rPr>
              <w:t>1）满足及遵循《全国医院信息化建设标准与规范（试行）》（2018年版）相关要求。</w:t>
            </w:r>
          </w:p>
          <w:p>
            <w:pPr>
              <w:pStyle w:val="null3"/>
            </w:pPr>
            <w:r>
              <w:rPr>
                <w:rFonts w:ascii="仿宋_GB2312" w:hAnsi="仿宋_GB2312" w:cs="仿宋_GB2312" w:eastAsia="仿宋_GB2312"/>
              </w:rPr>
              <w:t>（</w:t>
            </w:r>
            <w:r>
              <w:rPr>
                <w:rFonts w:ascii="仿宋_GB2312" w:hAnsi="仿宋_GB2312" w:cs="仿宋_GB2312" w:eastAsia="仿宋_GB2312"/>
              </w:rPr>
              <w:t>2）满足及遵循《智慧医疗分级评价方法及标准》（最新版）6级标准相关要求。</w:t>
            </w:r>
          </w:p>
          <w:p>
            <w:pPr>
              <w:pStyle w:val="null3"/>
            </w:pPr>
            <w:r>
              <w:rPr>
                <w:rFonts w:ascii="仿宋_GB2312" w:hAnsi="仿宋_GB2312" w:cs="仿宋_GB2312" w:eastAsia="仿宋_GB2312"/>
              </w:rPr>
              <w:t>（</w:t>
            </w:r>
            <w:r>
              <w:rPr>
                <w:rFonts w:ascii="仿宋_GB2312" w:hAnsi="仿宋_GB2312" w:cs="仿宋_GB2312" w:eastAsia="仿宋_GB2312"/>
              </w:rPr>
              <w:t>3）满足及遵循《国家医疗健康信息医院信息互联互通标准化成熟度测评方案》（2020年版）五级乙等相关要求。</w:t>
            </w:r>
          </w:p>
          <w:p>
            <w:pPr>
              <w:pStyle w:val="null3"/>
            </w:pPr>
            <w:r>
              <w:rPr>
                <w:rFonts w:ascii="仿宋_GB2312" w:hAnsi="仿宋_GB2312" w:cs="仿宋_GB2312" w:eastAsia="仿宋_GB2312"/>
              </w:rPr>
              <w:t>（</w:t>
            </w:r>
            <w:r>
              <w:rPr>
                <w:rFonts w:ascii="仿宋_GB2312" w:hAnsi="仿宋_GB2312" w:cs="仿宋_GB2312" w:eastAsia="仿宋_GB2312"/>
              </w:rPr>
              <w:t>4）满足及遵循《医院智慧服务分级评估标准体系（试行）》（2019年版）五级相关要求。</w:t>
            </w:r>
          </w:p>
          <w:p>
            <w:pPr>
              <w:pStyle w:val="null3"/>
            </w:pPr>
            <w:r>
              <w:rPr>
                <w:rFonts w:ascii="仿宋_GB2312" w:hAnsi="仿宋_GB2312" w:cs="仿宋_GB2312" w:eastAsia="仿宋_GB2312"/>
              </w:rPr>
              <w:t>（</w:t>
            </w:r>
            <w:r>
              <w:rPr>
                <w:rFonts w:ascii="仿宋_GB2312" w:hAnsi="仿宋_GB2312" w:cs="仿宋_GB2312" w:eastAsia="仿宋_GB2312"/>
              </w:rPr>
              <w:t>5）满足及遵循《医院智慧管理分级评估标准体系（试行）》五级相关要求。</w:t>
            </w:r>
          </w:p>
          <w:p>
            <w:pPr>
              <w:pStyle w:val="null3"/>
            </w:pPr>
            <w:r>
              <w:rPr>
                <w:rFonts w:ascii="仿宋_GB2312" w:hAnsi="仿宋_GB2312" w:cs="仿宋_GB2312" w:eastAsia="仿宋_GB2312"/>
              </w:rPr>
              <w:t>（</w:t>
            </w:r>
            <w:r>
              <w:rPr>
                <w:rFonts w:ascii="仿宋_GB2312" w:hAnsi="仿宋_GB2312" w:cs="仿宋_GB2312" w:eastAsia="仿宋_GB2312"/>
              </w:rPr>
              <w:t>6）满足及遵循《国务院办公厅关于推动公立医院高质量发展的意见》。</w:t>
            </w:r>
          </w:p>
          <w:p>
            <w:pPr>
              <w:pStyle w:val="null3"/>
            </w:pPr>
            <w:r>
              <w:rPr>
                <w:rFonts w:ascii="仿宋_GB2312" w:hAnsi="仿宋_GB2312" w:cs="仿宋_GB2312" w:eastAsia="仿宋_GB2312"/>
              </w:rPr>
              <w:t>（</w:t>
            </w:r>
            <w:r>
              <w:rPr>
                <w:rFonts w:ascii="仿宋_GB2312" w:hAnsi="仿宋_GB2312" w:cs="仿宋_GB2312" w:eastAsia="仿宋_GB2312"/>
              </w:rPr>
              <w:t>7）满足及遵循《国家三级公立医院绩效监测操作手册》（2025版）相关条款。</w:t>
            </w:r>
          </w:p>
          <w:p>
            <w:pPr>
              <w:pStyle w:val="null3"/>
            </w:pPr>
            <w:r>
              <w:rPr>
                <w:rFonts w:ascii="仿宋_GB2312" w:hAnsi="仿宋_GB2312" w:cs="仿宋_GB2312" w:eastAsia="仿宋_GB2312"/>
              </w:rPr>
              <w:t>（</w:t>
            </w:r>
            <w:r>
              <w:rPr>
                <w:rFonts w:ascii="仿宋_GB2312" w:hAnsi="仿宋_GB2312" w:cs="仿宋_GB2312" w:eastAsia="仿宋_GB2312"/>
              </w:rPr>
              <w:t>8）满足及遵循国家卫健委关于进一步改善医疗服务行动计划相关要求。</w:t>
            </w:r>
          </w:p>
          <w:p>
            <w:pPr>
              <w:pStyle w:val="null3"/>
            </w:pPr>
            <w:r>
              <w:rPr>
                <w:rFonts w:ascii="仿宋_GB2312" w:hAnsi="仿宋_GB2312" w:cs="仿宋_GB2312" w:eastAsia="仿宋_GB2312"/>
              </w:rPr>
              <w:t>（</w:t>
            </w:r>
            <w:r>
              <w:rPr>
                <w:rFonts w:ascii="仿宋_GB2312" w:hAnsi="仿宋_GB2312" w:cs="仿宋_GB2312" w:eastAsia="仿宋_GB2312"/>
              </w:rPr>
              <w:t>9）满足及遵循《三级医院评审标准实施细则》和《三级妇幼保健院评审标准实施细则》要求。</w:t>
            </w:r>
          </w:p>
          <w:p>
            <w:pPr>
              <w:pStyle w:val="null3"/>
            </w:pPr>
            <w:r>
              <w:rPr>
                <w:rFonts w:ascii="仿宋_GB2312" w:hAnsi="仿宋_GB2312" w:cs="仿宋_GB2312" w:eastAsia="仿宋_GB2312"/>
              </w:rPr>
              <w:t>（</w:t>
            </w:r>
            <w:r>
              <w:rPr>
                <w:rFonts w:ascii="仿宋_GB2312" w:hAnsi="仿宋_GB2312" w:cs="仿宋_GB2312" w:eastAsia="仿宋_GB2312"/>
              </w:rPr>
              <w:t>10）满足及遵循《陕西省智慧医院建设细则》（2024版）相关要求。</w:t>
            </w:r>
          </w:p>
          <w:p>
            <w:pPr>
              <w:pStyle w:val="null3"/>
            </w:pPr>
            <w:r>
              <w:rPr>
                <w:rFonts w:ascii="仿宋_GB2312" w:hAnsi="仿宋_GB2312" w:cs="仿宋_GB2312" w:eastAsia="仿宋_GB2312"/>
              </w:rPr>
              <w:t>3.供应商应确保交付软件的安全性，并提供符合行业标准的安全评估报告，须包含但不限于代码安全审计报告、漏洞扫描报告、渗透测试报告等。若涉及APP须提供APP端数据安全与合规性评估报告、APP业务安全及反欺诈测试报告。</w:t>
            </w:r>
          </w:p>
          <w:p>
            <w:pPr>
              <w:pStyle w:val="null3"/>
            </w:pPr>
            <w:r>
              <w:rPr>
                <w:rFonts w:ascii="仿宋_GB2312" w:hAnsi="仿宋_GB2312" w:cs="仿宋_GB2312" w:eastAsia="仿宋_GB2312"/>
              </w:rPr>
              <w:t>供应商须对采购人提供或自行提供的系统资产（包括物理</w:t>
            </w:r>
            <w:r>
              <w:rPr>
                <w:rFonts w:ascii="仿宋_GB2312" w:hAnsi="仿宋_GB2312" w:cs="仿宋_GB2312" w:eastAsia="仿宋_GB2312"/>
              </w:rPr>
              <w:t>/云服务器、网络及存储设备）承担全生命周期的安全管理责任，配置符合等保2.0三级安全防护要求和采购人指定的安全基线，确保业务的持续性与安全性。</w:t>
            </w:r>
          </w:p>
          <w:p>
            <w:pPr>
              <w:pStyle w:val="null3"/>
            </w:pPr>
            <w:r>
              <w:rPr>
                <w:rFonts w:ascii="仿宋_GB2312" w:hAnsi="仿宋_GB2312" w:cs="仿宋_GB2312" w:eastAsia="仿宋_GB2312"/>
              </w:rPr>
              <w:t>供应商应积极无条件配合采购人开展（包括但不限于物理</w:t>
            </w:r>
            <w:r>
              <w:rPr>
                <w:rFonts w:ascii="仿宋_GB2312" w:hAnsi="仿宋_GB2312" w:cs="仿宋_GB2312" w:eastAsia="仿宋_GB2312"/>
              </w:rPr>
              <w:t>/云服务器、网络及存储设备、中间件、数据库、操作系统等）的安全审计、安全加固、渗透测试、应急响应等安全工作，并提供必要的权限支持，且在48小时内提交书面整改计划，发生重大安全事件时，供应商应立即响应并协助取证，确保事件快速处置并将影响降到最低。</w:t>
            </w:r>
          </w:p>
          <w:p>
            <w:pPr>
              <w:pStyle w:val="null3"/>
            </w:pPr>
            <w:r>
              <w:rPr>
                <w:rFonts w:ascii="仿宋_GB2312" w:hAnsi="仿宋_GB2312" w:cs="仿宋_GB2312" w:eastAsia="仿宋_GB2312"/>
                <w:sz w:val="24"/>
              </w:rPr>
              <w:t>4.如供应商拒绝配合安全合规工作或因其行为导致安全事件，采购人有权解除合同，一切损失由供应商承担，并追究法律责任。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详见项目实施团队要求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项目工期：合同签订后，在不超过60天内各投标人自行报项目工期。</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服务期限：本项目服务期限为一年，合同期满后经甲方考核合格后续签下一年度合同，最多续签两次，总服务期限不超过三年。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1、供应商完成项目建设功能清单中功能模块试运行，由供应商提出试运行验收申请，采购人组织相关人员（必要时组成院外专家组）进行项目验收，出具项目验收报告，开始计算维保期。 2、在项目验收时，供应商须提供但不限于项目实施方案、使用人员签字的培训记录、验收申请、数据字典及表结构说明、用户手册、数据库用户名及密码等资料。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合同及磋商文件规定的全部内容,采购人确认系统上线试运行初步验收后,开始计算项目服务期，付款前，供应商提供符合税法规定的等额增值税发票，达到付款条件起22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进度款，服务期结束，达到付款条件起22个工作日内，支付合同总金额的50.0%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（二）未按合同要求的提供技术服务不能满足要求，采购人有权终止合同，供应商应按照合同金额的20%向采购人支付违约金。 （三）因供应商原因未按合同、招标文件规定的要求及期限完成上线工作，每逾期一日向甲方支付1%合同金额作为违约金，最多不超过合同金额的20%。 （四）如供应商拒绝配合安全合规工作或因其行为导致安全事件，采购人有权解除合同，一切损失由供应商承担，并追究法律责任。 具体根据采购文件、响应文件以及合同约定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为顺利推进政府采购电子化交易平台应用工作，供应商需要在线提交所有通过电子化交易平台实施的政府采购项目的响应文件，同时，线下提交纸质版响应文件贰份、电子版壹份（U盘一份）。若线上电子响应文件与纸质响应文件不一致的，以线上电子响应文件为准；线下递交文件时间：详见本项目采购公告提交响应文件截止时间；线下递交文件地点：西安市莲湖区高新一路5号正信大厦A座24楼。 二、保证金退还:（1）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三、保证金提供电子保函的，于开标截止时间前将保函扫描件发送至此邮箱2290417378@qq.com。 四、付款方式（因文件格式原因，付款方式按照以下约定执行） 1、完成合同及磋商文件规定的全部内容,甲方确认系统上线试运行初步验收后,开始计算项目服务期，达到付款条件起 30 日内，支付合同总价的50%。 2、服务期结束，达到付款条件起 30 日内，考评合格后支付合同金额的50%。 3、付款前，乙方提供符合税法规定的等额增值税发票。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六个月内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2投标人资格证明文件.docx 1分项报价表.docx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完全理解并接受对合格投标人、合格的货物、工程或服务要求，根据供应商响应文件《服务要求偏差表》，结合磋商文件第三章“★”标识的实质性要求没有负偏离。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供应商未出现串通投标情形</w:t>
            </w:r>
          </w:p>
        </w:tc>
        <w:tc>
          <w:tcPr>
            <w:tcW w:type="dxa" w:w="3322"/>
          </w:tcPr>
          <w:p>
            <w:pPr>
              <w:pStyle w:val="null3"/>
            </w:pPr>
            <w:r>
              <w:rPr>
                <w:rFonts w:ascii="仿宋_GB2312" w:hAnsi="仿宋_GB2312" w:cs="仿宋_GB2312" w:eastAsia="仿宋_GB2312"/>
              </w:rPr>
              <w:t>未出现下列情形之一： 1不同供应商的响应文件由同一单位或者个人编制； 2不同供应商委托同一单位或者个人办理磋商事宜； 3不同供应商的响应文件载明的项目管理成员或者联系人员为同一人； 4不同供应商的响应文件异常一致或者磋商报价呈规律性差异； 5不同供应商的响应文件相互混装； 6不同供应商的磋商保证金从同一单位或者个人的账户转出。</w:t>
            </w:r>
          </w:p>
        </w:tc>
        <w:tc>
          <w:tcPr>
            <w:tcW w:type="dxa" w:w="1661"/>
          </w:tcPr>
          <w:p>
            <w:pPr>
              <w:pStyle w:val="null3"/>
            </w:pPr>
            <w:r>
              <w:rPr>
                <w:rFonts w:ascii="仿宋_GB2312" w:hAnsi="仿宋_GB2312" w:cs="仿宋_GB2312" w:eastAsia="仿宋_GB2312"/>
              </w:rPr>
              <w:t>4投标方案.docx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技术参数的逐项响应情况进行评审： 技术参数指标清晰明确，符合本项目服务要求，技术参数指标优于或完全满足磋商文件要求计16分； （1）带“★”项的技术参数为实质性要求，如有任何负偏离都将导致投标被否决； （2）带“▲”项的技术参数为重要参数，每有一个负偏离扣1分；其余参数有负偏离的每有1项扣0.5分，扣完为止。 注：应答标注为“★”“▲”的参数时，应提供佐证材料（不限于功能截图、操作手册、彩页、说明书等），未提供者视为负偏离。</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本项目运营管理决策支持服务方案，包含①基础数据服务；②全面预算数据服务；③概览分析服务；④能效管理数据服务；⑤收入分析服务；⑥成本分析服务；⑦床位资源分析服务；⑧医保分析服务；⑨国考分析；⑩数字简报；⑪移动端监测服务，每项2分，满分22分。 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提供本项目运营管理决策支持服务实施方案，包含①总体实施方案；②安装调试方案；③进度安排方案；④验收方案，每项2分，满分8分。 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项目经理（1名） 1、项目经理具有计算机、统计或数量经济学专业背景，提供学历证明及高级（及以上）职称证书，计2分； 2、项目经理具有类似项目经验证明资料，每提供一个得1分，最高得3分，没有不得分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项目团队（除项目经理外） 根据供应商提供的本项目组织架构、人员配备以及管理方案进行综合评审： 1、人员配备完善、项目组织架构清晰，职责分工明确，管理方案非常合理、协调性高，完全适用且优于本项目需求的，得5分； 2、人员配备较完善、项目组织架构一般，职责分工较明确，管理方案及协调性一般，基本适用本项目需求的，得3分； 3、人员配备不合理，缺少项目组织架构，职责分工简单，管理方案及协调性不合理，有不适用本项目需求的，得2分；未提供得0分。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产品证书</w:t>
            </w:r>
          </w:p>
        </w:tc>
        <w:tc>
          <w:tcPr>
            <w:tcW w:type="dxa" w:w="2492"/>
          </w:tcPr>
          <w:p>
            <w:pPr>
              <w:pStyle w:val="null3"/>
            </w:pPr>
            <w:r>
              <w:rPr>
                <w:rFonts w:ascii="仿宋_GB2312" w:hAnsi="仿宋_GB2312" w:cs="仿宋_GB2312" w:eastAsia="仿宋_GB2312"/>
              </w:rPr>
              <w:t>供应商提供与本项目采购需求相关专利证书，（如包含类似：运营管理类、电子病历数据分析类、诊疗质量决策类、医保支付智能监管类等关键词），每提供一个证书得1分，满分3分，不提供不得分。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需进行现场真实系统演示，Demo、PPT、截图均不得分，所有演示内容，须在10分钟内完成，超过规定时间未完成演示内容的，将根据已演示的内容进行综合打分。演示所需软硬件均由供应商自行准备，按照技术参数中标“●”演示项进行逐条演示，演示成功一项计1分，满分9分，未演示或未按要求演示者不得分。供应商须线下进行演示，演示地点为西安市莲湖区高新一路5号正信大厦A座24楼会议室。</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根据提供的售后方案及承诺整体情况进行评审（包括但不限于：售后服务规划、服务团队、售后响应承诺、应急故障处理、运营保障等）。 1、售后服务方案全面合理，内容详细完整、适用性强，可全面满足采购人的售后服务需求，售后服务能力高，得4分； 2、售后服务方案较为全面，有基本的服务流程和内容，基本满足采购人的需求，得3分； 3、售后服务方案适用性差、不能满足采购人的需求，得2分；无售后方案的该项不得分。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根据提供的培训方案，包括但不限于培训内容、培训计划、人员安排、后期管理等涉及项目后续发展有关技术培训、支持的具体实施办法。 1、培训方案完整详细、考虑周全，严谨，职责清晰明确，具有较强的可操作性，教师专业性较强，得3分； 2、培训方案一般，培训方案具备可操作性，得2分； 3、培训方案一般，可操作性差，得1分；无培训方案的该项不得分。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提供2023年1月1日以来供应商类似项目的业绩合同（以合同签订日期为准），附业绩合同扫描件加盖公章，每份1分，满分5分；未提供不计分。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