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版本号：N510001202600145320260623002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5G全网建设与优化虚拟仿真实训室扩建项目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N5100012026001453</w:t>
      </w:r>
    </w:p>
    <w:p>
      <w:pPr>
        <w:pStyle w:val="null3"/>
        <w:jc w:val="left"/>
        <w:outlineLvl w:val="2"/>
      </w:pPr>
      <w:r>
        <w:rPr>
          <w:rFonts w:ascii="仿宋_GB2312" w:hAnsi="仿宋_GB2312" w:cs="仿宋_GB2312" w:eastAsia="仿宋_GB2312"/>
          <w:sz w:val="28"/>
          <w:b/>
        </w:rPr>
        <w:t>四川邮电职业技术学院</w:t>
      </w:r>
    </w:p>
    <w:p>
      <w:pPr>
        <w:pStyle w:val="null3"/>
        <w:jc w:val="center"/>
        <w:outlineLvl w:val="2"/>
      </w:pPr>
      <w:r>
        <w:rPr>
          <w:rFonts w:ascii="仿宋_GB2312" w:hAnsi="仿宋_GB2312" w:cs="仿宋_GB2312" w:eastAsia="仿宋_GB2312"/>
          <w:sz w:val="28"/>
          <w:b/>
        </w:rPr>
        <w:t>中通服供应链股份有限公司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中通服供应链股份有限公司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四川邮电职业技术学院</w:t>
      </w:r>
      <w:r>
        <w:rPr>
          <w:rFonts w:ascii="仿宋_GB2312" w:hAnsi="仿宋_GB2312" w:cs="仿宋_GB2312" w:eastAsia="仿宋_GB2312"/>
        </w:rPr>
        <w:t xml:space="preserve"> 委托，拟对 </w:t>
      </w:r>
      <w:r>
        <w:rPr>
          <w:rFonts w:ascii="仿宋_GB2312" w:hAnsi="仿宋_GB2312" w:cs="仿宋_GB2312" w:eastAsia="仿宋_GB2312"/>
        </w:rPr>
        <w:t>5G全网建设与优化虚拟仿真实训室扩建项目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N5100012026001453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5G全网建设与优化虚拟仿真实训室扩建项目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是依托四川邮电职业技术学院在电子与通信领域的学科优势，在原有的5G虚拟仿真仿真实训室的基础上进行的扩建与升级，满足4个专业8个教学班级实践实训课程需求，并努力将此实训室建设成为集实践教学、行业培训、技能鉴定、技术比武、技能竞赛五位一体的人才培养平台，旨在培养了解我国社会经济现状，适应我国电子与通信工程领域发展需求、基础扎实、素质全面、工程实践能力强并具有一定创新能力的复合型工程技术和工程管理人才。</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四川邮电职业技术学院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四川省成都市锦江区静康路536号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610067</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刘航雨</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028-84671656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中通服供应链股份有限公司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四川省成都市高新区紫丁巷2号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纪世强、祝云洁、陈一鸣</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18328459386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依照成本加合理利润的原则，以中标金额作为计算基数，按差额定率累进法进行计算，并按以下费率标准（货物采购项目）收取：中标金额100万元以下，费率1.5%；中标金额100-500万元，费率1.1%；中标金额500-1000万元，费率0.8%；中标金额1000-5000万元，费率0.5%。</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四川邮电职业技术学院</w:t>
      </w:r>
      <w:r>
        <w:rPr>
          <w:rFonts w:ascii="仿宋_GB2312" w:hAnsi="仿宋_GB2312" w:cs="仿宋_GB2312" w:eastAsia="仿宋_GB2312"/>
        </w:rPr>
        <w:t xml:space="preserve"> 和 </w:t>
      </w:r>
      <w:r>
        <w:rPr>
          <w:rFonts w:ascii="仿宋_GB2312" w:hAnsi="仿宋_GB2312" w:cs="仿宋_GB2312" w:eastAsia="仿宋_GB2312"/>
        </w:rPr>
        <w:t>中通服供应链股份有限公司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四川邮电职业技术学院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中通服供应链股份有限公司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设备到货并安装完成</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70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师资培训结束</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30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供应商应按照采购人要求提交完整齐全的竣工技术文件。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按照本项目采购文件中“技术、服务及其他要求要求”及中标人投标文件进行验收。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按照本项目采购文件中“商务要求”及中标人投标文件进行验收。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严格按照《财政部关于进一步加强政府采购需求和履约验收管理的指导意见》（财库〔2016〕205号）、《政府采购需求管理办法》（财库〔2021〕22号）的要求进行验收。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四川邮电职业技术学院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中通服供应链股份有限公司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中通服供应链股份有限公司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联系人：刘老师</w:t>
      </w:r>
    </w:p>
    <w:p>
      <w:pPr>
        <w:pStyle w:val="null3"/>
        <w:jc w:val="left"/>
      </w:pPr>
      <w:r>
        <w:rPr>
          <w:rFonts w:ascii="仿宋_GB2312" w:hAnsi="仿宋_GB2312" w:cs="仿宋_GB2312" w:eastAsia="仿宋_GB2312"/>
        </w:rPr>
        <w:t>联系电话：028-84671656</w:t>
      </w:r>
    </w:p>
    <w:p>
      <w:pPr>
        <w:pStyle w:val="null3"/>
        <w:jc w:val="left"/>
      </w:pPr>
      <w:r>
        <w:rPr>
          <w:rFonts w:ascii="仿宋_GB2312" w:hAnsi="仿宋_GB2312" w:cs="仿宋_GB2312" w:eastAsia="仿宋_GB2312"/>
        </w:rPr>
        <w:t>地址：四川省成都市锦江区静康路536号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联系人：纪世强</w:t>
      </w:r>
    </w:p>
    <w:p>
      <w:pPr>
        <w:pStyle w:val="null3"/>
        <w:jc w:val="left"/>
      </w:pPr>
      <w:r>
        <w:rPr>
          <w:rFonts w:ascii="仿宋_GB2312" w:hAnsi="仿宋_GB2312" w:cs="仿宋_GB2312" w:eastAsia="仿宋_GB2312"/>
        </w:rPr>
        <w:t>联系电话：18328459386</w:t>
      </w:r>
    </w:p>
    <w:p>
      <w:pPr>
        <w:pStyle w:val="null3"/>
        <w:jc w:val="left"/>
      </w:pPr>
      <w:r>
        <w:rPr>
          <w:rFonts w:ascii="仿宋_GB2312" w:hAnsi="仿宋_GB2312" w:cs="仿宋_GB2312" w:eastAsia="仿宋_GB2312"/>
        </w:rPr>
        <w:t>地址：四川省成都市高新区紫丁巷2号中通服供应链股份有限公司四川分公司</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600,000.00</w:t>
      </w:r>
    </w:p>
    <w:p>
      <w:pPr>
        <w:pStyle w:val="null3"/>
        <w:jc w:val="left"/>
      </w:pPr>
      <w:r>
        <w:rPr>
          <w:rFonts w:ascii="仿宋_GB2312" w:hAnsi="仿宋_GB2312" w:cs="仿宋_GB2312" w:eastAsia="仿宋_GB2312"/>
        </w:rPr>
        <w:t>采购包最高限价（元）: 600,000.00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A08060303 应用软件</w:t>
            </w:r>
          </w:p>
        </w:tc>
        <w:tc>
          <w:tcPr>
            <w:tcW w:type="dxa" w:w="821"/>
          </w:tcPr>
          <w:p>
            <w:pPr>
              <w:pStyle w:val="null3"/>
              <w:jc w:val="left"/>
            </w:pPr>
            <w:r>
              <w:rPr>
                <w:rFonts w:ascii="仿宋_GB2312" w:hAnsi="仿宋_GB2312" w:cs="仿宋_GB2312" w:eastAsia="仿宋_GB2312"/>
              </w:rPr>
              <w:t>5G全网建设与优化虚拟仿真教学软件</w:t>
            </w:r>
          </w:p>
        </w:tc>
        <w:tc>
          <w:tcPr>
            <w:tcW w:type="dxa" w:w="821"/>
          </w:tcPr>
          <w:p>
            <w:pPr>
              <w:pStyle w:val="null3"/>
              <w:jc w:val="right"/>
            </w:pPr>
            <w:r>
              <w:rPr>
                <w:rFonts w:ascii="仿宋_GB2312" w:hAnsi="仿宋_GB2312" w:cs="仿宋_GB2312" w:eastAsia="仿宋_GB2312"/>
              </w:rPr>
              <w:t>30.00（套）</w:t>
            </w:r>
          </w:p>
        </w:tc>
        <w:tc>
          <w:tcPr>
            <w:tcW w:type="dxa" w:w="821"/>
          </w:tcPr>
          <w:p>
            <w:pPr>
              <w:pStyle w:val="null3"/>
              <w:jc w:val="right"/>
            </w:pPr>
            <w:r>
              <w:rPr>
                <w:rFonts w:ascii="仿宋_GB2312" w:hAnsi="仿宋_GB2312" w:cs="仿宋_GB2312" w:eastAsia="仿宋_GB2312"/>
              </w:rPr>
              <w:t>600,000.00</w:t>
            </w:r>
          </w:p>
        </w:tc>
        <w:tc>
          <w:tcPr>
            <w:tcW w:type="dxa" w:w="821"/>
          </w:tcPr>
          <w:p>
            <w:pPr>
              <w:pStyle w:val="null3"/>
              <w:jc w:val="left"/>
            </w:pPr>
            <w:r>
              <w:rPr>
                <w:rFonts w:ascii="仿宋_GB2312" w:hAnsi="仿宋_GB2312" w:cs="仿宋_GB2312" w:eastAsia="仿宋_GB2312"/>
              </w:rPr>
              <w:t>信息传输业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5G全网建设与优化虚拟仿真教学软件</w:t>
            </w:r>
          </w:p>
        </w:tc>
        <w:tc>
          <w:tcPr>
            <w:tcW w:type="dxa" w:w="1138"/>
          </w:tcPr>
          <w:p>
            <w:pPr>
              <w:pStyle w:val="null3"/>
              <w:jc w:val="center"/>
            </w:pPr>
            <w:r>
              <w:rPr>
                <w:rFonts w:ascii="仿宋_GB2312" w:hAnsi="仿宋_GB2312" w:cs="仿宋_GB2312" w:eastAsia="仿宋_GB2312"/>
              </w:rPr>
              <w:t>30.00（套）</w:t>
            </w:r>
          </w:p>
        </w:tc>
        <w:tc>
          <w:tcPr>
            <w:tcW w:type="dxa" w:w="1365"/>
          </w:tcPr>
          <w:p>
            <w:pPr>
              <w:pStyle w:val="null3"/>
              <w:jc w:val="center"/>
            </w:pPr>
            <w:r>
              <w:rPr>
                <w:rFonts w:ascii="仿宋_GB2312" w:hAnsi="仿宋_GB2312" w:cs="仿宋_GB2312" w:eastAsia="仿宋_GB2312"/>
              </w:rPr>
              <w:t>600,000.00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投标人响应产品应当明确品牌和规格型 号并指向唯一产品，不能指向唯一产品的，应通过报价表唯一产品说明栏补充说明</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A08060303 应用软件</w:t>
            </w:r>
          </w:p>
        </w:tc>
        <w:tc>
          <w:tcPr>
            <w:tcW w:type="dxa" w:w="2492"/>
          </w:tcPr>
          <w:p>
            <w:pPr>
              <w:pStyle w:val="null3"/>
              <w:jc w:val="left"/>
            </w:pPr>
            <w:r>
              <w:rPr>
                <w:rFonts w:ascii="仿宋_GB2312" w:hAnsi="仿宋_GB2312" w:cs="仿宋_GB2312" w:eastAsia="仿宋_GB2312"/>
              </w:rPr>
              <w:t>5G全网建设与优化虚拟仿真教学软件</w:t>
            </w:r>
          </w:p>
        </w:tc>
        <w:tc>
          <w:tcPr>
            <w:tcW w:type="dxa" w:w="2492"/>
          </w:tcPr>
          <w:p>
            <w:pPr>
              <w:pStyle w:val="null3"/>
              <w:jc w:val="left"/>
            </w:pPr>
            <w:r>
              <w:rPr>
                <w:rFonts w:ascii="仿宋_GB2312" w:hAnsi="仿宋_GB2312" w:cs="仿宋_GB2312" w:eastAsia="仿宋_GB2312"/>
              </w:rPr>
              <w:t>5G全网建设与优化虚拟仿真教学软件</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标的名称：5G全网建设与优化虚拟仿真教学软件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w:t>
            </w:r>
          </w:p>
        </w:tc>
        <w:tc>
          <w:tcPr>
            <w:tcW w:type="dxa" w:w="5814"/>
          </w:tcPr>
          <w:p>
            <w:pPr>
              <w:pStyle w:val="null3"/>
              <w:jc w:val="both"/>
            </w:pPr>
            <w:r>
              <w:rPr>
                <w:rFonts w:ascii="仿宋_GB2312" w:hAnsi="仿宋_GB2312" w:cs="仿宋_GB2312" w:eastAsia="仿宋_GB2312"/>
                <w:sz w:val="24"/>
              </w:rPr>
              <w:t>（一）系统功能</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、应基于C/S架构，采用GUI图形化操作界面，场景建模应以真实工作场景为原型。</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、支持实训、竞技、测评模式。可用于考试、竞赛、测评、课堂学习、课后练习等场景。</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、支持竞技模式下在线团队合作与实训测评，支持两人及以上组队同时实训或竞技，支持队员之间数据实时同步。</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、系统预置多个实训案例与实训数据，通过读取实训项目的存档数据，可以完成实训条件的数据预置，结合对应的实训目的和要求，可以支撑完成不同层级的教学要求。</w:t>
            </w:r>
          </w:p>
          <w:p>
            <w:pPr>
              <w:pStyle w:val="null3"/>
              <w:jc w:val="both"/>
            </w:pPr>
            <w:r>
              <w:rPr>
                <w:rFonts w:ascii="仿宋_GB2312" w:hAnsi="仿宋_GB2312" w:cs="仿宋_GB2312" w:eastAsia="仿宋_GB2312"/>
                <w:sz w:val="24"/>
              </w:rPr>
              <w:t>（二）软件具体功能</w:t>
            </w:r>
          </w:p>
          <w:p>
            <w:pPr>
              <w:pStyle w:val="null3"/>
              <w:jc w:val="both"/>
            </w:pPr>
            <w:r>
              <w:rPr>
                <w:rFonts w:ascii="仿宋_GB2312" w:hAnsi="仿宋_GB2312" w:cs="仿宋_GB2312" w:eastAsia="仿宋_GB2312"/>
                <w:sz w:val="24"/>
                <w:b/>
              </w:rPr>
              <w:t>网络规划功能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4"/>
              </w:rPr>
              <w:t>5</w:t>
            </w:r>
            <w:r>
              <w:rPr>
                <w:rFonts w:ascii="仿宋_GB2312" w:hAnsi="仿宋_GB2312" w:cs="仿宋_GB2312" w:eastAsia="仿宋_GB2312"/>
                <w:sz w:val="24"/>
              </w:rPr>
              <w:t>、支持SA和NSA两种组网模式。可灵活选择Option3x、Option2、Option4a 三种协议规定的网络架构。在不同组网模式下，能够对应完成不同的网络规划、网络配置和业务验证内容。（</w:t>
            </w:r>
            <w:r>
              <w:rPr>
                <w:rFonts w:ascii="仿宋_GB2312" w:hAnsi="仿宋_GB2312" w:cs="仿宋_GB2312" w:eastAsia="仿宋_GB2312"/>
                <w:sz w:val="24"/>
                <w:b/>
              </w:rPr>
              <w:t>提供该条参数软件功能截图并加盖投标人电子印章</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、支持5G网络拓扑规划。可完成接入层、汇聚层、核心层网络拓扑的总体设计，能够基于有限节点，结合资源池中的各类网元及设备，设计合理的网络结构，完成网元之间的线路连接。</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、支持基于覆盖的无线网络规划，支持使用链路预算工具和传播模型公式计算出满足覆盖要求的无线规划站点数目。</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、支持基于容量的无线网络规划，能够结合话务速率模型和帧结构配置，计算出满足容量需求的无线规划站点数目。</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、支持承载网容量规划，能够根据无线网络规划结果完成接入层、汇聚层、核心层的环带宽及设备容量规划计算。</w:t>
            </w:r>
          </w:p>
          <w:p>
            <w:pPr>
              <w:pStyle w:val="null3"/>
              <w:jc w:val="both"/>
            </w:pPr>
            <w:r>
              <w:rPr>
                <w:rFonts w:ascii="仿宋_GB2312" w:hAnsi="仿宋_GB2312" w:cs="仿宋_GB2312" w:eastAsia="仿宋_GB2312"/>
                <w:sz w:val="20"/>
              </w:rPr>
              <w:t>▲</w:t>
            </w:r>
            <w:r>
              <w:rPr>
                <w:rFonts w:ascii="仿宋_GB2312" w:hAnsi="仿宋_GB2312" w:cs="仿宋_GB2312" w:eastAsia="仿宋_GB2312"/>
                <w:sz w:val="24"/>
              </w:rPr>
              <w:t>10</w:t>
            </w:r>
            <w:r>
              <w:rPr>
                <w:rFonts w:ascii="仿宋_GB2312" w:hAnsi="仿宋_GB2312" w:cs="仿宋_GB2312" w:eastAsia="仿宋_GB2312"/>
                <w:sz w:val="24"/>
              </w:rPr>
              <w:t>、支持5G核心网的容量规划计算。至少包括AMF数量、UPF数量、VNF需求内存与存储和服务器数量计算4个部分。至少包括单VNF占用内存、单VNF占用存储、单AMF支持站点数目、单UPF支持站点数目、非对接无线VNF数量、单服务器内存、单服务器硬盘容量7个参数的设置，并能根据这些参数完成核心网容量规划4个部分的计算。可对其中的变量进行灵活改动。（</w:t>
            </w:r>
            <w:r>
              <w:rPr>
                <w:rFonts w:ascii="仿宋_GB2312" w:hAnsi="仿宋_GB2312" w:cs="仿宋_GB2312" w:eastAsia="仿宋_GB2312"/>
                <w:sz w:val="24"/>
                <w:b/>
              </w:rPr>
              <w:t>提供该条参数软件功能截图并加盖投标人电子印章</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、支持多场景站点选址和多种塔型选择，支持多个候选站点灵活选择，支持在选址阶段完成基础天线参数设置，至少包括挂高、方位角、下倾角等参数配置。</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、支持自动生成全局网络配置报告，便于查看各个站点的无线、承载、核心网络的参数配置情况。</w:t>
            </w:r>
          </w:p>
          <w:p>
            <w:pPr>
              <w:pStyle w:val="null3"/>
              <w:jc w:val="both"/>
            </w:pPr>
            <w:r>
              <w:rPr>
                <w:rFonts w:ascii="仿宋_GB2312" w:hAnsi="仿宋_GB2312" w:cs="仿宋_GB2312" w:eastAsia="仿宋_GB2312"/>
                <w:sz w:val="24"/>
                <w:b/>
              </w:rPr>
              <w:t>设备部署功能</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、支持无线接入机房设备选型。可灵活部署相关设备，至少包括ITBBU，BBU（NAS架构）、SPN和ODF等，并能在设备指示图中展示设备之间的连接情况。</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、支持ITBBU设备部署，具有高集成、多模灵活组网特点。支持4G、5G混合组网，能兼容4G、5G，实现4G、5G基带板集成部署。</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、CU采用通用虚拟化设备。支持CU、CU分离与合设部署。</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、支持天馈设备选型，至少包括GPS部署和塔顶AAU部署。AAU至少支持4G及5G（高/低频）3种型号选择，AAU 5G支持不少于2种类型的光口选择。</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、支持承载网机房室内设备灵活部署。至少包括OTN、ODF、SPN、路由器和三层交换机设备安装部署，支持不少于2种型号选择，支持10Gbps ~ 25Gbps速率接口。OTN支持4组合波分波系统，支持OTN帧复用与解复用。</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、支持核心网机房设备选型。可完成NSA架构下的EPC、SA架构下的5GC设备部署。</w:t>
            </w:r>
          </w:p>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、支持设备间的线缆连接及选型。</w:t>
            </w:r>
          </w:p>
          <w:p>
            <w:pPr>
              <w:pStyle w:val="null3"/>
              <w:jc w:val="both"/>
            </w:pPr>
            <w:r>
              <w:rPr>
                <w:rFonts w:ascii="仿宋_GB2312" w:hAnsi="仿宋_GB2312" w:cs="仿宋_GB2312" w:eastAsia="仿宋_GB2312"/>
                <w:sz w:val="24"/>
                <w:b/>
              </w:rPr>
              <w:t>数据配置功能</w:t>
            </w:r>
          </w:p>
          <w:p>
            <w:pPr>
              <w:pStyle w:val="null3"/>
              <w:jc w:val="both"/>
            </w:pPr>
            <w:r>
              <w:rPr>
                <w:rFonts w:ascii="仿宋_GB2312" w:hAnsi="仿宋_GB2312" w:cs="仿宋_GB2312" w:eastAsia="仿宋_GB2312"/>
                <w:sz w:val="24"/>
              </w:rPr>
              <w:t>20</w:t>
            </w:r>
            <w:r>
              <w:rPr>
                <w:rFonts w:ascii="仿宋_GB2312" w:hAnsi="仿宋_GB2312" w:cs="仿宋_GB2312" w:eastAsia="仿宋_GB2312"/>
                <w:sz w:val="24"/>
              </w:rPr>
              <w:t>、支持 AAU射频参数配置，可灵活选择频段范围与收发模式。</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、支持BBU和ITBB设备的网元配置，至少包括PLMN、网络模式、时钟同步模式、TDD/FDD网络制式、承载链路端口等。</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、支持网元IP地址配置和SCTP、静态路由配置，能够实现无线设备之间、无线网与核心网之间的对接，静态链路类型至少支持NG偶联、XN偶联、F1偶联、E1偶联。</w:t>
            </w:r>
          </w:p>
          <w:p>
            <w:pPr>
              <w:pStyle w:val="null3"/>
              <w:jc w:val="both"/>
            </w:pPr>
            <w:r>
              <w:rPr>
                <w:rFonts w:ascii="仿宋_GB2312" w:hAnsi="仿宋_GB2312" w:cs="仿宋_GB2312" w:eastAsia="仿宋_GB2312"/>
                <w:sz w:val="24"/>
              </w:rPr>
              <w:t>23</w:t>
            </w:r>
            <w:r>
              <w:rPr>
                <w:rFonts w:ascii="仿宋_GB2312" w:hAnsi="仿宋_GB2312" w:cs="仿宋_GB2312" w:eastAsia="仿宋_GB2312"/>
                <w:sz w:val="24"/>
              </w:rPr>
              <w:t>、支持4/5G小区无线参数配置，至少包括小区标识、跟踪区码（TAC）、物理小区识别码（PCI）、小区功率、中心载频、频域带宽等参数。</w:t>
            </w:r>
          </w:p>
          <w:p>
            <w:pPr>
              <w:pStyle w:val="null3"/>
              <w:jc w:val="both"/>
            </w:pPr>
            <w:r>
              <w:rPr>
                <w:rFonts w:ascii="仿宋_GB2312" w:hAnsi="仿宋_GB2312" w:cs="仿宋_GB2312" w:eastAsia="仿宋_GB2312"/>
                <w:sz w:val="24"/>
              </w:rPr>
              <w:t>24</w:t>
            </w:r>
            <w:r>
              <w:rPr>
                <w:rFonts w:ascii="仿宋_GB2312" w:hAnsi="仿宋_GB2312" w:cs="仿宋_GB2312" w:eastAsia="仿宋_GB2312"/>
                <w:sz w:val="24"/>
              </w:rPr>
              <w:t>、支持物理信道配置，至少包括PUCCH、PUSCH、PRACH、SRS、PDCCH、PDSCH、PBCH等信道参数配置。</w:t>
            </w:r>
          </w:p>
          <w:p>
            <w:pPr>
              <w:pStyle w:val="null3"/>
              <w:jc w:val="both"/>
            </w:pPr>
            <w:r>
              <w:rPr>
                <w:rFonts w:ascii="仿宋_GB2312" w:hAnsi="仿宋_GB2312" w:cs="仿宋_GB2312" w:eastAsia="仿宋_GB2312"/>
                <w:sz w:val="24"/>
              </w:rPr>
              <w:t>25</w:t>
            </w:r>
            <w:r>
              <w:rPr>
                <w:rFonts w:ascii="仿宋_GB2312" w:hAnsi="仿宋_GB2312" w:cs="仿宋_GB2312" w:eastAsia="仿宋_GB2312"/>
                <w:sz w:val="24"/>
              </w:rPr>
              <w:t>、承载网业务开通包括IP承载和光传输两部分。IP承载支持三层路由功能，包括逻辑子接口配置、loopback接口配置；支持FlexE切片功能，包括FlexE聚合、交叉配置；光传输部分支持电交叉与频率配置。</w:t>
            </w:r>
          </w:p>
          <w:p>
            <w:pPr>
              <w:pStyle w:val="null3"/>
              <w:jc w:val="both"/>
            </w:pPr>
            <w:r>
              <w:rPr>
                <w:rFonts w:ascii="仿宋_GB2312" w:hAnsi="仿宋_GB2312" w:cs="仿宋_GB2312" w:eastAsia="仿宋_GB2312"/>
                <w:sz w:val="24"/>
              </w:rPr>
              <w:t>26</w:t>
            </w:r>
            <w:r>
              <w:rPr>
                <w:rFonts w:ascii="仿宋_GB2312" w:hAnsi="仿宋_GB2312" w:cs="仿宋_GB2312" w:eastAsia="仿宋_GB2312"/>
                <w:sz w:val="24"/>
              </w:rPr>
              <w:t>、支持5GC核心网，至少包括AMF、SMF、AUSF、UPF、PCF、NSSF、UDM、NRF的数据配置和业务开通操作。支持用户签约及鉴权功能、http配置、虚拟路由配置、N4对接配置，切片功能配置；支持EPC核心网，至少包括MME、SGW、PGW、HSS的数据配置和业务开通，包括Diameter连接配置、号码分析配置、APN解析配置、EPC地址解析配置、APN管理、签约用户管理。</w:t>
            </w:r>
          </w:p>
          <w:p>
            <w:pPr>
              <w:pStyle w:val="null3"/>
              <w:jc w:val="both"/>
            </w:pPr>
            <w:r>
              <w:rPr>
                <w:rFonts w:ascii="仿宋_GB2312" w:hAnsi="仿宋_GB2312" w:cs="仿宋_GB2312" w:eastAsia="仿宋_GB2312"/>
                <w:sz w:val="20"/>
              </w:rPr>
              <w:t>▲</w:t>
            </w:r>
            <w:r>
              <w:rPr>
                <w:rFonts w:ascii="仿宋_GB2312" w:hAnsi="仿宋_GB2312" w:cs="仿宋_GB2312" w:eastAsia="仿宋_GB2312"/>
                <w:sz w:val="24"/>
              </w:rPr>
              <w:t>27</w:t>
            </w:r>
            <w:r>
              <w:rPr>
                <w:rFonts w:ascii="仿宋_GB2312" w:hAnsi="仿宋_GB2312" w:cs="仿宋_GB2312" w:eastAsia="仿宋_GB2312"/>
                <w:sz w:val="24"/>
              </w:rPr>
              <w:t>、支持4/5G双连接配置，包括4G→5G和5G→4G的X2链路配置，支持4G锚点下的5G邻区配置、4/5G分流配置。（</w:t>
            </w:r>
            <w:r>
              <w:rPr>
                <w:rFonts w:ascii="仿宋_GB2312" w:hAnsi="仿宋_GB2312" w:cs="仿宋_GB2312" w:eastAsia="仿宋_GB2312"/>
                <w:sz w:val="24"/>
                <w:b/>
              </w:rPr>
              <w:t>提供该条参数软件功能截图并加盖投标人电子印章</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业务调试功能</w:t>
            </w:r>
          </w:p>
          <w:p>
            <w:pPr>
              <w:pStyle w:val="null3"/>
              <w:jc w:val="left"/>
            </w:pPr>
            <w:r>
              <w:rPr>
                <w:rFonts w:ascii="仿宋_GB2312" w:hAnsi="仿宋_GB2312" w:cs="仿宋_GB2312" w:eastAsia="仿宋_GB2312"/>
                <w:sz w:val="24"/>
              </w:rPr>
              <w:t>28</w:t>
            </w:r>
            <w:r>
              <w:rPr>
                <w:rFonts w:ascii="仿宋_GB2312" w:hAnsi="仿宋_GB2312" w:cs="仿宋_GB2312" w:eastAsia="仿宋_GB2312"/>
                <w:sz w:val="24"/>
              </w:rPr>
              <w:t>、支持小区业务验证，验证过程中支持小区信息实时反馈，至少包括SNSSAI ID、TAC、gNode B ID、DU小区ID、CU小区ID、PCI和小区中心载频等参数。</w:t>
            </w:r>
          </w:p>
          <w:p>
            <w:pPr>
              <w:pStyle w:val="null3"/>
              <w:jc w:val="both"/>
            </w:pPr>
            <w:r>
              <w:rPr>
                <w:rFonts w:ascii="仿宋_GB2312" w:hAnsi="仿宋_GB2312" w:cs="仿宋_GB2312" w:eastAsia="仿宋_GB2312"/>
                <w:sz w:val="24"/>
              </w:rPr>
              <w:t>29</w:t>
            </w:r>
            <w:r>
              <w:rPr>
                <w:rFonts w:ascii="仿宋_GB2312" w:hAnsi="仿宋_GB2312" w:cs="仿宋_GB2312" w:eastAsia="仿宋_GB2312"/>
                <w:sz w:val="24"/>
              </w:rPr>
              <w:t>、支持通过Ping和Trace工具进行链路检测，能够显示Ping的统计信息，至少包括发送/接收成功的数据包数目、丢失数据包数目、丢失率和发送时间；Trace能够显示不少于20个跃点跟踪路由。支持Ping和Trace的操作记录查看。</w:t>
            </w:r>
          </w:p>
          <w:p>
            <w:pPr>
              <w:pStyle w:val="null3"/>
              <w:jc w:val="both"/>
            </w:pPr>
            <w:r>
              <w:rPr>
                <w:rFonts w:ascii="仿宋_GB2312" w:hAnsi="仿宋_GB2312" w:cs="仿宋_GB2312" w:eastAsia="仿宋_GB2312"/>
                <w:sz w:val="24"/>
              </w:rPr>
              <w:t>30</w:t>
            </w:r>
            <w:r>
              <w:rPr>
                <w:rFonts w:ascii="仿宋_GB2312" w:hAnsi="仿宋_GB2312" w:cs="仿宋_GB2312" w:eastAsia="仿宋_GB2312"/>
                <w:sz w:val="24"/>
              </w:rPr>
              <w:t>、支持状态信息查询，可查看物理接口、IP接口、路由表和OSPF邻居的状态。</w:t>
            </w:r>
          </w:p>
          <w:p>
            <w:pPr>
              <w:pStyle w:val="null3"/>
              <w:jc w:val="both"/>
            </w:pPr>
            <w:r>
              <w:rPr>
                <w:rFonts w:ascii="仿宋_GB2312" w:hAnsi="仿宋_GB2312" w:cs="仿宋_GB2312" w:eastAsia="仿宋_GB2312"/>
                <w:sz w:val="24"/>
              </w:rPr>
              <w:t>31</w:t>
            </w:r>
            <w:r>
              <w:rPr>
                <w:rFonts w:ascii="仿宋_GB2312" w:hAnsi="仿宋_GB2312" w:cs="仿宋_GB2312" w:eastAsia="仿宋_GB2312"/>
                <w:sz w:val="24"/>
              </w:rPr>
              <w:t>、支持OTN设备之间的光路检测，可通过检测结果定位光传输路径中的故障点。</w:t>
            </w:r>
          </w:p>
          <w:p>
            <w:pPr>
              <w:pStyle w:val="null3"/>
              <w:jc w:val="both"/>
            </w:pPr>
            <w:r>
              <w:rPr>
                <w:rFonts w:ascii="仿宋_GB2312" w:hAnsi="仿宋_GB2312" w:cs="仿宋_GB2312" w:eastAsia="仿宋_GB2312"/>
                <w:sz w:val="24"/>
              </w:rPr>
              <w:t>32</w:t>
            </w:r>
            <w:r>
              <w:rPr>
                <w:rFonts w:ascii="仿宋_GB2312" w:hAnsi="仿宋_GB2312" w:cs="仿宋_GB2312" w:eastAsia="仿宋_GB2312"/>
                <w:sz w:val="24"/>
              </w:rPr>
              <w:t>、支持告警信息提示，能够显示告警级别、告警生成时间、位置信息和告警描述，可根据告警内容定位网络故障原因。</w:t>
            </w:r>
          </w:p>
          <w:p>
            <w:pPr>
              <w:pStyle w:val="null3"/>
              <w:jc w:val="both"/>
            </w:pPr>
            <w:r>
              <w:rPr>
                <w:rFonts w:ascii="仿宋_GB2312" w:hAnsi="仿宋_GB2312" w:cs="仿宋_GB2312" w:eastAsia="仿宋_GB2312"/>
                <w:sz w:val="24"/>
              </w:rPr>
              <w:t>33</w:t>
            </w:r>
            <w:r>
              <w:rPr>
                <w:rFonts w:ascii="仿宋_GB2312" w:hAnsi="仿宋_GB2312" w:cs="仿宋_GB2312" w:eastAsia="仿宋_GB2312"/>
                <w:sz w:val="24"/>
              </w:rPr>
              <w:t>、支持信令跟踪，包含RRC、S1AP、NAS、X2AP、Diameter、GTPV2、HTTP、NGAP、PFCP、IP等类型，信令内容与参数配置联动。可根据所选测试内容、测试位置完成指定信令跟踪，每条信令支持详细内容展示。</w:t>
            </w:r>
          </w:p>
          <w:p>
            <w:pPr>
              <w:pStyle w:val="null3"/>
              <w:jc w:val="both"/>
            </w:pPr>
            <w:r>
              <w:rPr>
                <w:rFonts w:ascii="仿宋_GB2312" w:hAnsi="仿宋_GB2312" w:cs="仿宋_GB2312" w:eastAsia="仿宋_GB2312"/>
                <w:sz w:val="24"/>
              </w:rPr>
              <w:t>34</w:t>
            </w:r>
            <w:r>
              <w:rPr>
                <w:rFonts w:ascii="仿宋_GB2312" w:hAnsi="仿宋_GB2312" w:cs="仿宋_GB2312" w:eastAsia="仿宋_GB2312"/>
                <w:sz w:val="24"/>
              </w:rPr>
              <w:t>、支持工程模式/实验模式两种学习模式。实验模式下支持完成无线网、核心网的配置之后进行业务调试，工程模式下支持完成无线、核心网、承载网配置之后进行业务调试，两种模式可以自由切换。</w:t>
            </w:r>
          </w:p>
          <w:p>
            <w:pPr>
              <w:pStyle w:val="null3"/>
              <w:jc w:val="both"/>
            </w:pPr>
            <w:r>
              <w:rPr>
                <w:rFonts w:ascii="仿宋_GB2312" w:hAnsi="仿宋_GB2312" w:cs="仿宋_GB2312" w:eastAsia="仿宋_GB2312"/>
                <w:sz w:val="24"/>
                <w:b/>
              </w:rPr>
              <w:t>网络优化功能</w:t>
            </w:r>
          </w:p>
          <w:p>
            <w:pPr>
              <w:pStyle w:val="null3"/>
              <w:jc w:val="both"/>
            </w:pPr>
            <w:r>
              <w:rPr>
                <w:rFonts w:ascii="仿宋_GB2312" w:hAnsi="仿宋_GB2312" w:cs="仿宋_GB2312" w:eastAsia="仿宋_GB2312"/>
                <w:sz w:val="24"/>
              </w:rPr>
              <w:t>35</w:t>
            </w:r>
            <w:r>
              <w:rPr>
                <w:rFonts w:ascii="仿宋_GB2312" w:hAnsi="仿宋_GB2312" w:cs="仿宋_GB2312" w:eastAsia="仿宋_GB2312"/>
                <w:sz w:val="24"/>
              </w:rPr>
              <w:t>、支持基础网络优化功能，可通过CQT定点测试，完成涵盖高清语音、直播、超高清视频3种业务类型的网络优化。</w:t>
            </w:r>
          </w:p>
          <w:p>
            <w:pPr>
              <w:pStyle w:val="null3"/>
              <w:jc w:val="both"/>
            </w:pPr>
            <w:r>
              <w:rPr>
                <w:rFonts w:ascii="仿宋_GB2312" w:hAnsi="仿宋_GB2312" w:cs="仿宋_GB2312" w:eastAsia="仿宋_GB2312"/>
                <w:sz w:val="20"/>
              </w:rPr>
              <w:t>▲</w:t>
            </w:r>
            <w:r>
              <w:rPr>
                <w:rFonts w:ascii="仿宋_GB2312" w:hAnsi="仿宋_GB2312" w:cs="仿宋_GB2312" w:eastAsia="仿宋_GB2312"/>
                <w:sz w:val="24"/>
              </w:rPr>
              <w:t>36</w:t>
            </w:r>
            <w:r>
              <w:rPr>
                <w:rFonts w:ascii="仿宋_GB2312" w:hAnsi="仿宋_GB2312" w:cs="仿宋_GB2312" w:eastAsia="仿宋_GB2312"/>
                <w:sz w:val="24"/>
              </w:rPr>
              <w:t>、支持移动性管理优化，包括DT测试过程中的重选、切换、漫游，测试逻辑满足S准则和R准则；至少支持最小RSRP接收电平、最小RSRP接收电平偏移、RSRP判决门限、小区重选迟滞等参数配置；优化过程中支持重选/切换/漫游成功率和主服务小区信息实时反馈。（</w:t>
            </w:r>
            <w:r>
              <w:rPr>
                <w:rFonts w:ascii="仿宋_GB2312" w:hAnsi="仿宋_GB2312" w:cs="仿宋_GB2312" w:eastAsia="仿宋_GB2312"/>
                <w:sz w:val="24"/>
                <w:b/>
              </w:rPr>
              <w:t>提供该条参数软件功能截图并加盖投标人电子印章</w:t>
            </w:r>
            <w:r>
              <w:rPr>
                <w:rFonts w:ascii="仿宋_GB2312" w:hAnsi="仿宋_GB2312" w:cs="仿宋_GB2312" w:eastAsia="仿宋_GB2312"/>
                <w:sz w:val="24"/>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4"/>
              </w:rPr>
              <w:t>37</w:t>
            </w:r>
            <w:r>
              <w:rPr>
                <w:rFonts w:ascii="仿宋_GB2312" w:hAnsi="仿宋_GB2312" w:cs="仿宋_GB2312" w:eastAsia="仿宋_GB2312"/>
                <w:sz w:val="24"/>
              </w:rPr>
              <w:t>、支持eMBB、uRLLC、mMTC、V2X切片类型，能够实现自动驾驶、AR远程医疗、智慧农业、智慧城市等应用场景。支持自定义切片编排，支持喷灌管理、驾驶管理、路灯管理、医疗设备管理等业务配置。（</w:t>
            </w:r>
            <w:r>
              <w:rPr>
                <w:rFonts w:ascii="仿宋_GB2312" w:hAnsi="仿宋_GB2312" w:cs="仿宋_GB2312" w:eastAsia="仿宋_GB2312"/>
                <w:sz w:val="24"/>
                <w:b/>
              </w:rPr>
              <w:t>提供该条参数软件功能截图并加盖投标人电子印章</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平台管理与数据对接功能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38</w:t>
            </w:r>
            <w:r>
              <w:rPr>
                <w:rFonts w:ascii="仿宋_GB2312" w:hAnsi="仿宋_GB2312" w:cs="仿宋_GB2312" w:eastAsia="仿宋_GB2312"/>
                <w:sz w:val="24"/>
              </w:rPr>
              <w:t>、供应商须承诺提供的5G全网建设与优化虚拟仿真教学软件可以接到5G+云网融合虚拟仿真实训基地的管控平台，并能上报数据。</w:t>
            </w:r>
            <w:r>
              <w:rPr>
                <w:rFonts w:ascii="仿宋_GB2312" w:hAnsi="仿宋_GB2312" w:cs="仿宋_GB2312" w:eastAsia="仿宋_GB2312"/>
                <w:sz w:val="24"/>
                <w:b/>
              </w:rPr>
              <w:t>（提供承诺函，格式自拟）</w:t>
            </w:r>
          </w:p>
          <w:p>
            <w:pPr>
              <w:pStyle w:val="null3"/>
              <w:jc w:val="left"/>
            </w:pPr>
            <w:r>
              <w:rPr>
                <w:rFonts w:ascii="仿宋_GB2312" w:hAnsi="仿宋_GB2312" w:cs="仿宋_GB2312" w:eastAsia="仿宋_GB2312"/>
                <w:sz w:val="24"/>
              </w:rPr>
              <w:t>备注：我校的5G+云网融合虚拟仿真实训基地是教育部高等学校科学发展中心面向全国的职业教育示范性虚拟仿真实训基地培育项目。经过多年的建设与完善，我校已建成完善的虚拟仿真实训基地管控平台。此平台采用B/S架构设计，已实现对校内虚拟仿真实训室资源、虚拟仿真实训设备和虚拟仿真实训软件资源进行统筹管理，同时具备对虚拟仿真实训教学过程监控分析、资源分配和管控统计等功能。针对此项目采购的</w:t>
            </w:r>
            <w:r>
              <w:rPr>
                <w:rFonts w:ascii="仿宋_GB2312" w:hAnsi="仿宋_GB2312" w:cs="仿宋_GB2312" w:eastAsia="仿宋_GB2312"/>
                <w:sz w:val="24"/>
                <w:color w:val="000000"/>
              </w:rPr>
              <w:t>5G</w:t>
            </w:r>
            <w:r>
              <w:rPr>
                <w:rFonts w:ascii="仿宋_GB2312" w:hAnsi="仿宋_GB2312" w:cs="仿宋_GB2312" w:eastAsia="仿宋_GB2312"/>
                <w:sz w:val="24"/>
                <w:color w:val="000000"/>
              </w:rPr>
              <w:t>全网建设与优化虚拟仿真教学软件</w:t>
            </w:r>
            <w:r>
              <w:rPr>
                <w:rFonts w:ascii="仿宋_GB2312" w:hAnsi="仿宋_GB2312" w:cs="仿宋_GB2312" w:eastAsia="仿宋_GB2312"/>
                <w:sz w:val="24"/>
              </w:rPr>
              <w:t>，我校的管控平台已经预留通用的标准的Restful接口，中标的供应商提供的</w:t>
            </w:r>
            <w:r>
              <w:rPr>
                <w:rFonts w:ascii="仿宋_GB2312" w:hAnsi="仿宋_GB2312" w:cs="仿宋_GB2312" w:eastAsia="仿宋_GB2312"/>
                <w:sz w:val="24"/>
                <w:color w:val="000000"/>
              </w:rPr>
              <w:t>5G</w:t>
            </w:r>
            <w:r>
              <w:rPr>
                <w:rFonts w:ascii="仿宋_GB2312" w:hAnsi="仿宋_GB2312" w:cs="仿宋_GB2312" w:eastAsia="仿宋_GB2312"/>
                <w:sz w:val="24"/>
                <w:color w:val="000000"/>
              </w:rPr>
              <w:t>全网建设与优化虚拟仿真教学软件</w:t>
            </w:r>
            <w:r>
              <w:rPr>
                <w:rFonts w:ascii="仿宋_GB2312" w:hAnsi="仿宋_GB2312" w:cs="仿宋_GB2312" w:eastAsia="仿宋_GB2312"/>
                <w:sz w:val="24"/>
              </w:rPr>
              <w:t>，需要能按照我校的管控平台对接及数据采集的要求二次开发来实现数据对接，保证能上报虚拟仿真课程资源、实训内容、预约访问及实验成绩等数据。</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rPr>
              <w:t>★1、所投产品若涉及到3C强制认证产品或其他国家强制要求，供应商应均满足相关要求，在中标后签订合同前向采购人提供《中国强制性产品认证》(3C证书）或其他国家强制要求证明材料复印件。</w:t>
            </w:r>
            <w:r>
              <w:br/>
            </w:r>
            <w:r>
              <w:rPr>
                <w:rFonts w:ascii="仿宋_GB2312" w:hAnsi="仿宋_GB2312" w:cs="仿宋_GB2312" w:eastAsia="仿宋_GB2312"/>
              </w:rPr>
              <w:t xml:space="preserve"> ★2、供应商所提供的货物开箱后，发现有任何问题（包括外观损伤），必须以使用方能接受的方式加以解决。</w:t>
            </w:r>
            <w:r>
              <w:br/>
            </w:r>
            <w:r>
              <w:rPr>
                <w:rFonts w:ascii="仿宋_GB2312" w:hAnsi="仿宋_GB2312" w:cs="仿宋_GB2312" w:eastAsia="仿宋_GB2312"/>
              </w:rPr>
              <w:t xml:space="preserve"> 3、若设备涉及计算机软件系统的，供应商有义务为招标人此后对设备完全的使用提供便利及支持，包括但不限于产品相关技术文档、软件接口规范说明的提供，供应商不得拒绝或收取额外费用。</w:t>
            </w:r>
            <w:r>
              <w:br/>
            </w:r>
            <w:r>
              <w:rPr>
                <w:rFonts w:ascii="仿宋_GB2312" w:hAnsi="仿宋_GB2312" w:cs="仿宋_GB2312" w:eastAsia="仿宋_GB2312"/>
              </w:rPr>
              <w:t xml:space="preserve"> ★4、中标人应当履行本项目保密义务，在履约过程中获知的信息及履约后产生的成果附有保密责任。</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自合同签订之日起30日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四川省成都市锦江区静康路536号</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预付款，签订合同，达到付款条件起10个工作日内，支付合同总金额的40.0%</w:t>
            </w:r>
            <w:r>
              <w:br/>
            </w:r>
            <w:r>
              <w:rPr>
                <w:rFonts w:ascii="仿宋_GB2312" w:hAnsi="仿宋_GB2312" w:cs="仿宋_GB2312" w:eastAsia="仿宋_GB2312"/>
              </w:rPr>
              <w:t>2、</w:t>
            </w:r>
            <w:r>
              <w:rPr>
                <w:rFonts w:ascii="仿宋_GB2312" w:hAnsi="仿宋_GB2312" w:cs="仿宋_GB2312" w:eastAsia="仿宋_GB2312"/>
              </w:rPr>
              <w:t>进度款，设备到货并验收合格，达到付款条件起10个工作日内，支付合同总金额的30.0%</w:t>
            </w:r>
            <w:r>
              <w:br/>
            </w:r>
            <w:r>
              <w:rPr>
                <w:rFonts w:ascii="仿宋_GB2312" w:hAnsi="仿宋_GB2312" w:cs="仿宋_GB2312" w:eastAsia="仿宋_GB2312"/>
              </w:rPr>
              <w:t>3、</w:t>
            </w:r>
            <w:r>
              <w:rPr>
                <w:rFonts w:ascii="仿宋_GB2312" w:hAnsi="仿宋_GB2312" w:cs="仿宋_GB2312" w:eastAsia="仿宋_GB2312"/>
              </w:rPr>
              <w:t>尾款，设备安装完成并验收合格，达到付款条件起10个工作日内，支付合同总金额的30.0%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验收标准以符合合同及相关附件所提供的功能为准。验收分初验和终验两次，初验时需要完成合同规定的所有内容，初验通过后才能进行终验。验收可进行多次，如不合格，供应商应及时加以修改纠正，直到验收合格为止。 初步验收质量标准： ①供货商提供的软件数量正确。 ②供货商所提供的实训软件符合技术方案和实验实训项目要求，全部正常可用。 ③供货商在验收前需对相关专业教师进行3天软件使用培训，并提供培训视频确保教师掌握软件使用和维护方法。 ④供货商需在提供软件二级管理员账号1个。 ⑤供货商需提供：软件各模块操作视频；可编辑的软件使用说明书；按照内容制作的可编辑的PPT课件；制作的可编辑的实验实习指导书word版本、PPT教学资料、试题、案例资料，包含教学项目具体操作内容。纸质版竣工技术文件。 2）最终验收质量标准： ①供应商提交完整齐全的电子档竣工技术文件。 ②软件运行正常，满足技术参数要求。</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质量保证期要求不低于3年，服务内，供应商应提供相关系统的维护、升级服务支持。供应商提供7*24小时服务，采购方提出需求后2H内及时响应，所有设备维修服务、软件维护、升级均为上门服务，由此产生的费用均不再收取。供应商需指定1名联系人，负责售后服务联系。对于影响设备正常运行的严重故障，供应商工程师及其他相关技术人员在24小时内到达现场，查找原因，提供解决方案，并工作直至故障完全恢复正常服务为止，若问题、故障在检修48小时后仍无法解决，供应商应免费提供服务的补偿、替换方案，直至服务恢复正常。对无法修复的，在5天内提供性能相当的产品供校方使用。</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（1）因货物的质量问题发生争议，由质量技术监督部门或采购人指定的质量鉴定机构进行质量鉴定。货物符合标准的，鉴定费由采购人承担；货物不符合质量标准的，鉴定费由中标供应商承担。 （2）合同履行期间,若双方发生争议，可协商或由有关部门调解解决，协商或调解不成的，由当事人依法向采购人所在地人民法院提请诉讼维护其合法权益。</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1、需要有明确的技术服务方案和履约能力 ⑴ 投标人针对本项目制定技术服务方案，包括以下内容：①项目建设背景、②项目需求分析和技术设计思路、③项目建设的用途和收益、④项目具体实施方案（具有项目实施组织架构、实施团队人员、实施计划、保障措施、项目集成试运行、验收方案等内容） ⑵ 履约能力：投标人主体资格合法有效，无重大违法违规及失信行为。有自2021年1月1日至今以来类似项目业绩，投标团队成员具有相关专业技能等级证书且专业是通信类或计算机类或软件开发类 ⑶ 投标人针对本项目制定售后服务方案，包括以下内容：售后团队人员配置（投入本项目人员不低于1人）、技术支持服务承诺（3年质保和升级）、服务细则（8小时内响应、无法在12小时内解决的，应在24小时内提供备用产品）、应急预案、培训方案（不少于2人、不低于2天） 2、投标人应结合本项目编制技术、服务方案：应包括项目建设背景、项目需求分析和技术设计思路、项目建设的用途和收益、项目具体实施方案（具有项目实施组织架构、实施团队人员、实施计划、保障措施、项目集成试运行、验收方案等内容）。 3、投标人应结合本项目编制售后服务方案：应包括售后团队人员配置、技术支持服务承诺、服务细则、应急预案、培训方案。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一年内，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评标委员会依据本招标文件的实质性要求，对符合资格的投标文件进行审查，以确定其是否满足本招标文件的实质性要求。本项目符合性审查事项仅限于本招标文件的明确规定。投标文件是否满足招标文件的实质性要求，必须以本招标文件的明确规定作为依据，否则，不能对投标文件作为无效处理，评标委员会不得臆测符合性审查事项</w:t>
            </w:r>
          </w:p>
        </w:tc>
        <w:tc>
          <w:tcPr>
            <w:tcW w:type="dxa" w:w="1661"/>
          </w:tcPr>
          <w:p>
            <w:pPr>
              <w:pStyle w:val="null3"/>
              <w:jc w:val="left"/>
            </w:pPr>
            <w:r>
              <w:rPr>
                <w:rFonts w:ascii="仿宋_GB2312" w:hAnsi="仿宋_GB2312" w:cs="仿宋_GB2312" w:eastAsia="仿宋_GB2312"/>
              </w:rPr>
              <w:t>投标人应提交的相关证明材料,技术参数与性能指标应答表.docx,商务要求应答表.docx,服务内容要求应答表.docx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技术要求响应</w:t>
            </w:r>
          </w:p>
        </w:tc>
        <w:tc>
          <w:tcPr>
            <w:tcW w:type="dxa" w:w="2575"/>
          </w:tcPr>
          <w:p>
            <w:pPr>
              <w:pStyle w:val="null3"/>
              <w:jc w:val="left"/>
            </w:pPr>
            <w:r>
              <w:rPr>
                <w:rFonts w:ascii="仿宋_GB2312" w:hAnsi="仿宋_GB2312" w:cs="仿宋_GB2312" w:eastAsia="仿宋_GB2312"/>
              </w:rPr>
              <w:t>投标供应商投标文件完全满足招标文件“技术参数与性能指标”的得40分；投标供应商投标文件与招标文件的“技术参数与性能指标”有负偏离的，按以下方式计算得分：1.“★”条款为实质性条款；2.满足重要条款（“▲”）的每条得3.2分，共5条；一般条款（除“★”“▲”）的每条0.75分，共计32条，满分40分。</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技术参数与性能指标应答表.docx</w:t>
            </w:r>
          </w:p>
        </w:tc>
      </w:tr>
      <w:tr>
        <w:tc>
          <w:tcPr>
            <w:tcW w:type="dxa" w:w="831"/>
            <w:vMerge/>
          </w:tcPr>
          <w:p/>
        </w:tc>
        <w:tc>
          <w:tcPr>
            <w:tcW w:type="dxa" w:w="1661"/>
          </w:tcPr>
          <w:p>
            <w:pPr>
              <w:pStyle w:val="null3"/>
              <w:jc w:val="left"/>
            </w:pPr>
            <w:r>
              <w:rPr>
                <w:rFonts w:ascii="仿宋_GB2312" w:hAnsi="仿宋_GB2312" w:cs="仿宋_GB2312" w:eastAsia="仿宋_GB2312"/>
              </w:rPr>
              <w:t>技术、服务方案</w:t>
            </w:r>
          </w:p>
        </w:tc>
        <w:tc>
          <w:tcPr>
            <w:tcW w:type="dxa" w:w="2575"/>
          </w:tcPr>
          <w:p>
            <w:pPr>
              <w:pStyle w:val="null3"/>
              <w:jc w:val="left"/>
            </w:pPr>
            <w:r>
              <w:rPr>
                <w:rFonts w:ascii="仿宋_GB2312" w:hAnsi="仿宋_GB2312" w:cs="仿宋_GB2312" w:eastAsia="仿宋_GB2312"/>
              </w:rPr>
              <w:t>投标人针对本项目制定技术、服务方案，包括以下内容： 1、项目建设背景，2、项目需求分析和技术设计思路，3、项目建设的用途和收益，4、项目具体实施方案（具有项目实施组织架构、实施团队人员、实施计划、保障措施、项目集成试运行、验收方案等内容）。方案内容均符合实际情况、内容完善详细、描述准确、完全响应采购要求的得10分；每缺一项方案的扣2.5分，提供的方案中每有一处具有缺陷（缺陷是指：存在项目名称错误、地点区域错误、内容与本项目需求无关、仅有框架或标题、适用的标准（方法）错误、明显复制其他项目内容等任意一种情形）的扣1.25分，本小项扣完为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1.投标产品具有软件登记著作权证书的得2分，投标产品具有第三方测试报告的得2分，没有不得分，全具备得4分。提供相关证书及报告复印件并加盖电子印章。 2.投标产品具有中国软件产品评估机构出具的软件产品证书的，得3分，没有不得分。提供相关证书复印件并加盖投标人电子印章。</w:t>
            </w:r>
          </w:p>
        </w:tc>
        <w:tc>
          <w:tcPr>
            <w:tcW w:type="dxa" w:w="831"/>
          </w:tcPr>
          <w:p>
            <w:pPr>
              <w:pStyle w:val="null3"/>
              <w:jc w:val="center"/>
            </w:pPr>
            <w:r>
              <w:rPr>
                <w:rFonts w:ascii="仿宋_GB2312" w:hAnsi="仿宋_GB2312" w:cs="仿宋_GB2312" w:eastAsia="仿宋_GB2312"/>
              </w:rPr>
              <w:t>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履约能力.docx</w:t>
            </w:r>
          </w:p>
        </w:tc>
      </w:tr>
      <w:tr>
        <w:tc>
          <w:tcPr>
            <w:tcW w:type="dxa" w:w="831"/>
            <w:vMerge/>
          </w:tcPr>
          <w:p/>
        </w:tc>
        <w:tc>
          <w:tcPr>
            <w:tcW w:type="dxa" w:w="1661"/>
          </w:tcPr>
          <w:p>
            <w:pPr>
              <w:pStyle w:val="null3"/>
              <w:jc w:val="left"/>
            </w:pPr>
            <w:r>
              <w:rPr>
                <w:rFonts w:ascii="仿宋_GB2312" w:hAnsi="仿宋_GB2312" w:cs="仿宋_GB2312" w:eastAsia="仿宋_GB2312"/>
              </w:rPr>
              <w:t>类似项目业绩</w:t>
            </w:r>
          </w:p>
        </w:tc>
        <w:tc>
          <w:tcPr>
            <w:tcW w:type="dxa" w:w="2575"/>
          </w:tcPr>
          <w:p>
            <w:pPr>
              <w:pStyle w:val="null3"/>
              <w:jc w:val="left"/>
            </w:pPr>
            <w:r>
              <w:rPr>
                <w:rFonts w:ascii="仿宋_GB2312" w:hAnsi="仿宋_GB2312" w:cs="仿宋_GB2312" w:eastAsia="仿宋_GB2312"/>
              </w:rPr>
              <w:t>投标人有2021年1月1日至今以来类似项目业绩的，每有一个得2分，最多得4分。 注：提供项目合同或中标（成交）通知书等相关证明材料。</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类似项目业绩.docx</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投标人针对本项目制定售后服务方案，包括以下内容： 1.售后团队人员配置、2.技术支持服务承诺、3.服务细则、4.应急预案、5.培训方案。方案内容均符合实际情况、内容完善详细、描述准确、完全响应采购要求的得9分；每缺一项方案内容的扣1.8分，提供的方案中每有一处具有缺陷（缺陷是指：存在项目名称错误、地点区域错误、内容与本项目需求无关、仅有框架或标题、适用的标准（方法）错误、明显复制其他项目内容等任意一种情形）的扣0.9分，本小项扣完为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以本次有效的最低投标报价为基准价，投标报价得分=(基准价／投标报价)*30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开标一览表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详见附件：开标一览表</w:t>
      </w:r>
    </w:p>
    <w:p>
      <w:pPr>
        <w:pStyle w:val="null3"/>
        <w:ind w:firstLine="960"/>
        <w:jc w:val="left"/>
      </w:pPr>
      <w:r>
        <w:rPr>
          <w:rFonts w:ascii="仿宋_GB2312" w:hAnsi="仿宋_GB2312" w:cs="仿宋_GB2312" w:eastAsia="仿宋_GB2312"/>
        </w:rPr>
        <w:t>详见附件：方案.docx</w:t>
      </w:r>
    </w:p>
    <w:p>
      <w:pPr>
        <w:pStyle w:val="null3"/>
        <w:ind w:firstLine="960"/>
        <w:jc w:val="left"/>
      </w:pPr>
      <w:r>
        <w:rPr>
          <w:rFonts w:ascii="仿宋_GB2312" w:hAnsi="仿宋_GB2312" w:cs="仿宋_GB2312" w:eastAsia="仿宋_GB2312"/>
        </w:rPr>
        <w:t>详见附件：服务内容要求应答表.docx</w:t>
      </w:r>
    </w:p>
    <w:p>
      <w:pPr>
        <w:pStyle w:val="null3"/>
        <w:ind w:firstLine="960"/>
        <w:jc w:val="left"/>
      </w:pPr>
      <w:r>
        <w:rPr>
          <w:rFonts w:ascii="仿宋_GB2312" w:hAnsi="仿宋_GB2312" w:cs="仿宋_GB2312" w:eastAsia="仿宋_GB2312"/>
        </w:rPr>
        <w:t>详见附件：技术参数与性能指标应答表.docx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详见附件：类似项目业绩.docx</w:t>
      </w:r>
    </w:p>
    <w:p>
      <w:pPr>
        <w:pStyle w:val="null3"/>
        <w:ind w:firstLine="960"/>
        <w:jc w:val="left"/>
      </w:pPr>
      <w:r>
        <w:rPr>
          <w:rFonts w:ascii="仿宋_GB2312" w:hAnsi="仿宋_GB2312" w:cs="仿宋_GB2312" w:eastAsia="仿宋_GB2312"/>
        </w:rPr>
        <w:t>详见附件：履约能力.docx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